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05354" w14:textId="42BC2EDC" w:rsidR="002E293A" w:rsidRDefault="00C45A59" w:rsidP="00AE3209">
      <w:pPr>
        <w:pStyle w:val="Title"/>
      </w:pPr>
      <w:r>
        <w:t>Perkins</w:t>
      </w:r>
      <w:r w:rsidR="002E293A">
        <w:t xml:space="preserve"> Data </w:t>
      </w:r>
      <w:r w:rsidR="002E293A" w:rsidRPr="00CC0340">
        <w:t>Report</w:t>
      </w:r>
      <w:r w:rsidR="002E293A">
        <w:t xml:space="preserve">s </w:t>
      </w:r>
      <w:r w:rsidR="00EB7618">
        <w:t xml:space="preserve">User </w:t>
      </w:r>
      <w:r>
        <w:t>Guide</w:t>
      </w:r>
    </w:p>
    <w:p w14:paraId="5DD97E67" w14:textId="383A2B33" w:rsidR="002E293A" w:rsidRDefault="002E293A" w:rsidP="00AE3209">
      <w:pPr>
        <w:pStyle w:val="Subtitle"/>
      </w:pPr>
      <w:r>
        <w:t>Oregon Department of Education | J</w:t>
      </w:r>
      <w:r w:rsidR="00C45A59">
        <w:t>anuary</w:t>
      </w:r>
      <w:r w:rsidR="00EA3425">
        <w:t xml:space="preserve"> </w:t>
      </w:r>
      <w:r w:rsidR="00FC7857">
        <w:t>10</w:t>
      </w:r>
      <w:r w:rsidR="00EA3425">
        <w:t>,</w:t>
      </w:r>
      <w:r>
        <w:t xml:space="preserve"> 202</w:t>
      </w:r>
      <w:r w:rsidR="00C45A59">
        <w:t>4</w:t>
      </w:r>
      <w:r w:rsidR="002F2E45">
        <w:t xml:space="preserve"> </w:t>
      </w:r>
    </w:p>
    <w:p w14:paraId="3E8D9551" w14:textId="14C17E33" w:rsidR="001907F2" w:rsidRDefault="001907F2" w:rsidP="001907F2">
      <w:pPr>
        <w:pStyle w:val="Heading1"/>
      </w:pPr>
      <w:bookmarkStart w:id="0" w:name="_Toc155258773"/>
      <w:bookmarkStart w:id="1" w:name="_Toc155265224"/>
      <w:r>
        <w:t>About this Document</w:t>
      </w:r>
      <w:bookmarkEnd w:id="0"/>
      <w:bookmarkEnd w:id="1"/>
    </w:p>
    <w:p w14:paraId="6368F4DB" w14:textId="37637F4D" w:rsidR="002E293A" w:rsidRDefault="002E293A" w:rsidP="00AE3209">
      <w:r>
        <w:t xml:space="preserve">Welcome to the </w:t>
      </w:r>
      <w:r w:rsidR="00F11A8D">
        <w:t xml:space="preserve">Perkins </w:t>
      </w:r>
      <w:r>
        <w:t xml:space="preserve">CTE Data Reports </w:t>
      </w:r>
      <w:r w:rsidR="00F11A8D">
        <w:t>Guide</w:t>
      </w:r>
      <w:r>
        <w:t xml:space="preserve">. This provides context and guidance in using the set of </w:t>
      </w:r>
      <w:r w:rsidR="009379FF">
        <w:t>Perkins Data Reports</w:t>
      </w:r>
      <w:r>
        <w:t xml:space="preserve"> issued by ODE and by HECC. </w:t>
      </w:r>
      <w:r w:rsidR="00E350D9">
        <w:t>See</w:t>
      </w:r>
      <w:r w:rsidR="00EC177E">
        <w:t xml:space="preserve"> the</w:t>
      </w:r>
      <w:r w:rsidR="00E350D9">
        <w:t xml:space="preserve"> </w:t>
      </w:r>
      <w:hyperlink w:anchor="_Quick-View_–_Perkins" w:history="1">
        <w:r w:rsidR="00E350D9">
          <w:rPr>
            <w:rStyle w:val="Hyperlink"/>
          </w:rPr>
          <w:t>Perkins</w:t>
        </w:r>
        <w:r w:rsidR="00E350D9" w:rsidRPr="00B371EC">
          <w:rPr>
            <w:rStyle w:val="Hyperlink"/>
          </w:rPr>
          <w:t xml:space="preserve"> Data Reports</w:t>
        </w:r>
      </w:hyperlink>
      <w:r w:rsidR="00E350D9">
        <w:rPr>
          <w:rStyle w:val="Hyperlink"/>
        </w:rPr>
        <w:t xml:space="preserve"> List</w:t>
      </w:r>
      <w:r w:rsidR="00E350D9">
        <w:t xml:space="preserve"> </w:t>
      </w:r>
      <w:r w:rsidR="00EC177E">
        <w:t>page for all</w:t>
      </w:r>
      <w:r w:rsidR="00E350D9">
        <w:t xml:space="preserve"> reports in this group.</w:t>
      </w:r>
      <w:r w:rsidR="00EC177E">
        <w:t xml:space="preserve"> </w:t>
      </w:r>
      <w:r>
        <w:t xml:space="preserve">This handbook is a supplement to the </w:t>
      </w:r>
      <w:r w:rsidRPr="00C862DF">
        <w:rPr>
          <w:i/>
        </w:rPr>
        <w:t xml:space="preserve">ODE CTE </w:t>
      </w:r>
      <w:hyperlink r:id="rId11" w:history="1">
        <w:r w:rsidRPr="00E66A2B">
          <w:rPr>
            <w:rStyle w:val="Hyperlink"/>
            <w:i/>
          </w:rPr>
          <w:t>Policy Guidebook</w:t>
        </w:r>
      </w:hyperlink>
      <w:r>
        <w:t xml:space="preserve"> section </w:t>
      </w:r>
      <w:r w:rsidRPr="00C862DF">
        <w:rPr>
          <w:u w:val="single"/>
        </w:rPr>
        <w:t>Data and Accountability</w:t>
      </w:r>
      <w:r>
        <w:t>. For context</w:t>
      </w:r>
      <w:r w:rsidR="00E350D9">
        <w:t xml:space="preserve"> </w:t>
      </w:r>
      <w:r>
        <w:t xml:space="preserve">on non-data aspects of </w:t>
      </w:r>
      <w:r w:rsidR="00F11A8D">
        <w:t xml:space="preserve">Perkins </w:t>
      </w:r>
      <w:r>
        <w:t>CTE</w:t>
      </w:r>
      <w:r w:rsidR="00F11A8D">
        <w:t xml:space="preserve"> in Oregon</w:t>
      </w:r>
      <w:r>
        <w:t xml:space="preserve">, please refer to </w:t>
      </w:r>
      <w:r w:rsidR="00E66A2B">
        <w:t xml:space="preserve">the applicable section of </w:t>
      </w:r>
      <w:r>
        <w:t xml:space="preserve">the </w:t>
      </w:r>
      <w:r w:rsidRPr="00E66A2B">
        <w:t>CTE Policy Guidebook.</w:t>
      </w:r>
      <w:r>
        <w:t xml:space="preserve"> </w:t>
      </w:r>
    </w:p>
    <w:p w14:paraId="17659CAB" w14:textId="67AC17C4" w:rsidR="001D6048" w:rsidRDefault="001D6048" w:rsidP="00AE3209">
      <w:r>
        <w:t xml:space="preserve">The Perkins Data Reports are related but separate sets of reports ODE and HECC issue on an annual basis. These reports frame state-wide and disaggregated CTE data to the public and to CTE administrators, educators, and other community partners in terms relevant to federal Perkins V grant legislation. </w:t>
      </w:r>
    </w:p>
    <w:p w14:paraId="018E242A" w14:textId="5E096831" w:rsidR="00E350D9" w:rsidRPr="00156318" w:rsidRDefault="001D6048" w:rsidP="00156318">
      <w:r w:rsidRPr="001D4638">
        <w:t>Perkins V replaced Perkins IV effective report year 2020-2021</w:t>
      </w:r>
      <w:r>
        <w:t xml:space="preserve">. </w:t>
      </w:r>
    </w:p>
    <w:p w14:paraId="29EF1B82" w14:textId="77777777" w:rsidR="00156318" w:rsidRDefault="00156318" w:rsidP="00AE3209">
      <w:pPr>
        <w:pStyle w:val="Heading1"/>
        <w:sectPr w:rsidR="00156318" w:rsidSect="00401C80">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pPr>
    </w:p>
    <w:p w14:paraId="52E70DAE" w14:textId="43933612" w:rsidR="002E293A" w:rsidRPr="00A933B5" w:rsidRDefault="002E293A" w:rsidP="00AE3209">
      <w:pPr>
        <w:pStyle w:val="Heading1"/>
      </w:pPr>
      <w:bookmarkStart w:id="2" w:name="_Toc155258774"/>
      <w:bookmarkStart w:id="3" w:name="_Toc155265225"/>
      <w:r w:rsidRPr="00A933B5">
        <w:lastRenderedPageBreak/>
        <w:t>Contents</w:t>
      </w:r>
      <w:bookmarkEnd w:id="2"/>
      <w:bookmarkEnd w:id="3"/>
    </w:p>
    <w:bookmarkStart w:id="4" w:name="_Ref155164114"/>
    <w:bookmarkStart w:id="5" w:name="_Ref155164115"/>
    <w:bookmarkStart w:id="6" w:name="_Ref155164118"/>
    <w:p w14:paraId="6593AC78" w14:textId="0D7ECA9C" w:rsidR="00EA3425" w:rsidRDefault="00156318">
      <w:pPr>
        <w:pStyle w:val="TOC1"/>
        <w:rPr>
          <w:rFonts w:eastAsiaTheme="minorEastAsia" w:cstheme="minorBidi"/>
          <w:noProof/>
          <w:kern w:val="2"/>
          <w14:ligatures w14:val="standardContextual"/>
        </w:rPr>
      </w:pPr>
      <w:r>
        <w:fldChar w:fldCharType="begin"/>
      </w:r>
      <w:r>
        <w:instrText xml:space="preserve"> TOC \o "1-2" \h \z \u </w:instrText>
      </w:r>
      <w:r>
        <w:fldChar w:fldCharType="separate"/>
      </w:r>
      <w:hyperlink w:anchor="_Toc155265224" w:history="1">
        <w:r w:rsidR="00EA3425" w:rsidRPr="00C46111">
          <w:rPr>
            <w:rStyle w:val="Hyperlink"/>
            <w:noProof/>
          </w:rPr>
          <w:t>About this Document</w:t>
        </w:r>
        <w:r w:rsidR="00EA3425">
          <w:rPr>
            <w:noProof/>
            <w:webHidden/>
          </w:rPr>
          <w:tab/>
        </w:r>
        <w:r w:rsidR="00EA3425">
          <w:rPr>
            <w:noProof/>
            <w:webHidden/>
          </w:rPr>
          <w:fldChar w:fldCharType="begin"/>
        </w:r>
        <w:r w:rsidR="00EA3425">
          <w:rPr>
            <w:noProof/>
            <w:webHidden/>
          </w:rPr>
          <w:instrText xml:space="preserve"> PAGEREF _Toc155265224 \h </w:instrText>
        </w:r>
        <w:r w:rsidR="00EA3425">
          <w:rPr>
            <w:noProof/>
            <w:webHidden/>
          </w:rPr>
        </w:r>
        <w:r w:rsidR="00EA3425">
          <w:rPr>
            <w:noProof/>
            <w:webHidden/>
          </w:rPr>
          <w:fldChar w:fldCharType="separate"/>
        </w:r>
        <w:r w:rsidR="00EA3425">
          <w:rPr>
            <w:noProof/>
            <w:webHidden/>
          </w:rPr>
          <w:t>1</w:t>
        </w:r>
        <w:r w:rsidR="00EA3425">
          <w:rPr>
            <w:noProof/>
            <w:webHidden/>
          </w:rPr>
          <w:fldChar w:fldCharType="end"/>
        </w:r>
      </w:hyperlink>
    </w:p>
    <w:p w14:paraId="6D4C6702" w14:textId="2210418D" w:rsidR="00EA3425" w:rsidRDefault="00984C6C">
      <w:pPr>
        <w:pStyle w:val="TOC1"/>
        <w:rPr>
          <w:rFonts w:eastAsiaTheme="minorEastAsia" w:cstheme="minorBidi"/>
          <w:noProof/>
          <w:kern w:val="2"/>
          <w14:ligatures w14:val="standardContextual"/>
        </w:rPr>
      </w:pPr>
      <w:hyperlink w:anchor="_Toc155265225" w:history="1">
        <w:r w:rsidR="00EA3425" w:rsidRPr="00C46111">
          <w:rPr>
            <w:rStyle w:val="Hyperlink"/>
            <w:noProof/>
          </w:rPr>
          <w:t>Contents</w:t>
        </w:r>
        <w:r w:rsidR="00EA3425">
          <w:rPr>
            <w:noProof/>
            <w:webHidden/>
          </w:rPr>
          <w:tab/>
        </w:r>
        <w:r w:rsidR="00EA3425">
          <w:rPr>
            <w:noProof/>
            <w:webHidden/>
          </w:rPr>
          <w:fldChar w:fldCharType="begin"/>
        </w:r>
        <w:r w:rsidR="00EA3425">
          <w:rPr>
            <w:noProof/>
            <w:webHidden/>
          </w:rPr>
          <w:instrText xml:space="preserve"> PAGEREF _Toc155265225 \h </w:instrText>
        </w:r>
        <w:r w:rsidR="00EA3425">
          <w:rPr>
            <w:noProof/>
            <w:webHidden/>
          </w:rPr>
        </w:r>
        <w:r w:rsidR="00EA3425">
          <w:rPr>
            <w:noProof/>
            <w:webHidden/>
          </w:rPr>
          <w:fldChar w:fldCharType="separate"/>
        </w:r>
        <w:r w:rsidR="00EA3425">
          <w:rPr>
            <w:noProof/>
            <w:webHidden/>
          </w:rPr>
          <w:t>2</w:t>
        </w:r>
        <w:r w:rsidR="00EA3425">
          <w:rPr>
            <w:noProof/>
            <w:webHidden/>
          </w:rPr>
          <w:fldChar w:fldCharType="end"/>
        </w:r>
      </w:hyperlink>
    </w:p>
    <w:p w14:paraId="2718BBC1" w14:textId="35BCBA85" w:rsidR="00EA3425" w:rsidRDefault="00984C6C">
      <w:pPr>
        <w:pStyle w:val="TOC1"/>
        <w:rPr>
          <w:rFonts w:eastAsiaTheme="minorEastAsia" w:cstheme="minorBidi"/>
          <w:noProof/>
          <w:kern w:val="2"/>
          <w14:ligatures w14:val="standardContextual"/>
        </w:rPr>
      </w:pPr>
      <w:hyperlink w:anchor="_Toc155265226" w:history="1">
        <w:r w:rsidR="00EA3425" w:rsidRPr="00C46111">
          <w:rPr>
            <w:rStyle w:val="Hyperlink"/>
            <w:noProof/>
          </w:rPr>
          <w:t>Perkins CTE Definitions</w:t>
        </w:r>
        <w:r w:rsidR="00EA3425">
          <w:rPr>
            <w:noProof/>
            <w:webHidden/>
          </w:rPr>
          <w:tab/>
        </w:r>
        <w:r w:rsidR="00EA3425">
          <w:rPr>
            <w:noProof/>
            <w:webHidden/>
          </w:rPr>
          <w:fldChar w:fldCharType="begin"/>
        </w:r>
        <w:r w:rsidR="00EA3425">
          <w:rPr>
            <w:noProof/>
            <w:webHidden/>
          </w:rPr>
          <w:instrText xml:space="preserve"> PAGEREF _Toc155265226 \h </w:instrText>
        </w:r>
        <w:r w:rsidR="00EA3425">
          <w:rPr>
            <w:noProof/>
            <w:webHidden/>
          </w:rPr>
        </w:r>
        <w:r w:rsidR="00EA3425">
          <w:rPr>
            <w:noProof/>
            <w:webHidden/>
          </w:rPr>
          <w:fldChar w:fldCharType="separate"/>
        </w:r>
        <w:r w:rsidR="00EA3425">
          <w:rPr>
            <w:noProof/>
            <w:webHidden/>
          </w:rPr>
          <w:t>3</w:t>
        </w:r>
        <w:r w:rsidR="00EA3425">
          <w:rPr>
            <w:noProof/>
            <w:webHidden/>
          </w:rPr>
          <w:fldChar w:fldCharType="end"/>
        </w:r>
      </w:hyperlink>
    </w:p>
    <w:p w14:paraId="7AE790AF" w14:textId="3835F6B4" w:rsidR="00EA3425" w:rsidRDefault="00984C6C">
      <w:pPr>
        <w:pStyle w:val="TOC2"/>
        <w:rPr>
          <w:rFonts w:eastAsiaTheme="minorEastAsia" w:cstheme="minorBidi"/>
          <w:noProof/>
          <w:kern w:val="2"/>
          <w14:ligatures w14:val="standardContextual"/>
        </w:rPr>
      </w:pPr>
      <w:hyperlink w:anchor="_Toc155265227" w:history="1">
        <w:r w:rsidR="00EA3425" w:rsidRPr="00C46111">
          <w:rPr>
            <w:rStyle w:val="Hyperlink"/>
            <w:noProof/>
          </w:rPr>
          <w:t>CTE Enrollment Status</w:t>
        </w:r>
        <w:r w:rsidR="00EA3425">
          <w:rPr>
            <w:noProof/>
            <w:webHidden/>
          </w:rPr>
          <w:tab/>
        </w:r>
        <w:r w:rsidR="00EA3425">
          <w:rPr>
            <w:noProof/>
            <w:webHidden/>
          </w:rPr>
          <w:fldChar w:fldCharType="begin"/>
        </w:r>
        <w:r w:rsidR="00EA3425">
          <w:rPr>
            <w:noProof/>
            <w:webHidden/>
          </w:rPr>
          <w:instrText xml:space="preserve"> PAGEREF _Toc155265227 \h </w:instrText>
        </w:r>
        <w:r w:rsidR="00EA3425">
          <w:rPr>
            <w:noProof/>
            <w:webHidden/>
          </w:rPr>
        </w:r>
        <w:r w:rsidR="00EA3425">
          <w:rPr>
            <w:noProof/>
            <w:webHidden/>
          </w:rPr>
          <w:fldChar w:fldCharType="separate"/>
        </w:r>
        <w:r w:rsidR="00EA3425">
          <w:rPr>
            <w:noProof/>
            <w:webHidden/>
          </w:rPr>
          <w:t>3</w:t>
        </w:r>
        <w:r w:rsidR="00EA3425">
          <w:rPr>
            <w:noProof/>
            <w:webHidden/>
          </w:rPr>
          <w:fldChar w:fldCharType="end"/>
        </w:r>
      </w:hyperlink>
    </w:p>
    <w:p w14:paraId="20A684E9" w14:textId="65D02043" w:rsidR="00EA3425" w:rsidRDefault="00984C6C">
      <w:pPr>
        <w:pStyle w:val="TOC2"/>
        <w:rPr>
          <w:rFonts w:eastAsiaTheme="minorEastAsia" w:cstheme="minorBidi"/>
          <w:noProof/>
          <w:kern w:val="2"/>
          <w14:ligatures w14:val="standardContextual"/>
        </w:rPr>
      </w:pPr>
      <w:hyperlink w:anchor="_Toc155265228" w:history="1">
        <w:r w:rsidR="00EA3425" w:rsidRPr="00C46111">
          <w:rPr>
            <w:rStyle w:val="Hyperlink"/>
            <w:noProof/>
          </w:rPr>
          <w:t>Performance Indicators</w:t>
        </w:r>
        <w:r w:rsidR="00EA3425">
          <w:rPr>
            <w:noProof/>
            <w:webHidden/>
          </w:rPr>
          <w:tab/>
        </w:r>
        <w:r w:rsidR="00EA3425">
          <w:rPr>
            <w:noProof/>
            <w:webHidden/>
          </w:rPr>
          <w:fldChar w:fldCharType="begin"/>
        </w:r>
        <w:r w:rsidR="00EA3425">
          <w:rPr>
            <w:noProof/>
            <w:webHidden/>
          </w:rPr>
          <w:instrText xml:space="preserve"> PAGEREF _Toc155265228 \h </w:instrText>
        </w:r>
        <w:r w:rsidR="00EA3425">
          <w:rPr>
            <w:noProof/>
            <w:webHidden/>
          </w:rPr>
        </w:r>
        <w:r w:rsidR="00EA3425">
          <w:rPr>
            <w:noProof/>
            <w:webHidden/>
          </w:rPr>
          <w:fldChar w:fldCharType="separate"/>
        </w:r>
        <w:r w:rsidR="00EA3425">
          <w:rPr>
            <w:noProof/>
            <w:webHidden/>
          </w:rPr>
          <w:t>4</w:t>
        </w:r>
        <w:r w:rsidR="00EA3425">
          <w:rPr>
            <w:noProof/>
            <w:webHidden/>
          </w:rPr>
          <w:fldChar w:fldCharType="end"/>
        </w:r>
      </w:hyperlink>
    </w:p>
    <w:p w14:paraId="2F459186" w14:textId="388AFF58" w:rsidR="00EA3425" w:rsidRDefault="00984C6C">
      <w:pPr>
        <w:pStyle w:val="TOC2"/>
        <w:rPr>
          <w:rFonts w:eastAsiaTheme="minorEastAsia" w:cstheme="minorBidi"/>
          <w:noProof/>
          <w:kern w:val="2"/>
          <w14:ligatures w14:val="standardContextual"/>
        </w:rPr>
      </w:pPr>
      <w:hyperlink w:anchor="_Toc155265229" w:history="1">
        <w:r w:rsidR="00EA3425" w:rsidRPr="00C46111">
          <w:rPr>
            <w:rStyle w:val="Hyperlink"/>
            <w:noProof/>
          </w:rPr>
          <w:t>Performance Level</w:t>
        </w:r>
        <w:r w:rsidR="00EA3425">
          <w:rPr>
            <w:noProof/>
            <w:webHidden/>
          </w:rPr>
          <w:tab/>
        </w:r>
        <w:r w:rsidR="00EA3425">
          <w:rPr>
            <w:noProof/>
            <w:webHidden/>
          </w:rPr>
          <w:fldChar w:fldCharType="begin"/>
        </w:r>
        <w:r w:rsidR="00EA3425">
          <w:rPr>
            <w:noProof/>
            <w:webHidden/>
          </w:rPr>
          <w:instrText xml:space="preserve"> PAGEREF _Toc155265229 \h </w:instrText>
        </w:r>
        <w:r w:rsidR="00EA3425">
          <w:rPr>
            <w:noProof/>
            <w:webHidden/>
          </w:rPr>
        </w:r>
        <w:r w:rsidR="00EA3425">
          <w:rPr>
            <w:noProof/>
            <w:webHidden/>
          </w:rPr>
          <w:fldChar w:fldCharType="separate"/>
        </w:r>
        <w:r w:rsidR="00EA3425">
          <w:rPr>
            <w:noProof/>
            <w:webHidden/>
          </w:rPr>
          <w:t>9</w:t>
        </w:r>
        <w:r w:rsidR="00EA3425">
          <w:rPr>
            <w:noProof/>
            <w:webHidden/>
          </w:rPr>
          <w:fldChar w:fldCharType="end"/>
        </w:r>
      </w:hyperlink>
    </w:p>
    <w:p w14:paraId="1AEC81F9" w14:textId="46D29684" w:rsidR="00EA3425" w:rsidRDefault="00984C6C">
      <w:pPr>
        <w:pStyle w:val="TOC2"/>
        <w:rPr>
          <w:rFonts w:eastAsiaTheme="minorEastAsia" w:cstheme="minorBidi"/>
          <w:noProof/>
          <w:kern w:val="2"/>
          <w14:ligatures w14:val="standardContextual"/>
        </w:rPr>
      </w:pPr>
      <w:hyperlink w:anchor="_Toc155265230" w:history="1">
        <w:r w:rsidR="00EA3425" w:rsidRPr="00C46111">
          <w:rPr>
            <w:rStyle w:val="Hyperlink"/>
            <w:noProof/>
          </w:rPr>
          <w:t>Performance Type</w:t>
        </w:r>
        <w:r w:rsidR="00EA3425">
          <w:rPr>
            <w:noProof/>
            <w:webHidden/>
          </w:rPr>
          <w:tab/>
        </w:r>
        <w:r w:rsidR="00EA3425">
          <w:rPr>
            <w:noProof/>
            <w:webHidden/>
          </w:rPr>
          <w:fldChar w:fldCharType="begin"/>
        </w:r>
        <w:r w:rsidR="00EA3425">
          <w:rPr>
            <w:noProof/>
            <w:webHidden/>
          </w:rPr>
          <w:instrText xml:space="preserve"> PAGEREF _Toc155265230 \h </w:instrText>
        </w:r>
        <w:r w:rsidR="00EA3425">
          <w:rPr>
            <w:noProof/>
            <w:webHidden/>
          </w:rPr>
        </w:r>
        <w:r w:rsidR="00EA3425">
          <w:rPr>
            <w:noProof/>
            <w:webHidden/>
          </w:rPr>
          <w:fldChar w:fldCharType="separate"/>
        </w:r>
        <w:r w:rsidR="00EA3425">
          <w:rPr>
            <w:noProof/>
            <w:webHidden/>
          </w:rPr>
          <w:t>9</w:t>
        </w:r>
        <w:r w:rsidR="00EA3425">
          <w:rPr>
            <w:noProof/>
            <w:webHidden/>
          </w:rPr>
          <w:fldChar w:fldCharType="end"/>
        </w:r>
      </w:hyperlink>
    </w:p>
    <w:p w14:paraId="7E42DB16" w14:textId="27DB25C3" w:rsidR="00EA3425" w:rsidRDefault="00984C6C">
      <w:pPr>
        <w:pStyle w:val="TOC2"/>
        <w:rPr>
          <w:rFonts w:eastAsiaTheme="minorEastAsia" w:cstheme="minorBidi"/>
          <w:noProof/>
          <w:kern w:val="2"/>
          <w14:ligatures w14:val="standardContextual"/>
        </w:rPr>
      </w:pPr>
      <w:hyperlink w:anchor="_Toc155265231" w:history="1">
        <w:r w:rsidR="00EA3425" w:rsidRPr="00C46111">
          <w:rPr>
            <w:rStyle w:val="Hyperlink"/>
            <w:noProof/>
          </w:rPr>
          <w:t>Performance Targets</w:t>
        </w:r>
        <w:r w:rsidR="00EA3425">
          <w:rPr>
            <w:noProof/>
            <w:webHidden/>
          </w:rPr>
          <w:tab/>
        </w:r>
        <w:r w:rsidR="00EA3425">
          <w:rPr>
            <w:noProof/>
            <w:webHidden/>
          </w:rPr>
          <w:fldChar w:fldCharType="begin"/>
        </w:r>
        <w:r w:rsidR="00EA3425">
          <w:rPr>
            <w:noProof/>
            <w:webHidden/>
          </w:rPr>
          <w:instrText xml:space="preserve"> PAGEREF _Toc155265231 \h </w:instrText>
        </w:r>
        <w:r w:rsidR="00EA3425">
          <w:rPr>
            <w:noProof/>
            <w:webHidden/>
          </w:rPr>
        </w:r>
        <w:r w:rsidR="00EA3425">
          <w:rPr>
            <w:noProof/>
            <w:webHidden/>
          </w:rPr>
          <w:fldChar w:fldCharType="separate"/>
        </w:r>
        <w:r w:rsidR="00EA3425">
          <w:rPr>
            <w:noProof/>
            <w:webHidden/>
          </w:rPr>
          <w:t>10</w:t>
        </w:r>
        <w:r w:rsidR="00EA3425">
          <w:rPr>
            <w:noProof/>
            <w:webHidden/>
          </w:rPr>
          <w:fldChar w:fldCharType="end"/>
        </w:r>
      </w:hyperlink>
    </w:p>
    <w:p w14:paraId="65DBCC95" w14:textId="5A051AEE" w:rsidR="00EA3425" w:rsidRDefault="00984C6C">
      <w:pPr>
        <w:pStyle w:val="TOC1"/>
        <w:rPr>
          <w:rFonts w:eastAsiaTheme="minorEastAsia" w:cstheme="minorBidi"/>
          <w:noProof/>
          <w:kern w:val="2"/>
          <w14:ligatures w14:val="standardContextual"/>
        </w:rPr>
      </w:pPr>
      <w:hyperlink w:anchor="_Toc155265232" w:history="1">
        <w:r w:rsidR="00EA3425" w:rsidRPr="00C46111">
          <w:rPr>
            <w:rStyle w:val="Hyperlink"/>
            <w:noProof/>
          </w:rPr>
          <w:t>Perkins Data Reports</w:t>
        </w:r>
        <w:r w:rsidR="00EA3425">
          <w:rPr>
            <w:noProof/>
            <w:webHidden/>
          </w:rPr>
          <w:tab/>
        </w:r>
        <w:r w:rsidR="00EA3425">
          <w:rPr>
            <w:noProof/>
            <w:webHidden/>
          </w:rPr>
          <w:fldChar w:fldCharType="begin"/>
        </w:r>
        <w:r w:rsidR="00EA3425">
          <w:rPr>
            <w:noProof/>
            <w:webHidden/>
          </w:rPr>
          <w:instrText xml:space="preserve"> PAGEREF _Toc155265232 \h </w:instrText>
        </w:r>
        <w:r w:rsidR="00EA3425">
          <w:rPr>
            <w:noProof/>
            <w:webHidden/>
          </w:rPr>
        </w:r>
        <w:r w:rsidR="00EA3425">
          <w:rPr>
            <w:noProof/>
            <w:webHidden/>
          </w:rPr>
          <w:fldChar w:fldCharType="separate"/>
        </w:r>
        <w:r w:rsidR="00EA3425">
          <w:rPr>
            <w:noProof/>
            <w:webHidden/>
          </w:rPr>
          <w:t>11</w:t>
        </w:r>
        <w:r w:rsidR="00EA3425">
          <w:rPr>
            <w:noProof/>
            <w:webHidden/>
          </w:rPr>
          <w:fldChar w:fldCharType="end"/>
        </w:r>
      </w:hyperlink>
    </w:p>
    <w:p w14:paraId="3C44580E" w14:textId="5EED518F" w:rsidR="00EA3425" w:rsidRDefault="00984C6C">
      <w:pPr>
        <w:pStyle w:val="TOC2"/>
        <w:rPr>
          <w:rFonts w:eastAsiaTheme="minorEastAsia" w:cstheme="minorBidi"/>
          <w:noProof/>
          <w:kern w:val="2"/>
          <w14:ligatures w14:val="standardContextual"/>
        </w:rPr>
      </w:pPr>
      <w:hyperlink w:anchor="_Toc155265233" w:history="1">
        <w:r w:rsidR="00EA3425" w:rsidRPr="00C46111">
          <w:rPr>
            <w:rStyle w:val="Hyperlink"/>
            <w:noProof/>
          </w:rPr>
          <w:t>Perkins Data Reports List</w:t>
        </w:r>
        <w:r w:rsidR="00EA3425">
          <w:rPr>
            <w:noProof/>
            <w:webHidden/>
          </w:rPr>
          <w:tab/>
        </w:r>
        <w:r w:rsidR="00EA3425">
          <w:rPr>
            <w:noProof/>
            <w:webHidden/>
          </w:rPr>
          <w:fldChar w:fldCharType="begin"/>
        </w:r>
        <w:r w:rsidR="00EA3425">
          <w:rPr>
            <w:noProof/>
            <w:webHidden/>
          </w:rPr>
          <w:instrText xml:space="preserve"> PAGEREF _Toc155265233 \h </w:instrText>
        </w:r>
        <w:r w:rsidR="00EA3425">
          <w:rPr>
            <w:noProof/>
            <w:webHidden/>
          </w:rPr>
        </w:r>
        <w:r w:rsidR="00EA3425">
          <w:rPr>
            <w:noProof/>
            <w:webHidden/>
          </w:rPr>
          <w:fldChar w:fldCharType="separate"/>
        </w:r>
        <w:r w:rsidR="00EA3425">
          <w:rPr>
            <w:noProof/>
            <w:webHidden/>
          </w:rPr>
          <w:t>11</w:t>
        </w:r>
        <w:r w:rsidR="00EA3425">
          <w:rPr>
            <w:noProof/>
            <w:webHidden/>
          </w:rPr>
          <w:fldChar w:fldCharType="end"/>
        </w:r>
      </w:hyperlink>
    </w:p>
    <w:p w14:paraId="24F2E874" w14:textId="046BA28B" w:rsidR="00EA3425" w:rsidRDefault="00984C6C">
      <w:pPr>
        <w:pStyle w:val="TOC2"/>
        <w:rPr>
          <w:rFonts w:eastAsiaTheme="minorEastAsia" w:cstheme="minorBidi"/>
          <w:noProof/>
          <w:kern w:val="2"/>
          <w14:ligatures w14:val="standardContextual"/>
        </w:rPr>
      </w:pPr>
      <w:hyperlink w:anchor="_Toc155265234" w:history="1">
        <w:r w:rsidR="00EA3425" w:rsidRPr="00C46111">
          <w:rPr>
            <w:rStyle w:val="Hyperlink"/>
            <w:noProof/>
          </w:rPr>
          <w:t>Perkins CTE 90% Report Validation</w:t>
        </w:r>
        <w:r w:rsidR="00EA3425">
          <w:rPr>
            <w:noProof/>
            <w:webHidden/>
          </w:rPr>
          <w:tab/>
        </w:r>
        <w:r w:rsidR="00EA3425">
          <w:rPr>
            <w:noProof/>
            <w:webHidden/>
          </w:rPr>
          <w:fldChar w:fldCharType="begin"/>
        </w:r>
        <w:r w:rsidR="00EA3425">
          <w:rPr>
            <w:noProof/>
            <w:webHidden/>
          </w:rPr>
          <w:instrText xml:space="preserve"> PAGEREF _Toc155265234 \h </w:instrText>
        </w:r>
        <w:r w:rsidR="00EA3425">
          <w:rPr>
            <w:noProof/>
            <w:webHidden/>
          </w:rPr>
        </w:r>
        <w:r w:rsidR="00EA3425">
          <w:rPr>
            <w:noProof/>
            <w:webHidden/>
          </w:rPr>
          <w:fldChar w:fldCharType="separate"/>
        </w:r>
        <w:r w:rsidR="00EA3425">
          <w:rPr>
            <w:noProof/>
            <w:webHidden/>
          </w:rPr>
          <w:t>12</w:t>
        </w:r>
        <w:r w:rsidR="00EA3425">
          <w:rPr>
            <w:noProof/>
            <w:webHidden/>
          </w:rPr>
          <w:fldChar w:fldCharType="end"/>
        </w:r>
      </w:hyperlink>
    </w:p>
    <w:p w14:paraId="15CC7C0A" w14:textId="26471690" w:rsidR="00EA3425" w:rsidRDefault="00984C6C">
      <w:pPr>
        <w:pStyle w:val="TOC2"/>
        <w:rPr>
          <w:rFonts w:eastAsiaTheme="minorEastAsia" w:cstheme="minorBidi"/>
          <w:noProof/>
          <w:kern w:val="2"/>
          <w14:ligatures w14:val="standardContextual"/>
        </w:rPr>
      </w:pPr>
      <w:hyperlink w:anchor="_Toc155265235" w:history="1">
        <w:r w:rsidR="00EA3425" w:rsidRPr="00C46111">
          <w:rPr>
            <w:rStyle w:val="Hyperlink"/>
            <w:noProof/>
          </w:rPr>
          <w:t>Perkins Statewide 90% Report, Secondary CTE</w:t>
        </w:r>
        <w:r w:rsidR="00EA3425">
          <w:rPr>
            <w:noProof/>
            <w:webHidden/>
          </w:rPr>
          <w:tab/>
        </w:r>
        <w:r w:rsidR="00EA3425">
          <w:rPr>
            <w:noProof/>
            <w:webHidden/>
          </w:rPr>
          <w:fldChar w:fldCharType="begin"/>
        </w:r>
        <w:r w:rsidR="00EA3425">
          <w:rPr>
            <w:noProof/>
            <w:webHidden/>
          </w:rPr>
          <w:instrText xml:space="preserve"> PAGEREF _Toc155265235 \h </w:instrText>
        </w:r>
        <w:r w:rsidR="00EA3425">
          <w:rPr>
            <w:noProof/>
            <w:webHidden/>
          </w:rPr>
        </w:r>
        <w:r w:rsidR="00EA3425">
          <w:rPr>
            <w:noProof/>
            <w:webHidden/>
          </w:rPr>
          <w:fldChar w:fldCharType="separate"/>
        </w:r>
        <w:r w:rsidR="00EA3425">
          <w:rPr>
            <w:noProof/>
            <w:webHidden/>
          </w:rPr>
          <w:t>17</w:t>
        </w:r>
        <w:r w:rsidR="00EA3425">
          <w:rPr>
            <w:noProof/>
            <w:webHidden/>
          </w:rPr>
          <w:fldChar w:fldCharType="end"/>
        </w:r>
      </w:hyperlink>
    </w:p>
    <w:p w14:paraId="60BF5390" w14:textId="7083D65E" w:rsidR="00EA3425" w:rsidRDefault="00984C6C">
      <w:pPr>
        <w:pStyle w:val="TOC2"/>
        <w:rPr>
          <w:rFonts w:eastAsiaTheme="minorEastAsia" w:cstheme="minorBidi"/>
          <w:noProof/>
          <w:kern w:val="2"/>
          <w14:ligatures w14:val="standardContextual"/>
        </w:rPr>
      </w:pPr>
      <w:hyperlink w:anchor="_Toc155265236" w:history="1">
        <w:r w:rsidR="00EA3425" w:rsidRPr="00C46111">
          <w:rPr>
            <w:rStyle w:val="Hyperlink"/>
            <w:noProof/>
          </w:rPr>
          <w:t>Perkins Statewide 90% Report, Postsecondary CTE</w:t>
        </w:r>
        <w:r w:rsidR="00EA3425">
          <w:rPr>
            <w:noProof/>
            <w:webHidden/>
          </w:rPr>
          <w:tab/>
        </w:r>
        <w:r w:rsidR="00EA3425">
          <w:rPr>
            <w:noProof/>
            <w:webHidden/>
          </w:rPr>
          <w:fldChar w:fldCharType="begin"/>
        </w:r>
        <w:r w:rsidR="00EA3425">
          <w:rPr>
            <w:noProof/>
            <w:webHidden/>
          </w:rPr>
          <w:instrText xml:space="preserve"> PAGEREF _Toc155265236 \h </w:instrText>
        </w:r>
        <w:r w:rsidR="00EA3425">
          <w:rPr>
            <w:noProof/>
            <w:webHidden/>
          </w:rPr>
        </w:r>
        <w:r w:rsidR="00EA3425">
          <w:rPr>
            <w:noProof/>
            <w:webHidden/>
          </w:rPr>
          <w:fldChar w:fldCharType="separate"/>
        </w:r>
        <w:r w:rsidR="00EA3425">
          <w:rPr>
            <w:noProof/>
            <w:webHidden/>
          </w:rPr>
          <w:t>17</w:t>
        </w:r>
        <w:r w:rsidR="00EA3425">
          <w:rPr>
            <w:noProof/>
            <w:webHidden/>
          </w:rPr>
          <w:fldChar w:fldCharType="end"/>
        </w:r>
      </w:hyperlink>
    </w:p>
    <w:p w14:paraId="26F5A38A" w14:textId="28332BE6" w:rsidR="00EA3425" w:rsidRDefault="00984C6C">
      <w:pPr>
        <w:pStyle w:val="TOC2"/>
        <w:rPr>
          <w:rFonts w:eastAsiaTheme="minorEastAsia" w:cstheme="minorBidi"/>
          <w:noProof/>
          <w:kern w:val="2"/>
          <w14:ligatures w14:val="standardContextual"/>
        </w:rPr>
      </w:pPr>
      <w:hyperlink w:anchor="_Toc155265237" w:history="1">
        <w:r w:rsidR="00EA3425" w:rsidRPr="00C46111">
          <w:rPr>
            <w:rStyle w:val="Hyperlink"/>
            <w:noProof/>
          </w:rPr>
          <w:t>Institution Detail 90% Report</w:t>
        </w:r>
        <w:r w:rsidR="00EA3425">
          <w:rPr>
            <w:noProof/>
            <w:webHidden/>
          </w:rPr>
          <w:tab/>
        </w:r>
        <w:r w:rsidR="00EA3425">
          <w:rPr>
            <w:noProof/>
            <w:webHidden/>
          </w:rPr>
          <w:fldChar w:fldCharType="begin"/>
        </w:r>
        <w:r w:rsidR="00EA3425">
          <w:rPr>
            <w:noProof/>
            <w:webHidden/>
          </w:rPr>
          <w:instrText xml:space="preserve"> PAGEREF _Toc155265237 \h </w:instrText>
        </w:r>
        <w:r w:rsidR="00EA3425">
          <w:rPr>
            <w:noProof/>
            <w:webHidden/>
          </w:rPr>
        </w:r>
        <w:r w:rsidR="00EA3425">
          <w:rPr>
            <w:noProof/>
            <w:webHidden/>
          </w:rPr>
          <w:fldChar w:fldCharType="separate"/>
        </w:r>
        <w:r w:rsidR="00EA3425">
          <w:rPr>
            <w:noProof/>
            <w:webHidden/>
          </w:rPr>
          <w:t>17</w:t>
        </w:r>
        <w:r w:rsidR="00EA3425">
          <w:rPr>
            <w:noProof/>
            <w:webHidden/>
          </w:rPr>
          <w:fldChar w:fldCharType="end"/>
        </w:r>
      </w:hyperlink>
    </w:p>
    <w:p w14:paraId="388FB203" w14:textId="785E4A93" w:rsidR="00EA3425" w:rsidRDefault="00984C6C">
      <w:pPr>
        <w:pStyle w:val="TOC2"/>
        <w:rPr>
          <w:rFonts w:eastAsiaTheme="minorEastAsia" w:cstheme="minorBidi"/>
          <w:noProof/>
          <w:kern w:val="2"/>
          <w14:ligatures w14:val="standardContextual"/>
        </w:rPr>
      </w:pPr>
      <w:hyperlink w:anchor="_Toc155265238" w:history="1">
        <w:r w:rsidR="00EA3425" w:rsidRPr="00C46111">
          <w:rPr>
            <w:rStyle w:val="Hyperlink"/>
            <w:noProof/>
          </w:rPr>
          <w:t>Perkins Performance Workbooks</w:t>
        </w:r>
        <w:r w:rsidR="00EA3425">
          <w:rPr>
            <w:noProof/>
            <w:webHidden/>
          </w:rPr>
          <w:tab/>
        </w:r>
        <w:r w:rsidR="00EA3425">
          <w:rPr>
            <w:noProof/>
            <w:webHidden/>
          </w:rPr>
          <w:fldChar w:fldCharType="begin"/>
        </w:r>
        <w:r w:rsidR="00EA3425">
          <w:rPr>
            <w:noProof/>
            <w:webHidden/>
          </w:rPr>
          <w:instrText xml:space="preserve"> PAGEREF _Toc155265238 \h </w:instrText>
        </w:r>
        <w:r w:rsidR="00EA3425">
          <w:rPr>
            <w:noProof/>
            <w:webHidden/>
          </w:rPr>
        </w:r>
        <w:r w:rsidR="00EA3425">
          <w:rPr>
            <w:noProof/>
            <w:webHidden/>
          </w:rPr>
          <w:fldChar w:fldCharType="separate"/>
        </w:r>
        <w:r w:rsidR="00EA3425">
          <w:rPr>
            <w:noProof/>
            <w:webHidden/>
          </w:rPr>
          <w:t>17</w:t>
        </w:r>
        <w:r w:rsidR="00EA3425">
          <w:rPr>
            <w:noProof/>
            <w:webHidden/>
          </w:rPr>
          <w:fldChar w:fldCharType="end"/>
        </w:r>
      </w:hyperlink>
    </w:p>
    <w:p w14:paraId="7BACDE80" w14:textId="32747E51" w:rsidR="00EA3425" w:rsidRDefault="00984C6C">
      <w:pPr>
        <w:pStyle w:val="TOC1"/>
        <w:rPr>
          <w:rFonts w:eastAsiaTheme="minorEastAsia" w:cstheme="minorBidi"/>
          <w:noProof/>
          <w:kern w:val="2"/>
          <w14:ligatures w14:val="standardContextual"/>
        </w:rPr>
      </w:pPr>
      <w:hyperlink w:anchor="_Toc155265239" w:history="1">
        <w:r w:rsidR="00EA3425" w:rsidRPr="00C46111">
          <w:rPr>
            <w:rStyle w:val="Hyperlink"/>
            <w:noProof/>
          </w:rPr>
          <w:t>Appendices</w:t>
        </w:r>
        <w:r w:rsidR="00EA3425">
          <w:rPr>
            <w:noProof/>
            <w:webHidden/>
          </w:rPr>
          <w:tab/>
        </w:r>
        <w:r w:rsidR="00EA3425">
          <w:rPr>
            <w:noProof/>
            <w:webHidden/>
          </w:rPr>
          <w:fldChar w:fldCharType="begin"/>
        </w:r>
        <w:r w:rsidR="00EA3425">
          <w:rPr>
            <w:noProof/>
            <w:webHidden/>
          </w:rPr>
          <w:instrText xml:space="preserve"> PAGEREF _Toc155265239 \h </w:instrText>
        </w:r>
        <w:r w:rsidR="00EA3425">
          <w:rPr>
            <w:noProof/>
            <w:webHidden/>
          </w:rPr>
        </w:r>
        <w:r w:rsidR="00EA3425">
          <w:rPr>
            <w:noProof/>
            <w:webHidden/>
          </w:rPr>
          <w:fldChar w:fldCharType="separate"/>
        </w:r>
        <w:r w:rsidR="00EA3425">
          <w:rPr>
            <w:noProof/>
            <w:webHidden/>
          </w:rPr>
          <w:t>18</w:t>
        </w:r>
        <w:r w:rsidR="00EA3425">
          <w:rPr>
            <w:noProof/>
            <w:webHidden/>
          </w:rPr>
          <w:fldChar w:fldCharType="end"/>
        </w:r>
      </w:hyperlink>
    </w:p>
    <w:p w14:paraId="31E0C44B" w14:textId="1279E764" w:rsidR="00EA3425" w:rsidRDefault="00984C6C">
      <w:pPr>
        <w:pStyle w:val="TOC2"/>
        <w:rPr>
          <w:rFonts w:eastAsiaTheme="minorEastAsia" w:cstheme="minorBidi"/>
          <w:noProof/>
          <w:kern w:val="2"/>
          <w14:ligatures w14:val="standardContextual"/>
        </w:rPr>
      </w:pPr>
      <w:hyperlink w:anchor="_Toc155265240" w:history="1">
        <w:r w:rsidR="00EA3425" w:rsidRPr="00C46111">
          <w:rPr>
            <w:rStyle w:val="Hyperlink"/>
            <w:noProof/>
          </w:rPr>
          <w:t>Appendix A: Acronyms &amp; Glossary</w:t>
        </w:r>
        <w:r w:rsidR="00EA3425">
          <w:rPr>
            <w:noProof/>
            <w:webHidden/>
          </w:rPr>
          <w:tab/>
        </w:r>
        <w:r w:rsidR="00EA3425">
          <w:rPr>
            <w:noProof/>
            <w:webHidden/>
          </w:rPr>
          <w:fldChar w:fldCharType="begin"/>
        </w:r>
        <w:r w:rsidR="00EA3425">
          <w:rPr>
            <w:noProof/>
            <w:webHidden/>
          </w:rPr>
          <w:instrText xml:space="preserve"> PAGEREF _Toc155265240 \h </w:instrText>
        </w:r>
        <w:r w:rsidR="00EA3425">
          <w:rPr>
            <w:noProof/>
            <w:webHidden/>
          </w:rPr>
        </w:r>
        <w:r w:rsidR="00EA3425">
          <w:rPr>
            <w:noProof/>
            <w:webHidden/>
          </w:rPr>
          <w:fldChar w:fldCharType="separate"/>
        </w:r>
        <w:r w:rsidR="00EA3425">
          <w:rPr>
            <w:noProof/>
            <w:webHidden/>
          </w:rPr>
          <w:t>19</w:t>
        </w:r>
        <w:r w:rsidR="00EA3425">
          <w:rPr>
            <w:noProof/>
            <w:webHidden/>
          </w:rPr>
          <w:fldChar w:fldCharType="end"/>
        </w:r>
      </w:hyperlink>
    </w:p>
    <w:p w14:paraId="16D74B63" w14:textId="69160832" w:rsidR="00EA3425" w:rsidRDefault="00984C6C">
      <w:pPr>
        <w:pStyle w:val="TOC2"/>
        <w:rPr>
          <w:rFonts w:eastAsiaTheme="minorEastAsia" w:cstheme="minorBidi"/>
          <w:noProof/>
          <w:kern w:val="2"/>
          <w14:ligatures w14:val="standardContextual"/>
        </w:rPr>
      </w:pPr>
      <w:hyperlink w:anchor="_Toc155265241" w:history="1">
        <w:r w:rsidR="00EA3425" w:rsidRPr="00C46111">
          <w:rPr>
            <w:rStyle w:val="Hyperlink"/>
            <w:noProof/>
          </w:rPr>
          <w:t>Appendix B: Resource Links</w:t>
        </w:r>
        <w:r w:rsidR="00EA3425">
          <w:rPr>
            <w:noProof/>
            <w:webHidden/>
          </w:rPr>
          <w:tab/>
        </w:r>
        <w:r w:rsidR="00EA3425">
          <w:rPr>
            <w:noProof/>
            <w:webHidden/>
          </w:rPr>
          <w:fldChar w:fldCharType="begin"/>
        </w:r>
        <w:r w:rsidR="00EA3425">
          <w:rPr>
            <w:noProof/>
            <w:webHidden/>
          </w:rPr>
          <w:instrText xml:space="preserve"> PAGEREF _Toc155265241 \h </w:instrText>
        </w:r>
        <w:r w:rsidR="00EA3425">
          <w:rPr>
            <w:noProof/>
            <w:webHidden/>
          </w:rPr>
        </w:r>
        <w:r w:rsidR="00EA3425">
          <w:rPr>
            <w:noProof/>
            <w:webHidden/>
          </w:rPr>
          <w:fldChar w:fldCharType="separate"/>
        </w:r>
        <w:r w:rsidR="00EA3425">
          <w:rPr>
            <w:noProof/>
            <w:webHidden/>
          </w:rPr>
          <w:t>23</w:t>
        </w:r>
        <w:r w:rsidR="00EA3425">
          <w:rPr>
            <w:noProof/>
            <w:webHidden/>
          </w:rPr>
          <w:fldChar w:fldCharType="end"/>
        </w:r>
      </w:hyperlink>
    </w:p>
    <w:p w14:paraId="5C73DC25" w14:textId="1703814C" w:rsidR="00EA3425" w:rsidRDefault="00984C6C">
      <w:pPr>
        <w:pStyle w:val="TOC2"/>
        <w:rPr>
          <w:rFonts w:eastAsiaTheme="minorEastAsia" w:cstheme="minorBidi"/>
          <w:noProof/>
          <w:kern w:val="2"/>
          <w14:ligatures w14:val="standardContextual"/>
        </w:rPr>
      </w:pPr>
      <w:hyperlink w:anchor="_Toc155265242" w:history="1">
        <w:r w:rsidR="00EA3425" w:rsidRPr="00C46111">
          <w:rPr>
            <w:rStyle w:val="Hyperlink"/>
            <w:noProof/>
          </w:rPr>
          <w:t>Appendix C: CTE Work-Based Learning (secondary)</w:t>
        </w:r>
        <w:r w:rsidR="00EA3425">
          <w:rPr>
            <w:noProof/>
            <w:webHidden/>
          </w:rPr>
          <w:tab/>
        </w:r>
        <w:r w:rsidR="00EA3425">
          <w:rPr>
            <w:noProof/>
            <w:webHidden/>
          </w:rPr>
          <w:fldChar w:fldCharType="begin"/>
        </w:r>
        <w:r w:rsidR="00EA3425">
          <w:rPr>
            <w:noProof/>
            <w:webHidden/>
          </w:rPr>
          <w:instrText xml:space="preserve"> PAGEREF _Toc155265242 \h </w:instrText>
        </w:r>
        <w:r w:rsidR="00EA3425">
          <w:rPr>
            <w:noProof/>
            <w:webHidden/>
          </w:rPr>
        </w:r>
        <w:r w:rsidR="00EA3425">
          <w:rPr>
            <w:noProof/>
            <w:webHidden/>
          </w:rPr>
          <w:fldChar w:fldCharType="separate"/>
        </w:r>
        <w:r w:rsidR="00EA3425">
          <w:rPr>
            <w:noProof/>
            <w:webHidden/>
          </w:rPr>
          <w:t>24</w:t>
        </w:r>
        <w:r w:rsidR="00EA3425">
          <w:rPr>
            <w:noProof/>
            <w:webHidden/>
          </w:rPr>
          <w:fldChar w:fldCharType="end"/>
        </w:r>
      </w:hyperlink>
    </w:p>
    <w:p w14:paraId="63D166B5" w14:textId="5FD3944C" w:rsidR="00EA3425" w:rsidRDefault="00984C6C">
      <w:pPr>
        <w:pStyle w:val="TOC2"/>
        <w:rPr>
          <w:rFonts w:eastAsiaTheme="minorEastAsia" w:cstheme="minorBidi"/>
          <w:noProof/>
          <w:kern w:val="2"/>
          <w14:ligatures w14:val="standardContextual"/>
        </w:rPr>
      </w:pPr>
      <w:hyperlink w:anchor="_Toc155265243" w:history="1">
        <w:r w:rsidR="00EA3425" w:rsidRPr="00C46111">
          <w:rPr>
            <w:rStyle w:val="Hyperlink"/>
            <w:noProof/>
          </w:rPr>
          <w:t>Appendix D: Data Handling</w:t>
        </w:r>
        <w:r w:rsidR="00EA3425">
          <w:rPr>
            <w:noProof/>
            <w:webHidden/>
          </w:rPr>
          <w:tab/>
        </w:r>
        <w:r w:rsidR="00EA3425">
          <w:rPr>
            <w:noProof/>
            <w:webHidden/>
          </w:rPr>
          <w:fldChar w:fldCharType="begin"/>
        </w:r>
        <w:r w:rsidR="00EA3425">
          <w:rPr>
            <w:noProof/>
            <w:webHidden/>
          </w:rPr>
          <w:instrText xml:space="preserve"> PAGEREF _Toc155265243 \h </w:instrText>
        </w:r>
        <w:r w:rsidR="00EA3425">
          <w:rPr>
            <w:noProof/>
            <w:webHidden/>
          </w:rPr>
        </w:r>
        <w:r w:rsidR="00EA3425">
          <w:rPr>
            <w:noProof/>
            <w:webHidden/>
          </w:rPr>
          <w:fldChar w:fldCharType="separate"/>
        </w:r>
        <w:r w:rsidR="00EA3425">
          <w:rPr>
            <w:noProof/>
            <w:webHidden/>
          </w:rPr>
          <w:t>25</w:t>
        </w:r>
        <w:r w:rsidR="00EA3425">
          <w:rPr>
            <w:noProof/>
            <w:webHidden/>
          </w:rPr>
          <w:fldChar w:fldCharType="end"/>
        </w:r>
      </w:hyperlink>
    </w:p>
    <w:p w14:paraId="735E23D7" w14:textId="19B4D83F" w:rsidR="00EA3425" w:rsidRDefault="00984C6C">
      <w:pPr>
        <w:pStyle w:val="TOC2"/>
        <w:rPr>
          <w:rFonts w:eastAsiaTheme="minorEastAsia" w:cstheme="minorBidi"/>
          <w:noProof/>
          <w:kern w:val="2"/>
          <w14:ligatures w14:val="standardContextual"/>
        </w:rPr>
      </w:pPr>
      <w:hyperlink w:anchor="_Toc155265244" w:history="1">
        <w:r w:rsidR="00EA3425" w:rsidRPr="00C46111">
          <w:rPr>
            <w:rStyle w:val="Hyperlink"/>
            <w:noProof/>
          </w:rPr>
          <w:t>Appendix E: Report Year</w:t>
        </w:r>
        <w:r w:rsidR="00EA3425">
          <w:rPr>
            <w:noProof/>
            <w:webHidden/>
          </w:rPr>
          <w:tab/>
        </w:r>
        <w:r w:rsidR="00EA3425">
          <w:rPr>
            <w:noProof/>
            <w:webHidden/>
          </w:rPr>
          <w:fldChar w:fldCharType="begin"/>
        </w:r>
        <w:r w:rsidR="00EA3425">
          <w:rPr>
            <w:noProof/>
            <w:webHidden/>
          </w:rPr>
          <w:instrText xml:space="preserve"> PAGEREF _Toc155265244 \h </w:instrText>
        </w:r>
        <w:r w:rsidR="00EA3425">
          <w:rPr>
            <w:noProof/>
            <w:webHidden/>
          </w:rPr>
        </w:r>
        <w:r w:rsidR="00EA3425">
          <w:rPr>
            <w:noProof/>
            <w:webHidden/>
          </w:rPr>
          <w:fldChar w:fldCharType="separate"/>
        </w:r>
        <w:r w:rsidR="00EA3425">
          <w:rPr>
            <w:noProof/>
            <w:webHidden/>
          </w:rPr>
          <w:t>27</w:t>
        </w:r>
        <w:r w:rsidR="00EA3425">
          <w:rPr>
            <w:noProof/>
            <w:webHidden/>
          </w:rPr>
          <w:fldChar w:fldCharType="end"/>
        </w:r>
      </w:hyperlink>
    </w:p>
    <w:p w14:paraId="7D91D322" w14:textId="7B7C350D" w:rsidR="00EA3425" w:rsidRDefault="00984C6C">
      <w:pPr>
        <w:pStyle w:val="TOC2"/>
        <w:rPr>
          <w:rFonts w:eastAsiaTheme="minorEastAsia" w:cstheme="minorBidi"/>
          <w:noProof/>
          <w:kern w:val="2"/>
          <w14:ligatures w14:val="standardContextual"/>
        </w:rPr>
      </w:pPr>
      <w:hyperlink w:anchor="_Toc155265245" w:history="1">
        <w:r w:rsidR="00EA3425" w:rsidRPr="00C46111">
          <w:rPr>
            <w:rStyle w:val="Hyperlink"/>
            <w:noProof/>
          </w:rPr>
          <w:t>Appendix F: Focal Student Groups</w:t>
        </w:r>
        <w:r w:rsidR="00EA3425">
          <w:rPr>
            <w:noProof/>
            <w:webHidden/>
          </w:rPr>
          <w:tab/>
        </w:r>
        <w:r w:rsidR="00EA3425">
          <w:rPr>
            <w:noProof/>
            <w:webHidden/>
          </w:rPr>
          <w:fldChar w:fldCharType="begin"/>
        </w:r>
        <w:r w:rsidR="00EA3425">
          <w:rPr>
            <w:noProof/>
            <w:webHidden/>
          </w:rPr>
          <w:instrText xml:space="preserve"> PAGEREF _Toc155265245 \h </w:instrText>
        </w:r>
        <w:r w:rsidR="00EA3425">
          <w:rPr>
            <w:noProof/>
            <w:webHidden/>
          </w:rPr>
        </w:r>
        <w:r w:rsidR="00EA3425">
          <w:rPr>
            <w:noProof/>
            <w:webHidden/>
          </w:rPr>
          <w:fldChar w:fldCharType="separate"/>
        </w:r>
        <w:r w:rsidR="00EA3425">
          <w:rPr>
            <w:noProof/>
            <w:webHidden/>
          </w:rPr>
          <w:t>30</w:t>
        </w:r>
        <w:r w:rsidR="00EA3425">
          <w:rPr>
            <w:noProof/>
            <w:webHidden/>
          </w:rPr>
          <w:fldChar w:fldCharType="end"/>
        </w:r>
      </w:hyperlink>
    </w:p>
    <w:p w14:paraId="5E5DAC12" w14:textId="25E8486D" w:rsidR="00EA3425" w:rsidRDefault="00984C6C">
      <w:pPr>
        <w:pStyle w:val="TOC2"/>
        <w:rPr>
          <w:rFonts w:eastAsiaTheme="minorEastAsia" w:cstheme="minorBidi"/>
          <w:noProof/>
          <w:kern w:val="2"/>
          <w14:ligatures w14:val="standardContextual"/>
        </w:rPr>
      </w:pPr>
      <w:hyperlink w:anchor="_Toc155265246" w:history="1">
        <w:r w:rsidR="00EA3425" w:rsidRPr="00C46111">
          <w:rPr>
            <w:rStyle w:val="Hyperlink"/>
            <w:noProof/>
          </w:rPr>
          <w:t>Appendix G: Post-Program &amp; Postsecondary Placement Data</w:t>
        </w:r>
        <w:r w:rsidR="00EA3425">
          <w:rPr>
            <w:noProof/>
            <w:webHidden/>
          </w:rPr>
          <w:tab/>
        </w:r>
        <w:r w:rsidR="00EA3425">
          <w:rPr>
            <w:noProof/>
            <w:webHidden/>
          </w:rPr>
          <w:fldChar w:fldCharType="begin"/>
        </w:r>
        <w:r w:rsidR="00EA3425">
          <w:rPr>
            <w:noProof/>
            <w:webHidden/>
          </w:rPr>
          <w:instrText xml:space="preserve"> PAGEREF _Toc155265246 \h </w:instrText>
        </w:r>
        <w:r w:rsidR="00EA3425">
          <w:rPr>
            <w:noProof/>
            <w:webHidden/>
          </w:rPr>
        </w:r>
        <w:r w:rsidR="00EA3425">
          <w:rPr>
            <w:noProof/>
            <w:webHidden/>
          </w:rPr>
          <w:fldChar w:fldCharType="separate"/>
        </w:r>
        <w:r w:rsidR="00EA3425">
          <w:rPr>
            <w:noProof/>
            <w:webHidden/>
          </w:rPr>
          <w:t>35</w:t>
        </w:r>
        <w:r w:rsidR="00EA3425">
          <w:rPr>
            <w:noProof/>
            <w:webHidden/>
          </w:rPr>
          <w:fldChar w:fldCharType="end"/>
        </w:r>
      </w:hyperlink>
    </w:p>
    <w:p w14:paraId="04D062CB" w14:textId="4A9F1DF5" w:rsidR="00626867" w:rsidRDefault="00156318" w:rsidP="00626867">
      <w:pPr>
        <w:sectPr w:rsidR="00626867" w:rsidSect="00401C80">
          <w:headerReference w:type="default" r:id="rId18"/>
          <w:footerReference w:type="default" r:id="rId19"/>
          <w:pgSz w:w="12240" w:h="15840"/>
          <w:pgMar w:top="1080" w:right="1080" w:bottom="1080" w:left="1080" w:header="720" w:footer="720" w:gutter="0"/>
          <w:cols w:space="720"/>
          <w:docGrid w:linePitch="360"/>
        </w:sectPr>
      </w:pPr>
      <w:r>
        <w:fldChar w:fldCharType="end"/>
      </w:r>
    </w:p>
    <w:p w14:paraId="337553C4" w14:textId="472DF8B9" w:rsidR="00686D26" w:rsidRDefault="007542E2" w:rsidP="00E068AB">
      <w:pPr>
        <w:pStyle w:val="Heading1"/>
      </w:pPr>
      <w:bookmarkStart w:id="7" w:name="_Toc155258775"/>
      <w:bookmarkStart w:id="8" w:name="_Toc155265226"/>
      <w:r>
        <w:lastRenderedPageBreak/>
        <w:t>Perkins CTE Definitions</w:t>
      </w:r>
      <w:bookmarkEnd w:id="7"/>
      <w:bookmarkEnd w:id="8"/>
    </w:p>
    <w:p w14:paraId="053DBC72" w14:textId="223EFF38" w:rsidR="007542E2" w:rsidRDefault="007542E2" w:rsidP="007542E2">
      <w:pPr>
        <w:pStyle w:val="Heading2"/>
      </w:pPr>
      <w:bookmarkStart w:id="9" w:name="_Toc155258776"/>
      <w:bookmarkStart w:id="10" w:name="_Toc155265227"/>
      <w:r>
        <w:t>CTE Enrollment Status</w:t>
      </w:r>
      <w:bookmarkEnd w:id="9"/>
      <w:bookmarkEnd w:id="10"/>
      <w:r>
        <w:t xml:space="preserve"> </w:t>
      </w:r>
    </w:p>
    <w:p w14:paraId="01595DEC" w14:textId="77777777" w:rsidR="007542E2" w:rsidRDefault="007542E2" w:rsidP="007542E2">
      <w:r>
        <w:t>Each student-program</w:t>
      </w:r>
      <w:r w:rsidRPr="006C7A4A">
        <w:t xml:space="preserve"> enrollment status evolves over the course of </w:t>
      </w:r>
      <w:r>
        <w:t>the student’s</w:t>
      </w:r>
      <w:r w:rsidRPr="006C7A4A">
        <w:t xml:space="preserve"> education. </w:t>
      </w:r>
      <w:r w:rsidRPr="000C6D4C">
        <w:rPr>
          <w:b/>
          <w:u w:val="single"/>
        </w:rPr>
        <w:t>Schools report on student CTE activity each school year regardless of the student’s CTE Enrollment Status at that time.</w:t>
      </w:r>
      <w:r>
        <w:t xml:space="preserve"> ODE and HECC perform the tracking and calculation of student enrollments status as relevant per Performance Indicator.</w:t>
      </w:r>
    </w:p>
    <w:p w14:paraId="5C74E872" w14:textId="77777777" w:rsidR="007542E2" w:rsidRDefault="007542E2" w:rsidP="007542E2">
      <w:r>
        <w:t xml:space="preserve">CTE Enrollment Status is one of the main components of eligibility for student inclusion in each performance indicator calculation. Each metric has additional requirements, but all metrics are limited to evaluating performance among CTE Concentrators. </w:t>
      </w:r>
      <w:r w:rsidRPr="006C7A4A">
        <w:t xml:space="preserve">Students in multiple POS </w:t>
      </w:r>
      <w:r>
        <w:t>(Program of Study) have</w:t>
      </w:r>
      <w:r w:rsidRPr="006C7A4A">
        <w:t xml:space="preserve"> </w:t>
      </w:r>
      <w:r>
        <w:t>an</w:t>
      </w:r>
      <w:r w:rsidRPr="006C7A4A">
        <w:t xml:space="preserve"> </w:t>
      </w:r>
      <w:r w:rsidRPr="006C7A4A">
        <w:rPr>
          <w:b/>
        </w:rPr>
        <w:t>enrollment status relative to each POS</w:t>
      </w:r>
      <w:r w:rsidRPr="006C7A4A">
        <w:t xml:space="preserve"> </w:t>
      </w:r>
      <w:r>
        <w:t>they have engaged in</w:t>
      </w:r>
      <w:r w:rsidRPr="006C7A4A">
        <w:t>.</w:t>
      </w:r>
      <w:r>
        <w:t xml:space="preserve"> </w:t>
      </w:r>
      <w:r w:rsidRPr="000001EB">
        <w:rPr>
          <w:u w:val="single"/>
        </w:rPr>
        <w:t>CTE Participant and CTE Concentrator are defined separately in Secondary CTE and Postsecondary CTE</w:t>
      </w:r>
      <w:r>
        <w:t>.</w:t>
      </w:r>
    </w:p>
    <w:p w14:paraId="0C0642B9" w14:textId="51E92601" w:rsidR="007542E2" w:rsidRDefault="007542E2" w:rsidP="00EC177E">
      <w:pPr>
        <w:shd w:val="clear" w:color="auto" w:fill="DAEEF3" w:themeFill="accent5" w:themeFillTint="33"/>
        <w:rPr>
          <w:b/>
        </w:rPr>
      </w:pPr>
      <w:r w:rsidRPr="009F394E">
        <w:rPr>
          <w:b/>
        </w:rPr>
        <w:t>CTE Enrollee</w:t>
      </w:r>
      <w:r w:rsidR="00EC177E">
        <w:rPr>
          <w:b/>
        </w:rPr>
        <w:t xml:space="preserve"> (Secondary)</w:t>
      </w:r>
      <w:r>
        <w:t xml:space="preserve"> – This term describes any student who has enrolled in any CTE program course. It includes students with fewer than 0.5 </w:t>
      </w:r>
      <w:r w:rsidRPr="00AE3209">
        <w:t xml:space="preserve">credits </w:t>
      </w:r>
      <w:r>
        <w:t>in a single Secondary CTE POS, CTE Participants</w:t>
      </w:r>
      <w:r w:rsidR="00EC177E">
        <w:t xml:space="preserve">, </w:t>
      </w:r>
      <w:r>
        <w:t>and CTE Concentrators.</w:t>
      </w:r>
    </w:p>
    <w:p w14:paraId="673A61F6" w14:textId="77777777" w:rsidR="007542E2" w:rsidRPr="00CC0340" w:rsidRDefault="007542E2" w:rsidP="00EC177E">
      <w:pPr>
        <w:shd w:val="clear" w:color="auto" w:fill="DAEEF3" w:themeFill="accent5" w:themeFillTint="33"/>
      </w:pPr>
      <w:r w:rsidRPr="00D70F4B">
        <w:rPr>
          <w:b/>
        </w:rPr>
        <w:t>CTE Participant</w:t>
      </w:r>
      <w:r>
        <w:rPr>
          <w:b/>
        </w:rPr>
        <w:t xml:space="preserve"> (Secondary)</w:t>
      </w:r>
      <w:r w:rsidRPr="002D5FE7">
        <w:t xml:space="preserve"> </w:t>
      </w:r>
      <w:r>
        <w:t xml:space="preserve">– This term describes any student </w:t>
      </w:r>
      <w:r w:rsidRPr="00CC0340">
        <w:t xml:space="preserve">with at least 0.5 credits (earned </w:t>
      </w:r>
      <w:r>
        <w:t>with a passing earned-grade in enrolled-grade 9 or</w:t>
      </w:r>
      <w:r w:rsidRPr="00CC0340">
        <w:t xml:space="preserve"> higher) in a single CTE POS</w:t>
      </w:r>
      <w:r>
        <w:t xml:space="preserve">. </w:t>
      </w:r>
    </w:p>
    <w:p w14:paraId="45CD0165" w14:textId="77777777" w:rsidR="007542E2" w:rsidRDefault="007542E2" w:rsidP="00EC177E">
      <w:pPr>
        <w:shd w:val="clear" w:color="auto" w:fill="DAEEF3" w:themeFill="accent5" w:themeFillTint="33"/>
      </w:pPr>
      <w:r w:rsidRPr="00D70F4B">
        <w:rPr>
          <w:b/>
        </w:rPr>
        <w:t>CTE Concentrator</w:t>
      </w:r>
      <w:r>
        <w:rPr>
          <w:b/>
        </w:rPr>
        <w:t xml:space="preserve"> (Secondary) </w:t>
      </w:r>
      <w:r>
        <w:t xml:space="preserve">– This term describes any student </w:t>
      </w:r>
      <w:r w:rsidRPr="00CC0340">
        <w:t xml:space="preserve">with at least 2.0 credits (earned </w:t>
      </w:r>
      <w:r>
        <w:t>with a passing earned-grade in enrolled-grade 9 or</w:t>
      </w:r>
      <w:r w:rsidRPr="00CC0340">
        <w:t xml:space="preserve"> higher) in a single CTE POS and at least 1.0 of those credits in intermediate or advanced coursework.</w:t>
      </w:r>
      <w:r>
        <w:t xml:space="preserve"> </w:t>
      </w:r>
    </w:p>
    <w:p w14:paraId="64BB502A" w14:textId="77777777" w:rsidR="007542E2" w:rsidRPr="00CC0340" w:rsidRDefault="007542E2" w:rsidP="00EC177E">
      <w:pPr>
        <w:shd w:val="clear" w:color="auto" w:fill="EAF1DD" w:themeFill="accent3" w:themeFillTint="33"/>
      </w:pPr>
      <w:r w:rsidRPr="00D70F4B">
        <w:rPr>
          <w:b/>
        </w:rPr>
        <w:t>CTE Participant</w:t>
      </w:r>
      <w:r>
        <w:rPr>
          <w:b/>
        </w:rPr>
        <w:t xml:space="preserve"> (Postsecondary)</w:t>
      </w:r>
      <w:r w:rsidRPr="00CC0340">
        <w:t xml:space="preserve">: a student with </w:t>
      </w:r>
      <w:r w:rsidRPr="00A32845">
        <w:rPr>
          <w:b/>
        </w:rPr>
        <w:t>a)</w:t>
      </w:r>
      <w:r>
        <w:t xml:space="preserve"> fewer than 12.0 credits completed </w:t>
      </w:r>
      <w:r w:rsidRPr="00A50C99">
        <w:rPr>
          <w:u w:val="single"/>
        </w:rPr>
        <w:t>and/or</w:t>
      </w:r>
      <w:r>
        <w:t xml:space="preserve"> fewer than 9.0 program credit that are CTE specific in a program offering at least 12.0 credits, </w:t>
      </w:r>
      <w:r w:rsidRPr="00A32845">
        <w:rPr>
          <w:b/>
        </w:rPr>
        <w:t>or b)</w:t>
      </w:r>
      <w:r>
        <w:t xml:space="preserve"> who has not completed a CTE program that offers fewer than 12.0 credits. </w:t>
      </w:r>
    </w:p>
    <w:p w14:paraId="3BE745B8" w14:textId="3A9D11EA" w:rsidR="007542E2" w:rsidRDefault="007542E2" w:rsidP="00EC177E">
      <w:pPr>
        <w:shd w:val="clear" w:color="auto" w:fill="EAF1DD" w:themeFill="accent3" w:themeFillTint="33"/>
      </w:pPr>
      <w:r w:rsidRPr="00D70F4B">
        <w:rPr>
          <w:b/>
        </w:rPr>
        <w:t>CTE Concentrator</w:t>
      </w:r>
      <w:r>
        <w:rPr>
          <w:b/>
        </w:rPr>
        <w:t xml:space="preserve"> (Postsecondary)</w:t>
      </w:r>
      <w:r>
        <w:t xml:space="preserve">: a </w:t>
      </w:r>
      <w:r w:rsidRPr="0036730C">
        <w:t xml:space="preserve">student who has </w:t>
      </w:r>
      <w:r w:rsidRPr="0036730C">
        <w:rPr>
          <w:b/>
        </w:rPr>
        <w:t>a)</w:t>
      </w:r>
      <w:r>
        <w:t xml:space="preserve"> </w:t>
      </w:r>
      <w:r w:rsidRPr="0036730C">
        <w:t>earned at least 12.0 credits, of which 9.0 program credits are CTE specific, within a CTE Program or Progr</w:t>
      </w:r>
      <w:r>
        <w:t>am of Study</w:t>
      </w:r>
      <w:r w:rsidRPr="0036730C">
        <w:t xml:space="preserve"> </w:t>
      </w:r>
      <w:r w:rsidRPr="0036730C">
        <w:rPr>
          <w:b/>
        </w:rPr>
        <w:t>or b)</w:t>
      </w:r>
      <w:r>
        <w:t xml:space="preserve"> </w:t>
      </w:r>
      <w:r w:rsidRPr="0036730C">
        <w:t xml:space="preserve">completed the </w:t>
      </w:r>
      <w:r>
        <w:t xml:space="preserve">CTE </w:t>
      </w:r>
      <w:r w:rsidRPr="0036730C">
        <w:t>program if it is fewer than 12.0 credits.</w:t>
      </w:r>
    </w:p>
    <w:p w14:paraId="21F05FA4" w14:textId="77777777" w:rsidR="009A652E" w:rsidRDefault="009A652E">
      <w:pPr>
        <w:spacing w:before="0" w:line="240" w:lineRule="auto"/>
        <w:rPr>
          <w:rFonts w:asciiTheme="majorHAnsi" w:eastAsiaTheme="majorEastAsia" w:hAnsiTheme="majorHAnsi" w:cstheme="majorBidi"/>
          <w:color w:val="1F497D" w:themeColor="text2"/>
          <w:sz w:val="26"/>
          <w:szCs w:val="26"/>
        </w:rPr>
      </w:pPr>
      <w:r>
        <w:br w:type="page"/>
      </w:r>
    </w:p>
    <w:p w14:paraId="03C6CB39" w14:textId="4B0535DE" w:rsidR="007542E2" w:rsidRDefault="007542E2" w:rsidP="007542E2">
      <w:pPr>
        <w:pStyle w:val="Heading2"/>
      </w:pPr>
      <w:bookmarkStart w:id="11" w:name="_Toc155258777"/>
      <w:bookmarkStart w:id="12" w:name="_Toc155265228"/>
      <w:r>
        <w:lastRenderedPageBreak/>
        <w:t>Performance Indicators</w:t>
      </w:r>
      <w:bookmarkEnd w:id="11"/>
      <w:bookmarkEnd w:id="12"/>
    </w:p>
    <w:p w14:paraId="2BC7F671" w14:textId="56066F0A" w:rsidR="007542E2" w:rsidRDefault="007542E2" w:rsidP="009A652E">
      <w:pPr>
        <w:spacing w:before="0"/>
      </w:pPr>
      <w:r>
        <w:t xml:space="preserve">There are eight (8) secondary and three (3) postsecondary performance measures. </w:t>
      </w:r>
      <w:r w:rsidR="009A652E">
        <w:t xml:space="preserve">In a single report year, each performance indicator relates to its own subset of CTE students. Multiple student cohorts are included in each Perkins </w:t>
      </w:r>
      <w:r w:rsidR="00EC177E">
        <w:t xml:space="preserve">V </w:t>
      </w:r>
      <w:r w:rsidR="009A652E">
        <w:t xml:space="preserve">data report. Only CTE students meeting the specifications for the given performance indicator are considered in that performance calculation. </w:t>
      </w:r>
    </w:p>
    <w:p w14:paraId="679A352D" w14:textId="77777777" w:rsidR="007542E2" w:rsidRPr="00CD0D9C" w:rsidRDefault="007542E2" w:rsidP="007542E2">
      <w:pPr>
        <w:spacing w:after="0"/>
        <w:rPr>
          <w:u w:val="single"/>
        </w:rPr>
      </w:pPr>
      <w:bookmarkStart w:id="13" w:name="_Hlk152221902"/>
      <w:r w:rsidRPr="00CD0D9C">
        <w:rPr>
          <w:u w:val="single"/>
        </w:rPr>
        <w:t xml:space="preserve">Performance Indicator 3-Part Naming Convention </w:t>
      </w:r>
    </w:p>
    <w:bookmarkEnd w:id="13"/>
    <w:p w14:paraId="21F6E9F9" w14:textId="77777777" w:rsidR="007542E2" w:rsidRDefault="007542E2" w:rsidP="007542E2">
      <w:pPr>
        <w:spacing w:before="0"/>
      </w:pPr>
      <w:r w:rsidRPr="00B93A8F">
        <w:rPr>
          <w:b/>
        </w:rPr>
        <w:t>Part 1: Metric Series Number:</w:t>
      </w:r>
      <w:r>
        <w:t xml:space="preserve"> Metrics are grouped into series; some series have only one metric in the group; some series have multiple mandatory metrics; one series (5S) has multiple metrics with only one of the metrics required for Oregon’s Perkins reporting.  </w:t>
      </w:r>
    </w:p>
    <w:p w14:paraId="187ABB25" w14:textId="77777777" w:rsidR="007542E2" w:rsidRDefault="007542E2" w:rsidP="007542E2">
      <w:r w:rsidRPr="00B93A8F">
        <w:rPr>
          <w:b/>
        </w:rPr>
        <w:t>Part 2: Metric Education Level Code:</w:t>
      </w:r>
      <w:r>
        <w:t xml:space="preserve"> S is used for secondary metrics; P is used for postsecondary metrics. </w:t>
      </w:r>
    </w:p>
    <w:p w14:paraId="376A2B12" w14:textId="77777777" w:rsidR="007542E2" w:rsidRDefault="007542E2" w:rsidP="007542E2">
      <w:r w:rsidRPr="008D5D11">
        <w:rPr>
          <w:b/>
        </w:rPr>
        <w:t>Part 3: Metric In-Series Sequence Number:</w:t>
      </w:r>
      <w:r>
        <w:t xml:space="preserve"> Some metric series contain more than one indicator; this number specifies which in-series metric is referenced. All metrics have this third naming component; for series with only one metric in the sequence, the metric uses 1 for this number. </w:t>
      </w:r>
    </w:p>
    <w:p w14:paraId="7F0326F4" w14:textId="77777777" w:rsidR="007542E2" w:rsidRPr="00CD0D9C" w:rsidRDefault="007542E2" w:rsidP="007542E2">
      <w:pPr>
        <w:spacing w:after="0"/>
        <w:rPr>
          <w:u w:val="single"/>
        </w:rPr>
      </w:pPr>
      <w:r w:rsidRPr="00CD0D9C">
        <w:rPr>
          <w:u w:val="single"/>
        </w:rPr>
        <w:t>Performance Indicator Series</w:t>
      </w:r>
    </w:p>
    <w:p w14:paraId="36FA618B" w14:textId="77777777" w:rsidR="007542E2" w:rsidRDefault="007542E2" w:rsidP="007542E2">
      <w:pPr>
        <w:spacing w:before="0" w:after="0"/>
      </w:pPr>
      <w:r w:rsidRPr="00184B4B">
        <w:rPr>
          <w:b/>
        </w:rPr>
        <w:t>1P Series</w:t>
      </w:r>
      <w:r>
        <w:t>: Postsecondary Retention and Placement of Postsecondary Students</w:t>
      </w:r>
    </w:p>
    <w:p w14:paraId="3E7CD18F" w14:textId="77777777" w:rsidR="007542E2" w:rsidRDefault="007542E2" w:rsidP="007542E2">
      <w:pPr>
        <w:spacing w:before="0" w:after="0"/>
      </w:pPr>
      <w:r w:rsidRPr="00184B4B">
        <w:rPr>
          <w:b/>
        </w:rPr>
        <w:t>2P Series</w:t>
      </w:r>
      <w:r>
        <w:t>: Postsecondary Industry Recognized Credentialing of Postsecondary Students</w:t>
      </w:r>
    </w:p>
    <w:p w14:paraId="55804067" w14:textId="77777777" w:rsidR="007542E2" w:rsidRDefault="007542E2" w:rsidP="007542E2">
      <w:pPr>
        <w:spacing w:before="0" w:after="0"/>
      </w:pPr>
      <w:r w:rsidRPr="00184B4B">
        <w:rPr>
          <w:b/>
        </w:rPr>
        <w:t>3P Series</w:t>
      </w:r>
      <w:r>
        <w:t xml:space="preserve">: Nontraditional (by gender) Program Enrollment of Postsecondary Students </w:t>
      </w:r>
    </w:p>
    <w:p w14:paraId="34338703" w14:textId="77777777" w:rsidR="007542E2" w:rsidRDefault="007542E2" w:rsidP="007542E2">
      <w:pPr>
        <w:spacing w:before="0" w:after="0"/>
      </w:pPr>
      <w:r w:rsidRPr="00184B4B">
        <w:rPr>
          <w:b/>
        </w:rPr>
        <w:t>1S Series</w:t>
      </w:r>
      <w:r>
        <w:t xml:space="preserve">: Secondary Graduation Rates </w:t>
      </w:r>
    </w:p>
    <w:p w14:paraId="37CF3E87" w14:textId="77777777" w:rsidR="007542E2" w:rsidRDefault="007542E2" w:rsidP="007542E2">
      <w:pPr>
        <w:spacing w:before="0" w:after="0"/>
      </w:pPr>
      <w:r w:rsidRPr="00184B4B">
        <w:rPr>
          <w:b/>
        </w:rPr>
        <w:t>2S Series</w:t>
      </w:r>
      <w:r>
        <w:t>: Secondary Academic Proficiency</w:t>
      </w:r>
    </w:p>
    <w:p w14:paraId="249EA2FA" w14:textId="77777777" w:rsidR="007542E2" w:rsidRDefault="007542E2" w:rsidP="007542E2">
      <w:pPr>
        <w:spacing w:before="0" w:after="0"/>
      </w:pPr>
      <w:r w:rsidRPr="00184B4B">
        <w:rPr>
          <w:b/>
        </w:rPr>
        <w:t>3S Series</w:t>
      </w:r>
      <w:r>
        <w:t>: Postsecondary Placement of Secondary Students</w:t>
      </w:r>
    </w:p>
    <w:p w14:paraId="74DF13CE" w14:textId="77777777" w:rsidR="007542E2" w:rsidRDefault="007542E2" w:rsidP="007542E2">
      <w:pPr>
        <w:spacing w:before="0" w:after="0"/>
      </w:pPr>
      <w:r w:rsidRPr="00184B4B">
        <w:rPr>
          <w:b/>
        </w:rPr>
        <w:t>4S Series</w:t>
      </w:r>
      <w:r>
        <w:t>: Nontraditional (by gender) Program Enrollment of Secondary Students</w:t>
      </w:r>
    </w:p>
    <w:p w14:paraId="2D07AE83" w14:textId="77777777" w:rsidR="007542E2" w:rsidRDefault="007542E2" w:rsidP="007542E2">
      <w:pPr>
        <w:spacing w:before="0"/>
      </w:pPr>
      <w:r w:rsidRPr="00184B4B">
        <w:rPr>
          <w:b/>
        </w:rPr>
        <w:t>5S Series</w:t>
      </w:r>
      <w:r>
        <w:t xml:space="preserve">: Secondary Program Quality </w:t>
      </w:r>
    </w:p>
    <w:p w14:paraId="1ABEA7FE" w14:textId="77777777" w:rsidR="007542E2" w:rsidRPr="00CD0D9C" w:rsidRDefault="007542E2" w:rsidP="007542E2">
      <w:pPr>
        <w:spacing w:before="0" w:after="0"/>
        <w:rPr>
          <w:u w:val="single"/>
        </w:rPr>
      </w:pPr>
      <w:r w:rsidRPr="00CD0D9C">
        <w:rPr>
          <w:u w:val="single"/>
        </w:rPr>
        <w:t>Performance Indicator Full List for Oregon CTE</w:t>
      </w:r>
    </w:p>
    <w:p w14:paraId="1F3F6AEE" w14:textId="77777777" w:rsidR="007542E2" w:rsidRDefault="007542E2" w:rsidP="007542E2">
      <w:pPr>
        <w:spacing w:before="0" w:after="0"/>
      </w:pPr>
      <w:r w:rsidRPr="00184B4B">
        <w:rPr>
          <w:b/>
        </w:rPr>
        <w:t>1P</w:t>
      </w:r>
      <w:r>
        <w:rPr>
          <w:b/>
        </w:rPr>
        <w:t>1</w:t>
      </w:r>
      <w:r>
        <w:t>: Postsecondary Retention and Placement of Postsecondary Students</w:t>
      </w:r>
    </w:p>
    <w:p w14:paraId="5EF5F404" w14:textId="77777777" w:rsidR="007542E2" w:rsidRDefault="007542E2" w:rsidP="007542E2">
      <w:pPr>
        <w:spacing w:before="0" w:after="0"/>
      </w:pPr>
      <w:r w:rsidRPr="00184B4B">
        <w:rPr>
          <w:b/>
        </w:rPr>
        <w:t>2P</w:t>
      </w:r>
      <w:r>
        <w:rPr>
          <w:b/>
        </w:rPr>
        <w:t>1</w:t>
      </w:r>
      <w:r>
        <w:t>: Postsecondary Industry Recognized Credentialing of Postsecondary Students</w:t>
      </w:r>
    </w:p>
    <w:p w14:paraId="1C9F2934" w14:textId="77777777" w:rsidR="007542E2" w:rsidRDefault="007542E2" w:rsidP="007542E2">
      <w:pPr>
        <w:spacing w:before="0" w:after="0"/>
      </w:pPr>
      <w:r w:rsidRPr="00184B4B">
        <w:rPr>
          <w:b/>
        </w:rPr>
        <w:t>3P</w:t>
      </w:r>
      <w:r>
        <w:rPr>
          <w:b/>
        </w:rPr>
        <w:t>1</w:t>
      </w:r>
      <w:r>
        <w:t xml:space="preserve">: Nontraditional (by gender) Program Enrollment of Postsecondary Students </w:t>
      </w:r>
    </w:p>
    <w:p w14:paraId="20FC6B03" w14:textId="77777777" w:rsidR="007542E2" w:rsidRDefault="007542E2" w:rsidP="007542E2">
      <w:pPr>
        <w:spacing w:before="0" w:after="0"/>
      </w:pPr>
      <w:r w:rsidRPr="00184B4B">
        <w:rPr>
          <w:b/>
        </w:rPr>
        <w:t>1S</w:t>
      </w:r>
      <w:r>
        <w:rPr>
          <w:b/>
        </w:rPr>
        <w:t>1</w:t>
      </w:r>
      <w:r>
        <w:t xml:space="preserve">: Four-Year Secondary Graduation Rates </w:t>
      </w:r>
    </w:p>
    <w:p w14:paraId="0EA211A2" w14:textId="77777777" w:rsidR="007542E2" w:rsidRDefault="007542E2" w:rsidP="007542E2">
      <w:pPr>
        <w:spacing w:before="0" w:after="0"/>
      </w:pPr>
      <w:r w:rsidRPr="00184B4B">
        <w:rPr>
          <w:b/>
        </w:rPr>
        <w:t>1S</w:t>
      </w:r>
      <w:r>
        <w:rPr>
          <w:b/>
        </w:rPr>
        <w:t>2</w:t>
      </w:r>
      <w:r>
        <w:t xml:space="preserve">: Five-Year Secondary Graduation Rates </w:t>
      </w:r>
    </w:p>
    <w:p w14:paraId="7A8B2886" w14:textId="77777777" w:rsidR="007542E2" w:rsidRDefault="007542E2" w:rsidP="007542E2">
      <w:pPr>
        <w:spacing w:before="0" w:after="0"/>
      </w:pPr>
      <w:r>
        <w:rPr>
          <w:b/>
        </w:rPr>
        <w:t>2S1</w:t>
      </w:r>
      <w:r>
        <w:t>: Secondary Academic Proficiency, Reading/Language Arts</w:t>
      </w:r>
    </w:p>
    <w:p w14:paraId="479E911E" w14:textId="77777777" w:rsidR="007542E2" w:rsidRDefault="007542E2" w:rsidP="007542E2">
      <w:pPr>
        <w:spacing w:before="0" w:after="0"/>
      </w:pPr>
      <w:r>
        <w:rPr>
          <w:b/>
        </w:rPr>
        <w:t>2S2</w:t>
      </w:r>
      <w:r>
        <w:t>: Secondary Academic Proficiency, Mathematics</w:t>
      </w:r>
    </w:p>
    <w:p w14:paraId="2932103B" w14:textId="77777777" w:rsidR="007542E2" w:rsidRDefault="007542E2" w:rsidP="007542E2">
      <w:pPr>
        <w:spacing w:before="0" w:after="0"/>
      </w:pPr>
      <w:r>
        <w:rPr>
          <w:b/>
        </w:rPr>
        <w:t>2S3</w:t>
      </w:r>
      <w:r>
        <w:t>: Secondary Academic Proficiency, Science</w:t>
      </w:r>
    </w:p>
    <w:p w14:paraId="00A5633B" w14:textId="77777777" w:rsidR="007542E2" w:rsidRDefault="007542E2" w:rsidP="007542E2">
      <w:pPr>
        <w:spacing w:before="0" w:after="0"/>
      </w:pPr>
      <w:r w:rsidRPr="00184B4B">
        <w:rPr>
          <w:b/>
        </w:rPr>
        <w:t>3S</w:t>
      </w:r>
      <w:r>
        <w:rPr>
          <w:b/>
        </w:rPr>
        <w:t>1</w:t>
      </w:r>
      <w:r>
        <w:t>: Postsecondary Placement of Secondary Students</w:t>
      </w:r>
    </w:p>
    <w:p w14:paraId="63DC7FF6" w14:textId="77777777" w:rsidR="007542E2" w:rsidRDefault="007542E2" w:rsidP="007542E2">
      <w:pPr>
        <w:spacing w:before="0" w:after="0"/>
      </w:pPr>
      <w:r w:rsidRPr="00184B4B">
        <w:rPr>
          <w:b/>
        </w:rPr>
        <w:t>4S</w:t>
      </w:r>
      <w:r>
        <w:rPr>
          <w:b/>
        </w:rPr>
        <w:t>1</w:t>
      </w:r>
      <w:r>
        <w:t>: Nontraditional (by gender) Program Enrollment of Secondary Students</w:t>
      </w:r>
    </w:p>
    <w:p w14:paraId="1D25DCAF" w14:textId="77777777" w:rsidR="007542E2" w:rsidRDefault="007542E2" w:rsidP="007542E2">
      <w:pPr>
        <w:spacing w:before="0"/>
      </w:pPr>
      <w:r w:rsidRPr="00184B4B">
        <w:rPr>
          <w:b/>
        </w:rPr>
        <w:t>5S</w:t>
      </w:r>
      <w:r>
        <w:rPr>
          <w:b/>
        </w:rPr>
        <w:t>3</w:t>
      </w:r>
      <w:r>
        <w:t xml:space="preserve">: Secondary Program Quality – Participated in Work-Based Learning </w:t>
      </w:r>
    </w:p>
    <w:p w14:paraId="7DDEA2CC" w14:textId="77777777" w:rsidR="009A652E" w:rsidRDefault="009A652E">
      <w:pPr>
        <w:spacing w:before="0" w:line="240" w:lineRule="auto"/>
        <w:rPr>
          <w:rFonts w:asciiTheme="majorHAnsi" w:eastAsiaTheme="majorEastAsia" w:hAnsiTheme="majorHAnsi" w:cstheme="majorBidi"/>
          <w:b/>
          <w:bCs/>
        </w:rPr>
      </w:pPr>
      <w:bookmarkStart w:id="14" w:name="_Toc155104468"/>
      <w:r>
        <w:br w:type="page"/>
      </w:r>
    </w:p>
    <w:p w14:paraId="508FDC1F" w14:textId="1D91CFD3" w:rsidR="007542E2" w:rsidRPr="007542E2" w:rsidRDefault="007542E2" w:rsidP="007542E2">
      <w:pPr>
        <w:pStyle w:val="Heading3"/>
      </w:pPr>
      <w:bookmarkStart w:id="15" w:name="_Toc155258778"/>
      <w:r w:rsidRPr="007542E2">
        <w:lastRenderedPageBreak/>
        <w:t xml:space="preserve">Secondary Performance </w:t>
      </w:r>
      <w:bookmarkEnd w:id="14"/>
      <w:r w:rsidRPr="007542E2">
        <w:t>Indicators</w:t>
      </w:r>
      <w:bookmarkEnd w:id="15"/>
    </w:p>
    <w:p w14:paraId="39FC7418" w14:textId="77777777" w:rsidR="007542E2" w:rsidRPr="00430AB2" w:rsidRDefault="007542E2" w:rsidP="007542E2">
      <w:pPr>
        <w:pStyle w:val="Heading4"/>
      </w:pPr>
      <w:bookmarkStart w:id="16" w:name="_Toc97135148"/>
      <w:bookmarkStart w:id="17" w:name="_Toc98829384"/>
      <w:r w:rsidRPr="00430AB2">
        <w:t>1S1 Four-Year Graduation Rate</w:t>
      </w:r>
      <w:bookmarkEnd w:id="16"/>
      <w:bookmarkEnd w:id="17"/>
      <w:r w:rsidRPr="00430AB2">
        <w:t xml:space="preserve"> </w:t>
      </w:r>
    </w:p>
    <w:p w14:paraId="24FE869A" w14:textId="77777777" w:rsidR="007542E2" w:rsidRPr="00CC0340" w:rsidRDefault="007542E2" w:rsidP="00EC177E">
      <w:pPr>
        <w:spacing w:before="0"/>
        <w:rPr>
          <w:b/>
        </w:rPr>
      </w:pPr>
      <w:r w:rsidRPr="00D769D1">
        <w:rPr>
          <w:b/>
        </w:rPr>
        <w:t xml:space="preserve">1S1 Four-Year Graduation Rate: </w:t>
      </w:r>
      <w:r w:rsidRPr="00392BB4">
        <w:t>Percent of CTE Concentrators in the adjusted 4-year cohort who earned a diploma, GED, or other Oregon-recognized equivalent.</w:t>
      </w:r>
    </w:p>
    <w:p w14:paraId="537E792B" w14:textId="77777777" w:rsidR="007542E2" w:rsidRPr="008125FB" w:rsidRDefault="007542E2" w:rsidP="007542E2">
      <w:r w:rsidRPr="008125FB">
        <w:rPr>
          <w:b/>
        </w:rPr>
        <w:t>Numerator</w:t>
      </w:r>
      <w:r>
        <w:t xml:space="preserve">: </w:t>
      </w:r>
      <w:r w:rsidRPr="008125FB">
        <w:t>the number of CTE Concentrators who graduate high school (regular diploma, modified diploma, or post-graduate scholars), as measured by the four-year adjusted cohort graduation rate.</w:t>
      </w:r>
    </w:p>
    <w:p w14:paraId="35FB3B71" w14:textId="77777777" w:rsidR="007542E2" w:rsidRPr="008125FB" w:rsidRDefault="007542E2" w:rsidP="007542E2">
      <w:r w:rsidRPr="008125FB">
        <w:rPr>
          <w:b/>
        </w:rPr>
        <w:t>Denominator</w:t>
      </w:r>
      <w:r w:rsidRPr="008125FB">
        <w:t>: the number of CTE Concentrators in the state’s adjusted four-year cohort in the reporting year. The adjusted four-year cohort includes students who were first enrolled in high school four years prior to August of the reporting year plus those students who transferred into the cohort within these four years and minus those students who transferred out of the cohort within these four years.</w:t>
      </w:r>
    </w:p>
    <w:p w14:paraId="02242935" w14:textId="77777777" w:rsidR="007542E2" w:rsidRDefault="007542E2" w:rsidP="007542E2">
      <w:pPr>
        <w:pStyle w:val="Heading4"/>
      </w:pPr>
      <w:bookmarkStart w:id="18" w:name="_Toc97135149"/>
      <w:bookmarkStart w:id="19" w:name="_Toc98829385"/>
      <w:r w:rsidRPr="0091488E">
        <w:t>1S2 Extended Graduation Rate</w:t>
      </w:r>
      <w:bookmarkEnd w:id="18"/>
      <w:bookmarkEnd w:id="19"/>
      <w:r w:rsidRPr="0091488E">
        <w:t xml:space="preserve"> </w:t>
      </w:r>
    </w:p>
    <w:p w14:paraId="404D90D9" w14:textId="77777777" w:rsidR="007542E2" w:rsidRPr="00392BB4" w:rsidRDefault="007542E2" w:rsidP="00EC177E">
      <w:pPr>
        <w:spacing w:before="0"/>
      </w:pPr>
      <w:r w:rsidRPr="00D769D1">
        <w:rPr>
          <w:b/>
        </w:rPr>
        <w:t xml:space="preserve">1S2 Extended Graduation Rate: </w:t>
      </w:r>
      <w:r>
        <w:t>P</w:t>
      </w:r>
      <w:r w:rsidRPr="00392BB4">
        <w:t>ercent of CTE Concentrators in the five-year-adjusted cohort who earned a diploma, GED, or other Oregon-recognized equivalent.</w:t>
      </w:r>
    </w:p>
    <w:p w14:paraId="7ABAB052" w14:textId="77777777" w:rsidR="007542E2" w:rsidRPr="00CC0340" w:rsidRDefault="007542E2" w:rsidP="007542E2">
      <w:r w:rsidRPr="00BE2747">
        <w:rPr>
          <w:b/>
        </w:rPr>
        <w:t>Numerator</w:t>
      </w:r>
      <w:r>
        <w:t xml:space="preserve">: </w:t>
      </w:r>
      <w:r w:rsidRPr="00CC0340">
        <w:t xml:space="preserve">the number </w:t>
      </w:r>
      <w:r w:rsidRPr="000F404D">
        <w:t xml:space="preserve">of CTE </w:t>
      </w:r>
      <w:r>
        <w:t>C</w:t>
      </w:r>
      <w:r w:rsidRPr="000F404D">
        <w:t xml:space="preserve">oncentrators who graduate high school (regular diploma, modified diploma, or post-graduate scholars), as measured by the </w:t>
      </w:r>
      <w:r>
        <w:t>five</w:t>
      </w:r>
      <w:r w:rsidRPr="000F404D">
        <w:t>-year adjusted cohort graduation rate.</w:t>
      </w:r>
    </w:p>
    <w:p w14:paraId="31303FE3" w14:textId="1FF9B0EB" w:rsidR="007542E2" w:rsidRPr="00EC177E" w:rsidRDefault="007542E2" w:rsidP="007542E2">
      <w:r w:rsidRPr="00BE2747">
        <w:rPr>
          <w:b/>
        </w:rPr>
        <w:t>Denominator</w:t>
      </w:r>
      <w:r w:rsidRPr="00CC0340">
        <w:t xml:space="preserve">: the number </w:t>
      </w:r>
      <w:r w:rsidRPr="000F404D">
        <w:t xml:space="preserve">of CTE </w:t>
      </w:r>
      <w:r>
        <w:t>C</w:t>
      </w:r>
      <w:r w:rsidRPr="000F404D">
        <w:t xml:space="preserve">oncentrators in the state’s adjusted </w:t>
      </w:r>
      <w:r>
        <w:t>five</w:t>
      </w:r>
      <w:r w:rsidRPr="000F404D">
        <w:t xml:space="preserve">-year cohort in the reporting year. The adjusted </w:t>
      </w:r>
      <w:r>
        <w:t>five</w:t>
      </w:r>
      <w:r w:rsidRPr="000F404D">
        <w:t xml:space="preserve">-year cohort includes students who were first enrolled in high school </w:t>
      </w:r>
      <w:r>
        <w:t>five</w:t>
      </w:r>
      <w:r w:rsidRPr="000F404D">
        <w:t xml:space="preserve"> years prior to August of the reporting year plus those students who transferred into the cohort within these </w:t>
      </w:r>
      <w:r>
        <w:t>five</w:t>
      </w:r>
      <w:r w:rsidRPr="000F404D">
        <w:t xml:space="preserve"> years and minus those students who transferred out of the cohort within these </w:t>
      </w:r>
      <w:r>
        <w:t>five</w:t>
      </w:r>
      <w:r w:rsidRPr="000F404D">
        <w:t xml:space="preserve"> years.</w:t>
      </w:r>
    </w:p>
    <w:p w14:paraId="230FC5BA" w14:textId="77777777" w:rsidR="007542E2" w:rsidRDefault="007542E2" w:rsidP="007542E2">
      <w:pPr>
        <w:pStyle w:val="Heading4"/>
      </w:pPr>
      <w:bookmarkStart w:id="20" w:name="_Toc97135150"/>
      <w:bookmarkStart w:id="21" w:name="_Toc98829386"/>
      <w:r w:rsidRPr="0091488E">
        <w:t>2S1 Reading / Language Arts</w:t>
      </w:r>
      <w:r>
        <w:t xml:space="preserve"> Academic Proficiency</w:t>
      </w:r>
      <w:bookmarkEnd w:id="20"/>
      <w:bookmarkEnd w:id="21"/>
    </w:p>
    <w:p w14:paraId="2F213761" w14:textId="77777777" w:rsidR="007542E2" w:rsidRPr="00CC0340" w:rsidRDefault="007542E2" w:rsidP="00EC177E">
      <w:pPr>
        <w:spacing w:before="0"/>
        <w:rPr>
          <w:b/>
        </w:rPr>
      </w:pPr>
      <w:r w:rsidRPr="00D769D1">
        <w:rPr>
          <w:b/>
        </w:rPr>
        <w:t>2S1 Reading / Language Arts</w:t>
      </w:r>
      <w:r>
        <w:rPr>
          <w:b/>
        </w:rPr>
        <w:t xml:space="preserve"> </w:t>
      </w:r>
      <w:r w:rsidRPr="00D769D1">
        <w:rPr>
          <w:b/>
        </w:rPr>
        <w:t xml:space="preserve">Academic Proficiency: </w:t>
      </w:r>
      <w:r w:rsidRPr="00392BB4">
        <w:t>The percent of CTE Concentrators who demonstrate proficiency in reading/language arts as measured by the statewide assessment.</w:t>
      </w:r>
    </w:p>
    <w:p w14:paraId="285650AB" w14:textId="77777777" w:rsidR="007542E2" w:rsidRPr="00CC0340" w:rsidRDefault="007542E2" w:rsidP="007542E2">
      <w:r w:rsidRPr="00BE2747">
        <w:rPr>
          <w:b/>
        </w:rPr>
        <w:t>Numerator</w:t>
      </w:r>
      <w:r w:rsidRPr="00CC0340">
        <w:t>: </w:t>
      </w:r>
      <w:r>
        <w:t xml:space="preserve">the number </w:t>
      </w:r>
      <w:r w:rsidRPr="000F404D">
        <w:t xml:space="preserve">of CTE </w:t>
      </w:r>
      <w:r>
        <w:t>C</w:t>
      </w:r>
      <w:r w:rsidRPr="000F404D">
        <w:t>oncentrators who have met the proficient or advanced level on Oregon’s reading/language arts assessment administered under Section1111(b)(3) of the Elementary and Secondary Education Act (ESEA) as amended by the No Child Left Behind Act.</w:t>
      </w:r>
    </w:p>
    <w:p w14:paraId="12616E17" w14:textId="77777777" w:rsidR="007542E2" w:rsidRDefault="007542E2" w:rsidP="007542E2">
      <w:r w:rsidRPr="00BE2747">
        <w:rPr>
          <w:b/>
        </w:rPr>
        <w:t>Denominator</w:t>
      </w:r>
      <w:r w:rsidRPr="00CC0340">
        <w:t>:</w:t>
      </w:r>
      <w:r>
        <w:t xml:space="preserve"> number</w:t>
      </w:r>
      <w:r w:rsidRPr="000F404D">
        <w:t xml:space="preserve"> of CTE </w:t>
      </w:r>
      <w:r>
        <w:t>C</w:t>
      </w:r>
      <w:r w:rsidRPr="000F404D">
        <w:t>oncentrators who took the ESEA assessment in reading/language arts</w:t>
      </w:r>
      <w:r>
        <w:t>.</w:t>
      </w:r>
    </w:p>
    <w:p w14:paraId="3EC92426" w14:textId="77777777" w:rsidR="007542E2" w:rsidRDefault="007542E2" w:rsidP="007542E2">
      <w:pPr>
        <w:pStyle w:val="Heading4"/>
      </w:pPr>
      <w:bookmarkStart w:id="22" w:name="_Toc97135151"/>
      <w:bookmarkStart w:id="23" w:name="_Toc98829387"/>
      <w:r w:rsidRPr="0091488E">
        <w:t>2S2 Mathematics</w:t>
      </w:r>
      <w:r>
        <w:t xml:space="preserve"> </w:t>
      </w:r>
      <w:r w:rsidRPr="0091488E">
        <w:t>Academic Proficiency</w:t>
      </w:r>
      <w:bookmarkEnd w:id="22"/>
      <w:bookmarkEnd w:id="23"/>
    </w:p>
    <w:p w14:paraId="457C9DB2" w14:textId="77777777" w:rsidR="007542E2" w:rsidRPr="00CC0340" w:rsidRDefault="007542E2" w:rsidP="00EC177E">
      <w:pPr>
        <w:spacing w:before="0"/>
        <w:rPr>
          <w:b/>
        </w:rPr>
      </w:pPr>
      <w:r w:rsidRPr="00D769D1">
        <w:rPr>
          <w:b/>
        </w:rPr>
        <w:t>2S2 Mathematics</w:t>
      </w:r>
      <w:r>
        <w:rPr>
          <w:b/>
        </w:rPr>
        <w:t xml:space="preserve"> </w:t>
      </w:r>
      <w:r w:rsidRPr="00D769D1">
        <w:rPr>
          <w:b/>
        </w:rPr>
        <w:t xml:space="preserve">Academic Proficiency: </w:t>
      </w:r>
      <w:r w:rsidRPr="00392BB4">
        <w:t>The percent of CTE Concentrators who demonstrate proficiency in mathematics as measured by the statewide assessment.</w:t>
      </w:r>
    </w:p>
    <w:p w14:paraId="58BA91F9" w14:textId="77777777" w:rsidR="007542E2" w:rsidRPr="00CC0340" w:rsidRDefault="007542E2" w:rsidP="007542E2">
      <w:r w:rsidRPr="00BE2747">
        <w:rPr>
          <w:b/>
        </w:rPr>
        <w:t>Numerator</w:t>
      </w:r>
      <w:r w:rsidRPr="00CC0340">
        <w:t>: </w:t>
      </w:r>
      <w:r>
        <w:t xml:space="preserve">the number </w:t>
      </w:r>
      <w:r w:rsidRPr="000F404D">
        <w:t xml:space="preserve">of CTE </w:t>
      </w:r>
      <w:r>
        <w:t>C</w:t>
      </w:r>
      <w:r w:rsidRPr="000F404D">
        <w:t>oncentrators who have met the proficient or advanced level on Oregon’s mathematics assessment administered under Secti</w:t>
      </w:r>
      <w:r>
        <w:t>on 1111(b)(3) of ESEA</w:t>
      </w:r>
      <w:r w:rsidRPr="000F404D">
        <w:t xml:space="preserve"> as amended by the No Child Left Behind Act.</w:t>
      </w:r>
    </w:p>
    <w:p w14:paraId="087EF545" w14:textId="77777777" w:rsidR="007542E2" w:rsidRDefault="007542E2" w:rsidP="007542E2">
      <w:r w:rsidRPr="00BE2747">
        <w:rPr>
          <w:b/>
        </w:rPr>
        <w:t>Denominator</w:t>
      </w:r>
      <w:r w:rsidRPr="00CC0340">
        <w:t>:</w:t>
      </w:r>
      <w:r>
        <w:t xml:space="preserve"> the number</w:t>
      </w:r>
      <w:r w:rsidRPr="000F404D">
        <w:t xml:space="preserve"> of CTE </w:t>
      </w:r>
      <w:r>
        <w:t>C</w:t>
      </w:r>
      <w:r w:rsidRPr="000F404D">
        <w:t xml:space="preserve">oncentrators who took the ESEA assessment in </w:t>
      </w:r>
      <w:r>
        <w:t>mathematics.</w:t>
      </w:r>
    </w:p>
    <w:p w14:paraId="09941C8E" w14:textId="77777777" w:rsidR="007542E2" w:rsidRDefault="007542E2" w:rsidP="007542E2">
      <w:pPr>
        <w:pStyle w:val="Heading4"/>
      </w:pPr>
      <w:bookmarkStart w:id="24" w:name="_Toc97135152"/>
      <w:bookmarkStart w:id="25" w:name="_Toc98829388"/>
      <w:r w:rsidRPr="0091488E">
        <w:lastRenderedPageBreak/>
        <w:t>2S3 Science</w:t>
      </w:r>
      <w:r>
        <w:t xml:space="preserve"> </w:t>
      </w:r>
      <w:r w:rsidRPr="0091488E">
        <w:t>Academic Proficiency</w:t>
      </w:r>
      <w:bookmarkEnd w:id="24"/>
      <w:bookmarkEnd w:id="25"/>
    </w:p>
    <w:p w14:paraId="121827D0" w14:textId="77777777" w:rsidR="007542E2" w:rsidRPr="00CC0340" w:rsidRDefault="007542E2" w:rsidP="00EC177E">
      <w:pPr>
        <w:spacing w:before="0"/>
        <w:rPr>
          <w:b/>
        </w:rPr>
      </w:pPr>
      <w:r w:rsidRPr="00D769D1">
        <w:rPr>
          <w:b/>
        </w:rPr>
        <w:t>2S3 Science</w:t>
      </w:r>
      <w:r>
        <w:rPr>
          <w:b/>
        </w:rPr>
        <w:t xml:space="preserve"> </w:t>
      </w:r>
      <w:r w:rsidRPr="00D769D1">
        <w:rPr>
          <w:b/>
        </w:rPr>
        <w:t>Academic Proficiency:</w:t>
      </w:r>
      <w:r w:rsidRPr="00392BB4">
        <w:t xml:space="preserve"> The percent of CTE Concentrators who demonstrate proficiency in science as measured by the statewide assessment.</w:t>
      </w:r>
    </w:p>
    <w:p w14:paraId="43BC2131" w14:textId="77777777" w:rsidR="007542E2" w:rsidRPr="00CC0340" w:rsidRDefault="007542E2" w:rsidP="007542E2">
      <w:r w:rsidRPr="00BE2747">
        <w:rPr>
          <w:b/>
        </w:rPr>
        <w:t>Numerator</w:t>
      </w:r>
      <w:r w:rsidRPr="00CC0340">
        <w:t>: </w:t>
      </w:r>
      <w:r>
        <w:t>number</w:t>
      </w:r>
      <w:r w:rsidRPr="00B114F1">
        <w:t xml:space="preserve"> of CTE </w:t>
      </w:r>
      <w:r>
        <w:t>C</w:t>
      </w:r>
      <w:r w:rsidRPr="00B114F1">
        <w:t xml:space="preserve">oncentrators who have met the proficient or advanced level on Oregon’s science assessment administered under Section 1111(b)(3) of </w:t>
      </w:r>
      <w:r>
        <w:t>ESEA</w:t>
      </w:r>
      <w:r w:rsidRPr="00B114F1">
        <w:t xml:space="preserve"> as amended by the No Child Left Behind Act.</w:t>
      </w:r>
    </w:p>
    <w:p w14:paraId="23522B58" w14:textId="77777777" w:rsidR="007542E2" w:rsidRDefault="007542E2" w:rsidP="007542E2">
      <w:r w:rsidRPr="00BE2747">
        <w:rPr>
          <w:b/>
        </w:rPr>
        <w:t>Denominator</w:t>
      </w:r>
      <w:r w:rsidRPr="00CC0340">
        <w:t>:</w:t>
      </w:r>
      <w:r>
        <w:t xml:space="preserve"> the number</w:t>
      </w:r>
      <w:r w:rsidRPr="000F404D">
        <w:t xml:space="preserve"> of CTE </w:t>
      </w:r>
      <w:r>
        <w:t>C</w:t>
      </w:r>
      <w:r w:rsidRPr="000F404D">
        <w:t xml:space="preserve">oncentrators who took the ESEA assessment in </w:t>
      </w:r>
      <w:r>
        <w:t>science.</w:t>
      </w:r>
    </w:p>
    <w:p w14:paraId="2255A0F1" w14:textId="77777777" w:rsidR="007542E2" w:rsidRDefault="007542E2" w:rsidP="007542E2">
      <w:pPr>
        <w:pStyle w:val="Heading4"/>
      </w:pPr>
      <w:bookmarkStart w:id="26" w:name="_Toc97135153"/>
      <w:bookmarkStart w:id="27" w:name="_Toc98829389"/>
      <w:r w:rsidRPr="0091488E">
        <w:t xml:space="preserve">3S1 </w:t>
      </w:r>
      <w:r>
        <w:t xml:space="preserve">Post-Program </w:t>
      </w:r>
      <w:r w:rsidRPr="0091488E">
        <w:t>Placement</w:t>
      </w:r>
      <w:bookmarkEnd w:id="26"/>
      <w:bookmarkEnd w:id="27"/>
    </w:p>
    <w:p w14:paraId="4A0C0C73" w14:textId="77777777" w:rsidR="007542E2" w:rsidRDefault="007542E2" w:rsidP="00EC177E">
      <w:pPr>
        <w:spacing w:before="0"/>
      </w:pPr>
      <w:r w:rsidRPr="00D769D1">
        <w:rPr>
          <w:b/>
        </w:rPr>
        <w:t>3S1 P</w:t>
      </w:r>
      <w:r>
        <w:rPr>
          <w:b/>
        </w:rPr>
        <w:t>ost-Program</w:t>
      </w:r>
      <w:r w:rsidRPr="00D769D1">
        <w:rPr>
          <w:b/>
        </w:rPr>
        <w:t xml:space="preserve"> Placement: </w:t>
      </w:r>
      <w:r w:rsidRPr="00392BB4">
        <w:t>Percent of CTE Concentrators who, in the second quarter after exiting from secondary education, are in</w:t>
      </w:r>
      <w:r>
        <w:t xml:space="preserve"> qualifying</w:t>
      </w:r>
      <w:r w:rsidRPr="00392BB4">
        <w:t xml:space="preserve"> postsecondary opportunities.</w:t>
      </w:r>
    </w:p>
    <w:p w14:paraId="39E40BF5" w14:textId="411DEAE3" w:rsidR="007542E2" w:rsidRDefault="007542E2" w:rsidP="007542E2">
      <w:r>
        <w:t xml:space="preserve">See Appendix </w:t>
      </w:r>
      <w:r w:rsidR="00EC177E">
        <w:t>G</w:t>
      </w:r>
      <w:r>
        <w:t xml:space="preserve">: </w:t>
      </w:r>
      <w:hyperlink w:anchor="_T_10._Post-Program" w:history="1">
        <w:r w:rsidRPr="00A11BB5">
          <w:rPr>
            <w:rStyle w:val="Hyperlink"/>
          </w:rPr>
          <w:t>Post-Program &amp; Postsecondary Placement</w:t>
        </w:r>
      </w:hyperlink>
      <w:r>
        <w:rPr>
          <w:rStyle w:val="Hyperlink"/>
        </w:rPr>
        <w:t xml:space="preserve"> </w:t>
      </w:r>
      <w:r>
        <w:t xml:space="preserve">and Appendix </w:t>
      </w:r>
      <w:r w:rsidR="00EC177E">
        <w:t>E</w:t>
      </w:r>
      <w:r>
        <w:t xml:space="preserve">: </w:t>
      </w:r>
      <w:hyperlink w:anchor="_T_2:_Report" w:history="1">
        <w:r w:rsidRPr="00A11BB5">
          <w:rPr>
            <w:rStyle w:val="Hyperlink"/>
          </w:rPr>
          <w:t>Report Year</w:t>
        </w:r>
      </w:hyperlink>
      <w:r>
        <w:t xml:space="preserve"> for further details on postsecondary opportunity data parameters.</w:t>
      </w:r>
    </w:p>
    <w:p w14:paraId="7CAB807B" w14:textId="3A0FC6F1" w:rsidR="007542E2" w:rsidRPr="00CC0340" w:rsidRDefault="007542E2" w:rsidP="007542E2">
      <w:r w:rsidRPr="00BE2747">
        <w:rPr>
          <w:b/>
        </w:rPr>
        <w:t>Numerator</w:t>
      </w:r>
      <w:r w:rsidRPr="00CC0340">
        <w:t>: </w:t>
      </w:r>
      <w:r>
        <w:t>the number</w:t>
      </w:r>
      <w:r w:rsidRPr="00B114F1">
        <w:t xml:space="preserve"> of CTE </w:t>
      </w:r>
      <w:r>
        <w:t>C</w:t>
      </w:r>
      <w:r w:rsidRPr="00B114F1">
        <w:t xml:space="preserve">oncentrators who, in the </w:t>
      </w:r>
      <w:r>
        <w:t>fall</w:t>
      </w:r>
      <w:r w:rsidRPr="00B114F1">
        <w:t xml:space="preserve"> quarter after exiting from secondary education, are in postsecondary education or advanced training, military service or a service program that receives assistance under title I of the National and Community Service Act of 1990</w:t>
      </w:r>
      <w:r w:rsidR="00EC177E">
        <w:rPr>
          <w:rStyle w:val="FootnoteReference"/>
        </w:rPr>
        <w:footnoteReference w:id="1"/>
      </w:r>
      <w:r w:rsidRPr="00B114F1">
        <w:t>, are volunteers as described in section 5(a) of the Peace Corps Act</w:t>
      </w:r>
      <w:r w:rsidR="00EC177E">
        <w:rPr>
          <w:rStyle w:val="FootnoteReference"/>
        </w:rPr>
        <w:footnoteReference w:id="2"/>
      </w:r>
      <w:r w:rsidR="00EC177E">
        <w:t xml:space="preserve">, </w:t>
      </w:r>
      <w:r w:rsidRPr="00B114F1">
        <w:t>or are employed</w:t>
      </w:r>
      <w:r>
        <w:t>.</w:t>
      </w:r>
    </w:p>
    <w:p w14:paraId="1D8029F6" w14:textId="5A26376B" w:rsidR="007542E2" w:rsidRPr="00EC177E" w:rsidRDefault="007542E2" w:rsidP="007542E2">
      <w:r w:rsidRPr="00BE2747">
        <w:rPr>
          <w:b/>
        </w:rPr>
        <w:t>Denominator</w:t>
      </w:r>
      <w:r w:rsidRPr="00CC0340">
        <w:t>:</w:t>
      </w:r>
      <w:r>
        <w:t xml:space="preserve"> the number</w:t>
      </w:r>
      <w:r w:rsidRPr="00B114F1">
        <w:t xml:space="preserve"> of CTE </w:t>
      </w:r>
      <w:r>
        <w:t>C</w:t>
      </w:r>
      <w:r w:rsidRPr="00B114F1">
        <w:t xml:space="preserve">oncentrators who exited secondary education </w:t>
      </w:r>
      <w:r>
        <w:t>the year before</w:t>
      </w:r>
      <w:r w:rsidRPr="00B114F1">
        <w:t xml:space="preserve"> the reporting year.</w:t>
      </w:r>
      <w:bookmarkStart w:id="28" w:name="_Toc97135154"/>
    </w:p>
    <w:p w14:paraId="58D6711F" w14:textId="77777777" w:rsidR="007542E2" w:rsidRDefault="007542E2" w:rsidP="007542E2">
      <w:pPr>
        <w:pStyle w:val="Heading4"/>
      </w:pPr>
      <w:bookmarkStart w:id="29" w:name="_Toc98829390"/>
      <w:r w:rsidRPr="0091488E">
        <w:t xml:space="preserve">4S1 Non-Traditional Program </w:t>
      </w:r>
      <w:r>
        <w:t>Concentration</w:t>
      </w:r>
      <w:bookmarkEnd w:id="28"/>
      <w:bookmarkEnd w:id="29"/>
    </w:p>
    <w:p w14:paraId="35BE994A" w14:textId="77777777" w:rsidR="007542E2" w:rsidRDefault="007542E2" w:rsidP="00EC177E">
      <w:pPr>
        <w:spacing w:before="0"/>
      </w:pPr>
      <w:r w:rsidRPr="00392BB4">
        <w:rPr>
          <w:b/>
        </w:rPr>
        <w:t>4S1 Non-Traditional Program Concentration:</w:t>
      </w:r>
      <w:r w:rsidRPr="00392BB4">
        <w:t xml:space="preserve"> Percent of CTE Concentrators in CTE programs of study that lead to fields federally identified as non-traditional for the gender of the </w:t>
      </w:r>
      <w:r>
        <w:t>C</w:t>
      </w:r>
      <w:r w:rsidRPr="00392BB4">
        <w:t>oncentrator.</w:t>
      </w:r>
    </w:p>
    <w:p w14:paraId="6C0B7C5A" w14:textId="2E6A9BBA" w:rsidR="007542E2" w:rsidRPr="00CC0340" w:rsidRDefault="007542E2" w:rsidP="007542E2">
      <w:r>
        <w:rPr>
          <w:b/>
        </w:rPr>
        <w:t>Note</w:t>
      </w:r>
      <w:r w:rsidRPr="005E7337">
        <w:t>:</w:t>
      </w:r>
      <w:r>
        <w:t xml:space="preserve"> A federally determined classification system is used to assess whether a CTE POS is considered associated with a traditional gender. For students who are CTE Concentrators in more than one POS, their primary program is used in this calculation. For example, if a secondary POS CIP code is associated with a male-dominated field, all female and gender-non-binary students concentrating in that program are non-traditional Concentrators. See Appendix </w:t>
      </w:r>
      <w:r w:rsidR="00EC177E">
        <w:t>F</w:t>
      </w:r>
      <w:r w:rsidR="00B341E0">
        <w:t xml:space="preserve"> topic, </w:t>
      </w:r>
      <w:hyperlink w:anchor="_Individuals_Preparing_for" w:history="1">
        <w:r w:rsidR="00B341E0" w:rsidRPr="00B341E0">
          <w:rPr>
            <w:rStyle w:val="Hyperlink"/>
          </w:rPr>
          <w:t>Individuals Preparing for Non-traditional Fields</w:t>
        </w:r>
      </w:hyperlink>
      <w:r w:rsidR="00B341E0">
        <w:t xml:space="preserve"> for </w:t>
      </w:r>
      <w:r>
        <w:t>CIP included in these calculations.</w:t>
      </w:r>
    </w:p>
    <w:p w14:paraId="0FAE8C0C" w14:textId="77777777" w:rsidR="007542E2" w:rsidRPr="00CC0340" w:rsidRDefault="007542E2" w:rsidP="007542E2">
      <w:r w:rsidRPr="00BE2747">
        <w:rPr>
          <w:b/>
        </w:rPr>
        <w:t>Numerator</w:t>
      </w:r>
      <w:r w:rsidRPr="00CC0340">
        <w:t>: </w:t>
      </w:r>
      <w:r>
        <w:t xml:space="preserve">the number </w:t>
      </w:r>
      <w:r w:rsidRPr="00B114F1">
        <w:t xml:space="preserve">of CTE </w:t>
      </w:r>
      <w:r>
        <w:t>C</w:t>
      </w:r>
      <w:r w:rsidRPr="00B114F1">
        <w:t xml:space="preserve">oncentrators </w:t>
      </w:r>
      <w:r>
        <w:t xml:space="preserve">whose primary </w:t>
      </w:r>
      <w:r w:rsidRPr="00B114F1">
        <w:t xml:space="preserve">state-approved program of study leads to </w:t>
      </w:r>
      <w:r>
        <w:t>n</w:t>
      </w:r>
      <w:r w:rsidRPr="00B114F1">
        <w:t>on-traditional field</w:t>
      </w:r>
      <w:r>
        <w:t>s</w:t>
      </w:r>
      <w:r w:rsidRPr="00B114F1">
        <w:t xml:space="preserve"> (for their gender).</w:t>
      </w:r>
    </w:p>
    <w:p w14:paraId="363F6BDF" w14:textId="77777777" w:rsidR="007542E2" w:rsidRDefault="007542E2" w:rsidP="007542E2">
      <w:r w:rsidRPr="00BE2747">
        <w:rPr>
          <w:b/>
        </w:rPr>
        <w:t>Denominator</w:t>
      </w:r>
      <w:r w:rsidRPr="00CC0340">
        <w:t>:</w:t>
      </w:r>
      <w:r>
        <w:t xml:space="preserve"> the number</w:t>
      </w:r>
      <w:r w:rsidRPr="00B114F1">
        <w:t xml:space="preserve"> of CTE </w:t>
      </w:r>
      <w:r>
        <w:t xml:space="preserve">Concentrators whose primary </w:t>
      </w:r>
      <w:r w:rsidRPr="00B114F1">
        <w:t>state-approved program of study</w:t>
      </w:r>
      <w:r>
        <w:t xml:space="preserve"> is</w:t>
      </w:r>
      <w:r w:rsidRPr="00B114F1">
        <w:t xml:space="preserve"> </w:t>
      </w:r>
      <w:r>
        <w:t xml:space="preserve">federally </w:t>
      </w:r>
      <w:r w:rsidRPr="00B114F1">
        <w:t>associated with a traditional gender</w:t>
      </w:r>
      <w:r>
        <w:t>.</w:t>
      </w:r>
    </w:p>
    <w:p w14:paraId="3A1A16BD" w14:textId="77777777" w:rsidR="007542E2" w:rsidRPr="003F4822" w:rsidRDefault="007542E2" w:rsidP="007542E2">
      <w:pPr>
        <w:pStyle w:val="Heading4"/>
      </w:pPr>
      <w:bookmarkStart w:id="30" w:name="_Toc97135155"/>
      <w:bookmarkStart w:id="31" w:name="_Toc98829391"/>
      <w:r w:rsidRPr="0091488E">
        <w:lastRenderedPageBreak/>
        <w:t>5S3 Program Quality, Work-Based Learning</w:t>
      </w:r>
      <w:bookmarkEnd w:id="30"/>
      <w:bookmarkEnd w:id="31"/>
    </w:p>
    <w:p w14:paraId="15E72A81" w14:textId="77777777" w:rsidR="007542E2" w:rsidRPr="00EF6185" w:rsidRDefault="007542E2" w:rsidP="00EC177E">
      <w:pPr>
        <w:spacing w:before="0"/>
      </w:pPr>
      <w:r w:rsidRPr="0091488E">
        <w:rPr>
          <w:b/>
        </w:rPr>
        <w:t xml:space="preserve">5S3 Program Quality, Work-Based Learning: </w:t>
      </w:r>
      <w:r w:rsidRPr="00392BB4">
        <w:t xml:space="preserve">Percent of CTE Concentrators graduating from </w:t>
      </w:r>
      <w:r w:rsidRPr="00EF6185">
        <w:t>high school having participated in CTE work-based learning.</w:t>
      </w:r>
    </w:p>
    <w:p w14:paraId="6056422C" w14:textId="44648F31" w:rsidR="007542E2" w:rsidRPr="00CC0340" w:rsidRDefault="007542E2" w:rsidP="007542E2">
      <w:r w:rsidRPr="00EF6185">
        <w:rPr>
          <w:b/>
        </w:rPr>
        <w:t>Note</w:t>
      </w:r>
      <w:r w:rsidRPr="00EF6185">
        <w:t xml:space="preserve">: See </w:t>
      </w:r>
      <w:r>
        <w:t>Appendix C:</w:t>
      </w:r>
      <w:r w:rsidRPr="00EF6185">
        <w:t xml:space="preserve"> </w:t>
      </w:r>
      <w:hyperlink w:anchor="_CTE_Work-Based_Learning" w:history="1">
        <w:r>
          <w:rPr>
            <w:rStyle w:val="Hyperlink"/>
          </w:rPr>
          <w:t>CTE Work-Based Learning (</w:t>
        </w:r>
        <w:r w:rsidR="00C03FF3">
          <w:rPr>
            <w:rStyle w:val="Hyperlink"/>
          </w:rPr>
          <w:t>secondary</w:t>
        </w:r>
        <w:r>
          <w:rPr>
            <w:rStyle w:val="Hyperlink"/>
          </w:rPr>
          <w:t>)</w:t>
        </w:r>
      </w:hyperlink>
      <w:r w:rsidRPr="00EF6185">
        <w:t xml:space="preserve"> for</w:t>
      </w:r>
      <w:r>
        <w:t xml:space="preserve"> additional</w:t>
      </w:r>
      <w:r w:rsidRPr="00EF6185">
        <w:t xml:space="preserve"> </w:t>
      </w:r>
      <w:r>
        <w:t>details on evaluating this indicator</w:t>
      </w:r>
      <w:r w:rsidR="00C03FF3">
        <w:t>.</w:t>
      </w:r>
    </w:p>
    <w:p w14:paraId="68356B5F" w14:textId="77777777" w:rsidR="007542E2" w:rsidRPr="00CC0340" w:rsidRDefault="007542E2" w:rsidP="007542E2">
      <w:r w:rsidRPr="00BE2747">
        <w:rPr>
          <w:b/>
        </w:rPr>
        <w:t>Numerator</w:t>
      </w:r>
      <w:r w:rsidRPr="00CC0340">
        <w:t>: </w:t>
      </w:r>
      <w:r>
        <w:t>the number</w:t>
      </w:r>
      <w:r w:rsidRPr="00B114F1">
        <w:t xml:space="preserve"> of CTE </w:t>
      </w:r>
      <w:r>
        <w:t>C</w:t>
      </w:r>
      <w:r w:rsidRPr="00B114F1">
        <w:t xml:space="preserve">oncentrators who participated in </w:t>
      </w:r>
      <w:r>
        <w:t xml:space="preserve">CTE </w:t>
      </w:r>
      <w:r w:rsidRPr="00B114F1">
        <w:t>work–ba</w:t>
      </w:r>
      <w:r>
        <w:t>sed learning during high school</w:t>
      </w:r>
      <w:r w:rsidRPr="00B114F1">
        <w:t xml:space="preserve"> and graduated from high school during the reporting year</w:t>
      </w:r>
      <w:r>
        <w:t>.</w:t>
      </w:r>
    </w:p>
    <w:p w14:paraId="64651019" w14:textId="77777777" w:rsidR="007542E2" w:rsidRDefault="007542E2" w:rsidP="007542E2">
      <w:r w:rsidRPr="00BE2747">
        <w:rPr>
          <w:b/>
        </w:rPr>
        <w:t>Denominator</w:t>
      </w:r>
      <w:r w:rsidRPr="00CC0340">
        <w:t>: </w:t>
      </w:r>
      <w:r>
        <w:t>the number</w:t>
      </w:r>
      <w:r w:rsidRPr="00B114F1">
        <w:t xml:space="preserve"> of CTE </w:t>
      </w:r>
      <w:r>
        <w:t>C</w:t>
      </w:r>
      <w:r w:rsidRPr="00B114F1">
        <w:t xml:space="preserve">oncentrators who </w:t>
      </w:r>
      <w:r>
        <w:t>completed</w:t>
      </w:r>
      <w:r w:rsidRPr="00B114F1">
        <w:t xml:space="preserve"> high school during the reporting year</w:t>
      </w:r>
      <w:r>
        <w:t>.</w:t>
      </w:r>
    </w:p>
    <w:p w14:paraId="14278133" w14:textId="77777777" w:rsidR="007542E2" w:rsidRDefault="007542E2" w:rsidP="007542E2">
      <w:pPr>
        <w:spacing w:before="0" w:line="240" w:lineRule="auto"/>
        <w:rPr>
          <w:rFonts w:asciiTheme="majorHAnsi" w:eastAsiaTheme="majorEastAsia" w:hAnsiTheme="majorHAnsi" w:cstheme="majorBidi"/>
          <w:color w:val="000000" w:themeColor="text1"/>
          <w:sz w:val="26"/>
          <w:szCs w:val="26"/>
        </w:rPr>
      </w:pPr>
      <w:r>
        <w:br w:type="page"/>
      </w:r>
    </w:p>
    <w:p w14:paraId="4A944D81" w14:textId="77777777" w:rsidR="007542E2" w:rsidRPr="00430AB2" w:rsidRDefault="007542E2" w:rsidP="007542E2">
      <w:pPr>
        <w:pStyle w:val="Heading3"/>
      </w:pPr>
      <w:bookmarkStart w:id="32" w:name="_Toc155104469"/>
      <w:bookmarkStart w:id="33" w:name="_Toc155258779"/>
      <w:r w:rsidRPr="00430AB2">
        <w:lastRenderedPageBreak/>
        <w:t xml:space="preserve">Postsecondary Performance </w:t>
      </w:r>
      <w:bookmarkEnd w:id="32"/>
      <w:r>
        <w:t>Indicators</w:t>
      </w:r>
      <w:bookmarkEnd w:id="33"/>
      <w:r w:rsidRPr="00430AB2">
        <w:t xml:space="preserve"> </w:t>
      </w:r>
    </w:p>
    <w:p w14:paraId="366E2EBF" w14:textId="77777777" w:rsidR="007542E2" w:rsidRPr="00430AB2" w:rsidRDefault="007542E2" w:rsidP="007542E2">
      <w:pPr>
        <w:pStyle w:val="Heading4"/>
      </w:pPr>
      <w:r w:rsidRPr="00430AB2">
        <w:t xml:space="preserve">1P1 Postsecondary Placement </w:t>
      </w:r>
    </w:p>
    <w:p w14:paraId="3C0429E8" w14:textId="77777777" w:rsidR="007542E2" w:rsidRDefault="007542E2" w:rsidP="007542E2">
      <w:pPr>
        <w:spacing w:before="0"/>
      </w:pPr>
      <w:r w:rsidRPr="00C03FF3">
        <w:rPr>
          <w:b/>
        </w:rPr>
        <w:t>1P1 Postsecondary Placement</w:t>
      </w:r>
      <w:r w:rsidRPr="002A72AB">
        <w:rPr>
          <w:bCs/>
        </w:rPr>
        <w:t>: The</w:t>
      </w:r>
      <w:r w:rsidRPr="00ED1FB9">
        <w:t xml:space="preserve"> percentage of CTE Concentrators who complete a program and then continue in postsecondary education; are in advanced training, military service, or a service or volunteer program; or are placed or retained in employment.  </w:t>
      </w:r>
    </w:p>
    <w:p w14:paraId="06C87EEE" w14:textId="77777777" w:rsidR="007542E2" w:rsidRDefault="007542E2" w:rsidP="007542E2">
      <w:r w:rsidRPr="00472BE4">
        <w:rPr>
          <w:b/>
        </w:rPr>
        <w:t>Numerator</w:t>
      </w:r>
      <w:r>
        <w:t xml:space="preserve">: </w:t>
      </w:r>
      <w:r w:rsidRPr="00472BE4">
        <w:t xml:space="preserve">the number of CTE </w:t>
      </w:r>
      <w:r>
        <w:t>C</w:t>
      </w:r>
      <w:r w:rsidRPr="00472BE4">
        <w:t>oncentrators who completed a program or program of study and, at 2nd quarter after program completion, remain enrolled in postsecondary education, are in advanced training, military service, or a service program that receives assistance under title I of the National Community Service Act of 1990, are volunteers as described in section 5(a) of Peace Corps Act, or are placed or retained in employment.</w:t>
      </w:r>
    </w:p>
    <w:p w14:paraId="54BA152D" w14:textId="77777777" w:rsidR="007542E2" w:rsidRDefault="007542E2" w:rsidP="007542E2">
      <w:r w:rsidRPr="00472BE4">
        <w:rPr>
          <w:b/>
        </w:rPr>
        <w:t>Denominator</w:t>
      </w:r>
      <w:r>
        <w:t>: the number of CTE C</w:t>
      </w:r>
      <w:r w:rsidRPr="00472BE4">
        <w:t>oncentrators who</w:t>
      </w:r>
      <w:r>
        <w:t>se second quarter after completing</w:t>
      </w:r>
      <w:r w:rsidRPr="00472BE4">
        <w:t xml:space="preserve"> a program or program of study </w:t>
      </w:r>
      <w:r>
        <w:t xml:space="preserve">occurs </w:t>
      </w:r>
      <w:r w:rsidRPr="00472BE4">
        <w:t xml:space="preserve">during the </w:t>
      </w:r>
      <w:r w:rsidRPr="00E104FB">
        <w:t>reporting year.</w:t>
      </w:r>
      <w:r>
        <w:t xml:space="preserve"> </w:t>
      </w:r>
    </w:p>
    <w:p w14:paraId="01CB3957" w14:textId="77777777" w:rsidR="007542E2" w:rsidRPr="007542E2" w:rsidRDefault="007542E2" w:rsidP="007542E2">
      <w:pPr>
        <w:pStyle w:val="Heading4"/>
      </w:pPr>
      <w:r w:rsidRPr="007542E2">
        <w:t>2P1 Earned Recognized Postsecondary Credential</w:t>
      </w:r>
    </w:p>
    <w:p w14:paraId="6C6377D9" w14:textId="77777777" w:rsidR="007542E2" w:rsidRPr="002A72AB" w:rsidRDefault="007542E2" w:rsidP="007542E2">
      <w:pPr>
        <w:spacing w:before="0"/>
        <w:rPr>
          <w:bCs/>
        </w:rPr>
      </w:pPr>
      <w:r w:rsidRPr="00C03FF3">
        <w:rPr>
          <w:b/>
        </w:rPr>
        <w:t>2P1 Earned Recognized Postsecondary Credential</w:t>
      </w:r>
      <w:r w:rsidRPr="002A72AB">
        <w:rPr>
          <w:bCs/>
        </w:rPr>
        <w:t>: The percentage of CTE Concentrators who received a recognized postsecondary credential during participation in or within one (1) year of program completion.</w:t>
      </w:r>
    </w:p>
    <w:p w14:paraId="3EF9B758" w14:textId="77777777" w:rsidR="007542E2" w:rsidRDefault="007542E2" w:rsidP="007542E2">
      <w:r w:rsidRPr="002A72AB">
        <w:rPr>
          <w:b/>
        </w:rPr>
        <w:t>Numerator:</w:t>
      </w:r>
      <w:r w:rsidRPr="002A72AB">
        <w:rPr>
          <w:bCs/>
        </w:rPr>
        <w:t xml:space="preserve"> the number</w:t>
      </w:r>
      <w:r w:rsidRPr="00E30D52">
        <w:t xml:space="preserve"> of CTE </w:t>
      </w:r>
      <w:r>
        <w:t>C</w:t>
      </w:r>
      <w:r w:rsidRPr="00E30D52">
        <w:t>oncentrators who received a recognized postsecondary credential dur</w:t>
      </w:r>
      <w:r>
        <w:t>ing participation in or within one (1)</w:t>
      </w:r>
      <w:r w:rsidRPr="00E30D52">
        <w:t xml:space="preserve"> year of program completion</w:t>
      </w:r>
      <w:r>
        <w:t xml:space="preserve"> (i.e., within the report year).</w:t>
      </w:r>
    </w:p>
    <w:p w14:paraId="0CFB90F3" w14:textId="77777777" w:rsidR="007542E2" w:rsidRPr="00555758" w:rsidRDefault="007542E2" w:rsidP="007542E2">
      <w:r w:rsidRPr="00E30D52">
        <w:rPr>
          <w:b/>
        </w:rPr>
        <w:t>Denominator</w:t>
      </w:r>
      <w:r>
        <w:t xml:space="preserve">: </w:t>
      </w:r>
      <w:r w:rsidRPr="00E30D52">
        <w:t xml:space="preserve">the number of CTE </w:t>
      </w:r>
      <w:r>
        <w:t>C</w:t>
      </w:r>
      <w:r w:rsidRPr="00E30D52">
        <w:t xml:space="preserve">oncentrators who left postsecondary education in the </w:t>
      </w:r>
      <w:r>
        <w:t>year immediately preceding the report year.</w:t>
      </w:r>
    </w:p>
    <w:p w14:paraId="29F475EC" w14:textId="77777777" w:rsidR="007542E2" w:rsidRDefault="007542E2" w:rsidP="007542E2">
      <w:pPr>
        <w:pStyle w:val="Heading4"/>
      </w:pPr>
      <w:r>
        <w:t xml:space="preserve">3P1 Non-Traditional Program Concentration </w:t>
      </w:r>
    </w:p>
    <w:p w14:paraId="225CA8B1" w14:textId="77777777" w:rsidR="007542E2" w:rsidRDefault="007542E2" w:rsidP="007542E2">
      <w:pPr>
        <w:spacing w:before="0"/>
      </w:pPr>
      <w:r w:rsidRPr="00C03FF3">
        <w:rPr>
          <w:b/>
        </w:rPr>
        <w:t>3P1 Non-Traditional Program Concentration</w:t>
      </w:r>
      <w:r w:rsidRPr="002A72AB">
        <w:rPr>
          <w:bCs/>
        </w:rPr>
        <w:t>:</w:t>
      </w:r>
      <w:r>
        <w:t xml:space="preserve"> The percentage of CTE Concentrators from underrepresented gender groups who participate in CTE Programs and Programs of Study that lead to fields considered nontraditional for their gender.</w:t>
      </w:r>
    </w:p>
    <w:p w14:paraId="57C04C7D" w14:textId="77777777" w:rsidR="007542E2" w:rsidRDefault="007542E2" w:rsidP="007542E2">
      <w:r w:rsidRPr="00C03FF3">
        <w:rPr>
          <w:rFonts w:ascii="Calibri" w:hAnsi="Calibri" w:cs="Calibri"/>
          <w:b/>
          <w:color w:val="000000"/>
        </w:rPr>
        <w:t>Note</w:t>
      </w:r>
      <w:r w:rsidRPr="002A72AB">
        <w:rPr>
          <w:rFonts w:ascii="Calibri" w:hAnsi="Calibri" w:cs="Calibri"/>
          <w:bCs/>
          <w:color w:val="000000"/>
        </w:rPr>
        <w:t>:</w:t>
      </w:r>
      <w:r>
        <w:rPr>
          <w:rFonts w:ascii="Calibri" w:hAnsi="Calibri" w:cs="Calibri"/>
          <w:color w:val="000000"/>
        </w:rPr>
        <w:t xml:space="preserve"> </w:t>
      </w:r>
      <w:r>
        <w:t>A federally determined classification system is used to assess whether a CTE POS is considered associated with a traditional gender. For students who are CTE Concentrators in more than one POS, o</w:t>
      </w:r>
      <w:r w:rsidRPr="00E104FB">
        <w:t xml:space="preserve">nly the program the student has specified as their primary program is used in this calculation. </w:t>
      </w:r>
      <w:r>
        <w:t xml:space="preserve">See Appendix G: </w:t>
      </w:r>
      <w:hyperlink w:anchor="_Non-Traditional_Program_determinati" w:history="1">
        <w:r w:rsidRPr="00A94C1C">
          <w:rPr>
            <w:rStyle w:val="Hyperlink"/>
          </w:rPr>
          <w:t>Non-Traditional Program determinations</w:t>
        </w:r>
      </w:hyperlink>
      <w:r>
        <w:t xml:space="preserve"> for details on calculation and interpretation of this indicator.</w:t>
      </w:r>
    </w:p>
    <w:p w14:paraId="07434E7A" w14:textId="77777777" w:rsidR="007542E2" w:rsidRDefault="007542E2" w:rsidP="007542E2">
      <w:r w:rsidRPr="00E30D52">
        <w:rPr>
          <w:b/>
        </w:rPr>
        <w:t>Numerator</w:t>
      </w:r>
      <w:r>
        <w:t xml:space="preserve">: </w:t>
      </w:r>
      <w:r w:rsidRPr="00E30D52">
        <w:t xml:space="preserve">the number of CTE </w:t>
      </w:r>
      <w:r>
        <w:t>C</w:t>
      </w:r>
      <w:r w:rsidRPr="00E30D52">
        <w:t>oncentrators from underrepresented gender groups who participated in nontraditional programs</w:t>
      </w:r>
      <w:r>
        <w:t>.</w:t>
      </w:r>
    </w:p>
    <w:p w14:paraId="21478251" w14:textId="22F7C97C" w:rsidR="007542E2" w:rsidRDefault="007542E2" w:rsidP="007542E2">
      <w:r w:rsidRPr="00E30D52">
        <w:rPr>
          <w:b/>
        </w:rPr>
        <w:t>Denominator</w:t>
      </w:r>
      <w:r>
        <w:t xml:space="preserve">: </w:t>
      </w:r>
      <w:r w:rsidRPr="00E30D52">
        <w:t xml:space="preserve">the number of CTE </w:t>
      </w:r>
      <w:r>
        <w:t xml:space="preserve">Concentrators whose primary program is </w:t>
      </w:r>
      <w:r w:rsidRPr="00E30D52">
        <w:t>associated with a traditional gender</w:t>
      </w:r>
      <w:r>
        <w:t xml:space="preserve">. </w:t>
      </w:r>
    </w:p>
    <w:p w14:paraId="7F5F3DA2" w14:textId="77777777" w:rsidR="009A652E" w:rsidRDefault="009A652E">
      <w:pPr>
        <w:spacing w:before="0" w:line="240" w:lineRule="auto"/>
        <w:rPr>
          <w:rFonts w:asciiTheme="majorHAnsi" w:eastAsiaTheme="majorEastAsia" w:hAnsiTheme="majorHAnsi" w:cstheme="majorBidi"/>
          <w:color w:val="1F497D" w:themeColor="text2"/>
          <w:sz w:val="26"/>
          <w:szCs w:val="26"/>
        </w:rPr>
      </w:pPr>
      <w:r>
        <w:br w:type="page"/>
      </w:r>
    </w:p>
    <w:p w14:paraId="4ADC31D3" w14:textId="61186172" w:rsidR="007542E2" w:rsidRDefault="007542E2" w:rsidP="007542E2">
      <w:pPr>
        <w:pStyle w:val="Heading2"/>
      </w:pPr>
      <w:bookmarkStart w:id="34" w:name="_Toc155258780"/>
      <w:bookmarkStart w:id="35" w:name="_Toc155265229"/>
      <w:r>
        <w:lastRenderedPageBreak/>
        <w:t>Performance Level</w:t>
      </w:r>
      <w:bookmarkEnd w:id="34"/>
      <w:bookmarkEnd w:id="35"/>
    </w:p>
    <w:p w14:paraId="7C7055AC" w14:textId="77777777" w:rsidR="007542E2" w:rsidRDefault="007542E2" w:rsidP="007542E2">
      <w:r>
        <w:t>Performance level is a term used in multiple ways within Perkins V. They include:</w:t>
      </w:r>
    </w:p>
    <w:p w14:paraId="7C93A882" w14:textId="77777777" w:rsidR="007542E2" w:rsidRDefault="007542E2" w:rsidP="00C03FF3">
      <w:pPr>
        <w:pStyle w:val="ListParagraph"/>
        <w:numPr>
          <w:ilvl w:val="0"/>
          <w:numId w:val="44"/>
        </w:numPr>
        <w:contextualSpacing w:val="0"/>
      </w:pPr>
      <w:r w:rsidRPr="00686D26">
        <w:rPr>
          <w:i/>
          <w:iCs/>
        </w:rPr>
        <w:t>Performance Targets</w:t>
      </w:r>
      <w:r>
        <w:t xml:space="preserve"> AKA </w:t>
      </w:r>
      <w:r w:rsidRPr="00686D26">
        <w:rPr>
          <w:i/>
          <w:iCs/>
        </w:rPr>
        <w:t xml:space="preserve">State Determined Performance Level </w:t>
      </w:r>
      <w:r w:rsidRPr="00F95752">
        <w:t xml:space="preserve">AKA </w:t>
      </w:r>
      <w:r w:rsidRPr="00686D26">
        <w:rPr>
          <w:i/>
          <w:iCs/>
        </w:rPr>
        <w:t>SDPL</w:t>
      </w:r>
      <w:r w:rsidRPr="00F95752">
        <w:t xml:space="preserve"> – </w:t>
      </w:r>
      <w:r>
        <w:t>These are year- and indicator -specific targets for CTE Concentrators expressed as a percentage.</w:t>
      </w:r>
    </w:p>
    <w:p w14:paraId="47B47B56" w14:textId="77777777" w:rsidR="007542E2" w:rsidRPr="00C56804" w:rsidRDefault="007542E2" w:rsidP="007542E2">
      <w:pPr>
        <w:pStyle w:val="ListParagraph"/>
        <w:numPr>
          <w:ilvl w:val="0"/>
          <w:numId w:val="44"/>
        </w:numPr>
      </w:pPr>
      <w:r w:rsidRPr="00686D26">
        <w:rPr>
          <w:i/>
          <w:iCs/>
        </w:rPr>
        <w:t>Actual Performance</w:t>
      </w:r>
      <w:r>
        <w:t xml:space="preserve"> – These are year- and indicator -specific results from assessing CTE Concentrator activity. General Calculation: </w:t>
      </w:r>
      <w:r w:rsidRPr="00686D26">
        <w:t>Actual Performance = Number of students meeting criteria for numerator DIVIDED BY Number of students meeting criteria for denominator</w:t>
      </w:r>
    </w:p>
    <w:p w14:paraId="71EC72AC" w14:textId="77777777" w:rsidR="007542E2" w:rsidRDefault="007542E2" w:rsidP="007542E2">
      <w:pPr>
        <w:pStyle w:val="Heading2"/>
      </w:pPr>
      <w:bookmarkStart w:id="36" w:name="_Toc155258781"/>
      <w:bookmarkStart w:id="37" w:name="_Toc155265230"/>
      <w:r>
        <w:t>Performance Type</w:t>
      </w:r>
      <w:bookmarkEnd w:id="36"/>
      <w:bookmarkEnd w:id="37"/>
    </w:p>
    <w:p w14:paraId="16F827EC" w14:textId="77777777" w:rsidR="007542E2" w:rsidRPr="00C56804" w:rsidRDefault="007542E2" w:rsidP="007542E2">
      <w:r w:rsidRPr="00C56804">
        <w:t xml:space="preserve">There are three </w:t>
      </w:r>
      <w:r>
        <w:t>Performance Types (AKA 90% Status) in Perkins CTE applied to each Performance Indicator result each report year.</w:t>
      </w:r>
    </w:p>
    <w:p w14:paraId="492050E4" w14:textId="77777777" w:rsidR="007542E2" w:rsidRPr="00C56804" w:rsidRDefault="007542E2" w:rsidP="007542E2">
      <w:pPr>
        <w:pStyle w:val="ListParagraph"/>
        <w:numPr>
          <w:ilvl w:val="0"/>
          <w:numId w:val="43"/>
        </w:numPr>
        <w:spacing w:before="0" w:after="160" w:line="259" w:lineRule="auto"/>
      </w:pPr>
      <w:r w:rsidRPr="00C56804">
        <w:t xml:space="preserve">Met or </w:t>
      </w:r>
      <w:r>
        <w:t>E</w:t>
      </w:r>
      <w:r w:rsidRPr="00C56804">
        <w:t xml:space="preserve">xceeded </w:t>
      </w:r>
      <w:r>
        <w:t>P</w:t>
      </w:r>
      <w:r w:rsidRPr="00C56804">
        <w:t xml:space="preserve">erformance </w:t>
      </w:r>
      <w:r>
        <w:t>T</w:t>
      </w:r>
      <w:r w:rsidRPr="00C56804">
        <w:t>arget</w:t>
      </w:r>
    </w:p>
    <w:p w14:paraId="77CC1198" w14:textId="77777777" w:rsidR="007542E2" w:rsidRPr="00C56804" w:rsidRDefault="007542E2" w:rsidP="007542E2">
      <w:pPr>
        <w:pStyle w:val="ListParagraph"/>
        <w:numPr>
          <w:ilvl w:val="0"/>
          <w:numId w:val="43"/>
        </w:numPr>
        <w:spacing w:before="0" w:after="160" w:line="259" w:lineRule="auto"/>
      </w:pPr>
      <w:r>
        <w:t>In 90% Range</w:t>
      </w:r>
    </w:p>
    <w:p w14:paraId="6ACBDB18" w14:textId="77777777" w:rsidR="007542E2" w:rsidRDefault="007542E2" w:rsidP="007542E2">
      <w:pPr>
        <w:pStyle w:val="ListParagraph"/>
        <w:numPr>
          <w:ilvl w:val="0"/>
          <w:numId w:val="43"/>
        </w:numPr>
        <w:spacing w:before="0" w:after="160" w:line="259" w:lineRule="auto"/>
      </w:pPr>
      <w:r w:rsidRPr="00C56804">
        <w:t xml:space="preserve">Below 90% </w:t>
      </w:r>
      <w:r>
        <w:t>L</w:t>
      </w:r>
      <w:r w:rsidRPr="00C56804">
        <w:t>evel</w:t>
      </w:r>
    </w:p>
    <w:p w14:paraId="29A110B2" w14:textId="77777777" w:rsidR="007542E2" w:rsidRPr="003A03DE" w:rsidRDefault="007542E2" w:rsidP="007542E2">
      <w:pPr>
        <w:pStyle w:val="Heading3"/>
      </w:pPr>
      <w:bookmarkStart w:id="38" w:name="_Toc155258782"/>
      <w:r w:rsidRPr="003A03DE">
        <w:t>Met or Exceeded Target</w:t>
      </w:r>
      <w:bookmarkEnd w:id="38"/>
    </w:p>
    <w:p w14:paraId="230A4293" w14:textId="77777777" w:rsidR="007542E2" w:rsidRDefault="007542E2" w:rsidP="00C03FF3">
      <w:pPr>
        <w:spacing w:before="0"/>
        <w:rPr>
          <w:b/>
        </w:rPr>
      </w:pPr>
      <w:r w:rsidRPr="00C56804">
        <w:t xml:space="preserve">This is the highest </w:t>
      </w:r>
      <w:r w:rsidRPr="00A03D7F">
        <w:rPr>
          <w:bCs/>
        </w:rPr>
        <w:t>performance type</w:t>
      </w:r>
      <w:r>
        <w:rPr>
          <w:bCs/>
        </w:rPr>
        <w:t xml:space="preserve"> level</w:t>
      </w:r>
      <w:r w:rsidRPr="00C56804">
        <w:t xml:space="preserve"> and indicates that the area or group assessed has reached or surpassed the indicator-specific target </w:t>
      </w:r>
      <w:r>
        <w:t xml:space="preserve">(SDPL) </w:t>
      </w:r>
      <w:r w:rsidRPr="00C56804">
        <w:t>for that report year.</w:t>
      </w:r>
    </w:p>
    <w:p w14:paraId="5BA8C6EF" w14:textId="77777777" w:rsidR="007542E2" w:rsidRPr="003A03DE" w:rsidRDefault="007542E2" w:rsidP="007542E2">
      <w:pPr>
        <w:pStyle w:val="Heading3"/>
      </w:pPr>
      <w:bookmarkStart w:id="39" w:name="_Toc155258783"/>
      <w:r w:rsidRPr="003A03DE">
        <w:t>In 90% Range</w:t>
      </w:r>
      <w:bookmarkEnd w:id="39"/>
    </w:p>
    <w:p w14:paraId="74E4AE3D" w14:textId="77777777" w:rsidR="007542E2" w:rsidRDefault="007542E2" w:rsidP="00C03FF3">
      <w:pPr>
        <w:spacing w:before="0"/>
        <w:rPr>
          <w:b/>
        </w:rPr>
      </w:pPr>
      <w:r w:rsidRPr="00C10A92">
        <w:t xml:space="preserve">This </w:t>
      </w:r>
      <w:r w:rsidRPr="00A03D7F">
        <w:rPr>
          <w:bCs/>
        </w:rPr>
        <w:t>performance type level is applied</w:t>
      </w:r>
      <w:r>
        <w:t xml:space="preserve"> when the actual performance is </w:t>
      </w:r>
      <w:r w:rsidRPr="00C10A92">
        <w:t xml:space="preserve">within 10% of the indicator-specific target for that report year. </w:t>
      </w:r>
    </w:p>
    <w:p w14:paraId="03FD5E30" w14:textId="77777777" w:rsidR="007542E2" w:rsidRPr="003A03DE" w:rsidRDefault="007542E2" w:rsidP="007542E2">
      <w:pPr>
        <w:pStyle w:val="Heading3"/>
      </w:pPr>
      <w:bookmarkStart w:id="40" w:name="_Toc155258784"/>
      <w:r w:rsidRPr="003A03DE">
        <w:t xml:space="preserve">Did not </w:t>
      </w:r>
      <w:r w:rsidRPr="00686D26">
        <w:t>Meet</w:t>
      </w:r>
      <w:r w:rsidRPr="003A03DE">
        <w:t xml:space="preserve"> 90% of Target</w:t>
      </w:r>
      <w:bookmarkEnd w:id="40"/>
    </w:p>
    <w:p w14:paraId="2A130D03" w14:textId="77777777" w:rsidR="007542E2" w:rsidRDefault="007542E2" w:rsidP="00C03FF3">
      <w:pPr>
        <w:spacing w:before="0" w:after="240"/>
      </w:pPr>
      <w:r>
        <w:t xml:space="preserve">This performance type level is applied when actual performance is less than 90% of the target. If Oregon or a Perkins subgrantee has a result with this performance type, they must evaluate the performance and develop and submit an improvement plan. </w:t>
      </w:r>
    </w:p>
    <w:p w14:paraId="37E7010F" w14:textId="77777777" w:rsidR="007542E2" w:rsidRPr="00183475" w:rsidRDefault="007542E2" w:rsidP="007542E2">
      <w:r w:rsidRPr="00183475">
        <w:rPr>
          <w:b/>
          <w:bCs/>
        </w:rPr>
        <w:t xml:space="preserve">What happens if the State or Local Recipient </w:t>
      </w:r>
      <w:r w:rsidRPr="00183475">
        <w:rPr>
          <w:b/>
          <w:bCs/>
          <w:i/>
          <w:iCs/>
        </w:rPr>
        <w:t>does not meet</w:t>
      </w:r>
      <w:r w:rsidRPr="00183475">
        <w:rPr>
          <w:b/>
          <w:bCs/>
        </w:rPr>
        <w:t xml:space="preserve"> 90% of a given Performance Level?</w:t>
      </w:r>
    </w:p>
    <w:p w14:paraId="3420758A" w14:textId="77777777" w:rsidR="007542E2" w:rsidRPr="00183475" w:rsidRDefault="007542E2" w:rsidP="007542E2">
      <w:pPr>
        <w:numPr>
          <w:ilvl w:val="0"/>
          <w:numId w:val="45"/>
        </w:numPr>
        <w:spacing w:before="0" w:after="160" w:line="259" w:lineRule="auto"/>
      </w:pPr>
      <w:r w:rsidRPr="00183475">
        <w:t>They must include an improvement plan on how they will address the shortfall</w:t>
      </w:r>
      <w:r>
        <w:t>.</w:t>
      </w:r>
    </w:p>
    <w:p w14:paraId="5C4A07D9" w14:textId="77777777" w:rsidR="007542E2" w:rsidRPr="00183475" w:rsidRDefault="007542E2" w:rsidP="007542E2">
      <w:pPr>
        <w:numPr>
          <w:ilvl w:val="0"/>
          <w:numId w:val="45"/>
        </w:numPr>
        <w:spacing w:before="0" w:after="160" w:line="259" w:lineRule="auto"/>
      </w:pPr>
      <w:r w:rsidRPr="00183475">
        <w:t>The</w:t>
      </w:r>
      <w:r>
        <w:t>y</w:t>
      </w:r>
      <w:r w:rsidRPr="00183475">
        <w:t xml:space="preserve"> cannot change performance levels while on an improvement plan</w:t>
      </w:r>
      <w:r>
        <w:t>.</w:t>
      </w:r>
    </w:p>
    <w:p w14:paraId="6D1E9F8F" w14:textId="53BE123B" w:rsidR="007542E2" w:rsidRPr="007542E2" w:rsidRDefault="007542E2" w:rsidP="007542E2">
      <w:pPr>
        <w:numPr>
          <w:ilvl w:val="0"/>
          <w:numId w:val="45"/>
        </w:numPr>
        <w:spacing w:before="0" w:after="160" w:line="259" w:lineRule="auto"/>
      </w:pPr>
      <w:r w:rsidRPr="00183475">
        <w:t>If they do not make progress on meeting the performance level after three years, they c</w:t>
      </w:r>
      <w:r>
        <w:t>ould</w:t>
      </w:r>
      <w:r w:rsidRPr="00183475">
        <w:t xml:space="preserve"> have their use of funds directed by the granting agency and/or risk losing funds</w:t>
      </w:r>
      <w:r>
        <w:t>.</w:t>
      </w:r>
    </w:p>
    <w:p w14:paraId="59FFF362" w14:textId="476E0D0F" w:rsidR="002A72AB" w:rsidRPr="002A72AB" w:rsidRDefault="009A652E" w:rsidP="009A652E">
      <w:pPr>
        <w:pStyle w:val="Heading2"/>
      </w:pPr>
      <w:bookmarkStart w:id="41" w:name="_Toc155258785"/>
      <w:bookmarkStart w:id="42" w:name="_Toc155265231"/>
      <w:bookmarkStart w:id="43" w:name="_Toc97135145"/>
      <w:bookmarkStart w:id="44" w:name="_Toc98829381"/>
      <w:bookmarkEnd w:id="4"/>
      <w:bookmarkEnd w:id="5"/>
      <w:bookmarkEnd w:id="6"/>
      <w:r>
        <w:lastRenderedPageBreak/>
        <w:t>Performance Targets</w:t>
      </w:r>
      <w:bookmarkEnd w:id="41"/>
      <w:bookmarkEnd w:id="42"/>
    </w:p>
    <w:tbl>
      <w:tblPr>
        <w:tblStyle w:val="MediumList2-Accent1"/>
        <w:tblW w:w="5000" w:type="pct"/>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tblBorders>
        <w:tblLook w:val="04A0" w:firstRow="1" w:lastRow="0" w:firstColumn="1" w:lastColumn="0" w:noHBand="0" w:noVBand="1"/>
        <w:tblCaption w:val="Perkins V Secondary Performance Measures and Adjusted Performance Targets"/>
        <w:tblDescription w:val="The table shows the ODE adjusted performance target for each of eight secondary performance measures across four school years. The school years are 2020-2021 through 2023-2024 school year."/>
      </w:tblPr>
      <w:tblGrid>
        <w:gridCol w:w="4435"/>
        <w:gridCol w:w="1445"/>
        <w:gridCol w:w="1250"/>
        <w:gridCol w:w="1349"/>
        <w:gridCol w:w="1541"/>
      </w:tblGrid>
      <w:tr w:rsidR="002E293A" w14:paraId="1B56F0B7" w14:textId="77777777" w:rsidTr="009A652E">
        <w:trPr>
          <w:cnfStyle w:val="100000000000" w:firstRow="1" w:lastRow="0" w:firstColumn="0" w:lastColumn="0" w:oddVBand="0" w:evenVBand="0" w:oddHBand="0" w:evenHBand="0" w:firstRowFirstColumn="0" w:firstRowLastColumn="0" w:lastRowFirstColumn="0" w:lastRowLastColumn="0"/>
          <w:trHeight w:val="657"/>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shd w:val="clear" w:color="auto" w:fill="D4D4D4"/>
            <w:noWrap/>
            <w:vAlign w:val="bottom"/>
          </w:tcPr>
          <w:p w14:paraId="18F725C5" w14:textId="77777777" w:rsidR="002E293A" w:rsidRPr="009A652E" w:rsidRDefault="002E293A" w:rsidP="00AE3209">
            <w:pPr>
              <w:rPr>
                <w:rFonts w:eastAsiaTheme="minorEastAsia"/>
                <w:b/>
                <w:bCs/>
                <w:sz w:val="20"/>
                <w:szCs w:val="20"/>
              </w:rPr>
            </w:pPr>
            <w:r w:rsidRPr="009A652E">
              <w:rPr>
                <w:rFonts w:eastAsiaTheme="minorEastAsia"/>
                <w:b/>
                <w:bCs/>
                <w:sz w:val="20"/>
                <w:szCs w:val="20"/>
              </w:rPr>
              <w:t>Secondary Performance Metric</w:t>
            </w:r>
          </w:p>
        </w:tc>
        <w:tc>
          <w:tcPr>
            <w:tcW w:w="721" w:type="pct"/>
            <w:tcBorders>
              <w:top w:val="none" w:sz="0" w:space="0" w:color="auto"/>
              <w:left w:val="none" w:sz="0" w:space="0" w:color="auto"/>
              <w:bottom w:val="none" w:sz="0" w:space="0" w:color="auto"/>
              <w:right w:val="none" w:sz="0" w:space="0" w:color="auto"/>
            </w:tcBorders>
            <w:shd w:val="clear" w:color="auto" w:fill="D4D4D4"/>
          </w:tcPr>
          <w:p w14:paraId="5C70B25C" w14:textId="77777777" w:rsidR="002E293A" w:rsidRPr="009A652E"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sz w:val="20"/>
                <w:szCs w:val="20"/>
              </w:rPr>
            </w:pPr>
            <w:r w:rsidRPr="009A652E">
              <w:rPr>
                <w:rFonts w:eastAsiaTheme="minorEastAsia"/>
                <w:b/>
                <w:bCs/>
                <w:sz w:val="20"/>
                <w:szCs w:val="20"/>
              </w:rPr>
              <w:t>Adj Target 20-21</w:t>
            </w:r>
          </w:p>
        </w:tc>
        <w:tc>
          <w:tcPr>
            <w:tcW w:w="624" w:type="pct"/>
            <w:tcBorders>
              <w:top w:val="none" w:sz="0" w:space="0" w:color="auto"/>
              <w:left w:val="none" w:sz="0" w:space="0" w:color="auto"/>
              <w:bottom w:val="none" w:sz="0" w:space="0" w:color="auto"/>
              <w:right w:val="none" w:sz="0" w:space="0" w:color="auto"/>
            </w:tcBorders>
            <w:shd w:val="clear" w:color="auto" w:fill="D4D4D4"/>
          </w:tcPr>
          <w:p w14:paraId="6A774B4F" w14:textId="77777777" w:rsidR="002E293A" w:rsidRPr="009A652E"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sz w:val="20"/>
                <w:szCs w:val="20"/>
              </w:rPr>
            </w:pPr>
            <w:r w:rsidRPr="009A652E">
              <w:rPr>
                <w:rFonts w:eastAsiaTheme="minorEastAsia"/>
                <w:b/>
                <w:bCs/>
                <w:sz w:val="20"/>
                <w:szCs w:val="20"/>
              </w:rPr>
              <w:t>Adj Target 21-22</w:t>
            </w:r>
          </w:p>
        </w:tc>
        <w:tc>
          <w:tcPr>
            <w:tcW w:w="673" w:type="pct"/>
            <w:tcBorders>
              <w:top w:val="none" w:sz="0" w:space="0" w:color="auto"/>
              <w:left w:val="none" w:sz="0" w:space="0" w:color="auto"/>
              <w:bottom w:val="none" w:sz="0" w:space="0" w:color="auto"/>
              <w:right w:val="none" w:sz="0" w:space="0" w:color="auto"/>
            </w:tcBorders>
            <w:shd w:val="clear" w:color="auto" w:fill="D4D4D4"/>
          </w:tcPr>
          <w:p w14:paraId="7D91185F" w14:textId="77777777" w:rsidR="002E293A" w:rsidRPr="009A652E"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sz w:val="20"/>
                <w:szCs w:val="20"/>
              </w:rPr>
            </w:pPr>
            <w:r w:rsidRPr="009A652E">
              <w:rPr>
                <w:rFonts w:eastAsiaTheme="minorEastAsia"/>
                <w:b/>
                <w:bCs/>
                <w:sz w:val="20"/>
                <w:szCs w:val="20"/>
              </w:rPr>
              <w:t>Adj Target 22-23</w:t>
            </w:r>
          </w:p>
        </w:tc>
        <w:tc>
          <w:tcPr>
            <w:tcW w:w="769" w:type="pct"/>
            <w:tcBorders>
              <w:top w:val="none" w:sz="0" w:space="0" w:color="auto"/>
              <w:left w:val="none" w:sz="0" w:space="0" w:color="auto"/>
              <w:bottom w:val="none" w:sz="0" w:space="0" w:color="auto"/>
              <w:right w:val="none" w:sz="0" w:space="0" w:color="auto"/>
            </w:tcBorders>
            <w:shd w:val="clear" w:color="auto" w:fill="D4D4D4"/>
          </w:tcPr>
          <w:p w14:paraId="4260EC52" w14:textId="77777777" w:rsidR="002E293A" w:rsidRPr="009A652E"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sz w:val="20"/>
                <w:szCs w:val="20"/>
              </w:rPr>
            </w:pPr>
            <w:r w:rsidRPr="009A652E">
              <w:rPr>
                <w:rFonts w:eastAsiaTheme="minorEastAsia"/>
                <w:b/>
                <w:bCs/>
                <w:sz w:val="20"/>
                <w:szCs w:val="20"/>
              </w:rPr>
              <w:t>Adj Target 23-24</w:t>
            </w:r>
          </w:p>
        </w:tc>
      </w:tr>
      <w:tr w:rsidR="002E293A" w14:paraId="096E2264" w14:textId="77777777" w:rsidTr="009A652E">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noWrap/>
          </w:tcPr>
          <w:p w14:paraId="715D57AC" w14:textId="77777777" w:rsidR="002E293A" w:rsidRPr="00DB11D7" w:rsidRDefault="002E293A" w:rsidP="00AE3209">
            <w:pPr>
              <w:rPr>
                <w:rFonts w:eastAsiaTheme="minorEastAsia"/>
              </w:rPr>
            </w:pPr>
            <w:r w:rsidRPr="00DB11D7">
              <w:rPr>
                <w:rFonts w:eastAsiaTheme="minorEastAsia"/>
              </w:rPr>
              <w:t>1S1 Four-Year Graduation Rate</w:t>
            </w:r>
          </w:p>
        </w:tc>
        <w:tc>
          <w:tcPr>
            <w:tcW w:w="721" w:type="pct"/>
            <w:tcBorders>
              <w:top w:val="none" w:sz="0" w:space="0" w:color="auto"/>
              <w:left w:val="none" w:sz="0" w:space="0" w:color="auto"/>
              <w:bottom w:val="none" w:sz="0" w:space="0" w:color="auto"/>
              <w:right w:val="none" w:sz="0" w:space="0" w:color="auto"/>
            </w:tcBorders>
          </w:tcPr>
          <w:p w14:paraId="24F94E5B"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89.5%</w:t>
            </w:r>
          </w:p>
        </w:tc>
        <w:tc>
          <w:tcPr>
            <w:tcW w:w="624" w:type="pct"/>
            <w:tcBorders>
              <w:top w:val="none" w:sz="0" w:space="0" w:color="auto"/>
              <w:left w:val="none" w:sz="0" w:space="0" w:color="auto"/>
              <w:bottom w:val="none" w:sz="0" w:space="0" w:color="auto"/>
              <w:right w:val="none" w:sz="0" w:space="0" w:color="auto"/>
            </w:tcBorders>
          </w:tcPr>
          <w:p w14:paraId="0B3FD00E"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90%</w:t>
            </w:r>
          </w:p>
        </w:tc>
        <w:tc>
          <w:tcPr>
            <w:tcW w:w="673"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2A1D5824" w14:textId="77777777" w:rsidR="002E293A" w:rsidRPr="00C27DD4"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rPr>
            </w:pPr>
            <w:r w:rsidRPr="00C27DD4">
              <w:rPr>
                <w:rFonts w:eastAsiaTheme="minorEastAsia"/>
                <w:b/>
                <w:bCs/>
              </w:rPr>
              <w:t>90.5%</w:t>
            </w:r>
          </w:p>
        </w:tc>
        <w:tc>
          <w:tcPr>
            <w:tcW w:w="769" w:type="pct"/>
            <w:tcBorders>
              <w:top w:val="none" w:sz="0" w:space="0" w:color="auto"/>
              <w:left w:val="none" w:sz="0" w:space="0" w:color="auto"/>
              <w:bottom w:val="none" w:sz="0" w:space="0" w:color="auto"/>
              <w:right w:val="none" w:sz="0" w:space="0" w:color="auto"/>
            </w:tcBorders>
          </w:tcPr>
          <w:p w14:paraId="42CB399D"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91%</w:t>
            </w:r>
          </w:p>
        </w:tc>
      </w:tr>
      <w:tr w:rsidR="002E293A" w14:paraId="314284EB" w14:textId="77777777" w:rsidTr="009A652E">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noWrap/>
          </w:tcPr>
          <w:p w14:paraId="612A0E73" w14:textId="77777777" w:rsidR="002E293A" w:rsidRPr="00DB11D7" w:rsidRDefault="002E293A" w:rsidP="00AE3209">
            <w:pPr>
              <w:rPr>
                <w:rFonts w:eastAsiaTheme="minorEastAsia"/>
              </w:rPr>
            </w:pPr>
            <w:r w:rsidRPr="00DB11D7">
              <w:rPr>
                <w:rFonts w:eastAsiaTheme="minorEastAsia"/>
              </w:rPr>
              <w:t>1S2 Extended Graduation Rate</w:t>
            </w:r>
          </w:p>
        </w:tc>
        <w:tc>
          <w:tcPr>
            <w:tcW w:w="721" w:type="pct"/>
            <w:tcBorders>
              <w:top w:val="none" w:sz="0" w:space="0" w:color="auto"/>
              <w:left w:val="none" w:sz="0" w:space="0" w:color="auto"/>
              <w:bottom w:val="none" w:sz="0" w:space="0" w:color="auto"/>
              <w:right w:val="none" w:sz="0" w:space="0" w:color="auto"/>
            </w:tcBorders>
          </w:tcPr>
          <w:p w14:paraId="25792D7E"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90%</w:t>
            </w:r>
          </w:p>
        </w:tc>
        <w:tc>
          <w:tcPr>
            <w:tcW w:w="624" w:type="pct"/>
            <w:tcBorders>
              <w:top w:val="none" w:sz="0" w:space="0" w:color="auto"/>
              <w:left w:val="none" w:sz="0" w:space="0" w:color="auto"/>
              <w:bottom w:val="none" w:sz="0" w:space="0" w:color="auto"/>
              <w:right w:val="none" w:sz="0" w:space="0" w:color="auto"/>
            </w:tcBorders>
          </w:tcPr>
          <w:p w14:paraId="34D2FAD7"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90.5%</w:t>
            </w:r>
          </w:p>
        </w:tc>
        <w:tc>
          <w:tcPr>
            <w:tcW w:w="673"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1CEDC933" w14:textId="77777777" w:rsidR="002E293A" w:rsidRPr="00C27DD4"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rPr>
            </w:pPr>
            <w:r w:rsidRPr="00C27DD4">
              <w:rPr>
                <w:rFonts w:eastAsiaTheme="minorEastAsia"/>
                <w:b/>
                <w:bCs/>
              </w:rPr>
              <w:t>91%</w:t>
            </w:r>
          </w:p>
        </w:tc>
        <w:tc>
          <w:tcPr>
            <w:tcW w:w="769" w:type="pct"/>
            <w:tcBorders>
              <w:top w:val="none" w:sz="0" w:space="0" w:color="auto"/>
              <w:left w:val="none" w:sz="0" w:space="0" w:color="auto"/>
              <w:bottom w:val="none" w:sz="0" w:space="0" w:color="auto"/>
              <w:right w:val="none" w:sz="0" w:space="0" w:color="auto"/>
            </w:tcBorders>
          </w:tcPr>
          <w:p w14:paraId="694C5AC1"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91.5</w:t>
            </w:r>
            <w:r>
              <w:rPr>
                <w:rFonts w:eastAsiaTheme="minorEastAsia"/>
              </w:rPr>
              <w:t>%</w:t>
            </w:r>
          </w:p>
        </w:tc>
      </w:tr>
      <w:tr w:rsidR="002E293A" w14:paraId="6B90D9CB" w14:textId="77777777" w:rsidTr="009A652E">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noWrap/>
          </w:tcPr>
          <w:p w14:paraId="5FF1E6F0" w14:textId="77777777" w:rsidR="002E293A" w:rsidRPr="00DB11D7" w:rsidRDefault="002E293A" w:rsidP="00AE3209">
            <w:pPr>
              <w:rPr>
                <w:rFonts w:eastAsiaTheme="minorEastAsia"/>
              </w:rPr>
            </w:pPr>
            <w:r w:rsidRPr="00DB11D7">
              <w:rPr>
                <w:rFonts w:eastAsiaTheme="minorEastAsia"/>
              </w:rPr>
              <w:t>2S1 Reading/Language Arts Proficiency</w:t>
            </w:r>
          </w:p>
        </w:tc>
        <w:tc>
          <w:tcPr>
            <w:tcW w:w="721" w:type="pct"/>
            <w:tcBorders>
              <w:top w:val="none" w:sz="0" w:space="0" w:color="auto"/>
              <w:left w:val="none" w:sz="0" w:space="0" w:color="auto"/>
              <w:bottom w:val="none" w:sz="0" w:space="0" w:color="auto"/>
              <w:right w:val="none" w:sz="0" w:space="0" w:color="auto"/>
            </w:tcBorders>
          </w:tcPr>
          <w:p w14:paraId="5E356E89"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68%</w:t>
            </w:r>
          </w:p>
        </w:tc>
        <w:tc>
          <w:tcPr>
            <w:tcW w:w="624" w:type="pct"/>
            <w:tcBorders>
              <w:top w:val="none" w:sz="0" w:space="0" w:color="auto"/>
              <w:left w:val="none" w:sz="0" w:space="0" w:color="auto"/>
              <w:bottom w:val="none" w:sz="0" w:space="0" w:color="auto"/>
              <w:right w:val="none" w:sz="0" w:space="0" w:color="auto"/>
            </w:tcBorders>
          </w:tcPr>
          <w:p w14:paraId="42DE6672"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64.4%</w:t>
            </w:r>
          </w:p>
        </w:tc>
        <w:tc>
          <w:tcPr>
            <w:tcW w:w="673"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690CF3BC" w14:textId="77777777" w:rsidR="002E293A" w:rsidRPr="00C27DD4"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rPr>
            </w:pPr>
            <w:r w:rsidRPr="00C27DD4">
              <w:rPr>
                <w:rFonts w:eastAsiaTheme="minorEastAsia"/>
                <w:b/>
                <w:bCs/>
              </w:rPr>
              <w:t>72.9%</w:t>
            </w:r>
          </w:p>
        </w:tc>
        <w:tc>
          <w:tcPr>
            <w:tcW w:w="769" w:type="pct"/>
            <w:tcBorders>
              <w:top w:val="none" w:sz="0" w:space="0" w:color="auto"/>
              <w:left w:val="none" w:sz="0" w:space="0" w:color="auto"/>
              <w:bottom w:val="none" w:sz="0" w:space="0" w:color="auto"/>
              <w:right w:val="none" w:sz="0" w:space="0" w:color="auto"/>
            </w:tcBorders>
          </w:tcPr>
          <w:p w14:paraId="30EF68B6"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77.43%</w:t>
            </w:r>
          </w:p>
        </w:tc>
      </w:tr>
      <w:tr w:rsidR="002E293A" w14:paraId="5008B959" w14:textId="77777777" w:rsidTr="009A652E">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noWrap/>
          </w:tcPr>
          <w:p w14:paraId="2F002C1F" w14:textId="77777777" w:rsidR="002E293A" w:rsidRPr="00DB11D7" w:rsidRDefault="002E293A" w:rsidP="00AE3209">
            <w:pPr>
              <w:rPr>
                <w:rFonts w:eastAsiaTheme="minorEastAsia"/>
              </w:rPr>
            </w:pPr>
            <w:r w:rsidRPr="00DB11D7">
              <w:rPr>
                <w:rFonts w:eastAsiaTheme="minorEastAsia"/>
              </w:rPr>
              <w:t>2S2 Mathematics Proficiency</w:t>
            </w:r>
          </w:p>
        </w:tc>
        <w:tc>
          <w:tcPr>
            <w:tcW w:w="721" w:type="pct"/>
            <w:tcBorders>
              <w:top w:val="none" w:sz="0" w:space="0" w:color="auto"/>
              <w:left w:val="none" w:sz="0" w:space="0" w:color="auto"/>
              <w:bottom w:val="none" w:sz="0" w:space="0" w:color="auto"/>
              <w:right w:val="none" w:sz="0" w:space="0" w:color="auto"/>
            </w:tcBorders>
          </w:tcPr>
          <w:p w14:paraId="34A95FFA"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35.7%</w:t>
            </w:r>
          </w:p>
        </w:tc>
        <w:tc>
          <w:tcPr>
            <w:tcW w:w="624" w:type="pct"/>
            <w:tcBorders>
              <w:top w:val="none" w:sz="0" w:space="0" w:color="auto"/>
              <w:left w:val="none" w:sz="0" w:space="0" w:color="auto"/>
              <w:bottom w:val="none" w:sz="0" w:space="0" w:color="auto"/>
              <w:right w:val="none" w:sz="0" w:space="0" w:color="auto"/>
            </w:tcBorders>
          </w:tcPr>
          <w:p w14:paraId="60D3D4EE"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34.4%</w:t>
            </w:r>
          </w:p>
        </w:tc>
        <w:tc>
          <w:tcPr>
            <w:tcW w:w="673"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399CA9DE" w14:textId="77777777" w:rsidR="002E293A" w:rsidRPr="00C27DD4"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rPr>
            </w:pPr>
            <w:r w:rsidRPr="00C27DD4">
              <w:rPr>
                <w:rFonts w:eastAsiaTheme="minorEastAsia"/>
                <w:b/>
                <w:bCs/>
              </w:rPr>
              <w:t>39.6%</w:t>
            </w:r>
          </w:p>
        </w:tc>
        <w:tc>
          <w:tcPr>
            <w:tcW w:w="769" w:type="pct"/>
            <w:tcBorders>
              <w:top w:val="none" w:sz="0" w:space="0" w:color="auto"/>
              <w:left w:val="none" w:sz="0" w:space="0" w:color="auto"/>
              <w:bottom w:val="none" w:sz="0" w:space="0" w:color="auto"/>
              <w:right w:val="none" w:sz="0" w:space="0" w:color="auto"/>
            </w:tcBorders>
          </w:tcPr>
          <w:p w14:paraId="4A2D89B5"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42.75%</w:t>
            </w:r>
          </w:p>
        </w:tc>
      </w:tr>
      <w:tr w:rsidR="002E293A" w14:paraId="1820EA7C" w14:textId="77777777" w:rsidTr="009A652E">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noWrap/>
          </w:tcPr>
          <w:p w14:paraId="79BB67F1" w14:textId="77777777" w:rsidR="002E293A" w:rsidRPr="00DB11D7" w:rsidRDefault="002E293A" w:rsidP="00AE3209">
            <w:pPr>
              <w:rPr>
                <w:rFonts w:eastAsiaTheme="minorEastAsia"/>
              </w:rPr>
            </w:pPr>
            <w:r w:rsidRPr="00DB11D7">
              <w:rPr>
                <w:rFonts w:eastAsiaTheme="minorEastAsia"/>
              </w:rPr>
              <w:t>2S3 Science Proficiency</w:t>
            </w:r>
          </w:p>
        </w:tc>
        <w:tc>
          <w:tcPr>
            <w:tcW w:w="721" w:type="pct"/>
            <w:tcBorders>
              <w:top w:val="none" w:sz="0" w:space="0" w:color="auto"/>
              <w:left w:val="none" w:sz="0" w:space="0" w:color="auto"/>
              <w:bottom w:val="none" w:sz="0" w:space="0" w:color="auto"/>
              <w:right w:val="none" w:sz="0" w:space="0" w:color="auto"/>
            </w:tcBorders>
          </w:tcPr>
          <w:p w14:paraId="258F75E0"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45.9%</w:t>
            </w:r>
          </w:p>
        </w:tc>
        <w:tc>
          <w:tcPr>
            <w:tcW w:w="624" w:type="pct"/>
            <w:tcBorders>
              <w:top w:val="none" w:sz="0" w:space="0" w:color="auto"/>
              <w:left w:val="none" w:sz="0" w:space="0" w:color="auto"/>
              <w:bottom w:val="none" w:sz="0" w:space="0" w:color="auto"/>
              <w:right w:val="none" w:sz="0" w:space="0" w:color="auto"/>
            </w:tcBorders>
          </w:tcPr>
          <w:p w14:paraId="0BA9C674"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44%</w:t>
            </w:r>
          </w:p>
        </w:tc>
        <w:tc>
          <w:tcPr>
            <w:tcW w:w="673"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0B2F0CD6" w14:textId="77777777" w:rsidR="002E293A" w:rsidRPr="00C27DD4"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rPr>
            </w:pPr>
            <w:r w:rsidRPr="00C27DD4">
              <w:rPr>
                <w:rFonts w:eastAsiaTheme="minorEastAsia"/>
                <w:b/>
                <w:bCs/>
              </w:rPr>
              <w:t>50.4%</w:t>
            </w:r>
          </w:p>
        </w:tc>
        <w:tc>
          <w:tcPr>
            <w:tcW w:w="769" w:type="pct"/>
            <w:tcBorders>
              <w:top w:val="none" w:sz="0" w:space="0" w:color="auto"/>
              <w:left w:val="none" w:sz="0" w:space="0" w:color="auto"/>
              <w:bottom w:val="none" w:sz="0" w:space="0" w:color="auto"/>
              <w:right w:val="none" w:sz="0" w:space="0" w:color="auto"/>
            </w:tcBorders>
          </w:tcPr>
          <w:p w14:paraId="270C262A"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54.15%</w:t>
            </w:r>
          </w:p>
        </w:tc>
      </w:tr>
      <w:tr w:rsidR="002E293A" w14:paraId="28802DD1" w14:textId="77777777" w:rsidTr="009A652E">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noWrap/>
          </w:tcPr>
          <w:p w14:paraId="41D046A0" w14:textId="77777777" w:rsidR="002E293A" w:rsidRPr="00DB11D7" w:rsidRDefault="002E293A" w:rsidP="00AE3209">
            <w:pPr>
              <w:rPr>
                <w:rFonts w:eastAsiaTheme="minorEastAsia"/>
              </w:rPr>
            </w:pPr>
            <w:r w:rsidRPr="00DB11D7">
              <w:rPr>
                <w:rFonts w:eastAsiaTheme="minorEastAsia"/>
              </w:rPr>
              <w:t>3S1 Post-Program Placement</w:t>
            </w:r>
          </w:p>
        </w:tc>
        <w:tc>
          <w:tcPr>
            <w:tcW w:w="721" w:type="pct"/>
            <w:tcBorders>
              <w:top w:val="none" w:sz="0" w:space="0" w:color="auto"/>
              <w:left w:val="none" w:sz="0" w:space="0" w:color="auto"/>
              <w:bottom w:val="none" w:sz="0" w:space="0" w:color="auto"/>
              <w:right w:val="none" w:sz="0" w:space="0" w:color="auto"/>
            </w:tcBorders>
          </w:tcPr>
          <w:p w14:paraId="6E324F13"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49.3%</w:t>
            </w:r>
          </w:p>
        </w:tc>
        <w:tc>
          <w:tcPr>
            <w:tcW w:w="624" w:type="pct"/>
            <w:tcBorders>
              <w:top w:val="none" w:sz="0" w:space="0" w:color="auto"/>
              <w:left w:val="none" w:sz="0" w:space="0" w:color="auto"/>
              <w:bottom w:val="none" w:sz="0" w:space="0" w:color="auto"/>
              <w:right w:val="none" w:sz="0" w:space="0" w:color="auto"/>
            </w:tcBorders>
          </w:tcPr>
          <w:p w14:paraId="1B107BC6"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47.2</w:t>
            </w:r>
          </w:p>
        </w:tc>
        <w:tc>
          <w:tcPr>
            <w:tcW w:w="673"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626915BF" w14:textId="77777777" w:rsidR="002E293A" w:rsidRPr="00C27DD4"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rPr>
            </w:pPr>
            <w:r w:rsidRPr="00C27DD4">
              <w:rPr>
                <w:rFonts w:eastAsiaTheme="minorEastAsia"/>
                <w:b/>
                <w:bCs/>
              </w:rPr>
              <w:t>55.8%</w:t>
            </w:r>
          </w:p>
        </w:tc>
        <w:tc>
          <w:tcPr>
            <w:tcW w:w="769" w:type="pct"/>
            <w:tcBorders>
              <w:top w:val="none" w:sz="0" w:space="0" w:color="auto"/>
              <w:left w:val="none" w:sz="0" w:space="0" w:color="auto"/>
              <w:bottom w:val="none" w:sz="0" w:space="0" w:color="auto"/>
              <w:right w:val="none" w:sz="0" w:space="0" w:color="auto"/>
            </w:tcBorders>
          </w:tcPr>
          <w:p w14:paraId="747430C7"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sidRPr="00DB11D7">
              <w:rPr>
                <w:rFonts w:eastAsiaTheme="minorEastAsia"/>
              </w:rPr>
              <w:t>59.85%</w:t>
            </w:r>
          </w:p>
        </w:tc>
      </w:tr>
      <w:tr w:rsidR="002E293A" w14:paraId="2C62CEED" w14:textId="77777777" w:rsidTr="009A652E">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noWrap/>
          </w:tcPr>
          <w:p w14:paraId="586A7794" w14:textId="77777777" w:rsidR="002E293A" w:rsidRPr="00DB11D7" w:rsidRDefault="002E293A" w:rsidP="00AE3209">
            <w:pPr>
              <w:rPr>
                <w:rFonts w:eastAsiaTheme="minorEastAsia"/>
              </w:rPr>
            </w:pPr>
            <w:r w:rsidRPr="00DB11D7">
              <w:rPr>
                <w:rFonts w:eastAsiaTheme="minorEastAsia"/>
              </w:rPr>
              <w:t>4S1 Non-Traditional Prog Concentration</w:t>
            </w:r>
          </w:p>
        </w:tc>
        <w:tc>
          <w:tcPr>
            <w:tcW w:w="721" w:type="pct"/>
            <w:tcBorders>
              <w:top w:val="none" w:sz="0" w:space="0" w:color="auto"/>
              <w:left w:val="none" w:sz="0" w:space="0" w:color="auto"/>
              <w:bottom w:val="none" w:sz="0" w:space="0" w:color="auto"/>
              <w:right w:val="none" w:sz="0" w:space="0" w:color="auto"/>
            </w:tcBorders>
          </w:tcPr>
          <w:p w14:paraId="077A3BA4"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27.5%</w:t>
            </w:r>
          </w:p>
        </w:tc>
        <w:tc>
          <w:tcPr>
            <w:tcW w:w="624" w:type="pct"/>
            <w:tcBorders>
              <w:top w:val="none" w:sz="0" w:space="0" w:color="auto"/>
              <w:left w:val="none" w:sz="0" w:space="0" w:color="auto"/>
              <w:bottom w:val="none" w:sz="0" w:space="0" w:color="auto"/>
              <w:right w:val="none" w:sz="0" w:space="0" w:color="auto"/>
            </w:tcBorders>
          </w:tcPr>
          <w:p w14:paraId="774EB201"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28%</w:t>
            </w:r>
          </w:p>
        </w:tc>
        <w:tc>
          <w:tcPr>
            <w:tcW w:w="673"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210FCFBE" w14:textId="77777777" w:rsidR="002E293A" w:rsidRPr="00C27DD4"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rPr>
            </w:pPr>
            <w:r w:rsidRPr="00C27DD4">
              <w:rPr>
                <w:rFonts w:eastAsiaTheme="minorEastAsia"/>
                <w:b/>
                <w:bCs/>
              </w:rPr>
              <w:t>28.5%</w:t>
            </w:r>
          </w:p>
        </w:tc>
        <w:tc>
          <w:tcPr>
            <w:tcW w:w="769" w:type="pct"/>
            <w:tcBorders>
              <w:top w:val="none" w:sz="0" w:space="0" w:color="auto"/>
              <w:left w:val="none" w:sz="0" w:space="0" w:color="auto"/>
              <w:bottom w:val="none" w:sz="0" w:space="0" w:color="auto"/>
              <w:right w:val="none" w:sz="0" w:space="0" w:color="auto"/>
            </w:tcBorders>
          </w:tcPr>
          <w:p w14:paraId="76A17DC4"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29%</w:t>
            </w:r>
          </w:p>
        </w:tc>
      </w:tr>
      <w:tr w:rsidR="002E293A" w14:paraId="272EEDA8" w14:textId="77777777" w:rsidTr="009A652E">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noWrap/>
          </w:tcPr>
          <w:p w14:paraId="65A9245A" w14:textId="77777777" w:rsidR="002E293A" w:rsidRPr="00DB11D7" w:rsidRDefault="002E293A" w:rsidP="00AE3209">
            <w:pPr>
              <w:rPr>
                <w:rFonts w:eastAsiaTheme="minorEastAsia"/>
              </w:rPr>
            </w:pPr>
            <w:r w:rsidRPr="00DB11D7">
              <w:rPr>
                <w:rFonts w:eastAsiaTheme="minorEastAsia"/>
              </w:rPr>
              <w:t>5S3 Prog Quality, Work-Based Learning</w:t>
            </w:r>
          </w:p>
        </w:tc>
        <w:tc>
          <w:tcPr>
            <w:tcW w:w="721" w:type="pct"/>
            <w:tcBorders>
              <w:top w:val="none" w:sz="0" w:space="0" w:color="auto"/>
              <w:left w:val="none" w:sz="0" w:space="0" w:color="auto"/>
              <w:bottom w:val="none" w:sz="0" w:space="0" w:color="auto"/>
              <w:right w:val="none" w:sz="0" w:space="0" w:color="auto"/>
            </w:tcBorders>
          </w:tcPr>
          <w:p w14:paraId="24E46AC3"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5%</w:t>
            </w:r>
          </w:p>
        </w:tc>
        <w:tc>
          <w:tcPr>
            <w:tcW w:w="624" w:type="pct"/>
            <w:tcBorders>
              <w:top w:val="none" w:sz="0" w:space="0" w:color="auto"/>
              <w:left w:val="none" w:sz="0" w:space="0" w:color="auto"/>
              <w:bottom w:val="none" w:sz="0" w:space="0" w:color="auto"/>
              <w:right w:val="none" w:sz="0" w:space="0" w:color="auto"/>
            </w:tcBorders>
          </w:tcPr>
          <w:p w14:paraId="69E07B0D"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12%</w:t>
            </w:r>
          </w:p>
        </w:tc>
        <w:tc>
          <w:tcPr>
            <w:tcW w:w="673"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63DD951C" w14:textId="77777777" w:rsidR="002E293A" w:rsidRPr="00C27DD4"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rPr>
            </w:pPr>
            <w:r w:rsidRPr="00C27DD4">
              <w:rPr>
                <w:rFonts w:eastAsiaTheme="minorEastAsia"/>
                <w:b/>
                <w:bCs/>
              </w:rPr>
              <w:t>20%</w:t>
            </w:r>
          </w:p>
        </w:tc>
        <w:tc>
          <w:tcPr>
            <w:tcW w:w="769" w:type="pct"/>
            <w:tcBorders>
              <w:top w:val="none" w:sz="0" w:space="0" w:color="auto"/>
              <w:left w:val="none" w:sz="0" w:space="0" w:color="auto"/>
              <w:bottom w:val="none" w:sz="0" w:space="0" w:color="auto"/>
              <w:right w:val="none" w:sz="0" w:space="0" w:color="auto"/>
            </w:tcBorders>
          </w:tcPr>
          <w:p w14:paraId="46AE48E2"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25%</w:t>
            </w:r>
          </w:p>
        </w:tc>
      </w:tr>
    </w:tbl>
    <w:p w14:paraId="4E5FFA8E" w14:textId="4FDB4942" w:rsidR="002E293A" w:rsidRDefault="002E293A" w:rsidP="00CD0D9C"/>
    <w:tbl>
      <w:tblPr>
        <w:tblStyle w:val="MediumList2-Accent1"/>
        <w:tblW w:w="5000" w:type="pct"/>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tblBorders>
        <w:tblLook w:val="04A0" w:firstRow="1" w:lastRow="0" w:firstColumn="1" w:lastColumn="0" w:noHBand="0" w:noVBand="1"/>
        <w:tblCaption w:val="Perkins V Postsecondary Performance Measures and Adjusted Performance Targets"/>
        <w:tblDescription w:val="The table shows the adjusted postsecondary performance target for each of three postsecondary performance measures across four school years. The school years are 2020-2021 through 2023-2024 school year."/>
      </w:tblPr>
      <w:tblGrid>
        <w:gridCol w:w="4435"/>
        <w:gridCol w:w="1445"/>
        <w:gridCol w:w="1250"/>
        <w:gridCol w:w="1349"/>
        <w:gridCol w:w="1541"/>
      </w:tblGrid>
      <w:tr w:rsidR="002E293A" w14:paraId="1E255BE3" w14:textId="77777777" w:rsidTr="009A652E">
        <w:trPr>
          <w:cnfStyle w:val="100000000000" w:firstRow="1" w:lastRow="0" w:firstColumn="0" w:lastColumn="0" w:oddVBand="0" w:evenVBand="0" w:oddHBand="0" w:evenHBand="0" w:firstRowFirstColumn="0" w:firstRowLastColumn="0" w:lastRowFirstColumn="0" w:lastRowLastColumn="0"/>
          <w:trHeight w:val="657"/>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shd w:val="clear" w:color="auto" w:fill="D4D4D4"/>
            <w:noWrap/>
            <w:vAlign w:val="bottom"/>
          </w:tcPr>
          <w:p w14:paraId="531C0016" w14:textId="77777777" w:rsidR="002E293A" w:rsidRPr="009A652E" w:rsidRDefault="002E293A" w:rsidP="00AE3209">
            <w:pPr>
              <w:rPr>
                <w:rFonts w:eastAsiaTheme="minorEastAsia"/>
                <w:b/>
                <w:bCs/>
                <w:sz w:val="20"/>
                <w:szCs w:val="20"/>
              </w:rPr>
            </w:pPr>
            <w:r w:rsidRPr="009A652E">
              <w:rPr>
                <w:rFonts w:eastAsiaTheme="minorEastAsia"/>
                <w:b/>
                <w:bCs/>
                <w:sz w:val="20"/>
                <w:szCs w:val="20"/>
              </w:rPr>
              <w:t>Postsecondary Performance Metric</w:t>
            </w:r>
          </w:p>
        </w:tc>
        <w:tc>
          <w:tcPr>
            <w:tcW w:w="721" w:type="pct"/>
            <w:tcBorders>
              <w:top w:val="none" w:sz="0" w:space="0" w:color="auto"/>
              <w:left w:val="none" w:sz="0" w:space="0" w:color="auto"/>
              <w:bottom w:val="none" w:sz="0" w:space="0" w:color="auto"/>
              <w:right w:val="none" w:sz="0" w:space="0" w:color="auto"/>
            </w:tcBorders>
            <w:shd w:val="clear" w:color="auto" w:fill="D4D4D4"/>
          </w:tcPr>
          <w:p w14:paraId="743C3869" w14:textId="77777777" w:rsidR="002E293A" w:rsidRPr="009A652E"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sz w:val="20"/>
                <w:szCs w:val="20"/>
              </w:rPr>
            </w:pPr>
            <w:r w:rsidRPr="009A652E">
              <w:rPr>
                <w:rFonts w:eastAsiaTheme="minorEastAsia"/>
                <w:b/>
                <w:bCs/>
                <w:sz w:val="20"/>
                <w:szCs w:val="20"/>
              </w:rPr>
              <w:t>Adj Target 20-21</w:t>
            </w:r>
          </w:p>
        </w:tc>
        <w:tc>
          <w:tcPr>
            <w:tcW w:w="624" w:type="pct"/>
            <w:tcBorders>
              <w:top w:val="none" w:sz="0" w:space="0" w:color="auto"/>
              <w:left w:val="none" w:sz="0" w:space="0" w:color="auto"/>
              <w:bottom w:val="none" w:sz="0" w:space="0" w:color="auto"/>
              <w:right w:val="none" w:sz="0" w:space="0" w:color="auto"/>
            </w:tcBorders>
            <w:shd w:val="clear" w:color="auto" w:fill="D4D4D4"/>
          </w:tcPr>
          <w:p w14:paraId="454D0DFA" w14:textId="77777777" w:rsidR="002E293A" w:rsidRPr="009A652E"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sz w:val="20"/>
                <w:szCs w:val="20"/>
              </w:rPr>
            </w:pPr>
            <w:r w:rsidRPr="009A652E">
              <w:rPr>
                <w:rFonts w:eastAsiaTheme="minorEastAsia"/>
                <w:b/>
                <w:bCs/>
                <w:sz w:val="20"/>
                <w:szCs w:val="20"/>
              </w:rPr>
              <w:t>Adj Target 21-22</w:t>
            </w:r>
          </w:p>
        </w:tc>
        <w:tc>
          <w:tcPr>
            <w:tcW w:w="673" w:type="pct"/>
            <w:tcBorders>
              <w:top w:val="none" w:sz="0" w:space="0" w:color="auto"/>
              <w:left w:val="none" w:sz="0" w:space="0" w:color="auto"/>
              <w:bottom w:val="none" w:sz="0" w:space="0" w:color="auto"/>
              <w:right w:val="none" w:sz="0" w:space="0" w:color="auto"/>
            </w:tcBorders>
            <w:shd w:val="clear" w:color="auto" w:fill="D4D4D4"/>
          </w:tcPr>
          <w:p w14:paraId="381E1726" w14:textId="77777777" w:rsidR="002E293A" w:rsidRPr="009A652E"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sz w:val="20"/>
                <w:szCs w:val="20"/>
              </w:rPr>
            </w:pPr>
            <w:r w:rsidRPr="009A652E">
              <w:rPr>
                <w:rFonts w:eastAsiaTheme="minorEastAsia"/>
                <w:b/>
                <w:bCs/>
                <w:sz w:val="20"/>
                <w:szCs w:val="20"/>
              </w:rPr>
              <w:t>Adj Target 22-23</w:t>
            </w:r>
          </w:p>
        </w:tc>
        <w:tc>
          <w:tcPr>
            <w:tcW w:w="769" w:type="pct"/>
            <w:tcBorders>
              <w:top w:val="none" w:sz="0" w:space="0" w:color="auto"/>
              <w:left w:val="none" w:sz="0" w:space="0" w:color="auto"/>
              <w:bottom w:val="none" w:sz="0" w:space="0" w:color="auto"/>
              <w:right w:val="none" w:sz="0" w:space="0" w:color="auto"/>
            </w:tcBorders>
            <w:shd w:val="clear" w:color="auto" w:fill="D4D4D4"/>
          </w:tcPr>
          <w:p w14:paraId="756AD2C9" w14:textId="77777777" w:rsidR="002E293A" w:rsidRPr="009A652E"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b/>
                <w:bCs/>
                <w:sz w:val="20"/>
                <w:szCs w:val="20"/>
              </w:rPr>
            </w:pPr>
            <w:r w:rsidRPr="009A652E">
              <w:rPr>
                <w:rFonts w:eastAsiaTheme="minorEastAsia"/>
                <w:b/>
                <w:bCs/>
                <w:sz w:val="20"/>
                <w:szCs w:val="20"/>
              </w:rPr>
              <w:t>Adj Target 23-24</w:t>
            </w:r>
          </w:p>
        </w:tc>
      </w:tr>
      <w:tr w:rsidR="002E293A" w14:paraId="4D8E4639" w14:textId="77777777" w:rsidTr="009A652E">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noWrap/>
          </w:tcPr>
          <w:p w14:paraId="1A42D87A" w14:textId="77777777" w:rsidR="002E293A" w:rsidRPr="00DB11D7" w:rsidRDefault="002E293A" w:rsidP="00AE3209">
            <w:pPr>
              <w:rPr>
                <w:rFonts w:eastAsiaTheme="minorEastAsia"/>
              </w:rPr>
            </w:pPr>
            <w:r>
              <w:rPr>
                <w:rFonts w:eastAsiaTheme="minorEastAsia"/>
              </w:rPr>
              <w:t>1P</w:t>
            </w:r>
            <w:r w:rsidRPr="00DB11D7">
              <w:rPr>
                <w:rFonts w:eastAsiaTheme="minorEastAsia"/>
              </w:rPr>
              <w:t xml:space="preserve">1 </w:t>
            </w:r>
            <w:r>
              <w:rPr>
                <w:rFonts w:eastAsiaTheme="minorEastAsia"/>
              </w:rPr>
              <w:t>Postsecondary Placement</w:t>
            </w:r>
          </w:p>
        </w:tc>
        <w:tc>
          <w:tcPr>
            <w:tcW w:w="721" w:type="pct"/>
            <w:tcBorders>
              <w:top w:val="none" w:sz="0" w:space="0" w:color="auto"/>
              <w:left w:val="none" w:sz="0" w:space="0" w:color="auto"/>
              <w:bottom w:val="none" w:sz="0" w:space="0" w:color="auto"/>
              <w:right w:val="none" w:sz="0" w:space="0" w:color="auto"/>
            </w:tcBorders>
          </w:tcPr>
          <w:p w14:paraId="11777EF7"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62.8</w:t>
            </w:r>
            <w:r w:rsidRPr="00DB11D7">
              <w:rPr>
                <w:rFonts w:eastAsiaTheme="minorEastAsia"/>
              </w:rPr>
              <w:t>%</w:t>
            </w:r>
          </w:p>
        </w:tc>
        <w:tc>
          <w:tcPr>
            <w:tcW w:w="624" w:type="pct"/>
            <w:tcBorders>
              <w:top w:val="none" w:sz="0" w:space="0" w:color="auto"/>
              <w:left w:val="none" w:sz="0" w:space="0" w:color="auto"/>
              <w:bottom w:val="none" w:sz="0" w:space="0" w:color="auto"/>
              <w:right w:val="none" w:sz="0" w:space="0" w:color="auto"/>
            </w:tcBorders>
          </w:tcPr>
          <w:p w14:paraId="304E7783"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63.2</w:t>
            </w:r>
            <w:r w:rsidRPr="00DB11D7">
              <w:rPr>
                <w:rFonts w:eastAsiaTheme="minorEastAsia"/>
              </w:rPr>
              <w:t>%</w:t>
            </w:r>
          </w:p>
        </w:tc>
        <w:tc>
          <w:tcPr>
            <w:tcW w:w="673"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4D4BB5C1"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67.6</w:t>
            </w:r>
            <w:r w:rsidRPr="00DB11D7">
              <w:rPr>
                <w:rFonts w:eastAsiaTheme="minorEastAsia"/>
              </w:rPr>
              <w:t>%</w:t>
            </w:r>
          </w:p>
        </w:tc>
        <w:tc>
          <w:tcPr>
            <w:tcW w:w="769" w:type="pct"/>
            <w:tcBorders>
              <w:top w:val="none" w:sz="0" w:space="0" w:color="auto"/>
              <w:left w:val="none" w:sz="0" w:space="0" w:color="auto"/>
              <w:bottom w:val="none" w:sz="0" w:space="0" w:color="auto"/>
              <w:right w:val="none" w:sz="0" w:space="0" w:color="auto"/>
            </w:tcBorders>
          </w:tcPr>
          <w:p w14:paraId="6C888CCB"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72</w:t>
            </w:r>
            <w:r w:rsidRPr="00DB11D7">
              <w:rPr>
                <w:rFonts w:eastAsiaTheme="minorEastAsia"/>
              </w:rPr>
              <w:t>%</w:t>
            </w:r>
          </w:p>
        </w:tc>
      </w:tr>
      <w:tr w:rsidR="002E293A" w14:paraId="4F8F3B6C" w14:textId="77777777" w:rsidTr="009A652E">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noWrap/>
          </w:tcPr>
          <w:p w14:paraId="6628E9EC" w14:textId="77777777" w:rsidR="002E293A" w:rsidRPr="00DB11D7" w:rsidRDefault="002E293A" w:rsidP="00AE3209">
            <w:pPr>
              <w:rPr>
                <w:rFonts w:eastAsiaTheme="minorEastAsia"/>
              </w:rPr>
            </w:pPr>
            <w:r>
              <w:rPr>
                <w:rFonts w:eastAsiaTheme="minorEastAsia"/>
              </w:rPr>
              <w:t>2P1</w:t>
            </w:r>
            <w:r w:rsidRPr="00DB11D7">
              <w:rPr>
                <w:rFonts w:eastAsiaTheme="minorEastAsia"/>
              </w:rPr>
              <w:t xml:space="preserve"> </w:t>
            </w:r>
            <w:r>
              <w:rPr>
                <w:rFonts w:eastAsiaTheme="minorEastAsia"/>
              </w:rPr>
              <w:t>Earned Postsecondary Credential</w:t>
            </w:r>
          </w:p>
        </w:tc>
        <w:tc>
          <w:tcPr>
            <w:tcW w:w="721" w:type="pct"/>
            <w:tcBorders>
              <w:top w:val="none" w:sz="0" w:space="0" w:color="auto"/>
              <w:left w:val="none" w:sz="0" w:space="0" w:color="auto"/>
              <w:bottom w:val="none" w:sz="0" w:space="0" w:color="auto"/>
              <w:right w:val="none" w:sz="0" w:space="0" w:color="auto"/>
            </w:tcBorders>
          </w:tcPr>
          <w:p w14:paraId="4AA2EE2E"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39</w:t>
            </w:r>
            <w:r w:rsidRPr="00DB11D7">
              <w:rPr>
                <w:rFonts w:eastAsiaTheme="minorEastAsia"/>
              </w:rPr>
              <w:t>%</w:t>
            </w:r>
          </w:p>
        </w:tc>
        <w:tc>
          <w:tcPr>
            <w:tcW w:w="624" w:type="pct"/>
            <w:tcBorders>
              <w:top w:val="none" w:sz="0" w:space="0" w:color="auto"/>
              <w:left w:val="none" w:sz="0" w:space="0" w:color="auto"/>
              <w:bottom w:val="none" w:sz="0" w:space="0" w:color="auto"/>
              <w:right w:val="none" w:sz="0" w:space="0" w:color="auto"/>
            </w:tcBorders>
          </w:tcPr>
          <w:p w14:paraId="679846AE"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39.4</w:t>
            </w:r>
            <w:r w:rsidRPr="00DB11D7">
              <w:rPr>
                <w:rFonts w:eastAsiaTheme="minorEastAsia"/>
              </w:rPr>
              <w:t>%</w:t>
            </w:r>
          </w:p>
        </w:tc>
        <w:tc>
          <w:tcPr>
            <w:tcW w:w="673"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57DC7799"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42.3</w:t>
            </w:r>
            <w:r w:rsidRPr="00DB11D7">
              <w:rPr>
                <w:rFonts w:eastAsiaTheme="minorEastAsia"/>
              </w:rPr>
              <w:t>%</w:t>
            </w:r>
          </w:p>
        </w:tc>
        <w:tc>
          <w:tcPr>
            <w:tcW w:w="769" w:type="pct"/>
            <w:tcBorders>
              <w:top w:val="none" w:sz="0" w:space="0" w:color="auto"/>
              <w:left w:val="none" w:sz="0" w:space="0" w:color="auto"/>
              <w:bottom w:val="none" w:sz="0" w:space="0" w:color="auto"/>
              <w:right w:val="none" w:sz="0" w:space="0" w:color="auto"/>
            </w:tcBorders>
          </w:tcPr>
          <w:p w14:paraId="3FE5021F"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45.2%</w:t>
            </w:r>
          </w:p>
        </w:tc>
      </w:tr>
      <w:tr w:rsidR="002E293A" w14:paraId="1AF4ACA9" w14:textId="77777777" w:rsidTr="009A652E">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100" w:firstRow="0" w:lastRow="0" w:firstColumn="1" w:lastColumn="0" w:oddVBand="0" w:evenVBand="0" w:oddHBand="0" w:evenHBand="0" w:firstRowFirstColumn="1" w:firstRowLastColumn="0" w:lastRowFirstColumn="0" w:lastRowLastColumn="0"/>
            <w:tcW w:w="2213" w:type="pct"/>
            <w:tcBorders>
              <w:top w:val="none" w:sz="0" w:space="0" w:color="auto"/>
              <w:left w:val="none" w:sz="0" w:space="0" w:color="auto"/>
              <w:bottom w:val="none" w:sz="0" w:space="0" w:color="auto"/>
              <w:right w:val="none" w:sz="0" w:space="0" w:color="auto"/>
            </w:tcBorders>
            <w:noWrap/>
          </w:tcPr>
          <w:p w14:paraId="44E7881C" w14:textId="77777777" w:rsidR="002E293A" w:rsidRPr="00DB11D7" w:rsidRDefault="002E293A" w:rsidP="00AE3209">
            <w:pPr>
              <w:rPr>
                <w:rFonts w:eastAsiaTheme="minorEastAsia"/>
              </w:rPr>
            </w:pPr>
            <w:r>
              <w:rPr>
                <w:rFonts w:eastAsiaTheme="minorEastAsia"/>
              </w:rPr>
              <w:t>3P</w:t>
            </w:r>
            <w:r w:rsidRPr="00DB11D7">
              <w:rPr>
                <w:rFonts w:eastAsiaTheme="minorEastAsia"/>
              </w:rPr>
              <w:t xml:space="preserve">1 </w:t>
            </w:r>
            <w:r>
              <w:rPr>
                <w:rFonts w:eastAsiaTheme="minorEastAsia"/>
              </w:rPr>
              <w:t>Non-Traditional Concentration</w:t>
            </w:r>
          </w:p>
        </w:tc>
        <w:tc>
          <w:tcPr>
            <w:tcW w:w="721" w:type="pct"/>
            <w:tcBorders>
              <w:top w:val="none" w:sz="0" w:space="0" w:color="auto"/>
              <w:left w:val="none" w:sz="0" w:space="0" w:color="auto"/>
              <w:bottom w:val="none" w:sz="0" w:space="0" w:color="auto"/>
              <w:right w:val="none" w:sz="0" w:space="0" w:color="auto"/>
            </w:tcBorders>
          </w:tcPr>
          <w:p w14:paraId="015D66E7"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16</w:t>
            </w:r>
            <w:r w:rsidRPr="00DB11D7">
              <w:rPr>
                <w:rFonts w:eastAsiaTheme="minorEastAsia"/>
              </w:rPr>
              <w:t>%</w:t>
            </w:r>
          </w:p>
        </w:tc>
        <w:tc>
          <w:tcPr>
            <w:tcW w:w="624" w:type="pct"/>
            <w:tcBorders>
              <w:top w:val="none" w:sz="0" w:space="0" w:color="auto"/>
              <w:left w:val="none" w:sz="0" w:space="0" w:color="auto"/>
              <w:bottom w:val="none" w:sz="0" w:space="0" w:color="auto"/>
              <w:right w:val="none" w:sz="0" w:space="0" w:color="auto"/>
            </w:tcBorders>
          </w:tcPr>
          <w:p w14:paraId="77415F64"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16.4</w:t>
            </w:r>
            <w:r w:rsidRPr="00DB11D7">
              <w:rPr>
                <w:rFonts w:eastAsiaTheme="minorEastAsia"/>
              </w:rPr>
              <w:t>%</w:t>
            </w:r>
          </w:p>
        </w:tc>
        <w:tc>
          <w:tcPr>
            <w:tcW w:w="673"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21F5775E"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17.9</w:t>
            </w:r>
            <w:r w:rsidRPr="00DB11D7">
              <w:rPr>
                <w:rFonts w:eastAsiaTheme="minorEastAsia"/>
              </w:rPr>
              <w:t>%</w:t>
            </w:r>
          </w:p>
        </w:tc>
        <w:tc>
          <w:tcPr>
            <w:tcW w:w="769" w:type="pct"/>
            <w:tcBorders>
              <w:top w:val="none" w:sz="0" w:space="0" w:color="auto"/>
              <w:left w:val="none" w:sz="0" w:space="0" w:color="auto"/>
              <w:bottom w:val="none" w:sz="0" w:space="0" w:color="auto"/>
              <w:right w:val="none" w:sz="0" w:space="0" w:color="auto"/>
            </w:tcBorders>
          </w:tcPr>
          <w:p w14:paraId="60F10FB6" w14:textId="77777777" w:rsidR="002E293A" w:rsidRPr="00DB11D7" w:rsidRDefault="002E293A" w:rsidP="00AE3209">
            <w:pP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19.4</w:t>
            </w:r>
            <w:r w:rsidRPr="00DB11D7">
              <w:rPr>
                <w:rFonts w:eastAsiaTheme="minorEastAsia"/>
              </w:rPr>
              <w:t>%</w:t>
            </w:r>
          </w:p>
        </w:tc>
      </w:tr>
    </w:tbl>
    <w:p w14:paraId="2F04C0D3" w14:textId="77777777" w:rsidR="00E068AB" w:rsidRDefault="00E068AB" w:rsidP="00156318">
      <w:pPr>
        <w:pStyle w:val="Heading1"/>
        <w:sectPr w:rsidR="00E068AB" w:rsidSect="00626867">
          <w:type w:val="continuous"/>
          <w:pgSz w:w="12240" w:h="15840"/>
          <w:pgMar w:top="1080" w:right="1080" w:bottom="1080" w:left="1080" w:header="720" w:footer="720" w:gutter="0"/>
          <w:cols w:space="720"/>
          <w:docGrid w:linePitch="360"/>
        </w:sectPr>
      </w:pPr>
      <w:bookmarkStart w:id="45" w:name="_Toc97135146"/>
      <w:bookmarkStart w:id="46" w:name="_Toc98829382"/>
      <w:bookmarkEnd w:id="43"/>
      <w:bookmarkEnd w:id="44"/>
    </w:p>
    <w:p w14:paraId="62AFC075" w14:textId="5EC14878" w:rsidR="007542E2" w:rsidRPr="00156318" w:rsidRDefault="007542E2" w:rsidP="00156318">
      <w:pPr>
        <w:pStyle w:val="Heading1"/>
      </w:pPr>
      <w:bookmarkStart w:id="47" w:name="_Toc155258786"/>
      <w:bookmarkStart w:id="48" w:name="_Toc155265232"/>
      <w:r>
        <w:lastRenderedPageBreak/>
        <w:t>Perkins Data Reports</w:t>
      </w:r>
      <w:bookmarkEnd w:id="47"/>
      <w:bookmarkEnd w:id="48"/>
    </w:p>
    <w:p w14:paraId="0C666A24" w14:textId="47B0BF82" w:rsidR="002E293A" w:rsidRDefault="002E293A" w:rsidP="007542E2">
      <w:pPr>
        <w:pStyle w:val="Heading2"/>
      </w:pPr>
      <w:bookmarkStart w:id="49" w:name="_Toc155258787"/>
      <w:bookmarkStart w:id="50" w:name="_Toc155265233"/>
      <w:r>
        <w:t xml:space="preserve">Perkins Data Reports </w:t>
      </w:r>
      <w:r w:rsidR="002A72AB">
        <w:t>List</w:t>
      </w:r>
      <w:bookmarkEnd w:id="49"/>
      <w:bookmarkEnd w:id="50"/>
    </w:p>
    <w:p w14:paraId="50029708" w14:textId="3F661131" w:rsidR="002E293A" w:rsidRDefault="00555758" w:rsidP="00EC177E">
      <w:pPr>
        <w:spacing w:before="0"/>
      </w:pPr>
      <w:r>
        <w:t xml:space="preserve">The Perkins Data Reports range from publicly available PDFs to login-accessed online interfaces for each institution with detailed linking to their CTE students’ CTE activity. </w:t>
      </w:r>
    </w:p>
    <w:p w14:paraId="0E68F157" w14:textId="77777777" w:rsidR="002E293A" w:rsidRPr="00B37F36" w:rsidRDefault="002E293A" w:rsidP="00AE3209">
      <w:pPr>
        <w:spacing w:after="0"/>
        <w:rPr>
          <w:rStyle w:val="IntenseReference"/>
          <w:sz w:val="28"/>
          <w:szCs w:val="28"/>
        </w:rPr>
      </w:pPr>
      <w:r w:rsidRPr="00B37F36">
        <w:rPr>
          <w:rStyle w:val="IntenseReference"/>
          <w:sz w:val="28"/>
          <w:szCs w:val="28"/>
        </w:rPr>
        <w:t>Secondary</w:t>
      </w:r>
    </w:p>
    <w:p w14:paraId="6AFF4B81" w14:textId="1295351E" w:rsidR="002E293A" w:rsidRDefault="002C4BDA" w:rsidP="00555758">
      <w:pPr>
        <w:pStyle w:val="ListParagraph"/>
        <w:numPr>
          <w:ilvl w:val="0"/>
          <w:numId w:val="18"/>
        </w:numPr>
        <w:spacing w:before="0"/>
      </w:pPr>
      <w:r>
        <w:t xml:space="preserve">Perkins </w:t>
      </w:r>
      <w:r w:rsidR="002E293A">
        <w:t xml:space="preserve">Statewide </w:t>
      </w:r>
      <w:r w:rsidR="002217DB">
        <w:t>90%</w:t>
      </w:r>
      <w:r w:rsidR="002E293A">
        <w:t xml:space="preserve"> Report (Secondary)</w:t>
      </w:r>
    </w:p>
    <w:p w14:paraId="5F0076D8" w14:textId="2B854079" w:rsidR="002E293A" w:rsidRDefault="002E293A" w:rsidP="00AE3209">
      <w:pPr>
        <w:pStyle w:val="ListParagraph"/>
        <w:numPr>
          <w:ilvl w:val="1"/>
          <w:numId w:val="18"/>
        </w:numPr>
      </w:pPr>
      <w:r>
        <w:t xml:space="preserve">Publicly available </w:t>
      </w:r>
      <w:r w:rsidR="00AE3209">
        <w:t>PDF:</w:t>
      </w:r>
      <w:r>
        <w:t xml:space="preserve"> data suppression applied</w:t>
      </w:r>
      <w:r w:rsidR="00AE3209">
        <w:t>.</w:t>
      </w:r>
    </w:p>
    <w:p w14:paraId="2FDC145C" w14:textId="77777777" w:rsidR="002E293A" w:rsidRDefault="002E293A" w:rsidP="00AE3209">
      <w:pPr>
        <w:pStyle w:val="ListParagraph"/>
        <w:numPr>
          <w:ilvl w:val="1"/>
          <w:numId w:val="18"/>
        </w:numPr>
      </w:pPr>
      <w:r>
        <w:t>By-Grantee aggregate actual performance levels for each performance indicator</w:t>
      </w:r>
    </w:p>
    <w:p w14:paraId="2905E9BC" w14:textId="77777777" w:rsidR="002E293A" w:rsidRDefault="002E293A" w:rsidP="00AE3209">
      <w:pPr>
        <w:pStyle w:val="ListParagraph"/>
        <w:numPr>
          <w:ilvl w:val="1"/>
          <w:numId w:val="19"/>
        </w:numPr>
      </w:pPr>
      <w:r>
        <w:t>Statewide actual performance levels disaggregated by gender, race / ethnicity, focal student group, and Career Cluster.</w:t>
      </w:r>
    </w:p>
    <w:p w14:paraId="62E4A2BE" w14:textId="6F2713BC" w:rsidR="002E293A" w:rsidRDefault="002217DB" w:rsidP="00AE3209">
      <w:pPr>
        <w:pStyle w:val="ListParagraph"/>
        <w:numPr>
          <w:ilvl w:val="1"/>
          <w:numId w:val="18"/>
        </w:numPr>
      </w:pPr>
      <w:r>
        <w:t>“</w:t>
      </w:r>
      <w:r w:rsidR="002E293A">
        <w:t>Traffic-light</w:t>
      </w:r>
      <w:r>
        <w:t>”</w:t>
      </w:r>
      <w:r w:rsidR="002E293A">
        <w:t xml:space="preserve"> color-coding of 90% Status</w:t>
      </w:r>
    </w:p>
    <w:p w14:paraId="78443DDE" w14:textId="6946000C" w:rsidR="002E293A" w:rsidRDefault="00AE3209" w:rsidP="00AE3209">
      <w:pPr>
        <w:pStyle w:val="ListParagraph"/>
        <w:numPr>
          <w:ilvl w:val="0"/>
          <w:numId w:val="18"/>
        </w:numPr>
      </w:pPr>
      <w:r>
        <w:t>Perkins CTE 90% Report Validation</w:t>
      </w:r>
      <w:r w:rsidR="002E293A">
        <w:t xml:space="preserve"> – </w:t>
      </w:r>
      <w:r w:rsidR="002217DB">
        <w:t xml:space="preserve">ADI </w:t>
      </w:r>
      <w:r w:rsidR="002E293A">
        <w:t xml:space="preserve">Summary Tab </w:t>
      </w:r>
    </w:p>
    <w:p w14:paraId="6D066E99" w14:textId="0ACA08DD" w:rsidR="002E293A" w:rsidRDefault="002E293A" w:rsidP="00AE3209">
      <w:pPr>
        <w:pStyle w:val="ListParagraph"/>
        <w:numPr>
          <w:ilvl w:val="1"/>
          <w:numId w:val="18"/>
        </w:numPr>
      </w:pPr>
      <w:r>
        <w:t>Login required</w:t>
      </w:r>
      <w:r w:rsidR="00AE3209">
        <w:t xml:space="preserve"> for Achievement Data Insight</w:t>
      </w:r>
      <w:r>
        <w:t>; restricted to CTE coordinators and administrators and teachers</w:t>
      </w:r>
      <w:r w:rsidR="00AE3209">
        <w:t>.</w:t>
      </w:r>
    </w:p>
    <w:p w14:paraId="2ACDD4A7" w14:textId="77777777" w:rsidR="002E293A" w:rsidRDefault="002E293A" w:rsidP="00AE3209">
      <w:pPr>
        <w:pStyle w:val="ListParagraph"/>
        <w:numPr>
          <w:ilvl w:val="1"/>
          <w:numId w:val="19"/>
        </w:numPr>
      </w:pPr>
      <w:r>
        <w:t>By-Institution actual performance levels and 90% statuses gender, race / ethnicity, focal student group, and Career Cluster.</w:t>
      </w:r>
    </w:p>
    <w:p w14:paraId="3563C1E4" w14:textId="1C115EAC" w:rsidR="002E293A" w:rsidRDefault="00AE3209" w:rsidP="00AE3209">
      <w:pPr>
        <w:pStyle w:val="ListParagraph"/>
        <w:numPr>
          <w:ilvl w:val="0"/>
          <w:numId w:val="18"/>
        </w:numPr>
      </w:pPr>
      <w:r>
        <w:t>Perkins CTE 90% Report Validation</w:t>
      </w:r>
      <w:r w:rsidR="002E293A">
        <w:t xml:space="preserve"> – </w:t>
      </w:r>
      <w:r w:rsidR="002217DB">
        <w:t xml:space="preserve">ADI </w:t>
      </w:r>
      <w:r w:rsidR="002E293A">
        <w:t>Detail Tab</w:t>
      </w:r>
    </w:p>
    <w:p w14:paraId="4F121CA5" w14:textId="03C2AA8E" w:rsidR="002E293A" w:rsidRDefault="002E293A" w:rsidP="00AE3209">
      <w:pPr>
        <w:pStyle w:val="ListParagraph"/>
        <w:numPr>
          <w:ilvl w:val="1"/>
          <w:numId w:val="18"/>
        </w:numPr>
      </w:pPr>
      <w:r>
        <w:t xml:space="preserve">Login </w:t>
      </w:r>
      <w:r w:rsidR="00AE3209">
        <w:t>required for Achievement Data Insight</w:t>
      </w:r>
      <w:r>
        <w:t>; restricted to CTE administrators and teachers</w:t>
      </w:r>
      <w:r w:rsidR="00AE3209">
        <w:t>.</w:t>
      </w:r>
    </w:p>
    <w:p w14:paraId="04E1D776" w14:textId="77777777" w:rsidR="002E293A" w:rsidRDefault="002E293A" w:rsidP="00AE3209">
      <w:pPr>
        <w:pStyle w:val="ListParagraph"/>
        <w:numPr>
          <w:ilvl w:val="1"/>
          <w:numId w:val="18"/>
        </w:numPr>
      </w:pPr>
      <w:r>
        <w:t>By-Student information including Y/N flags for each numerator and denominator and student group designations.</w:t>
      </w:r>
    </w:p>
    <w:p w14:paraId="67138476" w14:textId="77777777" w:rsidR="002E293A" w:rsidRPr="00B37F36" w:rsidRDefault="002E293A" w:rsidP="00AE3209">
      <w:pPr>
        <w:spacing w:after="0"/>
        <w:rPr>
          <w:rStyle w:val="IntenseReference"/>
          <w:sz w:val="28"/>
          <w:szCs w:val="28"/>
        </w:rPr>
      </w:pPr>
      <w:r w:rsidRPr="00B37F36">
        <w:rPr>
          <w:rStyle w:val="IntenseReference"/>
          <w:sz w:val="28"/>
          <w:szCs w:val="28"/>
        </w:rPr>
        <w:t>Postsecondary</w:t>
      </w:r>
    </w:p>
    <w:p w14:paraId="72CD7E5A" w14:textId="658962F7" w:rsidR="002E293A" w:rsidRDefault="002C4BDA" w:rsidP="00555758">
      <w:pPr>
        <w:pStyle w:val="ListParagraph"/>
        <w:numPr>
          <w:ilvl w:val="0"/>
          <w:numId w:val="40"/>
        </w:numPr>
        <w:spacing w:before="0"/>
      </w:pPr>
      <w:r>
        <w:t xml:space="preserve">Perkins Statewide </w:t>
      </w:r>
      <w:r w:rsidR="002217DB">
        <w:t>90%</w:t>
      </w:r>
      <w:r>
        <w:t xml:space="preserve"> </w:t>
      </w:r>
      <w:r w:rsidR="00AE3209">
        <w:t xml:space="preserve">Report </w:t>
      </w:r>
      <w:r w:rsidR="002E293A">
        <w:t>(Postsecondary)</w:t>
      </w:r>
    </w:p>
    <w:p w14:paraId="50753A94" w14:textId="0FEC6FB5" w:rsidR="002E293A" w:rsidRDefault="002E293A" w:rsidP="00AE3209">
      <w:pPr>
        <w:pStyle w:val="ListParagraph"/>
        <w:numPr>
          <w:ilvl w:val="1"/>
          <w:numId w:val="40"/>
        </w:numPr>
      </w:pPr>
      <w:r>
        <w:t xml:space="preserve">Publicly available </w:t>
      </w:r>
      <w:r w:rsidR="00AE3209">
        <w:t>PDF:</w:t>
      </w:r>
      <w:r>
        <w:t xml:space="preserve"> data suppression applied</w:t>
      </w:r>
      <w:r w:rsidR="00AE3209">
        <w:t>.</w:t>
      </w:r>
    </w:p>
    <w:p w14:paraId="3C553195" w14:textId="262B7519" w:rsidR="002E293A" w:rsidRDefault="002E293A" w:rsidP="00AE3209">
      <w:pPr>
        <w:pStyle w:val="ListParagraph"/>
        <w:numPr>
          <w:ilvl w:val="1"/>
          <w:numId w:val="40"/>
        </w:numPr>
      </w:pPr>
      <w:r>
        <w:t>Statewide and by-grantee actual performance levels for each measure</w:t>
      </w:r>
      <w:r w:rsidR="00AE3209">
        <w:t xml:space="preserve"> and disaggregated by gender, race/ethnicity, focal student group, and Career Cluster.</w:t>
      </w:r>
    </w:p>
    <w:p w14:paraId="2B5BF799" w14:textId="4F2FCFFF" w:rsidR="002E293A" w:rsidRDefault="002217DB" w:rsidP="00AE3209">
      <w:pPr>
        <w:pStyle w:val="ListParagraph"/>
        <w:numPr>
          <w:ilvl w:val="1"/>
          <w:numId w:val="40"/>
        </w:numPr>
      </w:pPr>
      <w:r>
        <w:t>“</w:t>
      </w:r>
      <w:r w:rsidR="002E293A">
        <w:t>Traffic-light</w:t>
      </w:r>
      <w:r>
        <w:t>”</w:t>
      </w:r>
      <w:r w:rsidR="002E293A">
        <w:t xml:space="preserve"> color-coding of 90% Status</w:t>
      </w:r>
    </w:p>
    <w:p w14:paraId="63DA222E" w14:textId="2E279187" w:rsidR="002E293A" w:rsidRDefault="002E293A" w:rsidP="00AE3209">
      <w:pPr>
        <w:pStyle w:val="ListParagraph"/>
        <w:numPr>
          <w:ilvl w:val="0"/>
          <w:numId w:val="40"/>
        </w:numPr>
      </w:pPr>
      <w:r>
        <w:t xml:space="preserve">Institution </w:t>
      </w:r>
      <w:r w:rsidR="00AE3209">
        <w:t xml:space="preserve">Perkins 90% Report </w:t>
      </w:r>
      <w:r>
        <w:t>(Suppressed)</w:t>
      </w:r>
    </w:p>
    <w:p w14:paraId="425E1FE5" w14:textId="4C33DF4C" w:rsidR="002E293A" w:rsidRDefault="002E293A" w:rsidP="00AE3209">
      <w:pPr>
        <w:pStyle w:val="ListParagraph"/>
        <w:numPr>
          <w:ilvl w:val="1"/>
          <w:numId w:val="40"/>
        </w:numPr>
      </w:pPr>
      <w:r>
        <w:t>Publicly available through CC CTE Grant Managers and RCs; data suppression applied</w:t>
      </w:r>
      <w:r w:rsidR="00AE3209">
        <w:t>.</w:t>
      </w:r>
    </w:p>
    <w:p w14:paraId="2FFA5E39" w14:textId="77777777" w:rsidR="002E293A" w:rsidRDefault="002E293A" w:rsidP="00AE3209">
      <w:pPr>
        <w:pStyle w:val="ListParagraph"/>
        <w:numPr>
          <w:ilvl w:val="1"/>
          <w:numId w:val="40"/>
        </w:numPr>
      </w:pPr>
      <w:r>
        <w:t>Institution actual performance levels disaggregated by gender, race / ethnicity, focal student group, and Career Cluster.</w:t>
      </w:r>
    </w:p>
    <w:p w14:paraId="32FD75DE" w14:textId="5558DCF6" w:rsidR="002E293A" w:rsidRDefault="002E293A" w:rsidP="00AE3209">
      <w:pPr>
        <w:pStyle w:val="ListParagraph"/>
        <w:numPr>
          <w:ilvl w:val="0"/>
          <w:numId w:val="40"/>
        </w:numPr>
      </w:pPr>
      <w:r>
        <w:t xml:space="preserve">Institution </w:t>
      </w:r>
      <w:r w:rsidR="00AE3209">
        <w:t xml:space="preserve">Perkins 90% Report </w:t>
      </w:r>
      <w:r>
        <w:t>(Unsuppressed)</w:t>
      </w:r>
      <w:r w:rsidR="00AE3209">
        <w:t xml:space="preserve"> </w:t>
      </w:r>
    </w:p>
    <w:p w14:paraId="409F923A" w14:textId="056D4670" w:rsidR="002E293A" w:rsidRDefault="002E293A" w:rsidP="00AE3209">
      <w:pPr>
        <w:pStyle w:val="ListParagraph"/>
        <w:numPr>
          <w:ilvl w:val="1"/>
          <w:numId w:val="40"/>
        </w:numPr>
      </w:pPr>
      <w:r>
        <w:t>Excel Workbook restricted to CC CTE Grant Manager</w:t>
      </w:r>
      <w:r w:rsidR="00AE3209">
        <w:t>,</w:t>
      </w:r>
      <w:r>
        <w:t xml:space="preserve"> no data suppression</w:t>
      </w:r>
      <w:r w:rsidR="00AE3209">
        <w:t>.</w:t>
      </w:r>
      <w:r>
        <w:t xml:space="preserve"> </w:t>
      </w:r>
    </w:p>
    <w:p w14:paraId="44B986F9" w14:textId="77777777" w:rsidR="002E293A" w:rsidRDefault="002E293A" w:rsidP="00AE3209">
      <w:pPr>
        <w:pStyle w:val="ListParagraph"/>
        <w:numPr>
          <w:ilvl w:val="1"/>
          <w:numId w:val="40"/>
        </w:numPr>
      </w:pPr>
      <w:r>
        <w:t>Actual institution performance levels disaggregated by gender, race / ethnicity, focal student group, and Career Cluster.</w:t>
      </w:r>
    </w:p>
    <w:p w14:paraId="1C7BD860" w14:textId="77777777" w:rsidR="002E293A" w:rsidRPr="00A83D9B" w:rsidRDefault="002E293A" w:rsidP="00AE3209">
      <w:pPr>
        <w:pStyle w:val="ListParagraph"/>
        <w:numPr>
          <w:ilvl w:val="0"/>
          <w:numId w:val="40"/>
        </w:numPr>
      </w:pPr>
      <w:r w:rsidRPr="00A83D9B">
        <w:t>Perkins Performance Workbooks</w:t>
      </w:r>
    </w:p>
    <w:p w14:paraId="56288D27" w14:textId="5452B00C" w:rsidR="002E293A" w:rsidRPr="00A83D9B" w:rsidRDefault="002E293A" w:rsidP="00AE3209">
      <w:pPr>
        <w:pStyle w:val="ListParagraph"/>
        <w:numPr>
          <w:ilvl w:val="1"/>
          <w:numId w:val="40"/>
        </w:numPr>
      </w:pPr>
      <w:r w:rsidRPr="00A83D9B">
        <w:t xml:space="preserve">Excel Workbook restricted to CC CTE Grant </w:t>
      </w:r>
      <w:r w:rsidR="00AE3209" w:rsidRPr="00A83D9B">
        <w:t>Manager,</w:t>
      </w:r>
      <w:r w:rsidRPr="00A83D9B">
        <w:t xml:space="preserve"> no data suppression</w:t>
      </w:r>
      <w:r w:rsidR="00AE3209">
        <w:t xml:space="preserve">. </w:t>
      </w:r>
      <w:r w:rsidRPr="00A83D9B">
        <w:t xml:space="preserve"> </w:t>
      </w:r>
    </w:p>
    <w:p w14:paraId="4D90A9A4" w14:textId="1B87C536" w:rsidR="002E293A" w:rsidRDefault="002E293A" w:rsidP="00AE3209">
      <w:pPr>
        <w:pStyle w:val="ListParagraph"/>
        <w:numPr>
          <w:ilvl w:val="1"/>
          <w:numId w:val="40"/>
        </w:numPr>
      </w:pPr>
      <w:r w:rsidRPr="00A83D9B">
        <w:t>By-Indicator pivot tables show which</w:t>
      </w:r>
      <w:r>
        <w:t xml:space="preserve"> individual students qualified for inclusion in the numerators and denominators</w:t>
      </w:r>
      <w:r w:rsidR="00AE3209">
        <w:t xml:space="preserve"> </w:t>
      </w:r>
    </w:p>
    <w:p w14:paraId="248DADE6" w14:textId="354AB498" w:rsidR="002E293A" w:rsidRDefault="009050DA" w:rsidP="007542E2">
      <w:pPr>
        <w:pStyle w:val="Heading2"/>
      </w:pPr>
      <w:bookmarkStart w:id="51" w:name="_Perkins_V_Performance"/>
      <w:bookmarkStart w:id="52" w:name="_Toc155258788"/>
      <w:bookmarkStart w:id="53" w:name="_Toc155265234"/>
      <w:bookmarkEnd w:id="45"/>
      <w:bookmarkEnd w:id="46"/>
      <w:bookmarkEnd w:id="51"/>
      <w:r>
        <w:lastRenderedPageBreak/>
        <w:t>Perkins CTE 90%</w:t>
      </w:r>
      <w:r w:rsidR="002E293A">
        <w:t xml:space="preserve"> Report</w:t>
      </w:r>
      <w:r>
        <w:t xml:space="preserve"> Validation</w:t>
      </w:r>
      <w:bookmarkEnd w:id="52"/>
      <w:bookmarkEnd w:id="53"/>
    </w:p>
    <w:p w14:paraId="4CB08771" w14:textId="450EEE51" w:rsidR="005507FA" w:rsidRDefault="002217DB" w:rsidP="005507FA">
      <w:r>
        <w:t xml:space="preserve">The Validation is a preview of how ODE has processed the data schools submitted in the past several years. </w:t>
      </w:r>
      <w:r w:rsidR="00E91A89">
        <w:t xml:space="preserve">Secondary institutions’ Perkins performance data are in </w:t>
      </w:r>
      <w:r w:rsidR="005507FA">
        <w:t xml:space="preserve">the Achievement Data Insight (ADI) Application accessed via Central Login. The homepage for this Validation is </w:t>
      </w:r>
      <w:hyperlink r:id="rId20" w:history="1">
        <w:r w:rsidR="005507FA" w:rsidRPr="00A304B2">
          <w:rPr>
            <w:rStyle w:val="Hyperlink"/>
          </w:rPr>
          <w:t>here</w:t>
        </w:r>
      </w:hyperlink>
      <w:r w:rsidR="005507FA">
        <w:t xml:space="preserve"> and has a Documents section and Links section </w:t>
      </w:r>
      <w:r w:rsidR="00E91A89">
        <w:t>housing</w:t>
      </w:r>
      <w:r w:rsidR="005507FA">
        <w:t xml:space="preserve"> </w:t>
      </w:r>
      <w:r w:rsidR="00E91A89">
        <w:t>instructions, webinars, and other resources.</w:t>
      </w:r>
      <w:r w:rsidR="005507FA">
        <w:t xml:space="preserve"> </w:t>
      </w:r>
    </w:p>
    <w:p w14:paraId="00741B33" w14:textId="5AE40D77" w:rsidR="00D44F39" w:rsidRPr="00D44F39" w:rsidRDefault="00D44F39" w:rsidP="00D44F39">
      <w:pPr>
        <w:jc w:val="center"/>
        <w:rPr>
          <w:b/>
          <w:bCs/>
        </w:rPr>
      </w:pPr>
      <w:r w:rsidRPr="00D44F39">
        <w:rPr>
          <w:b/>
          <w:bCs/>
        </w:rPr>
        <w:t>This Report Validation is available for</w:t>
      </w:r>
      <w:r w:rsidRPr="00D44F39">
        <w:rPr>
          <w:b/>
          <w:bCs/>
          <w:u w:val="single"/>
        </w:rPr>
        <w:t xml:space="preserve"> all </w:t>
      </w:r>
      <w:r w:rsidRPr="00D44F39">
        <w:rPr>
          <w:b/>
          <w:bCs/>
        </w:rPr>
        <w:t>CTE sites and parent institutions.</w:t>
      </w:r>
    </w:p>
    <w:p w14:paraId="0A6B0D2B" w14:textId="459D8E19" w:rsidR="00D44F39" w:rsidRPr="00D44F39" w:rsidRDefault="00D44F39" w:rsidP="005507FA">
      <w:pPr>
        <w:rPr>
          <w:b/>
          <w:bCs/>
        </w:rPr>
      </w:pPr>
      <w:r w:rsidRPr="00D44F39">
        <w:rPr>
          <w:b/>
          <w:bCs/>
        </w:rPr>
        <w:t>Perkins CTE Consortia and Direct Recipient School Districts need to review their All-Program-All-Students</w:t>
      </w:r>
      <w:r>
        <w:rPr>
          <w:b/>
          <w:bCs/>
        </w:rPr>
        <w:t xml:space="preserve"> Actual Performance for all Performance Indicators and prepare a “performance plan” for any Performance Levels that Did Not Meet 90% of Target</w:t>
      </w:r>
      <w:r w:rsidR="007A6F57">
        <w:rPr>
          <w:b/>
          <w:bCs/>
        </w:rPr>
        <w:t xml:space="preserve">. </w:t>
      </w:r>
      <w:r w:rsidR="007A6F57" w:rsidRPr="007A6F57">
        <w:t xml:space="preserve">Contact ODE Perkins Grant Manager, </w:t>
      </w:r>
      <w:hyperlink r:id="rId21" w:history="1">
        <w:r w:rsidR="007A6F57" w:rsidRPr="007A6F57">
          <w:rPr>
            <w:rStyle w:val="Hyperlink"/>
          </w:rPr>
          <w:t>Sandy.Cassio@ODE.oregon.gov</w:t>
        </w:r>
      </w:hyperlink>
      <w:r w:rsidR="007A6F57" w:rsidRPr="007A6F57">
        <w:t xml:space="preserve"> </w:t>
      </w:r>
      <w:r w:rsidR="007A6F57">
        <w:t>for Perkins performance plan information or refer to the CTE State Plan for guidance.</w:t>
      </w:r>
    </w:p>
    <w:p w14:paraId="085B8CC1" w14:textId="08BEC1CA" w:rsidR="005507FA" w:rsidRDefault="005507FA" w:rsidP="005507FA">
      <w:r>
        <w:t xml:space="preserve">The Secondary Perkins Career and Technical Education 90% Reports Validation is in the </w:t>
      </w:r>
      <w:r w:rsidR="002217DB">
        <w:t xml:space="preserve">OPEN </w:t>
      </w:r>
      <w:r>
        <w:t xml:space="preserve">status for roughly two weeks in </w:t>
      </w:r>
      <w:r w:rsidR="002217DB">
        <w:t>early January</w:t>
      </w:r>
      <w:r>
        <w:t xml:space="preserve"> for the most recently completed report year. </w:t>
      </w:r>
      <w:r w:rsidR="00D44F39">
        <w:t xml:space="preserve">During the OPEN window, ODE reviews calculations and may update results </w:t>
      </w:r>
      <w:r w:rsidR="007A6F57">
        <w:t xml:space="preserve">as needed. </w:t>
      </w:r>
      <w:r>
        <w:t xml:space="preserve">ODE invites institutions to review our calculations during the </w:t>
      </w:r>
      <w:r w:rsidR="002217DB">
        <w:t xml:space="preserve">OPEN </w:t>
      </w:r>
      <w:r>
        <w:t>Validation period and let us know if they see inconsistencies.</w:t>
      </w:r>
      <w:r w:rsidR="002217DB">
        <w:t xml:space="preserve"> This review &amp; feedback is </w:t>
      </w:r>
      <w:r w:rsidR="007A6F57">
        <w:t xml:space="preserve">not mandatory; it is </w:t>
      </w:r>
      <w:r w:rsidR="002217DB">
        <w:t>opt-in</w:t>
      </w:r>
      <w:r w:rsidR="007A6F57">
        <w:t xml:space="preserve"> only</w:t>
      </w:r>
      <w:r w:rsidR="002217DB">
        <w:t>.</w:t>
      </w:r>
      <w:r w:rsidR="00D44F39">
        <w:t xml:space="preserve"> </w:t>
      </w:r>
    </w:p>
    <w:p w14:paraId="0EB0CA02" w14:textId="059CC30A" w:rsidR="007A6F57" w:rsidRDefault="007A6F57" w:rsidP="005507FA">
      <w:r>
        <w:t xml:space="preserve">After the OPEN window, the Report Validation enters CLOSED status, and the results will not change. Institutions may still fully access and explore a CLOSED Report Validation. </w:t>
      </w:r>
    </w:p>
    <w:p w14:paraId="676A3C2E" w14:textId="08C2DAC7" w:rsidR="002E293A" w:rsidRPr="008A47F5" w:rsidRDefault="002E293A" w:rsidP="007542E2">
      <w:pPr>
        <w:pStyle w:val="Heading3"/>
      </w:pPr>
      <w:bookmarkStart w:id="54" w:name="_Toc155104476"/>
      <w:bookmarkStart w:id="55" w:name="_Toc155258789"/>
      <w:r>
        <w:t>Data Security</w:t>
      </w:r>
      <w:bookmarkEnd w:id="54"/>
      <w:bookmarkEnd w:id="55"/>
      <w:r w:rsidR="00D44F39">
        <w:t xml:space="preserve"> </w:t>
      </w:r>
    </w:p>
    <w:p w14:paraId="7451D29D" w14:textId="5BEB8CB2" w:rsidR="002E293A" w:rsidRDefault="002E293A" w:rsidP="00AE3209">
      <w:r>
        <w:t>CTE administrators and teachers</w:t>
      </w:r>
      <w:r w:rsidRPr="001075F3">
        <w:t xml:space="preserve"> have a responsibility to keep student information secure</w:t>
      </w:r>
      <w:r w:rsidR="00BB6FE0">
        <w:t xml:space="preserve"> as they access, share, and report on these unsuppressed </w:t>
      </w:r>
      <w:r w:rsidR="00BB6FE0" w:rsidRPr="00893F61">
        <w:t xml:space="preserve">secondary </w:t>
      </w:r>
      <w:r w:rsidR="00BB6FE0">
        <w:t>reports</w:t>
      </w:r>
      <w:r w:rsidRPr="001075F3">
        <w:t>. Th</w:t>
      </w:r>
      <w:r>
        <w:t>is</w:t>
      </w:r>
      <w:r w:rsidRPr="001075F3">
        <w:t xml:space="preserve"> security includes protecting data about individual students through adequate processes around student personally identifiable information </w:t>
      </w:r>
      <w:r>
        <w:t xml:space="preserve">(PII) </w:t>
      </w:r>
      <w:r w:rsidRPr="001075F3">
        <w:t>and through suppressing</w:t>
      </w:r>
      <w:r w:rsidR="00684DAA">
        <w:rPr>
          <w:rStyle w:val="FootnoteReference"/>
        </w:rPr>
        <w:footnoteReference w:id="3"/>
      </w:r>
      <w:r w:rsidRPr="001075F3">
        <w:t xml:space="preserve"> aggregate</w:t>
      </w:r>
      <w:r w:rsidR="00684DAA">
        <w:rPr>
          <w:rStyle w:val="FootnoteReference"/>
        </w:rPr>
        <w:footnoteReference w:id="4"/>
      </w:r>
      <w:r w:rsidRPr="001075F3">
        <w:t xml:space="preserve"> data that could reveal private student information.</w:t>
      </w:r>
      <w:r>
        <w:t xml:space="preserve"> </w:t>
      </w:r>
      <w:r w:rsidRPr="001075F3">
        <w:t>Such data should not be shared publicly or with unauthorized district staff.</w:t>
      </w:r>
      <w:r w:rsidR="00684DAA">
        <w:t xml:space="preserve"> </w:t>
      </w:r>
    </w:p>
    <w:p w14:paraId="229EEF07" w14:textId="5DA69DFF" w:rsidR="001E3296" w:rsidRPr="00FA0613" w:rsidRDefault="00BB6FE0" w:rsidP="0064392B">
      <w:pPr>
        <w:pStyle w:val="Heading3"/>
      </w:pPr>
      <w:bookmarkStart w:id="56" w:name="_Report:_ADI_–"/>
      <w:bookmarkStart w:id="57" w:name="_Toc155104474"/>
      <w:bookmarkStart w:id="58" w:name="_Toc155258790"/>
      <w:bookmarkStart w:id="59" w:name="_Toc155104473"/>
      <w:bookmarkEnd w:id="56"/>
      <w:r>
        <w:t xml:space="preserve">Report: </w:t>
      </w:r>
      <w:r w:rsidR="001E3296" w:rsidRPr="00FA0613">
        <w:t>ADI – Detail Tab</w:t>
      </w:r>
      <w:bookmarkEnd w:id="57"/>
      <w:bookmarkEnd w:id="58"/>
      <w:r w:rsidR="001E3296" w:rsidRPr="00FA0613">
        <w:t xml:space="preserve"> </w:t>
      </w:r>
    </w:p>
    <w:p w14:paraId="2FF83852" w14:textId="0273A342" w:rsidR="001E3296" w:rsidRDefault="00684DAA" w:rsidP="001E3296">
      <w:r>
        <w:t xml:space="preserve">This displays all the </w:t>
      </w:r>
      <w:r w:rsidRPr="001E3296">
        <w:rPr>
          <w:b/>
          <w:bCs/>
        </w:rPr>
        <w:t>student-level detail</w:t>
      </w:r>
      <w:r>
        <w:t xml:space="preserve"> for the report year that is summarized in the </w:t>
      </w:r>
      <w:r w:rsidRPr="001E3296">
        <w:rPr>
          <w:i/>
          <w:iCs/>
        </w:rPr>
        <w:t>ADI – Summary Tab</w:t>
      </w:r>
      <w:r>
        <w:t xml:space="preserve"> aka </w:t>
      </w:r>
      <w:r w:rsidRPr="001E3296">
        <w:rPr>
          <w:i/>
          <w:iCs/>
        </w:rPr>
        <w:t>Perkins 90% Report</w:t>
      </w:r>
      <w:r>
        <w:t xml:space="preserve">. </w:t>
      </w:r>
      <w:r w:rsidR="001E3296">
        <w:t xml:space="preserve">Your login permissions, commensurate with your role in CTE administration, dictate whether you can see this report for one or multiple programs/schools/districts. This is a </w:t>
      </w:r>
      <w:r>
        <w:t>48-</w:t>
      </w:r>
      <w:r w:rsidR="001E3296">
        <w:t>column</w:t>
      </w:r>
      <w:r>
        <w:t xml:space="preserve"> report</w:t>
      </w:r>
      <w:r w:rsidR="001E3296">
        <w:t xml:space="preserve"> (</w:t>
      </w:r>
      <w:r>
        <w:t xml:space="preserve">columns </w:t>
      </w:r>
      <w:r w:rsidR="001E3296">
        <w:t>listed in order left-to-right</w:t>
      </w:r>
      <w:r w:rsidR="00D90A8F">
        <w:t xml:space="preserve"> with their associated column position</w:t>
      </w:r>
      <w:r w:rsidR="001E3296">
        <w:t xml:space="preserve">) covering the following six (6) column groupings.  </w:t>
      </w:r>
    </w:p>
    <w:p w14:paraId="60956406" w14:textId="77777777" w:rsidR="001E3296" w:rsidRPr="009B15ED" w:rsidRDefault="001E3296" w:rsidP="001E3296">
      <w:pPr>
        <w:pStyle w:val="ListParagraph"/>
        <w:numPr>
          <w:ilvl w:val="0"/>
          <w:numId w:val="41"/>
        </w:numPr>
        <w:rPr>
          <w:b/>
          <w:bCs/>
        </w:rPr>
      </w:pPr>
      <w:r w:rsidRPr="009B15ED">
        <w:rPr>
          <w:b/>
          <w:bCs/>
        </w:rPr>
        <w:lastRenderedPageBreak/>
        <w:t>Student Matching Columns:</w:t>
      </w:r>
    </w:p>
    <w:p w14:paraId="5E2B29E5" w14:textId="4ACC9C57" w:rsidR="001E3296" w:rsidRDefault="00D90A8F" w:rsidP="001E3296">
      <w:pPr>
        <w:pStyle w:val="ListParagraph"/>
        <w:numPr>
          <w:ilvl w:val="1"/>
          <w:numId w:val="41"/>
        </w:numPr>
      </w:pPr>
      <w:r>
        <w:t xml:space="preserve">A: </w:t>
      </w:r>
      <w:r w:rsidR="001E3296">
        <w:t>Reporting Year </w:t>
      </w:r>
    </w:p>
    <w:p w14:paraId="38F32FBA" w14:textId="4B12E685" w:rsidR="001E3296" w:rsidRDefault="00D90A8F" w:rsidP="001E3296">
      <w:pPr>
        <w:pStyle w:val="ListParagraph"/>
        <w:numPr>
          <w:ilvl w:val="1"/>
          <w:numId w:val="41"/>
        </w:numPr>
      </w:pPr>
      <w:r>
        <w:t xml:space="preserve">B: </w:t>
      </w:r>
      <w:r w:rsidR="001E3296">
        <w:t>Reporting Secure Student ID</w:t>
      </w:r>
    </w:p>
    <w:p w14:paraId="647ABDDF" w14:textId="00238070" w:rsidR="001E3296" w:rsidRDefault="00D90A8F" w:rsidP="001E3296">
      <w:pPr>
        <w:pStyle w:val="ListParagraph"/>
        <w:numPr>
          <w:ilvl w:val="1"/>
          <w:numId w:val="41"/>
        </w:numPr>
      </w:pPr>
      <w:r>
        <w:t xml:space="preserve">C: </w:t>
      </w:r>
      <w:r w:rsidR="001E3296">
        <w:t>Legal First Name</w:t>
      </w:r>
    </w:p>
    <w:p w14:paraId="53D302E8" w14:textId="3AEF0F1C" w:rsidR="001E3296" w:rsidRDefault="00D90A8F" w:rsidP="001E3296">
      <w:pPr>
        <w:pStyle w:val="ListParagraph"/>
        <w:numPr>
          <w:ilvl w:val="1"/>
          <w:numId w:val="41"/>
        </w:numPr>
      </w:pPr>
      <w:r>
        <w:t xml:space="preserve">D: </w:t>
      </w:r>
      <w:r w:rsidR="001E3296">
        <w:t>Legal Last Name</w:t>
      </w:r>
    </w:p>
    <w:p w14:paraId="61235186" w14:textId="243C10E6" w:rsidR="001E3296" w:rsidRDefault="00D90A8F" w:rsidP="001E3296">
      <w:pPr>
        <w:pStyle w:val="ListParagraph"/>
        <w:numPr>
          <w:ilvl w:val="1"/>
          <w:numId w:val="41"/>
        </w:numPr>
      </w:pPr>
      <w:r>
        <w:t xml:space="preserve">E: </w:t>
      </w:r>
      <w:r w:rsidR="001E3296">
        <w:t>Date of Birth</w:t>
      </w:r>
    </w:p>
    <w:p w14:paraId="22FB7A51" w14:textId="5A04543C" w:rsidR="001E3296" w:rsidRDefault="00D90A8F" w:rsidP="001E3296">
      <w:pPr>
        <w:pStyle w:val="ListParagraph"/>
        <w:numPr>
          <w:ilvl w:val="1"/>
          <w:numId w:val="41"/>
        </w:numPr>
      </w:pPr>
      <w:r>
        <w:t xml:space="preserve">F: </w:t>
      </w:r>
      <w:r w:rsidR="001E3296">
        <w:t>Enrolled Grade Code</w:t>
      </w:r>
      <w:r>
        <w:t xml:space="preserve"> – </w:t>
      </w:r>
      <w:r w:rsidRPr="00D90A8F">
        <w:t xml:space="preserve">Perkins CTE reporting is limited to Enrolled Grade </w:t>
      </w:r>
      <w:r w:rsidR="00EC13E0" w:rsidRPr="00D90A8F">
        <w:t>Codes, 9</w:t>
      </w:r>
      <w:r w:rsidRPr="00D90A8F">
        <w:t>, 10, 11, and 12. Students who are evaluated for the 1S (graduation rates) and/or 3S (postsecondary placement) metrics are listed as 12th graders</w:t>
      </w:r>
      <w:r>
        <w:t xml:space="preserve">, </w:t>
      </w:r>
      <w:r w:rsidRPr="00D90A8F">
        <w:t>or the final enrolled grade the student had if they graduated early or otherwise left prior to 12th grade.</w:t>
      </w:r>
    </w:p>
    <w:p w14:paraId="249039D6" w14:textId="77777777" w:rsidR="001E3296" w:rsidRPr="001E3296" w:rsidRDefault="001E3296" w:rsidP="001E3296">
      <w:pPr>
        <w:pStyle w:val="ListParagraph"/>
        <w:numPr>
          <w:ilvl w:val="0"/>
          <w:numId w:val="41"/>
        </w:numPr>
        <w:rPr>
          <w:b/>
          <w:bCs/>
        </w:rPr>
      </w:pPr>
      <w:r w:rsidRPr="009B15ED">
        <w:rPr>
          <w:b/>
          <w:bCs/>
        </w:rPr>
        <w:t>Program Matching Columns:</w:t>
      </w:r>
    </w:p>
    <w:p w14:paraId="4C079A5D" w14:textId="2E1E82D5" w:rsidR="001E3296" w:rsidRDefault="00D90A8F" w:rsidP="001E3296">
      <w:pPr>
        <w:pStyle w:val="ListParagraph"/>
        <w:numPr>
          <w:ilvl w:val="1"/>
          <w:numId w:val="41"/>
        </w:numPr>
      </w:pPr>
      <w:r>
        <w:t xml:space="preserve">G: </w:t>
      </w:r>
      <w:r w:rsidR="001E3296">
        <w:t>CTE Subgrantee Name</w:t>
      </w:r>
    </w:p>
    <w:p w14:paraId="5AB9B089" w14:textId="76068DA7" w:rsidR="001E3296" w:rsidRDefault="00D90A8F" w:rsidP="001E3296">
      <w:pPr>
        <w:pStyle w:val="ListParagraph"/>
        <w:numPr>
          <w:ilvl w:val="1"/>
          <w:numId w:val="41"/>
        </w:numPr>
      </w:pPr>
      <w:r>
        <w:t xml:space="preserve">H: </w:t>
      </w:r>
      <w:r w:rsidR="001E3296">
        <w:t>Attending District Institution ID</w:t>
      </w:r>
      <w:r>
        <w:t xml:space="preserve"> – The institution ID of the School District associated with the Attending School Institution.</w:t>
      </w:r>
    </w:p>
    <w:p w14:paraId="20B64DF0" w14:textId="274B960E" w:rsidR="001E3296" w:rsidRDefault="00D90A8F" w:rsidP="001E3296">
      <w:pPr>
        <w:pStyle w:val="ListParagraph"/>
        <w:numPr>
          <w:ilvl w:val="1"/>
          <w:numId w:val="41"/>
        </w:numPr>
      </w:pPr>
      <w:r>
        <w:t xml:space="preserve">I: </w:t>
      </w:r>
      <w:r w:rsidR="001E3296">
        <w:t>Attending District Institution Name</w:t>
      </w:r>
      <w:r>
        <w:t xml:space="preserve"> – The institution name of the School District associated with the Attending School Institution.</w:t>
      </w:r>
    </w:p>
    <w:p w14:paraId="0CD8C5AF" w14:textId="46B5CACD" w:rsidR="001E3296" w:rsidRDefault="00D90A8F" w:rsidP="001E3296">
      <w:pPr>
        <w:pStyle w:val="ListParagraph"/>
        <w:numPr>
          <w:ilvl w:val="1"/>
          <w:numId w:val="41"/>
        </w:numPr>
      </w:pPr>
      <w:r>
        <w:t xml:space="preserve">J: </w:t>
      </w:r>
      <w:r w:rsidR="001E3296">
        <w:t>Attending School Institution ID</w:t>
      </w:r>
      <w:r>
        <w:t xml:space="preserve"> – The institution ID of the CTE Site that directly provided the CTE programming.</w:t>
      </w:r>
    </w:p>
    <w:p w14:paraId="732487B7" w14:textId="491EEC81" w:rsidR="001E3296" w:rsidRDefault="00D90A8F" w:rsidP="001E3296">
      <w:pPr>
        <w:pStyle w:val="ListParagraph"/>
        <w:numPr>
          <w:ilvl w:val="1"/>
          <w:numId w:val="41"/>
        </w:numPr>
      </w:pPr>
      <w:r>
        <w:t xml:space="preserve">K: </w:t>
      </w:r>
      <w:r w:rsidR="001E3296">
        <w:t>Attending School Institution Name</w:t>
      </w:r>
      <w:r>
        <w:t xml:space="preserve"> – The institution name of the CTE Site that directly provided the CTE programming.</w:t>
      </w:r>
    </w:p>
    <w:p w14:paraId="5B7759B6" w14:textId="6CB36B6A" w:rsidR="001E3296" w:rsidRDefault="00D90A8F" w:rsidP="001E3296">
      <w:pPr>
        <w:pStyle w:val="ListParagraph"/>
        <w:numPr>
          <w:ilvl w:val="1"/>
          <w:numId w:val="41"/>
        </w:numPr>
      </w:pPr>
      <w:r>
        <w:t xml:space="preserve">L: </w:t>
      </w:r>
      <w:r w:rsidR="001E3296">
        <w:t>CTE Program Name</w:t>
      </w:r>
    </w:p>
    <w:p w14:paraId="0CB97A0E" w14:textId="56FE7D69" w:rsidR="001E3296" w:rsidRDefault="00D90A8F" w:rsidP="001E3296">
      <w:pPr>
        <w:pStyle w:val="ListParagraph"/>
        <w:numPr>
          <w:ilvl w:val="1"/>
          <w:numId w:val="41"/>
        </w:numPr>
      </w:pPr>
      <w:r>
        <w:t xml:space="preserve">M: </w:t>
      </w:r>
      <w:r w:rsidR="001E3296">
        <w:t>CIP Code</w:t>
      </w:r>
      <w:r>
        <w:t xml:space="preserve"> </w:t>
      </w:r>
    </w:p>
    <w:p w14:paraId="428C23E2" w14:textId="77777777" w:rsidR="001E3296" w:rsidRPr="009B15ED" w:rsidRDefault="001E3296" w:rsidP="001E3296">
      <w:pPr>
        <w:pStyle w:val="ListParagraph"/>
        <w:numPr>
          <w:ilvl w:val="0"/>
          <w:numId w:val="41"/>
        </w:numPr>
        <w:rPr>
          <w:b/>
          <w:bCs/>
        </w:rPr>
      </w:pPr>
      <w:r w:rsidRPr="009B15ED">
        <w:rPr>
          <w:b/>
          <w:bCs/>
        </w:rPr>
        <w:t>In-Program Student Stats Columns:</w:t>
      </w:r>
    </w:p>
    <w:p w14:paraId="154962CE" w14:textId="62FB904C" w:rsidR="001E3296" w:rsidRDefault="00D90A8F" w:rsidP="001E3296">
      <w:pPr>
        <w:pStyle w:val="ListParagraph"/>
        <w:numPr>
          <w:ilvl w:val="1"/>
          <w:numId w:val="41"/>
        </w:numPr>
      </w:pPr>
      <w:r>
        <w:t xml:space="preserve">N: </w:t>
      </w:r>
      <w:r w:rsidR="001E3296">
        <w:t>Non-traditional Enrollee Flag</w:t>
      </w:r>
      <w:r>
        <w:t xml:space="preserve"> – ‘Y’ if </w:t>
      </w:r>
      <w:r w:rsidRPr="00D90A8F">
        <w:t>this program is federally associated with a traditional gender, and this enrollee is in one of the non-traditional genders for this field</w:t>
      </w:r>
      <w:r>
        <w:t xml:space="preserve">. </w:t>
      </w:r>
    </w:p>
    <w:p w14:paraId="3B603A2D" w14:textId="468966EB" w:rsidR="001E3296" w:rsidRDefault="00D90A8F" w:rsidP="001E3296">
      <w:pPr>
        <w:pStyle w:val="ListParagraph"/>
        <w:numPr>
          <w:ilvl w:val="1"/>
          <w:numId w:val="41"/>
        </w:numPr>
      </w:pPr>
      <w:r>
        <w:t xml:space="preserve">O: </w:t>
      </w:r>
      <w:r w:rsidR="001E3296">
        <w:t>School Year Credits Earned in this Program</w:t>
      </w:r>
      <w:r w:rsidR="00684DAA">
        <w:t>.</w:t>
      </w:r>
    </w:p>
    <w:p w14:paraId="75A492CE" w14:textId="764B13CE" w:rsidR="001E3296" w:rsidRDefault="00D90A8F" w:rsidP="001E3296">
      <w:pPr>
        <w:pStyle w:val="ListParagraph"/>
        <w:numPr>
          <w:ilvl w:val="1"/>
          <w:numId w:val="41"/>
        </w:numPr>
      </w:pPr>
      <w:r>
        <w:t xml:space="preserve">P: </w:t>
      </w:r>
      <w:r w:rsidR="001E3296">
        <w:t>Total Credits Earned in this Program</w:t>
      </w:r>
      <w:r w:rsidR="00684DAA">
        <w:t>.</w:t>
      </w:r>
    </w:p>
    <w:p w14:paraId="45A0ED76" w14:textId="000E0D14" w:rsidR="001E3296" w:rsidRDefault="00D90A8F" w:rsidP="001E3296">
      <w:pPr>
        <w:pStyle w:val="ListParagraph"/>
        <w:numPr>
          <w:ilvl w:val="1"/>
          <w:numId w:val="41"/>
        </w:numPr>
      </w:pPr>
      <w:r>
        <w:t xml:space="preserve">Q: </w:t>
      </w:r>
      <w:r w:rsidR="001E3296">
        <w:t>Total Intermediate or Advanced Credits Earned in this Program</w:t>
      </w:r>
      <w:r w:rsidR="00684DAA">
        <w:t>.</w:t>
      </w:r>
    </w:p>
    <w:p w14:paraId="49C28ED3" w14:textId="4664DA7E" w:rsidR="001E3296" w:rsidRDefault="00D90A8F" w:rsidP="001E3296">
      <w:pPr>
        <w:pStyle w:val="ListParagraph"/>
        <w:numPr>
          <w:ilvl w:val="1"/>
          <w:numId w:val="41"/>
        </w:numPr>
      </w:pPr>
      <w:r>
        <w:t xml:space="preserve">R: </w:t>
      </w:r>
      <w:r w:rsidR="001E3296">
        <w:t>CTE Enrollment Status</w:t>
      </w:r>
    </w:p>
    <w:p w14:paraId="10D8E8BA" w14:textId="77777777" w:rsidR="00F23B4F" w:rsidRDefault="00D90A8F" w:rsidP="001E3296">
      <w:pPr>
        <w:pStyle w:val="ListParagraph"/>
        <w:numPr>
          <w:ilvl w:val="1"/>
          <w:numId w:val="41"/>
        </w:numPr>
      </w:pPr>
      <w:r>
        <w:t xml:space="preserve">S: </w:t>
      </w:r>
      <w:r w:rsidR="00F23B4F">
        <w:t xml:space="preserve">Primary Program Flag </w:t>
      </w:r>
    </w:p>
    <w:p w14:paraId="47EE0F04" w14:textId="41B20853" w:rsidR="001E3296" w:rsidRDefault="00F23B4F" w:rsidP="001E3296">
      <w:pPr>
        <w:pStyle w:val="ListParagraph"/>
        <w:numPr>
          <w:ilvl w:val="1"/>
          <w:numId w:val="41"/>
        </w:numPr>
      </w:pPr>
      <w:r>
        <w:t xml:space="preserve">T: </w:t>
      </w:r>
      <w:r w:rsidR="001E3296">
        <w:t>Enrolled – School Year</w:t>
      </w:r>
    </w:p>
    <w:p w14:paraId="12C2E88B" w14:textId="77777777" w:rsidR="001E3296" w:rsidRPr="009B15ED" w:rsidRDefault="001E3296" w:rsidP="001E3296">
      <w:pPr>
        <w:pStyle w:val="ListParagraph"/>
        <w:numPr>
          <w:ilvl w:val="0"/>
          <w:numId w:val="41"/>
        </w:numPr>
        <w:rPr>
          <w:b/>
          <w:bCs/>
        </w:rPr>
      </w:pPr>
      <w:r w:rsidRPr="009B15ED">
        <w:rPr>
          <w:b/>
          <w:bCs/>
        </w:rPr>
        <w:t>Student Secondary Status Column:</w:t>
      </w:r>
    </w:p>
    <w:p w14:paraId="5A5FD909" w14:textId="32419F6D" w:rsidR="001E3296" w:rsidRDefault="00F23B4F" w:rsidP="001E3296">
      <w:pPr>
        <w:pStyle w:val="ListParagraph"/>
        <w:numPr>
          <w:ilvl w:val="1"/>
          <w:numId w:val="41"/>
        </w:numPr>
      </w:pPr>
      <w:r>
        <w:t>U</w:t>
      </w:r>
      <w:r w:rsidR="00D90A8F">
        <w:t xml:space="preserve">: </w:t>
      </w:r>
      <w:r w:rsidR="001E3296">
        <w:t>Left HS – School Year</w:t>
      </w:r>
    </w:p>
    <w:p w14:paraId="2A16257B" w14:textId="77777777" w:rsidR="001E3296" w:rsidRPr="009B15ED" w:rsidRDefault="001E3296" w:rsidP="001E3296">
      <w:pPr>
        <w:pStyle w:val="ListParagraph"/>
        <w:numPr>
          <w:ilvl w:val="0"/>
          <w:numId w:val="41"/>
        </w:numPr>
        <w:rPr>
          <w:b/>
          <w:bCs/>
        </w:rPr>
      </w:pPr>
      <w:r w:rsidRPr="009B15ED">
        <w:rPr>
          <w:b/>
          <w:bCs/>
        </w:rPr>
        <w:t>Focal Group Membership Columns:</w:t>
      </w:r>
    </w:p>
    <w:p w14:paraId="2EA8B926" w14:textId="532A3DE4" w:rsidR="001E3296" w:rsidRDefault="00F23B4F" w:rsidP="001E3296">
      <w:pPr>
        <w:pStyle w:val="ListParagraph"/>
        <w:numPr>
          <w:ilvl w:val="1"/>
          <w:numId w:val="41"/>
        </w:numPr>
      </w:pPr>
      <w:r>
        <w:t>V</w:t>
      </w:r>
      <w:r w:rsidR="00D90A8F">
        <w:t xml:space="preserve">: </w:t>
      </w:r>
      <w:r w:rsidR="001E3296">
        <w:t>Gender</w:t>
      </w:r>
    </w:p>
    <w:p w14:paraId="19D3BC00" w14:textId="779221EC" w:rsidR="001E3296" w:rsidRDefault="00F23B4F" w:rsidP="001E3296">
      <w:pPr>
        <w:pStyle w:val="ListParagraph"/>
        <w:numPr>
          <w:ilvl w:val="1"/>
          <w:numId w:val="41"/>
        </w:numPr>
      </w:pPr>
      <w:r>
        <w:t>W</w:t>
      </w:r>
      <w:r w:rsidR="00D90A8F">
        <w:t xml:space="preserve">: </w:t>
      </w:r>
      <w:r w:rsidR="001E3296">
        <w:t>Race/Ethnicity</w:t>
      </w:r>
    </w:p>
    <w:p w14:paraId="6AE013A1" w14:textId="0CE8B818" w:rsidR="001E3296" w:rsidRDefault="00F23B4F" w:rsidP="001E3296">
      <w:pPr>
        <w:pStyle w:val="ListParagraph"/>
        <w:numPr>
          <w:ilvl w:val="1"/>
          <w:numId w:val="41"/>
        </w:numPr>
      </w:pPr>
      <w:r>
        <w:t>X</w:t>
      </w:r>
      <w:r w:rsidR="00D90A8F">
        <w:t xml:space="preserve">: </w:t>
      </w:r>
      <w:r w:rsidR="001E3296">
        <w:t>Student with Disabilities</w:t>
      </w:r>
    </w:p>
    <w:p w14:paraId="315DFA34" w14:textId="14BBD0A4" w:rsidR="001E3296" w:rsidRDefault="00F23B4F" w:rsidP="001E3296">
      <w:pPr>
        <w:pStyle w:val="ListParagraph"/>
        <w:numPr>
          <w:ilvl w:val="1"/>
          <w:numId w:val="41"/>
        </w:numPr>
      </w:pPr>
      <w:r>
        <w:t>Y</w:t>
      </w:r>
      <w:r w:rsidR="00D90A8F">
        <w:t xml:space="preserve">: </w:t>
      </w:r>
      <w:r w:rsidR="001E3296">
        <w:t>English Learners Flag</w:t>
      </w:r>
    </w:p>
    <w:p w14:paraId="7D547A53" w14:textId="23BEFC81" w:rsidR="001E3296" w:rsidRDefault="00F23B4F" w:rsidP="001E3296">
      <w:pPr>
        <w:pStyle w:val="ListParagraph"/>
        <w:numPr>
          <w:ilvl w:val="1"/>
          <w:numId w:val="41"/>
        </w:numPr>
      </w:pPr>
      <w:r>
        <w:t>Z</w:t>
      </w:r>
      <w:r w:rsidR="00D90A8F">
        <w:t xml:space="preserve">: </w:t>
      </w:r>
      <w:r w:rsidR="001E3296">
        <w:t>Economically Disadvantaged Flag</w:t>
      </w:r>
    </w:p>
    <w:p w14:paraId="2CE5AF66" w14:textId="4325E1EA" w:rsidR="001E3296" w:rsidRDefault="00F23B4F" w:rsidP="001E3296">
      <w:pPr>
        <w:pStyle w:val="ListParagraph"/>
        <w:numPr>
          <w:ilvl w:val="1"/>
          <w:numId w:val="41"/>
        </w:numPr>
      </w:pPr>
      <w:r>
        <w:t>AA</w:t>
      </w:r>
      <w:r w:rsidR="00D90A8F">
        <w:t xml:space="preserve">: </w:t>
      </w:r>
      <w:r w:rsidR="001E3296">
        <w:t>Parenting</w:t>
      </w:r>
    </w:p>
    <w:p w14:paraId="0286AF9B" w14:textId="243243C7" w:rsidR="001E3296" w:rsidRDefault="00D90A8F" w:rsidP="001E3296">
      <w:pPr>
        <w:pStyle w:val="ListParagraph"/>
        <w:numPr>
          <w:ilvl w:val="1"/>
          <w:numId w:val="41"/>
        </w:numPr>
      </w:pPr>
      <w:r>
        <w:t>A</w:t>
      </w:r>
      <w:r w:rsidR="00F23B4F">
        <w:t>B</w:t>
      </w:r>
      <w:r>
        <w:t xml:space="preserve">: </w:t>
      </w:r>
      <w:r w:rsidR="001E3296">
        <w:t>Migrant Education Flag</w:t>
      </w:r>
    </w:p>
    <w:p w14:paraId="040B6EBB" w14:textId="4FE6051B" w:rsidR="001E3296" w:rsidRDefault="00D90A8F" w:rsidP="001E3296">
      <w:pPr>
        <w:pStyle w:val="ListParagraph"/>
        <w:numPr>
          <w:ilvl w:val="1"/>
          <w:numId w:val="41"/>
        </w:numPr>
      </w:pPr>
      <w:r>
        <w:t>A</w:t>
      </w:r>
      <w:r w:rsidR="00F23B4F">
        <w:t>C</w:t>
      </w:r>
      <w:r>
        <w:t xml:space="preserve">: </w:t>
      </w:r>
      <w:r w:rsidR="001E3296">
        <w:t>Section 504</w:t>
      </w:r>
    </w:p>
    <w:p w14:paraId="45A3AFDC" w14:textId="3A5572B1" w:rsidR="001E3296" w:rsidRDefault="00D90A8F" w:rsidP="001E3296">
      <w:pPr>
        <w:pStyle w:val="ListParagraph"/>
        <w:numPr>
          <w:ilvl w:val="1"/>
          <w:numId w:val="41"/>
        </w:numPr>
      </w:pPr>
      <w:r>
        <w:t>A</w:t>
      </w:r>
      <w:r w:rsidR="00F23B4F">
        <w:t>D</w:t>
      </w:r>
      <w:r>
        <w:t xml:space="preserve">: </w:t>
      </w:r>
      <w:r w:rsidR="001E3296">
        <w:t>Foster Care Flag</w:t>
      </w:r>
    </w:p>
    <w:p w14:paraId="339E7709" w14:textId="4247E896" w:rsidR="001E3296" w:rsidRDefault="00D90A8F" w:rsidP="001E3296">
      <w:pPr>
        <w:pStyle w:val="ListParagraph"/>
        <w:numPr>
          <w:ilvl w:val="1"/>
          <w:numId w:val="41"/>
        </w:numPr>
      </w:pPr>
      <w:r>
        <w:lastRenderedPageBreak/>
        <w:t>A</w:t>
      </w:r>
      <w:r w:rsidR="00F23B4F">
        <w:t>E</w:t>
      </w:r>
      <w:r>
        <w:t xml:space="preserve">: </w:t>
      </w:r>
      <w:r w:rsidR="001E3296">
        <w:t>Ever Foster Care Flag</w:t>
      </w:r>
    </w:p>
    <w:p w14:paraId="614962F1" w14:textId="6BA05784" w:rsidR="001E3296" w:rsidRDefault="00D90A8F" w:rsidP="001E3296">
      <w:pPr>
        <w:pStyle w:val="ListParagraph"/>
        <w:numPr>
          <w:ilvl w:val="1"/>
          <w:numId w:val="41"/>
        </w:numPr>
      </w:pPr>
      <w:r>
        <w:t>A</w:t>
      </w:r>
      <w:r w:rsidR="00F23B4F">
        <w:t>F</w:t>
      </w:r>
      <w:r>
        <w:t xml:space="preserve">: </w:t>
      </w:r>
      <w:r w:rsidR="001E3296">
        <w:t>Homeless Flag</w:t>
      </w:r>
    </w:p>
    <w:p w14:paraId="5765AD1D" w14:textId="1E1583EB" w:rsidR="001E3296" w:rsidRDefault="00D90A8F" w:rsidP="001E3296">
      <w:pPr>
        <w:pStyle w:val="ListParagraph"/>
        <w:numPr>
          <w:ilvl w:val="1"/>
          <w:numId w:val="41"/>
        </w:numPr>
      </w:pPr>
      <w:r>
        <w:t>A</w:t>
      </w:r>
      <w:r w:rsidR="00F23B4F">
        <w:t>G</w:t>
      </w:r>
      <w:r>
        <w:t xml:space="preserve">: </w:t>
      </w:r>
      <w:r w:rsidR="001E3296">
        <w:t>Military Connected Flag</w:t>
      </w:r>
    </w:p>
    <w:p w14:paraId="72AF0B26" w14:textId="77777777" w:rsidR="001E3296" w:rsidRPr="009B15ED" w:rsidRDefault="001E3296" w:rsidP="001E3296">
      <w:pPr>
        <w:pStyle w:val="ListParagraph"/>
        <w:numPr>
          <w:ilvl w:val="0"/>
          <w:numId w:val="41"/>
        </w:numPr>
        <w:rPr>
          <w:b/>
          <w:bCs/>
        </w:rPr>
      </w:pPr>
      <w:r w:rsidRPr="009B15ED">
        <w:rPr>
          <w:b/>
          <w:bCs/>
        </w:rPr>
        <w:t>Performance Indicator Appearance Columns:</w:t>
      </w:r>
    </w:p>
    <w:p w14:paraId="404B93EF" w14:textId="5817060B" w:rsidR="001E3296" w:rsidRDefault="00D90A8F" w:rsidP="001E3296">
      <w:pPr>
        <w:pStyle w:val="ListParagraph"/>
        <w:numPr>
          <w:ilvl w:val="1"/>
          <w:numId w:val="41"/>
        </w:numPr>
      </w:pPr>
      <w:r>
        <w:t>A</w:t>
      </w:r>
      <w:r w:rsidR="00F23B4F">
        <w:t>H</w:t>
      </w:r>
      <w:r>
        <w:t xml:space="preserve">: </w:t>
      </w:r>
      <w:r w:rsidR="001E3296">
        <w:t>1S1: Four-Year Graduation Rate Denominator</w:t>
      </w:r>
    </w:p>
    <w:p w14:paraId="2E771DA7" w14:textId="3D78B220" w:rsidR="001E3296" w:rsidRDefault="00D90A8F" w:rsidP="001E3296">
      <w:pPr>
        <w:pStyle w:val="ListParagraph"/>
        <w:numPr>
          <w:ilvl w:val="1"/>
          <w:numId w:val="41"/>
        </w:numPr>
      </w:pPr>
      <w:r>
        <w:t>A</w:t>
      </w:r>
      <w:r w:rsidR="00F23B4F">
        <w:t>I</w:t>
      </w:r>
      <w:r>
        <w:t xml:space="preserve">: </w:t>
      </w:r>
      <w:r w:rsidR="001E3296">
        <w:t>1S1: Four-Year Graduation Rate Numerator</w:t>
      </w:r>
    </w:p>
    <w:p w14:paraId="2AB963BD" w14:textId="168854A8" w:rsidR="001E3296" w:rsidRDefault="00D90A8F" w:rsidP="001E3296">
      <w:pPr>
        <w:pStyle w:val="ListParagraph"/>
        <w:numPr>
          <w:ilvl w:val="1"/>
          <w:numId w:val="41"/>
        </w:numPr>
      </w:pPr>
      <w:r>
        <w:t>A</w:t>
      </w:r>
      <w:r w:rsidR="00F23B4F">
        <w:t>J:</w:t>
      </w:r>
      <w:r>
        <w:t xml:space="preserve"> </w:t>
      </w:r>
      <w:r w:rsidR="001E3296">
        <w:t>1S2: Extended Graduation Rate Denominator</w:t>
      </w:r>
    </w:p>
    <w:p w14:paraId="25341BDC" w14:textId="58FA6A9E" w:rsidR="001E3296" w:rsidRDefault="00D90A8F" w:rsidP="001E3296">
      <w:pPr>
        <w:pStyle w:val="ListParagraph"/>
        <w:numPr>
          <w:ilvl w:val="1"/>
          <w:numId w:val="41"/>
        </w:numPr>
      </w:pPr>
      <w:r>
        <w:t>A</w:t>
      </w:r>
      <w:r w:rsidR="00F23B4F">
        <w:t>K</w:t>
      </w:r>
      <w:r>
        <w:t xml:space="preserve">: </w:t>
      </w:r>
      <w:r w:rsidR="001E3296">
        <w:t>1S2: Extended Graduation Rate Numerator</w:t>
      </w:r>
    </w:p>
    <w:p w14:paraId="5B1D845D" w14:textId="37E22836" w:rsidR="001E3296" w:rsidRDefault="00D90A8F" w:rsidP="001E3296">
      <w:pPr>
        <w:pStyle w:val="ListParagraph"/>
        <w:numPr>
          <w:ilvl w:val="1"/>
          <w:numId w:val="41"/>
        </w:numPr>
      </w:pPr>
      <w:r>
        <w:t>A</w:t>
      </w:r>
      <w:r w:rsidR="00F23B4F">
        <w:t>L</w:t>
      </w:r>
      <w:r>
        <w:t xml:space="preserve">: </w:t>
      </w:r>
      <w:r w:rsidR="001E3296">
        <w:t>2S1: Academic Proficiency in Reading/Language Arts Denominator</w:t>
      </w:r>
    </w:p>
    <w:p w14:paraId="166BBB87" w14:textId="3AD62EFE" w:rsidR="001E3296" w:rsidRDefault="00D90A8F" w:rsidP="001E3296">
      <w:pPr>
        <w:pStyle w:val="ListParagraph"/>
        <w:numPr>
          <w:ilvl w:val="1"/>
          <w:numId w:val="41"/>
        </w:numPr>
      </w:pPr>
      <w:r>
        <w:t>A</w:t>
      </w:r>
      <w:r w:rsidR="00F23B4F">
        <w:t>M</w:t>
      </w:r>
      <w:r>
        <w:t xml:space="preserve">: </w:t>
      </w:r>
      <w:r w:rsidR="001E3296">
        <w:t>2S1: Academic Proficiency in Reading/Language Arts Numerator</w:t>
      </w:r>
    </w:p>
    <w:p w14:paraId="3E05F86B" w14:textId="2C0DF102" w:rsidR="001E3296" w:rsidRDefault="00D90A8F" w:rsidP="001E3296">
      <w:pPr>
        <w:pStyle w:val="ListParagraph"/>
        <w:numPr>
          <w:ilvl w:val="1"/>
          <w:numId w:val="41"/>
        </w:numPr>
      </w:pPr>
      <w:r>
        <w:t>A</w:t>
      </w:r>
      <w:r w:rsidR="00F23B4F">
        <w:t>N</w:t>
      </w:r>
      <w:r>
        <w:t xml:space="preserve">: </w:t>
      </w:r>
      <w:r w:rsidR="001E3296">
        <w:t>2S2: Academic Proficiency in Mathematics Denominator</w:t>
      </w:r>
    </w:p>
    <w:p w14:paraId="0617FA90" w14:textId="0EE90757" w:rsidR="001E3296" w:rsidRDefault="00D90A8F" w:rsidP="001E3296">
      <w:pPr>
        <w:pStyle w:val="ListParagraph"/>
        <w:numPr>
          <w:ilvl w:val="1"/>
          <w:numId w:val="41"/>
        </w:numPr>
      </w:pPr>
      <w:r>
        <w:t>A</w:t>
      </w:r>
      <w:r w:rsidR="00F23B4F">
        <w:t>O</w:t>
      </w:r>
      <w:r>
        <w:t xml:space="preserve">: </w:t>
      </w:r>
      <w:r w:rsidR="001E3296">
        <w:t>2S2: Academic Proficiency in Mathematics Numerator</w:t>
      </w:r>
    </w:p>
    <w:p w14:paraId="60F42A0C" w14:textId="3E9613EC" w:rsidR="001E3296" w:rsidRDefault="00F23B4F" w:rsidP="001E3296">
      <w:pPr>
        <w:pStyle w:val="ListParagraph"/>
        <w:numPr>
          <w:ilvl w:val="1"/>
          <w:numId w:val="41"/>
        </w:numPr>
      </w:pPr>
      <w:r>
        <w:t xml:space="preserve">AP: </w:t>
      </w:r>
      <w:r w:rsidR="001E3296">
        <w:t>2S3: Academic Proficiency in Science Denominator</w:t>
      </w:r>
    </w:p>
    <w:p w14:paraId="11FDEFFE" w14:textId="3E009DDB" w:rsidR="001E3296" w:rsidRDefault="00F23B4F" w:rsidP="001E3296">
      <w:pPr>
        <w:pStyle w:val="ListParagraph"/>
        <w:numPr>
          <w:ilvl w:val="1"/>
          <w:numId w:val="41"/>
        </w:numPr>
      </w:pPr>
      <w:r>
        <w:t xml:space="preserve">AQ: </w:t>
      </w:r>
      <w:r w:rsidR="001E3296">
        <w:t>2S3: Academic Proficiency in Science Numerator</w:t>
      </w:r>
    </w:p>
    <w:p w14:paraId="55ECB0C0" w14:textId="04EA1C37" w:rsidR="001E3296" w:rsidRDefault="00F23B4F" w:rsidP="001E3296">
      <w:pPr>
        <w:pStyle w:val="ListParagraph"/>
        <w:numPr>
          <w:ilvl w:val="1"/>
          <w:numId w:val="41"/>
        </w:numPr>
      </w:pPr>
      <w:r>
        <w:t xml:space="preserve">AR: </w:t>
      </w:r>
      <w:r w:rsidR="001E3296">
        <w:t>3S1: Postsecondary Placement Denominator</w:t>
      </w:r>
    </w:p>
    <w:p w14:paraId="7445888B" w14:textId="26BF035D" w:rsidR="001E3296" w:rsidRDefault="00F23B4F" w:rsidP="001E3296">
      <w:pPr>
        <w:pStyle w:val="ListParagraph"/>
        <w:numPr>
          <w:ilvl w:val="1"/>
          <w:numId w:val="41"/>
        </w:numPr>
      </w:pPr>
      <w:r>
        <w:t xml:space="preserve">AS: </w:t>
      </w:r>
      <w:r w:rsidR="001E3296">
        <w:t>3S1: Postsecondary Placement Numerator</w:t>
      </w:r>
    </w:p>
    <w:p w14:paraId="2A9431B0" w14:textId="196248C5" w:rsidR="001E3296" w:rsidRDefault="00F23B4F" w:rsidP="001E3296">
      <w:pPr>
        <w:pStyle w:val="ListParagraph"/>
        <w:numPr>
          <w:ilvl w:val="1"/>
          <w:numId w:val="41"/>
        </w:numPr>
      </w:pPr>
      <w:r>
        <w:t xml:space="preserve">AT: </w:t>
      </w:r>
      <w:r w:rsidR="001E3296">
        <w:t>4S1: Non-traditional Program Enrollment Denominator</w:t>
      </w:r>
    </w:p>
    <w:p w14:paraId="1242E3B7" w14:textId="7378714D" w:rsidR="001E3296" w:rsidRDefault="00F23B4F" w:rsidP="001E3296">
      <w:pPr>
        <w:pStyle w:val="ListParagraph"/>
        <w:numPr>
          <w:ilvl w:val="1"/>
          <w:numId w:val="41"/>
        </w:numPr>
      </w:pPr>
      <w:r>
        <w:t xml:space="preserve">AU: </w:t>
      </w:r>
      <w:r w:rsidR="001E3296">
        <w:t>4S1: Non-traditional Program Enrollment Numerator</w:t>
      </w:r>
    </w:p>
    <w:p w14:paraId="2B268E7E" w14:textId="7C96DE29" w:rsidR="001E3296" w:rsidRDefault="00F23B4F" w:rsidP="001E3296">
      <w:pPr>
        <w:pStyle w:val="ListParagraph"/>
        <w:numPr>
          <w:ilvl w:val="1"/>
          <w:numId w:val="41"/>
        </w:numPr>
      </w:pPr>
      <w:r>
        <w:t xml:space="preserve">AV: </w:t>
      </w:r>
      <w:r w:rsidR="001E3296">
        <w:t>5S3: Program Quality – Participated in Work-Based Learning Denominator</w:t>
      </w:r>
    </w:p>
    <w:p w14:paraId="0135354B" w14:textId="1B95F598" w:rsidR="001E3296" w:rsidRDefault="00F23B4F" w:rsidP="001E3296">
      <w:pPr>
        <w:pStyle w:val="ListParagraph"/>
        <w:numPr>
          <w:ilvl w:val="1"/>
          <w:numId w:val="41"/>
        </w:numPr>
      </w:pPr>
      <w:r>
        <w:t xml:space="preserve">AW: </w:t>
      </w:r>
      <w:r w:rsidR="001E3296">
        <w:t>5S3: Program Quality – Participated in Work-Based Learning Numerator</w:t>
      </w:r>
    </w:p>
    <w:p w14:paraId="45EA43A1" w14:textId="3F5618B1" w:rsidR="001E3296" w:rsidRPr="00FA0613" w:rsidRDefault="00BB6FE0" w:rsidP="0064392B">
      <w:pPr>
        <w:pStyle w:val="Heading3"/>
      </w:pPr>
      <w:bookmarkStart w:id="60" w:name="_Toc155258791"/>
      <w:r>
        <w:t xml:space="preserve">Report: </w:t>
      </w:r>
      <w:r w:rsidR="001E3296" w:rsidRPr="00FA0613">
        <w:t>ADI – Summary Tab</w:t>
      </w:r>
      <w:bookmarkEnd w:id="59"/>
      <w:bookmarkEnd w:id="60"/>
    </w:p>
    <w:p w14:paraId="47314FFA" w14:textId="77777777" w:rsidR="001E3296" w:rsidRDefault="001E3296" w:rsidP="001E3296">
      <w:r>
        <w:t>The Summary Tab is a 90% Report that does not have data suppression applied. Your login permissions, commensurate with your role in CTE administration, dictate whether you can see this report for one or multiple programs/schools/districts.</w:t>
      </w:r>
    </w:p>
    <w:p w14:paraId="49D61784" w14:textId="77777777" w:rsidR="001E3296" w:rsidRPr="00E91A89" w:rsidRDefault="001E3296" w:rsidP="001E3296">
      <w:pPr>
        <w:pStyle w:val="ListParagraph"/>
        <w:numPr>
          <w:ilvl w:val="0"/>
          <w:numId w:val="42"/>
        </w:numPr>
        <w:rPr>
          <w:b/>
          <w:bCs/>
        </w:rPr>
      </w:pPr>
      <w:r>
        <w:rPr>
          <w:b/>
          <w:bCs/>
        </w:rPr>
        <w:t>CTE Program</w:t>
      </w:r>
      <w:r w:rsidRPr="00E91A89">
        <w:rPr>
          <w:b/>
          <w:bCs/>
        </w:rPr>
        <w:t xml:space="preserve"> Distinction Columns:</w:t>
      </w:r>
    </w:p>
    <w:p w14:paraId="3550F9CC" w14:textId="77777777" w:rsidR="001E3296" w:rsidRDefault="001E3296" w:rsidP="001E3296">
      <w:pPr>
        <w:pStyle w:val="ListParagraph"/>
        <w:numPr>
          <w:ilvl w:val="1"/>
          <w:numId w:val="42"/>
        </w:numPr>
      </w:pPr>
      <w:r>
        <w:t>Reporting Year</w:t>
      </w:r>
    </w:p>
    <w:p w14:paraId="7E8BCE96" w14:textId="77777777" w:rsidR="001E3296" w:rsidRDefault="001E3296" w:rsidP="001E3296">
      <w:pPr>
        <w:pStyle w:val="ListParagraph"/>
        <w:numPr>
          <w:ilvl w:val="1"/>
          <w:numId w:val="42"/>
        </w:numPr>
      </w:pPr>
      <w:r>
        <w:t>School Year</w:t>
      </w:r>
    </w:p>
    <w:p w14:paraId="54815BA2" w14:textId="77777777" w:rsidR="001E3296" w:rsidRDefault="001E3296" w:rsidP="001E3296">
      <w:pPr>
        <w:pStyle w:val="ListParagraph"/>
        <w:numPr>
          <w:ilvl w:val="1"/>
          <w:numId w:val="42"/>
        </w:numPr>
      </w:pPr>
      <w:r>
        <w:t>Institution-to-Program Match Columns:</w:t>
      </w:r>
    </w:p>
    <w:p w14:paraId="01A53B89" w14:textId="77777777" w:rsidR="001E3296" w:rsidRDefault="001E3296" w:rsidP="001E3296">
      <w:pPr>
        <w:pStyle w:val="ListParagraph"/>
        <w:numPr>
          <w:ilvl w:val="1"/>
          <w:numId w:val="42"/>
        </w:numPr>
      </w:pPr>
      <w:r>
        <w:t>CTE Subgrantee Name</w:t>
      </w:r>
    </w:p>
    <w:p w14:paraId="3AE9968A" w14:textId="77777777" w:rsidR="001E3296" w:rsidRDefault="001E3296" w:rsidP="001E3296">
      <w:pPr>
        <w:pStyle w:val="ListParagraph"/>
        <w:numPr>
          <w:ilvl w:val="1"/>
          <w:numId w:val="42"/>
        </w:numPr>
      </w:pPr>
      <w:r>
        <w:t>Attending District Institution ID</w:t>
      </w:r>
    </w:p>
    <w:p w14:paraId="2E410693" w14:textId="77777777" w:rsidR="001E3296" w:rsidRDefault="001E3296" w:rsidP="001E3296">
      <w:pPr>
        <w:pStyle w:val="ListParagraph"/>
        <w:numPr>
          <w:ilvl w:val="1"/>
          <w:numId w:val="42"/>
        </w:numPr>
      </w:pPr>
      <w:r>
        <w:t>Attending District Institution Name</w:t>
      </w:r>
    </w:p>
    <w:p w14:paraId="0FA5FD90" w14:textId="77777777" w:rsidR="001E3296" w:rsidRDefault="001E3296" w:rsidP="001E3296">
      <w:pPr>
        <w:pStyle w:val="ListParagraph"/>
        <w:numPr>
          <w:ilvl w:val="1"/>
          <w:numId w:val="42"/>
        </w:numPr>
      </w:pPr>
      <w:r>
        <w:t>Attending School Institution ID</w:t>
      </w:r>
    </w:p>
    <w:p w14:paraId="6DFD2DB7" w14:textId="77777777" w:rsidR="001E3296" w:rsidRDefault="001E3296" w:rsidP="001E3296">
      <w:pPr>
        <w:pStyle w:val="ListParagraph"/>
        <w:numPr>
          <w:ilvl w:val="1"/>
          <w:numId w:val="42"/>
        </w:numPr>
      </w:pPr>
      <w:r>
        <w:t>Attending School Institution Name</w:t>
      </w:r>
    </w:p>
    <w:p w14:paraId="24CFAC5C" w14:textId="77777777" w:rsidR="001E3296" w:rsidRDefault="001E3296" w:rsidP="001E3296">
      <w:pPr>
        <w:pStyle w:val="ListParagraph"/>
        <w:numPr>
          <w:ilvl w:val="1"/>
          <w:numId w:val="42"/>
        </w:numPr>
      </w:pPr>
      <w:r>
        <w:t>CTE Program Name</w:t>
      </w:r>
    </w:p>
    <w:p w14:paraId="4E140808" w14:textId="77777777" w:rsidR="001E3296" w:rsidRPr="00E91A89" w:rsidRDefault="001E3296" w:rsidP="001E3296">
      <w:pPr>
        <w:pStyle w:val="ListParagraph"/>
        <w:numPr>
          <w:ilvl w:val="0"/>
          <w:numId w:val="42"/>
        </w:numPr>
        <w:rPr>
          <w:b/>
          <w:bCs/>
        </w:rPr>
      </w:pPr>
      <w:r w:rsidRPr="00E91A89">
        <w:rPr>
          <w:b/>
          <w:bCs/>
        </w:rPr>
        <w:t>Performance Selection Columns:</w:t>
      </w:r>
    </w:p>
    <w:p w14:paraId="7185071A" w14:textId="77777777" w:rsidR="001E3296" w:rsidRDefault="001E3296" w:rsidP="001E3296">
      <w:pPr>
        <w:pStyle w:val="ListParagraph"/>
        <w:numPr>
          <w:ilvl w:val="1"/>
          <w:numId w:val="42"/>
        </w:numPr>
      </w:pPr>
      <w:r>
        <w:t>Perkins Measure</w:t>
      </w:r>
    </w:p>
    <w:p w14:paraId="176E5560" w14:textId="77777777" w:rsidR="001E3296" w:rsidRDefault="001E3296" w:rsidP="001E3296">
      <w:pPr>
        <w:pStyle w:val="ListParagraph"/>
        <w:numPr>
          <w:ilvl w:val="1"/>
          <w:numId w:val="42"/>
        </w:numPr>
      </w:pPr>
      <w:r>
        <w:t>Student Group</w:t>
      </w:r>
    </w:p>
    <w:p w14:paraId="7ECE111F" w14:textId="77777777" w:rsidR="001E3296" w:rsidRPr="00E91A89" w:rsidRDefault="001E3296" w:rsidP="001E3296">
      <w:pPr>
        <w:pStyle w:val="ListParagraph"/>
        <w:numPr>
          <w:ilvl w:val="0"/>
          <w:numId w:val="42"/>
        </w:numPr>
        <w:rPr>
          <w:b/>
          <w:bCs/>
        </w:rPr>
      </w:pPr>
      <w:r w:rsidRPr="00E91A89">
        <w:rPr>
          <w:b/>
          <w:bCs/>
        </w:rPr>
        <w:t>Performance Stat Columns:</w:t>
      </w:r>
    </w:p>
    <w:p w14:paraId="4273DCE1" w14:textId="77777777" w:rsidR="001E3296" w:rsidRDefault="001E3296" w:rsidP="001E3296">
      <w:pPr>
        <w:pStyle w:val="ListParagraph"/>
        <w:numPr>
          <w:ilvl w:val="1"/>
          <w:numId w:val="42"/>
        </w:numPr>
      </w:pPr>
      <w:r>
        <w:t>Total Students</w:t>
      </w:r>
    </w:p>
    <w:p w14:paraId="71ED7F13" w14:textId="77777777" w:rsidR="001E3296" w:rsidRDefault="001E3296" w:rsidP="001E3296">
      <w:pPr>
        <w:pStyle w:val="ListParagraph"/>
        <w:numPr>
          <w:ilvl w:val="1"/>
          <w:numId w:val="42"/>
        </w:numPr>
      </w:pPr>
      <w:r>
        <w:t>Students Meeting Standard</w:t>
      </w:r>
    </w:p>
    <w:p w14:paraId="3F30E5DA" w14:textId="77777777" w:rsidR="001E3296" w:rsidRDefault="001E3296" w:rsidP="001E3296">
      <w:pPr>
        <w:pStyle w:val="ListParagraph"/>
        <w:numPr>
          <w:ilvl w:val="1"/>
          <w:numId w:val="42"/>
        </w:numPr>
      </w:pPr>
      <w:r>
        <w:t>% Meeting Standard</w:t>
      </w:r>
    </w:p>
    <w:p w14:paraId="51EEB00A" w14:textId="77777777" w:rsidR="001E3296" w:rsidRDefault="001E3296" w:rsidP="001E3296">
      <w:pPr>
        <w:pStyle w:val="ListParagraph"/>
        <w:numPr>
          <w:ilvl w:val="1"/>
          <w:numId w:val="42"/>
        </w:numPr>
      </w:pPr>
      <w:r>
        <w:lastRenderedPageBreak/>
        <w:t>Target</w:t>
      </w:r>
    </w:p>
    <w:p w14:paraId="4CE45349" w14:textId="77777777" w:rsidR="001E3296" w:rsidRDefault="001E3296" w:rsidP="001E3296">
      <w:pPr>
        <w:pStyle w:val="ListParagraph"/>
        <w:numPr>
          <w:ilvl w:val="1"/>
          <w:numId w:val="42"/>
        </w:numPr>
      </w:pPr>
      <w:r>
        <w:t>Met Status</w:t>
      </w:r>
    </w:p>
    <w:p w14:paraId="1FE0ADA0" w14:textId="4391439E" w:rsidR="002E293A" w:rsidRDefault="00333A1C" w:rsidP="009A652E">
      <w:pPr>
        <w:pStyle w:val="Heading3"/>
      </w:pPr>
      <w:bookmarkStart w:id="61" w:name="_Toc155104477"/>
      <w:bookmarkStart w:id="62" w:name="_Toc155258792"/>
      <w:r>
        <w:t>Steps to View Perkins Reports in the</w:t>
      </w:r>
      <w:r w:rsidR="002E293A">
        <w:t xml:space="preserve"> ADI App</w:t>
      </w:r>
      <w:bookmarkEnd w:id="61"/>
      <w:bookmarkEnd w:id="62"/>
    </w:p>
    <w:p w14:paraId="0971A15B" w14:textId="77777777" w:rsidR="002E293A" w:rsidRDefault="002E293A" w:rsidP="009A652E">
      <w:pPr>
        <w:pStyle w:val="Heading4"/>
      </w:pPr>
      <w:r w:rsidRPr="00A933B5">
        <w:t xml:space="preserve">Step 1: Login to the app. </w:t>
      </w:r>
    </w:p>
    <w:p w14:paraId="02240F2E" w14:textId="579B0851" w:rsidR="00DD1930" w:rsidRPr="00DD1930" w:rsidRDefault="00DD1930" w:rsidP="00DD1930">
      <w:r w:rsidRPr="00E63756">
        <w:t xml:space="preserve">ODE utilizes a secure application for accessing detailed CTE data through the </w:t>
      </w:r>
      <w:hyperlink r:id="rId22" w:history="1">
        <w:r w:rsidRPr="00E63756">
          <w:rPr>
            <w:rStyle w:val="Hyperlink"/>
            <w:rFonts w:eastAsiaTheme="majorEastAsia"/>
          </w:rPr>
          <w:t>District website</w:t>
        </w:r>
      </w:hyperlink>
      <w:r w:rsidRPr="00E63756">
        <w:t>.</w:t>
      </w:r>
      <w:r w:rsidRPr="00ED607F">
        <w:t xml:space="preserve"> Contact your </w:t>
      </w:r>
      <w:hyperlink r:id="rId23" w:history="1">
        <w:r w:rsidRPr="00ED607F">
          <w:rPr>
            <w:rStyle w:val="Hyperlink"/>
            <w:rFonts w:eastAsiaTheme="majorEastAsia"/>
          </w:rPr>
          <w:t>District Security Administrator</w:t>
        </w:r>
      </w:hyperlink>
      <w:r w:rsidRPr="00ED607F">
        <w:t xml:space="preserve"> if you are a CTE administrator with District </w:t>
      </w:r>
      <w:r>
        <w:t>webs</w:t>
      </w:r>
      <w:r w:rsidRPr="00ED607F">
        <w:t xml:space="preserve">ite access but do not have this in your list of apps. </w:t>
      </w:r>
    </w:p>
    <w:p w14:paraId="6747C572" w14:textId="77777777" w:rsidR="002E293A" w:rsidRDefault="002E293A" w:rsidP="00AE3209">
      <w:r w:rsidRPr="00E63756">
        <w:rPr>
          <w:noProof/>
        </w:rPr>
        <w:drawing>
          <wp:inline distT="0" distB="0" distL="0" distR="0" wp14:anchorId="27F5516C" wp14:editId="08EE367F">
            <wp:extent cx="5745308" cy="1870295"/>
            <wp:effectExtent l="76200" t="76200" r="141605" b="130175"/>
            <wp:docPr id="6" name="Picture 6" descr="A screenshot showing visual location of app access points from District site login.&#10;To log into the ODE District website use the link below this image. After logging in there will be a list of applications available, select the Achievement Data Insight -Your school title option to access your Perkins CTE 90% reports." title="App Access (screenshot co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 log into the ODE District website use the link below this image. After logging in there will be a list of applications available, select the Achievement Data Insight -Your school title option to access your Perkins CTE 90% repor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4297" cy="18764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E704FE" w14:textId="7D1F9697" w:rsidR="002E293A" w:rsidRDefault="002E293A" w:rsidP="009A652E">
      <w:pPr>
        <w:pStyle w:val="Heading4"/>
      </w:pPr>
      <w:r>
        <w:t xml:space="preserve">Step 2: Choose </w:t>
      </w:r>
      <w:r w:rsidR="00DD1930">
        <w:t>correct</w:t>
      </w:r>
      <w:r>
        <w:t xml:space="preserve"> tab and tile.</w:t>
      </w:r>
    </w:p>
    <w:p w14:paraId="164EBDB8" w14:textId="77777777" w:rsidR="002E7A4C" w:rsidRDefault="002E7A4C" w:rsidP="001E3296">
      <w:r>
        <w:t xml:space="preserve">Select </w:t>
      </w:r>
      <w:r w:rsidRPr="002E7A4C">
        <w:rPr>
          <w:b/>
          <w:bCs/>
        </w:rPr>
        <w:t>OPEN</w:t>
      </w:r>
      <w:r>
        <w:t xml:space="preserve"> tab to see tiles for any currently OPEN ODE validations; select </w:t>
      </w:r>
      <w:r w:rsidRPr="002E7A4C">
        <w:rPr>
          <w:b/>
          <w:bCs/>
        </w:rPr>
        <w:t>All</w:t>
      </w:r>
      <w:r>
        <w:t xml:space="preserve"> tab to see tiles for all </w:t>
      </w:r>
      <w:r w:rsidRPr="00E63756">
        <w:t>ODE validation</w:t>
      </w:r>
      <w:r>
        <w:t>s, including closed validations</w:t>
      </w:r>
      <w:r w:rsidRPr="00E63756">
        <w:t>. </w:t>
      </w:r>
    </w:p>
    <w:p w14:paraId="76968485" w14:textId="5688DBEF" w:rsidR="001E3296" w:rsidRDefault="002E7A4C" w:rsidP="001E3296">
      <w:r>
        <w:t>Select</w:t>
      </w:r>
      <w:r w:rsidR="001E3296">
        <w:t xml:space="preserve"> the tile </w:t>
      </w:r>
      <w:r w:rsidR="001E3296" w:rsidRPr="002E7A4C">
        <w:rPr>
          <w:b/>
          <w:bCs/>
        </w:rPr>
        <w:t>Perkins Career and Technical Education 90% Report</w:t>
      </w:r>
      <w:r w:rsidR="001E3296">
        <w:t xml:space="preserve"> in ADI</w:t>
      </w:r>
      <w:r>
        <w:t>.</w:t>
      </w:r>
    </w:p>
    <w:p w14:paraId="2B02CD32" w14:textId="77777777" w:rsidR="002E293A" w:rsidRPr="00E63756" w:rsidRDefault="002E293A" w:rsidP="00AE3209">
      <w:pPr>
        <w:pStyle w:val="NormalWeb"/>
      </w:pPr>
      <w:r w:rsidRPr="00E63756">
        <w:rPr>
          <w:noProof/>
        </w:rPr>
        <w:drawing>
          <wp:inline distT="0" distB="0" distL="0" distR="0" wp14:anchorId="2D25420E" wp14:editId="0963CC56">
            <wp:extent cx="5321963" cy="1466952"/>
            <wp:effectExtent l="76200" t="76200" r="126365" b="133350"/>
            <wp:docPr id="4" name="Picture 4" descr="Screenshot showing visual location of tabs In the Achievement Data Insight app. All and Open option tabs are for the ODE validations. The 90% report will be in the All tab." title="Tabs and tiles (direct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the Achievement Data Insight app are All and Open option tabs for the ODE validations. The 90% report will be in the All ta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58299" cy="147696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86BBE0" w14:textId="77777777" w:rsidR="002E293A" w:rsidRDefault="002E293A" w:rsidP="009A652E">
      <w:pPr>
        <w:pStyle w:val="Heading4"/>
      </w:pPr>
      <w:r>
        <w:t>Step 3: View the 90% Reports.</w:t>
      </w:r>
    </w:p>
    <w:p w14:paraId="3CE24981" w14:textId="77777777" w:rsidR="002E293A" w:rsidRDefault="002E293A" w:rsidP="00AE3209">
      <w:r>
        <w:t>Click the Perkins Career and Technical Education 90% Report tile and see there are two (2) tabs, the Detail and Summary tabs.</w:t>
      </w:r>
    </w:p>
    <w:p w14:paraId="502ABE7E" w14:textId="245FB1FB" w:rsidR="002E293A" w:rsidRDefault="002E293A" w:rsidP="00AE3209">
      <w:r>
        <w:t>Th</w:t>
      </w:r>
      <w:r w:rsidRPr="00893F61">
        <w:t xml:space="preserve">e </w:t>
      </w:r>
      <w:r w:rsidRPr="0025408D">
        <w:rPr>
          <w:b/>
          <w:bCs/>
        </w:rPr>
        <w:t>ADI Detail Tab</w:t>
      </w:r>
      <w:r w:rsidRPr="00893F61">
        <w:t xml:space="preserve"> shows student-level information on many aspects of CTE engagement well beyond the Perkins Performance Indicators.</w:t>
      </w:r>
      <w:r>
        <w:t xml:space="preserve"> </w:t>
      </w:r>
    </w:p>
    <w:p w14:paraId="12DABF71" w14:textId="336BBA9B" w:rsidR="002E293A" w:rsidRDefault="0025408D" w:rsidP="00AE3209">
      <w:r>
        <w:lastRenderedPageBreak/>
        <w:t xml:space="preserve">The </w:t>
      </w:r>
      <w:r w:rsidRPr="0025408D">
        <w:rPr>
          <w:b/>
          <w:bCs/>
        </w:rPr>
        <w:t>ADI Summary Tab</w:t>
      </w:r>
      <w:r>
        <w:t xml:space="preserve"> is an unsuppressed 90% Report showing actual performance stats on each metric, each institutional level of aggregation, and disaggregation for each focal student group.</w:t>
      </w:r>
    </w:p>
    <w:p w14:paraId="6CEF1974" w14:textId="77777777" w:rsidR="002E293A" w:rsidRDefault="002E293A" w:rsidP="00AE3209">
      <w:r>
        <w:rPr>
          <w:noProof/>
          <w:bdr w:val="single" w:sz="18" w:space="0" w:color="000000" w:frame="1"/>
        </w:rPr>
        <w:drawing>
          <wp:inline distT="0" distB="0" distL="0" distR="0" wp14:anchorId="54A2AA06" wp14:editId="5F002A32">
            <wp:extent cx="5509788" cy="2781961"/>
            <wp:effectExtent l="76200" t="76200" r="129540" b="132715"/>
            <wp:docPr id="7" name="Picture 7" descr="This is a heavily redacted screenshot of the ADI Detail tab. " title="App Interface (direct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s an overview of the 90% validation page. All student information has been redac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62071" cy="28083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BB07B51" w14:textId="77777777" w:rsidR="002E293A" w:rsidRDefault="002E293A" w:rsidP="009A652E">
      <w:pPr>
        <w:pStyle w:val="Heading4"/>
      </w:pPr>
      <w:r>
        <w:t>Step 4: Use interface functions as needed.</w:t>
      </w:r>
    </w:p>
    <w:p w14:paraId="2C7795CA" w14:textId="46E297C3" w:rsidR="002E293A" w:rsidRPr="00CD2C17" w:rsidRDefault="002E293A" w:rsidP="0025408D">
      <w:pPr>
        <w:spacing w:before="0"/>
      </w:pPr>
      <w:r w:rsidRPr="00CD2C17">
        <w:t xml:space="preserve">There are three buttons on the </w:t>
      </w:r>
      <w:r w:rsidR="00DD1930" w:rsidRPr="00CD2C17">
        <w:t>navy-blue</w:t>
      </w:r>
      <w:r w:rsidRPr="00CD2C17">
        <w:t xml:space="preserve"> band between the tabs and the column names. </w:t>
      </w:r>
    </w:p>
    <w:p w14:paraId="02BA252D" w14:textId="77777777" w:rsidR="002E293A" w:rsidRPr="00CD2C17" w:rsidRDefault="002E293A" w:rsidP="00AE3209">
      <w:r w:rsidRPr="00CD2C17">
        <w:rPr>
          <w:b/>
          <w:bCs/>
        </w:rPr>
        <w:t>Ask a Question Button</w:t>
      </w:r>
      <w:r w:rsidRPr="00CD2C17">
        <w:t>: This button sends your question directly to the data owner (the</w:t>
      </w:r>
      <w:r>
        <w:t xml:space="preserve"> primary</w:t>
      </w:r>
      <w:r w:rsidRPr="00CD2C17">
        <w:t xml:space="preserve"> CTE Data Analyst) and to an inbox dedicated to management of the ADI reports. The button has a red icon when the validation is closed and a green icon when the validation is open (November / December </w:t>
      </w:r>
      <w:proofErr w:type="gramStart"/>
      <w:r w:rsidRPr="00CD2C17">
        <w:t>time-frame</w:t>
      </w:r>
      <w:proofErr w:type="gramEnd"/>
      <w:r w:rsidRPr="00CD2C17">
        <w:t xml:space="preserve">). The button works regardless of the validation’s open / closed status. </w:t>
      </w:r>
      <w:r w:rsidRPr="00CD2C17">
        <w:rPr>
          <w:b/>
          <w:bCs/>
        </w:rPr>
        <w:t>NOTE:</w:t>
      </w:r>
      <w:r w:rsidRPr="00CD2C17">
        <w:t xml:space="preserve"> If your question includes sending any student PII for reference, </w:t>
      </w:r>
      <w:r w:rsidRPr="00CD2C17">
        <w:rPr>
          <w:u w:val="single"/>
        </w:rPr>
        <w:t xml:space="preserve">use the </w:t>
      </w:r>
      <w:hyperlink r:id="rId27" w:history="1">
        <w:r w:rsidRPr="00CD2C17">
          <w:rPr>
            <w:rStyle w:val="Hyperlink"/>
          </w:rPr>
          <w:t>secure file transfer</w:t>
        </w:r>
      </w:hyperlink>
      <w:r w:rsidRPr="00CD2C17">
        <w:rPr>
          <w:u w:val="single"/>
        </w:rPr>
        <w:t xml:space="preserve"> on the </w:t>
      </w:r>
      <w:proofErr w:type="gramStart"/>
      <w:r w:rsidRPr="00CD2C17">
        <w:rPr>
          <w:u w:val="single"/>
        </w:rPr>
        <w:t>District</w:t>
      </w:r>
      <w:proofErr w:type="gramEnd"/>
      <w:r w:rsidRPr="00CD2C17">
        <w:rPr>
          <w:u w:val="single"/>
        </w:rPr>
        <w:t xml:space="preserve"> website</w:t>
      </w:r>
      <w:r w:rsidRPr="00CD2C17">
        <w:t>.</w:t>
      </w:r>
    </w:p>
    <w:p w14:paraId="3A30EB11" w14:textId="77777777" w:rsidR="002E293A" w:rsidRPr="00CD2C17" w:rsidRDefault="002E293A" w:rsidP="00AE3209">
      <w:r w:rsidRPr="00CD2C17">
        <w:rPr>
          <w:b/>
          <w:bCs/>
        </w:rPr>
        <w:t>Download Data Button</w:t>
      </w:r>
      <w:r w:rsidRPr="00CD2C17">
        <w:t>: This button allows download of data (as filtered / displayed) to either a csv file or an Excel Workbook.</w:t>
      </w:r>
    </w:p>
    <w:p w14:paraId="01B6BC1B" w14:textId="77777777" w:rsidR="002E293A" w:rsidRPr="00CD2C17" w:rsidRDefault="002E293A" w:rsidP="00AE3209">
      <w:r w:rsidRPr="00CD2C17">
        <w:rPr>
          <w:b/>
          <w:bCs/>
        </w:rPr>
        <w:t>Show / Hide Filter Button</w:t>
      </w:r>
      <w:r w:rsidRPr="00CD2C17">
        <w:t>: This button </w:t>
      </w:r>
      <w:r>
        <w:t>reveals or hides a text box under each column header. Type into the relevant box to filter displayed results.</w:t>
      </w:r>
    </w:p>
    <w:p w14:paraId="5A5B0284" w14:textId="77777777" w:rsidR="002E293A" w:rsidRPr="00CD2C17" w:rsidRDefault="002E293A" w:rsidP="00AE3209">
      <w:r w:rsidRPr="00CD2C17">
        <w:t>As described below, the column headers provide additional functionality for navigating report data.</w:t>
      </w:r>
    </w:p>
    <w:p w14:paraId="707C7052" w14:textId="77777777" w:rsidR="002E293A" w:rsidRPr="00CD2C17" w:rsidRDefault="002E293A" w:rsidP="00AE3209">
      <w:r w:rsidRPr="00CD2C17">
        <w:rPr>
          <w:b/>
          <w:bCs/>
        </w:rPr>
        <w:t>More information</w:t>
      </w:r>
      <w:r w:rsidRPr="00CD2C17">
        <w:t>: Hover over a header to reveal a popup with more information on the information contained in that column.</w:t>
      </w:r>
    </w:p>
    <w:p w14:paraId="70EDFFFC" w14:textId="77777777" w:rsidR="002E293A" w:rsidRDefault="002E293A" w:rsidP="00AE3209">
      <w:r w:rsidRPr="00CD2C17">
        <w:rPr>
          <w:b/>
          <w:bCs/>
        </w:rPr>
        <w:t>Sorting</w:t>
      </w:r>
      <w:r w:rsidRPr="00CD2C17">
        <w:t>: Click column header to sort. First / default sort is ascending order. Toggle between ascending and descending by continuing to click the column header.</w:t>
      </w:r>
    </w:p>
    <w:p w14:paraId="75824CAC" w14:textId="77777777" w:rsidR="002E293A" w:rsidRPr="00CD2C17" w:rsidRDefault="002E293A" w:rsidP="00AE3209">
      <w:r>
        <w:rPr>
          <w:noProof/>
          <w:bdr w:val="none" w:sz="0" w:space="0" w:color="auto" w:frame="1"/>
        </w:rPr>
        <w:lastRenderedPageBreak/>
        <w:drawing>
          <wp:inline distT="0" distB="0" distL="0" distR="0" wp14:anchorId="5EE4BC06" wp14:editId="080E21C0">
            <wp:extent cx="3948052" cy="2268651"/>
            <wp:effectExtent l="76200" t="76200" r="128905" b="132080"/>
            <wp:docPr id="12" name="Picture 12" descr="Zoomed in view to sort columns, filter columns and hovering over the column header to get a brief description" title="ADI Column Headers (direct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omed in view to sort columns, filter columns and hovering over the column header to get a brief description"/>
                    <pic:cNvPicPr>
                      <a:picLocks noChangeAspect="1" noChangeArrowheads="1"/>
                    </pic:cNvPicPr>
                  </pic:nvPicPr>
                  <pic:blipFill rotWithShape="1">
                    <a:blip r:embed="rId28">
                      <a:extLst>
                        <a:ext uri="{28A0092B-C50C-407E-A947-70E740481C1C}">
                          <a14:useLocalDpi xmlns:a14="http://schemas.microsoft.com/office/drawing/2010/main" val="0"/>
                        </a:ext>
                      </a:extLst>
                    </a:blip>
                    <a:srcRect t="10947" b="13236"/>
                    <a:stretch/>
                  </pic:blipFill>
                  <pic:spPr bwMode="auto">
                    <a:xfrm>
                      <a:off x="0" y="0"/>
                      <a:ext cx="3953207" cy="22716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2C45281" w14:textId="1871D06C" w:rsidR="002E293A" w:rsidRPr="00CD2C17" w:rsidRDefault="002E293A" w:rsidP="00AE3209">
      <w:r w:rsidRPr="00CD2C17">
        <w:rPr>
          <w:b/>
          <w:bCs/>
        </w:rPr>
        <w:t>BE ADVISED</w:t>
      </w:r>
      <w:r w:rsidRPr="00CD2C17">
        <w:t xml:space="preserve">: The reports contained in the ADI app use color-coding of some results and calculations. This is not the same color coding used in the </w:t>
      </w:r>
      <w:r w:rsidR="0025408D">
        <w:t>Statewide 90%</w:t>
      </w:r>
      <w:r w:rsidRPr="00CD2C17">
        <w:t xml:space="preserve"> Reports. Color-coding in the ADI app is applied as </w:t>
      </w:r>
      <w:r w:rsidR="0025408D">
        <w:t>follows</w:t>
      </w:r>
      <w:r w:rsidRPr="00CD2C17">
        <w:t>.</w:t>
      </w:r>
    </w:p>
    <w:p w14:paraId="609DE79E" w14:textId="77777777" w:rsidR="002E293A" w:rsidRPr="00CD2C17" w:rsidRDefault="002E293A" w:rsidP="00AE3209">
      <w:r w:rsidRPr="00CD2C17">
        <w:rPr>
          <w:b/>
          <w:color w:val="FFFFFF" w:themeColor="background1"/>
          <w:highlight w:val="darkRed"/>
        </w:rPr>
        <w:t>Red highlighting</w:t>
      </w:r>
      <w:r w:rsidRPr="00CD2C17">
        <w:rPr>
          <w:color w:val="FFFFFF" w:themeColor="background1"/>
        </w:rPr>
        <w:t xml:space="preserve"> </w:t>
      </w:r>
      <w:r w:rsidRPr="00CD2C17">
        <w:t>indicates that performance is under 90% of required performance level target.</w:t>
      </w:r>
    </w:p>
    <w:p w14:paraId="0451327F" w14:textId="69E22613" w:rsidR="00333A1C" w:rsidRDefault="002E293A" w:rsidP="00AE3209">
      <w:r w:rsidRPr="00CD2C17">
        <w:rPr>
          <w:b/>
          <w:highlight w:val="yellow"/>
        </w:rPr>
        <w:t>Yellow highlighting</w:t>
      </w:r>
      <w:r w:rsidRPr="00CD2C17">
        <w:t xml:space="preserve"> indicates that no data were submitted by the school for the numerator or denominator.</w:t>
      </w:r>
      <w:r>
        <w:t xml:space="preserve">  </w:t>
      </w:r>
    </w:p>
    <w:p w14:paraId="3C65704B" w14:textId="4CD6BA6F" w:rsidR="002C4BDA" w:rsidRDefault="002C4BDA" w:rsidP="009A652E">
      <w:pPr>
        <w:pStyle w:val="Heading2"/>
      </w:pPr>
      <w:bookmarkStart w:id="63" w:name="_Toc155258793"/>
      <w:bookmarkStart w:id="64" w:name="_Toc155265235"/>
      <w:r>
        <w:t xml:space="preserve">Perkins Statewide </w:t>
      </w:r>
      <w:r w:rsidR="00582C15">
        <w:t>90%</w:t>
      </w:r>
      <w:r>
        <w:t xml:space="preserve"> Report, Secondary CTE</w:t>
      </w:r>
      <w:bookmarkEnd w:id="63"/>
      <w:bookmarkEnd w:id="64"/>
    </w:p>
    <w:p w14:paraId="78E24959" w14:textId="6532F2B9" w:rsidR="002C4BDA" w:rsidRDefault="00555758" w:rsidP="002C4BDA">
      <w:r>
        <w:t>The Statewide Summary Traffic Light Report (Secondary) displays 90% Status, along with traffic-light color-coding, of actual performance aggregated at the state and at the grantee / recipient level as well as showing the statewide disaggregated calculations by gender, by race / ethnicity, by Focal Student Group, and by Career Cluster. Some of the student group disaggregated calculations used to be issued in a separate report (Statewide Detail…), but all tables are published as one report, effective report year 2020-2021. Data suppression is applied to this report.</w:t>
      </w:r>
    </w:p>
    <w:p w14:paraId="418FE822" w14:textId="4867ADF1" w:rsidR="00555758" w:rsidRDefault="002C4BDA" w:rsidP="009A652E">
      <w:pPr>
        <w:pStyle w:val="Heading2"/>
      </w:pPr>
      <w:bookmarkStart w:id="65" w:name="_Toc155258794"/>
      <w:bookmarkStart w:id="66" w:name="_Toc155265236"/>
      <w:r>
        <w:t xml:space="preserve">Perkins Statewide </w:t>
      </w:r>
      <w:r w:rsidR="00582C15">
        <w:t>90%</w:t>
      </w:r>
      <w:r>
        <w:t xml:space="preserve"> Report, Postsecondary CTE</w:t>
      </w:r>
      <w:bookmarkEnd w:id="65"/>
      <w:bookmarkEnd w:id="66"/>
    </w:p>
    <w:p w14:paraId="7AE40155" w14:textId="3AB3CB4E" w:rsidR="00555758" w:rsidRDefault="00555758" w:rsidP="00555758">
      <w:r>
        <w:t>The Statewide Summary Traffic Light Report (Postsecondary)</w:t>
      </w:r>
      <w:r w:rsidRPr="0086764A">
        <w:t xml:space="preserve"> </w:t>
      </w:r>
      <w:r>
        <w:t>displays 90% Status, along with traffic-light color-coding, of actual performance aggregated at the state and at the grantee / recipient level. The Statewide Detail Traffic Light Report (only available for Postsecondary)</w:t>
      </w:r>
      <w:r w:rsidRPr="0086764A">
        <w:t xml:space="preserve"> </w:t>
      </w:r>
      <w:r>
        <w:t>displays 90% Status, along with traffic-light color-coding, of actual statewide performance disaggregated by gender, by race / ethnicity, by Focal Student Group, and by Career Cluster. Data suppression is applied to this report.</w:t>
      </w:r>
    </w:p>
    <w:p w14:paraId="18142639" w14:textId="0878139F" w:rsidR="00555758" w:rsidRPr="00376069" w:rsidRDefault="00555758" w:rsidP="009A652E">
      <w:pPr>
        <w:pStyle w:val="Heading2"/>
      </w:pPr>
      <w:bookmarkStart w:id="67" w:name="_Toc155258795"/>
      <w:bookmarkStart w:id="68" w:name="_Toc155265237"/>
      <w:r w:rsidRPr="00376069">
        <w:t xml:space="preserve">Institution Detail </w:t>
      </w:r>
      <w:r w:rsidR="00582C15">
        <w:t>90%</w:t>
      </w:r>
      <w:r w:rsidRPr="00376069">
        <w:t xml:space="preserve"> Report</w:t>
      </w:r>
      <w:bookmarkEnd w:id="67"/>
      <w:bookmarkEnd w:id="68"/>
    </w:p>
    <w:p w14:paraId="580B146C" w14:textId="27086B66" w:rsidR="00555758" w:rsidRDefault="00555758" w:rsidP="00555758">
      <w:r>
        <w:t>The Institution Detail Traffic Light Report (only available for Postsecondary)</w:t>
      </w:r>
      <w:r w:rsidRPr="0086764A">
        <w:t xml:space="preserve"> </w:t>
      </w:r>
      <w:r>
        <w:t>displays 90% Status, along with traffic-light color-coding, of actual institution performance disaggregated by gender, by race / ethnicity, by Focal Student Group, and by Career Cluster. Two versions of this report are produced</w:t>
      </w:r>
      <w:r w:rsidR="009A652E">
        <w:t>, a</w:t>
      </w:r>
      <w:r>
        <w:t xml:space="preserve"> version with data suppression is provided to the CTE RC and the CC CTE Grant Manager, and the CC CTE Grant Manager receives another version without data suppression applied. </w:t>
      </w:r>
    </w:p>
    <w:p w14:paraId="704777E4" w14:textId="2D81CA23" w:rsidR="005507FA" w:rsidRDefault="005507FA" w:rsidP="009A652E">
      <w:pPr>
        <w:pStyle w:val="Heading2"/>
      </w:pPr>
      <w:bookmarkStart w:id="69" w:name="_Perkins_Performance_Workbooks"/>
      <w:bookmarkStart w:id="70" w:name="_Toc155258796"/>
      <w:bookmarkStart w:id="71" w:name="_Toc155265238"/>
      <w:bookmarkEnd w:id="69"/>
      <w:r>
        <w:lastRenderedPageBreak/>
        <w:t>Perkins Performance Workbooks</w:t>
      </w:r>
      <w:bookmarkEnd w:id="70"/>
      <w:bookmarkEnd w:id="71"/>
    </w:p>
    <w:p w14:paraId="00CF5879" w14:textId="77777777" w:rsidR="005507FA" w:rsidRDefault="005507FA" w:rsidP="005507FA">
      <w:r>
        <w:t xml:space="preserve">The Perkins Performance Workbooks are issued to each CC CTE Grant Manager with information exclusive to their postsecondary institution. These workbooks do not have data suppression applied, and they contain pivot tables that show by-indicator linking to student-level data. This report includes information on which individual students qualified for the respective denominator and/or numerator. </w:t>
      </w:r>
    </w:p>
    <w:p w14:paraId="78318376" w14:textId="77777777" w:rsidR="00626867" w:rsidRDefault="00626867">
      <w:pPr>
        <w:spacing w:before="0" w:line="240" w:lineRule="auto"/>
        <w:rPr>
          <w:rFonts w:asciiTheme="majorHAnsi" w:eastAsiaTheme="majorEastAsia" w:hAnsiTheme="majorHAnsi" w:cstheme="majorBidi"/>
          <w:color w:val="000000" w:themeColor="text1"/>
          <w:sz w:val="32"/>
          <w:szCs w:val="32"/>
        </w:rPr>
      </w:pPr>
      <w:r>
        <w:br w:type="page"/>
      </w:r>
    </w:p>
    <w:p w14:paraId="6701F69D" w14:textId="49FFDF97" w:rsidR="00156318" w:rsidRDefault="00156318" w:rsidP="00430AB2">
      <w:pPr>
        <w:pStyle w:val="Heading1"/>
      </w:pPr>
      <w:bookmarkStart w:id="72" w:name="_Toc155258797"/>
      <w:bookmarkStart w:id="73" w:name="_Toc155265239"/>
      <w:r>
        <w:lastRenderedPageBreak/>
        <w:t>Appendices</w:t>
      </w:r>
      <w:bookmarkEnd w:id="72"/>
      <w:bookmarkEnd w:id="73"/>
    </w:p>
    <w:p w14:paraId="76DD61C1" w14:textId="5CB076C3" w:rsidR="0025408D" w:rsidRDefault="0025408D" w:rsidP="0025408D">
      <w:pPr>
        <w:pStyle w:val="TOC1"/>
        <w:rPr>
          <w:rFonts w:eastAsiaTheme="minorEastAsia" w:cstheme="minorBidi"/>
          <w:noProof/>
          <w:kern w:val="2"/>
          <w14:ligatures w14:val="standardContextual"/>
        </w:rPr>
      </w:pPr>
      <w:r>
        <w:fldChar w:fldCharType="begin"/>
      </w:r>
      <w:r>
        <w:instrText xml:space="preserve"> TOC \o "1-3" \h \z \u </w:instrText>
      </w:r>
      <w:r>
        <w:fldChar w:fldCharType="separate"/>
      </w:r>
    </w:p>
    <w:p w14:paraId="69B233BC" w14:textId="2E81275C" w:rsidR="0025408D" w:rsidRDefault="00984C6C">
      <w:pPr>
        <w:pStyle w:val="TOC2"/>
        <w:rPr>
          <w:rFonts w:eastAsiaTheme="minorEastAsia" w:cstheme="minorBidi"/>
          <w:noProof/>
          <w:kern w:val="2"/>
          <w14:ligatures w14:val="standardContextual"/>
        </w:rPr>
      </w:pPr>
      <w:hyperlink w:anchor="_Toc155258798" w:history="1">
        <w:r w:rsidR="0025408D" w:rsidRPr="00EC0F00">
          <w:rPr>
            <w:rStyle w:val="Hyperlink"/>
            <w:noProof/>
          </w:rPr>
          <w:t>Appendix A: Acronyms &amp; Glossary</w:t>
        </w:r>
        <w:r w:rsidR="0025408D">
          <w:rPr>
            <w:noProof/>
            <w:webHidden/>
          </w:rPr>
          <w:tab/>
        </w:r>
        <w:r w:rsidR="0025408D">
          <w:rPr>
            <w:noProof/>
            <w:webHidden/>
          </w:rPr>
          <w:fldChar w:fldCharType="begin"/>
        </w:r>
        <w:r w:rsidR="0025408D">
          <w:rPr>
            <w:noProof/>
            <w:webHidden/>
          </w:rPr>
          <w:instrText xml:space="preserve"> PAGEREF _Toc155258798 \h </w:instrText>
        </w:r>
        <w:r w:rsidR="0025408D">
          <w:rPr>
            <w:noProof/>
            <w:webHidden/>
          </w:rPr>
        </w:r>
        <w:r w:rsidR="0025408D">
          <w:rPr>
            <w:noProof/>
            <w:webHidden/>
          </w:rPr>
          <w:fldChar w:fldCharType="separate"/>
        </w:r>
        <w:r w:rsidR="00EA3425">
          <w:rPr>
            <w:noProof/>
            <w:webHidden/>
          </w:rPr>
          <w:t>19</w:t>
        </w:r>
        <w:r w:rsidR="0025408D">
          <w:rPr>
            <w:noProof/>
            <w:webHidden/>
          </w:rPr>
          <w:fldChar w:fldCharType="end"/>
        </w:r>
      </w:hyperlink>
    </w:p>
    <w:p w14:paraId="747796B9" w14:textId="5B403381" w:rsidR="0025408D" w:rsidRDefault="00984C6C">
      <w:pPr>
        <w:pStyle w:val="TOC2"/>
        <w:rPr>
          <w:rFonts w:eastAsiaTheme="minorEastAsia" w:cstheme="minorBidi"/>
          <w:noProof/>
          <w:kern w:val="2"/>
          <w14:ligatures w14:val="standardContextual"/>
        </w:rPr>
      </w:pPr>
      <w:hyperlink w:anchor="_Toc155258799" w:history="1">
        <w:r w:rsidR="0025408D" w:rsidRPr="00EC0F00">
          <w:rPr>
            <w:rStyle w:val="Hyperlink"/>
            <w:noProof/>
          </w:rPr>
          <w:t>Appendix B: Resource Links</w:t>
        </w:r>
        <w:r w:rsidR="0025408D">
          <w:rPr>
            <w:noProof/>
            <w:webHidden/>
          </w:rPr>
          <w:tab/>
        </w:r>
        <w:r w:rsidR="0025408D">
          <w:rPr>
            <w:noProof/>
            <w:webHidden/>
          </w:rPr>
          <w:fldChar w:fldCharType="begin"/>
        </w:r>
        <w:r w:rsidR="0025408D">
          <w:rPr>
            <w:noProof/>
            <w:webHidden/>
          </w:rPr>
          <w:instrText xml:space="preserve"> PAGEREF _Toc155258799 \h </w:instrText>
        </w:r>
        <w:r w:rsidR="0025408D">
          <w:rPr>
            <w:noProof/>
            <w:webHidden/>
          </w:rPr>
        </w:r>
        <w:r w:rsidR="0025408D">
          <w:rPr>
            <w:noProof/>
            <w:webHidden/>
          </w:rPr>
          <w:fldChar w:fldCharType="separate"/>
        </w:r>
        <w:r w:rsidR="00EA3425">
          <w:rPr>
            <w:noProof/>
            <w:webHidden/>
          </w:rPr>
          <w:t>23</w:t>
        </w:r>
        <w:r w:rsidR="0025408D">
          <w:rPr>
            <w:noProof/>
            <w:webHidden/>
          </w:rPr>
          <w:fldChar w:fldCharType="end"/>
        </w:r>
      </w:hyperlink>
    </w:p>
    <w:p w14:paraId="2ADE38D6" w14:textId="59647664" w:rsidR="0025408D" w:rsidRDefault="00984C6C">
      <w:pPr>
        <w:pStyle w:val="TOC2"/>
        <w:rPr>
          <w:rFonts w:eastAsiaTheme="minorEastAsia" w:cstheme="minorBidi"/>
          <w:noProof/>
          <w:kern w:val="2"/>
          <w14:ligatures w14:val="standardContextual"/>
        </w:rPr>
      </w:pPr>
      <w:hyperlink w:anchor="_Toc155258800" w:history="1">
        <w:r w:rsidR="0025408D" w:rsidRPr="00EC0F00">
          <w:rPr>
            <w:rStyle w:val="Hyperlink"/>
            <w:noProof/>
          </w:rPr>
          <w:t>Appendix C: CTE Work-Based Learning (WBL) (secondary)</w:t>
        </w:r>
        <w:r w:rsidR="0025408D">
          <w:rPr>
            <w:noProof/>
            <w:webHidden/>
          </w:rPr>
          <w:tab/>
        </w:r>
        <w:r w:rsidR="0025408D">
          <w:rPr>
            <w:noProof/>
            <w:webHidden/>
          </w:rPr>
          <w:fldChar w:fldCharType="begin"/>
        </w:r>
        <w:r w:rsidR="0025408D">
          <w:rPr>
            <w:noProof/>
            <w:webHidden/>
          </w:rPr>
          <w:instrText xml:space="preserve"> PAGEREF _Toc155258800 \h </w:instrText>
        </w:r>
        <w:r w:rsidR="0025408D">
          <w:rPr>
            <w:noProof/>
            <w:webHidden/>
          </w:rPr>
        </w:r>
        <w:r w:rsidR="0025408D">
          <w:rPr>
            <w:noProof/>
            <w:webHidden/>
          </w:rPr>
          <w:fldChar w:fldCharType="separate"/>
        </w:r>
        <w:r w:rsidR="00EA3425">
          <w:rPr>
            <w:noProof/>
            <w:webHidden/>
          </w:rPr>
          <w:t>24</w:t>
        </w:r>
        <w:r w:rsidR="0025408D">
          <w:rPr>
            <w:noProof/>
            <w:webHidden/>
          </w:rPr>
          <w:fldChar w:fldCharType="end"/>
        </w:r>
      </w:hyperlink>
    </w:p>
    <w:p w14:paraId="2A372683" w14:textId="7D4B6C43" w:rsidR="0025408D" w:rsidRDefault="00984C6C">
      <w:pPr>
        <w:pStyle w:val="TOC2"/>
        <w:rPr>
          <w:rFonts w:eastAsiaTheme="minorEastAsia" w:cstheme="minorBidi"/>
          <w:noProof/>
          <w:kern w:val="2"/>
          <w14:ligatures w14:val="standardContextual"/>
        </w:rPr>
      </w:pPr>
      <w:hyperlink w:anchor="_Toc155258801" w:history="1">
        <w:r w:rsidR="0025408D" w:rsidRPr="00EC0F00">
          <w:rPr>
            <w:rStyle w:val="Hyperlink"/>
            <w:noProof/>
          </w:rPr>
          <w:t>Appendix D: Data Handling</w:t>
        </w:r>
        <w:r w:rsidR="0025408D">
          <w:rPr>
            <w:noProof/>
            <w:webHidden/>
          </w:rPr>
          <w:tab/>
        </w:r>
        <w:r w:rsidR="0025408D">
          <w:rPr>
            <w:noProof/>
            <w:webHidden/>
          </w:rPr>
          <w:fldChar w:fldCharType="begin"/>
        </w:r>
        <w:r w:rsidR="0025408D">
          <w:rPr>
            <w:noProof/>
            <w:webHidden/>
          </w:rPr>
          <w:instrText xml:space="preserve"> PAGEREF _Toc155258801 \h </w:instrText>
        </w:r>
        <w:r w:rsidR="0025408D">
          <w:rPr>
            <w:noProof/>
            <w:webHidden/>
          </w:rPr>
        </w:r>
        <w:r w:rsidR="0025408D">
          <w:rPr>
            <w:noProof/>
            <w:webHidden/>
          </w:rPr>
          <w:fldChar w:fldCharType="separate"/>
        </w:r>
        <w:r w:rsidR="00EA3425">
          <w:rPr>
            <w:noProof/>
            <w:webHidden/>
          </w:rPr>
          <w:t>25</w:t>
        </w:r>
        <w:r w:rsidR="0025408D">
          <w:rPr>
            <w:noProof/>
            <w:webHidden/>
          </w:rPr>
          <w:fldChar w:fldCharType="end"/>
        </w:r>
      </w:hyperlink>
    </w:p>
    <w:p w14:paraId="20CD2EFB" w14:textId="7E49B2C3" w:rsidR="0025408D" w:rsidRDefault="00984C6C">
      <w:pPr>
        <w:pStyle w:val="TOC3"/>
        <w:tabs>
          <w:tab w:val="right" w:leader="dot" w:pos="10070"/>
        </w:tabs>
        <w:rPr>
          <w:rFonts w:eastAsiaTheme="minorEastAsia" w:cstheme="minorBidi"/>
          <w:noProof/>
          <w:kern w:val="2"/>
          <w14:ligatures w14:val="standardContextual"/>
        </w:rPr>
      </w:pPr>
      <w:hyperlink w:anchor="_Toc155258802" w:history="1">
        <w:r w:rsidR="0025408D" w:rsidRPr="00EC0F00">
          <w:rPr>
            <w:rStyle w:val="Hyperlink"/>
            <w:noProof/>
          </w:rPr>
          <w:t>Aggregation by Institution</w:t>
        </w:r>
        <w:r w:rsidR="0025408D">
          <w:rPr>
            <w:noProof/>
            <w:webHidden/>
          </w:rPr>
          <w:tab/>
        </w:r>
        <w:r w:rsidR="0025408D">
          <w:rPr>
            <w:noProof/>
            <w:webHidden/>
          </w:rPr>
          <w:fldChar w:fldCharType="begin"/>
        </w:r>
        <w:r w:rsidR="0025408D">
          <w:rPr>
            <w:noProof/>
            <w:webHidden/>
          </w:rPr>
          <w:instrText xml:space="preserve"> PAGEREF _Toc155258802 \h </w:instrText>
        </w:r>
        <w:r w:rsidR="0025408D">
          <w:rPr>
            <w:noProof/>
            <w:webHidden/>
          </w:rPr>
        </w:r>
        <w:r w:rsidR="0025408D">
          <w:rPr>
            <w:noProof/>
            <w:webHidden/>
          </w:rPr>
          <w:fldChar w:fldCharType="separate"/>
        </w:r>
        <w:r w:rsidR="00EA3425">
          <w:rPr>
            <w:noProof/>
            <w:webHidden/>
          </w:rPr>
          <w:t>25</w:t>
        </w:r>
        <w:r w:rsidR="0025408D">
          <w:rPr>
            <w:noProof/>
            <w:webHidden/>
          </w:rPr>
          <w:fldChar w:fldCharType="end"/>
        </w:r>
      </w:hyperlink>
    </w:p>
    <w:p w14:paraId="7A902048" w14:textId="1961AE81" w:rsidR="0025408D" w:rsidRDefault="00984C6C">
      <w:pPr>
        <w:pStyle w:val="TOC3"/>
        <w:tabs>
          <w:tab w:val="right" w:leader="dot" w:pos="10070"/>
        </w:tabs>
        <w:rPr>
          <w:rFonts w:eastAsiaTheme="minorEastAsia" w:cstheme="minorBidi"/>
          <w:noProof/>
          <w:kern w:val="2"/>
          <w14:ligatures w14:val="standardContextual"/>
        </w:rPr>
      </w:pPr>
      <w:hyperlink w:anchor="_Toc155258803" w:history="1">
        <w:r w:rsidR="0025408D" w:rsidRPr="00EC0F00">
          <w:rPr>
            <w:rStyle w:val="Hyperlink"/>
            <w:noProof/>
          </w:rPr>
          <w:t>Deduplication for Students in Multiple CTE POS</w:t>
        </w:r>
        <w:r w:rsidR="0025408D">
          <w:rPr>
            <w:noProof/>
            <w:webHidden/>
          </w:rPr>
          <w:tab/>
        </w:r>
        <w:r w:rsidR="0025408D">
          <w:rPr>
            <w:noProof/>
            <w:webHidden/>
          </w:rPr>
          <w:fldChar w:fldCharType="begin"/>
        </w:r>
        <w:r w:rsidR="0025408D">
          <w:rPr>
            <w:noProof/>
            <w:webHidden/>
          </w:rPr>
          <w:instrText xml:space="preserve"> PAGEREF _Toc155258803 \h </w:instrText>
        </w:r>
        <w:r w:rsidR="0025408D">
          <w:rPr>
            <w:noProof/>
            <w:webHidden/>
          </w:rPr>
        </w:r>
        <w:r w:rsidR="0025408D">
          <w:rPr>
            <w:noProof/>
            <w:webHidden/>
          </w:rPr>
          <w:fldChar w:fldCharType="separate"/>
        </w:r>
        <w:r w:rsidR="00EA3425">
          <w:rPr>
            <w:noProof/>
            <w:webHidden/>
          </w:rPr>
          <w:t>25</w:t>
        </w:r>
        <w:r w:rsidR="0025408D">
          <w:rPr>
            <w:noProof/>
            <w:webHidden/>
          </w:rPr>
          <w:fldChar w:fldCharType="end"/>
        </w:r>
      </w:hyperlink>
    </w:p>
    <w:p w14:paraId="063366D7" w14:textId="17F134CB" w:rsidR="0025408D" w:rsidRDefault="00984C6C">
      <w:pPr>
        <w:pStyle w:val="TOC3"/>
        <w:tabs>
          <w:tab w:val="right" w:leader="dot" w:pos="10070"/>
        </w:tabs>
        <w:rPr>
          <w:rFonts w:eastAsiaTheme="minorEastAsia" w:cstheme="minorBidi"/>
          <w:noProof/>
          <w:kern w:val="2"/>
          <w14:ligatures w14:val="standardContextual"/>
        </w:rPr>
      </w:pPr>
      <w:hyperlink w:anchor="_Toc155258804" w:history="1">
        <w:r w:rsidR="0025408D" w:rsidRPr="00EC0F00">
          <w:rPr>
            <w:rStyle w:val="Hyperlink"/>
            <w:noProof/>
          </w:rPr>
          <w:t>Data Suppression Guidelines</w:t>
        </w:r>
        <w:r w:rsidR="0025408D">
          <w:rPr>
            <w:noProof/>
            <w:webHidden/>
          </w:rPr>
          <w:tab/>
        </w:r>
        <w:r w:rsidR="0025408D">
          <w:rPr>
            <w:noProof/>
            <w:webHidden/>
          </w:rPr>
          <w:fldChar w:fldCharType="begin"/>
        </w:r>
        <w:r w:rsidR="0025408D">
          <w:rPr>
            <w:noProof/>
            <w:webHidden/>
          </w:rPr>
          <w:instrText xml:space="preserve"> PAGEREF _Toc155258804 \h </w:instrText>
        </w:r>
        <w:r w:rsidR="0025408D">
          <w:rPr>
            <w:noProof/>
            <w:webHidden/>
          </w:rPr>
        </w:r>
        <w:r w:rsidR="0025408D">
          <w:rPr>
            <w:noProof/>
            <w:webHidden/>
          </w:rPr>
          <w:fldChar w:fldCharType="separate"/>
        </w:r>
        <w:r w:rsidR="00EA3425">
          <w:rPr>
            <w:noProof/>
            <w:webHidden/>
          </w:rPr>
          <w:t>26</w:t>
        </w:r>
        <w:r w:rsidR="0025408D">
          <w:rPr>
            <w:noProof/>
            <w:webHidden/>
          </w:rPr>
          <w:fldChar w:fldCharType="end"/>
        </w:r>
      </w:hyperlink>
    </w:p>
    <w:p w14:paraId="7CFD032B" w14:textId="0C53310E" w:rsidR="0025408D" w:rsidRDefault="00984C6C">
      <w:pPr>
        <w:pStyle w:val="TOC2"/>
        <w:rPr>
          <w:rFonts w:eastAsiaTheme="minorEastAsia" w:cstheme="minorBidi"/>
          <w:noProof/>
          <w:kern w:val="2"/>
          <w14:ligatures w14:val="standardContextual"/>
        </w:rPr>
      </w:pPr>
      <w:hyperlink w:anchor="_Toc155258805" w:history="1">
        <w:r w:rsidR="0025408D" w:rsidRPr="00EC0F00">
          <w:rPr>
            <w:rStyle w:val="Hyperlink"/>
            <w:noProof/>
          </w:rPr>
          <w:t>Appendix E: Report Year</w:t>
        </w:r>
        <w:r w:rsidR="0025408D">
          <w:rPr>
            <w:noProof/>
            <w:webHidden/>
          </w:rPr>
          <w:tab/>
        </w:r>
        <w:r w:rsidR="0025408D">
          <w:rPr>
            <w:noProof/>
            <w:webHidden/>
          </w:rPr>
          <w:fldChar w:fldCharType="begin"/>
        </w:r>
        <w:r w:rsidR="0025408D">
          <w:rPr>
            <w:noProof/>
            <w:webHidden/>
          </w:rPr>
          <w:instrText xml:space="preserve"> PAGEREF _Toc155258805 \h </w:instrText>
        </w:r>
        <w:r w:rsidR="0025408D">
          <w:rPr>
            <w:noProof/>
            <w:webHidden/>
          </w:rPr>
        </w:r>
        <w:r w:rsidR="0025408D">
          <w:rPr>
            <w:noProof/>
            <w:webHidden/>
          </w:rPr>
          <w:fldChar w:fldCharType="separate"/>
        </w:r>
        <w:r w:rsidR="00EA3425">
          <w:rPr>
            <w:noProof/>
            <w:webHidden/>
          </w:rPr>
          <w:t>27</w:t>
        </w:r>
        <w:r w:rsidR="0025408D">
          <w:rPr>
            <w:noProof/>
            <w:webHidden/>
          </w:rPr>
          <w:fldChar w:fldCharType="end"/>
        </w:r>
      </w:hyperlink>
    </w:p>
    <w:p w14:paraId="116F8A40" w14:textId="4999775D" w:rsidR="0025408D" w:rsidRDefault="00984C6C">
      <w:pPr>
        <w:pStyle w:val="TOC3"/>
        <w:tabs>
          <w:tab w:val="right" w:leader="dot" w:pos="10070"/>
        </w:tabs>
        <w:rPr>
          <w:rFonts w:eastAsiaTheme="minorEastAsia" w:cstheme="minorBidi"/>
          <w:noProof/>
          <w:kern w:val="2"/>
          <w14:ligatures w14:val="standardContextual"/>
        </w:rPr>
      </w:pPr>
      <w:hyperlink w:anchor="_Toc155258806" w:history="1">
        <w:r w:rsidR="0025408D" w:rsidRPr="00EC0F00">
          <w:rPr>
            <w:rStyle w:val="Hyperlink"/>
            <w:noProof/>
          </w:rPr>
          <w:t>Secondary CTE</w:t>
        </w:r>
        <w:r w:rsidR="0025408D">
          <w:rPr>
            <w:noProof/>
            <w:webHidden/>
          </w:rPr>
          <w:tab/>
        </w:r>
        <w:r w:rsidR="0025408D">
          <w:rPr>
            <w:noProof/>
            <w:webHidden/>
          </w:rPr>
          <w:fldChar w:fldCharType="begin"/>
        </w:r>
        <w:r w:rsidR="0025408D">
          <w:rPr>
            <w:noProof/>
            <w:webHidden/>
          </w:rPr>
          <w:instrText xml:space="preserve"> PAGEREF _Toc155258806 \h </w:instrText>
        </w:r>
        <w:r w:rsidR="0025408D">
          <w:rPr>
            <w:noProof/>
            <w:webHidden/>
          </w:rPr>
        </w:r>
        <w:r w:rsidR="0025408D">
          <w:rPr>
            <w:noProof/>
            <w:webHidden/>
          </w:rPr>
          <w:fldChar w:fldCharType="separate"/>
        </w:r>
        <w:r w:rsidR="00EA3425">
          <w:rPr>
            <w:noProof/>
            <w:webHidden/>
          </w:rPr>
          <w:t>27</w:t>
        </w:r>
        <w:r w:rsidR="0025408D">
          <w:rPr>
            <w:noProof/>
            <w:webHidden/>
          </w:rPr>
          <w:fldChar w:fldCharType="end"/>
        </w:r>
      </w:hyperlink>
    </w:p>
    <w:p w14:paraId="7F177603" w14:textId="4CF840D5" w:rsidR="0025408D" w:rsidRDefault="00984C6C">
      <w:pPr>
        <w:pStyle w:val="TOC3"/>
        <w:tabs>
          <w:tab w:val="right" w:leader="dot" w:pos="10070"/>
        </w:tabs>
        <w:rPr>
          <w:rFonts w:eastAsiaTheme="minorEastAsia" w:cstheme="minorBidi"/>
          <w:noProof/>
          <w:kern w:val="2"/>
          <w14:ligatures w14:val="standardContextual"/>
        </w:rPr>
      </w:pPr>
      <w:hyperlink w:anchor="_Toc155258807" w:history="1">
        <w:r w:rsidR="0025408D" w:rsidRPr="00EC0F00">
          <w:rPr>
            <w:rStyle w:val="Hyperlink"/>
            <w:noProof/>
          </w:rPr>
          <w:t>Postsecondary CTE</w:t>
        </w:r>
        <w:r w:rsidR="0025408D">
          <w:rPr>
            <w:noProof/>
            <w:webHidden/>
          </w:rPr>
          <w:tab/>
        </w:r>
        <w:r w:rsidR="0025408D">
          <w:rPr>
            <w:noProof/>
            <w:webHidden/>
          </w:rPr>
          <w:fldChar w:fldCharType="begin"/>
        </w:r>
        <w:r w:rsidR="0025408D">
          <w:rPr>
            <w:noProof/>
            <w:webHidden/>
          </w:rPr>
          <w:instrText xml:space="preserve"> PAGEREF _Toc155258807 \h </w:instrText>
        </w:r>
        <w:r w:rsidR="0025408D">
          <w:rPr>
            <w:noProof/>
            <w:webHidden/>
          </w:rPr>
        </w:r>
        <w:r w:rsidR="0025408D">
          <w:rPr>
            <w:noProof/>
            <w:webHidden/>
          </w:rPr>
          <w:fldChar w:fldCharType="separate"/>
        </w:r>
        <w:r w:rsidR="00EA3425">
          <w:rPr>
            <w:noProof/>
            <w:webHidden/>
          </w:rPr>
          <w:t>28</w:t>
        </w:r>
        <w:r w:rsidR="0025408D">
          <w:rPr>
            <w:noProof/>
            <w:webHidden/>
          </w:rPr>
          <w:fldChar w:fldCharType="end"/>
        </w:r>
      </w:hyperlink>
    </w:p>
    <w:p w14:paraId="42175D35" w14:textId="14E0D11B" w:rsidR="0025408D" w:rsidRDefault="00984C6C">
      <w:pPr>
        <w:pStyle w:val="TOC2"/>
        <w:rPr>
          <w:rFonts w:eastAsiaTheme="minorEastAsia" w:cstheme="minorBidi"/>
          <w:noProof/>
          <w:kern w:val="2"/>
          <w14:ligatures w14:val="standardContextual"/>
        </w:rPr>
      </w:pPr>
      <w:hyperlink w:anchor="_Toc155258808" w:history="1">
        <w:r w:rsidR="0025408D" w:rsidRPr="00EC0F00">
          <w:rPr>
            <w:rStyle w:val="Hyperlink"/>
            <w:noProof/>
          </w:rPr>
          <w:t>Appendix F: Focal Student Groups</w:t>
        </w:r>
        <w:r w:rsidR="0025408D">
          <w:rPr>
            <w:noProof/>
            <w:webHidden/>
          </w:rPr>
          <w:tab/>
        </w:r>
        <w:r w:rsidR="0025408D">
          <w:rPr>
            <w:noProof/>
            <w:webHidden/>
          </w:rPr>
          <w:fldChar w:fldCharType="begin"/>
        </w:r>
        <w:r w:rsidR="0025408D">
          <w:rPr>
            <w:noProof/>
            <w:webHidden/>
          </w:rPr>
          <w:instrText xml:space="preserve"> PAGEREF _Toc155258808 \h </w:instrText>
        </w:r>
        <w:r w:rsidR="0025408D">
          <w:rPr>
            <w:noProof/>
            <w:webHidden/>
          </w:rPr>
        </w:r>
        <w:r w:rsidR="0025408D">
          <w:rPr>
            <w:noProof/>
            <w:webHidden/>
          </w:rPr>
          <w:fldChar w:fldCharType="separate"/>
        </w:r>
        <w:r w:rsidR="00EA3425">
          <w:rPr>
            <w:noProof/>
            <w:webHidden/>
          </w:rPr>
          <w:t>30</w:t>
        </w:r>
        <w:r w:rsidR="0025408D">
          <w:rPr>
            <w:noProof/>
            <w:webHidden/>
          </w:rPr>
          <w:fldChar w:fldCharType="end"/>
        </w:r>
      </w:hyperlink>
    </w:p>
    <w:p w14:paraId="155F8782" w14:textId="3C74A5E1" w:rsidR="0025408D" w:rsidRDefault="00984C6C">
      <w:pPr>
        <w:pStyle w:val="TOC3"/>
        <w:tabs>
          <w:tab w:val="right" w:leader="dot" w:pos="10070"/>
        </w:tabs>
        <w:rPr>
          <w:rFonts w:eastAsiaTheme="minorEastAsia" w:cstheme="minorBidi"/>
          <w:noProof/>
          <w:kern w:val="2"/>
          <w14:ligatures w14:val="standardContextual"/>
        </w:rPr>
      </w:pPr>
      <w:hyperlink w:anchor="_Toc155258809" w:history="1">
        <w:r w:rsidR="0025408D" w:rsidRPr="00EC0F00">
          <w:rPr>
            <w:rStyle w:val="Hyperlink"/>
            <w:noProof/>
          </w:rPr>
          <w:t>Nonexclusive Count Categories</w:t>
        </w:r>
        <w:r w:rsidR="0025408D">
          <w:rPr>
            <w:noProof/>
            <w:webHidden/>
          </w:rPr>
          <w:tab/>
        </w:r>
        <w:r w:rsidR="0025408D">
          <w:rPr>
            <w:noProof/>
            <w:webHidden/>
          </w:rPr>
          <w:fldChar w:fldCharType="begin"/>
        </w:r>
        <w:r w:rsidR="0025408D">
          <w:rPr>
            <w:noProof/>
            <w:webHidden/>
          </w:rPr>
          <w:instrText xml:space="preserve"> PAGEREF _Toc155258809 \h </w:instrText>
        </w:r>
        <w:r w:rsidR="0025408D">
          <w:rPr>
            <w:noProof/>
            <w:webHidden/>
          </w:rPr>
        </w:r>
        <w:r w:rsidR="0025408D">
          <w:rPr>
            <w:noProof/>
            <w:webHidden/>
          </w:rPr>
          <w:fldChar w:fldCharType="separate"/>
        </w:r>
        <w:r w:rsidR="00EA3425">
          <w:rPr>
            <w:noProof/>
            <w:webHidden/>
          </w:rPr>
          <w:t>30</w:t>
        </w:r>
        <w:r w:rsidR="0025408D">
          <w:rPr>
            <w:noProof/>
            <w:webHidden/>
          </w:rPr>
          <w:fldChar w:fldCharType="end"/>
        </w:r>
      </w:hyperlink>
    </w:p>
    <w:p w14:paraId="0CDE441F" w14:textId="13C98726" w:rsidR="0025408D" w:rsidRDefault="00984C6C">
      <w:pPr>
        <w:pStyle w:val="TOC3"/>
        <w:tabs>
          <w:tab w:val="right" w:leader="dot" w:pos="10070"/>
        </w:tabs>
        <w:rPr>
          <w:rFonts w:eastAsiaTheme="minorEastAsia" w:cstheme="minorBidi"/>
          <w:noProof/>
          <w:kern w:val="2"/>
          <w14:ligatures w14:val="standardContextual"/>
        </w:rPr>
      </w:pPr>
      <w:hyperlink w:anchor="_Toc155258810" w:history="1">
        <w:r w:rsidR="0025408D" w:rsidRPr="00EC0F00">
          <w:rPr>
            <w:rStyle w:val="Hyperlink"/>
            <w:noProof/>
          </w:rPr>
          <w:t>Unduplicated Count Categories</w:t>
        </w:r>
        <w:r w:rsidR="0025408D">
          <w:rPr>
            <w:noProof/>
            <w:webHidden/>
          </w:rPr>
          <w:tab/>
        </w:r>
        <w:r w:rsidR="0025408D">
          <w:rPr>
            <w:noProof/>
            <w:webHidden/>
          </w:rPr>
          <w:fldChar w:fldCharType="begin"/>
        </w:r>
        <w:r w:rsidR="0025408D">
          <w:rPr>
            <w:noProof/>
            <w:webHidden/>
          </w:rPr>
          <w:instrText xml:space="preserve"> PAGEREF _Toc155258810 \h </w:instrText>
        </w:r>
        <w:r w:rsidR="0025408D">
          <w:rPr>
            <w:noProof/>
            <w:webHidden/>
          </w:rPr>
        </w:r>
        <w:r w:rsidR="0025408D">
          <w:rPr>
            <w:noProof/>
            <w:webHidden/>
          </w:rPr>
          <w:fldChar w:fldCharType="separate"/>
        </w:r>
        <w:r w:rsidR="00EA3425">
          <w:rPr>
            <w:noProof/>
            <w:webHidden/>
          </w:rPr>
          <w:t>33</w:t>
        </w:r>
        <w:r w:rsidR="0025408D">
          <w:rPr>
            <w:noProof/>
            <w:webHidden/>
          </w:rPr>
          <w:fldChar w:fldCharType="end"/>
        </w:r>
      </w:hyperlink>
    </w:p>
    <w:p w14:paraId="45E80E16" w14:textId="38D23300" w:rsidR="0025408D" w:rsidRDefault="00984C6C">
      <w:pPr>
        <w:pStyle w:val="TOC2"/>
        <w:rPr>
          <w:rFonts w:eastAsiaTheme="minorEastAsia" w:cstheme="minorBidi"/>
          <w:noProof/>
          <w:kern w:val="2"/>
          <w14:ligatures w14:val="standardContextual"/>
        </w:rPr>
      </w:pPr>
      <w:hyperlink w:anchor="_Toc155258811" w:history="1">
        <w:r w:rsidR="0025408D" w:rsidRPr="00EC0F00">
          <w:rPr>
            <w:rStyle w:val="Hyperlink"/>
            <w:noProof/>
          </w:rPr>
          <w:t>Appendix G: Post-Program &amp; Postsecondary Placement Data</w:t>
        </w:r>
        <w:r w:rsidR="0025408D">
          <w:rPr>
            <w:noProof/>
            <w:webHidden/>
          </w:rPr>
          <w:tab/>
        </w:r>
        <w:r w:rsidR="0025408D">
          <w:rPr>
            <w:noProof/>
            <w:webHidden/>
          </w:rPr>
          <w:fldChar w:fldCharType="begin"/>
        </w:r>
        <w:r w:rsidR="0025408D">
          <w:rPr>
            <w:noProof/>
            <w:webHidden/>
          </w:rPr>
          <w:instrText xml:space="preserve"> PAGEREF _Toc155258811 \h </w:instrText>
        </w:r>
        <w:r w:rsidR="0025408D">
          <w:rPr>
            <w:noProof/>
            <w:webHidden/>
          </w:rPr>
        </w:r>
        <w:r w:rsidR="0025408D">
          <w:rPr>
            <w:noProof/>
            <w:webHidden/>
          </w:rPr>
          <w:fldChar w:fldCharType="separate"/>
        </w:r>
        <w:r w:rsidR="00EA3425">
          <w:rPr>
            <w:noProof/>
            <w:webHidden/>
          </w:rPr>
          <w:t>35</w:t>
        </w:r>
        <w:r w:rsidR="0025408D">
          <w:rPr>
            <w:noProof/>
            <w:webHidden/>
          </w:rPr>
          <w:fldChar w:fldCharType="end"/>
        </w:r>
      </w:hyperlink>
    </w:p>
    <w:p w14:paraId="25388C23" w14:textId="72713E00" w:rsidR="00626867" w:rsidRDefault="0025408D" w:rsidP="0025408D">
      <w:r>
        <w:fldChar w:fldCharType="end"/>
      </w:r>
    </w:p>
    <w:p w14:paraId="1E8D3D61" w14:textId="77777777" w:rsidR="0025408D" w:rsidRPr="0025408D" w:rsidRDefault="0025408D" w:rsidP="0025408D">
      <w:pPr>
        <w:sectPr w:rsidR="0025408D" w:rsidRPr="0025408D" w:rsidSect="00401C80">
          <w:pgSz w:w="12240" w:h="15840"/>
          <w:pgMar w:top="1080" w:right="1080" w:bottom="1080" w:left="1080" w:header="720" w:footer="720" w:gutter="0"/>
          <w:cols w:space="720"/>
          <w:docGrid w:linePitch="360"/>
        </w:sectPr>
      </w:pPr>
    </w:p>
    <w:p w14:paraId="02D479E1" w14:textId="511D2ADB" w:rsidR="00430AB2" w:rsidRDefault="00430AB2" w:rsidP="00156318">
      <w:pPr>
        <w:pStyle w:val="Heading2"/>
      </w:pPr>
      <w:bookmarkStart w:id="74" w:name="_Toc155258798"/>
      <w:bookmarkStart w:id="75" w:name="_Toc155265240"/>
      <w:r>
        <w:lastRenderedPageBreak/>
        <w:t>Appendix A: Acronyms &amp; Glossary</w:t>
      </w:r>
      <w:bookmarkEnd w:id="74"/>
      <w:bookmarkEnd w:id="75"/>
      <w:r>
        <w:t xml:space="preserve"> </w:t>
      </w:r>
    </w:p>
    <w:p w14:paraId="2C546071" w14:textId="2FDF503A" w:rsidR="00430AB2" w:rsidRDefault="00430AB2" w:rsidP="00430AB2">
      <w:r>
        <w:t xml:space="preserve">For additional use of these terms or for CTE-related terms not found here, please see </w:t>
      </w:r>
      <w:r w:rsidRPr="00456169">
        <w:t xml:space="preserve">the </w:t>
      </w:r>
      <w:hyperlink r:id="rId29" w:history="1">
        <w:r w:rsidRPr="00456169">
          <w:rPr>
            <w:rStyle w:val="Hyperlink"/>
          </w:rPr>
          <w:t xml:space="preserve">Oregon CTE State Plan Glossary </w:t>
        </w:r>
      </w:hyperlink>
      <w:r>
        <w:t xml:space="preserve">or a relevant process-specific resource. </w:t>
      </w:r>
    </w:p>
    <w:p w14:paraId="15F907BC" w14:textId="77777777" w:rsidR="00430AB2" w:rsidRPr="00401C80" w:rsidRDefault="00430AB2" w:rsidP="00FD5024">
      <w:pPr>
        <w:spacing w:after="0"/>
        <w:rPr>
          <w:rStyle w:val="IntenseReference"/>
        </w:rPr>
      </w:pPr>
      <w:r w:rsidRPr="00401C80">
        <w:rPr>
          <w:rStyle w:val="IntenseReference"/>
        </w:rPr>
        <w:t>90% Reports</w:t>
      </w:r>
    </w:p>
    <w:p w14:paraId="24DE4DF7" w14:textId="38E135E2" w:rsidR="00430AB2" w:rsidRPr="002151DB" w:rsidRDefault="00430AB2" w:rsidP="00430AB2">
      <w:r>
        <w:t>This term references that data are being evaluated along metrics mirroring the Perkins annual statewide reporting ODE submits to the U.S. Department of Education. The Statewide (Summary or Detail) Traffic Light Report</w:t>
      </w:r>
      <w:r w:rsidR="00FD5024">
        <w:t>s are a subset of the</w:t>
      </w:r>
      <w:r>
        <w:t xml:space="preserve"> 90% </w:t>
      </w:r>
      <w:r w:rsidR="00FD5024">
        <w:t>Reports that use</w:t>
      </w:r>
      <w:r>
        <w:t xml:space="preserve"> </w:t>
      </w:r>
      <w:r w:rsidR="00FD5024">
        <w:t>red-yellow-green color-coding of the Performance Level.</w:t>
      </w:r>
    </w:p>
    <w:p w14:paraId="7F61CFD3" w14:textId="77777777" w:rsidR="00430AB2" w:rsidRPr="0086764A" w:rsidRDefault="00430AB2" w:rsidP="00DE68DD">
      <w:pPr>
        <w:spacing w:after="0"/>
        <w:rPr>
          <w:rStyle w:val="IntenseReference"/>
        </w:rPr>
      </w:pPr>
      <w:r w:rsidRPr="0086764A">
        <w:rPr>
          <w:rStyle w:val="IntenseReference"/>
        </w:rPr>
        <w:t>90% Status</w:t>
      </w:r>
    </w:p>
    <w:p w14:paraId="666EBC59" w14:textId="49DA09EA" w:rsidR="00430AB2" w:rsidRDefault="00FD5024" w:rsidP="00DE68DD">
      <w:pPr>
        <w:spacing w:before="0"/>
      </w:pPr>
      <w:r w:rsidRPr="00FD5024">
        <w:rPr>
          <w:i/>
          <w:iCs/>
        </w:rPr>
        <w:t>AKA Performance Level</w:t>
      </w:r>
      <w:r>
        <w:t xml:space="preserve"> </w:t>
      </w:r>
      <w:r w:rsidR="00430AB2">
        <w:t xml:space="preserve">A region or group’s performance level is compared to the performance target through the set of three (3) 90% Status categories or levels. met or exceeded performance target; met 90% level but did not meet performance target; and below 90% level. </w:t>
      </w:r>
    </w:p>
    <w:p w14:paraId="413C9559" w14:textId="77777777" w:rsidR="00430AB2" w:rsidRPr="0086764A" w:rsidRDefault="00430AB2" w:rsidP="00FD5024">
      <w:pPr>
        <w:spacing w:after="0"/>
        <w:rPr>
          <w:rStyle w:val="IntenseReference"/>
        </w:rPr>
      </w:pPr>
      <w:r w:rsidRPr="0086764A">
        <w:rPr>
          <w:rStyle w:val="IntenseReference"/>
        </w:rPr>
        <w:t>Actual Performance</w:t>
      </w:r>
    </w:p>
    <w:p w14:paraId="4C3A4A34" w14:textId="77777777" w:rsidR="00430AB2" w:rsidRDefault="00430AB2" w:rsidP="00430AB2">
      <w:r>
        <w:t>Actual performance refers to any level-specific or level-and-disaggregation-specific result of a performance indicator calculation in a given school year. Examples: statewide actual performance; institution (school or district) actual performance in report year 2020-2021; statewide female student actual performance for report year 2020-2021, etc.</w:t>
      </w:r>
    </w:p>
    <w:p w14:paraId="733D82AE" w14:textId="77777777" w:rsidR="00430AB2" w:rsidRPr="0086332E" w:rsidRDefault="00430AB2" w:rsidP="00FD5024">
      <w:pPr>
        <w:spacing w:after="0"/>
        <w:rPr>
          <w:rStyle w:val="IntenseReference"/>
        </w:rPr>
      </w:pPr>
      <w:r w:rsidRPr="0086332E">
        <w:rPr>
          <w:rStyle w:val="IntenseReference"/>
        </w:rPr>
        <w:t>Aggregation</w:t>
      </w:r>
    </w:p>
    <w:p w14:paraId="19CB4C97" w14:textId="77777777" w:rsidR="00430AB2" w:rsidRDefault="00430AB2" w:rsidP="00430AB2">
      <w:r>
        <w:t>Data about clusters or groups, such as counts, averages, medians, or percentages; certain types of aggregation are calculations for specific subset of students (or former students) such as focal student group statistics</w:t>
      </w:r>
      <w:r w:rsidRPr="00ED607F">
        <w:t>.</w:t>
      </w:r>
    </w:p>
    <w:p w14:paraId="27460E9B" w14:textId="77777777" w:rsidR="00430AB2" w:rsidRPr="0086764A" w:rsidRDefault="00430AB2" w:rsidP="00FD5024">
      <w:pPr>
        <w:spacing w:after="0"/>
        <w:rPr>
          <w:rStyle w:val="IntenseReference"/>
        </w:rPr>
      </w:pPr>
      <w:r w:rsidRPr="0086764A">
        <w:rPr>
          <w:rStyle w:val="IntenseReference"/>
        </w:rPr>
        <w:t>Career Learning Area</w:t>
      </w:r>
    </w:p>
    <w:p w14:paraId="45AB0A4E" w14:textId="77777777" w:rsidR="00430AB2" w:rsidRPr="00CC0340" w:rsidRDefault="00430AB2" w:rsidP="00430AB2">
      <w:r>
        <w:t xml:space="preserve">The Career Learning Area is the highest-level of groupings used in classifying CTE programs. </w:t>
      </w:r>
      <w:r w:rsidRPr="00CC48EA">
        <w:t>Oregon's</w:t>
      </w:r>
      <w:r>
        <w:t xml:space="preserve"> six (6) CTE</w:t>
      </w:r>
      <w:r w:rsidRPr="00CC48EA">
        <w:t xml:space="preserve"> Career</w:t>
      </w:r>
      <w:r>
        <w:t xml:space="preserve"> Learning</w:t>
      </w:r>
      <w:r w:rsidRPr="00CC48EA">
        <w:t xml:space="preserve"> Areas provide an organizational framework for Prog</w:t>
      </w:r>
      <w:r>
        <w:t>ram of Study curriculum design.</w:t>
      </w:r>
    </w:p>
    <w:p w14:paraId="4DB71C71" w14:textId="77777777" w:rsidR="00430AB2" w:rsidRPr="0086764A" w:rsidRDefault="00430AB2" w:rsidP="00741EB8">
      <w:pPr>
        <w:spacing w:after="0"/>
        <w:rPr>
          <w:rStyle w:val="IntenseReference"/>
        </w:rPr>
      </w:pPr>
      <w:r w:rsidRPr="0086764A">
        <w:rPr>
          <w:rStyle w:val="IntenseReference"/>
        </w:rPr>
        <w:t>Career Cluster</w:t>
      </w:r>
    </w:p>
    <w:p w14:paraId="04CAE72F" w14:textId="77777777" w:rsidR="00430AB2" w:rsidRDefault="00430AB2" w:rsidP="00430AB2">
      <w:r>
        <w:t>Career Clusters are the second / middle level of groupings we use classifying CTE POS. There are sixteen (16) Career Clusters across ODE’s six (6) Career Learning Areas.</w:t>
      </w:r>
    </w:p>
    <w:p w14:paraId="7713982A" w14:textId="77777777" w:rsidR="00430AB2" w:rsidRDefault="00430AB2" w:rsidP="00430AB2">
      <w:pPr>
        <w:pStyle w:val="ListParagraph"/>
        <w:numPr>
          <w:ilvl w:val="0"/>
          <w:numId w:val="22"/>
        </w:numPr>
        <w:sectPr w:rsidR="00430AB2" w:rsidSect="00401C80">
          <w:pgSz w:w="12240" w:h="15840"/>
          <w:pgMar w:top="1080" w:right="1080" w:bottom="1080" w:left="1080" w:header="720" w:footer="720" w:gutter="0"/>
          <w:cols w:space="720"/>
          <w:docGrid w:linePitch="360"/>
        </w:sectPr>
      </w:pPr>
    </w:p>
    <w:p w14:paraId="45C175E6" w14:textId="77777777" w:rsidR="00430AB2" w:rsidRDefault="00430AB2" w:rsidP="00430AB2">
      <w:pPr>
        <w:pStyle w:val="ListParagraph"/>
        <w:numPr>
          <w:ilvl w:val="0"/>
          <w:numId w:val="22"/>
        </w:numPr>
      </w:pPr>
      <w:r>
        <w:t>Agriculture, Food &amp; Natural Resources</w:t>
      </w:r>
    </w:p>
    <w:p w14:paraId="29D4CF19" w14:textId="77777777" w:rsidR="00430AB2" w:rsidRDefault="00430AB2" w:rsidP="00430AB2">
      <w:pPr>
        <w:pStyle w:val="ListParagraph"/>
        <w:numPr>
          <w:ilvl w:val="0"/>
          <w:numId w:val="22"/>
        </w:numPr>
      </w:pPr>
      <w:r>
        <w:t>Architecture &amp; Construction</w:t>
      </w:r>
    </w:p>
    <w:p w14:paraId="6419C40D" w14:textId="77777777" w:rsidR="00430AB2" w:rsidRDefault="00430AB2" w:rsidP="00430AB2">
      <w:pPr>
        <w:pStyle w:val="ListParagraph"/>
        <w:numPr>
          <w:ilvl w:val="0"/>
          <w:numId w:val="22"/>
        </w:numPr>
      </w:pPr>
      <w:r>
        <w:t>Arts, A/V Technology &amp; Communications</w:t>
      </w:r>
    </w:p>
    <w:p w14:paraId="4B831BFC" w14:textId="77777777" w:rsidR="00430AB2" w:rsidRDefault="00430AB2" w:rsidP="00430AB2">
      <w:pPr>
        <w:pStyle w:val="ListParagraph"/>
        <w:numPr>
          <w:ilvl w:val="0"/>
          <w:numId w:val="22"/>
        </w:numPr>
      </w:pPr>
      <w:r>
        <w:t>Business Management &amp; Administration</w:t>
      </w:r>
    </w:p>
    <w:p w14:paraId="7FD576A6" w14:textId="77777777" w:rsidR="00430AB2" w:rsidRDefault="00430AB2" w:rsidP="00430AB2">
      <w:pPr>
        <w:pStyle w:val="ListParagraph"/>
        <w:numPr>
          <w:ilvl w:val="0"/>
          <w:numId w:val="22"/>
        </w:numPr>
      </w:pPr>
      <w:r>
        <w:t>Education &amp; Training</w:t>
      </w:r>
    </w:p>
    <w:p w14:paraId="3B35B1EB" w14:textId="77777777" w:rsidR="00430AB2" w:rsidRDefault="00430AB2" w:rsidP="00430AB2">
      <w:pPr>
        <w:pStyle w:val="ListParagraph"/>
        <w:numPr>
          <w:ilvl w:val="0"/>
          <w:numId w:val="22"/>
        </w:numPr>
      </w:pPr>
      <w:r>
        <w:t>Finance</w:t>
      </w:r>
    </w:p>
    <w:p w14:paraId="15F768B4" w14:textId="77777777" w:rsidR="00430AB2" w:rsidRDefault="00430AB2" w:rsidP="00430AB2">
      <w:pPr>
        <w:pStyle w:val="ListParagraph"/>
        <w:numPr>
          <w:ilvl w:val="0"/>
          <w:numId w:val="22"/>
        </w:numPr>
      </w:pPr>
      <w:r>
        <w:t>Government &amp; Public Administration</w:t>
      </w:r>
    </w:p>
    <w:p w14:paraId="4F787D2F" w14:textId="77777777" w:rsidR="00430AB2" w:rsidRDefault="00430AB2" w:rsidP="00430AB2">
      <w:pPr>
        <w:pStyle w:val="ListParagraph"/>
        <w:numPr>
          <w:ilvl w:val="0"/>
          <w:numId w:val="22"/>
        </w:numPr>
      </w:pPr>
      <w:r>
        <w:t>Health Science</w:t>
      </w:r>
    </w:p>
    <w:p w14:paraId="5C674BF7" w14:textId="77777777" w:rsidR="00430AB2" w:rsidRDefault="00430AB2" w:rsidP="00430AB2">
      <w:pPr>
        <w:pStyle w:val="ListParagraph"/>
        <w:numPr>
          <w:ilvl w:val="0"/>
          <w:numId w:val="22"/>
        </w:numPr>
      </w:pPr>
      <w:r>
        <w:t>Hospitality &amp; Tourism</w:t>
      </w:r>
    </w:p>
    <w:p w14:paraId="01DA1F0C" w14:textId="77777777" w:rsidR="00430AB2" w:rsidRDefault="00430AB2" w:rsidP="00430AB2">
      <w:pPr>
        <w:pStyle w:val="ListParagraph"/>
        <w:numPr>
          <w:ilvl w:val="0"/>
          <w:numId w:val="22"/>
        </w:numPr>
      </w:pPr>
      <w:r>
        <w:t>Human Services</w:t>
      </w:r>
    </w:p>
    <w:p w14:paraId="27E5BA72" w14:textId="77777777" w:rsidR="00430AB2" w:rsidRDefault="00430AB2" w:rsidP="00430AB2">
      <w:pPr>
        <w:pStyle w:val="ListParagraph"/>
        <w:numPr>
          <w:ilvl w:val="0"/>
          <w:numId w:val="22"/>
        </w:numPr>
      </w:pPr>
      <w:r>
        <w:t>Information Technology</w:t>
      </w:r>
    </w:p>
    <w:p w14:paraId="332E6BE7" w14:textId="77777777" w:rsidR="00430AB2" w:rsidRDefault="00430AB2" w:rsidP="00430AB2">
      <w:pPr>
        <w:pStyle w:val="ListParagraph"/>
        <w:numPr>
          <w:ilvl w:val="0"/>
          <w:numId w:val="22"/>
        </w:numPr>
      </w:pPr>
      <w:r>
        <w:t>Law, Public Safety, Corrections &amp; Security</w:t>
      </w:r>
    </w:p>
    <w:p w14:paraId="16EE4826" w14:textId="77777777" w:rsidR="00430AB2" w:rsidRDefault="00430AB2" w:rsidP="00430AB2">
      <w:pPr>
        <w:pStyle w:val="ListParagraph"/>
        <w:numPr>
          <w:ilvl w:val="0"/>
          <w:numId w:val="22"/>
        </w:numPr>
      </w:pPr>
      <w:r>
        <w:t>Manufacturing</w:t>
      </w:r>
    </w:p>
    <w:p w14:paraId="4E529B5E" w14:textId="77777777" w:rsidR="00430AB2" w:rsidRDefault="00430AB2" w:rsidP="00430AB2">
      <w:pPr>
        <w:pStyle w:val="ListParagraph"/>
        <w:numPr>
          <w:ilvl w:val="0"/>
          <w:numId w:val="22"/>
        </w:numPr>
      </w:pPr>
      <w:r>
        <w:t>Marketing</w:t>
      </w:r>
    </w:p>
    <w:p w14:paraId="521F3C84" w14:textId="77777777" w:rsidR="00430AB2" w:rsidRDefault="00430AB2" w:rsidP="00430AB2">
      <w:pPr>
        <w:pStyle w:val="ListParagraph"/>
        <w:numPr>
          <w:ilvl w:val="0"/>
          <w:numId w:val="22"/>
        </w:numPr>
      </w:pPr>
      <w:r>
        <w:lastRenderedPageBreak/>
        <w:t>STEM (i.e., Engineering Technology)</w:t>
      </w:r>
    </w:p>
    <w:p w14:paraId="136165DA" w14:textId="77777777" w:rsidR="00430AB2" w:rsidRDefault="00430AB2" w:rsidP="00430AB2">
      <w:pPr>
        <w:pStyle w:val="ListParagraph"/>
        <w:numPr>
          <w:ilvl w:val="0"/>
          <w:numId w:val="22"/>
        </w:numPr>
        <w:sectPr w:rsidR="00430AB2" w:rsidSect="00401C80">
          <w:type w:val="continuous"/>
          <w:pgSz w:w="12240" w:h="15840"/>
          <w:pgMar w:top="1080" w:right="1080" w:bottom="1080" w:left="1080" w:header="720" w:footer="720" w:gutter="0"/>
          <w:cols w:num="2" w:space="720"/>
          <w:docGrid w:linePitch="360"/>
        </w:sectPr>
      </w:pPr>
      <w:r>
        <w:t>Transportation, Distribution &amp; Logistics</w:t>
      </w:r>
    </w:p>
    <w:p w14:paraId="45EDD075" w14:textId="77777777" w:rsidR="00741EB8" w:rsidRDefault="00741EB8">
      <w:pPr>
        <w:spacing w:before="0" w:line="240" w:lineRule="auto"/>
        <w:rPr>
          <w:rStyle w:val="IntenseReference"/>
          <w:iCs/>
        </w:rPr>
      </w:pPr>
      <w:r>
        <w:rPr>
          <w:rStyle w:val="IntenseReference"/>
          <w:iCs/>
        </w:rPr>
        <w:br w:type="page"/>
      </w:r>
    </w:p>
    <w:p w14:paraId="33AFC7DA" w14:textId="25158721" w:rsidR="00430AB2" w:rsidRPr="00EE0D34" w:rsidRDefault="00430AB2" w:rsidP="00FD5024">
      <w:pPr>
        <w:spacing w:after="0"/>
        <w:rPr>
          <w:rStyle w:val="IntenseReference"/>
          <w:iCs/>
        </w:rPr>
      </w:pPr>
      <w:r w:rsidRPr="00EE0D34">
        <w:rPr>
          <w:rStyle w:val="IntenseReference"/>
          <w:iCs/>
        </w:rPr>
        <w:lastRenderedPageBreak/>
        <w:t>CIP code</w:t>
      </w:r>
    </w:p>
    <w:p w14:paraId="7992C312" w14:textId="77777777" w:rsidR="00430AB2" w:rsidRDefault="00430AB2" w:rsidP="00430AB2">
      <w:r>
        <w:t>“</w:t>
      </w:r>
      <w:r w:rsidRPr="00835983">
        <w:t>The Classification of Instructional Programs (CIP) provides a taxonomic scheme that supports the accurate tracking and reporting of fields of study and program completions activity.</w:t>
      </w:r>
      <w:r>
        <w:t>”</w:t>
      </w:r>
      <w:r>
        <w:rPr>
          <w:rStyle w:val="FootnoteReference"/>
        </w:rPr>
        <w:footnoteReference w:id="5"/>
      </w:r>
      <w:r>
        <w:t xml:space="preserve"> CIP codes are used (in conjunction with other information such as the institution id of the school operating the program and more) to identify and distinguish CTE programs. See Perkins </w:t>
      </w:r>
      <w:r w:rsidRPr="00FD5024">
        <w:rPr>
          <w:highlight w:val="yellow"/>
        </w:rPr>
        <w:t>CTE Data Resources (</w:t>
      </w:r>
      <w:hyperlink w:anchor="_Appendix_O:_Perkins" w:history="1">
        <w:r w:rsidRPr="00FD5024">
          <w:rPr>
            <w:rStyle w:val="Hyperlink"/>
            <w:highlight w:val="yellow"/>
          </w:rPr>
          <w:t>Appendix L</w:t>
        </w:r>
      </w:hyperlink>
      <w:r w:rsidRPr="00FD5024">
        <w:rPr>
          <w:highlight w:val="yellow"/>
        </w:rPr>
        <w:t>) for</w:t>
      </w:r>
      <w:r>
        <w:t xml:space="preserve"> links to CIP code resources for both secondary and postsecondary education.</w:t>
      </w:r>
    </w:p>
    <w:p w14:paraId="0E527151" w14:textId="77777777" w:rsidR="00430AB2" w:rsidRPr="00ED1FB9" w:rsidRDefault="00430AB2" w:rsidP="00FD5024">
      <w:pPr>
        <w:spacing w:after="0"/>
        <w:rPr>
          <w:rStyle w:val="IntenseReference"/>
        </w:rPr>
      </w:pPr>
      <w:r w:rsidRPr="00ED1FB9">
        <w:rPr>
          <w:rStyle w:val="IntenseReference"/>
        </w:rPr>
        <w:t>CTE Concentrator, postsecondary</w:t>
      </w:r>
    </w:p>
    <w:p w14:paraId="0BD1F9EF" w14:textId="77777777" w:rsidR="00430AB2" w:rsidRDefault="00430AB2" w:rsidP="00430AB2">
      <w:r>
        <w:t>A</w:t>
      </w:r>
      <w:r w:rsidRPr="0036730C">
        <w:t xml:space="preserve"> student who has </w:t>
      </w:r>
      <w:r w:rsidRPr="0036730C">
        <w:rPr>
          <w:b/>
        </w:rPr>
        <w:t>a)</w:t>
      </w:r>
      <w:r>
        <w:t xml:space="preserve"> </w:t>
      </w:r>
      <w:r w:rsidRPr="0036730C">
        <w:t>earned at least 12.0 credits, of which 9.0 program credits are CTE specific, within a CTE Program or Progr</w:t>
      </w:r>
      <w:r>
        <w:t>am of Study</w:t>
      </w:r>
      <w:r w:rsidRPr="0036730C">
        <w:t xml:space="preserve"> </w:t>
      </w:r>
      <w:r w:rsidRPr="0036730C">
        <w:rPr>
          <w:b/>
        </w:rPr>
        <w:t>or b)</w:t>
      </w:r>
      <w:r>
        <w:t xml:space="preserve"> </w:t>
      </w:r>
      <w:r w:rsidRPr="0036730C">
        <w:t xml:space="preserve">completed the </w:t>
      </w:r>
      <w:r>
        <w:t xml:space="preserve">CTE </w:t>
      </w:r>
      <w:r w:rsidRPr="0036730C">
        <w:t>program if it is fewer than 12.0 credits.</w:t>
      </w:r>
    </w:p>
    <w:p w14:paraId="116E0092" w14:textId="77777777" w:rsidR="00430AB2" w:rsidRPr="00ED1FB9" w:rsidRDefault="00430AB2" w:rsidP="00FD5024">
      <w:pPr>
        <w:spacing w:after="0"/>
        <w:rPr>
          <w:rStyle w:val="IntenseReference"/>
        </w:rPr>
      </w:pPr>
      <w:r w:rsidRPr="00ED1FB9">
        <w:rPr>
          <w:rStyle w:val="IntenseReference"/>
        </w:rPr>
        <w:t>CTE Concentrator, secondary</w:t>
      </w:r>
    </w:p>
    <w:p w14:paraId="4418A41A" w14:textId="77777777" w:rsidR="00430AB2" w:rsidRDefault="00430AB2" w:rsidP="00430AB2">
      <w:r>
        <w:t>A</w:t>
      </w:r>
      <w:r w:rsidRPr="00CC0340">
        <w:t xml:space="preserve"> student with at least 2.0 credits (earned in grade level 9 or higher</w:t>
      </w:r>
      <w:r>
        <w:t xml:space="preserve"> with passing grades</w:t>
      </w:r>
      <w:r w:rsidRPr="00CC0340">
        <w:t>) in a single CTE POS and at least 1.0 of those credits in intermediate or advanced coursework.</w:t>
      </w:r>
      <w:r>
        <w:t xml:space="preserve"> </w:t>
      </w:r>
    </w:p>
    <w:p w14:paraId="005C42BB" w14:textId="77777777" w:rsidR="00430AB2" w:rsidRPr="00456169" w:rsidRDefault="00430AB2" w:rsidP="00FD5024">
      <w:pPr>
        <w:spacing w:after="0"/>
        <w:rPr>
          <w:rStyle w:val="IntenseReference"/>
          <w:caps/>
          <w:smallCaps w:val="0"/>
        </w:rPr>
      </w:pPr>
      <w:r w:rsidRPr="00563E7D">
        <w:rPr>
          <w:rStyle w:val="IntenseReference"/>
        </w:rPr>
        <w:t>CTE Participant, Postsecondary</w:t>
      </w:r>
    </w:p>
    <w:p w14:paraId="6E78A5C5" w14:textId="77777777" w:rsidR="00430AB2" w:rsidRDefault="00430AB2" w:rsidP="00430AB2">
      <w:r>
        <w:t>A</w:t>
      </w:r>
      <w:r w:rsidRPr="0036730C">
        <w:t xml:space="preserve"> student with </w:t>
      </w:r>
      <w:r w:rsidRPr="0036730C">
        <w:rPr>
          <w:b/>
        </w:rPr>
        <w:t>a)</w:t>
      </w:r>
      <w:r w:rsidRPr="0036730C">
        <w:t xml:space="preserve"> fewer than 12.0 credits completed and/or fewer than 9.0 program credit</w:t>
      </w:r>
      <w:r>
        <w:t>s</w:t>
      </w:r>
      <w:r w:rsidRPr="0036730C">
        <w:t xml:space="preserve"> that are CTE specific in a program offering at least 12.0 credits, </w:t>
      </w:r>
      <w:r w:rsidRPr="0036730C">
        <w:rPr>
          <w:b/>
        </w:rPr>
        <w:t>or b)</w:t>
      </w:r>
      <w:r w:rsidRPr="0036730C">
        <w:t xml:space="preserve"> who has not completed a CTE program that offers fewer than 12.0 credits.</w:t>
      </w:r>
    </w:p>
    <w:p w14:paraId="257C6C5B" w14:textId="77777777" w:rsidR="00430AB2" w:rsidRPr="00563E7D" w:rsidRDefault="00430AB2" w:rsidP="00FD5024">
      <w:pPr>
        <w:spacing w:after="0"/>
        <w:rPr>
          <w:rStyle w:val="IntenseReference"/>
        </w:rPr>
      </w:pPr>
      <w:r w:rsidRPr="00563E7D">
        <w:rPr>
          <w:rStyle w:val="IntenseReference"/>
        </w:rPr>
        <w:t>CTE Participant, Secondary</w:t>
      </w:r>
    </w:p>
    <w:p w14:paraId="3155B59A" w14:textId="77777777" w:rsidR="00430AB2" w:rsidRDefault="00430AB2" w:rsidP="00430AB2">
      <w:r>
        <w:t>A</w:t>
      </w:r>
      <w:r w:rsidRPr="00CC0340">
        <w:t xml:space="preserve"> student with at least 0.5 credits (earned in grade level 9 or higher</w:t>
      </w:r>
      <w:r>
        <w:t xml:space="preserve"> with passing grades</w:t>
      </w:r>
      <w:r w:rsidRPr="00CC0340">
        <w:t>) in a single CTE POS (Program of Study).</w:t>
      </w:r>
    </w:p>
    <w:p w14:paraId="61C1BF2B" w14:textId="77777777" w:rsidR="00430AB2" w:rsidRPr="00EE0D34" w:rsidRDefault="00430AB2" w:rsidP="00FD5024">
      <w:pPr>
        <w:spacing w:before="0" w:after="0"/>
        <w:rPr>
          <w:rStyle w:val="IntenseReference"/>
        </w:rPr>
      </w:pPr>
      <w:r>
        <w:rPr>
          <w:rStyle w:val="IntenseReference"/>
        </w:rPr>
        <w:t xml:space="preserve">CTE </w:t>
      </w:r>
      <w:r w:rsidRPr="00EE0D34">
        <w:rPr>
          <w:rStyle w:val="IntenseReference"/>
        </w:rPr>
        <w:t>Work-based Learning</w:t>
      </w:r>
      <w:r>
        <w:rPr>
          <w:rStyle w:val="IntenseReference"/>
        </w:rPr>
        <w:t xml:space="preserve"> (CTE WBL)</w:t>
      </w:r>
    </w:p>
    <w:p w14:paraId="60CFC83C" w14:textId="185E115B" w:rsidR="00430AB2" w:rsidRDefault="00430AB2" w:rsidP="00430AB2">
      <w:r>
        <w:t xml:space="preserve">CTE Work-Based Learning is </w:t>
      </w:r>
      <w:r w:rsidRPr="00113333">
        <w:rPr>
          <w:b/>
        </w:rPr>
        <w:t>NOT synonymous</w:t>
      </w:r>
      <w:r>
        <w:t xml:space="preserve"> with all types of “Work-Based Learning” that constitute credit in other educational programs. See </w:t>
      </w:r>
      <w:hyperlink w:anchor="_Appendix_C:_CTE" w:history="1">
        <w:r w:rsidR="00FD5024" w:rsidRPr="00FD5024">
          <w:rPr>
            <w:rStyle w:val="Hyperlink"/>
          </w:rPr>
          <w:t>Appendix C:</w:t>
        </w:r>
        <w:r w:rsidRPr="00FD5024">
          <w:rPr>
            <w:rStyle w:val="Hyperlink"/>
          </w:rPr>
          <w:t xml:space="preserve"> CTE Work-Based Learning</w:t>
        </w:r>
      </w:hyperlink>
      <w:r>
        <w:t xml:space="preserve"> </w:t>
      </w:r>
      <w:r w:rsidR="00FD5024">
        <w:t xml:space="preserve">(secondary) </w:t>
      </w:r>
      <w:r>
        <w:t xml:space="preserve">or contact the ODE CTE Work-Based Learning Specialist, </w:t>
      </w:r>
      <w:hyperlink r:id="rId30" w:history="1">
        <w:r w:rsidRPr="00176CEE">
          <w:rPr>
            <w:rStyle w:val="Hyperlink"/>
          </w:rPr>
          <w:t>Brandie.Clark@ode.oregon.gov</w:t>
        </w:r>
      </w:hyperlink>
      <w:r>
        <w:t>.</w:t>
      </w:r>
    </w:p>
    <w:p w14:paraId="1E418A0E" w14:textId="45A1F7EB" w:rsidR="00430AB2" w:rsidRDefault="00430AB2" w:rsidP="00430AB2">
      <w:r>
        <w:t>“CTE Work-</w:t>
      </w:r>
      <w:r w:rsidR="00E350D9">
        <w:t>B</w:t>
      </w:r>
      <w:r>
        <w:t>ased learning is a subset of career connected learning that [occurs] primarily in the career preparation and training stages.”</w:t>
      </w:r>
      <w:r>
        <w:rPr>
          <w:rStyle w:val="FootnoteReference"/>
        </w:rPr>
        <w:footnoteReference w:id="6"/>
      </w:r>
      <w:r>
        <w:t xml:space="preserve"> “Structured learning in the workplace or simulated environment that provides opportunities for sustained interactions with industry or community professionals that foster in-depth, firsthand experience of the expectations and application of knowledge and skills required in a given career field.”</w:t>
      </w:r>
      <w:r>
        <w:rPr>
          <w:rStyle w:val="FootnoteReference"/>
        </w:rPr>
        <w:footnoteReference w:id="7"/>
      </w:r>
      <w:r>
        <w:t xml:space="preserve"> </w:t>
      </w:r>
    </w:p>
    <w:p w14:paraId="5359EFE9" w14:textId="30C7CA76" w:rsidR="00430AB2" w:rsidRDefault="00430AB2" w:rsidP="00430AB2">
      <w:r w:rsidRPr="00970C8C">
        <w:lastRenderedPageBreak/>
        <w:t xml:space="preserve">All </w:t>
      </w:r>
      <w:r>
        <w:t xml:space="preserve">CTE </w:t>
      </w:r>
      <w:r w:rsidR="00E350D9">
        <w:t>W</w:t>
      </w:r>
      <w:r w:rsidRPr="00970C8C">
        <w:t>ork-</w:t>
      </w:r>
      <w:r w:rsidR="00E350D9">
        <w:t>B</w:t>
      </w:r>
      <w:r w:rsidRPr="00970C8C">
        <w:t xml:space="preserve">ased learning experiences tied to a CTE Program of Study must include all of the following criteria, which are more fully described </w:t>
      </w:r>
      <w:r>
        <w:t>[in the Perkins V WBL Handbook]</w:t>
      </w:r>
      <w:r w:rsidRPr="00970C8C">
        <w:t>: 1) Align with CTE Program of Study curriculum and instruction</w:t>
      </w:r>
      <w:r>
        <w:t>;</w:t>
      </w:r>
      <w:r w:rsidRPr="00970C8C">
        <w:t xml:space="preserve"> 2) Include sustained interaction with industry, business, or community professionals</w:t>
      </w:r>
      <w:r>
        <w:t>;</w:t>
      </w:r>
      <w:r w:rsidRPr="00970C8C">
        <w:t xml:space="preserve"> 3) Be offered in-person, virtually, or in a simulated workplace setting</w:t>
      </w:r>
      <w:r>
        <w:t>;</w:t>
      </w:r>
      <w:r w:rsidRPr="00970C8C">
        <w:t xml:space="preserve"> 4) Lead to earning of credit and/or outcome verification</w:t>
      </w:r>
      <w:r>
        <w:t>.</w:t>
      </w:r>
      <w:r>
        <w:rPr>
          <w:rStyle w:val="FootnoteReference"/>
        </w:rPr>
        <w:footnoteReference w:id="8"/>
      </w:r>
    </w:p>
    <w:p w14:paraId="3C5599A8" w14:textId="77777777" w:rsidR="00430AB2" w:rsidRPr="00ED607F" w:rsidRDefault="00430AB2" w:rsidP="00FD5024">
      <w:pPr>
        <w:spacing w:after="0"/>
        <w:rPr>
          <w:rStyle w:val="IntenseReference"/>
        </w:rPr>
      </w:pPr>
      <w:r w:rsidRPr="00ED607F">
        <w:rPr>
          <w:rStyle w:val="IntenseReference"/>
        </w:rPr>
        <w:t>Data Suppression</w:t>
      </w:r>
    </w:p>
    <w:p w14:paraId="3AF49DF8" w14:textId="7BAEEA8E" w:rsidR="00430AB2" w:rsidRPr="00420B1B" w:rsidRDefault="00430AB2" w:rsidP="00430AB2">
      <w:pPr>
        <w:rPr>
          <w:rStyle w:val="IntenseReference"/>
          <w:b w:val="0"/>
          <w:bCs w:val="0"/>
          <w:smallCaps w:val="0"/>
        </w:rPr>
      </w:pPr>
      <w:r>
        <w:t>ODE's process of redacting and/or re</w:t>
      </w:r>
      <w:r w:rsidR="00E350D9">
        <w:t>-</w:t>
      </w:r>
      <w:r>
        <w:t xml:space="preserve">coding aggregate data to reduce the risk of revealing private information about a student. Find more information in the Appendix D: </w:t>
      </w:r>
      <w:hyperlink w:anchor="_Data_Suppression" w:history="1">
        <w:r w:rsidRPr="00ED607F">
          <w:rPr>
            <w:rStyle w:val="Hyperlink"/>
          </w:rPr>
          <w:t>Data Suppression</w:t>
        </w:r>
      </w:hyperlink>
      <w:r>
        <w:t>.</w:t>
      </w:r>
    </w:p>
    <w:p w14:paraId="555D0810" w14:textId="77777777" w:rsidR="00430AB2" w:rsidRPr="00EE0D34" w:rsidRDefault="00430AB2" w:rsidP="00FD5024">
      <w:pPr>
        <w:spacing w:after="0"/>
        <w:rPr>
          <w:rStyle w:val="IntenseReference"/>
        </w:rPr>
      </w:pPr>
      <w:r w:rsidRPr="00EE0D34">
        <w:rPr>
          <w:rStyle w:val="IntenseReference"/>
        </w:rPr>
        <w:t>Focal Students (or focal group / focal student group)</w:t>
      </w:r>
    </w:p>
    <w:p w14:paraId="6D0B26E6" w14:textId="40098BEE" w:rsidR="00430AB2" w:rsidRDefault="00430AB2" w:rsidP="00430AB2">
      <w:r>
        <w:t>The term “focal students” will be used to replace the Federal Perkins V (CTE) term “special populations.”</w:t>
      </w:r>
      <w:r>
        <w:rPr>
          <w:rStyle w:val="FootnoteReference"/>
        </w:rPr>
        <w:footnoteReference w:id="9"/>
      </w:r>
      <w:r>
        <w:t xml:space="preserve"> There are nine (9) federally specified focal student groups and one (1) ODE has self-elected to include in Perkins </w:t>
      </w:r>
      <w:r w:rsidR="00E350D9">
        <w:t>data</w:t>
      </w:r>
      <w:r>
        <w:t xml:space="preserve"> reports. More information on each group, including the parameters of included data, can be found in Appendix F: </w:t>
      </w:r>
      <w:hyperlink w:anchor="_Focal_Student_Groups" w:history="1">
        <w:r w:rsidRPr="00B371EC">
          <w:rPr>
            <w:rStyle w:val="Hyperlink"/>
          </w:rPr>
          <w:t>Focal Student Groups.</w:t>
        </w:r>
      </w:hyperlink>
    </w:p>
    <w:p w14:paraId="5FE044A2" w14:textId="77777777" w:rsidR="00430AB2" w:rsidRDefault="00430AB2" w:rsidP="00430AB2">
      <w:pPr>
        <w:pStyle w:val="ListParagraph"/>
        <w:numPr>
          <w:ilvl w:val="0"/>
          <w:numId w:val="28"/>
        </w:numPr>
      </w:pPr>
      <w:r>
        <w:t>Individuals with Disabilities</w:t>
      </w:r>
    </w:p>
    <w:p w14:paraId="39B5D717" w14:textId="77777777" w:rsidR="00430AB2" w:rsidRDefault="00430AB2" w:rsidP="00430AB2">
      <w:pPr>
        <w:pStyle w:val="ListParagraph"/>
        <w:numPr>
          <w:ilvl w:val="0"/>
          <w:numId w:val="28"/>
        </w:numPr>
      </w:pPr>
      <w:r>
        <w:t>Individuals from Economically Disadvantaged Families</w:t>
      </w:r>
    </w:p>
    <w:p w14:paraId="100957D6" w14:textId="77777777" w:rsidR="00430AB2" w:rsidRDefault="00430AB2" w:rsidP="00430AB2">
      <w:pPr>
        <w:pStyle w:val="ListParagraph"/>
        <w:numPr>
          <w:ilvl w:val="0"/>
          <w:numId w:val="28"/>
        </w:numPr>
      </w:pPr>
      <w:r>
        <w:t>Individuals Preparing for Non-traditional Fields</w:t>
      </w:r>
    </w:p>
    <w:p w14:paraId="517B7559" w14:textId="77777777" w:rsidR="00430AB2" w:rsidRDefault="00430AB2" w:rsidP="00430AB2">
      <w:pPr>
        <w:pStyle w:val="ListParagraph"/>
        <w:numPr>
          <w:ilvl w:val="0"/>
          <w:numId w:val="28"/>
        </w:numPr>
      </w:pPr>
      <w:r>
        <w:t>Single Parents</w:t>
      </w:r>
    </w:p>
    <w:p w14:paraId="0851B18D" w14:textId="77777777" w:rsidR="00430AB2" w:rsidRDefault="00430AB2" w:rsidP="00430AB2">
      <w:pPr>
        <w:pStyle w:val="ListParagraph"/>
        <w:numPr>
          <w:ilvl w:val="0"/>
          <w:numId w:val="28"/>
        </w:numPr>
      </w:pPr>
      <w:r>
        <w:t>Out of Workforce Individuals</w:t>
      </w:r>
    </w:p>
    <w:p w14:paraId="41151603" w14:textId="77777777" w:rsidR="00430AB2" w:rsidRDefault="00430AB2" w:rsidP="00430AB2">
      <w:pPr>
        <w:pStyle w:val="ListParagraph"/>
        <w:numPr>
          <w:ilvl w:val="0"/>
          <w:numId w:val="28"/>
        </w:numPr>
      </w:pPr>
      <w:r>
        <w:t>English Learners</w:t>
      </w:r>
    </w:p>
    <w:p w14:paraId="60FA35DF" w14:textId="77777777" w:rsidR="00430AB2" w:rsidRDefault="00430AB2" w:rsidP="00430AB2">
      <w:pPr>
        <w:pStyle w:val="ListParagraph"/>
        <w:numPr>
          <w:ilvl w:val="0"/>
          <w:numId w:val="28"/>
        </w:numPr>
      </w:pPr>
      <w:r>
        <w:t>Homeless Individuals</w:t>
      </w:r>
    </w:p>
    <w:p w14:paraId="79F1A278" w14:textId="77777777" w:rsidR="00430AB2" w:rsidRDefault="00430AB2" w:rsidP="00430AB2">
      <w:pPr>
        <w:pStyle w:val="ListParagraph"/>
        <w:numPr>
          <w:ilvl w:val="0"/>
          <w:numId w:val="28"/>
        </w:numPr>
      </w:pPr>
      <w:r>
        <w:t>Youth in Foster Care</w:t>
      </w:r>
    </w:p>
    <w:p w14:paraId="45F2DC77" w14:textId="77777777" w:rsidR="00430AB2" w:rsidRDefault="00430AB2" w:rsidP="00430AB2">
      <w:pPr>
        <w:pStyle w:val="ListParagraph"/>
        <w:numPr>
          <w:ilvl w:val="0"/>
          <w:numId w:val="28"/>
        </w:numPr>
      </w:pPr>
      <w:r>
        <w:t>Youth with Parent in Active Military</w:t>
      </w:r>
    </w:p>
    <w:p w14:paraId="11009946" w14:textId="77777777" w:rsidR="00430AB2" w:rsidRPr="00CC0340" w:rsidRDefault="00430AB2" w:rsidP="00430AB2">
      <w:pPr>
        <w:pStyle w:val="ListParagraph"/>
        <w:numPr>
          <w:ilvl w:val="0"/>
          <w:numId w:val="28"/>
        </w:numPr>
      </w:pPr>
      <w:r>
        <w:t>*Youth from Migrant Families</w:t>
      </w:r>
    </w:p>
    <w:p w14:paraId="5F04D650" w14:textId="77777777" w:rsidR="00430AB2" w:rsidRPr="00EE0D34" w:rsidRDefault="00430AB2" w:rsidP="00FD5024">
      <w:pPr>
        <w:spacing w:after="0"/>
        <w:rPr>
          <w:rStyle w:val="IntenseReference"/>
        </w:rPr>
      </w:pPr>
      <w:r w:rsidRPr="00EE0D34">
        <w:rPr>
          <w:rStyle w:val="IntenseReference"/>
        </w:rPr>
        <w:t>Grant Recipient / Grantee / Recipient / Subgrantee: </w:t>
      </w:r>
    </w:p>
    <w:p w14:paraId="579EAAA1" w14:textId="77777777" w:rsidR="00430AB2" w:rsidRDefault="00430AB2" w:rsidP="00741EB8">
      <w:pPr>
        <w:spacing w:before="0"/>
      </w:pPr>
      <w:r>
        <w:t xml:space="preserve">The institution serving as a direct recipient or as the fiscal agent for a CTE consortium. </w:t>
      </w:r>
    </w:p>
    <w:p w14:paraId="7D04CE15" w14:textId="77777777" w:rsidR="00430AB2" w:rsidRPr="00440602" w:rsidRDefault="00430AB2" w:rsidP="00FD5024">
      <w:pPr>
        <w:spacing w:after="0"/>
        <w:rPr>
          <w:rStyle w:val="IntenseReference"/>
        </w:rPr>
      </w:pPr>
      <w:r w:rsidRPr="00440602">
        <w:rPr>
          <w:rStyle w:val="IntenseReference"/>
        </w:rPr>
        <w:t xml:space="preserve">Perkins V Performance </w:t>
      </w:r>
      <w:r>
        <w:rPr>
          <w:rStyle w:val="IntenseReference"/>
        </w:rPr>
        <w:t>Indicator (or Performance Indicator / measure / metric):</w:t>
      </w:r>
    </w:p>
    <w:p w14:paraId="3C62F58A" w14:textId="77777777" w:rsidR="00430AB2" w:rsidRDefault="00430AB2" w:rsidP="00430AB2">
      <w:r>
        <w:t xml:space="preserve">These are federally defined core indicators of performance states are required to report on annually under Perkins V legislation. They are structured as unweighted proportions (percentages) with individual specifications on determination of each denominator and numerator. See sections </w:t>
      </w:r>
      <w:hyperlink w:anchor="_Perkins_V_Performance_1" w:history="1">
        <w:r w:rsidRPr="009B27EC">
          <w:rPr>
            <w:rStyle w:val="Hyperlink"/>
          </w:rPr>
          <w:t>Perkins V Performance Measures (Secondary)</w:t>
        </w:r>
      </w:hyperlink>
      <w:r>
        <w:t xml:space="preserve"> and </w:t>
      </w:r>
      <w:hyperlink w:anchor="_Perkins_V_Performance" w:history="1">
        <w:r w:rsidRPr="009B27EC">
          <w:rPr>
            <w:rStyle w:val="Hyperlink"/>
          </w:rPr>
          <w:t>Perkins V Performance Measures (Post</w:t>
        </w:r>
        <w:r>
          <w:rPr>
            <w:rStyle w:val="Hyperlink"/>
          </w:rPr>
          <w:t>s</w:t>
        </w:r>
        <w:r w:rsidRPr="009B27EC">
          <w:rPr>
            <w:rStyle w:val="Hyperlink"/>
          </w:rPr>
          <w:t>econdary)</w:t>
        </w:r>
      </w:hyperlink>
      <w:r>
        <w:t xml:space="preserve"> for details on the Performance Indicators for the respective levels of education.</w:t>
      </w:r>
    </w:p>
    <w:p w14:paraId="314BA92B" w14:textId="1DAD1BF1" w:rsidR="00430AB2" w:rsidRPr="009C2470" w:rsidRDefault="00430AB2" w:rsidP="00741EB8">
      <w:pPr>
        <w:spacing w:after="0"/>
        <w:rPr>
          <w:rStyle w:val="IntenseReference"/>
        </w:rPr>
      </w:pPr>
      <w:r w:rsidRPr="009C2470">
        <w:rPr>
          <w:rStyle w:val="IntenseReference"/>
        </w:rPr>
        <w:t>Primary Program</w:t>
      </w:r>
      <w:r>
        <w:rPr>
          <w:rStyle w:val="IntenseReference"/>
        </w:rPr>
        <w:t>:</w:t>
      </w:r>
    </w:p>
    <w:p w14:paraId="7AC8686C" w14:textId="3D5F837B" w:rsidR="00430AB2" w:rsidRPr="00CC0340" w:rsidRDefault="00430AB2" w:rsidP="00741EB8">
      <w:pPr>
        <w:spacing w:before="0"/>
      </w:pPr>
      <w:r>
        <w:lastRenderedPageBreak/>
        <w:t>A CTE student’s primary program is the program for which their records are considered when students are limited to one (1) appearance in a type of calculation. At the secondary level, the primary program is determined by a formula that considers length of time in the program, number and skill level of courses completed, and more. At the postsecondary level, each student self-identifies their primary program as a component of their postsecondary enrollment.</w:t>
      </w:r>
    </w:p>
    <w:p w14:paraId="755AE60D" w14:textId="77777777" w:rsidR="00430AB2" w:rsidRPr="00EE0D34" w:rsidRDefault="00430AB2" w:rsidP="00741EB8">
      <w:pPr>
        <w:spacing w:after="0"/>
        <w:rPr>
          <w:rStyle w:val="IntenseReference"/>
          <w:iCs/>
        </w:rPr>
      </w:pPr>
      <w:r w:rsidRPr="00EE0D34">
        <w:rPr>
          <w:rStyle w:val="IntenseReference"/>
          <w:iCs/>
        </w:rPr>
        <w:t>Program of Study (POS): </w:t>
      </w:r>
    </w:p>
    <w:p w14:paraId="3B387370" w14:textId="77777777" w:rsidR="00430AB2" w:rsidRDefault="00430AB2" w:rsidP="00430AB2">
      <w:r>
        <w:t>“A CTE Program of Study in Oregon describes a prescribed sequence of non-duplicative courses developed by a partnering secondary school district and a postsecondary institution that prepares students to seamlessly transition across education levels and into the workforce. Coursework integrates rigorous academic knowledge with industry-validated technical and employability skills, progressing in specificity and aligned with industry needs. Many Programs of Study provide opportunities for high school students to earn college credit, though Oregon continues to work on transferability of credits. Oregon CTE Programs of Study provide instruction in technical, academic, and employability skills that can lead to high-wage, high-skill, and in-demand occupations.”</w:t>
      </w:r>
      <w:r>
        <w:rPr>
          <w:rStyle w:val="FootnoteReference"/>
        </w:rPr>
        <w:footnoteReference w:id="10"/>
      </w:r>
      <w:r>
        <w:t xml:space="preserve"> </w:t>
      </w:r>
    </w:p>
    <w:p w14:paraId="7FB16D1F" w14:textId="77777777" w:rsidR="00430AB2" w:rsidRPr="007B37C3" w:rsidRDefault="00430AB2" w:rsidP="00741EB8">
      <w:pPr>
        <w:spacing w:after="0"/>
        <w:rPr>
          <w:rStyle w:val="IntenseReference"/>
          <w:iCs/>
        </w:rPr>
      </w:pPr>
      <w:r w:rsidRPr="007B37C3">
        <w:rPr>
          <w:rStyle w:val="IntenseReference"/>
          <w:iCs/>
        </w:rPr>
        <w:t>Report year</w:t>
      </w:r>
    </w:p>
    <w:p w14:paraId="54B42B82" w14:textId="77777777" w:rsidR="00430AB2" w:rsidRDefault="00430AB2" w:rsidP="00741EB8">
      <w:pPr>
        <w:spacing w:before="0"/>
      </w:pPr>
      <w:r>
        <w:t xml:space="preserve">The report year is the school year in which the </w:t>
      </w:r>
      <w:r w:rsidRPr="007B37C3">
        <w:rPr>
          <w:u w:val="single"/>
        </w:rPr>
        <w:t xml:space="preserve">tracked activity </w:t>
      </w:r>
      <w:r>
        <w:rPr>
          <w:u w:val="single"/>
        </w:rPr>
        <w:t>became fully available to state agencies</w:t>
      </w:r>
      <w:r>
        <w:t xml:space="preserve">. </w:t>
      </w:r>
    </w:p>
    <w:p w14:paraId="392226A9" w14:textId="77777777" w:rsidR="00156318" w:rsidRDefault="00156318" w:rsidP="00156318">
      <w:pPr>
        <w:pStyle w:val="Heading2"/>
        <w:sectPr w:rsidR="00156318" w:rsidSect="00401C80">
          <w:type w:val="continuous"/>
          <w:pgSz w:w="12240" w:h="15840"/>
          <w:pgMar w:top="1080" w:right="1080" w:bottom="1080" w:left="1080" w:header="720" w:footer="720" w:gutter="0"/>
          <w:cols w:space="720"/>
          <w:docGrid w:linePitch="360"/>
        </w:sectPr>
      </w:pPr>
      <w:bookmarkStart w:id="76" w:name="_Ref98825575"/>
      <w:bookmarkStart w:id="77" w:name="_Ref98825618"/>
      <w:bookmarkStart w:id="78" w:name="_Toc98829432"/>
    </w:p>
    <w:p w14:paraId="6E4C4D77" w14:textId="6A63CE04" w:rsidR="00401C80" w:rsidRDefault="00401C80" w:rsidP="00156318">
      <w:pPr>
        <w:pStyle w:val="Heading2"/>
      </w:pPr>
      <w:bookmarkStart w:id="79" w:name="_Toc155258799"/>
      <w:bookmarkStart w:id="80" w:name="_Toc155265241"/>
      <w:r>
        <w:lastRenderedPageBreak/>
        <w:t xml:space="preserve">Appendix B: </w:t>
      </w:r>
      <w:bookmarkEnd w:id="76"/>
      <w:bookmarkEnd w:id="77"/>
      <w:bookmarkEnd w:id="78"/>
      <w:r>
        <w:t>Resource Links</w:t>
      </w:r>
      <w:bookmarkEnd w:id="79"/>
      <w:bookmarkEnd w:id="80"/>
    </w:p>
    <w:p w14:paraId="0044B842" w14:textId="77777777" w:rsidR="00401C80" w:rsidRDefault="00401C80" w:rsidP="00401C80">
      <w:r w:rsidRPr="00F54E5B">
        <w:t xml:space="preserve">CIP code information: The National Center for Educational Statistics </w:t>
      </w:r>
      <w:hyperlink r:id="rId31" w:history="1">
        <w:r w:rsidRPr="00F54E5B">
          <w:rPr>
            <w:rStyle w:val="Hyperlink"/>
            <w:bCs/>
          </w:rPr>
          <w:t>CIP landing page</w:t>
        </w:r>
      </w:hyperlink>
      <w:r w:rsidRPr="00F54E5B">
        <w:t xml:space="preserve">. Direct link to info on </w:t>
      </w:r>
      <w:hyperlink r:id="rId32" w:history="1">
        <w:r w:rsidRPr="00F54E5B">
          <w:rPr>
            <w:rStyle w:val="Hyperlink"/>
            <w:bCs/>
          </w:rPr>
          <w:t>nontraditional gender classification for postsecondary</w:t>
        </w:r>
      </w:hyperlink>
      <w:r w:rsidRPr="00F54E5B">
        <w:t xml:space="preserve">. Comprehensive information on secondary CIP code to Career Learning Area organization – if needed – is available in the </w:t>
      </w:r>
      <w:hyperlink r:id="rId33" w:history="1">
        <w:r w:rsidRPr="00F54E5B">
          <w:rPr>
            <w:rStyle w:val="Hyperlink"/>
            <w:bCs/>
          </w:rPr>
          <w:t>three-tab Oregon Skill Sets Organization Chart</w:t>
        </w:r>
      </w:hyperlink>
      <w:r w:rsidRPr="00F54E5B">
        <w:t xml:space="preserve"> Google spreadsheet. </w:t>
      </w:r>
    </w:p>
    <w:p w14:paraId="675D7059" w14:textId="77777777" w:rsidR="00401C80" w:rsidRPr="00F54E5B" w:rsidRDefault="00401C80" w:rsidP="00401C80">
      <w:pPr>
        <w:rPr>
          <w:color w:val="000000"/>
        </w:rPr>
      </w:pPr>
      <w:r w:rsidRPr="00F54E5B">
        <w:rPr>
          <w:color w:val="000000"/>
        </w:rPr>
        <w:t xml:space="preserve">CTE Work-Based Learning: </w:t>
      </w:r>
      <w:r w:rsidRPr="00F54E5B">
        <w:rPr>
          <w:i/>
          <w:color w:val="000000"/>
        </w:rPr>
        <w:t>aka CTE WBL</w:t>
      </w:r>
      <w:r w:rsidRPr="00F54E5B">
        <w:rPr>
          <w:color w:val="000000"/>
        </w:rPr>
        <w:t xml:space="preserve">. </w:t>
      </w:r>
      <w:r w:rsidRPr="00F54E5B">
        <w:t xml:space="preserve">ODE Career Connected Learning </w:t>
      </w:r>
      <w:hyperlink r:id="rId34" w:history="1">
        <w:r w:rsidRPr="00F54E5B">
          <w:rPr>
            <w:rStyle w:val="Hyperlink"/>
            <w:bCs/>
          </w:rPr>
          <w:t>Career Preparation and Training (WBL) page</w:t>
        </w:r>
      </w:hyperlink>
      <w:r w:rsidRPr="00F54E5B">
        <w:t xml:space="preserve"> has information on WBL including the </w:t>
      </w:r>
      <w:r w:rsidRPr="00F54E5B">
        <w:rPr>
          <w:color w:val="000000"/>
        </w:rPr>
        <w:t xml:space="preserve">Perkins V Work-Based Learning </w:t>
      </w:r>
      <w:hyperlink r:id="rId35" w:history="1">
        <w:r w:rsidRPr="00F54E5B">
          <w:rPr>
            <w:rStyle w:val="Hyperlink"/>
            <w:bCs/>
          </w:rPr>
          <w:t>Handbook</w:t>
        </w:r>
      </w:hyperlink>
      <w:r w:rsidRPr="00F54E5B">
        <w:rPr>
          <w:rStyle w:val="Hyperlink"/>
          <w:bCs/>
        </w:rPr>
        <w:t xml:space="preserve"> (Aug 2022)</w:t>
      </w:r>
      <w:r w:rsidRPr="00F54E5B">
        <w:rPr>
          <w:color w:val="000000"/>
        </w:rPr>
        <w:t xml:space="preserve">. The CTE WBL YouTube playlist is </w:t>
      </w:r>
      <w:hyperlink r:id="rId36" w:history="1">
        <w:r w:rsidRPr="00F54E5B">
          <w:rPr>
            <w:rStyle w:val="Hyperlink"/>
            <w:bCs/>
          </w:rPr>
          <w:t>here</w:t>
        </w:r>
      </w:hyperlink>
      <w:r w:rsidRPr="00F54E5B">
        <w:rPr>
          <w:color w:val="000000"/>
        </w:rPr>
        <w:t>.</w:t>
      </w:r>
      <w:r>
        <w:rPr>
          <w:color w:val="000000"/>
        </w:rPr>
        <w:t xml:space="preserve"> </w:t>
      </w:r>
    </w:p>
    <w:p w14:paraId="06AC0544" w14:textId="77777777" w:rsidR="00401C80" w:rsidRPr="00F54E5B" w:rsidRDefault="00401C80" w:rsidP="00401C80">
      <w:r w:rsidRPr="00F54E5B">
        <w:t xml:space="preserve">District Security Administrator: </w:t>
      </w:r>
      <w:r w:rsidRPr="00F54E5B">
        <w:rPr>
          <w:i/>
        </w:rPr>
        <w:t>aka DSA, Security Administrator, or SA</w:t>
      </w:r>
      <w:r w:rsidRPr="00F54E5B">
        <w:t xml:space="preserve">. Find your DSA </w:t>
      </w:r>
      <w:hyperlink r:id="rId37" w:history="1">
        <w:r w:rsidRPr="00F54E5B">
          <w:rPr>
            <w:rStyle w:val="Hyperlink"/>
            <w:bCs/>
          </w:rPr>
          <w:t>here</w:t>
        </w:r>
      </w:hyperlink>
      <w:r w:rsidRPr="00F54E5B">
        <w:t xml:space="preserve">. This is the person who activates and manages your access to the District Site and its various applications. </w:t>
      </w:r>
    </w:p>
    <w:p w14:paraId="1052B808" w14:textId="77777777" w:rsidR="00401C80" w:rsidRDefault="00401C80" w:rsidP="00401C80">
      <w:r w:rsidRPr="00F54E5B">
        <w:t xml:space="preserve">District Site: </w:t>
      </w:r>
      <w:hyperlink r:id="rId38" w:history="1">
        <w:r w:rsidRPr="00F54E5B">
          <w:rPr>
            <w:rStyle w:val="Hyperlink"/>
            <w:bCs/>
          </w:rPr>
          <w:t>District Home - ODE District Site</w:t>
        </w:r>
      </w:hyperlink>
      <w:r w:rsidRPr="00F54E5B">
        <w:t xml:space="preserve">. This is a primary resource for secondary CTE administrators and data submitters and reviewers. </w:t>
      </w:r>
    </w:p>
    <w:p w14:paraId="506AB278" w14:textId="77777777" w:rsidR="00401C80" w:rsidRPr="00F54E5B" w:rsidRDefault="00401C80" w:rsidP="00401C80">
      <w:r w:rsidRPr="00F54E5B">
        <w:t xml:space="preserve">ODE landing page for </w:t>
      </w:r>
      <w:hyperlink r:id="rId39" w:history="1">
        <w:r w:rsidRPr="00F54E5B">
          <w:rPr>
            <w:rStyle w:val="Hyperlink"/>
            <w:bCs/>
          </w:rPr>
          <w:t>CTE</w:t>
        </w:r>
      </w:hyperlink>
      <w:r w:rsidRPr="00F54E5B">
        <w:t xml:space="preserve"> information</w:t>
      </w:r>
    </w:p>
    <w:p w14:paraId="284D7BD7" w14:textId="77777777" w:rsidR="00401C80" w:rsidRPr="00F54E5B" w:rsidRDefault="00401C80" w:rsidP="00401C80">
      <w:r w:rsidRPr="00F54E5B">
        <w:t xml:space="preserve">Oregon CTE Participation Explorer: This is an </w:t>
      </w:r>
      <w:hyperlink r:id="rId40" w:history="1">
        <w:r w:rsidRPr="00F54E5B">
          <w:rPr>
            <w:rStyle w:val="Hyperlink"/>
            <w:bCs/>
          </w:rPr>
          <w:t>interactive Tableau Dashboard</w:t>
        </w:r>
      </w:hyperlink>
      <w:r w:rsidRPr="00F54E5B">
        <w:t xml:space="preserve"> developed in partnership with Education Northwest. </w:t>
      </w:r>
    </w:p>
    <w:p w14:paraId="3F949D34" w14:textId="77777777" w:rsidR="00401C80" w:rsidRPr="00F54E5B" w:rsidRDefault="00401C80" w:rsidP="00401C80">
      <w:r w:rsidRPr="00F54E5B">
        <w:t xml:space="preserve">Oregon CTE State Plan: </w:t>
      </w:r>
      <w:hyperlink r:id="rId41" w:history="1">
        <w:r w:rsidRPr="00F54E5B">
          <w:rPr>
            <w:rStyle w:val="Hyperlink"/>
            <w:bCs/>
          </w:rPr>
          <w:t>Page of links</w:t>
        </w:r>
      </w:hyperlink>
      <w:r w:rsidRPr="00F54E5B">
        <w:t xml:space="preserve"> to the State Plan and related appendices and resources (State Plan </w:t>
      </w:r>
      <w:r w:rsidRPr="00F54E5B">
        <w:rPr>
          <w:u w:val="single"/>
        </w:rPr>
        <w:t>Glossary</w:t>
      </w:r>
      <w:r w:rsidRPr="00F54E5B">
        <w:t xml:space="preserve"> is appendix N.) The </w:t>
      </w:r>
      <w:hyperlink r:id="rId42" w:history="1">
        <w:r w:rsidRPr="00F54E5B">
          <w:rPr>
            <w:rStyle w:val="Hyperlink"/>
            <w:bCs/>
          </w:rPr>
          <w:t>CTE State Plan – Executive Summary</w:t>
        </w:r>
      </w:hyperlink>
      <w:r w:rsidRPr="00F54E5B">
        <w:t xml:space="preserve"> is also available. </w:t>
      </w:r>
    </w:p>
    <w:p w14:paraId="435FB346" w14:textId="77777777" w:rsidR="00401C80" w:rsidRDefault="00401C80" w:rsidP="00401C80">
      <w:r w:rsidRPr="00F54E5B">
        <w:t xml:space="preserve">Oregon CTE on YouTube: The Oregon CTE channel is </w:t>
      </w:r>
      <w:hyperlink r:id="rId43" w:history="1">
        <w:r w:rsidRPr="00F54E5B">
          <w:rPr>
            <w:rStyle w:val="Hyperlink"/>
            <w:bCs/>
          </w:rPr>
          <w:t>here</w:t>
        </w:r>
      </w:hyperlink>
      <w:r w:rsidRPr="00F54E5B">
        <w:t xml:space="preserve">, and the CTE Data playlist is </w:t>
      </w:r>
      <w:hyperlink r:id="rId44" w:history="1">
        <w:r w:rsidRPr="00F54E5B">
          <w:rPr>
            <w:rStyle w:val="Hyperlink"/>
            <w:bCs/>
          </w:rPr>
          <w:t>here</w:t>
        </w:r>
      </w:hyperlink>
      <w:r w:rsidRPr="00F54E5B">
        <w:t>.</w:t>
      </w:r>
    </w:p>
    <w:p w14:paraId="496D6709" w14:textId="77777777" w:rsidR="00401C80" w:rsidRPr="00F54E5B" w:rsidRDefault="00401C80" w:rsidP="00401C80">
      <w:r w:rsidRPr="00F54E5B">
        <w:t xml:space="preserve">Postsecondary CTE Education </w:t>
      </w:r>
      <w:hyperlink r:id="rId45" w:history="1">
        <w:r w:rsidRPr="00F54E5B">
          <w:rPr>
            <w:rStyle w:val="Hyperlink"/>
            <w:bCs/>
          </w:rPr>
          <w:t>page</w:t>
        </w:r>
      </w:hyperlink>
    </w:p>
    <w:p w14:paraId="1D2BBB35" w14:textId="6E6A707C" w:rsidR="005507FA" w:rsidRPr="00401C80" w:rsidRDefault="00401C80" w:rsidP="00555758">
      <w:pPr>
        <w:rPr>
          <w:color w:val="000000"/>
        </w:rPr>
      </w:pPr>
      <w:r w:rsidRPr="00F54E5B">
        <w:t xml:space="preserve">Schedule of Due Dates: </w:t>
      </w:r>
      <w:r w:rsidRPr="00F54E5B">
        <w:rPr>
          <w:i/>
        </w:rPr>
        <w:t>aka</w:t>
      </w:r>
      <w:r w:rsidRPr="00F54E5B">
        <w:t xml:space="preserve"> </w:t>
      </w:r>
      <w:hyperlink r:id="rId46" w:history="1">
        <w:r w:rsidRPr="00F54E5B">
          <w:rPr>
            <w:rStyle w:val="Hyperlink"/>
            <w:bCs/>
          </w:rPr>
          <w:t>SoDD</w:t>
        </w:r>
      </w:hyperlink>
      <w:r w:rsidRPr="00F54E5B">
        <w:t xml:space="preserve">. Search for </w:t>
      </w:r>
      <w:r>
        <w:t xml:space="preserve">ODE </w:t>
      </w:r>
      <w:r w:rsidR="00071273">
        <w:t>C</w:t>
      </w:r>
      <w:r w:rsidRPr="00F54E5B">
        <w:t>ollection</w:t>
      </w:r>
      <w:r w:rsidR="00071273">
        <w:t xml:space="preserve"> or Validation</w:t>
      </w:r>
      <w:r w:rsidRPr="00F54E5B">
        <w:rPr>
          <w:color w:val="000000"/>
        </w:rPr>
        <w:t xml:space="preserve"> </w:t>
      </w:r>
      <w:r w:rsidR="00071273">
        <w:rPr>
          <w:color w:val="000000"/>
        </w:rPr>
        <w:t>ID</w:t>
      </w:r>
      <w:r w:rsidRPr="00F54E5B">
        <w:rPr>
          <w:color w:val="000000"/>
        </w:rPr>
        <w:t xml:space="preserve">, due date, and contact person </w:t>
      </w:r>
      <w:r w:rsidRPr="00F54E5B">
        <w:t>info</w:t>
      </w:r>
      <w:r w:rsidRPr="00F54E5B">
        <w:rPr>
          <w:color w:val="000000"/>
        </w:rPr>
        <w:t xml:space="preserve">. </w:t>
      </w:r>
    </w:p>
    <w:p w14:paraId="44CDD58D" w14:textId="77777777" w:rsidR="00156318" w:rsidRDefault="00156318" w:rsidP="00156318">
      <w:pPr>
        <w:pStyle w:val="Heading2"/>
        <w:sectPr w:rsidR="00156318" w:rsidSect="00156318">
          <w:pgSz w:w="12240" w:h="15840"/>
          <w:pgMar w:top="1080" w:right="1080" w:bottom="1080" w:left="1080" w:header="720" w:footer="720" w:gutter="0"/>
          <w:cols w:space="720"/>
          <w:docGrid w:linePitch="360"/>
        </w:sectPr>
      </w:pPr>
      <w:bookmarkStart w:id="81" w:name="_CTE_Work-Based_Learning"/>
      <w:bookmarkStart w:id="82" w:name="_Toc98829421"/>
      <w:bookmarkStart w:id="83" w:name="_Toc98829401"/>
      <w:bookmarkEnd w:id="81"/>
    </w:p>
    <w:p w14:paraId="1695F5C7" w14:textId="78C8EE0E" w:rsidR="002E293A" w:rsidRDefault="00940AFC" w:rsidP="00156318">
      <w:pPr>
        <w:pStyle w:val="Heading2"/>
      </w:pPr>
      <w:bookmarkStart w:id="84" w:name="_Appendix_C:_CTE"/>
      <w:bookmarkStart w:id="85" w:name="_Toc155258800"/>
      <w:bookmarkStart w:id="86" w:name="_Toc155265242"/>
      <w:bookmarkEnd w:id="84"/>
      <w:r>
        <w:lastRenderedPageBreak/>
        <w:t xml:space="preserve">Appendix C: </w:t>
      </w:r>
      <w:r w:rsidR="002E293A">
        <w:t xml:space="preserve">CTE Work-Based Learning </w:t>
      </w:r>
      <w:bookmarkEnd w:id="82"/>
      <w:r w:rsidR="002E293A">
        <w:t>(secondary)</w:t>
      </w:r>
      <w:bookmarkEnd w:id="85"/>
      <w:bookmarkEnd w:id="86"/>
    </w:p>
    <w:p w14:paraId="09827C81" w14:textId="213F82D4" w:rsidR="002E293A" w:rsidRDefault="002E293A" w:rsidP="00AE3209">
      <w:r>
        <w:t xml:space="preserve">CTE </w:t>
      </w:r>
      <w:r w:rsidR="0025408D">
        <w:t>Work-Based Learning (</w:t>
      </w:r>
      <w:r>
        <w:t>WBL</w:t>
      </w:r>
      <w:r w:rsidR="0025408D">
        <w:t>)</w:t>
      </w:r>
      <w:r>
        <w:t xml:space="preserve"> engagements are reported in the CTE Student collection during spring of the school year the student completed them. A student’s CTE WBL engagements are not reviewed for inclusion to the 5S3 indicator until </w:t>
      </w:r>
      <w:r w:rsidRPr="00454503">
        <w:rPr>
          <w:b/>
        </w:rPr>
        <w:t>after</w:t>
      </w:r>
      <w:r>
        <w:t xml:space="preserve"> their </w:t>
      </w:r>
      <w:r w:rsidRPr="00454503">
        <w:rPr>
          <w:b/>
        </w:rPr>
        <w:t>completion of secondary education</w:t>
      </w:r>
      <w:r>
        <w:t>.</w:t>
      </w:r>
    </w:p>
    <w:p w14:paraId="793CE30D" w14:textId="77777777" w:rsidR="00741EB8" w:rsidRDefault="002E293A" w:rsidP="00AE3209">
      <w:pPr>
        <w:rPr>
          <w:color w:val="000000"/>
        </w:rPr>
      </w:pPr>
      <w:r>
        <w:t xml:space="preserve">Find resources and information on work-based learning on the ODE </w:t>
      </w:r>
      <w:hyperlink r:id="rId47" w:history="1">
        <w:r w:rsidRPr="000B54EB">
          <w:rPr>
            <w:rStyle w:val="Hyperlink"/>
          </w:rPr>
          <w:t>Career Preparation and Training (WBL) page</w:t>
        </w:r>
      </w:hyperlink>
      <w:r w:rsidR="00741EB8">
        <w:t xml:space="preserve"> which </w:t>
      </w:r>
      <w:r w:rsidR="00741EB8" w:rsidRPr="00F54E5B">
        <w:t xml:space="preserve">has information on WBL including the </w:t>
      </w:r>
      <w:r w:rsidR="00741EB8" w:rsidRPr="00F54E5B">
        <w:rPr>
          <w:color w:val="000000"/>
        </w:rPr>
        <w:t xml:space="preserve">Perkins V Work-Based Learning </w:t>
      </w:r>
      <w:hyperlink r:id="rId48" w:history="1">
        <w:r w:rsidR="00741EB8" w:rsidRPr="00F54E5B">
          <w:rPr>
            <w:rStyle w:val="Hyperlink"/>
            <w:bCs/>
          </w:rPr>
          <w:t>Handbook</w:t>
        </w:r>
      </w:hyperlink>
      <w:r w:rsidR="00741EB8" w:rsidRPr="00F54E5B">
        <w:rPr>
          <w:rStyle w:val="Hyperlink"/>
          <w:bCs/>
        </w:rPr>
        <w:t xml:space="preserve"> (Aug 2022)</w:t>
      </w:r>
      <w:r w:rsidR="00741EB8" w:rsidRPr="00F54E5B">
        <w:rPr>
          <w:color w:val="000000"/>
        </w:rPr>
        <w:t xml:space="preserve">. </w:t>
      </w:r>
    </w:p>
    <w:p w14:paraId="23F7EF49" w14:textId="65EE1232" w:rsidR="00741EB8" w:rsidRPr="00741EB8" w:rsidRDefault="00741EB8" w:rsidP="00AE3209">
      <w:r w:rsidRPr="00F54E5B">
        <w:rPr>
          <w:color w:val="000000"/>
        </w:rPr>
        <w:t xml:space="preserve">The CTE WBL YouTube playlist </w:t>
      </w:r>
      <w:hyperlink r:id="rId49" w:history="1">
        <w:r w:rsidRPr="00F54E5B">
          <w:rPr>
            <w:rStyle w:val="Hyperlink"/>
            <w:bCs/>
          </w:rPr>
          <w:t>here</w:t>
        </w:r>
      </w:hyperlink>
      <w:r w:rsidRPr="00F54E5B">
        <w:rPr>
          <w:color w:val="000000"/>
        </w:rPr>
        <w:t>.</w:t>
      </w:r>
      <w:r>
        <w:rPr>
          <w:color w:val="000000"/>
        </w:rPr>
        <w:t xml:space="preserve"> </w:t>
      </w:r>
    </w:p>
    <w:p w14:paraId="08C97553" w14:textId="77777777" w:rsidR="002E293A" w:rsidRPr="00EE0D34" w:rsidRDefault="002E293A" w:rsidP="00AE3209">
      <w:pPr>
        <w:rPr>
          <w:rStyle w:val="IntenseReference"/>
          <w:i/>
        </w:rPr>
      </w:pPr>
      <w:bookmarkStart w:id="87" w:name="_Toc97135180"/>
      <w:r>
        <w:rPr>
          <w:rStyle w:val="IntenseReference"/>
          <w:i/>
        </w:rPr>
        <w:t xml:space="preserve">Evaluating </w:t>
      </w:r>
      <w:bookmarkEnd w:id="87"/>
      <w:r>
        <w:rPr>
          <w:rStyle w:val="IntenseReference"/>
          <w:i/>
        </w:rPr>
        <w:t>the 5S3 indicator</w:t>
      </w:r>
    </w:p>
    <w:p w14:paraId="33A699D7" w14:textId="77777777" w:rsidR="002E293A" w:rsidRDefault="002E293A" w:rsidP="00AE3209">
      <w:r w:rsidRPr="00EF6185">
        <w:t xml:space="preserve">In the first four years of reporting on this metric, we expect the calculation to show an undercount in the numerator. CTE Collections started including work-based learning data </w:t>
      </w:r>
      <w:r>
        <w:t>on secondary students</w:t>
      </w:r>
      <w:r w:rsidRPr="00EF6185">
        <w:t xml:space="preserve"> in the 2020-2021 school year. When we report our statewide stats, we include a note on the calculation that this measure will show an undercount in the first four years of reporting. We also note that the pandemic interrupted many of the WBL opportunities for students in 2020-2021.</w:t>
      </w:r>
    </w:p>
    <w:p w14:paraId="6EE36144" w14:textId="6E320127" w:rsidR="0085230B" w:rsidRDefault="0085230B">
      <w:pPr>
        <w:spacing w:before="0" w:line="240" w:lineRule="auto"/>
        <w:rPr>
          <w:rFonts w:asciiTheme="majorHAnsi" w:eastAsiaTheme="majorEastAsia" w:hAnsiTheme="majorHAnsi" w:cstheme="majorBidi"/>
          <w:color w:val="000000" w:themeColor="text1"/>
          <w:sz w:val="32"/>
          <w:szCs w:val="32"/>
        </w:rPr>
      </w:pPr>
      <w:bookmarkStart w:id="88" w:name="_Data_Suppression"/>
      <w:bookmarkStart w:id="89" w:name="_Toc98829419"/>
      <w:bookmarkStart w:id="90" w:name="_Toc98829408"/>
      <w:bookmarkEnd w:id="88"/>
    </w:p>
    <w:p w14:paraId="0F631441" w14:textId="77777777" w:rsidR="00156318" w:rsidRDefault="00156318" w:rsidP="008843A1">
      <w:pPr>
        <w:pStyle w:val="Heading1"/>
        <w:sectPr w:rsidR="00156318" w:rsidSect="00156318">
          <w:pgSz w:w="12240" w:h="15840"/>
          <w:pgMar w:top="1080" w:right="1080" w:bottom="1080" w:left="1080" w:header="720" w:footer="720" w:gutter="0"/>
          <w:cols w:space="720"/>
          <w:docGrid w:linePitch="360"/>
        </w:sectPr>
      </w:pPr>
    </w:p>
    <w:p w14:paraId="196898C9" w14:textId="4CD7BCAB" w:rsidR="002E293A" w:rsidRDefault="00940AFC" w:rsidP="00156318">
      <w:pPr>
        <w:pStyle w:val="Heading2"/>
      </w:pPr>
      <w:bookmarkStart w:id="91" w:name="_Toc155258801"/>
      <w:bookmarkStart w:id="92" w:name="_Toc155265243"/>
      <w:r>
        <w:lastRenderedPageBreak/>
        <w:t xml:space="preserve">Appendix D: </w:t>
      </w:r>
      <w:r w:rsidR="002E293A">
        <w:t xml:space="preserve">Data </w:t>
      </w:r>
      <w:bookmarkEnd w:id="89"/>
      <w:r w:rsidR="00430AB2">
        <w:t>Handling</w:t>
      </w:r>
      <w:bookmarkEnd w:id="91"/>
      <w:bookmarkEnd w:id="92"/>
    </w:p>
    <w:p w14:paraId="0E609CCE" w14:textId="77777777" w:rsidR="009A652E" w:rsidRPr="00CD0D9C" w:rsidRDefault="009A652E" w:rsidP="009A652E">
      <w:bookmarkStart w:id="93" w:name="_Toc155104486"/>
      <w:r w:rsidRPr="005B3624">
        <w:t xml:space="preserve">Perkins V Reports are not comparable to </w:t>
      </w:r>
      <w:r>
        <w:t xml:space="preserve">reports under earlier iterations of Perkins legislation due to different sets of performance indicators and CTE Enrollment Statuses. </w:t>
      </w:r>
      <w:bookmarkStart w:id="94" w:name="_Perkins_V_Performance_1"/>
      <w:bookmarkEnd w:id="94"/>
    </w:p>
    <w:p w14:paraId="5AB4DD08" w14:textId="6637CC19" w:rsidR="009A652E" w:rsidRDefault="009A652E" w:rsidP="00156318">
      <w:pPr>
        <w:pStyle w:val="Heading3"/>
      </w:pPr>
      <w:bookmarkStart w:id="95" w:name="_Toc155258802"/>
      <w:r>
        <w:t>Aggregation by Institution</w:t>
      </w:r>
      <w:bookmarkEnd w:id="95"/>
    </w:p>
    <w:p w14:paraId="45E82516" w14:textId="6DD8C194" w:rsidR="009A652E" w:rsidRDefault="009A652E" w:rsidP="009A652E">
      <w:r>
        <w:t>Each</w:t>
      </w:r>
      <w:r w:rsidRPr="006A62D1">
        <w:t xml:space="preserve"> Oregon school receiving Perkins funding </w:t>
      </w:r>
      <w:r>
        <w:t>(aka CTE site) with at least one Program of Study is</w:t>
      </w:r>
      <w:r w:rsidRPr="006A62D1">
        <w:t xml:space="preserve"> included in aggregation for their respective school district</w:t>
      </w:r>
      <w:r>
        <w:t xml:space="preserve">, region, and/or consortium. </w:t>
      </w:r>
    </w:p>
    <w:p w14:paraId="2AE247C5" w14:textId="367D424B" w:rsidR="009A652E" w:rsidRPr="009A652E" w:rsidRDefault="009A652E" w:rsidP="009A652E">
      <w:r>
        <w:t xml:space="preserve">Each fully approved program of study in Oregon is included in its respective institution’s 90% Reports. The </w:t>
      </w:r>
      <w:hyperlink w:anchor="_Report:_ADI_–" w:history="1">
        <w:r w:rsidRPr="002D703A">
          <w:rPr>
            <w:rStyle w:val="Hyperlink"/>
          </w:rPr>
          <w:t>ADI – Detail Tab</w:t>
        </w:r>
      </w:hyperlink>
      <w:r>
        <w:t xml:space="preserve"> and the </w:t>
      </w:r>
      <w:hyperlink w:anchor="_Perkins_Performance_Workbooks" w:history="1">
        <w:r w:rsidRPr="002D703A">
          <w:rPr>
            <w:rStyle w:val="Hyperlink"/>
          </w:rPr>
          <w:t>Perkins Performance Workbooks</w:t>
        </w:r>
      </w:hyperlink>
      <w:r>
        <w:t xml:space="preserve"> contain CTE Enrollment stats on associated students for both fully approved and start-up programs active in the reporting period.</w:t>
      </w:r>
    </w:p>
    <w:p w14:paraId="7C99167B" w14:textId="0B0BB1E9" w:rsidR="00430AB2" w:rsidRDefault="00430AB2" w:rsidP="00156318">
      <w:pPr>
        <w:pStyle w:val="Heading3"/>
      </w:pPr>
      <w:bookmarkStart w:id="96" w:name="_Toc155258803"/>
      <w:r>
        <w:t>Deduplication for Students in Multiple CTE POS</w:t>
      </w:r>
      <w:bookmarkEnd w:id="93"/>
      <w:bookmarkEnd w:id="96"/>
    </w:p>
    <w:p w14:paraId="718B7D40" w14:textId="77777777" w:rsidR="00430AB2" w:rsidRPr="00AA58DA" w:rsidRDefault="00430AB2" w:rsidP="00430AB2">
      <w:r w:rsidRPr="00AA58DA">
        <w:t xml:space="preserve">Calculations vary in their treatment of student in multiple CTE POS. </w:t>
      </w:r>
    </w:p>
    <w:p w14:paraId="0F50EFD2" w14:textId="77777777" w:rsidR="00430AB2" w:rsidRDefault="00430AB2" w:rsidP="00430AB2">
      <w:pPr>
        <w:rPr>
          <w:rStyle w:val="Strong"/>
        </w:rPr>
      </w:pPr>
      <w:r>
        <w:rPr>
          <w:rStyle w:val="Strong"/>
        </w:rPr>
        <w:t>Actual District Performance Levels:</w:t>
      </w:r>
    </w:p>
    <w:p w14:paraId="2F0D1099" w14:textId="77777777" w:rsidR="00430AB2" w:rsidRPr="00830900" w:rsidRDefault="00430AB2" w:rsidP="00430AB2">
      <w:pPr>
        <w:rPr>
          <w:rStyle w:val="Strong"/>
          <w:b w:val="0"/>
          <w:bCs w:val="0"/>
        </w:rPr>
      </w:pPr>
      <w:r>
        <w:t xml:space="preserve">Each qualifying student is counted a maximum of once </w:t>
      </w:r>
      <w:proofErr w:type="gramStart"/>
      <w:r>
        <w:t>in a given</w:t>
      </w:r>
      <w:proofErr w:type="gramEnd"/>
      <w:r>
        <w:t xml:space="preserve"> school’s calculation for each performance measure; this is true even if a student has a CTE Concentrator status in multiple POS.</w:t>
      </w:r>
    </w:p>
    <w:p w14:paraId="23429819" w14:textId="77777777" w:rsidR="00430AB2" w:rsidRPr="000808EA" w:rsidRDefault="00430AB2" w:rsidP="00430AB2">
      <w:pPr>
        <w:rPr>
          <w:rStyle w:val="Strong"/>
        </w:rPr>
      </w:pPr>
      <w:r w:rsidRPr="000808EA">
        <w:rPr>
          <w:rStyle w:val="Strong"/>
        </w:rPr>
        <w:t>Actual</w:t>
      </w:r>
      <w:r>
        <w:rPr>
          <w:rStyle w:val="Strong"/>
        </w:rPr>
        <w:t xml:space="preserve"> </w:t>
      </w:r>
      <w:r w:rsidRPr="000808EA">
        <w:rPr>
          <w:rStyle w:val="Strong"/>
        </w:rPr>
        <w:t>Grantee</w:t>
      </w:r>
      <w:r>
        <w:rPr>
          <w:rStyle w:val="Strong"/>
        </w:rPr>
        <w:t xml:space="preserve"> P</w:t>
      </w:r>
      <w:r w:rsidRPr="000808EA">
        <w:rPr>
          <w:rStyle w:val="Strong"/>
        </w:rPr>
        <w:t>erformance Levels</w:t>
      </w:r>
      <w:r>
        <w:rPr>
          <w:rStyle w:val="Strong"/>
        </w:rPr>
        <w:t>:</w:t>
      </w:r>
    </w:p>
    <w:p w14:paraId="4CD1BABE" w14:textId="77777777" w:rsidR="00430AB2" w:rsidRDefault="00430AB2" w:rsidP="00430AB2">
      <w:r>
        <w:t xml:space="preserve">Each qualifying student is counted a maximum of once in a given grouping of schools / grantee in a single performance measure calculation; this is true even if a student has a concentrator status in more than one POS and even </w:t>
      </w:r>
      <w:proofErr w:type="gramStart"/>
      <w:r>
        <w:t>in</w:t>
      </w:r>
      <w:proofErr w:type="gramEnd"/>
      <w:r>
        <w:t xml:space="preserve"> they were CTE Concentrators at POS in more than one school in the consortium.</w:t>
      </w:r>
    </w:p>
    <w:p w14:paraId="24F5E5B0" w14:textId="77777777" w:rsidR="00430AB2" w:rsidRDefault="00430AB2" w:rsidP="00430AB2">
      <w:pPr>
        <w:rPr>
          <w:rStyle w:val="Strong"/>
        </w:rPr>
      </w:pPr>
      <w:r>
        <w:rPr>
          <w:rStyle w:val="Strong"/>
        </w:rPr>
        <w:t>Actual Program Performance Levels:</w:t>
      </w:r>
    </w:p>
    <w:p w14:paraId="0879628A" w14:textId="77777777" w:rsidR="00430AB2" w:rsidRPr="00830900" w:rsidRDefault="00430AB2" w:rsidP="00430AB2">
      <w:pPr>
        <w:rPr>
          <w:rStyle w:val="Strong"/>
          <w:b w:val="0"/>
          <w:bCs w:val="0"/>
        </w:rPr>
      </w:pPr>
      <w:r>
        <w:t>By their nature, program performance levels allow a qualifying student counted a maximum of once in each eligible performance measure.</w:t>
      </w:r>
    </w:p>
    <w:p w14:paraId="33C5F431" w14:textId="77777777" w:rsidR="00430AB2" w:rsidRPr="000808EA" w:rsidRDefault="00430AB2" w:rsidP="00430AB2">
      <w:pPr>
        <w:rPr>
          <w:rStyle w:val="Strong"/>
        </w:rPr>
      </w:pPr>
      <w:r w:rsidRPr="000808EA">
        <w:rPr>
          <w:rStyle w:val="Strong"/>
        </w:rPr>
        <w:t xml:space="preserve">Actual </w:t>
      </w:r>
      <w:r>
        <w:rPr>
          <w:rStyle w:val="Strong"/>
        </w:rPr>
        <w:t>School P</w:t>
      </w:r>
      <w:r w:rsidRPr="000808EA">
        <w:rPr>
          <w:rStyle w:val="Strong"/>
        </w:rPr>
        <w:t>erformance Levels</w:t>
      </w:r>
      <w:r>
        <w:rPr>
          <w:rStyle w:val="Strong"/>
        </w:rPr>
        <w:t>:</w:t>
      </w:r>
    </w:p>
    <w:p w14:paraId="4C35CE26" w14:textId="77777777" w:rsidR="00430AB2" w:rsidRDefault="00430AB2" w:rsidP="00430AB2">
      <w:r>
        <w:t xml:space="preserve">Each qualifying student is counted a maximum of once in their school’s performance measure calculation; this is true even if a student has a concentrator status in more than one POS at that school. </w:t>
      </w:r>
      <w:r w:rsidRPr="00A83EDA">
        <w:t>If</w:t>
      </w:r>
      <w:r w:rsidRPr="00A83EDA">
        <w:rPr>
          <w:b/>
        </w:rPr>
        <w:t xml:space="preserve"> </w:t>
      </w:r>
      <w:r>
        <w:t>a student attended separate CTE POS at multiple schools and reached CTE Concentrator status at both schools in the respective POS, they could appear in each school’s actual performance level pending qualification for relevant indicators.</w:t>
      </w:r>
    </w:p>
    <w:p w14:paraId="4732532F" w14:textId="77777777" w:rsidR="00430AB2" w:rsidRPr="006D23EE" w:rsidRDefault="00430AB2" w:rsidP="00430AB2">
      <w:pPr>
        <w:rPr>
          <w:rStyle w:val="Strong"/>
        </w:rPr>
      </w:pPr>
      <w:r w:rsidRPr="006D23EE">
        <w:rPr>
          <w:rStyle w:val="Strong"/>
        </w:rPr>
        <w:t>Actual Performance by Career Cluster:</w:t>
      </w:r>
    </w:p>
    <w:p w14:paraId="70AE0192" w14:textId="77777777" w:rsidR="00430AB2" w:rsidRDefault="00430AB2" w:rsidP="00430AB2">
      <w:r>
        <w:t>For the 1S series, 2S series, 3S1, 5S3, 1p1, and 2P1, the by-Career Cluster calculations allow for a single student to be counted a maximum of one (1) time toward the actual performance for each Career Cluster in which they meet the denominator and/or numerator parameters.</w:t>
      </w:r>
    </w:p>
    <w:p w14:paraId="5E7F3386" w14:textId="77777777" w:rsidR="00430AB2" w:rsidRDefault="00430AB2" w:rsidP="00430AB2">
      <w:r>
        <w:lastRenderedPageBreak/>
        <w:t xml:space="preserve">For 4S1 and 3P1, students each appear in a </w:t>
      </w:r>
      <w:r w:rsidRPr="007D2D70">
        <w:rPr>
          <w:u w:val="single"/>
        </w:rPr>
        <w:t>maximum</w:t>
      </w:r>
      <w:r>
        <w:t xml:space="preserve"> of one (1) CTE program’s denominator (and thereby a max of 1 Career Cluster). In these indicators, each student is considered only for their Primary Program. See the Primary Program entry in the </w:t>
      </w:r>
      <w:hyperlink w:anchor="_Glossary_of_Terms" w:history="1">
        <w:r w:rsidRPr="007D2D70">
          <w:rPr>
            <w:rStyle w:val="Hyperlink"/>
          </w:rPr>
          <w:t>Glossary</w:t>
        </w:r>
      </w:hyperlink>
      <w:r>
        <w:t xml:space="preserve"> for more information.</w:t>
      </w:r>
    </w:p>
    <w:p w14:paraId="50E894B0" w14:textId="77777777" w:rsidR="00430AB2" w:rsidRDefault="00430AB2" w:rsidP="00430AB2">
      <w:r w:rsidRPr="006D23EE">
        <w:rPr>
          <w:b/>
        </w:rPr>
        <w:t>Example</w:t>
      </w:r>
      <w:r>
        <w:t xml:space="preserve">: A secondary student with CTE Concentrator status in both 010000 and 521401: This student’s Primary Program is 521401, and they graduated as a member of their 4-year adjusted cohort in the report year. </w:t>
      </w:r>
    </w:p>
    <w:p w14:paraId="059D0B31" w14:textId="77777777" w:rsidR="00430AB2" w:rsidRDefault="00430AB2" w:rsidP="00430AB2">
      <w:pPr>
        <w:pStyle w:val="ListParagraph"/>
        <w:numPr>
          <w:ilvl w:val="0"/>
          <w:numId w:val="29"/>
        </w:numPr>
      </w:pPr>
      <w:r>
        <w:t xml:space="preserve">Such a student would be included in calculation of the Agriculture, Food, and Natural Resources Career Cluster and the Marketing Career Cluster actual performance levels for 1S1, 3S1, and 5S3. </w:t>
      </w:r>
    </w:p>
    <w:p w14:paraId="74C315D0" w14:textId="77777777" w:rsidR="00430AB2" w:rsidRDefault="00430AB2" w:rsidP="00430AB2">
      <w:pPr>
        <w:pStyle w:val="ListParagraph"/>
        <w:numPr>
          <w:ilvl w:val="0"/>
          <w:numId w:val="29"/>
        </w:numPr>
      </w:pPr>
      <w:r>
        <w:t xml:space="preserve">This student would not be considered for the 4S1 denominator because their Primary Program is not associated with a traditional gender. </w:t>
      </w:r>
    </w:p>
    <w:p w14:paraId="63277498" w14:textId="779E0CBC" w:rsidR="00430AB2" w:rsidRPr="00430AB2" w:rsidRDefault="00430AB2" w:rsidP="00430AB2">
      <w:pPr>
        <w:pStyle w:val="ListParagraph"/>
        <w:numPr>
          <w:ilvl w:val="0"/>
          <w:numId w:val="29"/>
        </w:numPr>
      </w:pPr>
      <w:r>
        <w:t>In the following report year, this student would be checked for a qualifying postsecondary placement for the 3S1 calculations in both the Agriculture, Food, &amp; Natural Resources and the Marketing Career Clusters.</w:t>
      </w:r>
      <w:bookmarkStart w:id="97" w:name="_T_3._Focal"/>
      <w:bookmarkEnd w:id="97"/>
    </w:p>
    <w:p w14:paraId="668FE6EB" w14:textId="14542EEE" w:rsidR="00430AB2" w:rsidRDefault="00430AB2" w:rsidP="00156318">
      <w:pPr>
        <w:pStyle w:val="Heading3"/>
      </w:pPr>
      <w:bookmarkStart w:id="98" w:name="_Toc155104487"/>
      <w:bookmarkStart w:id="99" w:name="_Toc155258804"/>
      <w:r>
        <w:t>Data Suppression Guidelines</w:t>
      </w:r>
      <w:bookmarkEnd w:id="98"/>
      <w:bookmarkEnd w:id="99"/>
    </w:p>
    <w:p w14:paraId="5CBA1C07" w14:textId="490F2F21" w:rsidR="002E293A" w:rsidRPr="00C6444A" w:rsidRDefault="002E293A" w:rsidP="00AE3209">
      <w:r w:rsidRPr="00C6444A">
        <w:t>The performance level is suppressed for any calculation:</w:t>
      </w:r>
    </w:p>
    <w:p w14:paraId="6AD21D8B" w14:textId="77777777" w:rsidR="002E293A" w:rsidRDefault="002E293A" w:rsidP="00AE3209">
      <w:pPr>
        <w:pStyle w:val="ListParagraph"/>
        <w:numPr>
          <w:ilvl w:val="0"/>
          <w:numId w:val="9"/>
        </w:numPr>
      </w:pPr>
      <w:r>
        <w:t xml:space="preserve">With a denominator lower than seven (7). </w:t>
      </w:r>
    </w:p>
    <w:p w14:paraId="19C45802" w14:textId="77777777" w:rsidR="002E293A" w:rsidRDefault="002E293A" w:rsidP="00AE3209">
      <w:pPr>
        <w:pStyle w:val="ListParagraph"/>
        <w:numPr>
          <w:ilvl w:val="0"/>
          <w:numId w:val="9"/>
        </w:numPr>
      </w:pPr>
      <w:r>
        <w:t xml:space="preserve">Where the denominator is 7 or greater, performance levels greater than ninety-five percent (95%) and less than five percent (5%) are listed as “&gt; 95%” and “&lt; 5%” respectively. </w:t>
      </w:r>
    </w:p>
    <w:p w14:paraId="1C70F79B" w14:textId="77777777" w:rsidR="002E293A" w:rsidRPr="00D93264" w:rsidRDefault="002E293A" w:rsidP="00AE3209">
      <w:r w:rsidRPr="00D93264">
        <w:t>Denominator-based suppression:</w:t>
      </w:r>
    </w:p>
    <w:p w14:paraId="34D7B599" w14:textId="77777777" w:rsidR="002E293A" w:rsidRDefault="002E293A" w:rsidP="00AE3209">
      <w:r>
        <w:t xml:space="preserve">This type of data suppression protects from potential identification of individual student’s performance in cases of small groups. </w:t>
      </w:r>
    </w:p>
    <w:p w14:paraId="525E8293" w14:textId="77777777" w:rsidR="002E293A" w:rsidRPr="00D93264" w:rsidRDefault="002E293A" w:rsidP="00AE3209">
      <w:r w:rsidRPr="00D93264">
        <w:t>Performance level-based suppression:</w:t>
      </w:r>
    </w:p>
    <w:p w14:paraId="3E40F03C" w14:textId="775D1C2A" w:rsidR="00401C80" w:rsidRPr="00156318" w:rsidRDefault="002E293A" w:rsidP="00156318">
      <w:r>
        <w:t>This type of data suppression serves to protect from potential identification of individual student’s performance in cases of uniform performance (i.e., performance levels of 0% and of 100%)</w:t>
      </w:r>
      <w:bookmarkStart w:id="100" w:name="_Differences_between_Data"/>
      <w:bookmarkStart w:id="101" w:name="_Toc98829405"/>
      <w:bookmarkStart w:id="102" w:name="_Toc98829418"/>
      <w:bookmarkEnd w:id="100"/>
    </w:p>
    <w:p w14:paraId="4A0E5E22" w14:textId="77777777" w:rsidR="00156318" w:rsidRDefault="00156318" w:rsidP="00156318">
      <w:pPr>
        <w:pStyle w:val="Heading2"/>
        <w:sectPr w:rsidR="00156318" w:rsidSect="00156318">
          <w:pgSz w:w="12240" w:h="15840"/>
          <w:pgMar w:top="1080" w:right="1080" w:bottom="1080" w:left="1080" w:header="720" w:footer="720" w:gutter="0"/>
          <w:cols w:space="720"/>
          <w:docGrid w:linePitch="360"/>
        </w:sectPr>
      </w:pPr>
    </w:p>
    <w:p w14:paraId="1F5D6248" w14:textId="6B768E60" w:rsidR="00401C80" w:rsidRDefault="00401C80" w:rsidP="00156318">
      <w:pPr>
        <w:pStyle w:val="Heading2"/>
      </w:pPr>
      <w:bookmarkStart w:id="103" w:name="_Toc155258805"/>
      <w:bookmarkStart w:id="104" w:name="_Toc155265244"/>
      <w:r>
        <w:lastRenderedPageBreak/>
        <w:t>Appendix E: Report Year</w:t>
      </w:r>
      <w:bookmarkEnd w:id="101"/>
      <w:bookmarkEnd w:id="103"/>
      <w:bookmarkEnd w:id="104"/>
    </w:p>
    <w:p w14:paraId="5C90347A" w14:textId="77777777" w:rsidR="00401C80" w:rsidRPr="008202D2" w:rsidRDefault="00401C80" w:rsidP="00401C80">
      <w:r w:rsidRPr="008202D2">
        <w:t xml:space="preserve">Perkins V Data Reports are not tied to a specific cohort. Each Perkins V Performance Indicator deals with a specific student subset that is not limited to age- or high-school-entry-cohorts. </w:t>
      </w:r>
    </w:p>
    <w:p w14:paraId="233A21BC" w14:textId="77777777" w:rsidR="00401C80" w:rsidRDefault="00401C80" w:rsidP="00401C80">
      <w:r w:rsidRPr="009379FF">
        <w:rPr>
          <w:bCs/>
        </w:rPr>
        <w:t>They relate</w:t>
      </w:r>
      <w:r>
        <w:rPr>
          <w:b/>
        </w:rPr>
        <w:t xml:space="preserve"> </w:t>
      </w:r>
      <w:r>
        <w:t xml:space="preserve">to academic and post-academic data reported on CTE students over many years. </w:t>
      </w:r>
    </w:p>
    <w:p w14:paraId="082CF4FA" w14:textId="77777777" w:rsidR="00401C80" w:rsidRDefault="00401C80" w:rsidP="00401C80">
      <w:r>
        <w:t>fully available to ODE and HECC in the report year. Each report year aligns with a school year; new report years’ Traffic Light and 90% Reports are released in winter the following school year.</w:t>
      </w:r>
    </w:p>
    <w:p w14:paraId="3FBEDFD4" w14:textId="77777777" w:rsidR="00401C80" w:rsidRPr="00063182" w:rsidRDefault="00401C80" w:rsidP="00401C80">
      <w:r>
        <w:t>Each student-program</w:t>
      </w:r>
      <w:r w:rsidRPr="006C7A4A">
        <w:t xml:space="preserve"> enrollment status evolves over the course of </w:t>
      </w:r>
      <w:r>
        <w:t>the student’s</w:t>
      </w:r>
      <w:r w:rsidRPr="006C7A4A">
        <w:t xml:space="preserve"> education. </w:t>
      </w:r>
      <w:r w:rsidRPr="000C6D4C">
        <w:rPr>
          <w:b/>
          <w:u w:val="single"/>
        </w:rPr>
        <w:t>Schools report on student CTE activity each school year regardless of the student’s CTE Enrollment Status at that time.</w:t>
      </w:r>
      <w:r>
        <w:t xml:space="preserve"> ODE and HECC perform the tracking and calculation of student enrollments status as relevant per Performance Indicator.</w:t>
      </w:r>
    </w:p>
    <w:p w14:paraId="189DAD06" w14:textId="77777777" w:rsidR="00401C80" w:rsidRPr="00582C15" w:rsidRDefault="00401C80" w:rsidP="00E068AB">
      <w:pPr>
        <w:pStyle w:val="Heading3"/>
      </w:pPr>
      <w:bookmarkStart w:id="105" w:name="_Toc98829406"/>
      <w:bookmarkStart w:id="106" w:name="_Toc155104489"/>
      <w:bookmarkStart w:id="107" w:name="_Toc155258806"/>
      <w:r w:rsidRPr="00582C15">
        <w:t>Secondary</w:t>
      </w:r>
      <w:bookmarkEnd w:id="105"/>
      <w:r w:rsidRPr="00582C15">
        <w:t xml:space="preserve"> CTE</w:t>
      </w:r>
      <w:bookmarkEnd w:id="106"/>
      <w:bookmarkEnd w:id="107"/>
    </w:p>
    <w:p w14:paraId="74036CF5" w14:textId="77777777" w:rsidR="00401C80" w:rsidRDefault="00401C80" w:rsidP="00401C80">
      <w:r>
        <w:t>Secondary school years begin with the fall term.</w:t>
      </w:r>
    </w:p>
    <w:p w14:paraId="41B25DA7" w14:textId="77777777" w:rsidR="00401C80" w:rsidRPr="001966DF" w:rsidRDefault="00401C80" w:rsidP="00E068AB">
      <w:pPr>
        <w:pStyle w:val="Heading4"/>
      </w:pPr>
      <w:r>
        <w:t>Performance Indicator relationship to report year:</w:t>
      </w:r>
    </w:p>
    <w:p w14:paraId="72BF9CEB" w14:textId="77777777" w:rsidR="00401C80" w:rsidRDefault="00401C80" w:rsidP="00401C80">
      <w:r w:rsidRPr="002D3372">
        <w:rPr>
          <w:b/>
        </w:rPr>
        <w:t xml:space="preserve">1S </w:t>
      </w:r>
      <w:r>
        <w:t xml:space="preserve">series, graduation rates by adjusted cohort, tracks whether secondary CTE Concentrators graduated in the </w:t>
      </w:r>
      <w:r w:rsidRPr="009F487D">
        <w:rPr>
          <w:u w:val="single"/>
        </w:rPr>
        <w:t>preceding</w:t>
      </w:r>
      <w:r>
        <w:t xml:space="preserve"> report year as scheduled for their cohort.</w:t>
      </w:r>
    </w:p>
    <w:p w14:paraId="3BF3C7A0" w14:textId="77777777" w:rsidR="00401C80" w:rsidRDefault="00401C80" w:rsidP="00401C80">
      <w:r w:rsidRPr="002D3372">
        <w:rPr>
          <w:b/>
        </w:rPr>
        <w:t>2S</w:t>
      </w:r>
      <w:r>
        <w:t xml:space="preserve"> series, academic proficiencies by subject area, tracks whether secondary CTE Concentrators who took the “11</w:t>
      </w:r>
      <w:r w:rsidRPr="00DE6E6D">
        <w:rPr>
          <w:vertAlign w:val="superscript"/>
        </w:rPr>
        <w:t>th</w:t>
      </w:r>
      <w:r>
        <w:t xml:space="preserve"> grade” Oregon statewide assessment in the report year demonstrated proficiency.</w:t>
      </w:r>
    </w:p>
    <w:p w14:paraId="123E2077" w14:textId="77777777" w:rsidR="00401C80" w:rsidRDefault="00401C80" w:rsidP="00E068AB">
      <w:pPr>
        <w:spacing w:after="0"/>
      </w:pPr>
      <w:r w:rsidRPr="002D3372">
        <w:rPr>
          <w:b/>
        </w:rPr>
        <w:t>3S1</w:t>
      </w:r>
      <w:r>
        <w:t xml:space="preserve">, Post-Program Placement, tracks whether ODE has record of a qualifying post-program opportunity in the fall of the reporting year for CTE Concentrators who left high school in the </w:t>
      </w:r>
      <w:r w:rsidRPr="009F487D">
        <w:rPr>
          <w:u w:val="single"/>
        </w:rPr>
        <w:t>preceding</w:t>
      </w:r>
      <w:r>
        <w:t xml:space="preserve"> report year.</w:t>
      </w:r>
    </w:p>
    <w:p w14:paraId="747038D0" w14:textId="77777777" w:rsidR="00401C80" w:rsidRDefault="00401C80" w:rsidP="00E068AB">
      <w:pPr>
        <w:spacing w:before="0"/>
      </w:pPr>
      <w:r>
        <w:t>3S1 report year examples:</w:t>
      </w:r>
    </w:p>
    <w:p w14:paraId="10407DA0" w14:textId="77777777" w:rsidR="00401C80" w:rsidRDefault="00401C80" w:rsidP="00401C80">
      <w:pPr>
        <w:pStyle w:val="ListParagraph"/>
        <w:numPr>
          <w:ilvl w:val="0"/>
          <w:numId w:val="17"/>
        </w:numPr>
      </w:pPr>
      <w:r>
        <w:t xml:space="preserve">Report year </w:t>
      </w:r>
      <w:r w:rsidRPr="0062673E">
        <w:rPr>
          <w:u w:val="single"/>
        </w:rPr>
        <w:t>202</w:t>
      </w:r>
      <w:r>
        <w:rPr>
          <w:u w:val="single"/>
        </w:rPr>
        <w:t>2</w:t>
      </w:r>
      <w:r>
        <w:t xml:space="preserve">-2023: </w:t>
      </w:r>
    </w:p>
    <w:p w14:paraId="1520128F" w14:textId="77777777" w:rsidR="00401C80" w:rsidRDefault="00401C80" w:rsidP="00401C80">
      <w:pPr>
        <w:pStyle w:val="ListParagraph"/>
        <w:numPr>
          <w:ilvl w:val="1"/>
          <w:numId w:val="17"/>
        </w:numPr>
      </w:pPr>
      <w:r>
        <w:t>A CTE Concentrator in 12</w:t>
      </w:r>
      <w:r w:rsidRPr="00013A27">
        <w:rPr>
          <w:vertAlign w:val="superscript"/>
        </w:rPr>
        <w:t>th</w:t>
      </w:r>
      <w:r>
        <w:t xml:space="preserve"> grade i</w:t>
      </w:r>
      <w:r w:rsidRPr="00AA58DA">
        <w:t>n the 20</w:t>
      </w:r>
      <w:r>
        <w:t>21</w:t>
      </w:r>
      <w:r w:rsidRPr="00AA58DA">
        <w:t>-</w:t>
      </w:r>
      <w:r w:rsidRPr="00013A27">
        <w:rPr>
          <w:u w:val="single"/>
        </w:rPr>
        <w:t>2022</w:t>
      </w:r>
      <w:r w:rsidRPr="00AA58DA">
        <w:t xml:space="preserve"> school</w:t>
      </w:r>
      <w:r>
        <w:t xml:space="preserve"> year</w:t>
      </w:r>
    </w:p>
    <w:p w14:paraId="0A74AA9B" w14:textId="77777777" w:rsidR="00401C80" w:rsidRDefault="00401C80" w:rsidP="00401C80">
      <w:pPr>
        <w:pStyle w:val="ListParagraph"/>
        <w:numPr>
          <w:ilvl w:val="1"/>
          <w:numId w:val="17"/>
        </w:numPr>
      </w:pPr>
      <w:r>
        <w:t>Does not have school-exit status fully available to ODE until March 2023</w:t>
      </w:r>
    </w:p>
    <w:p w14:paraId="38C1A7B1" w14:textId="77777777" w:rsidR="00401C80" w:rsidRDefault="00401C80" w:rsidP="00401C80">
      <w:pPr>
        <w:pStyle w:val="ListParagraph"/>
        <w:numPr>
          <w:ilvl w:val="1"/>
          <w:numId w:val="17"/>
        </w:numPr>
      </w:pPr>
      <w:r>
        <w:t xml:space="preserve"> </w:t>
      </w:r>
      <w:r w:rsidRPr="00013A27">
        <w:t>checked for post-program placement activity in fall 2020.</w:t>
      </w:r>
    </w:p>
    <w:p w14:paraId="784B11A8" w14:textId="77777777" w:rsidR="00401C80" w:rsidRPr="00013A27" w:rsidRDefault="00401C80" w:rsidP="00401C80">
      <w:pPr>
        <w:pStyle w:val="ListParagraph"/>
        <w:numPr>
          <w:ilvl w:val="0"/>
          <w:numId w:val="17"/>
        </w:numPr>
      </w:pPr>
      <w:r>
        <w:t xml:space="preserve">Report year </w:t>
      </w:r>
      <w:r w:rsidRPr="0062673E">
        <w:rPr>
          <w:u w:val="single"/>
        </w:rPr>
        <w:t>202</w:t>
      </w:r>
      <w:r>
        <w:rPr>
          <w:u w:val="single"/>
        </w:rPr>
        <w:t>3</w:t>
      </w:r>
      <w:r>
        <w:t xml:space="preserve">-2024: CTE Concentrators who </w:t>
      </w:r>
      <w:r w:rsidRPr="00AA58DA">
        <w:t>graduate in the 2020-2021</w:t>
      </w:r>
      <w:r>
        <w:t xml:space="preserve"> school year will be </w:t>
      </w:r>
      <w:r w:rsidRPr="00013A27">
        <w:t>checked for post program placement activity in fall 2021.</w:t>
      </w:r>
    </w:p>
    <w:p w14:paraId="72F14A7F" w14:textId="77777777" w:rsidR="00401C80" w:rsidRDefault="00401C80" w:rsidP="00401C80">
      <w:r w:rsidRPr="002D3372">
        <w:rPr>
          <w:b/>
        </w:rPr>
        <w:t>4S1</w:t>
      </w:r>
      <w:r>
        <w:t>, Non-Traditional Program Concentration, tracks whether a secondary CTE Concentrator’s primary program of study in the report year is federally specified as associated with a traditional gender other than the gender of the CTE Concentrator.</w:t>
      </w:r>
    </w:p>
    <w:p w14:paraId="2DC3DCB4" w14:textId="77777777" w:rsidR="00401C80" w:rsidRDefault="00401C80" w:rsidP="00401C80">
      <w:r w:rsidRPr="002D3372">
        <w:rPr>
          <w:b/>
        </w:rPr>
        <w:t>5S3</w:t>
      </w:r>
      <w:r>
        <w:t xml:space="preserve">, Program Quality via CTE WBL, tracks percentage of CTE Concentrators who graduated in the report year and </w:t>
      </w:r>
      <w:r w:rsidRPr="004E56F2">
        <w:rPr>
          <w:b/>
        </w:rPr>
        <w:t>had</w:t>
      </w:r>
      <w:r>
        <w:t xml:space="preserve"> a CTE WBL experience reported in the respective program on CTE Student collection </w:t>
      </w:r>
      <w:r w:rsidRPr="00CE26D9">
        <w:rPr>
          <w:u w:val="single"/>
        </w:rPr>
        <w:t>from any point in their high school tenure</w:t>
      </w:r>
      <w:r>
        <w:t>. All CTE WBL experiences are reported ONLY ONCE, in the spring of the school year in which the student engaged with them.</w:t>
      </w:r>
    </w:p>
    <w:p w14:paraId="4DF6B4E4" w14:textId="77777777" w:rsidR="00401C80" w:rsidRPr="00582C15" w:rsidRDefault="00401C80" w:rsidP="00E068AB">
      <w:pPr>
        <w:pStyle w:val="Heading4"/>
      </w:pPr>
      <w:r w:rsidRPr="00582C15">
        <w:lastRenderedPageBreak/>
        <w:t>Student appearance opportunities, an example:</w:t>
      </w:r>
    </w:p>
    <w:p w14:paraId="0C865DF5" w14:textId="77777777" w:rsidR="00401C80" w:rsidRDefault="00401C80" w:rsidP="00401C80">
      <w:r>
        <w:t>Consider a student who entered 9</w:t>
      </w:r>
      <w:r w:rsidRPr="001966DF">
        <w:rPr>
          <w:vertAlign w:val="superscript"/>
        </w:rPr>
        <w:t>th</w:t>
      </w:r>
      <w:r>
        <w:t xml:space="preserve"> grade in school year 2020-2021, began taking CTE courses immediately, and will graduate with their 4-year adjusted cohort in school year 2023-2024.</w:t>
      </w:r>
    </w:p>
    <w:p w14:paraId="19CF2C4A" w14:textId="77777777" w:rsidR="00401C80" w:rsidRDefault="00401C80" w:rsidP="00401C80">
      <w:r>
        <w:t xml:space="preserve">Such a student would </w:t>
      </w:r>
      <w:r w:rsidRPr="004E56F2">
        <w:rPr>
          <w:b/>
        </w:rPr>
        <w:t>appear</w:t>
      </w:r>
      <w:r>
        <w:t xml:space="preserve"> in secondary Traffic Light Reports for </w:t>
      </w:r>
      <w:r w:rsidRPr="001966DF">
        <w:rPr>
          <w:u w:val="single"/>
        </w:rPr>
        <w:t>report years</w:t>
      </w:r>
      <w:r>
        <w:t>:</w:t>
      </w:r>
    </w:p>
    <w:p w14:paraId="3BE2D3C5" w14:textId="77777777" w:rsidR="00401C80" w:rsidRDefault="00401C80" w:rsidP="00401C80">
      <w:pPr>
        <w:pStyle w:val="ListParagraph"/>
        <w:numPr>
          <w:ilvl w:val="0"/>
          <w:numId w:val="12"/>
        </w:numPr>
      </w:pPr>
      <w:r>
        <w:t>2020-2021 for 4S1 if they achieved CTE Concentrator status in 2020-2021 school year</w:t>
      </w:r>
    </w:p>
    <w:p w14:paraId="07E311F3" w14:textId="77777777" w:rsidR="00401C80" w:rsidRDefault="00401C80" w:rsidP="00401C80">
      <w:pPr>
        <w:pStyle w:val="ListParagraph"/>
        <w:numPr>
          <w:ilvl w:val="0"/>
          <w:numId w:val="12"/>
        </w:numPr>
      </w:pPr>
      <w:r>
        <w:t>2021-2022 for 4S1 if they have CTE Concentrator status in 2021-2022 school year</w:t>
      </w:r>
    </w:p>
    <w:p w14:paraId="2D34418A" w14:textId="77777777" w:rsidR="00401C80" w:rsidRDefault="00401C80" w:rsidP="00401C80">
      <w:pPr>
        <w:pStyle w:val="ListParagraph"/>
        <w:numPr>
          <w:ilvl w:val="0"/>
          <w:numId w:val="12"/>
        </w:numPr>
      </w:pPr>
      <w:r>
        <w:t xml:space="preserve">2022-2023 for </w:t>
      </w:r>
    </w:p>
    <w:p w14:paraId="48C30FB1" w14:textId="77777777" w:rsidR="00401C80" w:rsidRDefault="00401C80" w:rsidP="00401C80">
      <w:pPr>
        <w:pStyle w:val="ListParagraph"/>
        <w:numPr>
          <w:ilvl w:val="1"/>
          <w:numId w:val="12"/>
        </w:numPr>
      </w:pPr>
      <w:r>
        <w:t>2S1, 2S2, 2S3 (11</w:t>
      </w:r>
      <w:r w:rsidRPr="00CE26D9">
        <w:rPr>
          <w:vertAlign w:val="superscript"/>
        </w:rPr>
        <w:t>th</w:t>
      </w:r>
      <w:r>
        <w:t xml:space="preserve"> grade assessments)</w:t>
      </w:r>
    </w:p>
    <w:p w14:paraId="7E3DDADB" w14:textId="77777777" w:rsidR="00401C80" w:rsidRDefault="00401C80" w:rsidP="00401C80">
      <w:pPr>
        <w:pStyle w:val="ListParagraph"/>
        <w:numPr>
          <w:ilvl w:val="1"/>
          <w:numId w:val="12"/>
        </w:numPr>
      </w:pPr>
      <w:r>
        <w:t>4S1 if they have CTE Concentrator status in 2022-2023 school year</w:t>
      </w:r>
    </w:p>
    <w:p w14:paraId="2601F06E" w14:textId="77777777" w:rsidR="00401C80" w:rsidRDefault="00401C80" w:rsidP="00401C80">
      <w:pPr>
        <w:pStyle w:val="ListParagraph"/>
        <w:numPr>
          <w:ilvl w:val="0"/>
          <w:numId w:val="12"/>
        </w:numPr>
      </w:pPr>
      <w:r>
        <w:t xml:space="preserve">2023-2024 for  </w:t>
      </w:r>
    </w:p>
    <w:p w14:paraId="337182F4" w14:textId="77777777" w:rsidR="00401C80" w:rsidRDefault="00401C80" w:rsidP="00401C80">
      <w:pPr>
        <w:pStyle w:val="ListParagraph"/>
        <w:numPr>
          <w:ilvl w:val="1"/>
          <w:numId w:val="12"/>
        </w:numPr>
      </w:pPr>
      <w:r>
        <w:t xml:space="preserve">1S1 </w:t>
      </w:r>
    </w:p>
    <w:p w14:paraId="24B9A010" w14:textId="77777777" w:rsidR="00401C80" w:rsidRDefault="00401C80" w:rsidP="00401C80">
      <w:pPr>
        <w:pStyle w:val="ListParagraph"/>
        <w:numPr>
          <w:ilvl w:val="1"/>
          <w:numId w:val="12"/>
        </w:numPr>
      </w:pPr>
      <w:r>
        <w:t>4S1 if they have CTE Concentrator status in 2022-2023 school year</w:t>
      </w:r>
    </w:p>
    <w:p w14:paraId="003E3BFD" w14:textId="77777777" w:rsidR="00401C80" w:rsidRDefault="00401C80" w:rsidP="00401C80">
      <w:pPr>
        <w:pStyle w:val="ListParagraph"/>
        <w:numPr>
          <w:ilvl w:val="1"/>
          <w:numId w:val="12"/>
        </w:numPr>
      </w:pPr>
      <w:r>
        <w:t>5S3 if they have CTE Concentrator status at time of high school completion</w:t>
      </w:r>
    </w:p>
    <w:p w14:paraId="6E9018E5" w14:textId="77777777" w:rsidR="00401C80" w:rsidRDefault="00401C80" w:rsidP="00401C80">
      <w:pPr>
        <w:pStyle w:val="ListParagraph"/>
        <w:numPr>
          <w:ilvl w:val="0"/>
          <w:numId w:val="12"/>
        </w:numPr>
      </w:pPr>
      <w:r>
        <w:t xml:space="preserve">2024-2025 for 3S1 </w:t>
      </w:r>
    </w:p>
    <w:p w14:paraId="29180E0B" w14:textId="77777777" w:rsidR="00401C80" w:rsidRDefault="00401C80" w:rsidP="00E068AB">
      <w:pPr>
        <w:pStyle w:val="Heading3"/>
      </w:pPr>
      <w:bookmarkStart w:id="108" w:name="_Toc98829407"/>
      <w:bookmarkStart w:id="109" w:name="_Toc155104490"/>
      <w:bookmarkStart w:id="110" w:name="_Toc155258807"/>
      <w:r>
        <w:t xml:space="preserve">Postsecondary </w:t>
      </w:r>
      <w:bookmarkEnd w:id="108"/>
      <w:r>
        <w:t>CTE</w:t>
      </w:r>
      <w:bookmarkEnd w:id="109"/>
      <w:bookmarkEnd w:id="110"/>
    </w:p>
    <w:p w14:paraId="1ADF7FCF" w14:textId="77777777" w:rsidR="00401C80" w:rsidRDefault="00401C80" w:rsidP="00401C80">
      <w:r>
        <w:t>Postsecondary school years begin with the summer term.</w:t>
      </w:r>
    </w:p>
    <w:p w14:paraId="0B36EA70" w14:textId="77777777" w:rsidR="00401C80" w:rsidRPr="001966DF" w:rsidRDefault="00401C80" w:rsidP="00E068AB">
      <w:pPr>
        <w:pStyle w:val="Heading4"/>
      </w:pPr>
      <w:r>
        <w:t>Performance Indicator relationship to report year:</w:t>
      </w:r>
    </w:p>
    <w:p w14:paraId="54CC940B" w14:textId="77777777" w:rsidR="00401C80" w:rsidRDefault="00401C80" w:rsidP="00401C80">
      <w:r w:rsidRPr="00A64058">
        <w:rPr>
          <w:b/>
        </w:rPr>
        <w:t>1P1</w:t>
      </w:r>
      <w:r>
        <w:t>, Post-Program Placement, tracks CTE C</w:t>
      </w:r>
      <w:r w:rsidRPr="00472BE4">
        <w:t>oncentrators who</w:t>
      </w:r>
      <w:r>
        <w:t>se second quarter after completing</w:t>
      </w:r>
      <w:r w:rsidRPr="00472BE4">
        <w:t xml:space="preserve"> a program or program of study </w:t>
      </w:r>
      <w:r>
        <w:t xml:space="preserve">occurs </w:t>
      </w:r>
      <w:r w:rsidRPr="00472BE4">
        <w:t xml:space="preserve">during the </w:t>
      </w:r>
      <w:r w:rsidRPr="00E104FB">
        <w:t>reporting year</w:t>
      </w:r>
      <w:r>
        <w:t xml:space="preserve"> for qualifying postsecondary engagements</w:t>
      </w:r>
      <w:r w:rsidRPr="00E104FB">
        <w:t>.</w:t>
      </w:r>
    </w:p>
    <w:p w14:paraId="47583D2B" w14:textId="77777777" w:rsidR="00401C80" w:rsidRDefault="00401C80" w:rsidP="00401C80">
      <w:r w:rsidRPr="00A64058">
        <w:rPr>
          <w:b/>
        </w:rPr>
        <w:t>2P1</w:t>
      </w:r>
      <w:r>
        <w:t>, Earned Recognized Postsecondary Credential, tracks CTE Concentrators who left or completed their CTE program or program of study in the year preceding the report year for completion of a recognized postsecondary credential (related to their CTE curriculum) by the end of the report year. This includes recognized postsecondary credentials earned in-program.</w:t>
      </w:r>
    </w:p>
    <w:p w14:paraId="1F2F65ED" w14:textId="77777777" w:rsidR="00401C80" w:rsidRDefault="00401C80" w:rsidP="00401C80">
      <w:r w:rsidRPr="001A0AFC">
        <w:rPr>
          <w:b/>
        </w:rPr>
        <w:t>3P1</w:t>
      </w:r>
      <w:r>
        <w:t>, Non-Traditional Program Concentration, tracks</w:t>
      </w:r>
      <w:r w:rsidRPr="004A78DB">
        <w:t xml:space="preserve"> </w:t>
      </w:r>
      <w:r>
        <w:t>whether a postsecondary CTE Concentrator’s primary program of study in the report year is federally specified as associated with a traditional gender other than the gender of the CTE Concentrator.</w:t>
      </w:r>
    </w:p>
    <w:p w14:paraId="7865FDA0" w14:textId="77777777" w:rsidR="00401C80" w:rsidRDefault="00401C80" w:rsidP="00E068AB">
      <w:pPr>
        <w:pStyle w:val="Heading4"/>
      </w:pPr>
      <w:r>
        <w:t>Student appearance opportunities, an example:</w:t>
      </w:r>
    </w:p>
    <w:p w14:paraId="7BBFDCBB" w14:textId="61F702FC" w:rsidR="00401C80" w:rsidRDefault="00401C80" w:rsidP="00401C80">
      <w:r>
        <w:t xml:space="preserve">Consider a student who, in </w:t>
      </w:r>
      <w:r w:rsidR="000001EB">
        <w:t>the school</w:t>
      </w:r>
      <w:r>
        <w:t xml:space="preserve"> year 2020-2021 enters a CTE program of more than 12.0 credits. This student completes their program in </w:t>
      </w:r>
      <w:r w:rsidR="000001EB">
        <w:t>the school</w:t>
      </w:r>
      <w:r>
        <w:t xml:space="preserve"> year 2022-2023.</w:t>
      </w:r>
    </w:p>
    <w:p w14:paraId="0A83EAA6" w14:textId="77777777" w:rsidR="00401C80" w:rsidRDefault="00401C80" w:rsidP="00401C80">
      <w:r>
        <w:t xml:space="preserve">Such a student would appear in secondary Traffic Light Reports for </w:t>
      </w:r>
      <w:r w:rsidRPr="001966DF">
        <w:rPr>
          <w:u w:val="single"/>
        </w:rPr>
        <w:t>report years</w:t>
      </w:r>
      <w:r>
        <w:t>:</w:t>
      </w:r>
    </w:p>
    <w:p w14:paraId="01CD8766" w14:textId="77777777" w:rsidR="00401C80" w:rsidRDefault="00401C80" w:rsidP="00401C80">
      <w:pPr>
        <w:pStyle w:val="ListParagraph"/>
        <w:numPr>
          <w:ilvl w:val="0"/>
          <w:numId w:val="24"/>
        </w:numPr>
      </w:pPr>
      <w:r>
        <w:t>2020-2021 for 3P1 if they achieved CTE Concentrator status in 2020-2021 school year as a student in a program where they are in the non-traditional gender</w:t>
      </w:r>
    </w:p>
    <w:p w14:paraId="44D00429" w14:textId="77777777" w:rsidR="00401C80" w:rsidRDefault="00401C80" w:rsidP="00401C80">
      <w:pPr>
        <w:pStyle w:val="ListParagraph"/>
        <w:numPr>
          <w:ilvl w:val="0"/>
          <w:numId w:val="24"/>
        </w:numPr>
      </w:pPr>
      <w:r>
        <w:lastRenderedPageBreak/>
        <w:t>2021-2022 for 3P1 if they achieved CTE Concentrator status in 2021-2022 school year as a student in a program where they are in the non-traditional gender</w:t>
      </w:r>
    </w:p>
    <w:p w14:paraId="7B3C63E6" w14:textId="77777777" w:rsidR="00401C80" w:rsidRDefault="00401C80" w:rsidP="00401C80">
      <w:pPr>
        <w:pStyle w:val="ListParagraph"/>
        <w:numPr>
          <w:ilvl w:val="0"/>
          <w:numId w:val="24"/>
        </w:numPr>
      </w:pPr>
      <w:r>
        <w:t>2022-2023 for :</w:t>
      </w:r>
    </w:p>
    <w:p w14:paraId="56D15894" w14:textId="77777777" w:rsidR="00401C80" w:rsidRDefault="00401C80" w:rsidP="00401C80">
      <w:pPr>
        <w:pStyle w:val="ListParagraph"/>
        <w:numPr>
          <w:ilvl w:val="1"/>
          <w:numId w:val="24"/>
        </w:numPr>
      </w:pPr>
      <w:r>
        <w:t>1P1 if the second quarter after their CTE program graduation occurs in this report year</w:t>
      </w:r>
    </w:p>
    <w:p w14:paraId="38400081" w14:textId="77777777" w:rsidR="00401C80" w:rsidRDefault="00401C80" w:rsidP="00401C80">
      <w:pPr>
        <w:pStyle w:val="ListParagraph"/>
        <w:numPr>
          <w:ilvl w:val="1"/>
          <w:numId w:val="24"/>
        </w:numPr>
      </w:pPr>
      <w:r>
        <w:t>3P1</w:t>
      </w:r>
      <w:r w:rsidRPr="000B43AE">
        <w:t xml:space="preserve"> </w:t>
      </w:r>
      <w:r>
        <w:t>if they achieved CTE Concentrator status in 2022-2023 school year as a student in a program where they are in the non-traditional gender</w:t>
      </w:r>
    </w:p>
    <w:p w14:paraId="0A602D6F" w14:textId="77777777" w:rsidR="00401C80" w:rsidRDefault="00401C80" w:rsidP="00401C80">
      <w:pPr>
        <w:pStyle w:val="ListParagraph"/>
        <w:numPr>
          <w:ilvl w:val="0"/>
          <w:numId w:val="24"/>
        </w:numPr>
      </w:pPr>
      <w:r>
        <w:t>2023-2024 for:</w:t>
      </w:r>
    </w:p>
    <w:p w14:paraId="26BBA343" w14:textId="77777777" w:rsidR="00401C80" w:rsidRDefault="00401C80" w:rsidP="00401C80">
      <w:pPr>
        <w:pStyle w:val="ListParagraph"/>
        <w:numPr>
          <w:ilvl w:val="1"/>
          <w:numId w:val="24"/>
        </w:numPr>
      </w:pPr>
      <w:r>
        <w:t>1P1 if the second quarter after their CTE program graduation occurs in this report year.</w:t>
      </w:r>
    </w:p>
    <w:p w14:paraId="17E52234" w14:textId="54CAF0B5" w:rsidR="002E293A" w:rsidRPr="00E068AB" w:rsidRDefault="00401C80" w:rsidP="00AE3209">
      <w:pPr>
        <w:pStyle w:val="ListParagraph"/>
        <w:numPr>
          <w:ilvl w:val="1"/>
          <w:numId w:val="24"/>
        </w:numPr>
      </w:pPr>
      <w:r>
        <w:t>2P1</w:t>
      </w:r>
      <w:bookmarkStart w:id="111" w:name="_Students_in_multiple"/>
      <w:bookmarkStart w:id="112" w:name="_Appendix_O:_Perkins"/>
      <w:bookmarkEnd w:id="111"/>
      <w:bookmarkEnd w:id="112"/>
    </w:p>
    <w:p w14:paraId="433BE6F5" w14:textId="77777777" w:rsidR="00E068AB" w:rsidRDefault="00E068AB" w:rsidP="00E068AB">
      <w:pPr>
        <w:pStyle w:val="Heading2"/>
        <w:sectPr w:rsidR="00E068AB" w:rsidSect="00156318">
          <w:pgSz w:w="12240" w:h="15840"/>
          <w:pgMar w:top="1080" w:right="1080" w:bottom="1080" w:left="1080" w:header="720" w:footer="720" w:gutter="0"/>
          <w:cols w:space="720"/>
          <w:docGrid w:linePitch="360"/>
        </w:sectPr>
      </w:pPr>
      <w:bookmarkStart w:id="113" w:name="_Focal_Student_Groups"/>
      <w:bookmarkEnd w:id="102"/>
      <w:bookmarkEnd w:id="113"/>
    </w:p>
    <w:p w14:paraId="49B46168" w14:textId="27C98698" w:rsidR="002E293A" w:rsidRDefault="00940AFC" w:rsidP="00E068AB">
      <w:pPr>
        <w:pStyle w:val="Heading2"/>
      </w:pPr>
      <w:bookmarkStart w:id="114" w:name="_Toc155258808"/>
      <w:bookmarkStart w:id="115" w:name="_Toc155265245"/>
      <w:r>
        <w:lastRenderedPageBreak/>
        <w:t xml:space="preserve">Appendix </w:t>
      </w:r>
      <w:r w:rsidR="008843A1">
        <w:t>F</w:t>
      </w:r>
      <w:r>
        <w:t xml:space="preserve">: </w:t>
      </w:r>
      <w:r w:rsidR="002E293A" w:rsidRPr="00167F69">
        <w:t>Focal Student</w:t>
      </w:r>
      <w:r w:rsidR="002E293A">
        <w:t xml:space="preserve"> Groups</w:t>
      </w:r>
      <w:bookmarkEnd w:id="90"/>
      <w:bookmarkEnd w:id="114"/>
      <w:bookmarkEnd w:id="115"/>
    </w:p>
    <w:p w14:paraId="087C4CAE" w14:textId="5BFBFA02" w:rsidR="00C27DD4" w:rsidRPr="00C27DD4" w:rsidRDefault="00C27DD4" w:rsidP="00C27DD4">
      <w:r>
        <w:t>The disaggregated calculations operate as a component of ODEs accountability audits that monitor for, among other elements of CTE programs, equity in access and student engagement.</w:t>
      </w:r>
    </w:p>
    <w:p w14:paraId="0951B1EA" w14:textId="6311CBF6" w:rsidR="006F1D92" w:rsidRDefault="00C27DD4" w:rsidP="00E068AB">
      <w:pPr>
        <w:pStyle w:val="Heading3"/>
      </w:pPr>
      <w:bookmarkStart w:id="116" w:name="_Toc155104492"/>
      <w:bookmarkStart w:id="117" w:name="_Toc155258809"/>
      <w:r>
        <w:t>Nonexclusive</w:t>
      </w:r>
      <w:r w:rsidR="006F1D92">
        <w:t xml:space="preserve"> Count Categories</w:t>
      </w:r>
      <w:bookmarkEnd w:id="116"/>
      <w:bookmarkEnd w:id="117"/>
    </w:p>
    <w:p w14:paraId="6CC94D56" w14:textId="794586C7" w:rsidR="007C32D0" w:rsidRDefault="00A57B5C" w:rsidP="007C32D0">
      <w:r>
        <w:t>E</w:t>
      </w:r>
      <w:r w:rsidR="006F1D92">
        <w:t xml:space="preserve">ach student may be a member of many </w:t>
      </w:r>
      <w:r>
        <w:t xml:space="preserve">of the following </w:t>
      </w:r>
      <w:r w:rsidR="006F1D92">
        <w:t xml:space="preserve">groups and appears in calculations for all </w:t>
      </w:r>
      <w:r>
        <w:t>nonexclusive count category</w:t>
      </w:r>
      <w:r w:rsidR="006F1D92">
        <w:t xml:space="preserve"> focal student groups that apply to them. </w:t>
      </w:r>
      <w:r w:rsidR="007C32D0">
        <w:t xml:space="preserve">Perkins V </w:t>
      </w:r>
      <w:r w:rsidR="00C27DD4">
        <w:t>specifies the following</w:t>
      </w:r>
      <w:r w:rsidR="007C32D0">
        <w:t xml:space="preserve"> </w:t>
      </w:r>
      <w:r w:rsidR="00C27DD4">
        <w:t>n</w:t>
      </w:r>
      <w:r w:rsidR="00C27DD4" w:rsidRPr="00C27DD4">
        <w:t xml:space="preserve">onexclusive </w:t>
      </w:r>
      <w:r w:rsidR="00C27DD4">
        <w:t xml:space="preserve">count category </w:t>
      </w:r>
      <w:r w:rsidR="007C32D0">
        <w:t>focal student groups</w:t>
      </w:r>
      <w:r w:rsidR="00C27DD4">
        <w:t xml:space="preserve"> be included</w:t>
      </w:r>
      <w:r w:rsidR="007C32D0">
        <w:t xml:space="preserve"> in disaggregated calculations. </w:t>
      </w:r>
    </w:p>
    <w:p w14:paraId="0F2E993C" w14:textId="77777777" w:rsidR="007C32D0" w:rsidRDefault="007C32D0" w:rsidP="007C32D0">
      <w:pPr>
        <w:pStyle w:val="ListParagraph"/>
        <w:numPr>
          <w:ilvl w:val="0"/>
          <w:numId w:val="21"/>
        </w:numPr>
      </w:pPr>
      <w:r>
        <w:t xml:space="preserve">English Learners  </w:t>
      </w:r>
    </w:p>
    <w:p w14:paraId="09B95E41" w14:textId="77777777" w:rsidR="007C32D0" w:rsidRPr="0086600A" w:rsidRDefault="007C32D0" w:rsidP="007C32D0">
      <w:pPr>
        <w:pStyle w:val="ListParagraph"/>
        <w:numPr>
          <w:ilvl w:val="0"/>
          <w:numId w:val="21"/>
        </w:numPr>
      </w:pPr>
      <w:r w:rsidRPr="0086600A">
        <w:t xml:space="preserve">Homeless Individuals  </w:t>
      </w:r>
    </w:p>
    <w:p w14:paraId="276193B8" w14:textId="77777777" w:rsidR="007C32D0" w:rsidRDefault="007C32D0" w:rsidP="007C32D0">
      <w:pPr>
        <w:pStyle w:val="ListParagraph"/>
        <w:numPr>
          <w:ilvl w:val="0"/>
          <w:numId w:val="21"/>
        </w:numPr>
      </w:pPr>
      <w:r>
        <w:t>Individuals from Economically Disadvantaged Families.</w:t>
      </w:r>
    </w:p>
    <w:p w14:paraId="656CC4D8" w14:textId="77777777" w:rsidR="007C32D0" w:rsidRDefault="007C32D0" w:rsidP="007C32D0">
      <w:pPr>
        <w:pStyle w:val="ListParagraph"/>
        <w:numPr>
          <w:ilvl w:val="0"/>
          <w:numId w:val="21"/>
        </w:numPr>
      </w:pPr>
      <w:r>
        <w:t>Individuals Preparing for Non-traditional Fields</w:t>
      </w:r>
    </w:p>
    <w:p w14:paraId="18C88BDB" w14:textId="77777777" w:rsidR="007C32D0" w:rsidRDefault="007C32D0" w:rsidP="007C32D0">
      <w:pPr>
        <w:pStyle w:val="ListParagraph"/>
        <w:numPr>
          <w:ilvl w:val="0"/>
          <w:numId w:val="21"/>
        </w:numPr>
      </w:pPr>
      <w:r>
        <w:t>Individuals with Disabilities</w:t>
      </w:r>
    </w:p>
    <w:p w14:paraId="60AA0DEC" w14:textId="77777777" w:rsidR="007C32D0" w:rsidRDefault="007C32D0" w:rsidP="007C32D0">
      <w:pPr>
        <w:pStyle w:val="ListParagraph"/>
        <w:numPr>
          <w:ilvl w:val="0"/>
          <w:numId w:val="21"/>
        </w:numPr>
      </w:pPr>
      <w:r>
        <w:t>Out of Workforce Individuals</w:t>
      </w:r>
    </w:p>
    <w:p w14:paraId="76E50DDE" w14:textId="77777777" w:rsidR="007C32D0" w:rsidRDefault="007C32D0" w:rsidP="007C32D0">
      <w:pPr>
        <w:pStyle w:val="ListParagraph"/>
        <w:numPr>
          <w:ilvl w:val="0"/>
          <w:numId w:val="21"/>
        </w:numPr>
      </w:pPr>
      <w:r>
        <w:t>Parents</w:t>
      </w:r>
    </w:p>
    <w:p w14:paraId="4C51F682" w14:textId="77777777" w:rsidR="007C32D0" w:rsidRPr="0086600A" w:rsidRDefault="007C32D0" w:rsidP="007C32D0">
      <w:pPr>
        <w:pStyle w:val="ListParagraph"/>
        <w:numPr>
          <w:ilvl w:val="0"/>
          <w:numId w:val="21"/>
        </w:numPr>
      </w:pPr>
      <w:r w:rsidRPr="0086600A">
        <w:t>Youth in Foster Care</w:t>
      </w:r>
    </w:p>
    <w:p w14:paraId="7F6AB29D" w14:textId="77777777" w:rsidR="007C32D0" w:rsidRPr="0086600A" w:rsidRDefault="007C32D0" w:rsidP="007C32D0">
      <w:pPr>
        <w:pStyle w:val="ListParagraph"/>
        <w:numPr>
          <w:ilvl w:val="0"/>
          <w:numId w:val="21"/>
        </w:numPr>
      </w:pPr>
      <w:r w:rsidRPr="0086600A">
        <w:t>Youth with Parent in Active Military</w:t>
      </w:r>
    </w:p>
    <w:p w14:paraId="3B5325A0" w14:textId="77777777" w:rsidR="007C32D0" w:rsidRPr="00167F69" w:rsidRDefault="007C32D0" w:rsidP="007C32D0">
      <w:pPr>
        <w:pStyle w:val="ListParagraph"/>
        <w:numPr>
          <w:ilvl w:val="0"/>
          <w:numId w:val="21"/>
        </w:numPr>
      </w:pPr>
      <w:r w:rsidRPr="0086600A">
        <w:t>Youth from Migrant Families</w:t>
      </w:r>
    </w:p>
    <w:p w14:paraId="3A75119D" w14:textId="7E6121B6" w:rsidR="007C32D0" w:rsidRDefault="007C32D0" w:rsidP="006F1D92">
      <w:r>
        <w:t>The focal student groups are not mutually exclusive. Students may be counted in all focal student groups where they are identified as members.</w:t>
      </w:r>
    </w:p>
    <w:p w14:paraId="516EB5D8" w14:textId="77777777" w:rsidR="006F1D92" w:rsidRDefault="006F1D92" w:rsidP="00E068AB">
      <w:pPr>
        <w:pStyle w:val="Heading4"/>
      </w:pPr>
      <w:r>
        <w:t>Individuals with Disabilities</w:t>
      </w:r>
    </w:p>
    <w:p w14:paraId="1F42FEC8" w14:textId="77777777" w:rsidR="006F1D92" w:rsidRDefault="006F1D92" w:rsidP="006F1D92">
      <w:r>
        <w:t>This includes both students with IEPs and with physical disabilities. For secondary CTE, this information is sourced from the Spring Membership collection (not a CTE data collection).</w:t>
      </w:r>
    </w:p>
    <w:p w14:paraId="527ED0EB" w14:textId="745D1D15" w:rsidR="006F1D92" w:rsidRDefault="006F1D92" w:rsidP="00E068AB">
      <w:pPr>
        <w:pStyle w:val="Heading4"/>
      </w:pPr>
      <w:bookmarkStart w:id="118" w:name="_Toc98829410"/>
      <w:r>
        <w:t>Individuals from Economically Disadvantaged Families</w:t>
      </w:r>
      <w:bookmarkEnd w:id="118"/>
      <w:r w:rsidR="00C27DD4">
        <w:t xml:space="preserve"> </w:t>
      </w:r>
    </w:p>
    <w:p w14:paraId="6621B0F1" w14:textId="77777777" w:rsidR="006F1D92" w:rsidRDefault="006F1D92" w:rsidP="006F1D92">
      <w:r>
        <w:t>At the secondary level, this is an imprecise measure in the state of Oregon. Some schools have a high enough concentration of students from economically disadvantaged families that all students are flagged as impacted by economic disadvantage. Therefore, related disaggregated performance calculations are best interpreted at the school level and above.</w:t>
      </w:r>
      <w:r w:rsidRPr="00A23025">
        <w:t xml:space="preserve"> </w:t>
      </w:r>
      <w:r>
        <w:t>As an additional note on secondary CTE, this information is sourced from the Spring Membership collection (not a CTE data collection).</w:t>
      </w:r>
    </w:p>
    <w:p w14:paraId="358E0B22" w14:textId="77777777" w:rsidR="006F1D92" w:rsidRDefault="006F1D92" w:rsidP="00E068AB">
      <w:pPr>
        <w:pStyle w:val="Heading4"/>
      </w:pPr>
      <w:bookmarkStart w:id="119" w:name="_Individuals_Preparing_for"/>
      <w:bookmarkStart w:id="120" w:name="_Toc98829411"/>
      <w:bookmarkEnd w:id="119"/>
      <w:r>
        <w:t>Individuals Preparing for Non-Traditional Fields</w:t>
      </w:r>
      <w:bookmarkEnd w:id="120"/>
    </w:p>
    <w:p w14:paraId="7394588A" w14:textId="3FA0B83D" w:rsidR="00401C80" w:rsidRDefault="00401C80" w:rsidP="00401C80">
      <w:r>
        <w:t xml:space="preserve">The performance indicators 4S1 and 3P1 dealing with Non-Traditional Program Concentration are </w:t>
      </w:r>
      <w:r w:rsidR="000001EB">
        <w:rPr>
          <w:b/>
        </w:rPr>
        <w:t xml:space="preserve">limit </w:t>
      </w:r>
      <w:r w:rsidRPr="0096558A">
        <w:rPr>
          <w:b/>
        </w:rPr>
        <w:t>each student to being counted in one (1)</w:t>
      </w:r>
      <w:r>
        <w:t xml:space="preserve"> program even if they achieve CTE Concentrator status in multiple CTE programs. The program used in the calculation is called the </w:t>
      </w:r>
      <w:r w:rsidRPr="009C2470">
        <w:t xml:space="preserve">student’s </w:t>
      </w:r>
      <w:r w:rsidRPr="009C2470">
        <w:rPr>
          <w:b/>
        </w:rPr>
        <w:t>primary program</w:t>
      </w:r>
      <w:r w:rsidRPr="009C2470">
        <w:t>.</w:t>
      </w:r>
    </w:p>
    <w:p w14:paraId="1D159F25" w14:textId="38341B4D" w:rsidR="00401C80" w:rsidRDefault="00401C80" w:rsidP="00401C80">
      <w:r>
        <w:lastRenderedPageBreak/>
        <w:t xml:space="preserve">Due to differences in collection of secondary and postsecondary student gender data </w:t>
      </w:r>
      <w:r w:rsidR="0040136A">
        <w:t>(</w:t>
      </w:r>
      <w:r>
        <w:t xml:space="preserve">described in Appendix F: Focal Student Groups section </w:t>
      </w:r>
      <w:hyperlink w:anchor="_Gender" w:history="1">
        <w:r w:rsidRPr="006E4ADD">
          <w:rPr>
            <w:rStyle w:val="Hyperlink"/>
          </w:rPr>
          <w:t>Gender</w:t>
        </w:r>
      </w:hyperlink>
      <w:r w:rsidR="0040136A">
        <w:rPr>
          <w:rStyle w:val="Hyperlink"/>
        </w:rPr>
        <w:t>)</w:t>
      </w:r>
      <w:r>
        <w:t xml:space="preserve">, there are differences in calculation of the secondary and postsecondary versions of these metrics. </w:t>
      </w:r>
    </w:p>
    <w:p w14:paraId="61870F67" w14:textId="77777777" w:rsidR="00401C80" w:rsidRDefault="00401C80" w:rsidP="00E068AB">
      <w:pPr>
        <w:pStyle w:val="Heading5"/>
      </w:pPr>
      <w:bookmarkStart w:id="121" w:name="_Toc98829423"/>
      <w:r>
        <w:t>Secondary</w:t>
      </w:r>
      <w:bookmarkEnd w:id="121"/>
    </w:p>
    <w:p w14:paraId="21A941B1" w14:textId="4464C9C3" w:rsidR="00401C80" w:rsidRDefault="00401C80" w:rsidP="00401C80">
      <w:r w:rsidRPr="0096558A">
        <w:rPr>
          <w:b/>
        </w:rPr>
        <w:t>Secondary</w:t>
      </w:r>
      <w:r>
        <w:t xml:space="preserve"> </w:t>
      </w:r>
      <w:r w:rsidRPr="00222022">
        <w:rPr>
          <w:b/>
        </w:rPr>
        <w:t>counts</w:t>
      </w:r>
      <w:r>
        <w:t xml:space="preserve"> of students in non-traditional fields for their gender </w:t>
      </w:r>
      <w:r w:rsidRPr="00222022">
        <w:rPr>
          <w:b/>
        </w:rPr>
        <w:t>include</w:t>
      </w:r>
      <w:r>
        <w:t xml:space="preserve"> </w:t>
      </w:r>
      <w:r w:rsidRPr="00222022">
        <w:rPr>
          <w:b/>
        </w:rPr>
        <w:t>gender-non-binary</w:t>
      </w:r>
      <w:r>
        <w:rPr>
          <w:b/>
        </w:rPr>
        <w:t xml:space="preserve"> students</w:t>
      </w:r>
      <w:r>
        <w:t xml:space="preserve"> for all programs federally associated with a traditional gender. </w:t>
      </w:r>
      <w:r w:rsidR="0040136A">
        <w:t>Trad code shows a program’s traditional gender where M indicates male, and F indicates female.</w:t>
      </w:r>
    </w:p>
    <w:p w14:paraId="04A4A2F7" w14:textId="5A40ADCE" w:rsidR="000001EB" w:rsidRPr="000001EB" w:rsidRDefault="000001EB" w:rsidP="000001EB">
      <w:pPr>
        <w:pStyle w:val="Caption"/>
      </w:pPr>
      <w:r w:rsidRPr="000001EB">
        <w:t xml:space="preserve">Table </w:t>
      </w:r>
      <w:r w:rsidR="00984C6C">
        <w:fldChar w:fldCharType="begin"/>
      </w:r>
      <w:r w:rsidR="00984C6C">
        <w:instrText xml:space="preserve"> SEQ Table \* ARABIC </w:instrText>
      </w:r>
      <w:r w:rsidR="00984C6C">
        <w:fldChar w:fldCharType="separate"/>
      </w:r>
      <w:r w:rsidRPr="000001EB">
        <w:t>1</w:t>
      </w:r>
      <w:r w:rsidR="00984C6C">
        <w:fldChar w:fldCharType="end"/>
      </w:r>
      <w:r w:rsidRPr="000001EB">
        <w:t xml:space="preserve"> Trad Codes in Secondary CTE</w:t>
      </w:r>
    </w:p>
    <w:tbl>
      <w:tblPr>
        <w:tblStyle w:val="TableGrid"/>
        <w:tblW w:w="0" w:type="auto"/>
        <w:tblLook w:val="04A0" w:firstRow="1" w:lastRow="0" w:firstColumn="1" w:lastColumn="0" w:noHBand="0" w:noVBand="1"/>
      </w:tblPr>
      <w:tblGrid>
        <w:gridCol w:w="1064"/>
        <w:gridCol w:w="4050"/>
        <w:gridCol w:w="4050"/>
        <w:gridCol w:w="906"/>
      </w:tblGrid>
      <w:tr w:rsidR="0040136A" w:rsidRPr="0040136A" w14:paraId="26B3DCE5" w14:textId="77777777" w:rsidTr="000001EB">
        <w:trPr>
          <w:cantSplit/>
          <w:tblHeader/>
        </w:trPr>
        <w:tc>
          <w:tcPr>
            <w:tcW w:w="1064" w:type="dxa"/>
            <w:shd w:val="clear" w:color="auto" w:fill="F2F2F2" w:themeFill="background1" w:themeFillShade="F2"/>
            <w:noWrap/>
            <w:hideMark/>
          </w:tcPr>
          <w:p w14:paraId="3884E5A9" w14:textId="77777777" w:rsidR="0040136A" w:rsidRPr="0040136A" w:rsidRDefault="0040136A" w:rsidP="0040136A">
            <w:pPr>
              <w:spacing w:before="0"/>
              <w:rPr>
                <w:b/>
                <w:bCs/>
                <w:sz w:val="20"/>
                <w:szCs w:val="20"/>
              </w:rPr>
            </w:pPr>
            <w:r w:rsidRPr="0040136A">
              <w:rPr>
                <w:b/>
                <w:bCs/>
                <w:sz w:val="20"/>
                <w:szCs w:val="20"/>
              </w:rPr>
              <w:t>CIP Code</w:t>
            </w:r>
          </w:p>
        </w:tc>
        <w:tc>
          <w:tcPr>
            <w:tcW w:w="4050" w:type="dxa"/>
            <w:shd w:val="clear" w:color="auto" w:fill="F2F2F2" w:themeFill="background1" w:themeFillShade="F2"/>
            <w:noWrap/>
            <w:hideMark/>
          </w:tcPr>
          <w:p w14:paraId="5D6B5C0F" w14:textId="77777777" w:rsidR="0040136A" w:rsidRPr="0040136A" w:rsidRDefault="0040136A" w:rsidP="0040136A">
            <w:pPr>
              <w:spacing w:before="0"/>
              <w:rPr>
                <w:b/>
                <w:bCs/>
                <w:sz w:val="20"/>
                <w:szCs w:val="20"/>
              </w:rPr>
            </w:pPr>
            <w:r w:rsidRPr="0040136A">
              <w:rPr>
                <w:b/>
                <w:bCs/>
                <w:sz w:val="20"/>
                <w:szCs w:val="20"/>
              </w:rPr>
              <w:t>Career Cluster</w:t>
            </w:r>
          </w:p>
        </w:tc>
        <w:tc>
          <w:tcPr>
            <w:tcW w:w="4050" w:type="dxa"/>
            <w:shd w:val="clear" w:color="auto" w:fill="F2F2F2" w:themeFill="background1" w:themeFillShade="F2"/>
            <w:noWrap/>
            <w:hideMark/>
          </w:tcPr>
          <w:p w14:paraId="7AB79937" w14:textId="77777777" w:rsidR="0040136A" w:rsidRPr="0040136A" w:rsidRDefault="0040136A" w:rsidP="0040136A">
            <w:pPr>
              <w:spacing w:before="0"/>
              <w:rPr>
                <w:b/>
                <w:bCs/>
                <w:sz w:val="20"/>
                <w:szCs w:val="20"/>
              </w:rPr>
            </w:pPr>
            <w:r w:rsidRPr="0040136A">
              <w:rPr>
                <w:b/>
                <w:bCs/>
                <w:sz w:val="20"/>
                <w:szCs w:val="20"/>
              </w:rPr>
              <w:t>Program Name</w:t>
            </w:r>
          </w:p>
        </w:tc>
        <w:tc>
          <w:tcPr>
            <w:tcW w:w="906" w:type="dxa"/>
            <w:shd w:val="clear" w:color="auto" w:fill="F2F2F2" w:themeFill="background1" w:themeFillShade="F2"/>
            <w:noWrap/>
            <w:hideMark/>
          </w:tcPr>
          <w:p w14:paraId="707DD727" w14:textId="36BC8AFC" w:rsidR="0040136A" w:rsidRPr="0040136A" w:rsidRDefault="0040136A" w:rsidP="0040136A">
            <w:pPr>
              <w:spacing w:before="0"/>
              <w:rPr>
                <w:b/>
                <w:bCs/>
                <w:sz w:val="20"/>
                <w:szCs w:val="20"/>
              </w:rPr>
            </w:pPr>
            <w:r w:rsidRPr="0040136A">
              <w:rPr>
                <w:b/>
                <w:bCs/>
                <w:sz w:val="20"/>
                <w:szCs w:val="20"/>
              </w:rPr>
              <w:t>Trad</w:t>
            </w:r>
            <w:r>
              <w:rPr>
                <w:b/>
                <w:bCs/>
                <w:sz w:val="20"/>
                <w:szCs w:val="20"/>
              </w:rPr>
              <w:t xml:space="preserve"> </w:t>
            </w:r>
            <w:r w:rsidRPr="0040136A">
              <w:rPr>
                <w:b/>
                <w:bCs/>
                <w:sz w:val="20"/>
                <w:szCs w:val="20"/>
              </w:rPr>
              <w:t>C</w:t>
            </w:r>
            <w:r>
              <w:rPr>
                <w:b/>
                <w:bCs/>
                <w:sz w:val="20"/>
                <w:szCs w:val="20"/>
              </w:rPr>
              <w:t>o</w:t>
            </w:r>
            <w:r w:rsidRPr="0040136A">
              <w:rPr>
                <w:b/>
                <w:bCs/>
                <w:sz w:val="20"/>
                <w:szCs w:val="20"/>
              </w:rPr>
              <w:t>d</w:t>
            </w:r>
            <w:r>
              <w:rPr>
                <w:b/>
                <w:bCs/>
                <w:sz w:val="20"/>
                <w:szCs w:val="20"/>
              </w:rPr>
              <w:t>e</w:t>
            </w:r>
          </w:p>
        </w:tc>
      </w:tr>
      <w:tr w:rsidR="0040136A" w:rsidRPr="0040136A" w14:paraId="110A7765" w14:textId="77777777" w:rsidTr="000001EB">
        <w:trPr>
          <w:trHeight w:val="300"/>
        </w:trPr>
        <w:tc>
          <w:tcPr>
            <w:tcW w:w="1064" w:type="dxa"/>
            <w:noWrap/>
            <w:hideMark/>
          </w:tcPr>
          <w:p w14:paraId="5D2DFC0E" w14:textId="77777777" w:rsidR="0040136A" w:rsidRPr="0040136A" w:rsidRDefault="0040136A" w:rsidP="0040136A">
            <w:pPr>
              <w:spacing w:before="0"/>
              <w:rPr>
                <w:sz w:val="20"/>
                <w:szCs w:val="20"/>
              </w:rPr>
            </w:pPr>
            <w:r w:rsidRPr="0040136A">
              <w:rPr>
                <w:sz w:val="20"/>
                <w:szCs w:val="20"/>
              </w:rPr>
              <w:t>10000</w:t>
            </w:r>
          </w:p>
        </w:tc>
        <w:tc>
          <w:tcPr>
            <w:tcW w:w="4050" w:type="dxa"/>
            <w:noWrap/>
            <w:hideMark/>
          </w:tcPr>
          <w:p w14:paraId="482B8E23" w14:textId="22272598" w:rsidR="0040136A" w:rsidRPr="0040136A" w:rsidRDefault="0040136A" w:rsidP="0040136A">
            <w:pPr>
              <w:spacing w:before="0"/>
              <w:rPr>
                <w:sz w:val="20"/>
                <w:szCs w:val="20"/>
              </w:rPr>
            </w:pPr>
            <w:r w:rsidRPr="0040136A">
              <w:rPr>
                <w:sz w:val="20"/>
                <w:szCs w:val="20"/>
              </w:rPr>
              <w:t>Agriculture, Food &amp; Natural Resource Systems</w:t>
            </w:r>
          </w:p>
        </w:tc>
        <w:tc>
          <w:tcPr>
            <w:tcW w:w="4050" w:type="dxa"/>
            <w:noWrap/>
            <w:hideMark/>
          </w:tcPr>
          <w:p w14:paraId="49F8A184" w14:textId="77777777" w:rsidR="0040136A" w:rsidRPr="0040136A" w:rsidRDefault="0040136A" w:rsidP="0040136A">
            <w:pPr>
              <w:spacing w:before="0"/>
              <w:rPr>
                <w:sz w:val="20"/>
                <w:szCs w:val="20"/>
              </w:rPr>
            </w:pPr>
            <w:r w:rsidRPr="0040136A">
              <w:rPr>
                <w:sz w:val="20"/>
                <w:szCs w:val="20"/>
              </w:rPr>
              <w:t>Agriculture, General</w:t>
            </w:r>
          </w:p>
        </w:tc>
        <w:tc>
          <w:tcPr>
            <w:tcW w:w="906" w:type="dxa"/>
            <w:noWrap/>
            <w:hideMark/>
          </w:tcPr>
          <w:p w14:paraId="625925C2" w14:textId="77777777" w:rsidR="0040136A" w:rsidRPr="0040136A" w:rsidRDefault="0040136A" w:rsidP="0040136A">
            <w:pPr>
              <w:spacing w:before="0"/>
              <w:rPr>
                <w:sz w:val="20"/>
                <w:szCs w:val="20"/>
              </w:rPr>
            </w:pPr>
            <w:r w:rsidRPr="0040136A">
              <w:rPr>
                <w:sz w:val="20"/>
                <w:szCs w:val="20"/>
              </w:rPr>
              <w:t>M</w:t>
            </w:r>
          </w:p>
        </w:tc>
      </w:tr>
      <w:tr w:rsidR="0040136A" w:rsidRPr="0040136A" w14:paraId="298CC883" w14:textId="77777777" w:rsidTr="000001EB">
        <w:trPr>
          <w:trHeight w:val="300"/>
        </w:trPr>
        <w:tc>
          <w:tcPr>
            <w:tcW w:w="1064" w:type="dxa"/>
            <w:noWrap/>
            <w:hideMark/>
          </w:tcPr>
          <w:p w14:paraId="59931117" w14:textId="77777777" w:rsidR="0040136A" w:rsidRPr="0040136A" w:rsidRDefault="0040136A" w:rsidP="0040136A">
            <w:pPr>
              <w:spacing w:before="0"/>
              <w:rPr>
                <w:sz w:val="20"/>
                <w:szCs w:val="20"/>
              </w:rPr>
            </w:pPr>
            <w:r w:rsidRPr="0040136A">
              <w:rPr>
                <w:sz w:val="20"/>
                <w:szCs w:val="20"/>
              </w:rPr>
              <w:t>10101</w:t>
            </w:r>
          </w:p>
        </w:tc>
        <w:tc>
          <w:tcPr>
            <w:tcW w:w="4050" w:type="dxa"/>
            <w:noWrap/>
            <w:hideMark/>
          </w:tcPr>
          <w:p w14:paraId="7A03906B" w14:textId="36849CCE" w:rsidR="0040136A" w:rsidRPr="0040136A" w:rsidRDefault="0040136A" w:rsidP="0040136A">
            <w:pPr>
              <w:spacing w:before="0"/>
              <w:rPr>
                <w:sz w:val="20"/>
                <w:szCs w:val="20"/>
              </w:rPr>
            </w:pPr>
            <w:r w:rsidRPr="0040136A">
              <w:rPr>
                <w:sz w:val="20"/>
                <w:szCs w:val="20"/>
              </w:rPr>
              <w:t>Agriculture, Food &amp; Natural Resource Systems</w:t>
            </w:r>
          </w:p>
        </w:tc>
        <w:tc>
          <w:tcPr>
            <w:tcW w:w="4050" w:type="dxa"/>
            <w:noWrap/>
            <w:hideMark/>
          </w:tcPr>
          <w:p w14:paraId="75C85CBE" w14:textId="77777777" w:rsidR="0040136A" w:rsidRPr="0040136A" w:rsidRDefault="0040136A" w:rsidP="0040136A">
            <w:pPr>
              <w:spacing w:before="0"/>
              <w:rPr>
                <w:sz w:val="20"/>
                <w:szCs w:val="20"/>
              </w:rPr>
            </w:pPr>
            <w:r w:rsidRPr="0040136A">
              <w:rPr>
                <w:sz w:val="20"/>
                <w:szCs w:val="20"/>
              </w:rPr>
              <w:t>Agribusiness Systems</w:t>
            </w:r>
          </w:p>
        </w:tc>
        <w:tc>
          <w:tcPr>
            <w:tcW w:w="906" w:type="dxa"/>
            <w:noWrap/>
            <w:hideMark/>
          </w:tcPr>
          <w:p w14:paraId="229AD93D" w14:textId="77777777" w:rsidR="0040136A" w:rsidRPr="0040136A" w:rsidRDefault="0040136A" w:rsidP="0040136A">
            <w:pPr>
              <w:spacing w:before="0"/>
              <w:rPr>
                <w:sz w:val="20"/>
                <w:szCs w:val="20"/>
              </w:rPr>
            </w:pPr>
            <w:r w:rsidRPr="0040136A">
              <w:rPr>
                <w:sz w:val="20"/>
                <w:szCs w:val="20"/>
              </w:rPr>
              <w:t>M</w:t>
            </w:r>
          </w:p>
        </w:tc>
      </w:tr>
      <w:tr w:rsidR="0040136A" w:rsidRPr="0040136A" w14:paraId="11C2B51B" w14:textId="77777777" w:rsidTr="000001EB">
        <w:trPr>
          <w:trHeight w:val="300"/>
        </w:trPr>
        <w:tc>
          <w:tcPr>
            <w:tcW w:w="1064" w:type="dxa"/>
            <w:noWrap/>
            <w:hideMark/>
          </w:tcPr>
          <w:p w14:paraId="18F50AC8" w14:textId="77777777" w:rsidR="0040136A" w:rsidRPr="0040136A" w:rsidRDefault="0040136A" w:rsidP="0040136A">
            <w:pPr>
              <w:spacing w:before="0"/>
              <w:rPr>
                <w:sz w:val="20"/>
                <w:szCs w:val="20"/>
              </w:rPr>
            </w:pPr>
            <w:r w:rsidRPr="0040136A">
              <w:rPr>
                <w:sz w:val="20"/>
                <w:szCs w:val="20"/>
              </w:rPr>
              <w:t>10201</w:t>
            </w:r>
          </w:p>
        </w:tc>
        <w:tc>
          <w:tcPr>
            <w:tcW w:w="4050" w:type="dxa"/>
            <w:noWrap/>
            <w:hideMark/>
          </w:tcPr>
          <w:p w14:paraId="0BAB4F2F" w14:textId="0EEB464F" w:rsidR="0040136A" w:rsidRPr="0040136A" w:rsidRDefault="0040136A" w:rsidP="0040136A">
            <w:pPr>
              <w:spacing w:before="0"/>
              <w:rPr>
                <w:sz w:val="20"/>
                <w:szCs w:val="20"/>
              </w:rPr>
            </w:pPr>
            <w:r w:rsidRPr="0040136A">
              <w:rPr>
                <w:sz w:val="20"/>
                <w:szCs w:val="20"/>
              </w:rPr>
              <w:t>Agriculture, Food &amp; Natural Resource Systems</w:t>
            </w:r>
          </w:p>
        </w:tc>
        <w:tc>
          <w:tcPr>
            <w:tcW w:w="4050" w:type="dxa"/>
            <w:noWrap/>
            <w:hideMark/>
          </w:tcPr>
          <w:p w14:paraId="46097E36" w14:textId="77777777" w:rsidR="0040136A" w:rsidRPr="0040136A" w:rsidRDefault="0040136A" w:rsidP="0040136A">
            <w:pPr>
              <w:spacing w:before="0"/>
              <w:rPr>
                <w:sz w:val="20"/>
                <w:szCs w:val="20"/>
              </w:rPr>
            </w:pPr>
            <w:r w:rsidRPr="0040136A">
              <w:rPr>
                <w:sz w:val="20"/>
                <w:szCs w:val="20"/>
              </w:rPr>
              <w:t>Power, Structure and Technology (Ag Mechanics)</w:t>
            </w:r>
          </w:p>
        </w:tc>
        <w:tc>
          <w:tcPr>
            <w:tcW w:w="906" w:type="dxa"/>
            <w:noWrap/>
            <w:hideMark/>
          </w:tcPr>
          <w:p w14:paraId="753BCA09" w14:textId="77777777" w:rsidR="0040136A" w:rsidRPr="0040136A" w:rsidRDefault="0040136A" w:rsidP="0040136A">
            <w:pPr>
              <w:spacing w:before="0"/>
              <w:rPr>
                <w:sz w:val="20"/>
                <w:szCs w:val="20"/>
              </w:rPr>
            </w:pPr>
            <w:r w:rsidRPr="0040136A">
              <w:rPr>
                <w:sz w:val="20"/>
                <w:szCs w:val="20"/>
              </w:rPr>
              <w:t>M</w:t>
            </w:r>
          </w:p>
        </w:tc>
      </w:tr>
      <w:tr w:rsidR="0040136A" w:rsidRPr="0040136A" w14:paraId="5568AB7F" w14:textId="77777777" w:rsidTr="000001EB">
        <w:trPr>
          <w:trHeight w:val="300"/>
        </w:trPr>
        <w:tc>
          <w:tcPr>
            <w:tcW w:w="1064" w:type="dxa"/>
            <w:noWrap/>
            <w:hideMark/>
          </w:tcPr>
          <w:p w14:paraId="75AA8DC5" w14:textId="77777777" w:rsidR="0040136A" w:rsidRPr="0040136A" w:rsidRDefault="0040136A" w:rsidP="0040136A">
            <w:pPr>
              <w:spacing w:before="0"/>
              <w:rPr>
                <w:sz w:val="20"/>
                <w:szCs w:val="20"/>
              </w:rPr>
            </w:pPr>
            <w:r w:rsidRPr="0040136A">
              <w:rPr>
                <w:sz w:val="20"/>
                <w:szCs w:val="20"/>
              </w:rPr>
              <w:t>10601</w:t>
            </w:r>
          </w:p>
        </w:tc>
        <w:tc>
          <w:tcPr>
            <w:tcW w:w="4050" w:type="dxa"/>
            <w:noWrap/>
            <w:hideMark/>
          </w:tcPr>
          <w:p w14:paraId="2B0DAAEA" w14:textId="3D516BF5" w:rsidR="0040136A" w:rsidRPr="0040136A" w:rsidRDefault="0040136A" w:rsidP="0040136A">
            <w:pPr>
              <w:spacing w:before="0"/>
              <w:rPr>
                <w:sz w:val="20"/>
                <w:szCs w:val="20"/>
              </w:rPr>
            </w:pPr>
            <w:r w:rsidRPr="0040136A">
              <w:rPr>
                <w:sz w:val="20"/>
                <w:szCs w:val="20"/>
              </w:rPr>
              <w:t>Agriculture, Food &amp; Natural Resource Systems</w:t>
            </w:r>
          </w:p>
        </w:tc>
        <w:tc>
          <w:tcPr>
            <w:tcW w:w="4050" w:type="dxa"/>
            <w:noWrap/>
            <w:hideMark/>
          </w:tcPr>
          <w:p w14:paraId="46629FA9" w14:textId="77777777" w:rsidR="0040136A" w:rsidRPr="0040136A" w:rsidRDefault="0040136A" w:rsidP="0040136A">
            <w:pPr>
              <w:spacing w:before="0"/>
              <w:rPr>
                <w:sz w:val="20"/>
                <w:szCs w:val="20"/>
              </w:rPr>
            </w:pPr>
            <w:r w:rsidRPr="0040136A">
              <w:rPr>
                <w:sz w:val="20"/>
                <w:szCs w:val="20"/>
              </w:rPr>
              <w:t>Plant Systems</w:t>
            </w:r>
          </w:p>
        </w:tc>
        <w:tc>
          <w:tcPr>
            <w:tcW w:w="906" w:type="dxa"/>
            <w:noWrap/>
            <w:hideMark/>
          </w:tcPr>
          <w:p w14:paraId="5093E944" w14:textId="77777777" w:rsidR="0040136A" w:rsidRPr="0040136A" w:rsidRDefault="0040136A" w:rsidP="0040136A">
            <w:pPr>
              <w:spacing w:before="0"/>
              <w:rPr>
                <w:sz w:val="20"/>
                <w:szCs w:val="20"/>
              </w:rPr>
            </w:pPr>
            <w:r w:rsidRPr="0040136A">
              <w:rPr>
                <w:sz w:val="20"/>
                <w:szCs w:val="20"/>
              </w:rPr>
              <w:t>M</w:t>
            </w:r>
          </w:p>
        </w:tc>
      </w:tr>
      <w:tr w:rsidR="0040136A" w:rsidRPr="0040136A" w14:paraId="26186FBE" w14:textId="77777777" w:rsidTr="000001EB">
        <w:trPr>
          <w:trHeight w:val="300"/>
        </w:trPr>
        <w:tc>
          <w:tcPr>
            <w:tcW w:w="1064" w:type="dxa"/>
            <w:noWrap/>
            <w:hideMark/>
          </w:tcPr>
          <w:p w14:paraId="2B880027" w14:textId="77777777" w:rsidR="0040136A" w:rsidRPr="0040136A" w:rsidRDefault="0040136A" w:rsidP="0040136A">
            <w:pPr>
              <w:spacing w:before="0"/>
              <w:rPr>
                <w:sz w:val="20"/>
                <w:szCs w:val="20"/>
              </w:rPr>
            </w:pPr>
            <w:r w:rsidRPr="0040136A">
              <w:rPr>
                <w:sz w:val="20"/>
                <w:szCs w:val="20"/>
              </w:rPr>
              <w:t>10901</w:t>
            </w:r>
          </w:p>
        </w:tc>
        <w:tc>
          <w:tcPr>
            <w:tcW w:w="4050" w:type="dxa"/>
            <w:noWrap/>
            <w:hideMark/>
          </w:tcPr>
          <w:p w14:paraId="1B7AA9EB" w14:textId="6BA31859" w:rsidR="0040136A" w:rsidRPr="0040136A" w:rsidRDefault="0040136A" w:rsidP="0040136A">
            <w:pPr>
              <w:spacing w:before="0"/>
              <w:rPr>
                <w:sz w:val="20"/>
                <w:szCs w:val="20"/>
              </w:rPr>
            </w:pPr>
            <w:r w:rsidRPr="0040136A">
              <w:rPr>
                <w:sz w:val="20"/>
                <w:szCs w:val="20"/>
              </w:rPr>
              <w:t>Agriculture, Food &amp; Natural Resource Systems</w:t>
            </w:r>
          </w:p>
        </w:tc>
        <w:tc>
          <w:tcPr>
            <w:tcW w:w="4050" w:type="dxa"/>
            <w:noWrap/>
            <w:hideMark/>
          </w:tcPr>
          <w:p w14:paraId="4BD5565D" w14:textId="77777777" w:rsidR="0040136A" w:rsidRPr="0040136A" w:rsidRDefault="0040136A" w:rsidP="0040136A">
            <w:pPr>
              <w:spacing w:before="0"/>
              <w:rPr>
                <w:sz w:val="20"/>
                <w:szCs w:val="20"/>
              </w:rPr>
            </w:pPr>
            <w:r w:rsidRPr="0040136A">
              <w:rPr>
                <w:sz w:val="20"/>
                <w:szCs w:val="20"/>
              </w:rPr>
              <w:t>Animal Systems</w:t>
            </w:r>
          </w:p>
        </w:tc>
        <w:tc>
          <w:tcPr>
            <w:tcW w:w="906" w:type="dxa"/>
            <w:noWrap/>
            <w:hideMark/>
          </w:tcPr>
          <w:p w14:paraId="525F1E40" w14:textId="77777777" w:rsidR="0040136A" w:rsidRPr="0040136A" w:rsidRDefault="0040136A" w:rsidP="0040136A">
            <w:pPr>
              <w:spacing w:before="0"/>
              <w:rPr>
                <w:sz w:val="20"/>
                <w:szCs w:val="20"/>
              </w:rPr>
            </w:pPr>
            <w:r w:rsidRPr="0040136A">
              <w:rPr>
                <w:sz w:val="20"/>
                <w:szCs w:val="20"/>
              </w:rPr>
              <w:t>M</w:t>
            </w:r>
          </w:p>
        </w:tc>
      </w:tr>
      <w:tr w:rsidR="0040136A" w:rsidRPr="0040136A" w14:paraId="15E77585" w14:textId="77777777" w:rsidTr="000001EB">
        <w:trPr>
          <w:trHeight w:val="300"/>
        </w:trPr>
        <w:tc>
          <w:tcPr>
            <w:tcW w:w="1064" w:type="dxa"/>
            <w:noWrap/>
            <w:hideMark/>
          </w:tcPr>
          <w:p w14:paraId="1283947B" w14:textId="77777777" w:rsidR="0040136A" w:rsidRPr="0040136A" w:rsidRDefault="0040136A" w:rsidP="0040136A">
            <w:pPr>
              <w:spacing w:before="0"/>
              <w:rPr>
                <w:sz w:val="20"/>
                <w:szCs w:val="20"/>
              </w:rPr>
            </w:pPr>
            <w:r w:rsidRPr="0040136A">
              <w:rPr>
                <w:sz w:val="20"/>
                <w:szCs w:val="20"/>
              </w:rPr>
              <w:t>30101</w:t>
            </w:r>
          </w:p>
        </w:tc>
        <w:tc>
          <w:tcPr>
            <w:tcW w:w="4050" w:type="dxa"/>
            <w:noWrap/>
            <w:hideMark/>
          </w:tcPr>
          <w:p w14:paraId="5CE3FEF6" w14:textId="2DFD8962" w:rsidR="0040136A" w:rsidRPr="0040136A" w:rsidRDefault="0040136A" w:rsidP="0040136A">
            <w:pPr>
              <w:spacing w:before="0"/>
              <w:rPr>
                <w:sz w:val="20"/>
                <w:szCs w:val="20"/>
              </w:rPr>
            </w:pPr>
            <w:r w:rsidRPr="0040136A">
              <w:rPr>
                <w:sz w:val="20"/>
                <w:szCs w:val="20"/>
              </w:rPr>
              <w:t>Agriculture, Food &amp; Natural Resource Systems</w:t>
            </w:r>
          </w:p>
        </w:tc>
        <w:tc>
          <w:tcPr>
            <w:tcW w:w="4050" w:type="dxa"/>
            <w:noWrap/>
            <w:hideMark/>
          </w:tcPr>
          <w:p w14:paraId="31B8F9C3" w14:textId="77777777" w:rsidR="0040136A" w:rsidRPr="0040136A" w:rsidRDefault="0040136A" w:rsidP="0040136A">
            <w:pPr>
              <w:spacing w:before="0"/>
              <w:rPr>
                <w:sz w:val="20"/>
                <w:szCs w:val="20"/>
              </w:rPr>
            </w:pPr>
            <w:r w:rsidRPr="0040136A">
              <w:rPr>
                <w:sz w:val="20"/>
                <w:szCs w:val="20"/>
              </w:rPr>
              <w:t>Natural Resources Systems</w:t>
            </w:r>
          </w:p>
        </w:tc>
        <w:tc>
          <w:tcPr>
            <w:tcW w:w="906" w:type="dxa"/>
            <w:noWrap/>
            <w:hideMark/>
          </w:tcPr>
          <w:p w14:paraId="205271E1" w14:textId="77777777" w:rsidR="0040136A" w:rsidRPr="0040136A" w:rsidRDefault="0040136A" w:rsidP="0040136A">
            <w:pPr>
              <w:spacing w:before="0"/>
              <w:rPr>
                <w:sz w:val="20"/>
                <w:szCs w:val="20"/>
              </w:rPr>
            </w:pPr>
            <w:r w:rsidRPr="0040136A">
              <w:rPr>
                <w:sz w:val="20"/>
                <w:szCs w:val="20"/>
              </w:rPr>
              <w:t>M</w:t>
            </w:r>
          </w:p>
        </w:tc>
      </w:tr>
      <w:tr w:rsidR="0040136A" w:rsidRPr="0040136A" w14:paraId="0D35A52F" w14:textId="77777777" w:rsidTr="000001EB">
        <w:trPr>
          <w:trHeight w:val="300"/>
        </w:trPr>
        <w:tc>
          <w:tcPr>
            <w:tcW w:w="1064" w:type="dxa"/>
            <w:noWrap/>
            <w:hideMark/>
          </w:tcPr>
          <w:p w14:paraId="6B942C4E" w14:textId="77777777" w:rsidR="0040136A" w:rsidRPr="0040136A" w:rsidRDefault="0040136A" w:rsidP="0040136A">
            <w:pPr>
              <w:spacing w:before="0"/>
              <w:rPr>
                <w:sz w:val="20"/>
                <w:szCs w:val="20"/>
              </w:rPr>
            </w:pPr>
            <w:r w:rsidRPr="0040136A">
              <w:rPr>
                <w:sz w:val="20"/>
                <w:szCs w:val="20"/>
              </w:rPr>
              <w:t>30104</w:t>
            </w:r>
          </w:p>
        </w:tc>
        <w:tc>
          <w:tcPr>
            <w:tcW w:w="4050" w:type="dxa"/>
            <w:noWrap/>
            <w:hideMark/>
          </w:tcPr>
          <w:p w14:paraId="2E74A6FF" w14:textId="09B02D7D" w:rsidR="0040136A" w:rsidRPr="0040136A" w:rsidRDefault="0040136A" w:rsidP="0040136A">
            <w:pPr>
              <w:spacing w:before="0"/>
              <w:rPr>
                <w:sz w:val="20"/>
                <w:szCs w:val="20"/>
              </w:rPr>
            </w:pPr>
            <w:r w:rsidRPr="0040136A">
              <w:rPr>
                <w:sz w:val="20"/>
                <w:szCs w:val="20"/>
              </w:rPr>
              <w:t>Agriculture, Food &amp; Natural Resource Systems</w:t>
            </w:r>
          </w:p>
        </w:tc>
        <w:tc>
          <w:tcPr>
            <w:tcW w:w="4050" w:type="dxa"/>
            <w:noWrap/>
            <w:hideMark/>
          </w:tcPr>
          <w:p w14:paraId="4C374573" w14:textId="77777777" w:rsidR="0040136A" w:rsidRPr="0040136A" w:rsidRDefault="0040136A" w:rsidP="0040136A">
            <w:pPr>
              <w:spacing w:before="0"/>
              <w:rPr>
                <w:sz w:val="20"/>
                <w:szCs w:val="20"/>
              </w:rPr>
            </w:pPr>
            <w:r w:rsidRPr="0040136A">
              <w:rPr>
                <w:sz w:val="20"/>
                <w:szCs w:val="20"/>
              </w:rPr>
              <w:t>Environmental Services</w:t>
            </w:r>
          </w:p>
        </w:tc>
        <w:tc>
          <w:tcPr>
            <w:tcW w:w="906" w:type="dxa"/>
            <w:noWrap/>
            <w:hideMark/>
          </w:tcPr>
          <w:p w14:paraId="7F702B2F" w14:textId="77777777" w:rsidR="0040136A" w:rsidRPr="0040136A" w:rsidRDefault="0040136A" w:rsidP="0040136A">
            <w:pPr>
              <w:spacing w:before="0"/>
              <w:rPr>
                <w:sz w:val="20"/>
                <w:szCs w:val="20"/>
              </w:rPr>
            </w:pPr>
            <w:r w:rsidRPr="0040136A">
              <w:rPr>
                <w:sz w:val="20"/>
                <w:szCs w:val="20"/>
              </w:rPr>
              <w:t>M</w:t>
            </w:r>
          </w:p>
        </w:tc>
      </w:tr>
      <w:tr w:rsidR="0040136A" w:rsidRPr="0040136A" w14:paraId="0FD2AE57" w14:textId="77777777" w:rsidTr="000001EB">
        <w:trPr>
          <w:trHeight w:val="300"/>
        </w:trPr>
        <w:tc>
          <w:tcPr>
            <w:tcW w:w="1064" w:type="dxa"/>
            <w:noWrap/>
            <w:hideMark/>
          </w:tcPr>
          <w:p w14:paraId="5E0EC055" w14:textId="77777777" w:rsidR="0040136A" w:rsidRPr="0040136A" w:rsidRDefault="0040136A" w:rsidP="0040136A">
            <w:pPr>
              <w:spacing w:before="0"/>
              <w:rPr>
                <w:sz w:val="20"/>
                <w:szCs w:val="20"/>
              </w:rPr>
            </w:pPr>
            <w:r w:rsidRPr="0040136A">
              <w:rPr>
                <w:sz w:val="20"/>
                <w:szCs w:val="20"/>
              </w:rPr>
              <w:t>30501</w:t>
            </w:r>
          </w:p>
        </w:tc>
        <w:tc>
          <w:tcPr>
            <w:tcW w:w="4050" w:type="dxa"/>
            <w:noWrap/>
            <w:hideMark/>
          </w:tcPr>
          <w:p w14:paraId="76F568EC" w14:textId="5EE4A7DC" w:rsidR="0040136A" w:rsidRPr="0040136A" w:rsidRDefault="0040136A" w:rsidP="0040136A">
            <w:pPr>
              <w:spacing w:before="0"/>
              <w:rPr>
                <w:sz w:val="20"/>
                <w:szCs w:val="20"/>
              </w:rPr>
            </w:pPr>
            <w:r w:rsidRPr="0040136A">
              <w:rPr>
                <w:sz w:val="20"/>
                <w:szCs w:val="20"/>
              </w:rPr>
              <w:t>Agriculture, Food &amp; Natural Resource Systems</w:t>
            </w:r>
          </w:p>
        </w:tc>
        <w:tc>
          <w:tcPr>
            <w:tcW w:w="4050" w:type="dxa"/>
            <w:noWrap/>
            <w:hideMark/>
          </w:tcPr>
          <w:p w14:paraId="3FC72317" w14:textId="77777777" w:rsidR="0040136A" w:rsidRPr="0040136A" w:rsidRDefault="0040136A" w:rsidP="0040136A">
            <w:pPr>
              <w:spacing w:before="0"/>
              <w:rPr>
                <w:sz w:val="20"/>
                <w:szCs w:val="20"/>
              </w:rPr>
            </w:pPr>
            <w:r w:rsidRPr="0040136A">
              <w:rPr>
                <w:sz w:val="20"/>
                <w:szCs w:val="20"/>
              </w:rPr>
              <w:t>Forestry &amp; Forest Products</w:t>
            </w:r>
          </w:p>
        </w:tc>
        <w:tc>
          <w:tcPr>
            <w:tcW w:w="906" w:type="dxa"/>
            <w:noWrap/>
            <w:hideMark/>
          </w:tcPr>
          <w:p w14:paraId="5599FED9" w14:textId="77777777" w:rsidR="0040136A" w:rsidRPr="0040136A" w:rsidRDefault="0040136A" w:rsidP="0040136A">
            <w:pPr>
              <w:spacing w:before="0"/>
              <w:rPr>
                <w:sz w:val="20"/>
                <w:szCs w:val="20"/>
              </w:rPr>
            </w:pPr>
            <w:r w:rsidRPr="0040136A">
              <w:rPr>
                <w:sz w:val="20"/>
                <w:szCs w:val="20"/>
              </w:rPr>
              <w:t>M</w:t>
            </w:r>
          </w:p>
        </w:tc>
      </w:tr>
      <w:tr w:rsidR="0040136A" w:rsidRPr="0040136A" w14:paraId="48BC6F2B" w14:textId="77777777" w:rsidTr="000001EB">
        <w:trPr>
          <w:trHeight w:val="300"/>
        </w:trPr>
        <w:tc>
          <w:tcPr>
            <w:tcW w:w="1064" w:type="dxa"/>
            <w:noWrap/>
            <w:hideMark/>
          </w:tcPr>
          <w:p w14:paraId="2076FB7A" w14:textId="77777777" w:rsidR="0040136A" w:rsidRPr="0040136A" w:rsidRDefault="0040136A" w:rsidP="0040136A">
            <w:pPr>
              <w:spacing w:before="0"/>
              <w:rPr>
                <w:sz w:val="20"/>
                <w:szCs w:val="20"/>
              </w:rPr>
            </w:pPr>
            <w:r w:rsidRPr="0040136A">
              <w:rPr>
                <w:sz w:val="20"/>
                <w:szCs w:val="20"/>
              </w:rPr>
              <w:t>110103</w:t>
            </w:r>
          </w:p>
        </w:tc>
        <w:tc>
          <w:tcPr>
            <w:tcW w:w="4050" w:type="dxa"/>
            <w:noWrap/>
            <w:hideMark/>
          </w:tcPr>
          <w:p w14:paraId="0F9A2FD2" w14:textId="34F4307E" w:rsidR="0040136A" w:rsidRPr="0040136A" w:rsidRDefault="0040136A" w:rsidP="0040136A">
            <w:pPr>
              <w:spacing w:before="0"/>
              <w:rPr>
                <w:sz w:val="20"/>
                <w:szCs w:val="20"/>
              </w:rPr>
            </w:pPr>
            <w:r w:rsidRPr="0040136A">
              <w:rPr>
                <w:sz w:val="20"/>
                <w:szCs w:val="20"/>
              </w:rPr>
              <w:t>Information &amp; Communications Technology</w:t>
            </w:r>
          </w:p>
        </w:tc>
        <w:tc>
          <w:tcPr>
            <w:tcW w:w="4050" w:type="dxa"/>
            <w:noWrap/>
            <w:hideMark/>
          </w:tcPr>
          <w:p w14:paraId="29293D1E" w14:textId="77777777" w:rsidR="0040136A" w:rsidRPr="0040136A" w:rsidRDefault="0040136A" w:rsidP="0040136A">
            <w:pPr>
              <w:spacing w:before="0"/>
              <w:rPr>
                <w:sz w:val="20"/>
                <w:szCs w:val="20"/>
              </w:rPr>
            </w:pPr>
            <w:r w:rsidRPr="0040136A">
              <w:rPr>
                <w:sz w:val="20"/>
                <w:szCs w:val="20"/>
              </w:rPr>
              <w:t>Information &amp; Technology, General</w:t>
            </w:r>
          </w:p>
        </w:tc>
        <w:tc>
          <w:tcPr>
            <w:tcW w:w="906" w:type="dxa"/>
            <w:noWrap/>
            <w:hideMark/>
          </w:tcPr>
          <w:p w14:paraId="2E1A79B9" w14:textId="77777777" w:rsidR="0040136A" w:rsidRPr="0040136A" w:rsidRDefault="0040136A" w:rsidP="0040136A">
            <w:pPr>
              <w:spacing w:before="0"/>
              <w:rPr>
                <w:sz w:val="20"/>
                <w:szCs w:val="20"/>
              </w:rPr>
            </w:pPr>
            <w:r w:rsidRPr="0040136A">
              <w:rPr>
                <w:sz w:val="20"/>
                <w:szCs w:val="20"/>
              </w:rPr>
              <w:t>M</w:t>
            </w:r>
          </w:p>
        </w:tc>
      </w:tr>
      <w:tr w:rsidR="0040136A" w:rsidRPr="0040136A" w14:paraId="496BBB40" w14:textId="77777777" w:rsidTr="000001EB">
        <w:trPr>
          <w:trHeight w:val="300"/>
        </w:trPr>
        <w:tc>
          <w:tcPr>
            <w:tcW w:w="1064" w:type="dxa"/>
            <w:noWrap/>
            <w:hideMark/>
          </w:tcPr>
          <w:p w14:paraId="0001B0F9" w14:textId="77777777" w:rsidR="0040136A" w:rsidRPr="0040136A" w:rsidRDefault="0040136A" w:rsidP="0040136A">
            <w:pPr>
              <w:spacing w:before="0"/>
              <w:rPr>
                <w:sz w:val="20"/>
                <w:szCs w:val="20"/>
              </w:rPr>
            </w:pPr>
            <w:r w:rsidRPr="0040136A">
              <w:rPr>
                <w:sz w:val="20"/>
                <w:szCs w:val="20"/>
              </w:rPr>
              <w:t>110201</w:t>
            </w:r>
          </w:p>
        </w:tc>
        <w:tc>
          <w:tcPr>
            <w:tcW w:w="4050" w:type="dxa"/>
            <w:noWrap/>
            <w:hideMark/>
          </w:tcPr>
          <w:p w14:paraId="5BEEE698" w14:textId="32A32DCC" w:rsidR="0040136A" w:rsidRPr="0040136A" w:rsidRDefault="0040136A" w:rsidP="0040136A">
            <w:pPr>
              <w:spacing w:before="0"/>
              <w:rPr>
                <w:sz w:val="20"/>
                <w:szCs w:val="20"/>
              </w:rPr>
            </w:pPr>
            <w:r w:rsidRPr="0040136A">
              <w:rPr>
                <w:sz w:val="20"/>
                <w:szCs w:val="20"/>
              </w:rPr>
              <w:t>Information &amp; Communications Technology</w:t>
            </w:r>
          </w:p>
        </w:tc>
        <w:tc>
          <w:tcPr>
            <w:tcW w:w="4050" w:type="dxa"/>
            <w:noWrap/>
            <w:hideMark/>
          </w:tcPr>
          <w:p w14:paraId="77114084" w14:textId="77777777" w:rsidR="0040136A" w:rsidRPr="0040136A" w:rsidRDefault="0040136A" w:rsidP="0040136A">
            <w:pPr>
              <w:spacing w:before="0"/>
              <w:rPr>
                <w:sz w:val="20"/>
                <w:szCs w:val="20"/>
              </w:rPr>
            </w:pPr>
            <w:r w:rsidRPr="0040136A">
              <w:rPr>
                <w:sz w:val="20"/>
                <w:szCs w:val="20"/>
              </w:rPr>
              <w:t>Programming &amp; Software Development</w:t>
            </w:r>
          </w:p>
        </w:tc>
        <w:tc>
          <w:tcPr>
            <w:tcW w:w="906" w:type="dxa"/>
            <w:noWrap/>
            <w:hideMark/>
          </w:tcPr>
          <w:p w14:paraId="6BE4F3D9" w14:textId="77777777" w:rsidR="0040136A" w:rsidRPr="0040136A" w:rsidRDefault="0040136A" w:rsidP="0040136A">
            <w:pPr>
              <w:spacing w:before="0"/>
              <w:rPr>
                <w:sz w:val="20"/>
                <w:szCs w:val="20"/>
              </w:rPr>
            </w:pPr>
            <w:r w:rsidRPr="0040136A">
              <w:rPr>
                <w:sz w:val="20"/>
                <w:szCs w:val="20"/>
              </w:rPr>
              <w:t>M</w:t>
            </w:r>
          </w:p>
        </w:tc>
      </w:tr>
      <w:tr w:rsidR="0040136A" w:rsidRPr="0040136A" w14:paraId="2445A189" w14:textId="77777777" w:rsidTr="000001EB">
        <w:trPr>
          <w:trHeight w:val="300"/>
        </w:trPr>
        <w:tc>
          <w:tcPr>
            <w:tcW w:w="1064" w:type="dxa"/>
            <w:noWrap/>
            <w:hideMark/>
          </w:tcPr>
          <w:p w14:paraId="44FB63FC" w14:textId="77777777" w:rsidR="0040136A" w:rsidRPr="0040136A" w:rsidRDefault="0040136A" w:rsidP="0040136A">
            <w:pPr>
              <w:spacing w:before="0"/>
              <w:rPr>
                <w:sz w:val="20"/>
                <w:szCs w:val="20"/>
              </w:rPr>
            </w:pPr>
            <w:r w:rsidRPr="0040136A">
              <w:rPr>
                <w:sz w:val="20"/>
                <w:szCs w:val="20"/>
              </w:rPr>
              <w:t>120401</w:t>
            </w:r>
          </w:p>
        </w:tc>
        <w:tc>
          <w:tcPr>
            <w:tcW w:w="4050" w:type="dxa"/>
            <w:noWrap/>
            <w:hideMark/>
          </w:tcPr>
          <w:p w14:paraId="7B379D4D" w14:textId="77777777" w:rsidR="0040136A" w:rsidRPr="0040136A" w:rsidRDefault="0040136A" w:rsidP="0040136A">
            <w:pPr>
              <w:spacing w:before="0"/>
              <w:rPr>
                <w:sz w:val="20"/>
                <w:szCs w:val="20"/>
              </w:rPr>
            </w:pPr>
            <w:r w:rsidRPr="0040136A">
              <w:rPr>
                <w:sz w:val="20"/>
                <w:szCs w:val="20"/>
              </w:rPr>
              <w:t>Human Services</w:t>
            </w:r>
          </w:p>
        </w:tc>
        <w:tc>
          <w:tcPr>
            <w:tcW w:w="4050" w:type="dxa"/>
            <w:noWrap/>
            <w:hideMark/>
          </w:tcPr>
          <w:p w14:paraId="1F9A7C40" w14:textId="77777777" w:rsidR="0040136A" w:rsidRPr="0040136A" w:rsidRDefault="0040136A" w:rsidP="0040136A">
            <w:pPr>
              <w:spacing w:before="0"/>
              <w:rPr>
                <w:sz w:val="20"/>
                <w:szCs w:val="20"/>
              </w:rPr>
            </w:pPr>
            <w:r w:rsidRPr="0040136A">
              <w:rPr>
                <w:sz w:val="20"/>
                <w:szCs w:val="20"/>
              </w:rPr>
              <w:t>Personal Care Services</w:t>
            </w:r>
          </w:p>
        </w:tc>
        <w:tc>
          <w:tcPr>
            <w:tcW w:w="906" w:type="dxa"/>
            <w:noWrap/>
            <w:hideMark/>
          </w:tcPr>
          <w:p w14:paraId="049D5EAC" w14:textId="77777777" w:rsidR="0040136A" w:rsidRPr="0040136A" w:rsidRDefault="0040136A" w:rsidP="0040136A">
            <w:pPr>
              <w:spacing w:before="0"/>
              <w:rPr>
                <w:sz w:val="20"/>
                <w:szCs w:val="20"/>
              </w:rPr>
            </w:pPr>
            <w:r w:rsidRPr="0040136A">
              <w:rPr>
                <w:sz w:val="20"/>
                <w:szCs w:val="20"/>
              </w:rPr>
              <w:t>F</w:t>
            </w:r>
          </w:p>
        </w:tc>
      </w:tr>
      <w:tr w:rsidR="0040136A" w:rsidRPr="0040136A" w14:paraId="32E130C8" w14:textId="77777777" w:rsidTr="000001EB">
        <w:trPr>
          <w:trHeight w:val="300"/>
        </w:trPr>
        <w:tc>
          <w:tcPr>
            <w:tcW w:w="1064" w:type="dxa"/>
            <w:noWrap/>
            <w:hideMark/>
          </w:tcPr>
          <w:p w14:paraId="1E52CF53" w14:textId="77777777" w:rsidR="0040136A" w:rsidRPr="0040136A" w:rsidRDefault="0040136A" w:rsidP="0040136A">
            <w:pPr>
              <w:spacing w:before="0"/>
              <w:rPr>
                <w:sz w:val="20"/>
                <w:szCs w:val="20"/>
              </w:rPr>
            </w:pPr>
            <w:r w:rsidRPr="0040136A">
              <w:rPr>
                <w:sz w:val="20"/>
                <w:szCs w:val="20"/>
              </w:rPr>
              <w:t>131206</w:t>
            </w:r>
          </w:p>
        </w:tc>
        <w:tc>
          <w:tcPr>
            <w:tcW w:w="4050" w:type="dxa"/>
            <w:noWrap/>
            <w:hideMark/>
          </w:tcPr>
          <w:p w14:paraId="69E872B9" w14:textId="77777777" w:rsidR="0040136A" w:rsidRPr="0040136A" w:rsidRDefault="0040136A" w:rsidP="0040136A">
            <w:pPr>
              <w:spacing w:before="0"/>
              <w:rPr>
                <w:sz w:val="20"/>
                <w:szCs w:val="20"/>
              </w:rPr>
            </w:pPr>
            <w:r w:rsidRPr="0040136A">
              <w:rPr>
                <w:sz w:val="20"/>
                <w:szCs w:val="20"/>
              </w:rPr>
              <w:t>Education &amp; Training</w:t>
            </w:r>
          </w:p>
        </w:tc>
        <w:tc>
          <w:tcPr>
            <w:tcW w:w="4050" w:type="dxa"/>
            <w:noWrap/>
            <w:hideMark/>
          </w:tcPr>
          <w:p w14:paraId="15861FAA" w14:textId="77777777" w:rsidR="0040136A" w:rsidRPr="0040136A" w:rsidRDefault="0040136A" w:rsidP="0040136A">
            <w:pPr>
              <w:spacing w:before="0"/>
              <w:rPr>
                <w:sz w:val="20"/>
                <w:szCs w:val="20"/>
              </w:rPr>
            </w:pPr>
            <w:r w:rsidRPr="0040136A">
              <w:rPr>
                <w:sz w:val="20"/>
                <w:szCs w:val="20"/>
              </w:rPr>
              <w:t>Teacher Education (All Levels)</w:t>
            </w:r>
          </w:p>
        </w:tc>
        <w:tc>
          <w:tcPr>
            <w:tcW w:w="906" w:type="dxa"/>
            <w:noWrap/>
            <w:hideMark/>
          </w:tcPr>
          <w:p w14:paraId="55798B48" w14:textId="77777777" w:rsidR="0040136A" w:rsidRPr="0040136A" w:rsidRDefault="0040136A" w:rsidP="0040136A">
            <w:pPr>
              <w:spacing w:before="0"/>
              <w:rPr>
                <w:sz w:val="20"/>
                <w:szCs w:val="20"/>
              </w:rPr>
            </w:pPr>
            <w:r w:rsidRPr="0040136A">
              <w:rPr>
                <w:sz w:val="20"/>
                <w:szCs w:val="20"/>
              </w:rPr>
              <w:t>F</w:t>
            </w:r>
          </w:p>
        </w:tc>
      </w:tr>
      <w:tr w:rsidR="0040136A" w:rsidRPr="0040136A" w14:paraId="5F4EB5DD" w14:textId="77777777" w:rsidTr="000001EB">
        <w:trPr>
          <w:trHeight w:val="300"/>
        </w:trPr>
        <w:tc>
          <w:tcPr>
            <w:tcW w:w="1064" w:type="dxa"/>
            <w:noWrap/>
            <w:hideMark/>
          </w:tcPr>
          <w:p w14:paraId="04194A84" w14:textId="77777777" w:rsidR="0040136A" w:rsidRPr="0040136A" w:rsidRDefault="0040136A" w:rsidP="0040136A">
            <w:pPr>
              <w:spacing w:before="0"/>
              <w:rPr>
                <w:sz w:val="20"/>
                <w:szCs w:val="20"/>
              </w:rPr>
            </w:pPr>
            <w:r w:rsidRPr="0040136A">
              <w:rPr>
                <w:sz w:val="20"/>
                <w:szCs w:val="20"/>
              </w:rPr>
              <w:t>131210</w:t>
            </w:r>
          </w:p>
        </w:tc>
        <w:tc>
          <w:tcPr>
            <w:tcW w:w="4050" w:type="dxa"/>
            <w:noWrap/>
            <w:hideMark/>
          </w:tcPr>
          <w:p w14:paraId="594C65F8" w14:textId="77777777" w:rsidR="0040136A" w:rsidRPr="0040136A" w:rsidRDefault="0040136A" w:rsidP="0040136A">
            <w:pPr>
              <w:spacing w:before="0"/>
              <w:rPr>
                <w:sz w:val="20"/>
                <w:szCs w:val="20"/>
              </w:rPr>
            </w:pPr>
            <w:r w:rsidRPr="0040136A">
              <w:rPr>
                <w:sz w:val="20"/>
                <w:szCs w:val="20"/>
              </w:rPr>
              <w:t>Education &amp; Training</w:t>
            </w:r>
          </w:p>
        </w:tc>
        <w:tc>
          <w:tcPr>
            <w:tcW w:w="4050" w:type="dxa"/>
            <w:noWrap/>
            <w:hideMark/>
          </w:tcPr>
          <w:p w14:paraId="62F0C7E3" w14:textId="77777777" w:rsidR="0040136A" w:rsidRPr="0040136A" w:rsidRDefault="0040136A" w:rsidP="0040136A">
            <w:pPr>
              <w:spacing w:before="0"/>
              <w:rPr>
                <w:sz w:val="20"/>
                <w:szCs w:val="20"/>
              </w:rPr>
            </w:pPr>
            <w:r w:rsidRPr="0040136A">
              <w:rPr>
                <w:sz w:val="20"/>
                <w:szCs w:val="20"/>
              </w:rPr>
              <w:t>Early Childhood Education</w:t>
            </w:r>
          </w:p>
        </w:tc>
        <w:tc>
          <w:tcPr>
            <w:tcW w:w="906" w:type="dxa"/>
            <w:noWrap/>
            <w:hideMark/>
          </w:tcPr>
          <w:p w14:paraId="4A3145C7" w14:textId="77777777" w:rsidR="0040136A" w:rsidRPr="0040136A" w:rsidRDefault="0040136A" w:rsidP="0040136A">
            <w:pPr>
              <w:spacing w:before="0"/>
              <w:rPr>
                <w:sz w:val="20"/>
                <w:szCs w:val="20"/>
              </w:rPr>
            </w:pPr>
            <w:r w:rsidRPr="0040136A">
              <w:rPr>
                <w:sz w:val="20"/>
                <w:szCs w:val="20"/>
              </w:rPr>
              <w:t>F</w:t>
            </w:r>
          </w:p>
        </w:tc>
      </w:tr>
      <w:tr w:rsidR="0040136A" w:rsidRPr="0040136A" w14:paraId="2C82ABB5" w14:textId="77777777" w:rsidTr="000001EB">
        <w:trPr>
          <w:trHeight w:val="300"/>
        </w:trPr>
        <w:tc>
          <w:tcPr>
            <w:tcW w:w="1064" w:type="dxa"/>
            <w:noWrap/>
            <w:hideMark/>
          </w:tcPr>
          <w:p w14:paraId="69A3BF91" w14:textId="77777777" w:rsidR="0040136A" w:rsidRPr="0040136A" w:rsidRDefault="0040136A" w:rsidP="0040136A">
            <w:pPr>
              <w:spacing w:before="0"/>
              <w:rPr>
                <w:sz w:val="20"/>
                <w:szCs w:val="20"/>
              </w:rPr>
            </w:pPr>
            <w:r w:rsidRPr="0040136A">
              <w:rPr>
                <w:sz w:val="20"/>
                <w:szCs w:val="20"/>
              </w:rPr>
              <w:t>140101</w:t>
            </w:r>
          </w:p>
        </w:tc>
        <w:tc>
          <w:tcPr>
            <w:tcW w:w="4050" w:type="dxa"/>
            <w:noWrap/>
            <w:hideMark/>
          </w:tcPr>
          <w:p w14:paraId="49F9072D" w14:textId="77777777" w:rsidR="0040136A" w:rsidRPr="0040136A" w:rsidRDefault="0040136A" w:rsidP="0040136A">
            <w:pPr>
              <w:spacing w:before="0"/>
              <w:rPr>
                <w:sz w:val="20"/>
                <w:szCs w:val="20"/>
              </w:rPr>
            </w:pPr>
            <w:r w:rsidRPr="0040136A">
              <w:rPr>
                <w:sz w:val="20"/>
                <w:szCs w:val="20"/>
              </w:rPr>
              <w:t>Engineering Technology</w:t>
            </w:r>
          </w:p>
        </w:tc>
        <w:tc>
          <w:tcPr>
            <w:tcW w:w="4050" w:type="dxa"/>
            <w:noWrap/>
            <w:hideMark/>
          </w:tcPr>
          <w:p w14:paraId="71951998" w14:textId="77777777" w:rsidR="0040136A" w:rsidRPr="0040136A" w:rsidRDefault="0040136A" w:rsidP="0040136A">
            <w:pPr>
              <w:spacing w:before="0"/>
              <w:rPr>
                <w:sz w:val="20"/>
                <w:szCs w:val="20"/>
              </w:rPr>
            </w:pPr>
            <w:r w:rsidRPr="0040136A">
              <w:rPr>
                <w:sz w:val="20"/>
                <w:szCs w:val="20"/>
              </w:rPr>
              <w:t>Engineering Technology, General</w:t>
            </w:r>
          </w:p>
        </w:tc>
        <w:tc>
          <w:tcPr>
            <w:tcW w:w="906" w:type="dxa"/>
            <w:noWrap/>
            <w:hideMark/>
          </w:tcPr>
          <w:p w14:paraId="0003CAAB" w14:textId="77777777" w:rsidR="0040136A" w:rsidRPr="0040136A" w:rsidRDefault="0040136A" w:rsidP="0040136A">
            <w:pPr>
              <w:spacing w:before="0"/>
              <w:rPr>
                <w:sz w:val="20"/>
                <w:szCs w:val="20"/>
              </w:rPr>
            </w:pPr>
            <w:r w:rsidRPr="0040136A">
              <w:rPr>
                <w:sz w:val="20"/>
                <w:szCs w:val="20"/>
              </w:rPr>
              <w:t>M</w:t>
            </w:r>
          </w:p>
        </w:tc>
      </w:tr>
      <w:tr w:rsidR="0040136A" w:rsidRPr="0040136A" w14:paraId="227F2D59" w14:textId="77777777" w:rsidTr="000001EB">
        <w:trPr>
          <w:trHeight w:val="300"/>
        </w:trPr>
        <w:tc>
          <w:tcPr>
            <w:tcW w:w="1064" w:type="dxa"/>
            <w:noWrap/>
            <w:hideMark/>
          </w:tcPr>
          <w:p w14:paraId="2C021154" w14:textId="77777777" w:rsidR="0040136A" w:rsidRPr="0040136A" w:rsidRDefault="0040136A" w:rsidP="0040136A">
            <w:pPr>
              <w:spacing w:before="0"/>
              <w:rPr>
                <w:sz w:val="20"/>
                <w:szCs w:val="20"/>
              </w:rPr>
            </w:pPr>
            <w:r w:rsidRPr="0040136A">
              <w:rPr>
                <w:sz w:val="20"/>
                <w:szCs w:val="20"/>
              </w:rPr>
              <w:t>144201</w:t>
            </w:r>
          </w:p>
        </w:tc>
        <w:tc>
          <w:tcPr>
            <w:tcW w:w="4050" w:type="dxa"/>
            <w:noWrap/>
            <w:hideMark/>
          </w:tcPr>
          <w:p w14:paraId="665F8B42" w14:textId="77777777" w:rsidR="0040136A" w:rsidRPr="0040136A" w:rsidRDefault="0040136A" w:rsidP="0040136A">
            <w:pPr>
              <w:spacing w:before="0"/>
              <w:rPr>
                <w:sz w:val="20"/>
                <w:szCs w:val="20"/>
              </w:rPr>
            </w:pPr>
            <w:r w:rsidRPr="0040136A">
              <w:rPr>
                <w:sz w:val="20"/>
                <w:szCs w:val="20"/>
              </w:rPr>
              <w:t>Engineering Technology</w:t>
            </w:r>
          </w:p>
        </w:tc>
        <w:tc>
          <w:tcPr>
            <w:tcW w:w="4050" w:type="dxa"/>
            <w:noWrap/>
            <w:hideMark/>
          </w:tcPr>
          <w:p w14:paraId="7A6E4CF6" w14:textId="77777777" w:rsidR="0040136A" w:rsidRPr="0040136A" w:rsidRDefault="0040136A" w:rsidP="0040136A">
            <w:pPr>
              <w:spacing w:before="0"/>
              <w:rPr>
                <w:sz w:val="20"/>
                <w:szCs w:val="20"/>
              </w:rPr>
            </w:pPr>
            <w:r w:rsidRPr="0040136A">
              <w:rPr>
                <w:sz w:val="20"/>
                <w:szCs w:val="20"/>
              </w:rPr>
              <w:t>Mechatronics</w:t>
            </w:r>
          </w:p>
        </w:tc>
        <w:tc>
          <w:tcPr>
            <w:tcW w:w="906" w:type="dxa"/>
            <w:noWrap/>
            <w:hideMark/>
          </w:tcPr>
          <w:p w14:paraId="748B63C3" w14:textId="77777777" w:rsidR="0040136A" w:rsidRPr="0040136A" w:rsidRDefault="0040136A" w:rsidP="0040136A">
            <w:pPr>
              <w:spacing w:before="0"/>
              <w:rPr>
                <w:sz w:val="20"/>
                <w:szCs w:val="20"/>
              </w:rPr>
            </w:pPr>
            <w:r w:rsidRPr="0040136A">
              <w:rPr>
                <w:sz w:val="20"/>
                <w:szCs w:val="20"/>
              </w:rPr>
              <w:t>M</w:t>
            </w:r>
          </w:p>
        </w:tc>
      </w:tr>
      <w:tr w:rsidR="0040136A" w:rsidRPr="0040136A" w14:paraId="7F1CF1EC" w14:textId="77777777" w:rsidTr="000001EB">
        <w:trPr>
          <w:trHeight w:val="300"/>
        </w:trPr>
        <w:tc>
          <w:tcPr>
            <w:tcW w:w="1064" w:type="dxa"/>
            <w:noWrap/>
            <w:hideMark/>
          </w:tcPr>
          <w:p w14:paraId="03FB6C67" w14:textId="77777777" w:rsidR="0040136A" w:rsidRPr="0040136A" w:rsidRDefault="0040136A" w:rsidP="0040136A">
            <w:pPr>
              <w:spacing w:before="0"/>
              <w:rPr>
                <w:sz w:val="20"/>
                <w:szCs w:val="20"/>
              </w:rPr>
            </w:pPr>
            <w:r w:rsidRPr="0040136A">
              <w:rPr>
                <w:sz w:val="20"/>
                <w:szCs w:val="20"/>
              </w:rPr>
              <w:t>150399</w:t>
            </w:r>
          </w:p>
        </w:tc>
        <w:tc>
          <w:tcPr>
            <w:tcW w:w="4050" w:type="dxa"/>
            <w:noWrap/>
            <w:hideMark/>
          </w:tcPr>
          <w:p w14:paraId="5F7A6051" w14:textId="77777777" w:rsidR="0040136A" w:rsidRPr="0040136A" w:rsidRDefault="0040136A" w:rsidP="0040136A">
            <w:pPr>
              <w:spacing w:before="0"/>
              <w:rPr>
                <w:sz w:val="20"/>
                <w:szCs w:val="20"/>
              </w:rPr>
            </w:pPr>
            <w:r w:rsidRPr="0040136A">
              <w:rPr>
                <w:sz w:val="20"/>
                <w:szCs w:val="20"/>
              </w:rPr>
              <w:t>Engineering Technology</w:t>
            </w:r>
          </w:p>
        </w:tc>
        <w:tc>
          <w:tcPr>
            <w:tcW w:w="4050" w:type="dxa"/>
            <w:noWrap/>
            <w:hideMark/>
          </w:tcPr>
          <w:p w14:paraId="74CDE667" w14:textId="77777777" w:rsidR="0040136A" w:rsidRPr="0040136A" w:rsidRDefault="0040136A" w:rsidP="0040136A">
            <w:pPr>
              <w:spacing w:before="0"/>
              <w:rPr>
                <w:sz w:val="20"/>
                <w:szCs w:val="20"/>
              </w:rPr>
            </w:pPr>
            <w:r w:rsidRPr="0040136A">
              <w:rPr>
                <w:sz w:val="20"/>
                <w:szCs w:val="20"/>
              </w:rPr>
              <w:t>Electrical Systems</w:t>
            </w:r>
          </w:p>
        </w:tc>
        <w:tc>
          <w:tcPr>
            <w:tcW w:w="906" w:type="dxa"/>
            <w:noWrap/>
            <w:hideMark/>
          </w:tcPr>
          <w:p w14:paraId="1A0CFB9A" w14:textId="77777777" w:rsidR="0040136A" w:rsidRPr="0040136A" w:rsidRDefault="0040136A" w:rsidP="0040136A">
            <w:pPr>
              <w:spacing w:before="0"/>
              <w:rPr>
                <w:sz w:val="20"/>
                <w:szCs w:val="20"/>
              </w:rPr>
            </w:pPr>
            <w:r w:rsidRPr="0040136A">
              <w:rPr>
                <w:sz w:val="20"/>
                <w:szCs w:val="20"/>
              </w:rPr>
              <w:t>M</w:t>
            </w:r>
          </w:p>
        </w:tc>
      </w:tr>
      <w:tr w:rsidR="0040136A" w:rsidRPr="0040136A" w14:paraId="482C5902" w14:textId="77777777" w:rsidTr="000001EB">
        <w:trPr>
          <w:trHeight w:val="300"/>
        </w:trPr>
        <w:tc>
          <w:tcPr>
            <w:tcW w:w="1064" w:type="dxa"/>
            <w:noWrap/>
            <w:hideMark/>
          </w:tcPr>
          <w:p w14:paraId="1479E6AB" w14:textId="77777777" w:rsidR="0040136A" w:rsidRPr="0040136A" w:rsidRDefault="0040136A" w:rsidP="0040136A">
            <w:pPr>
              <w:spacing w:before="0"/>
              <w:rPr>
                <w:sz w:val="20"/>
                <w:szCs w:val="20"/>
              </w:rPr>
            </w:pPr>
            <w:r w:rsidRPr="0040136A">
              <w:rPr>
                <w:sz w:val="20"/>
                <w:szCs w:val="20"/>
              </w:rPr>
              <w:t>150805</w:t>
            </w:r>
          </w:p>
        </w:tc>
        <w:tc>
          <w:tcPr>
            <w:tcW w:w="4050" w:type="dxa"/>
            <w:noWrap/>
            <w:hideMark/>
          </w:tcPr>
          <w:p w14:paraId="2392F262" w14:textId="77777777" w:rsidR="0040136A" w:rsidRPr="0040136A" w:rsidRDefault="0040136A" w:rsidP="0040136A">
            <w:pPr>
              <w:spacing w:before="0"/>
              <w:rPr>
                <w:sz w:val="20"/>
                <w:szCs w:val="20"/>
              </w:rPr>
            </w:pPr>
            <w:r w:rsidRPr="0040136A">
              <w:rPr>
                <w:sz w:val="20"/>
                <w:szCs w:val="20"/>
              </w:rPr>
              <w:t>Engineering Technology</w:t>
            </w:r>
          </w:p>
        </w:tc>
        <w:tc>
          <w:tcPr>
            <w:tcW w:w="4050" w:type="dxa"/>
            <w:noWrap/>
            <w:hideMark/>
          </w:tcPr>
          <w:p w14:paraId="57695F49" w14:textId="77777777" w:rsidR="0040136A" w:rsidRPr="0040136A" w:rsidRDefault="0040136A" w:rsidP="0040136A">
            <w:pPr>
              <w:spacing w:before="0"/>
              <w:rPr>
                <w:sz w:val="20"/>
                <w:szCs w:val="20"/>
              </w:rPr>
            </w:pPr>
            <w:r w:rsidRPr="0040136A">
              <w:rPr>
                <w:sz w:val="20"/>
                <w:szCs w:val="20"/>
              </w:rPr>
              <w:t>Mechanical Systems</w:t>
            </w:r>
          </w:p>
        </w:tc>
        <w:tc>
          <w:tcPr>
            <w:tcW w:w="906" w:type="dxa"/>
            <w:noWrap/>
            <w:hideMark/>
          </w:tcPr>
          <w:p w14:paraId="00794A84" w14:textId="77777777" w:rsidR="0040136A" w:rsidRPr="0040136A" w:rsidRDefault="0040136A" w:rsidP="0040136A">
            <w:pPr>
              <w:spacing w:before="0"/>
              <w:rPr>
                <w:sz w:val="20"/>
                <w:szCs w:val="20"/>
              </w:rPr>
            </w:pPr>
            <w:r w:rsidRPr="0040136A">
              <w:rPr>
                <w:sz w:val="20"/>
                <w:szCs w:val="20"/>
              </w:rPr>
              <w:t>M</w:t>
            </w:r>
          </w:p>
        </w:tc>
      </w:tr>
      <w:tr w:rsidR="0040136A" w:rsidRPr="0040136A" w14:paraId="7AD9BF61" w14:textId="77777777" w:rsidTr="000001EB">
        <w:trPr>
          <w:trHeight w:val="300"/>
        </w:trPr>
        <w:tc>
          <w:tcPr>
            <w:tcW w:w="1064" w:type="dxa"/>
            <w:noWrap/>
            <w:hideMark/>
          </w:tcPr>
          <w:p w14:paraId="685F7E43" w14:textId="77777777" w:rsidR="0040136A" w:rsidRPr="0040136A" w:rsidRDefault="0040136A" w:rsidP="0040136A">
            <w:pPr>
              <w:spacing w:before="0"/>
              <w:rPr>
                <w:sz w:val="20"/>
                <w:szCs w:val="20"/>
              </w:rPr>
            </w:pPr>
            <w:r w:rsidRPr="0040136A">
              <w:rPr>
                <w:sz w:val="20"/>
                <w:szCs w:val="20"/>
              </w:rPr>
              <w:t>151301</w:t>
            </w:r>
          </w:p>
        </w:tc>
        <w:tc>
          <w:tcPr>
            <w:tcW w:w="4050" w:type="dxa"/>
            <w:noWrap/>
            <w:hideMark/>
          </w:tcPr>
          <w:p w14:paraId="327BC228" w14:textId="77777777" w:rsidR="0040136A" w:rsidRPr="0040136A" w:rsidRDefault="0040136A" w:rsidP="0040136A">
            <w:pPr>
              <w:spacing w:before="0"/>
              <w:rPr>
                <w:sz w:val="20"/>
                <w:szCs w:val="20"/>
              </w:rPr>
            </w:pPr>
            <w:r w:rsidRPr="0040136A">
              <w:rPr>
                <w:sz w:val="20"/>
                <w:szCs w:val="20"/>
              </w:rPr>
              <w:t>Architecture &amp; Construction</w:t>
            </w:r>
          </w:p>
        </w:tc>
        <w:tc>
          <w:tcPr>
            <w:tcW w:w="4050" w:type="dxa"/>
            <w:noWrap/>
            <w:hideMark/>
          </w:tcPr>
          <w:p w14:paraId="50D44EFF" w14:textId="77777777" w:rsidR="0040136A" w:rsidRPr="0040136A" w:rsidRDefault="0040136A" w:rsidP="0040136A">
            <w:pPr>
              <w:spacing w:before="0"/>
              <w:rPr>
                <w:sz w:val="20"/>
                <w:szCs w:val="20"/>
              </w:rPr>
            </w:pPr>
            <w:r w:rsidRPr="0040136A">
              <w:rPr>
                <w:sz w:val="20"/>
                <w:szCs w:val="20"/>
              </w:rPr>
              <w:t>Design/Pre-Construction</w:t>
            </w:r>
          </w:p>
        </w:tc>
        <w:tc>
          <w:tcPr>
            <w:tcW w:w="906" w:type="dxa"/>
            <w:noWrap/>
            <w:hideMark/>
          </w:tcPr>
          <w:p w14:paraId="7BE77E00" w14:textId="77777777" w:rsidR="0040136A" w:rsidRPr="0040136A" w:rsidRDefault="0040136A" w:rsidP="0040136A">
            <w:pPr>
              <w:spacing w:before="0"/>
              <w:rPr>
                <w:sz w:val="20"/>
                <w:szCs w:val="20"/>
              </w:rPr>
            </w:pPr>
            <w:r w:rsidRPr="0040136A">
              <w:rPr>
                <w:sz w:val="20"/>
                <w:szCs w:val="20"/>
              </w:rPr>
              <w:t>M</w:t>
            </w:r>
          </w:p>
        </w:tc>
      </w:tr>
      <w:tr w:rsidR="0040136A" w:rsidRPr="0040136A" w14:paraId="38D12ADD" w14:textId="77777777" w:rsidTr="000001EB">
        <w:trPr>
          <w:trHeight w:val="300"/>
        </w:trPr>
        <w:tc>
          <w:tcPr>
            <w:tcW w:w="1064" w:type="dxa"/>
            <w:noWrap/>
            <w:hideMark/>
          </w:tcPr>
          <w:p w14:paraId="0E8FF656" w14:textId="77777777" w:rsidR="0040136A" w:rsidRPr="0040136A" w:rsidRDefault="0040136A" w:rsidP="0040136A">
            <w:pPr>
              <w:spacing w:before="0"/>
              <w:rPr>
                <w:sz w:val="20"/>
                <w:szCs w:val="20"/>
              </w:rPr>
            </w:pPr>
            <w:r w:rsidRPr="0040136A">
              <w:rPr>
                <w:sz w:val="20"/>
                <w:szCs w:val="20"/>
              </w:rPr>
              <w:t>151302</w:t>
            </w:r>
          </w:p>
        </w:tc>
        <w:tc>
          <w:tcPr>
            <w:tcW w:w="4050" w:type="dxa"/>
            <w:noWrap/>
            <w:hideMark/>
          </w:tcPr>
          <w:p w14:paraId="43E9EBBA" w14:textId="77777777" w:rsidR="0040136A" w:rsidRPr="0040136A" w:rsidRDefault="0040136A" w:rsidP="0040136A">
            <w:pPr>
              <w:spacing w:before="0"/>
              <w:rPr>
                <w:sz w:val="20"/>
                <w:szCs w:val="20"/>
              </w:rPr>
            </w:pPr>
            <w:r w:rsidRPr="0040136A">
              <w:rPr>
                <w:sz w:val="20"/>
                <w:szCs w:val="20"/>
              </w:rPr>
              <w:t>Manufacturing</w:t>
            </w:r>
          </w:p>
        </w:tc>
        <w:tc>
          <w:tcPr>
            <w:tcW w:w="4050" w:type="dxa"/>
            <w:noWrap/>
            <w:hideMark/>
          </w:tcPr>
          <w:p w14:paraId="0005180A" w14:textId="77777777" w:rsidR="0040136A" w:rsidRPr="0040136A" w:rsidRDefault="0040136A" w:rsidP="0040136A">
            <w:pPr>
              <w:spacing w:before="0"/>
              <w:rPr>
                <w:sz w:val="20"/>
                <w:szCs w:val="20"/>
              </w:rPr>
            </w:pPr>
            <w:r w:rsidRPr="0040136A">
              <w:rPr>
                <w:sz w:val="20"/>
                <w:szCs w:val="20"/>
              </w:rPr>
              <w:t>Mechanical CAD/Drafting</w:t>
            </w:r>
          </w:p>
        </w:tc>
        <w:tc>
          <w:tcPr>
            <w:tcW w:w="906" w:type="dxa"/>
            <w:noWrap/>
            <w:hideMark/>
          </w:tcPr>
          <w:p w14:paraId="5E77E676" w14:textId="77777777" w:rsidR="0040136A" w:rsidRPr="0040136A" w:rsidRDefault="0040136A" w:rsidP="0040136A">
            <w:pPr>
              <w:spacing w:before="0"/>
              <w:rPr>
                <w:sz w:val="20"/>
                <w:szCs w:val="20"/>
              </w:rPr>
            </w:pPr>
            <w:r w:rsidRPr="0040136A">
              <w:rPr>
                <w:sz w:val="20"/>
                <w:szCs w:val="20"/>
              </w:rPr>
              <w:t>M</w:t>
            </w:r>
          </w:p>
        </w:tc>
      </w:tr>
      <w:tr w:rsidR="0040136A" w:rsidRPr="0040136A" w14:paraId="4550D7AB" w14:textId="77777777" w:rsidTr="000001EB">
        <w:trPr>
          <w:trHeight w:val="300"/>
        </w:trPr>
        <w:tc>
          <w:tcPr>
            <w:tcW w:w="1064" w:type="dxa"/>
            <w:noWrap/>
            <w:hideMark/>
          </w:tcPr>
          <w:p w14:paraId="4B663A80" w14:textId="77777777" w:rsidR="0040136A" w:rsidRPr="0040136A" w:rsidRDefault="0040136A" w:rsidP="0040136A">
            <w:pPr>
              <w:spacing w:before="0"/>
              <w:rPr>
                <w:sz w:val="20"/>
                <w:szCs w:val="20"/>
              </w:rPr>
            </w:pPr>
            <w:r w:rsidRPr="0040136A">
              <w:rPr>
                <w:sz w:val="20"/>
                <w:szCs w:val="20"/>
              </w:rPr>
              <w:t>430104</w:t>
            </w:r>
          </w:p>
        </w:tc>
        <w:tc>
          <w:tcPr>
            <w:tcW w:w="4050" w:type="dxa"/>
            <w:noWrap/>
            <w:hideMark/>
          </w:tcPr>
          <w:p w14:paraId="2BDF0EA7" w14:textId="77777777" w:rsidR="0040136A" w:rsidRPr="0040136A" w:rsidRDefault="0040136A" w:rsidP="0040136A">
            <w:pPr>
              <w:spacing w:before="0"/>
              <w:rPr>
                <w:sz w:val="20"/>
                <w:szCs w:val="20"/>
              </w:rPr>
            </w:pPr>
            <w:r w:rsidRPr="0040136A">
              <w:rPr>
                <w:sz w:val="20"/>
                <w:szCs w:val="20"/>
              </w:rPr>
              <w:t>Law, Public Safety &amp; Security</w:t>
            </w:r>
          </w:p>
        </w:tc>
        <w:tc>
          <w:tcPr>
            <w:tcW w:w="4050" w:type="dxa"/>
            <w:noWrap/>
            <w:hideMark/>
          </w:tcPr>
          <w:p w14:paraId="2741E174" w14:textId="77777777" w:rsidR="0040136A" w:rsidRPr="0040136A" w:rsidRDefault="0040136A" w:rsidP="0040136A">
            <w:pPr>
              <w:spacing w:before="0"/>
              <w:rPr>
                <w:sz w:val="20"/>
                <w:szCs w:val="20"/>
              </w:rPr>
            </w:pPr>
            <w:r w:rsidRPr="0040136A">
              <w:rPr>
                <w:sz w:val="20"/>
                <w:szCs w:val="20"/>
              </w:rPr>
              <w:t>Law, Public Safety &amp; Security, General</w:t>
            </w:r>
          </w:p>
        </w:tc>
        <w:tc>
          <w:tcPr>
            <w:tcW w:w="906" w:type="dxa"/>
            <w:noWrap/>
            <w:hideMark/>
          </w:tcPr>
          <w:p w14:paraId="2572EF3E" w14:textId="77777777" w:rsidR="0040136A" w:rsidRPr="0040136A" w:rsidRDefault="0040136A" w:rsidP="0040136A">
            <w:pPr>
              <w:spacing w:before="0"/>
              <w:rPr>
                <w:sz w:val="20"/>
                <w:szCs w:val="20"/>
              </w:rPr>
            </w:pPr>
            <w:r w:rsidRPr="0040136A">
              <w:rPr>
                <w:sz w:val="20"/>
                <w:szCs w:val="20"/>
              </w:rPr>
              <w:t>M</w:t>
            </w:r>
          </w:p>
        </w:tc>
      </w:tr>
      <w:tr w:rsidR="0040136A" w:rsidRPr="0040136A" w14:paraId="1C36B4AE" w14:textId="77777777" w:rsidTr="000001EB">
        <w:trPr>
          <w:trHeight w:val="300"/>
        </w:trPr>
        <w:tc>
          <w:tcPr>
            <w:tcW w:w="1064" w:type="dxa"/>
            <w:noWrap/>
            <w:hideMark/>
          </w:tcPr>
          <w:p w14:paraId="496E9329" w14:textId="77777777" w:rsidR="0040136A" w:rsidRPr="0040136A" w:rsidRDefault="0040136A" w:rsidP="0040136A">
            <w:pPr>
              <w:spacing w:before="0"/>
              <w:rPr>
                <w:sz w:val="20"/>
                <w:szCs w:val="20"/>
              </w:rPr>
            </w:pPr>
            <w:r w:rsidRPr="0040136A">
              <w:rPr>
                <w:sz w:val="20"/>
                <w:szCs w:val="20"/>
              </w:rPr>
              <w:t>460000</w:t>
            </w:r>
          </w:p>
        </w:tc>
        <w:tc>
          <w:tcPr>
            <w:tcW w:w="4050" w:type="dxa"/>
            <w:noWrap/>
            <w:hideMark/>
          </w:tcPr>
          <w:p w14:paraId="32107625" w14:textId="77777777" w:rsidR="0040136A" w:rsidRPr="0040136A" w:rsidRDefault="0040136A" w:rsidP="0040136A">
            <w:pPr>
              <w:spacing w:before="0"/>
              <w:rPr>
                <w:sz w:val="20"/>
                <w:szCs w:val="20"/>
              </w:rPr>
            </w:pPr>
            <w:r w:rsidRPr="0040136A">
              <w:rPr>
                <w:sz w:val="20"/>
                <w:szCs w:val="20"/>
              </w:rPr>
              <w:t>Architecture &amp; Construction</w:t>
            </w:r>
          </w:p>
        </w:tc>
        <w:tc>
          <w:tcPr>
            <w:tcW w:w="4050" w:type="dxa"/>
            <w:noWrap/>
            <w:hideMark/>
          </w:tcPr>
          <w:p w14:paraId="3C9132A6" w14:textId="77777777" w:rsidR="0040136A" w:rsidRPr="0040136A" w:rsidRDefault="0040136A" w:rsidP="0040136A">
            <w:pPr>
              <w:spacing w:before="0"/>
              <w:rPr>
                <w:sz w:val="20"/>
                <w:szCs w:val="20"/>
              </w:rPr>
            </w:pPr>
            <w:r w:rsidRPr="0040136A">
              <w:rPr>
                <w:sz w:val="20"/>
                <w:szCs w:val="20"/>
              </w:rPr>
              <w:t>Architecture &amp; Construction, General</w:t>
            </w:r>
          </w:p>
        </w:tc>
        <w:tc>
          <w:tcPr>
            <w:tcW w:w="906" w:type="dxa"/>
            <w:noWrap/>
            <w:hideMark/>
          </w:tcPr>
          <w:p w14:paraId="2950CF8A" w14:textId="77777777" w:rsidR="0040136A" w:rsidRPr="0040136A" w:rsidRDefault="0040136A" w:rsidP="0040136A">
            <w:pPr>
              <w:spacing w:before="0"/>
              <w:rPr>
                <w:sz w:val="20"/>
                <w:szCs w:val="20"/>
              </w:rPr>
            </w:pPr>
            <w:r w:rsidRPr="0040136A">
              <w:rPr>
                <w:sz w:val="20"/>
                <w:szCs w:val="20"/>
              </w:rPr>
              <w:t>M</w:t>
            </w:r>
          </w:p>
        </w:tc>
      </w:tr>
      <w:tr w:rsidR="0040136A" w:rsidRPr="0040136A" w14:paraId="284C5F47" w14:textId="77777777" w:rsidTr="000001EB">
        <w:trPr>
          <w:trHeight w:val="300"/>
        </w:trPr>
        <w:tc>
          <w:tcPr>
            <w:tcW w:w="1064" w:type="dxa"/>
            <w:noWrap/>
            <w:hideMark/>
          </w:tcPr>
          <w:p w14:paraId="79BE3EFD" w14:textId="77777777" w:rsidR="0040136A" w:rsidRPr="0040136A" w:rsidRDefault="0040136A" w:rsidP="0040136A">
            <w:pPr>
              <w:spacing w:before="0"/>
              <w:rPr>
                <w:sz w:val="20"/>
                <w:szCs w:val="20"/>
              </w:rPr>
            </w:pPr>
            <w:r w:rsidRPr="0040136A">
              <w:rPr>
                <w:sz w:val="20"/>
                <w:szCs w:val="20"/>
              </w:rPr>
              <w:t>460201</w:t>
            </w:r>
          </w:p>
        </w:tc>
        <w:tc>
          <w:tcPr>
            <w:tcW w:w="4050" w:type="dxa"/>
            <w:noWrap/>
            <w:hideMark/>
          </w:tcPr>
          <w:p w14:paraId="12837091" w14:textId="77777777" w:rsidR="0040136A" w:rsidRPr="0040136A" w:rsidRDefault="0040136A" w:rsidP="0040136A">
            <w:pPr>
              <w:spacing w:before="0"/>
              <w:rPr>
                <w:sz w:val="20"/>
                <w:szCs w:val="20"/>
              </w:rPr>
            </w:pPr>
            <w:r w:rsidRPr="0040136A">
              <w:rPr>
                <w:sz w:val="20"/>
                <w:szCs w:val="20"/>
              </w:rPr>
              <w:t>Architecture &amp; Construction</w:t>
            </w:r>
          </w:p>
        </w:tc>
        <w:tc>
          <w:tcPr>
            <w:tcW w:w="4050" w:type="dxa"/>
            <w:noWrap/>
            <w:hideMark/>
          </w:tcPr>
          <w:p w14:paraId="57821981" w14:textId="77777777" w:rsidR="0040136A" w:rsidRPr="0040136A" w:rsidRDefault="0040136A" w:rsidP="0040136A">
            <w:pPr>
              <w:spacing w:before="0"/>
              <w:rPr>
                <w:sz w:val="20"/>
                <w:szCs w:val="20"/>
              </w:rPr>
            </w:pPr>
            <w:r w:rsidRPr="0040136A">
              <w:rPr>
                <w:sz w:val="20"/>
                <w:szCs w:val="20"/>
              </w:rPr>
              <w:t>Carpentry</w:t>
            </w:r>
          </w:p>
        </w:tc>
        <w:tc>
          <w:tcPr>
            <w:tcW w:w="906" w:type="dxa"/>
            <w:noWrap/>
            <w:hideMark/>
          </w:tcPr>
          <w:p w14:paraId="351957DC" w14:textId="77777777" w:rsidR="0040136A" w:rsidRPr="0040136A" w:rsidRDefault="0040136A" w:rsidP="0040136A">
            <w:pPr>
              <w:spacing w:before="0"/>
              <w:rPr>
                <w:sz w:val="20"/>
                <w:szCs w:val="20"/>
              </w:rPr>
            </w:pPr>
            <w:r w:rsidRPr="0040136A">
              <w:rPr>
                <w:sz w:val="20"/>
                <w:szCs w:val="20"/>
              </w:rPr>
              <w:t>M</w:t>
            </w:r>
          </w:p>
        </w:tc>
      </w:tr>
      <w:tr w:rsidR="0040136A" w:rsidRPr="0040136A" w14:paraId="539ECE5F" w14:textId="77777777" w:rsidTr="000001EB">
        <w:trPr>
          <w:trHeight w:val="300"/>
        </w:trPr>
        <w:tc>
          <w:tcPr>
            <w:tcW w:w="1064" w:type="dxa"/>
            <w:noWrap/>
            <w:hideMark/>
          </w:tcPr>
          <w:p w14:paraId="14EFDDCB" w14:textId="77777777" w:rsidR="0040136A" w:rsidRPr="0040136A" w:rsidRDefault="0040136A" w:rsidP="0040136A">
            <w:pPr>
              <w:spacing w:before="0"/>
              <w:rPr>
                <w:sz w:val="20"/>
                <w:szCs w:val="20"/>
              </w:rPr>
            </w:pPr>
            <w:r w:rsidRPr="0040136A">
              <w:rPr>
                <w:sz w:val="20"/>
                <w:szCs w:val="20"/>
              </w:rPr>
              <w:t>470600</w:t>
            </w:r>
          </w:p>
        </w:tc>
        <w:tc>
          <w:tcPr>
            <w:tcW w:w="4050" w:type="dxa"/>
            <w:noWrap/>
            <w:hideMark/>
          </w:tcPr>
          <w:p w14:paraId="511C74A9" w14:textId="77777777" w:rsidR="0040136A" w:rsidRPr="0040136A" w:rsidRDefault="0040136A" w:rsidP="0040136A">
            <w:pPr>
              <w:spacing w:before="0"/>
              <w:rPr>
                <w:sz w:val="20"/>
                <w:szCs w:val="20"/>
              </w:rPr>
            </w:pPr>
            <w:r w:rsidRPr="0040136A">
              <w:rPr>
                <w:sz w:val="20"/>
                <w:szCs w:val="20"/>
              </w:rPr>
              <w:t>Transportation</w:t>
            </w:r>
          </w:p>
        </w:tc>
        <w:tc>
          <w:tcPr>
            <w:tcW w:w="4050" w:type="dxa"/>
            <w:noWrap/>
            <w:hideMark/>
          </w:tcPr>
          <w:p w14:paraId="4BB44EE9" w14:textId="77777777" w:rsidR="0040136A" w:rsidRPr="0040136A" w:rsidRDefault="0040136A" w:rsidP="0040136A">
            <w:pPr>
              <w:spacing w:before="0"/>
              <w:rPr>
                <w:sz w:val="20"/>
                <w:szCs w:val="20"/>
              </w:rPr>
            </w:pPr>
            <w:r w:rsidRPr="0040136A">
              <w:rPr>
                <w:sz w:val="20"/>
                <w:szCs w:val="20"/>
              </w:rPr>
              <w:t>Automotive Service Technology</w:t>
            </w:r>
          </w:p>
        </w:tc>
        <w:tc>
          <w:tcPr>
            <w:tcW w:w="906" w:type="dxa"/>
            <w:noWrap/>
            <w:hideMark/>
          </w:tcPr>
          <w:p w14:paraId="5F44207A" w14:textId="77777777" w:rsidR="0040136A" w:rsidRPr="0040136A" w:rsidRDefault="0040136A" w:rsidP="0040136A">
            <w:pPr>
              <w:spacing w:before="0"/>
              <w:rPr>
                <w:sz w:val="20"/>
                <w:szCs w:val="20"/>
              </w:rPr>
            </w:pPr>
            <w:r w:rsidRPr="0040136A">
              <w:rPr>
                <w:sz w:val="20"/>
                <w:szCs w:val="20"/>
              </w:rPr>
              <w:t>M</w:t>
            </w:r>
          </w:p>
        </w:tc>
      </w:tr>
      <w:tr w:rsidR="0040136A" w:rsidRPr="0040136A" w14:paraId="57E66AB6" w14:textId="77777777" w:rsidTr="000001EB">
        <w:trPr>
          <w:trHeight w:val="300"/>
        </w:trPr>
        <w:tc>
          <w:tcPr>
            <w:tcW w:w="1064" w:type="dxa"/>
            <w:noWrap/>
            <w:hideMark/>
          </w:tcPr>
          <w:p w14:paraId="0E5FFB7D" w14:textId="77777777" w:rsidR="0040136A" w:rsidRPr="0040136A" w:rsidRDefault="0040136A" w:rsidP="0040136A">
            <w:pPr>
              <w:spacing w:before="0"/>
              <w:rPr>
                <w:sz w:val="20"/>
                <w:szCs w:val="20"/>
              </w:rPr>
            </w:pPr>
            <w:r w:rsidRPr="0040136A">
              <w:rPr>
                <w:sz w:val="20"/>
                <w:szCs w:val="20"/>
              </w:rPr>
              <w:t>470603</w:t>
            </w:r>
          </w:p>
        </w:tc>
        <w:tc>
          <w:tcPr>
            <w:tcW w:w="4050" w:type="dxa"/>
            <w:noWrap/>
            <w:hideMark/>
          </w:tcPr>
          <w:p w14:paraId="133FB03F" w14:textId="77777777" w:rsidR="0040136A" w:rsidRPr="0040136A" w:rsidRDefault="0040136A" w:rsidP="0040136A">
            <w:pPr>
              <w:spacing w:before="0"/>
              <w:rPr>
                <w:sz w:val="20"/>
                <w:szCs w:val="20"/>
              </w:rPr>
            </w:pPr>
            <w:r w:rsidRPr="0040136A">
              <w:rPr>
                <w:sz w:val="20"/>
                <w:szCs w:val="20"/>
              </w:rPr>
              <w:t>Transportation</w:t>
            </w:r>
          </w:p>
        </w:tc>
        <w:tc>
          <w:tcPr>
            <w:tcW w:w="4050" w:type="dxa"/>
            <w:noWrap/>
            <w:hideMark/>
          </w:tcPr>
          <w:p w14:paraId="0D591F75" w14:textId="77777777" w:rsidR="0040136A" w:rsidRPr="0040136A" w:rsidRDefault="0040136A" w:rsidP="0040136A">
            <w:pPr>
              <w:spacing w:before="0"/>
              <w:rPr>
                <w:sz w:val="20"/>
                <w:szCs w:val="20"/>
              </w:rPr>
            </w:pPr>
            <w:r w:rsidRPr="0040136A">
              <w:rPr>
                <w:sz w:val="20"/>
                <w:szCs w:val="20"/>
              </w:rPr>
              <w:t>Collision Repair and Refinishing</w:t>
            </w:r>
          </w:p>
        </w:tc>
        <w:tc>
          <w:tcPr>
            <w:tcW w:w="906" w:type="dxa"/>
            <w:noWrap/>
            <w:hideMark/>
          </w:tcPr>
          <w:p w14:paraId="2F187251" w14:textId="77777777" w:rsidR="0040136A" w:rsidRPr="0040136A" w:rsidRDefault="0040136A" w:rsidP="0040136A">
            <w:pPr>
              <w:spacing w:before="0"/>
              <w:rPr>
                <w:sz w:val="20"/>
                <w:szCs w:val="20"/>
              </w:rPr>
            </w:pPr>
            <w:r w:rsidRPr="0040136A">
              <w:rPr>
                <w:sz w:val="20"/>
                <w:szCs w:val="20"/>
              </w:rPr>
              <w:t>M</w:t>
            </w:r>
          </w:p>
        </w:tc>
      </w:tr>
      <w:tr w:rsidR="0040136A" w:rsidRPr="0040136A" w14:paraId="681784BA" w14:textId="77777777" w:rsidTr="000001EB">
        <w:trPr>
          <w:trHeight w:val="300"/>
        </w:trPr>
        <w:tc>
          <w:tcPr>
            <w:tcW w:w="1064" w:type="dxa"/>
            <w:noWrap/>
            <w:hideMark/>
          </w:tcPr>
          <w:p w14:paraId="3D98A76D" w14:textId="77777777" w:rsidR="0040136A" w:rsidRPr="0040136A" w:rsidRDefault="0040136A" w:rsidP="0040136A">
            <w:pPr>
              <w:spacing w:before="0"/>
              <w:rPr>
                <w:sz w:val="20"/>
                <w:szCs w:val="20"/>
              </w:rPr>
            </w:pPr>
            <w:r w:rsidRPr="0040136A">
              <w:rPr>
                <w:sz w:val="20"/>
                <w:szCs w:val="20"/>
              </w:rPr>
              <w:t>490101</w:t>
            </w:r>
          </w:p>
        </w:tc>
        <w:tc>
          <w:tcPr>
            <w:tcW w:w="4050" w:type="dxa"/>
            <w:noWrap/>
            <w:hideMark/>
          </w:tcPr>
          <w:p w14:paraId="245BDC3D" w14:textId="77777777" w:rsidR="0040136A" w:rsidRPr="0040136A" w:rsidRDefault="0040136A" w:rsidP="0040136A">
            <w:pPr>
              <w:spacing w:before="0"/>
              <w:rPr>
                <w:sz w:val="20"/>
                <w:szCs w:val="20"/>
              </w:rPr>
            </w:pPr>
            <w:r w:rsidRPr="0040136A">
              <w:rPr>
                <w:sz w:val="20"/>
                <w:szCs w:val="20"/>
              </w:rPr>
              <w:t>Transportation</w:t>
            </w:r>
          </w:p>
        </w:tc>
        <w:tc>
          <w:tcPr>
            <w:tcW w:w="4050" w:type="dxa"/>
            <w:noWrap/>
            <w:hideMark/>
          </w:tcPr>
          <w:p w14:paraId="731CC941" w14:textId="77777777" w:rsidR="0040136A" w:rsidRPr="0040136A" w:rsidRDefault="0040136A" w:rsidP="0040136A">
            <w:pPr>
              <w:spacing w:before="0"/>
              <w:rPr>
                <w:sz w:val="20"/>
                <w:szCs w:val="20"/>
              </w:rPr>
            </w:pPr>
            <w:r w:rsidRPr="0040136A">
              <w:rPr>
                <w:sz w:val="20"/>
                <w:szCs w:val="20"/>
              </w:rPr>
              <w:t>Aeronautics</w:t>
            </w:r>
          </w:p>
        </w:tc>
        <w:tc>
          <w:tcPr>
            <w:tcW w:w="906" w:type="dxa"/>
            <w:noWrap/>
            <w:hideMark/>
          </w:tcPr>
          <w:p w14:paraId="3261AC30" w14:textId="77777777" w:rsidR="0040136A" w:rsidRPr="0040136A" w:rsidRDefault="0040136A" w:rsidP="0040136A">
            <w:pPr>
              <w:spacing w:before="0"/>
              <w:rPr>
                <w:sz w:val="20"/>
                <w:szCs w:val="20"/>
              </w:rPr>
            </w:pPr>
            <w:r w:rsidRPr="0040136A">
              <w:rPr>
                <w:sz w:val="20"/>
                <w:szCs w:val="20"/>
              </w:rPr>
              <w:t>M</w:t>
            </w:r>
          </w:p>
        </w:tc>
      </w:tr>
      <w:tr w:rsidR="0040136A" w:rsidRPr="0040136A" w14:paraId="5E2972EA" w14:textId="77777777" w:rsidTr="000001EB">
        <w:trPr>
          <w:trHeight w:val="300"/>
        </w:trPr>
        <w:tc>
          <w:tcPr>
            <w:tcW w:w="1064" w:type="dxa"/>
            <w:noWrap/>
            <w:hideMark/>
          </w:tcPr>
          <w:p w14:paraId="694BC4DC" w14:textId="77777777" w:rsidR="0040136A" w:rsidRPr="0040136A" w:rsidRDefault="0040136A" w:rsidP="0040136A">
            <w:pPr>
              <w:spacing w:before="0"/>
              <w:rPr>
                <w:sz w:val="20"/>
                <w:szCs w:val="20"/>
              </w:rPr>
            </w:pPr>
            <w:r w:rsidRPr="0040136A">
              <w:rPr>
                <w:sz w:val="20"/>
                <w:szCs w:val="20"/>
              </w:rPr>
              <w:t>500602</w:t>
            </w:r>
          </w:p>
        </w:tc>
        <w:tc>
          <w:tcPr>
            <w:tcW w:w="4050" w:type="dxa"/>
            <w:noWrap/>
            <w:hideMark/>
          </w:tcPr>
          <w:p w14:paraId="1ACC1E57" w14:textId="77777777" w:rsidR="0040136A" w:rsidRPr="0040136A" w:rsidRDefault="0040136A" w:rsidP="0040136A">
            <w:pPr>
              <w:spacing w:before="0"/>
              <w:rPr>
                <w:sz w:val="20"/>
                <w:szCs w:val="20"/>
              </w:rPr>
            </w:pPr>
            <w:r w:rsidRPr="0040136A">
              <w:rPr>
                <w:sz w:val="20"/>
                <w:szCs w:val="20"/>
              </w:rPr>
              <w:t>Arts, A/V Technology &amp; Communications</w:t>
            </w:r>
          </w:p>
        </w:tc>
        <w:tc>
          <w:tcPr>
            <w:tcW w:w="4050" w:type="dxa"/>
            <w:noWrap/>
            <w:hideMark/>
          </w:tcPr>
          <w:p w14:paraId="23B4B118" w14:textId="77777777" w:rsidR="0040136A" w:rsidRPr="0040136A" w:rsidRDefault="0040136A" w:rsidP="0040136A">
            <w:pPr>
              <w:spacing w:before="0"/>
              <w:rPr>
                <w:sz w:val="20"/>
                <w:szCs w:val="20"/>
              </w:rPr>
            </w:pPr>
            <w:r w:rsidRPr="0040136A">
              <w:rPr>
                <w:sz w:val="20"/>
                <w:szCs w:val="20"/>
              </w:rPr>
              <w:t>Film &amp; Video</w:t>
            </w:r>
          </w:p>
        </w:tc>
        <w:tc>
          <w:tcPr>
            <w:tcW w:w="906" w:type="dxa"/>
            <w:noWrap/>
            <w:hideMark/>
          </w:tcPr>
          <w:p w14:paraId="65FAB61D" w14:textId="77777777" w:rsidR="0040136A" w:rsidRPr="0040136A" w:rsidRDefault="0040136A" w:rsidP="0040136A">
            <w:pPr>
              <w:spacing w:before="0"/>
              <w:rPr>
                <w:sz w:val="20"/>
                <w:szCs w:val="20"/>
              </w:rPr>
            </w:pPr>
            <w:r w:rsidRPr="0040136A">
              <w:rPr>
                <w:sz w:val="20"/>
                <w:szCs w:val="20"/>
              </w:rPr>
              <w:t>M</w:t>
            </w:r>
          </w:p>
        </w:tc>
      </w:tr>
      <w:tr w:rsidR="0040136A" w:rsidRPr="0040136A" w14:paraId="1E952D88" w14:textId="77777777" w:rsidTr="000001EB">
        <w:trPr>
          <w:trHeight w:val="300"/>
        </w:trPr>
        <w:tc>
          <w:tcPr>
            <w:tcW w:w="1064" w:type="dxa"/>
            <w:noWrap/>
            <w:hideMark/>
          </w:tcPr>
          <w:p w14:paraId="772A68ED" w14:textId="77777777" w:rsidR="0040136A" w:rsidRPr="0040136A" w:rsidRDefault="0040136A" w:rsidP="0040136A">
            <w:pPr>
              <w:spacing w:before="0"/>
              <w:rPr>
                <w:sz w:val="20"/>
                <w:szCs w:val="20"/>
              </w:rPr>
            </w:pPr>
            <w:r w:rsidRPr="0040136A">
              <w:rPr>
                <w:sz w:val="20"/>
                <w:szCs w:val="20"/>
              </w:rPr>
              <w:t>520803</w:t>
            </w:r>
          </w:p>
        </w:tc>
        <w:tc>
          <w:tcPr>
            <w:tcW w:w="4050" w:type="dxa"/>
            <w:noWrap/>
            <w:hideMark/>
          </w:tcPr>
          <w:p w14:paraId="310837D9" w14:textId="77777777" w:rsidR="0040136A" w:rsidRPr="0040136A" w:rsidRDefault="0040136A" w:rsidP="0040136A">
            <w:pPr>
              <w:spacing w:before="0"/>
              <w:rPr>
                <w:sz w:val="20"/>
                <w:szCs w:val="20"/>
              </w:rPr>
            </w:pPr>
            <w:r w:rsidRPr="0040136A">
              <w:rPr>
                <w:sz w:val="20"/>
                <w:szCs w:val="20"/>
              </w:rPr>
              <w:t>Finance</w:t>
            </w:r>
          </w:p>
        </w:tc>
        <w:tc>
          <w:tcPr>
            <w:tcW w:w="4050" w:type="dxa"/>
            <w:noWrap/>
            <w:hideMark/>
          </w:tcPr>
          <w:p w14:paraId="23533B1A" w14:textId="77777777" w:rsidR="0040136A" w:rsidRPr="0040136A" w:rsidRDefault="0040136A" w:rsidP="0040136A">
            <w:pPr>
              <w:spacing w:before="0"/>
              <w:rPr>
                <w:sz w:val="20"/>
                <w:szCs w:val="20"/>
              </w:rPr>
            </w:pPr>
            <w:r w:rsidRPr="0040136A">
              <w:rPr>
                <w:sz w:val="20"/>
                <w:szCs w:val="20"/>
              </w:rPr>
              <w:t>Banking Services</w:t>
            </w:r>
          </w:p>
        </w:tc>
        <w:tc>
          <w:tcPr>
            <w:tcW w:w="906" w:type="dxa"/>
            <w:noWrap/>
            <w:hideMark/>
          </w:tcPr>
          <w:p w14:paraId="4B0F21EC" w14:textId="77777777" w:rsidR="0040136A" w:rsidRPr="0040136A" w:rsidRDefault="0040136A" w:rsidP="0040136A">
            <w:pPr>
              <w:spacing w:before="0"/>
              <w:rPr>
                <w:sz w:val="20"/>
                <w:szCs w:val="20"/>
              </w:rPr>
            </w:pPr>
            <w:r w:rsidRPr="0040136A">
              <w:rPr>
                <w:sz w:val="20"/>
                <w:szCs w:val="20"/>
              </w:rPr>
              <w:t>F</w:t>
            </w:r>
          </w:p>
        </w:tc>
      </w:tr>
    </w:tbl>
    <w:p w14:paraId="7230CD4A" w14:textId="77777777" w:rsidR="0040136A" w:rsidRDefault="0040136A" w:rsidP="00401C80">
      <w:pPr>
        <w:sectPr w:rsidR="0040136A" w:rsidSect="00156318">
          <w:pgSz w:w="12240" w:h="15840"/>
          <w:pgMar w:top="1080" w:right="1080" w:bottom="1080" w:left="1080" w:header="720" w:footer="720" w:gutter="0"/>
          <w:cols w:space="720"/>
          <w:docGrid w:linePitch="360"/>
        </w:sectPr>
      </w:pPr>
    </w:p>
    <w:p w14:paraId="50AC39A7" w14:textId="77777777" w:rsidR="00401C80" w:rsidRDefault="00401C80" w:rsidP="00401C80">
      <w:pPr>
        <w:spacing w:before="0" w:after="0"/>
        <w:sectPr w:rsidR="00401C80" w:rsidSect="0040136A">
          <w:type w:val="continuous"/>
          <w:pgSz w:w="12240" w:h="15840"/>
          <w:pgMar w:top="1080" w:right="1080" w:bottom="1080" w:left="1080" w:header="720" w:footer="720" w:gutter="0"/>
          <w:cols w:space="720"/>
          <w:docGrid w:linePitch="360"/>
        </w:sectPr>
      </w:pPr>
      <w:bookmarkStart w:id="122" w:name="_Toc98829424"/>
    </w:p>
    <w:p w14:paraId="7A2C9E58" w14:textId="77777777" w:rsidR="00401C80" w:rsidRDefault="00401C80" w:rsidP="00401C80">
      <w:pPr>
        <w:sectPr w:rsidR="00401C80" w:rsidSect="0040136A">
          <w:type w:val="continuous"/>
          <w:pgSz w:w="12240" w:h="15840"/>
          <w:pgMar w:top="1080" w:right="1080" w:bottom="1080" w:left="1080" w:header="720" w:footer="720" w:gutter="0"/>
          <w:cols w:space="720"/>
          <w:docGrid w:linePitch="360"/>
        </w:sectPr>
      </w:pPr>
    </w:p>
    <w:p w14:paraId="55408C56" w14:textId="77777777" w:rsidR="0040136A" w:rsidRDefault="0040136A" w:rsidP="00E068AB">
      <w:pPr>
        <w:pStyle w:val="Heading5"/>
        <w:sectPr w:rsidR="0040136A" w:rsidSect="00401C80">
          <w:type w:val="continuous"/>
          <w:pgSz w:w="12240" w:h="15840"/>
          <w:pgMar w:top="1080" w:right="1080" w:bottom="1080" w:left="1080" w:header="720" w:footer="720" w:gutter="0"/>
          <w:cols w:space="720"/>
          <w:docGrid w:linePitch="360"/>
        </w:sectPr>
      </w:pPr>
    </w:p>
    <w:p w14:paraId="17A9B90C" w14:textId="77777777" w:rsidR="00401C80" w:rsidRDefault="00401C80" w:rsidP="0040136A">
      <w:pPr>
        <w:pStyle w:val="Heading5"/>
        <w:spacing w:before="0"/>
      </w:pPr>
      <w:r>
        <w:lastRenderedPageBreak/>
        <w:t>Postsecondary</w:t>
      </w:r>
      <w:bookmarkEnd w:id="122"/>
    </w:p>
    <w:p w14:paraId="652CAF10" w14:textId="77777777" w:rsidR="00401C80" w:rsidRPr="00E068AB" w:rsidRDefault="00401C80" w:rsidP="007542E2">
      <w:pPr>
        <w:pStyle w:val="Heading4"/>
        <w:rPr>
          <w:i w:val="0"/>
          <w:iCs w:val="0"/>
        </w:rPr>
        <w:sectPr w:rsidR="00401C80" w:rsidRPr="00E068AB" w:rsidSect="00401C80">
          <w:type w:val="continuous"/>
          <w:pgSz w:w="12240" w:h="15840"/>
          <w:pgMar w:top="1080" w:right="1080" w:bottom="1080" w:left="1080" w:header="720" w:footer="720" w:gutter="0"/>
          <w:cols w:space="720"/>
          <w:docGrid w:linePitch="360"/>
        </w:sectPr>
      </w:pPr>
    </w:p>
    <w:p w14:paraId="7E44F15E" w14:textId="77777777" w:rsidR="00401C80" w:rsidRDefault="00401C80" w:rsidP="00401C80">
      <w:r>
        <w:t xml:space="preserve">A postsecondary student’s </w:t>
      </w:r>
      <w:r w:rsidRPr="00820391">
        <w:rPr>
          <w:b/>
        </w:rPr>
        <w:t>primary program</w:t>
      </w:r>
      <w:r>
        <w:t xml:space="preserve"> is determined by the student personally as a component of their postsecondary CTE enrollment.</w:t>
      </w:r>
    </w:p>
    <w:p w14:paraId="35ECAD51" w14:textId="77777777" w:rsidR="00401C80" w:rsidRDefault="00401C80" w:rsidP="00401C80">
      <w:r>
        <w:t xml:space="preserve">Due to data collection constraints, postsecondary </w:t>
      </w:r>
      <w:r w:rsidRPr="00823644">
        <w:rPr>
          <w:b/>
        </w:rPr>
        <w:t>counts</w:t>
      </w:r>
      <w:r>
        <w:t xml:space="preserve"> of students preparing for fields non-traditional to their gender </w:t>
      </w:r>
      <w:r w:rsidRPr="00823644">
        <w:rPr>
          <w:b/>
        </w:rPr>
        <w:t>do not include gender-non-binary students</w:t>
      </w:r>
      <w:r>
        <w:t>. For example, if a postsecondary POS CIP code is associated with a male-dominated field, only female CTE Concentrators are counted as non-traditional.</w:t>
      </w:r>
    </w:p>
    <w:p w14:paraId="53C1D42A" w14:textId="77777777" w:rsidR="00401C80" w:rsidRDefault="00401C80" w:rsidP="00401C80">
      <w:r>
        <w:t xml:space="preserve">Information on postsecondary </w:t>
      </w:r>
      <w:r w:rsidRPr="00267A59">
        <w:t xml:space="preserve">CIP </w:t>
      </w:r>
      <w:r>
        <w:t>C</w:t>
      </w:r>
      <w:r w:rsidRPr="00267A59">
        <w:t xml:space="preserve">odes </w:t>
      </w:r>
      <w:r>
        <w:t>and their (potential) federal association</w:t>
      </w:r>
      <w:r w:rsidRPr="00267A59">
        <w:t xml:space="preserve"> with a traditional gender</w:t>
      </w:r>
      <w:r>
        <w:t xml:space="preserve"> </w:t>
      </w:r>
      <w:hyperlink r:id="rId50" w:history="1">
        <w:r w:rsidRPr="007B37C3">
          <w:rPr>
            <w:rStyle w:val="Hyperlink"/>
          </w:rPr>
          <w:t>here</w:t>
        </w:r>
      </w:hyperlink>
      <w:r>
        <w:t>.</w:t>
      </w:r>
    </w:p>
    <w:p w14:paraId="36E35C3D" w14:textId="77777777" w:rsidR="006F1D92" w:rsidRDefault="006F1D92" w:rsidP="00E068AB">
      <w:pPr>
        <w:pStyle w:val="Heading4"/>
      </w:pPr>
      <w:bookmarkStart w:id="123" w:name="_Toc98829412"/>
      <w:r>
        <w:t>Single Parents</w:t>
      </w:r>
      <w:bookmarkEnd w:id="123"/>
    </w:p>
    <w:p w14:paraId="4B565146" w14:textId="77777777" w:rsidR="006F1D92" w:rsidRDefault="006F1D92" w:rsidP="0087285D">
      <w:pPr>
        <w:spacing w:before="0"/>
      </w:pPr>
      <w:r>
        <w:t>In accordance with Oregon civil rights legislation, neither secondary nor postsecondary students are asked about their marital status.  In ODE and HECC calculations for this focal student group, the students included are all who are either pregnant or parenting in the report year. For secondary CTE, this information is sourced from the Spring Membership collection (not a CTE data collection).</w:t>
      </w:r>
    </w:p>
    <w:p w14:paraId="4978BE59" w14:textId="77777777" w:rsidR="006F1D92" w:rsidRPr="00DC4003" w:rsidRDefault="006F1D92" w:rsidP="00E068AB">
      <w:pPr>
        <w:pStyle w:val="Heading4"/>
      </w:pPr>
      <w:bookmarkStart w:id="124" w:name="_Toc98829413"/>
      <w:r w:rsidRPr="00DC4003">
        <w:t>Out of Workforce Individuals</w:t>
      </w:r>
      <w:bookmarkEnd w:id="124"/>
    </w:p>
    <w:p w14:paraId="382B46F5" w14:textId="77777777" w:rsidR="006F1D92" w:rsidRDefault="006F1D92" w:rsidP="006F1D92">
      <w:r>
        <w:t xml:space="preserve">This </w:t>
      </w:r>
      <w:r w:rsidRPr="00DC4003">
        <w:t>is not data ODE collect</w:t>
      </w:r>
      <w:r>
        <w:t>s</w:t>
      </w:r>
      <w:r w:rsidRPr="00DC4003">
        <w:t xml:space="preserve"> on secondary students.</w:t>
      </w:r>
    </w:p>
    <w:p w14:paraId="6F4DEAAF" w14:textId="77777777" w:rsidR="006F1D92" w:rsidRDefault="006F1D92" w:rsidP="006F1D92">
      <w:r>
        <w:t>HECC collection of this information was interrupted in report year 2020-2021 by the coronavirus pandemic.</w:t>
      </w:r>
    </w:p>
    <w:p w14:paraId="1B3138EF" w14:textId="77777777" w:rsidR="006F1D92" w:rsidRDefault="006F1D92" w:rsidP="00E068AB">
      <w:pPr>
        <w:pStyle w:val="Heading4"/>
      </w:pPr>
      <w:bookmarkStart w:id="125" w:name="_Toc98829414"/>
      <w:r>
        <w:t>English Learners</w:t>
      </w:r>
      <w:bookmarkEnd w:id="125"/>
    </w:p>
    <w:p w14:paraId="4A61D7F4" w14:textId="328E690D" w:rsidR="006F1D92" w:rsidRDefault="006F1D92" w:rsidP="0087285D">
      <w:pPr>
        <w:spacing w:before="0"/>
      </w:pPr>
      <w:r>
        <w:t>This</w:t>
      </w:r>
      <w:r w:rsidRPr="00A23025">
        <w:t xml:space="preserve"> </w:t>
      </w:r>
      <w:r>
        <w:t xml:space="preserve">For secondary CTE, this information is sourced from a </w:t>
      </w:r>
      <w:r w:rsidR="005507FA">
        <w:t>data collection</w:t>
      </w:r>
      <w:r>
        <w:t xml:space="preserve"> specific to English Learner status (not a CTE data collection). </w:t>
      </w:r>
    </w:p>
    <w:p w14:paraId="26A68F26" w14:textId="77777777" w:rsidR="006F1D92" w:rsidRDefault="006F1D92" w:rsidP="00E068AB">
      <w:pPr>
        <w:pStyle w:val="Heading4"/>
      </w:pPr>
      <w:bookmarkStart w:id="126" w:name="_Toc98829415"/>
      <w:r>
        <w:t>Homeless Individuals</w:t>
      </w:r>
      <w:bookmarkEnd w:id="126"/>
    </w:p>
    <w:p w14:paraId="5ECE60AC" w14:textId="02174FC2" w:rsidR="006F1D92" w:rsidRDefault="006F1D92" w:rsidP="0087285D">
      <w:pPr>
        <w:spacing w:before="0"/>
      </w:pPr>
      <w:r>
        <w:t xml:space="preserve">For secondary CTE, this information is sourced from a </w:t>
      </w:r>
      <w:r w:rsidR="00CD0D9C">
        <w:t>data collection</w:t>
      </w:r>
      <w:r>
        <w:t xml:space="preserve"> specific to housing insecurity (not a CTE data collection). </w:t>
      </w:r>
    </w:p>
    <w:p w14:paraId="2E5F8558" w14:textId="77777777" w:rsidR="006F1D92" w:rsidRPr="00DC4003" w:rsidRDefault="006F1D92" w:rsidP="00E068AB">
      <w:pPr>
        <w:pStyle w:val="Heading4"/>
      </w:pPr>
      <w:r>
        <w:t xml:space="preserve">Youth in </w:t>
      </w:r>
      <w:r w:rsidRPr="00DC4003">
        <w:t>Foster Care</w:t>
      </w:r>
    </w:p>
    <w:p w14:paraId="218B5929" w14:textId="77777777" w:rsidR="006F1D92" w:rsidRDefault="006F1D92" w:rsidP="0087285D">
      <w:pPr>
        <w:spacing w:before="0"/>
      </w:pPr>
      <w:r w:rsidRPr="00DC4003">
        <w:t xml:space="preserve">ODE includes </w:t>
      </w:r>
      <w:r>
        <w:t xml:space="preserve">secondary </w:t>
      </w:r>
      <w:r w:rsidRPr="00DC4003">
        <w:t>students who were in foster care during the reporting year including students who aged out of foster care during that time. These may be slight undercounts of the full number of students qualifying under the federal definition for this special population in that ODE counts may not include students who aged out of foster care prior to the reporting year and remained in school during the reporting year. Students most likely to be undercounted here are those in the 5-year cohort in their final year in the reporting year but who aged out of foster care in the school year preceding the reporting year.</w:t>
      </w:r>
    </w:p>
    <w:p w14:paraId="79E84BB7" w14:textId="77777777" w:rsidR="006F1D92" w:rsidRDefault="006F1D92" w:rsidP="00E068AB">
      <w:pPr>
        <w:pStyle w:val="Heading4"/>
      </w:pPr>
      <w:bookmarkStart w:id="127" w:name="_Toc98829417"/>
      <w:r>
        <w:t>Youth with Parent in Active Military</w:t>
      </w:r>
      <w:bookmarkEnd w:id="127"/>
    </w:p>
    <w:p w14:paraId="5FAD92CE" w14:textId="4B657269" w:rsidR="006F1D92" w:rsidRDefault="006F1D92" w:rsidP="0087285D">
      <w:pPr>
        <w:spacing w:before="0"/>
      </w:pPr>
      <w:r>
        <w:t xml:space="preserve">For secondary CTE, this information is sourced from a </w:t>
      </w:r>
      <w:r w:rsidR="005507FA">
        <w:t>data collection</w:t>
      </w:r>
      <w:r>
        <w:t xml:space="preserve"> specific to military connection (not a CTE data collection). </w:t>
      </w:r>
    </w:p>
    <w:p w14:paraId="20E5D542" w14:textId="77777777" w:rsidR="006F1D92" w:rsidRDefault="006F1D92" w:rsidP="00E068AB">
      <w:pPr>
        <w:pStyle w:val="Heading4"/>
      </w:pPr>
      <w:r>
        <w:t>Youth from Migrant Families</w:t>
      </w:r>
    </w:p>
    <w:p w14:paraId="74A21EFE" w14:textId="590A5224" w:rsidR="006F1D92" w:rsidRDefault="006F1D92" w:rsidP="0087285D">
      <w:pPr>
        <w:spacing w:before="0"/>
      </w:pPr>
      <w:r>
        <w:t xml:space="preserve">For secondary CTE, this information is sourced from a </w:t>
      </w:r>
      <w:r w:rsidR="005507FA">
        <w:t>data collection</w:t>
      </w:r>
      <w:r>
        <w:t xml:space="preserve"> specific to migrant status or connection (not a CTE data collection). </w:t>
      </w:r>
    </w:p>
    <w:p w14:paraId="09255428" w14:textId="1303824B" w:rsidR="006F1D92" w:rsidRPr="006F1D92" w:rsidRDefault="006F1D92" w:rsidP="0087285D">
      <w:pPr>
        <w:pStyle w:val="Heading3"/>
        <w:spacing w:after="240"/>
      </w:pPr>
      <w:bookmarkStart w:id="128" w:name="_Toc155104493"/>
      <w:bookmarkStart w:id="129" w:name="_Toc155258810"/>
      <w:r>
        <w:lastRenderedPageBreak/>
        <w:t>Unduplicated Count Categories</w:t>
      </w:r>
      <w:bookmarkEnd w:id="128"/>
      <w:bookmarkEnd w:id="129"/>
    </w:p>
    <w:p w14:paraId="522FAADF" w14:textId="70B5CBA0" w:rsidR="006F1D92" w:rsidRDefault="006F1D92" w:rsidP="00E068AB">
      <w:pPr>
        <w:pStyle w:val="Heading4"/>
      </w:pPr>
      <w:r>
        <w:t xml:space="preserve">Ethnic / Racial Groups </w:t>
      </w:r>
    </w:p>
    <w:p w14:paraId="09BB0C2D" w14:textId="77777777" w:rsidR="006F1D92" w:rsidRDefault="006F1D92" w:rsidP="0087285D">
      <w:pPr>
        <w:spacing w:before="0"/>
      </w:pPr>
      <w:r>
        <w:t xml:space="preserve">This is an unduplicated count category meaning that each student appears in exactly one (1) race/ethnicity group. Students (or guardian in case of secondary/minor students) self-identify their most appropriate racial/ethnic group. There are eight (8) federally specified racial/ethnic groupings. </w:t>
      </w:r>
    </w:p>
    <w:p w14:paraId="67CEC1AF" w14:textId="77777777" w:rsidR="006F1D92" w:rsidRDefault="006F1D92" w:rsidP="006F1D92">
      <w:pPr>
        <w:pStyle w:val="ListParagraph"/>
        <w:numPr>
          <w:ilvl w:val="0"/>
          <w:numId w:val="20"/>
        </w:numPr>
      </w:pPr>
      <w:r>
        <w:t>American Indian or Alaskan Native</w:t>
      </w:r>
    </w:p>
    <w:p w14:paraId="01E93E47" w14:textId="77777777" w:rsidR="006F1D92" w:rsidRDefault="006F1D92" w:rsidP="006F1D92">
      <w:pPr>
        <w:pStyle w:val="ListParagraph"/>
        <w:numPr>
          <w:ilvl w:val="0"/>
          <w:numId w:val="20"/>
        </w:numPr>
      </w:pPr>
      <w:r>
        <w:t>Asian</w:t>
      </w:r>
    </w:p>
    <w:p w14:paraId="6C06EC41" w14:textId="77777777" w:rsidR="006F1D92" w:rsidRDefault="006F1D92" w:rsidP="006F1D92">
      <w:pPr>
        <w:pStyle w:val="ListParagraph"/>
        <w:numPr>
          <w:ilvl w:val="0"/>
          <w:numId w:val="20"/>
        </w:numPr>
      </w:pPr>
      <w:r>
        <w:t>Black or African American</w:t>
      </w:r>
    </w:p>
    <w:p w14:paraId="60A257E0" w14:textId="77777777" w:rsidR="006F1D92" w:rsidRDefault="006F1D92" w:rsidP="006F1D92">
      <w:pPr>
        <w:pStyle w:val="ListParagraph"/>
        <w:numPr>
          <w:ilvl w:val="0"/>
          <w:numId w:val="20"/>
        </w:numPr>
      </w:pPr>
      <w:r>
        <w:t>Hispanic or Latino</w:t>
      </w:r>
    </w:p>
    <w:p w14:paraId="4F120A42" w14:textId="77777777" w:rsidR="006F1D92" w:rsidRDefault="006F1D92" w:rsidP="006F1D92">
      <w:pPr>
        <w:pStyle w:val="ListParagraph"/>
        <w:numPr>
          <w:ilvl w:val="0"/>
          <w:numId w:val="20"/>
        </w:numPr>
      </w:pPr>
      <w:r>
        <w:t>Native Hawaiian or Other Pacific Islander</w:t>
      </w:r>
    </w:p>
    <w:p w14:paraId="022076AC" w14:textId="77777777" w:rsidR="006F1D92" w:rsidRDefault="006F1D92" w:rsidP="006F1D92">
      <w:pPr>
        <w:pStyle w:val="ListParagraph"/>
        <w:numPr>
          <w:ilvl w:val="0"/>
          <w:numId w:val="20"/>
        </w:numPr>
      </w:pPr>
      <w:r>
        <w:t>White</w:t>
      </w:r>
    </w:p>
    <w:p w14:paraId="32755F28" w14:textId="77777777" w:rsidR="006F1D92" w:rsidRDefault="006F1D92" w:rsidP="006F1D92">
      <w:pPr>
        <w:pStyle w:val="ListParagraph"/>
        <w:numPr>
          <w:ilvl w:val="0"/>
          <w:numId w:val="20"/>
        </w:numPr>
      </w:pPr>
      <w:r>
        <w:t>Two or More Races</w:t>
      </w:r>
    </w:p>
    <w:p w14:paraId="5C4B5CB0" w14:textId="0B625DC6" w:rsidR="006F1D92" w:rsidRDefault="006F1D92" w:rsidP="00AE3209">
      <w:pPr>
        <w:pStyle w:val="ListParagraph"/>
        <w:numPr>
          <w:ilvl w:val="0"/>
          <w:numId w:val="20"/>
        </w:numPr>
      </w:pPr>
      <w:r>
        <w:t>Unknown</w:t>
      </w:r>
      <w:bookmarkStart w:id="130" w:name="_T_2:_Report"/>
      <w:bookmarkStart w:id="131" w:name="_Report_Year"/>
      <w:bookmarkEnd w:id="130"/>
      <w:bookmarkEnd w:id="131"/>
      <w:r w:rsidR="0087285D">
        <w:t xml:space="preserve"> (Postsecondary only)</w:t>
      </w:r>
    </w:p>
    <w:p w14:paraId="14AEFE3B" w14:textId="45971A4F" w:rsidR="002E293A" w:rsidRDefault="006F1D92" w:rsidP="00E068AB">
      <w:pPr>
        <w:pStyle w:val="Heading4"/>
      </w:pPr>
      <w:r>
        <w:t>Gender Groups</w:t>
      </w:r>
    </w:p>
    <w:p w14:paraId="5321175C" w14:textId="1B04B379" w:rsidR="006F1D92" w:rsidRDefault="006F1D92" w:rsidP="006F1D92">
      <w:r w:rsidRPr="00F40DF6">
        <w:t xml:space="preserve">The state of Oregon recognizes </w:t>
      </w:r>
      <w:r>
        <w:t xml:space="preserve">gender extends beyond a binary and offers the gender category “X” on documents such as state IDs and ODE school enrollment for Oregonians who are not on the gender binary. </w:t>
      </w:r>
    </w:p>
    <w:p w14:paraId="479AF798" w14:textId="77777777" w:rsidR="006F1D92" w:rsidRDefault="006F1D92" w:rsidP="006F1D92">
      <w:r>
        <w:t>Neither ODE nor HECC assign gender category codes; they are communicated through the local school after self-identification by the student (or guardian in case of secondary/minor students). This is an unduplicated count category meaning that each student appears in a maximum of one (1) gender group.</w:t>
      </w:r>
    </w:p>
    <w:p w14:paraId="1F19529F" w14:textId="77777777" w:rsidR="006F1D92" w:rsidRDefault="006F1D92" w:rsidP="006F1D92">
      <w:r>
        <w:t>Secondary (ODE) and postsecondary (HECC) CTE data collections have separate methods of recording information about student gender. See the secondary- and postsecondary-specific sections below.</w:t>
      </w:r>
    </w:p>
    <w:p w14:paraId="29834D6B" w14:textId="77777777" w:rsidR="006F1D92" w:rsidRPr="00F40DF6" w:rsidRDefault="006F1D92" w:rsidP="00E068AB">
      <w:pPr>
        <w:pStyle w:val="Heading5"/>
      </w:pPr>
      <w:bookmarkStart w:id="132" w:name="_Toc98829402"/>
      <w:r>
        <w:t>Secondary</w:t>
      </w:r>
      <w:bookmarkEnd w:id="132"/>
    </w:p>
    <w:p w14:paraId="2D3DC96E" w14:textId="77777777" w:rsidR="006F1D92" w:rsidRDefault="006F1D92" w:rsidP="00DE68DD">
      <w:pPr>
        <w:spacing w:before="0"/>
      </w:pPr>
      <w:r>
        <w:t>Secondary students are associated with one (1) of three (3) gender category codes, F for female, M for male, and X for gender-non-binary.</w:t>
      </w:r>
    </w:p>
    <w:p w14:paraId="36654658" w14:textId="77777777" w:rsidR="006F1D92" w:rsidRPr="000559B1" w:rsidRDefault="006F1D92" w:rsidP="00E068AB">
      <w:pPr>
        <w:pStyle w:val="Heading5"/>
      </w:pPr>
      <w:bookmarkStart w:id="133" w:name="_Toc98829403"/>
      <w:r>
        <w:t>Postsecondary</w:t>
      </w:r>
      <w:bookmarkEnd w:id="133"/>
    </w:p>
    <w:p w14:paraId="4E94CFEF" w14:textId="77777777" w:rsidR="00E068AB" w:rsidRDefault="006F1D92" w:rsidP="00DE68DD">
      <w:pPr>
        <w:spacing w:before="0"/>
      </w:pPr>
      <w:r>
        <w:t>Postsecondary students are associated with one (1) of four (4) gender category codes, F for female, M for male, X for non-binary, and “unknown” for students who opt-out of self-identifying their gender and for students at individual institutions not tracking gender non-binary attendees</w:t>
      </w:r>
      <w:r w:rsidRPr="007C2965">
        <w:t xml:space="preserve"> </w:t>
      </w:r>
      <w:r>
        <w:t>who are neither male nor female.</w:t>
      </w:r>
      <w:bookmarkStart w:id="134" w:name="_Gender"/>
      <w:bookmarkStart w:id="135" w:name="_Non-Traditional_Program_determinati"/>
      <w:bookmarkStart w:id="136" w:name="_Toc98829422"/>
      <w:bookmarkEnd w:id="134"/>
      <w:bookmarkEnd w:id="83"/>
      <w:bookmarkEnd w:id="135"/>
    </w:p>
    <w:p w14:paraId="419E2977" w14:textId="77777777" w:rsidR="00DE68DD" w:rsidRDefault="00DE68DD" w:rsidP="00E068AB">
      <w:pPr>
        <w:pStyle w:val="Heading2"/>
        <w:sectPr w:rsidR="00DE68DD" w:rsidSect="00401C80">
          <w:type w:val="continuous"/>
          <w:pgSz w:w="12240" w:h="15840"/>
          <w:pgMar w:top="1080" w:right="1080" w:bottom="1080" w:left="1080" w:header="720" w:footer="720" w:gutter="0"/>
          <w:cols w:space="720"/>
          <w:docGrid w:linePitch="360"/>
        </w:sectPr>
      </w:pPr>
      <w:bookmarkStart w:id="137" w:name="_Toc155258811"/>
    </w:p>
    <w:p w14:paraId="5D8B892E" w14:textId="31380E99" w:rsidR="002E293A" w:rsidRDefault="00940AFC" w:rsidP="00E068AB">
      <w:pPr>
        <w:pStyle w:val="Heading2"/>
      </w:pPr>
      <w:bookmarkStart w:id="138" w:name="_Toc155265246"/>
      <w:r>
        <w:lastRenderedPageBreak/>
        <w:t xml:space="preserve">Appendix </w:t>
      </w:r>
      <w:r w:rsidR="001537D2">
        <w:t>G</w:t>
      </w:r>
      <w:r>
        <w:t xml:space="preserve">: </w:t>
      </w:r>
      <w:bookmarkStart w:id="139" w:name="_Toc98829425"/>
      <w:bookmarkEnd w:id="136"/>
      <w:r w:rsidR="002E293A">
        <w:t>Post-Program &amp; Postsecondary Placement Data</w:t>
      </w:r>
      <w:bookmarkEnd w:id="139"/>
      <w:bookmarkEnd w:id="137"/>
      <w:bookmarkEnd w:id="138"/>
    </w:p>
    <w:p w14:paraId="122650FF" w14:textId="7C54B8EC" w:rsidR="002E293A" w:rsidRDefault="002E293A" w:rsidP="00DE68DD">
      <w:pPr>
        <w:spacing w:after="0"/>
      </w:pPr>
      <w:r>
        <w:t xml:space="preserve">This topic represents the area of greatest challenges in data </w:t>
      </w:r>
      <w:r w:rsidR="00DE68DD">
        <w:t>availability</w:t>
      </w:r>
      <w:r>
        <w:t>. An understanding of which data</w:t>
      </w:r>
      <w:r w:rsidR="00DE68DD">
        <w:t xml:space="preserve"> are used</w:t>
      </w:r>
      <w:r>
        <w:t xml:space="preserve"> is essential to </w:t>
      </w:r>
      <w:r w:rsidR="00DE68DD">
        <w:t>evaluating</w:t>
      </w:r>
      <w:r>
        <w:t xml:space="preserve"> </w:t>
      </w:r>
      <w:r w:rsidR="00DE68DD">
        <w:t xml:space="preserve">actual performance in </w:t>
      </w:r>
      <w:r>
        <w:t>post-program placement</w:t>
      </w:r>
      <w:r w:rsidR="00DE68DD">
        <w:t xml:space="preserve"> metrics (3S1, 1P1)</w:t>
      </w:r>
      <w:r>
        <w:t>.</w:t>
      </w:r>
      <w:r w:rsidR="00DE68DD">
        <w:t xml:space="preserve"> </w:t>
      </w:r>
      <w:r>
        <w:t>The qualifying postsecondary opportunities ODE and HECC have current capacity to track (and which are included in the Perkins data reports) include:</w:t>
      </w:r>
    </w:p>
    <w:p w14:paraId="62FDEF79" w14:textId="77777777" w:rsidR="002E293A" w:rsidRDefault="002E293A" w:rsidP="00AE3209">
      <w:pPr>
        <w:pStyle w:val="ListParagraph"/>
        <w:numPr>
          <w:ilvl w:val="0"/>
          <w:numId w:val="10"/>
        </w:numPr>
      </w:pPr>
      <w:r>
        <w:t>Employment in the state of Oregon reported to Oregon Employment Department (OED)</w:t>
      </w:r>
    </w:p>
    <w:p w14:paraId="42D8CE92" w14:textId="0DA2E3E6" w:rsidR="002E293A" w:rsidRDefault="002E293A" w:rsidP="00AE3209">
      <w:pPr>
        <w:pStyle w:val="ListParagraph"/>
        <w:numPr>
          <w:ilvl w:val="1"/>
          <w:numId w:val="10"/>
        </w:numPr>
      </w:pPr>
      <w:r>
        <w:t xml:space="preserve">Note: </w:t>
      </w:r>
      <w:r w:rsidRPr="0072754B">
        <w:t xml:space="preserve">This indicator does not discriminate among OED-tracked employment opportunities on any basis </w:t>
      </w:r>
      <w:r w:rsidR="005C4F23" w:rsidRPr="0072754B">
        <w:t>including</w:t>
      </w:r>
      <w:r w:rsidRPr="0072754B">
        <w:t xml:space="preserve"> pay-rate, skill level, or level of demand for similar positions. Employment of any fashion reported to OED in the student-relevant quarter qualifies the student to the numerator for their respective metric.</w:t>
      </w:r>
    </w:p>
    <w:p w14:paraId="12799A2C" w14:textId="77777777" w:rsidR="002E293A" w:rsidRDefault="002E293A" w:rsidP="00AE3209">
      <w:pPr>
        <w:pStyle w:val="ListParagraph"/>
        <w:numPr>
          <w:ilvl w:val="0"/>
          <w:numId w:val="10"/>
        </w:numPr>
      </w:pPr>
      <w:r>
        <w:t>Business ownership / self-employment on which taxes are filed and work reported to OED for / by the former student.</w:t>
      </w:r>
    </w:p>
    <w:p w14:paraId="5E1C495F" w14:textId="77777777" w:rsidR="002E293A" w:rsidRDefault="002E293A" w:rsidP="00AE3209">
      <w:pPr>
        <w:pStyle w:val="ListParagraph"/>
        <w:numPr>
          <w:ilvl w:val="1"/>
          <w:numId w:val="10"/>
        </w:numPr>
      </w:pPr>
      <w:r>
        <w:t>Note: For individuals meeting the above requirement but who filed beyond the normal tax filing deadline may not have their records processed in time for inclusion in this calculation.</w:t>
      </w:r>
    </w:p>
    <w:p w14:paraId="7E37B4F9" w14:textId="77777777" w:rsidR="002E293A" w:rsidRDefault="002E293A" w:rsidP="00AE3209">
      <w:pPr>
        <w:pStyle w:val="ListParagraph"/>
        <w:numPr>
          <w:ilvl w:val="0"/>
          <w:numId w:val="10"/>
        </w:numPr>
      </w:pPr>
      <w:r>
        <w:t>Enrollment in any Oregon community college</w:t>
      </w:r>
    </w:p>
    <w:p w14:paraId="3A26B123" w14:textId="77777777" w:rsidR="002E293A" w:rsidRDefault="002E293A" w:rsidP="00AE3209">
      <w:pPr>
        <w:pStyle w:val="ListParagraph"/>
        <w:numPr>
          <w:ilvl w:val="0"/>
          <w:numId w:val="10"/>
        </w:numPr>
      </w:pPr>
      <w:r>
        <w:t>Enrollment in any public university or 4-year college in Oregon</w:t>
      </w:r>
    </w:p>
    <w:p w14:paraId="79666F24" w14:textId="77777777" w:rsidR="002E293A" w:rsidRPr="00303D80" w:rsidRDefault="002E293A" w:rsidP="00AE3209">
      <w:pPr>
        <w:pStyle w:val="ListParagraph"/>
        <w:numPr>
          <w:ilvl w:val="0"/>
          <w:numId w:val="10"/>
        </w:numPr>
      </w:pPr>
      <w:r>
        <w:t xml:space="preserve">Enrollment in some public universities and 4-year colleges in </w:t>
      </w:r>
      <w:r w:rsidRPr="00303D80">
        <w:t xml:space="preserve">other states as reported via the national higher education clearinghouse. </w:t>
      </w:r>
    </w:p>
    <w:p w14:paraId="69C2B9B4" w14:textId="77777777" w:rsidR="002E293A" w:rsidRDefault="002E293A" w:rsidP="00DE68DD">
      <w:pPr>
        <w:spacing w:after="0"/>
      </w:pPr>
      <w:r>
        <w:t>ODE and HECC continue to develop more data sharing agreements for information relevant to qualifying post-program and postsecondary opportunities. Examples of additional qualifying opportunities include:</w:t>
      </w:r>
    </w:p>
    <w:p w14:paraId="6E5B1185" w14:textId="484F125D" w:rsidR="002E293A" w:rsidRDefault="002E293A" w:rsidP="00AE3209">
      <w:pPr>
        <w:pStyle w:val="ListParagraph"/>
        <w:numPr>
          <w:ilvl w:val="0"/>
          <w:numId w:val="11"/>
        </w:numPr>
      </w:pPr>
      <w:r>
        <w:t xml:space="preserve">Enrollment in (more) accredited private colleges and </w:t>
      </w:r>
      <w:r w:rsidR="005C4F23">
        <w:t>universities.</w:t>
      </w:r>
    </w:p>
    <w:p w14:paraId="36BC0112" w14:textId="77777777" w:rsidR="002E293A" w:rsidRDefault="002E293A" w:rsidP="00AE3209">
      <w:pPr>
        <w:pStyle w:val="ListParagraph"/>
        <w:numPr>
          <w:ilvl w:val="0"/>
          <w:numId w:val="11"/>
        </w:numPr>
      </w:pPr>
      <w:r>
        <w:t>Enrollment in (more) public universities and 4-year colleges in other states</w:t>
      </w:r>
    </w:p>
    <w:p w14:paraId="6581DCCA" w14:textId="77777777" w:rsidR="002E293A" w:rsidRDefault="002E293A" w:rsidP="00AE3209">
      <w:pPr>
        <w:pStyle w:val="ListParagraph"/>
        <w:numPr>
          <w:ilvl w:val="0"/>
          <w:numId w:val="11"/>
        </w:numPr>
      </w:pPr>
      <w:r>
        <w:t>Enrollment in (more) trade schools</w:t>
      </w:r>
    </w:p>
    <w:p w14:paraId="420015A3" w14:textId="77777777" w:rsidR="002E293A" w:rsidRDefault="002E293A" w:rsidP="00AE3209">
      <w:pPr>
        <w:pStyle w:val="ListParagraph"/>
        <w:numPr>
          <w:ilvl w:val="0"/>
          <w:numId w:val="11"/>
        </w:numPr>
      </w:pPr>
      <w:r>
        <w:t xml:space="preserve">Military enlistment (It is </w:t>
      </w:r>
      <w:r>
        <w:rPr>
          <w:u w:val="single"/>
        </w:rPr>
        <w:t>extremely</w:t>
      </w:r>
      <w:r>
        <w:t xml:space="preserve"> unlikely DOD will ever provide this information.)</w:t>
      </w:r>
    </w:p>
    <w:p w14:paraId="184AE968" w14:textId="77777777" w:rsidR="002E293A" w:rsidRPr="00C21D46" w:rsidRDefault="002E293A" w:rsidP="00AE3209">
      <w:pPr>
        <w:pStyle w:val="ListParagraph"/>
        <w:numPr>
          <w:ilvl w:val="0"/>
          <w:numId w:val="11"/>
        </w:numPr>
      </w:pPr>
      <w:r>
        <w:t xml:space="preserve">Participation in service-learning programs such as Peace Corps and AmeriCorps </w:t>
      </w:r>
    </w:p>
    <w:p w14:paraId="7BD65785" w14:textId="38FE152E" w:rsidR="002E293A" w:rsidRDefault="00DE68DD" w:rsidP="00555758">
      <w:r>
        <w:t>Neither</w:t>
      </w:r>
      <w:r w:rsidR="002E293A" w:rsidRPr="00DE68DD">
        <w:t xml:space="preserve"> ODE nor HECC can accept any </w:t>
      </w:r>
      <w:r>
        <w:t xml:space="preserve">POS-supplied </w:t>
      </w:r>
      <w:r w:rsidR="002E293A">
        <w:t xml:space="preserve">data on post-program or postsecondary placements. </w:t>
      </w:r>
    </w:p>
    <w:sectPr w:rsidR="002E293A" w:rsidSect="00DE68D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A19B1" w14:textId="77777777" w:rsidR="002E293A" w:rsidRDefault="002E293A" w:rsidP="00AE3209">
      <w:r>
        <w:separator/>
      </w:r>
    </w:p>
  </w:endnote>
  <w:endnote w:type="continuationSeparator" w:id="0">
    <w:p w14:paraId="0ABE999C" w14:textId="77777777" w:rsidR="002E293A" w:rsidRDefault="002E293A" w:rsidP="00AE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AD13F" w14:textId="77777777" w:rsidR="006E738A" w:rsidRDefault="006E7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F279F" w14:textId="012FCEE6" w:rsidR="00156318" w:rsidRDefault="00156318">
    <w:pPr>
      <w:pStyle w:val="Footer"/>
    </w:pPr>
    <w:r>
      <w:t>Oregon Department of Education | January 2024</w:t>
    </w:r>
    <w:r>
      <w:tab/>
    </w:r>
    <w:r>
      <w:tab/>
      <w:t xml:space="preserve">Page </w:t>
    </w:r>
    <w:r>
      <w:fldChar w:fldCharType="begin"/>
    </w:r>
    <w:r>
      <w:instrText xml:space="preserve"> PAGE  \* Arabic  \* MERGEFORMAT </w:instrText>
    </w:r>
    <w:r>
      <w:fldChar w:fldCharType="separate"/>
    </w:r>
    <w:r>
      <w:rPr>
        <w:noProof/>
      </w:rPr>
      <w:t>2</w:t>
    </w:r>
    <w:r>
      <w:fldChar w:fldCharType="end"/>
    </w:r>
    <w:r>
      <w:t xml:space="preserve"> of </w:t>
    </w:r>
    <w:r w:rsidR="00984C6C">
      <w:fldChar w:fldCharType="begin"/>
    </w:r>
    <w:r w:rsidR="00984C6C">
      <w:instrText xml:space="preserve"> NUMPAGES  \* Arabic  \* MERGEFORMAT </w:instrText>
    </w:r>
    <w:r w:rsidR="00984C6C">
      <w:fldChar w:fldCharType="separate"/>
    </w:r>
    <w:r>
      <w:rPr>
        <w:noProof/>
      </w:rPr>
      <w:t>35</w:t>
    </w:r>
    <w:r w:rsidR="00984C6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B68AB" w14:textId="77777777" w:rsidR="006E738A" w:rsidRDefault="006E73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B8787" w14:textId="77777777" w:rsidR="00156318" w:rsidRDefault="00156318">
    <w:pPr>
      <w:pStyle w:val="Footer"/>
    </w:pPr>
    <w:r>
      <w:t>Oregon Department of Education | January 2024</w:t>
    </w:r>
    <w:r>
      <w:tab/>
    </w:r>
    <w:r>
      <w:tab/>
      <w:t xml:space="preserve">Page </w:t>
    </w:r>
    <w:r>
      <w:fldChar w:fldCharType="begin"/>
    </w:r>
    <w:r>
      <w:instrText xml:space="preserve"> PAGE  \* Arabic  \* MERGEFORMAT </w:instrText>
    </w:r>
    <w:r>
      <w:fldChar w:fldCharType="separate"/>
    </w:r>
    <w:r>
      <w:rPr>
        <w:noProof/>
      </w:rPr>
      <w:t>2</w:t>
    </w:r>
    <w:r>
      <w:fldChar w:fldCharType="end"/>
    </w:r>
    <w:r>
      <w:t xml:space="preserve"> of </w:t>
    </w:r>
    <w:r w:rsidR="00984C6C">
      <w:fldChar w:fldCharType="begin"/>
    </w:r>
    <w:r w:rsidR="00984C6C">
      <w:instrText xml:space="preserve"> NUMPAGES  \* Arabic  \* MERGEFORMAT </w:instrText>
    </w:r>
    <w:r w:rsidR="00984C6C">
      <w:fldChar w:fldCharType="separate"/>
    </w:r>
    <w:r>
      <w:rPr>
        <w:noProof/>
      </w:rPr>
      <w:t>35</w:t>
    </w:r>
    <w:r w:rsidR="00984C6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AAC13" w14:textId="77777777" w:rsidR="002E293A" w:rsidRDefault="002E293A" w:rsidP="00AE3209">
      <w:r>
        <w:separator/>
      </w:r>
    </w:p>
  </w:footnote>
  <w:footnote w:type="continuationSeparator" w:id="0">
    <w:p w14:paraId="1DC75BD4" w14:textId="77777777" w:rsidR="002E293A" w:rsidRDefault="002E293A" w:rsidP="00AE3209">
      <w:r>
        <w:continuationSeparator/>
      </w:r>
    </w:p>
  </w:footnote>
  <w:footnote w:id="1">
    <w:p w14:paraId="55D6FC04" w14:textId="1DE04838" w:rsidR="00EC177E" w:rsidRDefault="00EC177E" w:rsidP="00684DAA">
      <w:pPr>
        <w:pStyle w:val="FootnoteText"/>
        <w:spacing w:before="0"/>
      </w:pPr>
      <w:r>
        <w:rPr>
          <w:rStyle w:val="FootnoteReference"/>
        </w:rPr>
        <w:footnoteRef/>
      </w:r>
      <w:r>
        <w:t xml:space="preserve"> </w:t>
      </w:r>
      <w:r w:rsidRPr="00EC177E">
        <w:t>National and Community Service Act of 1990</w:t>
      </w:r>
      <w:r>
        <w:t xml:space="preserve">: </w:t>
      </w:r>
      <w:r w:rsidRPr="00EC177E">
        <w:t>42 U.S.C. 12511 et seq.</w:t>
      </w:r>
    </w:p>
  </w:footnote>
  <w:footnote w:id="2">
    <w:p w14:paraId="0A4FD2D0" w14:textId="33B0BA1A" w:rsidR="00EC177E" w:rsidRDefault="00EC177E" w:rsidP="00684DAA">
      <w:pPr>
        <w:pStyle w:val="FootnoteText"/>
        <w:spacing w:before="0"/>
      </w:pPr>
      <w:r>
        <w:rPr>
          <w:rStyle w:val="FootnoteReference"/>
        </w:rPr>
        <w:footnoteRef/>
      </w:r>
      <w:r>
        <w:t xml:space="preserve"> </w:t>
      </w:r>
      <w:r w:rsidRPr="00EC177E">
        <w:t>Peace Corps Act</w:t>
      </w:r>
      <w:r>
        <w:t>:</w:t>
      </w:r>
      <w:r w:rsidRPr="00EC177E">
        <w:t xml:space="preserve"> 22 U.S.C. 2504(a)</w:t>
      </w:r>
    </w:p>
  </w:footnote>
  <w:footnote w:id="3">
    <w:p w14:paraId="355902FC" w14:textId="0CFE812C" w:rsidR="00684DAA" w:rsidRDefault="00684DAA" w:rsidP="00684DAA">
      <w:pPr>
        <w:pStyle w:val="FootnoteText"/>
        <w:spacing w:before="0"/>
      </w:pPr>
      <w:r>
        <w:rPr>
          <w:rStyle w:val="FootnoteReference"/>
        </w:rPr>
        <w:footnoteRef/>
      </w:r>
      <w:r>
        <w:t xml:space="preserve"> </w:t>
      </w:r>
      <w:r w:rsidRPr="00684DAA">
        <w:rPr>
          <w:b/>
          <w:bCs/>
        </w:rPr>
        <w:t>Data Suppression</w:t>
      </w:r>
      <w:r w:rsidRPr="00684DAA">
        <w:t>: ODE’s process of redacting and/or re-coding aggregate data to reduce the risk of revealing private information about a student.</w:t>
      </w:r>
    </w:p>
  </w:footnote>
  <w:footnote w:id="4">
    <w:p w14:paraId="7A01B681" w14:textId="727AE927" w:rsidR="00684DAA" w:rsidRDefault="00684DAA" w:rsidP="00684DAA">
      <w:pPr>
        <w:pStyle w:val="FootnoteText"/>
        <w:spacing w:before="0"/>
      </w:pPr>
      <w:r>
        <w:rPr>
          <w:rStyle w:val="FootnoteReference"/>
        </w:rPr>
        <w:footnoteRef/>
      </w:r>
      <w:r>
        <w:t xml:space="preserve"> </w:t>
      </w:r>
      <w:r w:rsidRPr="00684DAA">
        <w:rPr>
          <w:b/>
          <w:bCs/>
        </w:rPr>
        <w:t>Aggregation</w:t>
      </w:r>
      <w:r w:rsidRPr="00684DAA">
        <w:t>: Data about clusters or groups, such as counts, averages, medians, or percentages; certain types of aggregation are calculations for specific subsets of students (or former students) such as focal student group statistics.</w:t>
      </w:r>
    </w:p>
  </w:footnote>
  <w:footnote w:id="5">
    <w:p w14:paraId="5BAF8CB6" w14:textId="77777777" w:rsidR="00430AB2" w:rsidRDefault="00430AB2" w:rsidP="00430AB2">
      <w:pPr>
        <w:pStyle w:val="FootnoteText"/>
      </w:pPr>
      <w:r>
        <w:rPr>
          <w:rStyle w:val="FootnoteReference"/>
        </w:rPr>
        <w:footnoteRef/>
      </w:r>
      <w:r>
        <w:t xml:space="preserve"> </w:t>
      </w:r>
      <w:hyperlink r:id="rId1" w:history="1">
        <w:r w:rsidRPr="007C26D4">
          <w:rPr>
            <w:rStyle w:val="Hyperlink"/>
          </w:rPr>
          <w:t>https://nces.ed.gov/ipeds/cipcode/Default.aspx?y=56</w:t>
        </w:r>
      </w:hyperlink>
      <w:r>
        <w:t xml:space="preserve">   </w:t>
      </w:r>
    </w:p>
  </w:footnote>
  <w:footnote w:id="6">
    <w:p w14:paraId="78B5FC67" w14:textId="77777777" w:rsidR="00430AB2" w:rsidRDefault="00430AB2" w:rsidP="00430AB2">
      <w:pPr>
        <w:pStyle w:val="FootnoteText"/>
        <w:spacing w:before="0" w:line="240" w:lineRule="auto"/>
      </w:pPr>
      <w:r>
        <w:rPr>
          <w:rStyle w:val="FootnoteReference"/>
        </w:rPr>
        <w:footnoteRef/>
      </w:r>
      <w:r>
        <w:t xml:space="preserve"> Perkins V WBL Handbook (ODE 2021) p 7</w:t>
      </w:r>
    </w:p>
  </w:footnote>
  <w:footnote w:id="7">
    <w:p w14:paraId="78A0F6E6" w14:textId="77777777" w:rsidR="00430AB2" w:rsidRDefault="00430AB2" w:rsidP="00430AB2">
      <w:pPr>
        <w:pStyle w:val="FootnoteText"/>
        <w:spacing w:before="0" w:line="240" w:lineRule="auto"/>
      </w:pPr>
      <w:r>
        <w:rPr>
          <w:rStyle w:val="FootnoteReference"/>
        </w:rPr>
        <w:footnoteRef/>
      </w:r>
      <w:r>
        <w:t xml:space="preserve"> Perkins V WBL Handbook (ODE 2021) p 6</w:t>
      </w:r>
    </w:p>
  </w:footnote>
  <w:footnote w:id="8">
    <w:p w14:paraId="522CBC95" w14:textId="77777777" w:rsidR="00430AB2" w:rsidRDefault="00430AB2" w:rsidP="00430AB2">
      <w:pPr>
        <w:pStyle w:val="FootnoteText"/>
        <w:spacing w:before="0" w:line="240" w:lineRule="auto"/>
      </w:pPr>
      <w:r>
        <w:rPr>
          <w:rStyle w:val="FootnoteReference"/>
        </w:rPr>
        <w:footnoteRef/>
      </w:r>
      <w:r>
        <w:t xml:space="preserve"> Perkins V WBL Handbook (ODE 2021) p 9</w:t>
      </w:r>
    </w:p>
  </w:footnote>
  <w:footnote w:id="9">
    <w:p w14:paraId="194B70AE" w14:textId="77777777" w:rsidR="00430AB2" w:rsidRDefault="00430AB2" w:rsidP="00430AB2">
      <w:pPr>
        <w:pStyle w:val="FootnoteText"/>
        <w:spacing w:before="0" w:line="240" w:lineRule="auto"/>
      </w:pPr>
      <w:r>
        <w:rPr>
          <w:rStyle w:val="FootnoteReference"/>
        </w:rPr>
        <w:footnoteRef/>
      </w:r>
      <w:r>
        <w:t xml:space="preserve"> Aligning for Student Success (ODE 2022) p 23</w:t>
      </w:r>
    </w:p>
  </w:footnote>
  <w:footnote w:id="10">
    <w:p w14:paraId="7E2E80CC" w14:textId="77777777" w:rsidR="00430AB2" w:rsidRDefault="00430AB2" w:rsidP="00430AB2">
      <w:pPr>
        <w:pStyle w:val="FootnoteText"/>
        <w:spacing w:before="0" w:line="240" w:lineRule="auto"/>
      </w:pPr>
      <w:r>
        <w:rPr>
          <w:rStyle w:val="FootnoteReference"/>
        </w:rPr>
        <w:footnoteRef/>
      </w:r>
      <w:r>
        <w:t xml:space="preserve"> Oregon CTE State Plan (ODE 2021) p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727A0" w14:textId="77777777" w:rsidR="006E738A" w:rsidRDefault="006E7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243CF" w14:textId="77777777" w:rsidR="006E738A" w:rsidRDefault="006E7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B66C2" w14:textId="77777777" w:rsidR="006E738A" w:rsidRDefault="006E73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8C1F6" w14:textId="011F6E18" w:rsidR="00156318" w:rsidRDefault="00984C6C">
    <w:pPr>
      <w:pStyle w:val="Header"/>
    </w:pPr>
    <w:r>
      <w:fldChar w:fldCharType="begin"/>
    </w:r>
    <w:r>
      <w:instrText xml:space="preserve"> FILENAME \* MERGEFORMAT </w:instrText>
    </w:r>
    <w:r>
      <w:fldChar w:fldCharType="separate"/>
    </w:r>
    <w:r w:rsidR="006E738A">
      <w:rPr>
        <w:noProof/>
      </w:rPr>
      <w:t>Perkins Data Reports User Guide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8B8"/>
    <w:multiLevelType w:val="hybridMultilevel"/>
    <w:tmpl w:val="6848F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D111A"/>
    <w:multiLevelType w:val="hybridMultilevel"/>
    <w:tmpl w:val="D1BA4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9766D"/>
    <w:multiLevelType w:val="hybridMultilevel"/>
    <w:tmpl w:val="DA101D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033E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55CA1"/>
    <w:multiLevelType w:val="multilevel"/>
    <w:tmpl w:val="CF36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444FDF"/>
    <w:multiLevelType w:val="hybridMultilevel"/>
    <w:tmpl w:val="D544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D308A"/>
    <w:multiLevelType w:val="hybridMultilevel"/>
    <w:tmpl w:val="BF42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F517E"/>
    <w:multiLevelType w:val="hybridMultilevel"/>
    <w:tmpl w:val="47CE0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365A1"/>
    <w:multiLevelType w:val="hybridMultilevel"/>
    <w:tmpl w:val="218C5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05881"/>
    <w:multiLevelType w:val="hybridMultilevel"/>
    <w:tmpl w:val="2F32E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51EA6"/>
    <w:multiLevelType w:val="hybridMultilevel"/>
    <w:tmpl w:val="37DC5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526DC"/>
    <w:multiLevelType w:val="hybridMultilevel"/>
    <w:tmpl w:val="D73C9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5480A"/>
    <w:multiLevelType w:val="hybridMultilevel"/>
    <w:tmpl w:val="F4A0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854F1"/>
    <w:multiLevelType w:val="hybridMultilevel"/>
    <w:tmpl w:val="F5E8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55F88"/>
    <w:multiLevelType w:val="hybridMultilevel"/>
    <w:tmpl w:val="3FB6B1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BE5B3A"/>
    <w:multiLevelType w:val="hybridMultilevel"/>
    <w:tmpl w:val="20AE1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C0842"/>
    <w:multiLevelType w:val="hybridMultilevel"/>
    <w:tmpl w:val="8688B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786901"/>
    <w:multiLevelType w:val="hybridMultilevel"/>
    <w:tmpl w:val="23ACC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F78D1"/>
    <w:multiLevelType w:val="multilevel"/>
    <w:tmpl w:val="6840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94BF8"/>
    <w:multiLevelType w:val="hybridMultilevel"/>
    <w:tmpl w:val="393AC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806C6"/>
    <w:multiLevelType w:val="hybridMultilevel"/>
    <w:tmpl w:val="1E921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D5999"/>
    <w:multiLevelType w:val="hybridMultilevel"/>
    <w:tmpl w:val="0126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35CE4"/>
    <w:multiLevelType w:val="multilevel"/>
    <w:tmpl w:val="A2FE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16BDA"/>
    <w:multiLevelType w:val="hybridMultilevel"/>
    <w:tmpl w:val="DA101DB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AE57CA0"/>
    <w:multiLevelType w:val="hybridMultilevel"/>
    <w:tmpl w:val="B714F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D3A05"/>
    <w:multiLevelType w:val="hybridMultilevel"/>
    <w:tmpl w:val="0E682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2241B"/>
    <w:multiLevelType w:val="hybridMultilevel"/>
    <w:tmpl w:val="A338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178DB"/>
    <w:multiLevelType w:val="hybridMultilevel"/>
    <w:tmpl w:val="F9BAF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C2B72"/>
    <w:multiLevelType w:val="multilevel"/>
    <w:tmpl w:val="0408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965D16"/>
    <w:multiLevelType w:val="hybridMultilevel"/>
    <w:tmpl w:val="CC465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158EC"/>
    <w:multiLevelType w:val="hybridMultilevel"/>
    <w:tmpl w:val="55CA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D0133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4047A4"/>
    <w:multiLevelType w:val="hybridMultilevel"/>
    <w:tmpl w:val="43768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26A0C"/>
    <w:multiLevelType w:val="hybridMultilevel"/>
    <w:tmpl w:val="53FA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7433A"/>
    <w:multiLevelType w:val="hybridMultilevel"/>
    <w:tmpl w:val="78D4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63EF2"/>
    <w:multiLevelType w:val="hybridMultilevel"/>
    <w:tmpl w:val="2ED8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84531"/>
    <w:multiLevelType w:val="hybridMultilevel"/>
    <w:tmpl w:val="F9BAF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B4588E"/>
    <w:multiLevelType w:val="hybridMultilevel"/>
    <w:tmpl w:val="2350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B52CED"/>
    <w:multiLevelType w:val="hybridMultilevel"/>
    <w:tmpl w:val="7ED6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73D7C"/>
    <w:multiLevelType w:val="hybridMultilevel"/>
    <w:tmpl w:val="1EEA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12EFA"/>
    <w:multiLevelType w:val="hybridMultilevel"/>
    <w:tmpl w:val="084A4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1256E"/>
    <w:multiLevelType w:val="multilevel"/>
    <w:tmpl w:val="6BC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C244F3"/>
    <w:multiLevelType w:val="hybridMultilevel"/>
    <w:tmpl w:val="C8B0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34470"/>
    <w:multiLevelType w:val="multilevel"/>
    <w:tmpl w:val="A034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A825E0"/>
    <w:multiLevelType w:val="multilevel"/>
    <w:tmpl w:val="6B98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66537">
    <w:abstractNumId w:val="17"/>
  </w:num>
  <w:num w:numId="2" w16cid:durableId="1770537433">
    <w:abstractNumId w:val="12"/>
  </w:num>
  <w:num w:numId="3" w16cid:durableId="1941833339">
    <w:abstractNumId w:val="8"/>
  </w:num>
  <w:num w:numId="4" w16cid:durableId="337852646">
    <w:abstractNumId w:val="21"/>
  </w:num>
  <w:num w:numId="5" w16cid:durableId="2036729650">
    <w:abstractNumId w:val="34"/>
  </w:num>
  <w:num w:numId="6" w16cid:durableId="1143544067">
    <w:abstractNumId w:val="38"/>
  </w:num>
  <w:num w:numId="7" w16cid:durableId="353116300">
    <w:abstractNumId w:val="26"/>
  </w:num>
  <w:num w:numId="8" w16cid:durableId="1772894778">
    <w:abstractNumId w:val="24"/>
  </w:num>
  <w:num w:numId="9" w16cid:durableId="809323687">
    <w:abstractNumId w:val="35"/>
  </w:num>
  <w:num w:numId="10" w16cid:durableId="766851674">
    <w:abstractNumId w:val="5"/>
  </w:num>
  <w:num w:numId="11" w16cid:durableId="1390500532">
    <w:abstractNumId w:val="42"/>
  </w:num>
  <w:num w:numId="12" w16cid:durableId="576019215">
    <w:abstractNumId w:val="20"/>
  </w:num>
  <w:num w:numId="13" w16cid:durableId="735974101">
    <w:abstractNumId w:val="37"/>
  </w:num>
  <w:num w:numId="14" w16cid:durableId="2092460588">
    <w:abstractNumId w:val="29"/>
  </w:num>
  <w:num w:numId="15" w16cid:durableId="1609893264">
    <w:abstractNumId w:val="1"/>
  </w:num>
  <w:num w:numId="16" w16cid:durableId="487209019">
    <w:abstractNumId w:val="0"/>
  </w:num>
  <w:num w:numId="17" w16cid:durableId="1708142890">
    <w:abstractNumId w:val="9"/>
  </w:num>
  <w:num w:numId="18" w16cid:durableId="2090420165">
    <w:abstractNumId w:val="16"/>
  </w:num>
  <w:num w:numId="19" w16cid:durableId="702170659">
    <w:abstractNumId w:val="2"/>
  </w:num>
  <w:num w:numId="20" w16cid:durableId="1474564110">
    <w:abstractNumId w:val="19"/>
  </w:num>
  <w:num w:numId="21" w16cid:durableId="1974024000">
    <w:abstractNumId w:val="27"/>
  </w:num>
  <w:num w:numId="22" w16cid:durableId="1202211579">
    <w:abstractNumId w:val="10"/>
  </w:num>
  <w:num w:numId="23" w16cid:durableId="107169289">
    <w:abstractNumId w:val="6"/>
  </w:num>
  <w:num w:numId="24" w16cid:durableId="1659193498">
    <w:abstractNumId w:val="13"/>
  </w:num>
  <w:num w:numId="25" w16cid:durableId="1806315513">
    <w:abstractNumId w:val="11"/>
  </w:num>
  <w:num w:numId="26" w16cid:durableId="1015107336">
    <w:abstractNumId w:val="40"/>
  </w:num>
  <w:num w:numId="27" w16cid:durableId="1799185589">
    <w:abstractNumId w:val="33"/>
  </w:num>
  <w:num w:numId="28" w16cid:durableId="799692360">
    <w:abstractNumId w:val="36"/>
  </w:num>
  <w:num w:numId="29" w16cid:durableId="510337110">
    <w:abstractNumId w:val="39"/>
  </w:num>
  <w:num w:numId="30" w16cid:durableId="1714230486">
    <w:abstractNumId w:val="7"/>
  </w:num>
  <w:num w:numId="31" w16cid:durableId="1907184580">
    <w:abstractNumId w:val="14"/>
  </w:num>
  <w:num w:numId="32" w16cid:durableId="1602764419">
    <w:abstractNumId w:val="30"/>
  </w:num>
  <w:num w:numId="33" w16cid:durableId="960184586">
    <w:abstractNumId w:val="4"/>
  </w:num>
  <w:num w:numId="34" w16cid:durableId="1461535292">
    <w:abstractNumId w:val="41"/>
  </w:num>
  <w:num w:numId="35" w16cid:durableId="1133255063">
    <w:abstractNumId w:val="18"/>
  </w:num>
  <w:num w:numId="36" w16cid:durableId="233905165">
    <w:abstractNumId w:val="22"/>
  </w:num>
  <w:num w:numId="37" w16cid:durableId="2109958212">
    <w:abstractNumId w:val="44"/>
  </w:num>
  <w:num w:numId="38" w16cid:durableId="1642807626">
    <w:abstractNumId w:val="28"/>
  </w:num>
  <w:num w:numId="39" w16cid:durableId="1286962817">
    <w:abstractNumId w:val="32"/>
  </w:num>
  <w:num w:numId="40" w16cid:durableId="1713844557">
    <w:abstractNumId w:val="23"/>
  </w:num>
  <w:num w:numId="41" w16cid:durableId="292633890">
    <w:abstractNumId w:val="3"/>
  </w:num>
  <w:num w:numId="42" w16cid:durableId="866260625">
    <w:abstractNumId w:val="31"/>
  </w:num>
  <w:num w:numId="43" w16cid:durableId="207031571">
    <w:abstractNumId w:val="15"/>
  </w:num>
  <w:num w:numId="44" w16cid:durableId="417675786">
    <w:abstractNumId w:val="25"/>
  </w:num>
  <w:num w:numId="45" w16cid:durableId="7382008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3A"/>
    <w:rsid w:val="000001EB"/>
    <w:rsid w:val="00013A27"/>
    <w:rsid w:val="00020732"/>
    <w:rsid w:val="00057FD8"/>
    <w:rsid w:val="00071273"/>
    <w:rsid w:val="00090ABA"/>
    <w:rsid w:val="0009345E"/>
    <w:rsid w:val="000A5756"/>
    <w:rsid w:val="000B6BBB"/>
    <w:rsid w:val="000C14A2"/>
    <w:rsid w:val="000C4F7D"/>
    <w:rsid w:val="000C5C46"/>
    <w:rsid w:val="000D2103"/>
    <w:rsid w:val="000D36B7"/>
    <w:rsid w:val="000E7BC7"/>
    <w:rsid w:val="0013431A"/>
    <w:rsid w:val="00145242"/>
    <w:rsid w:val="001537D2"/>
    <w:rsid w:val="00156318"/>
    <w:rsid w:val="001702A5"/>
    <w:rsid w:val="00187FD9"/>
    <w:rsid w:val="001907F2"/>
    <w:rsid w:val="001D6048"/>
    <w:rsid w:val="001E3296"/>
    <w:rsid w:val="0022037B"/>
    <w:rsid w:val="002217DB"/>
    <w:rsid w:val="00223DAF"/>
    <w:rsid w:val="0025408D"/>
    <w:rsid w:val="002657FB"/>
    <w:rsid w:val="00295954"/>
    <w:rsid w:val="002A72AB"/>
    <w:rsid w:val="002C4BDA"/>
    <w:rsid w:val="002D37BB"/>
    <w:rsid w:val="002D5FE7"/>
    <w:rsid w:val="002D703A"/>
    <w:rsid w:val="002E293A"/>
    <w:rsid w:val="002E7A4C"/>
    <w:rsid w:val="002F2E45"/>
    <w:rsid w:val="00300E2F"/>
    <w:rsid w:val="00333A1C"/>
    <w:rsid w:val="003367CC"/>
    <w:rsid w:val="00346621"/>
    <w:rsid w:val="0038567A"/>
    <w:rsid w:val="003A4E46"/>
    <w:rsid w:val="003A5E26"/>
    <w:rsid w:val="003E5AD4"/>
    <w:rsid w:val="003F6983"/>
    <w:rsid w:val="0040136A"/>
    <w:rsid w:val="00401C80"/>
    <w:rsid w:val="004024D8"/>
    <w:rsid w:val="004159AA"/>
    <w:rsid w:val="00430AB2"/>
    <w:rsid w:val="00465BAE"/>
    <w:rsid w:val="004B38C1"/>
    <w:rsid w:val="004B501F"/>
    <w:rsid w:val="005110C4"/>
    <w:rsid w:val="00532D27"/>
    <w:rsid w:val="005507FA"/>
    <w:rsid w:val="00555758"/>
    <w:rsid w:val="00582C15"/>
    <w:rsid w:val="005C4BD0"/>
    <w:rsid w:val="005C4F23"/>
    <w:rsid w:val="005F7590"/>
    <w:rsid w:val="00615B91"/>
    <w:rsid w:val="00617A1A"/>
    <w:rsid w:val="00626867"/>
    <w:rsid w:val="0064392B"/>
    <w:rsid w:val="00684DAA"/>
    <w:rsid w:val="00686D26"/>
    <w:rsid w:val="006E738A"/>
    <w:rsid w:val="006F1D92"/>
    <w:rsid w:val="00712E0C"/>
    <w:rsid w:val="00741EB8"/>
    <w:rsid w:val="007542E2"/>
    <w:rsid w:val="007A6F57"/>
    <w:rsid w:val="007C32D0"/>
    <w:rsid w:val="008202D2"/>
    <w:rsid w:val="0085230B"/>
    <w:rsid w:val="0087285D"/>
    <w:rsid w:val="008843A1"/>
    <w:rsid w:val="008B3BC7"/>
    <w:rsid w:val="00904BFB"/>
    <w:rsid w:val="009050DA"/>
    <w:rsid w:val="009379FF"/>
    <w:rsid w:val="00940AFC"/>
    <w:rsid w:val="00984C6C"/>
    <w:rsid w:val="00985898"/>
    <w:rsid w:val="009A652E"/>
    <w:rsid w:val="009B15ED"/>
    <w:rsid w:val="00A00D35"/>
    <w:rsid w:val="00A1287D"/>
    <w:rsid w:val="00A57B5C"/>
    <w:rsid w:val="00A73E23"/>
    <w:rsid w:val="00A808D7"/>
    <w:rsid w:val="00A933B5"/>
    <w:rsid w:val="00AB351A"/>
    <w:rsid w:val="00AD1307"/>
    <w:rsid w:val="00AE3209"/>
    <w:rsid w:val="00B00F77"/>
    <w:rsid w:val="00B01343"/>
    <w:rsid w:val="00B04F92"/>
    <w:rsid w:val="00B341E0"/>
    <w:rsid w:val="00B3764B"/>
    <w:rsid w:val="00B556B7"/>
    <w:rsid w:val="00B56B6A"/>
    <w:rsid w:val="00B84C94"/>
    <w:rsid w:val="00BB6FE0"/>
    <w:rsid w:val="00C03FF3"/>
    <w:rsid w:val="00C05DCE"/>
    <w:rsid w:val="00C26B6D"/>
    <w:rsid w:val="00C27DD4"/>
    <w:rsid w:val="00C45A59"/>
    <w:rsid w:val="00CB1057"/>
    <w:rsid w:val="00CB56F4"/>
    <w:rsid w:val="00CC737F"/>
    <w:rsid w:val="00CD0D9C"/>
    <w:rsid w:val="00D44F39"/>
    <w:rsid w:val="00D90A8F"/>
    <w:rsid w:val="00D93014"/>
    <w:rsid w:val="00DD1930"/>
    <w:rsid w:val="00DD212E"/>
    <w:rsid w:val="00DE68DD"/>
    <w:rsid w:val="00E068AB"/>
    <w:rsid w:val="00E13D62"/>
    <w:rsid w:val="00E17760"/>
    <w:rsid w:val="00E350D9"/>
    <w:rsid w:val="00E45521"/>
    <w:rsid w:val="00E66A2B"/>
    <w:rsid w:val="00E70EDF"/>
    <w:rsid w:val="00E73AC0"/>
    <w:rsid w:val="00E90494"/>
    <w:rsid w:val="00E91A89"/>
    <w:rsid w:val="00EA3425"/>
    <w:rsid w:val="00EB7618"/>
    <w:rsid w:val="00EC13E0"/>
    <w:rsid w:val="00EC177E"/>
    <w:rsid w:val="00F02197"/>
    <w:rsid w:val="00F11A8D"/>
    <w:rsid w:val="00F23B4F"/>
    <w:rsid w:val="00F27DCD"/>
    <w:rsid w:val="00F35DA0"/>
    <w:rsid w:val="00F54E5B"/>
    <w:rsid w:val="00FC7857"/>
    <w:rsid w:val="00FD0BDE"/>
    <w:rsid w:val="00FD5024"/>
    <w:rsid w:val="00FE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18D4"/>
  <w15:chartTrackingRefBased/>
  <w15:docId w15:val="{1E05DA55-F0CE-43A0-9DC6-25691BF9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209"/>
    <w:pPr>
      <w:spacing w:before="240" w:line="276" w:lineRule="auto"/>
    </w:pPr>
    <w:rPr>
      <w:sz w:val="22"/>
      <w:szCs w:val="22"/>
    </w:rPr>
  </w:style>
  <w:style w:type="paragraph" w:styleId="Heading1">
    <w:name w:val="heading 1"/>
    <w:basedOn w:val="Normal"/>
    <w:next w:val="Normal"/>
    <w:link w:val="Heading1Char"/>
    <w:autoRedefine/>
    <w:uiPriority w:val="9"/>
    <w:qFormat/>
    <w:rsid w:val="00A933B5"/>
    <w:pPr>
      <w:keepNext/>
      <w:keepLines/>
      <w:spacing w:after="0"/>
      <w:jc w:val="right"/>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autoRedefine/>
    <w:uiPriority w:val="9"/>
    <w:unhideWhenUsed/>
    <w:qFormat/>
    <w:rsid w:val="00686D26"/>
    <w:pPr>
      <w:keepNext/>
      <w:keepLines/>
      <w:spacing w:after="0"/>
      <w:outlineLvl w:val="1"/>
    </w:pPr>
    <w:rPr>
      <w:rFonts w:asciiTheme="majorHAnsi" w:eastAsiaTheme="majorEastAsia" w:hAnsiTheme="majorHAnsi" w:cstheme="majorBidi"/>
      <w:color w:val="1F497D" w:themeColor="text2"/>
      <w:sz w:val="26"/>
      <w:szCs w:val="26"/>
    </w:rPr>
  </w:style>
  <w:style w:type="paragraph" w:styleId="Heading3">
    <w:name w:val="heading 3"/>
    <w:basedOn w:val="Normal"/>
    <w:next w:val="Normal"/>
    <w:link w:val="Heading3Char"/>
    <w:autoRedefine/>
    <w:uiPriority w:val="9"/>
    <w:unhideWhenUsed/>
    <w:qFormat/>
    <w:rsid w:val="007542E2"/>
    <w:pPr>
      <w:keepNext/>
      <w:keepLines/>
      <w:spacing w:before="4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542E2"/>
    <w:pPr>
      <w:keepNext/>
      <w:keepLines/>
      <w:spacing w:before="40" w:after="0"/>
      <w:outlineLvl w:val="3"/>
    </w:pPr>
    <w:rPr>
      <w:rFonts w:asciiTheme="majorHAnsi" w:eastAsiaTheme="majorEastAsia" w:hAnsiTheme="majorHAnsi" w:cstheme="majorBidi"/>
      <w:i/>
      <w:iCs/>
      <w:color w:val="A66500"/>
    </w:rPr>
  </w:style>
  <w:style w:type="paragraph" w:styleId="Heading5">
    <w:name w:val="heading 5"/>
    <w:basedOn w:val="Normal"/>
    <w:next w:val="Normal"/>
    <w:link w:val="Heading5Char"/>
    <w:uiPriority w:val="9"/>
    <w:unhideWhenUsed/>
    <w:qFormat/>
    <w:rsid w:val="002E29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3B5"/>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686D26"/>
    <w:rPr>
      <w:rFonts w:asciiTheme="majorHAnsi" w:eastAsiaTheme="majorEastAsia" w:hAnsiTheme="majorHAnsi" w:cstheme="majorBidi"/>
      <w:color w:val="1F497D" w:themeColor="text2"/>
      <w:sz w:val="26"/>
      <w:szCs w:val="26"/>
    </w:rPr>
  </w:style>
  <w:style w:type="character" w:customStyle="1" w:styleId="Heading3Char">
    <w:name w:val="Heading 3 Char"/>
    <w:basedOn w:val="DefaultParagraphFont"/>
    <w:link w:val="Heading3"/>
    <w:uiPriority w:val="9"/>
    <w:rsid w:val="007542E2"/>
    <w:rPr>
      <w:rFonts w:asciiTheme="majorHAnsi" w:eastAsiaTheme="majorEastAsia" w:hAnsiTheme="majorHAnsi" w:cstheme="majorBidi"/>
      <w:b/>
      <w:bCs/>
      <w:sz w:val="22"/>
      <w:szCs w:val="22"/>
    </w:rPr>
  </w:style>
  <w:style w:type="character" w:customStyle="1" w:styleId="Heading4Char">
    <w:name w:val="Heading 4 Char"/>
    <w:basedOn w:val="DefaultParagraphFont"/>
    <w:link w:val="Heading4"/>
    <w:uiPriority w:val="9"/>
    <w:rsid w:val="007542E2"/>
    <w:rPr>
      <w:rFonts w:asciiTheme="majorHAnsi" w:eastAsiaTheme="majorEastAsia" w:hAnsiTheme="majorHAnsi" w:cstheme="majorBidi"/>
      <w:i/>
      <w:iCs/>
      <w:color w:val="A66500"/>
      <w:sz w:val="22"/>
      <w:szCs w:val="22"/>
    </w:rPr>
  </w:style>
  <w:style w:type="character" w:customStyle="1" w:styleId="Heading5Char">
    <w:name w:val="Heading 5 Char"/>
    <w:basedOn w:val="DefaultParagraphFont"/>
    <w:link w:val="Heading5"/>
    <w:uiPriority w:val="9"/>
    <w:rsid w:val="002E293A"/>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2E293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93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E293A"/>
    <w:pPr>
      <w:ind w:left="720"/>
      <w:contextualSpacing/>
    </w:pPr>
  </w:style>
  <w:style w:type="paragraph" w:styleId="TOCHeading">
    <w:name w:val="TOC Heading"/>
    <w:basedOn w:val="Heading1"/>
    <w:next w:val="Normal"/>
    <w:uiPriority w:val="39"/>
    <w:unhideWhenUsed/>
    <w:qFormat/>
    <w:rsid w:val="002E293A"/>
    <w:pPr>
      <w:spacing w:line="259" w:lineRule="auto"/>
      <w:outlineLvl w:val="9"/>
    </w:pPr>
  </w:style>
  <w:style w:type="paragraph" w:styleId="TOC1">
    <w:name w:val="toc 1"/>
    <w:basedOn w:val="Normal"/>
    <w:next w:val="Normal"/>
    <w:autoRedefine/>
    <w:uiPriority w:val="39"/>
    <w:unhideWhenUsed/>
    <w:rsid w:val="002E293A"/>
    <w:pPr>
      <w:tabs>
        <w:tab w:val="right" w:leader="dot" w:pos="10070"/>
      </w:tabs>
      <w:spacing w:after="100"/>
    </w:pPr>
  </w:style>
  <w:style w:type="paragraph" w:styleId="TOC2">
    <w:name w:val="toc 2"/>
    <w:basedOn w:val="Normal"/>
    <w:next w:val="Normal"/>
    <w:autoRedefine/>
    <w:uiPriority w:val="39"/>
    <w:unhideWhenUsed/>
    <w:rsid w:val="002E293A"/>
    <w:pPr>
      <w:tabs>
        <w:tab w:val="right" w:leader="dot" w:pos="10070"/>
      </w:tabs>
      <w:spacing w:after="100"/>
      <w:ind w:left="240"/>
    </w:pPr>
  </w:style>
  <w:style w:type="character" w:styleId="Hyperlink">
    <w:name w:val="Hyperlink"/>
    <w:basedOn w:val="DefaultParagraphFont"/>
    <w:uiPriority w:val="99"/>
    <w:unhideWhenUsed/>
    <w:rsid w:val="002E293A"/>
    <w:rPr>
      <w:color w:val="0000FF" w:themeColor="hyperlink"/>
      <w:u w:val="single"/>
    </w:rPr>
  </w:style>
  <w:style w:type="table" w:styleId="MediumList2-Accent1">
    <w:name w:val="Medium List 2 Accent 1"/>
    <w:basedOn w:val="TableNormal"/>
    <w:uiPriority w:val="66"/>
    <w:rsid w:val="002E293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2E293A"/>
    <w:rPr>
      <w:color w:val="800080" w:themeColor="followedHyperlink"/>
      <w:u w:val="single"/>
    </w:rPr>
  </w:style>
  <w:style w:type="paragraph" w:styleId="FootnoteText">
    <w:name w:val="footnote text"/>
    <w:basedOn w:val="Normal"/>
    <w:link w:val="FootnoteTextChar"/>
    <w:uiPriority w:val="99"/>
    <w:unhideWhenUsed/>
    <w:rsid w:val="002E293A"/>
    <w:pPr>
      <w:spacing w:after="0"/>
    </w:pPr>
    <w:rPr>
      <w:sz w:val="20"/>
      <w:szCs w:val="20"/>
    </w:rPr>
  </w:style>
  <w:style w:type="character" w:customStyle="1" w:styleId="FootnoteTextChar">
    <w:name w:val="Footnote Text Char"/>
    <w:basedOn w:val="DefaultParagraphFont"/>
    <w:link w:val="FootnoteText"/>
    <w:uiPriority w:val="99"/>
    <w:rsid w:val="002E293A"/>
    <w:rPr>
      <w:sz w:val="20"/>
      <w:szCs w:val="20"/>
    </w:rPr>
  </w:style>
  <w:style w:type="character" w:styleId="FootnoteReference">
    <w:name w:val="footnote reference"/>
    <w:basedOn w:val="DefaultParagraphFont"/>
    <w:uiPriority w:val="99"/>
    <w:semiHidden/>
    <w:unhideWhenUsed/>
    <w:rsid w:val="002E293A"/>
    <w:rPr>
      <w:vertAlign w:val="superscript"/>
    </w:rPr>
  </w:style>
  <w:style w:type="paragraph" w:styleId="Header">
    <w:name w:val="header"/>
    <w:basedOn w:val="Normal"/>
    <w:link w:val="HeaderChar"/>
    <w:uiPriority w:val="99"/>
    <w:unhideWhenUsed/>
    <w:rsid w:val="002E293A"/>
    <w:pPr>
      <w:tabs>
        <w:tab w:val="center" w:pos="4680"/>
        <w:tab w:val="right" w:pos="9360"/>
      </w:tabs>
      <w:spacing w:after="0"/>
    </w:pPr>
  </w:style>
  <w:style w:type="character" w:customStyle="1" w:styleId="HeaderChar">
    <w:name w:val="Header Char"/>
    <w:basedOn w:val="DefaultParagraphFont"/>
    <w:link w:val="Header"/>
    <w:uiPriority w:val="99"/>
    <w:rsid w:val="002E293A"/>
  </w:style>
  <w:style w:type="paragraph" w:styleId="Footer">
    <w:name w:val="footer"/>
    <w:basedOn w:val="Normal"/>
    <w:link w:val="FooterChar"/>
    <w:uiPriority w:val="99"/>
    <w:unhideWhenUsed/>
    <w:rsid w:val="002E293A"/>
    <w:pPr>
      <w:tabs>
        <w:tab w:val="center" w:pos="4680"/>
        <w:tab w:val="right" w:pos="9360"/>
      </w:tabs>
      <w:spacing w:after="0"/>
    </w:pPr>
  </w:style>
  <w:style w:type="character" w:customStyle="1" w:styleId="FooterChar">
    <w:name w:val="Footer Char"/>
    <w:basedOn w:val="DefaultParagraphFont"/>
    <w:link w:val="Footer"/>
    <w:uiPriority w:val="99"/>
    <w:rsid w:val="002E293A"/>
  </w:style>
  <w:style w:type="paragraph" w:styleId="TOC3">
    <w:name w:val="toc 3"/>
    <w:basedOn w:val="Normal"/>
    <w:next w:val="Normal"/>
    <w:autoRedefine/>
    <w:uiPriority w:val="39"/>
    <w:unhideWhenUsed/>
    <w:rsid w:val="002E293A"/>
    <w:pPr>
      <w:spacing w:after="100"/>
      <w:ind w:left="480"/>
    </w:pPr>
  </w:style>
  <w:style w:type="paragraph" w:styleId="Subtitle">
    <w:name w:val="Subtitle"/>
    <w:basedOn w:val="Normal"/>
    <w:next w:val="Normal"/>
    <w:link w:val="SubtitleChar"/>
    <w:uiPriority w:val="11"/>
    <w:qFormat/>
    <w:rsid w:val="002E293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2E293A"/>
    <w:rPr>
      <w:rFonts w:eastAsiaTheme="minorEastAsia" w:cstheme="minorBidi"/>
      <w:color w:val="5A5A5A" w:themeColor="text1" w:themeTint="A5"/>
      <w:spacing w:val="15"/>
      <w:sz w:val="22"/>
      <w:szCs w:val="22"/>
    </w:rPr>
  </w:style>
  <w:style w:type="paragraph" w:styleId="TOC4">
    <w:name w:val="toc 4"/>
    <w:basedOn w:val="Normal"/>
    <w:next w:val="Normal"/>
    <w:autoRedefine/>
    <w:uiPriority w:val="39"/>
    <w:unhideWhenUsed/>
    <w:rsid w:val="002E293A"/>
    <w:pPr>
      <w:spacing w:after="100"/>
      <w:ind w:left="720"/>
    </w:pPr>
  </w:style>
  <w:style w:type="character" w:styleId="Emphasis">
    <w:name w:val="Emphasis"/>
    <w:basedOn w:val="DefaultParagraphFont"/>
    <w:uiPriority w:val="20"/>
    <w:qFormat/>
    <w:rsid w:val="002E293A"/>
    <w:rPr>
      <w:i/>
      <w:iCs/>
    </w:rPr>
  </w:style>
  <w:style w:type="character" w:styleId="IntenseReference">
    <w:name w:val="Intense Reference"/>
    <w:basedOn w:val="DefaultParagraphFont"/>
    <w:uiPriority w:val="32"/>
    <w:qFormat/>
    <w:rsid w:val="002E293A"/>
    <w:rPr>
      <w:b/>
      <w:bCs/>
      <w:smallCaps/>
      <w:color w:val="1F497D" w:themeColor="text2"/>
      <w:spacing w:val="5"/>
    </w:rPr>
  </w:style>
  <w:style w:type="character" w:styleId="CommentReference">
    <w:name w:val="annotation reference"/>
    <w:basedOn w:val="DefaultParagraphFont"/>
    <w:uiPriority w:val="99"/>
    <w:semiHidden/>
    <w:unhideWhenUsed/>
    <w:rsid w:val="002E293A"/>
    <w:rPr>
      <w:sz w:val="16"/>
      <w:szCs w:val="16"/>
    </w:rPr>
  </w:style>
  <w:style w:type="paragraph" w:styleId="CommentText">
    <w:name w:val="annotation text"/>
    <w:basedOn w:val="Normal"/>
    <w:link w:val="CommentTextChar"/>
    <w:uiPriority w:val="99"/>
    <w:unhideWhenUsed/>
    <w:rsid w:val="002E293A"/>
    <w:rPr>
      <w:sz w:val="20"/>
      <w:szCs w:val="20"/>
    </w:rPr>
  </w:style>
  <w:style w:type="character" w:customStyle="1" w:styleId="CommentTextChar">
    <w:name w:val="Comment Text Char"/>
    <w:basedOn w:val="DefaultParagraphFont"/>
    <w:link w:val="CommentText"/>
    <w:uiPriority w:val="99"/>
    <w:rsid w:val="002E293A"/>
    <w:rPr>
      <w:sz w:val="20"/>
      <w:szCs w:val="20"/>
    </w:rPr>
  </w:style>
  <w:style w:type="paragraph" w:styleId="CommentSubject">
    <w:name w:val="annotation subject"/>
    <w:basedOn w:val="CommentText"/>
    <w:next w:val="CommentText"/>
    <w:link w:val="CommentSubjectChar"/>
    <w:uiPriority w:val="99"/>
    <w:semiHidden/>
    <w:unhideWhenUsed/>
    <w:rsid w:val="002E293A"/>
    <w:rPr>
      <w:b/>
      <w:bCs/>
    </w:rPr>
  </w:style>
  <w:style w:type="character" w:customStyle="1" w:styleId="CommentSubjectChar">
    <w:name w:val="Comment Subject Char"/>
    <w:basedOn w:val="CommentTextChar"/>
    <w:link w:val="CommentSubject"/>
    <w:uiPriority w:val="99"/>
    <w:semiHidden/>
    <w:rsid w:val="002E293A"/>
    <w:rPr>
      <w:b/>
      <w:bCs/>
      <w:sz w:val="20"/>
      <w:szCs w:val="20"/>
    </w:rPr>
  </w:style>
  <w:style w:type="paragraph" w:styleId="BalloonText">
    <w:name w:val="Balloon Text"/>
    <w:basedOn w:val="Normal"/>
    <w:link w:val="BalloonTextChar"/>
    <w:uiPriority w:val="99"/>
    <w:semiHidden/>
    <w:unhideWhenUsed/>
    <w:rsid w:val="002E29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93A"/>
    <w:rPr>
      <w:rFonts w:ascii="Segoe UI" w:hAnsi="Segoe UI" w:cs="Segoe UI"/>
      <w:sz w:val="18"/>
      <w:szCs w:val="18"/>
    </w:rPr>
  </w:style>
  <w:style w:type="paragraph" w:styleId="NoSpacing">
    <w:name w:val="No Spacing"/>
    <w:uiPriority w:val="1"/>
    <w:qFormat/>
    <w:rsid w:val="002E293A"/>
    <w:pPr>
      <w:spacing w:after="0"/>
    </w:pPr>
  </w:style>
  <w:style w:type="character" w:styleId="SubtleReference">
    <w:name w:val="Subtle Reference"/>
    <w:basedOn w:val="DefaultParagraphFont"/>
    <w:uiPriority w:val="31"/>
    <w:qFormat/>
    <w:rsid w:val="002E293A"/>
    <w:rPr>
      <w:smallCaps/>
      <w:color w:val="5A5A5A" w:themeColor="text1" w:themeTint="A5"/>
    </w:rPr>
  </w:style>
  <w:style w:type="paragraph" w:styleId="IntenseQuote">
    <w:name w:val="Intense Quote"/>
    <w:basedOn w:val="Normal"/>
    <w:next w:val="Normal"/>
    <w:link w:val="IntenseQuoteChar"/>
    <w:uiPriority w:val="30"/>
    <w:qFormat/>
    <w:rsid w:val="002E29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E293A"/>
    <w:rPr>
      <w:i/>
      <w:iCs/>
      <w:color w:val="4F81BD" w:themeColor="accent1"/>
    </w:rPr>
  </w:style>
  <w:style w:type="paragraph" w:styleId="Quote">
    <w:name w:val="Quote"/>
    <w:basedOn w:val="Normal"/>
    <w:next w:val="Normal"/>
    <w:link w:val="QuoteChar"/>
    <w:uiPriority w:val="29"/>
    <w:qFormat/>
    <w:rsid w:val="002E29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E293A"/>
    <w:rPr>
      <w:i/>
      <w:iCs/>
      <w:color w:val="404040" w:themeColor="text1" w:themeTint="BF"/>
    </w:rPr>
  </w:style>
  <w:style w:type="character" w:styleId="Strong">
    <w:name w:val="Strong"/>
    <w:basedOn w:val="DefaultParagraphFont"/>
    <w:uiPriority w:val="22"/>
    <w:qFormat/>
    <w:rsid w:val="002E293A"/>
    <w:rPr>
      <w:b/>
      <w:bCs/>
    </w:rPr>
  </w:style>
  <w:style w:type="paragraph" w:styleId="NormalWeb">
    <w:name w:val="Normal (Web)"/>
    <w:basedOn w:val="Normal"/>
    <w:uiPriority w:val="99"/>
    <w:unhideWhenUsed/>
    <w:rsid w:val="002E293A"/>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2E293A"/>
    <w:pPr>
      <w:spacing w:after="0"/>
    </w:pPr>
  </w:style>
  <w:style w:type="character" w:styleId="UnresolvedMention">
    <w:name w:val="Unresolved Mention"/>
    <w:basedOn w:val="DefaultParagraphFont"/>
    <w:uiPriority w:val="99"/>
    <w:semiHidden/>
    <w:unhideWhenUsed/>
    <w:rsid w:val="00E66A2B"/>
    <w:rPr>
      <w:color w:val="605E5C"/>
      <w:shd w:val="clear" w:color="auto" w:fill="E1DFDD"/>
    </w:rPr>
  </w:style>
  <w:style w:type="table" w:styleId="TableGrid">
    <w:name w:val="Table Grid"/>
    <w:basedOn w:val="TableNormal"/>
    <w:uiPriority w:val="59"/>
    <w:rsid w:val="004013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01EB"/>
    <w:pPr>
      <w:keepNext/>
      <w:spacing w:before="0" w:line="240" w:lineRule="auto"/>
    </w:pPr>
    <w:rPr>
      <w:i/>
      <w:iCs/>
      <w:color w:val="0F243E" w:themeColor="text2"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321958">
      <w:bodyDiv w:val="1"/>
      <w:marLeft w:val="0"/>
      <w:marRight w:val="0"/>
      <w:marTop w:val="0"/>
      <w:marBottom w:val="0"/>
      <w:divBdr>
        <w:top w:val="none" w:sz="0" w:space="0" w:color="auto"/>
        <w:left w:val="none" w:sz="0" w:space="0" w:color="auto"/>
        <w:bottom w:val="none" w:sz="0" w:space="0" w:color="auto"/>
        <w:right w:val="none" w:sz="0" w:space="0" w:color="auto"/>
      </w:divBdr>
    </w:div>
    <w:div w:id="335692602">
      <w:bodyDiv w:val="1"/>
      <w:marLeft w:val="0"/>
      <w:marRight w:val="0"/>
      <w:marTop w:val="0"/>
      <w:marBottom w:val="0"/>
      <w:divBdr>
        <w:top w:val="none" w:sz="0" w:space="0" w:color="auto"/>
        <w:left w:val="none" w:sz="0" w:space="0" w:color="auto"/>
        <w:bottom w:val="none" w:sz="0" w:space="0" w:color="auto"/>
        <w:right w:val="none" w:sz="0" w:space="0" w:color="auto"/>
      </w:divBdr>
    </w:div>
    <w:div w:id="1105344052">
      <w:bodyDiv w:val="1"/>
      <w:marLeft w:val="0"/>
      <w:marRight w:val="0"/>
      <w:marTop w:val="0"/>
      <w:marBottom w:val="0"/>
      <w:divBdr>
        <w:top w:val="none" w:sz="0" w:space="0" w:color="auto"/>
        <w:left w:val="none" w:sz="0" w:space="0" w:color="auto"/>
        <w:bottom w:val="none" w:sz="0" w:space="0" w:color="auto"/>
        <w:right w:val="none" w:sz="0" w:space="0" w:color="auto"/>
      </w:divBdr>
    </w:div>
    <w:div w:id="1281374759">
      <w:bodyDiv w:val="1"/>
      <w:marLeft w:val="0"/>
      <w:marRight w:val="0"/>
      <w:marTop w:val="0"/>
      <w:marBottom w:val="0"/>
      <w:divBdr>
        <w:top w:val="none" w:sz="0" w:space="0" w:color="auto"/>
        <w:left w:val="none" w:sz="0" w:space="0" w:color="auto"/>
        <w:bottom w:val="none" w:sz="0" w:space="0" w:color="auto"/>
        <w:right w:val="none" w:sz="0" w:space="0" w:color="auto"/>
      </w:divBdr>
    </w:div>
    <w:div w:id="158191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png"/><Relationship Id="rId39" Type="http://schemas.openxmlformats.org/officeDocument/2006/relationships/hyperlink" Target="https://www.oregon.gov/ode/learning-options/CTE/Pages/default.aspx" TargetMode="External"/><Relationship Id="rId3" Type="http://schemas.openxmlformats.org/officeDocument/2006/relationships/customXml" Target="../customXml/item3.xml"/><Relationship Id="rId21" Type="http://schemas.openxmlformats.org/officeDocument/2006/relationships/hyperlink" Target="mailto:Sandy.Cassio@ODE.oregon.gov" TargetMode="External"/><Relationship Id="rId34" Type="http://schemas.openxmlformats.org/officeDocument/2006/relationships/hyperlink" Target="https://www.oregon.gov/ode/learning-options/CTE/careerareas/Pages/Work-Based-Learning.aspx" TargetMode="External"/><Relationship Id="rId42" Type="http://schemas.openxmlformats.org/officeDocument/2006/relationships/hyperlink" Target="https://www.oregon.gov/ode/learning-options/CTE/FedFund/Documents/CTE%20State%20Plan%20-%20Executive%20Summary.pdf" TargetMode="External"/><Relationship Id="rId47" Type="http://schemas.openxmlformats.org/officeDocument/2006/relationships/hyperlink" Target="https://www.oregon.gov/ode/learning-options/CTE/careerareas/Pages/Work-Based-Learning.aspx" TargetMode="External"/><Relationship Id="rId50" Type="http://schemas.openxmlformats.org/officeDocument/2006/relationships/hyperlink" Target="https://cte.ed.gov/accountability/linking-dat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hyperlink" Target="https://docs.google.com/spreadsheets/d/1GDnnDwgqJjA9meCckh8MXiK1x5qTAPs6/edit?usp=sharing&amp;ouid=106027881022803566954&amp;rtpof=true&amp;sd=true" TargetMode="External"/><Relationship Id="rId38" Type="http://schemas.openxmlformats.org/officeDocument/2006/relationships/hyperlink" Target="https://odedistrict.oregon.gov/Pages/default.aspx" TargetMode="External"/><Relationship Id="rId46" Type="http://schemas.openxmlformats.org/officeDocument/2006/relationships/hyperlink" Target="https://district.ode.state.or.us/apps/info/"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odedistrict.oregon.gov/CollectionsValidations/Validations/Pages/PerkinsCareer.aspx" TargetMode="External"/><Relationship Id="rId29" Type="http://schemas.openxmlformats.org/officeDocument/2006/relationships/hyperlink" Target="https://www.oregon.gov/ode/learning-options/CTE/FedFund/Documents/Appendix%20N%20-%20CTE%20State%20Plan%20Glossary.pdf" TargetMode="External"/><Relationship Id="rId41" Type="http://schemas.openxmlformats.org/officeDocument/2006/relationships/hyperlink" Target="https://www.oregon.gov/ode/learning-options/CTE/FedFund/Pages/Oregon-CTE-State-Pla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learning-options/CTE/Documents/CTE%20Policy%20Guidebook_FINAL.pdf" TargetMode="External"/><Relationship Id="rId24" Type="http://schemas.openxmlformats.org/officeDocument/2006/relationships/image" Target="media/image1.png"/><Relationship Id="rId32" Type="http://schemas.openxmlformats.org/officeDocument/2006/relationships/hyperlink" Target="https://cte.ed.gov/accountability/linking-data" TargetMode="External"/><Relationship Id="rId37" Type="http://schemas.openxmlformats.org/officeDocument/2006/relationships/hyperlink" Target="https://district.ode.state.or.us/apps/login/searchSA.aspx" TargetMode="External"/><Relationship Id="rId40" Type="http://schemas.openxmlformats.org/officeDocument/2006/relationships/hyperlink" Target="https://public.tableau.com/app/profile/ednw/viz/OregonCTEParticipationExplorer/Overview" TargetMode="External"/><Relationship Id="rId45" Type="http://schemas.openxmlformats.org/officeDocument/2006/relationships/hyperlink" Target="https://www.oregon.gov/highered/institutions-programs/ccwd/Pages/career-technical-education.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istrict.ode.state.or.us/apps/login/searchSA.aspx" TargetMode="External"/><Relationship Id="rId28" Type="http://schemas.openxmlformats.org/officeDocument/2006/relationships/image" Target="media/image4.png"/><Relationship Id="rId36" Type="http://schemas.openxmlformats.org/officeDocument/2006/relationships/hyperlink" Target="https://www.youtube.com/watch?v=uHTDIuTGzVg&amp;list=PLxA56oDdW5fxh73meh8ioi5evnq8kg1n7" TargetMode="External"/><Relationship Id="rId49" Type="http://schemas.openxmlformats.org/officeDocument/2006/relationships/hyperlink" Target="https://www.youtube.com/watch?v=uHTDIuTGzVg&amp;list=PLxA56oDdW5fxh73meh8ioi5evnq8kg1n7"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nces.ed.gov/ipeds/cipcode/Default.aspx?y=56" TargetMode="External"/><Relationship Id="rId44" Type="http://schemas.openxmlformats.org/officeDocument/2006/relationships/hyperlink" Target="https://www.youtube.com/watch?v=duRB36Q-4_o&amp;list=PLxA56oDdW5fxTMx3K3Oqn7z-eer51clJ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istrict.ode.state.or.us/home/" TargetMode="External"/><Relationship Id="rId27" Type="http://schemas.openxmlformats.org/officeDocument/2006/relationships/hyperlink" Target="https://district.ode.state.or.us/apps/xfers/" TargetMode="External"/><Relationship Id="rId30" Type="http://schemas.openxmlformats.org/officeDocument/2006/relationships/hyperlink" Target="mailto:Brandie.Clark@ode.oregon.gov" TargetMode="External"/><Relationship Id="rId35" Type="http://schemas.openxmlformats.org/officeDocument/2006/relationships/hyperlink" Target="https://www.oregon.gov/ode/learning-options/CTE/careerareas/Documents/FINAL_WBLHandbook_MASTER%207-30-21_Accessible.pdf" TargetMode="External"/><Relationship Id="rId43" Type="http://schemas.openxmlformats.org/officeDocument/2006/relationships/hyperlink" Target="https://www.youtube.com/channel/UCcs_ExCPqDKRio4PYFzBgtg" TargetMode="External"/><Relationship Id="rId48" Type="http://schemas.openxmlformats.org/officeDocument/2006/relationships/hyperlink" Target="https://www.oregon.gov/ode/learning-options/CTE/careerareas/Documents/FINAL_WBLHandbook_MASTER%207-30-21_Accessible.pdf" TargetMode="External"/><Relationship Id="rId8" Type="http://schemas.openxmlformats.org/officeDocument/2006/relationships/webSettings" Target="web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ipeds/cipcode/Default.aspx?y=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BD0030D4052498173E50712DF8C90" ma:contentTypeVersion="7" ma:contentTypeDescription="Create a new document." ma:contentTypeScope="" ma:versionID="4fe9ff1b4fa261ebc83f9ab3a9b05003">
  <xsd:schema xmlns:xsd="http://www.w3.org/2001/XMLSchema" xmlns:xs="http://www.w3.org/2001/XMLSchema" xmlns:p="http://schemas.microsoft.com/office/2006/metadata/properties" xmlns:ns1="http://schemas.microsoft.com/sharepoint/v3" xmlns:ns2="84c8ee33-990a-427a-a586-09b5081d0797" xmlns:ns3="54031767-dd6d-417c-ab73-583408f47564" targetNamespace="http://schemas.microsoft.com/office/2006/metadata/properties" ma:root="true" ma:fieldsID="02610a493ec49b0da0cb9d0fa628196f" ns1:_="" ns2:_="" ns3:_="">
    <xsd:import namespace="http://schemas.microsoft.com/sharepoint/v3"/>
    <xsd:import namespace="84c8ee33-990a-427a-a586-09b5081d079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c8ee33-990a-427a-a586-09b5081d079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84c8ee33-990a-427a-a586-09b5081d0797" xsi:nil="true"/>
    <Priority xmlns="84c8ee33-990a-427a-a586-09b5081d0797">New</Priority>
    <Estimated_x0020_Creation_x0020_Date xmlns="84c8ee33-990a-427a-a586-09b5081d07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4BA88-8A68-4144-A524-54796B36EBF3}"/>
</file>

<file path=customXml/itemProps2.xml><?xml version="1.0" encoding="utf-8"?>
<ds:datastoreItem xmlns:ds="http://schemas.openxmlformats.org/officeDocument/2006/customXml" ds:itemID="{92EB2F99-F802-4A14-B6B2-7A75DE0576EF}">
  <ds:schemaRefs>
    <ds:schemaRef ds:uri="http://schemas.openxmlformats.org/officeDocument/2006/bibliography"/>
  </ds:schemaRefs>
</ds:datastoreItem>
</file>

<file path=customXml/itemProps3.xml><?xml version="1.0" encoding="utf-8"?>
<ds:datastoreItem xmlns:ds="http://schemas.openxmlformats.org/officeDocument/2006/customXml" ds:itemID="{35BCE64C-7712-4929-B6BA-90506C4F2B2A}">
  <ds:schemaRef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abe5e7a4-908e-4cd3-b79b-5fe648217337"/>
    <ds:schemaRef ds:uri="http://schemas.openxmlformats.org/package/2006/metadata/core-properties"/>
    <ds:schemaRef ds:uri="dc0bfbdf-b6aa-4fae-8886-4223cd981787"/>
    <ds:schemaRef ds:uri="http://www.w3.org/XML/1998/namespace"/>
    <ds:schemaRef ds:uri="http://purl.org/dc/dcmitype/"/>
  </ds:schemaRefs>
</ds:datastoreItem>
</file>

<file path=customXml/itemProps4.xml><?xml version="1.0" encoding="utf-8"?>
<ds:datastoreItem xmlns:ds="http://schemas.openxmlformats.org/officeDocument/2006/customXml" ds:itemID="{73D78A09-F13E-49CD-975C-8CA99707B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9851</Words>
  <Characters>56153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Perkins Data Reports User Guide</vt:lpstr>
    </vt:vector>
  </TitlesOfParts>
  <Company>Oregon Department of Education</Company>
  <LinksUpToDate>false</LinksUpToDate>
  <CharactersWithSpaces>65873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Data Reports User Guide</dc:title>
  <dc:subject/>
  <dc:creator>AMODEO Rebecca * ODE</dc:creator>
  <cp:keywords/>
  <dc:description/>
  <cp:lastModifiedBy>CATTERALL Linda * ODE</cp:lastModifiedBy>
  <cp:revision>2</cp:revision>
  <dcterms:created xsi:type="dcterms:W3CDTF">2024-07-29T21:20:00Z</dcterms:created>
  <dcterms:modified xsi:type="dcterms:W3CDTF">2024-07-29T21:20:00Z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2024-01-04T22:46:08Z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bf31580e-0e0f-4bfd-8ecf-4e70206e252a</vt:lpwstr>
  </property>
  <property fmtid="{D5CDD505-2E9C-101B-9397-08002B2CF9AE}" pid="8" name="MSIP_Label_61f40bdc-19d8-4b8e-be88-e9eb9bcca8b8_ContentBits">
    <vt:lpwstr>0</vt:lpwstr>
  </property>
  <property fmtid="{D5CDD505-2E9C-101B-9397-08002B2CF9AE}" pid="9" name="TaxKeyword">
    <vt:lpwstr/>
  </property>
  <property fmtid="{D5CDD505-2E9C-101B-9397-08002B2CF9AE}" pid="10" name="ContentTypeId">
    <vt:lpwstr>0x0101001D9BD0030D4052498173E50712DF8C90</vt:lpwstr>
  </property>
</Properties>
</file>