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73A08" w:rsidRDefault="00A73A08" w:rsidP="00A73A08">
      <w:pPr>
        <w:pStyle w:val="NormalWeb"/>
        <w:shd w:val="clear" w:color="auto" w:fill="F5F5F5"/>
        <w:rPr>
          <w:rFonts w:ascii="Arial" w:hAnsi="Arial" w:cs="Arial"/>
          <w:color w:val="333333"/>
          <w:sz w:val="20"/>
          <w:szCs w:val="20"/>
        </w:rPr>
      </w:pPr>
      <w:r>
        <w:rPr>
          <w:rStyle w:val="Strong"/>
          <w:rFonts w:ascii="Arial" w:hAnsi="Arial" w:cs="Arial"/>
          <w:color w:val="333333"/>
          <w:sz w:val="20"/>
          <w:szCs w:val="20"/>
        </w:rPr>
        <w:fldChar w:fldCharType="begin"/>
      </w:r>
      <w:r>
        <w:rPr>
          <w:rStyle w:val="Strong"/>
          <w:rFonts w:ascii="Arial" w:hAnsi="Arial" w:cs="Arial"/>
          <w:color w:val="333333"/>
          <w:sz w:val="20"/>
          <w:szCs w:val="20"/>
        </w:rPr>
        <w:instrText xml:space="preserve"> HYPERLINK "https://secure.sos.state.or.us/oard/viewSingleRule.action?ruleVrsnRsn=144090" </w:instrText>
      </w:r>
      <w:r>
        <w:rPr>
          <w:rStyle w:val="Strong"/>
          <w:rFonts w:ascii="Arial" w:hAnsi="Arial" w:cs="Arial"/>
          <w:color w:val="333333"/>
          <w:sz w:val="20"/>
          <w:szCs w:val="20"/>
        </w:rPr>
        <w:fldChar w:fldCharType="separate"/>
      </w:r>
      <w:r>
        <w:rPr>
          <w:rStyle w:val="Hyperlink"/>
          <w:rFonts w:ascii="Arial" w:hAnsi="Arial" w:cs="Arial"/>
          <w:b/>
          <w:bCs/>
          <w:color w:val="005592"/>
          <w:sz w:val="20"/>
          <w:szCs w:val="20"/>
        </w:rPr>
        <w:t>581-017-0306</w:t>
      </w:r>
      <w:r>
        <w:rPr>
          <w:rStyle w:val="Strong"/>
          <w:rFonts w:ascii="Arial" w:hAnsi="Arial" w:cs="Arial"/>
          <w:color w:val="333333"/>
          <w:sz w:val="20"/>
          <w:szCs w:val="20"/>
        </w:rPr>
        <w:fldChar w:fldCharType="end"/>
      </w:r>
      <w:r>
        <w:rPr>
          <w:rFonts w:ascii="Arial" w:hAnsi="Arial" w:cs="Arial"/>
          <w:color w:val="333333"/>
          <w:sz w:val="20"/>
          <w:szCs w:val="20"/>
        </w:rPr>
        <w:br/>
      </w:r>
      <w:r>
        <w:rPr>
          <w:rStyle w:val="Strong"/>
          <w:rFonts w:ascii="Arial" w:hAnsi="Arial" w:cs="Arial"/>
          <w:color w:val="333333"/>
          <w:sz w:val="20"/>
          <w:szCs w:val="20"/>
        </w:rPr>
        <w:t>Establishment of Regional STEM Hubs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(1) The Regional STEM Hub Grant is established as part of the Connecting to the World of Work Program.</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(2) The purposes of these Regional STEM Hubs includes, but is not limited to:</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Engage school districts, post-secondary institutions, student-focused nonprofit organizations, business and industry around common outcomes related to increasing students’ proficiency, interest, and attainment in science, technology, engineering and mathematics along with career and technical education.</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(b) Align STEM program activities and leverage State and local resources, both financial and human, around common student outcomes to advance the State 40/40/20 goals.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Address ongoing access, opportunity, interest, and attainment gaps for underserved and underrepresented students in STEM consistent with the Equity Lens.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(d) Engage local communities to elevate the importance of STEM to the prosperity of individuals, and the local and state economy.</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(e) Promote effective instructional practices by providing professional learning opportunities and to support educators in ways that are consistent with the implementation of the Common Core State Standards and Oregon Science Standards.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(f) Provide age-appropriate career exploration opportunities in STEM for students along the education continuum including career guidance, tours, and internships.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(g) Expand effective STEM learning experiences for students both in and out of school.</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(h) Share knowledge, expertise, insights, and leadership to assist other communities in their efforts to create similar STEM partnerships.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(i) Foster greater coherency across institutions to smooth student transitions and support services along education and career pathways.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(j) Diminish the sense of academic isolation and silos, both locally and statewide.</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(k) Increase interactions of STEM practitioners with students and educators.</w:t>
      </w:r>
    </w:p>
    <w:p w:rsidR="00A73A08" w:rsidRDefault="00A73A08" w:rsidP="00A73A08">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ORS 327.820</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327.820</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t>Reverted to ODE 30-2014, f. &amp; cert. ef. 6-24-14</w:t>
      </w:r>
      <w:r>
        <w:rPr>
          <w:rFonts w:ascii="Arial" w:hAnsi="Arial" w:cs="Arial"/>
          <w:color w:val="333333"/>
          <w:sz w:val="20"/>
          <w:szCs w:val="20"/>
        </w:rPr>
        <w:br/>
        <w:t>ODE 15-2015(Temp), f. 9-25-15, cert. ef. 9-28-15 thru 3-15-16</w:t>
      </w:r>
      <w:r>
        <w:rPr>
          <w:rFonts w:ascii="Arial" w:hAnsi="Arial" w:cs="Arial"/>
          <w:color w:val="333333"/>
          <w:sz w:val="20"/>
          <w:szCs w:val="20"/>
        </w:rPr>
        <w:br/>
        <w:t>ODE 30-2014, f. &amp; cert. ef. 6-24-14</w:t>
      </w:r>
    </w:p>
    <w:p w:rsidR="00A73A08" w:rsidRDefault="00605E52" w:rsidP="00A73A08">
      <w:pPr>
        <w:pStyle w:val="NormalWeb"/>
        <w:shd w:val="clear" w:color="auto" w:fill="F5F5F5"/>
        <w:rPr>
          <w:rFonts w:ascii="Arial" w:hAnsi="Arial" w:cs="Arial"/>
          <w:color w:val="333333"/>
          <w:sz w:val="20"/>
          <w:szCs w:val="20"/>
        </w:rPr>
      </w:pPr>
      <w:hyperlink r:id="rId6" w:history="1">
        <w:r w:rsidR="00A73A08">
          <w:rPr>
            <w:rStyle w:val="Hyperlink"/>
            <w:rFonts w:ascii="Arial" w:hAnsi="Arial" w:cs="Arial"/>
            <w:b/>
            <w:bCs/>
            <w:color w:val="005592"/>
            <w:sz w:val="20"/>
            <w:szCs w:val="20"/>
          </w:rPr>
          <w:t>581-017-0309</w:t>
        </w:r>
      </w:hyperlink>
      <w:r w:rsidR="00A73A08">
        <w:rPr>
          <w:rFonts w:ascii="Arial" w:hAnsi="Arial" w:cs="Arial"/>
          <w:color w:val="333333"/>
          <w:sz w:val="20"/>
          <w:szCs w:val="20"/>
        </w:rPr>
        <w:br/>
      </w:r>
      <w:r w:rsidR="00A73A08">
        <w:rPr>
          <w:rStyle w:val="Strong"/>
          <w:rFonts w:ascii="Arial" w:hAnsi="Arial" w:cs="Arial"/>
          <w:color w:val="333333"/>
          <w:sz w:val="20"/>
          <w:szCs w:val="20"/>
        </w:rPr>
        <w:t>Eligibility of Regional STEM Hubs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The Oregon Department of Education shall allocate funds for Regional STEM Hubs based on the following criteria:</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(1) The following entities shall be eligible for the Regional STEM Hub Grant:</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Existing STEM Hubs;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(b) School districts;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Education service districts;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(d) Student-focused nonprofit organizations;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(e) Postsecondary institutions for the purpose of supporting STEM &amp; CTE education; and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(f) Any of the nine federally recognized Native American Tribes in Oregon.</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(2) A Regional STEM Hub must be established by a school district, postsecondary institutions or student-focused nonprofit and is required to include the following additional partners at a minimum:</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A School District or ESD,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(b) A Postsecondary Education Partner,</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A Student-focused nonprofit; and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(d) An Industry, Business or STEM focused Community Partner.</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(3) A Regional STEM Hub must be able to demonstrative that the Hub has the following five key elements: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A common agenda;</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(b) Shared measurement systems;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Mutually reinforcing activities;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(d) Continuous communication; and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(e) Backbone support organizations.</w:t>
      </w:r>
    </w:p>
    <w:p w:rsidR="00A73A08" w:rsidRDefault="00A73A08" w:rsidP="00A73A08">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t>Reverted to ODE 30-2014, f. &amp; cert. ef. 6-24-14</w:t>
      </w:r>
      <w:r>
        <w:rPr>
          <w:rFonts w:ascii="Arial" w:hAnsi="Arial" w:cs="Arial"/>
          <w:color w:val="333333"/>
          <w:sz w:val="20"/>
          <w:szCs w:val="20"/>
        </w:rPr>
        <w:br/>
        <w:t>ODE 15-2015(Temp), f. 9-25-15, cert. ef. 9-28-15 thru 3-15-16</w:t>
      </w:r>
      <w:r>
        <w:rPr>
          <w:rFonts w:ascii="Arial" w:hAnsi="Arial" w:cs="Arial"/>
          <w:color w:val="333333"/>
          <w:sz w:val="20"/>
          <w:szCs w:val="20"/>
        </w:rPr>
        <w:br/>
        <w:t>ODE 30-2014, f. &amp; cert. ef. 6-24-14</w:t>
      </w:r>
    </w:p>
    <w:p w:rsidR="00A73A08" w:rsidRDefault="00605E52" w:rsidP="00A73A08">
      <w:pPr>
        <w:pStyle w:val="NormalWeb"/>
        <w:shd w:val="clear" w:color="auto" w:fill="F5F5F5"/>
        <w:rPr>
          <w:rFonts w:ascii="Arial" w:hAnsi="Arial" w:cs="Arial"/>
          <w:color w:val="333333"/>
          <w:sz w:val="20"/>
          <w:szCs w:val="20"/>
        </w:rPr>
      </w:pPr>
      <w:hyperlink r:id="rId7" w:history="1">
        <w:r w:rsidR="00A73A08">
          <w:rPr>
            <w:rStyle w:val="Hyperlink"/>
            <w:rFonts w:ascii="Arial" w:hAnsi="Arial" w:cs="Arial"/>
            <w:b/>
            <w:bCs/>
            <w:color w:val="005592"/>
            <w:sz w:val="20"/>
            <w:szCs w:val="20"/>
          </w:rPr>
          <w:t>581-017-0312</w:t>
        </w:r>
      </w:hyperlink>
      <w:r w:rsidR="00A73A08">
        <w:rPr>
          <w:rFonts w:ascii="Arial" w:hAnsi="Arial" w:cs="Arial"/>
          <w:color w:val="333333"/>
          <w:sz w:val="20"/>
          <w:szCs w:val="20"/>
        </w:rPr>
        <w:br/>
      </w:r>
      <w:r w:rsidR="00A73A08">
        <w:rPr>
          <w:rStyle w:val="Strong"/>
          <w:rFonts w:ascii="Arial" w:hAnsi="Arial" w:cs="Arial"/>
          <w:color w:val="333333"/>
          <w:sz w:val="20"/>
          <w:szCs w:val="20"/>
        </w:rPr>
        <w:t>Criteria of Regional STEM Hubs Awards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(1) The Oregon Department of Education shall establish a solicitation and approval process to be conducted each biennium for which the Regional STEM Hub grant funds for operations support and program support are available. The solicitation and approval process must comply with the requirements of section 1, Chapter 763, Oregon Law 2015 (Enrolled House Bill 3072) and rules adopted to implement that section.</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(2) The Oregon Department of Education may only award grants for operations support to Regional STEM Hubs which meet the minimum criteria by having a record of success in, or clearly established plans for, addressing the following:</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Establishing a partnership for a Regional STEM Hub consisting of the partners identified in OAR 581-017-0309(2);</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(b) Selecting and supporting a backbone organization to coordinate and support the various partners of the Regional STEM Hub and ensure effective communication, a focus on data and outcomes, and alignment of programing to address the STEM-related nees of the community; and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Creating, implementing, and improving a Partnership Plan that guides the vision, goals, strategies, and outcomes of the Regional STEM Hub; incorporates the principles of the Equity Lens adopted by the Chief Education Office; and contributes to the achievement of the State’s education goals and the STEM-related goals identified by the STEM Investment Council.</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(3) The Oregon Department of Education may only award grants for program support to Regional STEM Hubs which meet the minimum criteria by having a record of success in or clearly established plans for addressing the following:</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An established Regional STEM Hub with a formalized and approved Partnership Plan, and contributions by partners of human, material, and financial resources;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(b) An established backbone organization to coordinate and support the various partners of the Regional STEM Hub and ensuring effective communication, a focus on data &amp; outcomes, and aligning programming to address the STEM-related needs of the community; and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An approved Partnership Plan that guides the vision, goals, strategies, and outcomes of the Regional STEM Hub; incorporates the principles of the Equity Lens adopted by the Chief Education Office; and contributes to the achievement of the State’s education goals and the STEM-related goals identified by the STEM Investment Council.</w:t>
      </w:r>
    </w:p>
    <w:p w:rsidR="00A73A08" w:rsidRDefault="00A73A08" w:rsidP="00A73A08">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t>ODE 50-2016, f. &amp; cert. ef. 11-1-16</w:t>
      </w:r>
      <w:r>
        <w:rPr>
          <w:rFonts w:ascii="Arial" w:hAnsi="Arial" w:cs="Arial"/>
          <w:color w:val="333333"/>
          <w:sz w:val="20"/>
          <w:szCs w:val="20"/>
        </w:rPr>
        <w:br/>
        <w:t>ODE 34-2016, f. &amp; cert. ef. 5-17-16</w:t>
      </w:r>
      <w:r>
        <w:rPr>
          <w:rFonts w:ascii="Arial" w:hAnsi="Arial" w:cs="Arial"/>
          <w:color w:val="333333"/>
          <w:sz w:val="20"/>
          <w:szCs w:val="20"/>
        </w:rPr>
        <w:br/>
        <w:t>Reverted to ODE 30-2014, f. &amp; cert. ef. 6-24-14</w:t>
      </w:r>
      <w:r>
        <w:rPr>
          <w:rFonts w:ascii="Arial" w:hAnsi="Arial" w:cs="Arial"/>
          <w:color w:val="333333"/>
          <w:sz w:val="20"/>
          <w:szCs w:val="20"/>
        </w:rPr>
        <w:br/>
        <w:t>ODE 15-2015(Temp), f. 9-25-15, cert. ef. 9-28-15 thru 3-15-16</w:t>
      </w:r>
      <w:r>
        <w:rPr>
          <w:rFonts w:ascii="Arial" w:hAnsi="Arial" w:cs="Arial"/>
          <w:color w:val="333333"/>
          <w:sz w:val="20"/>
          <w:szCs w:val="20"/>
        </w:rPr>
        <w:br/>
        <w:t>ODE 30-2014, f. &amp; cert. ef. 6-24-14</w:t>
      </w:r>
    </w:p>
    <w:p w:rsidR="00A73A08" w:rsidRDefault="00605E52" w:rsidP="00A73A08">
      <w:pPr>
        <w:pStyle w:val="NormalWeb"/>
        <w:shd w:val="clear" w:color="auto" w:fill="F5F5F5"/>
        <w:rPr>
          <w:rFonts w:ascii="Arial" w:hAnsi="Arial" w:cs="Arial"/>
          <w:color w:val="333333"/>
          <w:sz w:val="20"/>
          <w:szCs w:val="20"/>
        </w:rPr>
      </w:pPr>
      <w:hyperlink r:id="rId8" w:history="1">
        <w:r w:rsidR="00A73A08">
          <w:rPr>
            <w:rStyle w:val="Hyperlink"/>
            <w:rFonts w:ascii="Arial" w:hAnsi="Arial" w:cs="Arial"/>
            <w:b/>
            <w:bCs/>
            <w:color w:val="005592"/>
            <w:sz w:val="20"/>
            <w:szCs w:val="20"/>
          </w:rPr>
          <w:t>581-017-0315</w:t>
        </w:r>
      </w:hyperlink>
      <w:r w:rsidR="00A73A08">
        <w:rPr>
          <w:rFonts w:ascii="Arial" w:hAnsi="Arial" w:cs="Arial"/>
          <w:color w:val="333333"/>
          <w:sz w:val="20"/>
          <w:szCs w:val="20"/>
        </w:rPr>
        <w:br/>
      </w:r>
      <w:r w:rsidR="00A73A08">
        <w:rPr>
          <w:rStyle w:val="Strong"/>
          <w:rFonts w:ascii="Arial" w:hAnsi="Arial" w:cs="Arial"/>
          <w:color w:val="333333"/>
          <w:sz w:val="20"/>
          <w:szCs w:val="20"/>
        </w:rPr>
        <w:t>Implementation of Grant Funding of Regional STEM Hubs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(1) The Oregon Department of Education shall allocate funds to support the operations and programs of expanding and newly established Regional STEM Hubs.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(2) The Department of Education, in collaboration with the Chief Education Office and the STEM Council, shall determine for each biennium the portion of the funds available for operations support and program support grants.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(3) Grantees and the associated Regional STEM Hub will be expected to:</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(a) Participate in data collection and reporting progress against agreed upon outcomes determined by the Chief Education Office, the STEM Investment Council, and the Oregon Department of Education;</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(b) Engage in mutually reinforcing activities for improving STEM/CTE education with partners within and outside the formal education system;</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(c) Engage in collaboration and communication, within and between Regional STEM Hubs, including regular coordination calls, site visits, and convenings; and</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lastRenderedPageBreak/>
        <w:t>(d) Identify and select a backbone organization to coordinate and support the various partners of the Regional STEM Hub and ensuring effective communication, a focus on data &amp; outcomes, and aligning programming to address the STEM-related needs of the community.</w:t>
      </w:r>
    </w:p>
    <w:p w:rsidR="00A73A08" w:rsidRDefault="00A73A08" w:rsidP="00A73A08">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t>Reverted to ODE 30-2014, f. &amp; cert. ef. 6-24-14</w:t>
      </w:r>
      <w:r>
        <w:rPr>
          <w:rFonts w:ascii="Arial" w:hAnsi="Arial" w:cs="Arial"/>
          <w:color w:val="333333"/>
          <w:sz w:val="20"/>
          <w:szCs w:val="20"/>
        </w:rPr>
        <w:br/>
        <w:t>ODE 15-2015(Temp), f. 9-25-15, cert. ef. 9-28-15 thru 3-15-16</w:t>
      </w:r>
      <w:r>
        <w:rPr>
          <w:rFonts w:ascii="Arial" w:hAnsi="Arial" w:cs="Arial"/>
          <w:color w:val="333333"/>
          <w:sz w:val="20"/>
          <w:szCs w:val="20"/>
        </w:rPr>
        <w:br/>
        <w:t>ODE 30-2014, f. &amp; cert. ef. 6-24-14</w:t>
      </w:r>
    </w:p>
    <w:p w:rsidR="00A73A08" w:rsidRDefault="00605E52" w:rsidP="00A73A08">
      <w:pPr>
        <w:pStyle w:val="NormalWeb"/>
        <w:shd w:val="clear" w:color="auto" w:fill="F5F5F5"/>
        <w:rPr>
          <w:rFonts w:ascii="Arial" w:hAnsi="Arial" w:cs="Arial"/>
          <w:color w:val="333333"/>
          <w:sz w:val="20"/>
          <w:szCs w:val="20"/>
        </w:rPr>
      </w:pPr>
      <w:hyperlink r:id="rId9" w:history="1">
        <w:r w:rsidR="00A73A08">
          <w:rPr>
            <w:rStyle w:val="Hyperlink"/>
            <w:rFonts w:ascii="Arial" w:hAnsi="Arial" w:cs="Arial"/>
            <w:b/>
            <w:bCs/>
            <w:color w:val="005592"/>
            <w:sz w:val="20"/>
            <w:szCs w:val="20"/>
          </w:rPr>
          <w:t>581-017-0318</w:t>
        </w:r>
      </w:hyperlink>
      <w:r w:rsidR="00A73A08">
        <w:rPr>
          <w:rFonts w:ascii="Arial" w:hAnsi="Arial" w:cs="Arial"/>
          <w:color w:val="333333"/>
          <w:sz w:val="20"/>
          <w:szCs w:val="20"/>
        </w:rPr>
        <w:br/>
      </w:r>
      <w:r w:rsidR="00A73A08">
        <w:rPr>
          <w:rStyle w:val="Strong"/>
          <w:rFonts w:ascii="Arial" w:hAnsi="Arial" w:cs="Arial"/>
          <w:color w:val="333333"/>
          <w:sz w:val="20"/>
          <w:szCs w:val="20"/>
        </w:rPr>
        <w:t>Reporting of Regional STEM Hubs</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(1) The Department of Education shall develop partnership-reporting requirements for allocation of funds for implementation of Regional STEM Hubs as required by the Chief Education Office.</w:t>
      </w:r>
    </w:p>
    <w:p w:rsidR="00A73A08" w:rsidRDefault="00A73A08" w:rsidP="00A73A08">
      <w:pPr>
        <w:pStyle w:val="NormalWeb"/>
        <w:shd w:val="clear" w:color="auto" w:fill="F5F5F5"/>
        <w:rPr>
          <w:rFonts w:ascii="Arial" w:hAnsi="Arial" w:cs="Arial"/>
          <w:color w:val="333333"/>
          <w:sz w:val="20"/>
          <w:szCs w:val="20"/>
        </w:rPr>
      </w:pPr>
      <w:r>
        <w:rPr>
          <w:rFonts w:ascii="Arial" w:hAnsi="Arial" w:cs="Arial"/>
          <w:color w:val="333333"/>
          <w:sz w:val="20"/>
          <w:szCs w:val="20"/>
        </w:rPr>
        <w:t>(2) The Department of Education, in collaboration with the STEM Investment Council and the committee established under ORS 344.075, shall submit a biennial report to the Legislative Assembly related to distributions made under this section. The report must include metrics that identify how distributions made under this section are contributing to the development of a skilled workforce that is able to secure high wage and high demand jobs.</w:t>
      </w:r>
    </w:p>
    <w:p w:rsidR="00A73A08" w:rsidRDefault="00A73A08" w:rsidP="00A73A08">
      <w:pPr>
        <w:pStyle w:val="NormalWeb"/>
        <w:shd w:val="clear" w:color="auto" w:fill="F5F5F5"/>
        <w:rPr>
          <w:rFonts w:ascii="Arial" w:hAnsi="Arial" w:cs="Arial"/>
          <w:color w:val="333333"/>
          <w:sz w:val="20"/>
          <w:szCs w:val="20"/>
        </w:rPr>
      </w:pPr>
      <w:r>
        <w:rPr>
          <w:rFonts w:ascii="Arial" w:hAnsi="Arial" w:cs="Arial"/>
          <w:b/>
          <w:bCs/>
          <w:color w:val="333333"/>
          <w:sz w:val="20"/>
          <w:szCs w:val="20"/>
        </w:rPr>
        <w:t>Statutory/Other Authority:</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Statutes/Other Implemented:</w:t>
      </w:r>
      <w:r>
        <w:rPr>
          <w:rFonts w:ascii="Arial" w:hAnsi="Arial" w:cs="Arial"/>
          <w:color w:val="333333"/>
          <w:sz w:val="20"/>
          <w:szCs w:val="20"/>
        </w:rPr>
        <w:t> ORS 327.820; 2015 OL Ch. 763 &amp; Sec. 1 (Enrolled HB 3072)</w:t>
      </w:r>
      <w:r>
        <w:rPr>
          <w:rFonts w:ascii="Arial" w:hAnsi="Arial" w:cs="Arial"/>
          <w:color w:val="333333"/>
          <w:sz w:val="20"/>
          <w:szCs w:val="20"/>
        </w:rPr>
        <w:br/>
      </w:r>
      <w:r>
        <w:rPr>
          <w:rFonts w:ascii="Arial" w:hAnsi="Arial" w:cs="Arial"/>
          <w:b/>
          <w:bCs/>
          <w:color w:val="333333"/>
          <w:sz w:val="20"/>
          <w:szCs w:val="20"/>
        </w:rPr>
        <w:t>History:</w:t>
      </w:r>
      <w:r>
        <w:rPr>
          <w:rFonts w:ascii="Arial" w:hAnsi="Arial" w:cs="Arial"/>
          <w:color w:val="333333"/>
          <w:sz w:val="20"/>
          <w:szCs w:val="20"/>
        </w:rPr>
        <w:br/>
        <w:t>ODE 50-2016, f. &amp; cert. ef. 11-1-16</w:t>
      </w:r>
      <w:r>
        <w:rPr>
          <w:rFonts w:ascii="Arial" w:hAnsi="Arial" w:cs="Arial"/>
          <w:color w:val="333333"/>
          <w:sz w:val="20"/>
          <w:szCs w:val="20"/>
        </w:rPr>
        <w:br/>
        <w:t>ODE 34-2016, f. &amp; cert. ef. 5-17-16</w:t>
      </w:r>
      <w:r>
        <w:rPr>
          <w:rFonts w:ascii="Arial" w:hAnsi="Arial" w:cs="Arial"/>
          <w:color w:val="333333"/>
          <w:sz w:val="20"/>
          <w:szCs w:val="20"/>
        </w:rPr>
        <w:br/>
        <w:t>Reverted to ODE 30-2014, f. &amp; cert. ef. 6-24-14</w:t>
      </w:r>
      <w:r>
        <w:rPr>
          <w:rFonts w:ascii="Arial" w:hAnsi="Arial" w:cs="Arial"/>
          <w:color w:val="333333"/>
          <w:sz w:val="20"/>
          <w:szCs w:val="20"/>
        </w:rPr>
        <w:br/>
        <w:t>ODE 15-2015(Temp), f. 9-25-15, cert. ef. 9-28-15 thru 3-15-16</w:t>
      </w:r>
      <w:r>
        <w:rPr>
          <w:rFonts w:ascii="Arial" w:hAnsi="Arial" w:cs="Arial"/>
          <w:color w:val="333333"/>
          <w:sz w:val="20"/>
          <w:szCs w:val="20"/>
        </w:rPr>
        <w:br/>
        <w:t>ODE 30-2014, f. &amp; cert. ef. 6-24-14</w:t>
      </w:r>
    </w:p>
    <w:p w:rsidR="00B00F77" w:rsidRDefault="00B00F77"/>
    <w:sectPr w:rsidR="00B00F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52" w:rsidRDefault="00605E52">
      <w:pPr>
        <w:spacing w:after="0" w:line="240" w:lineRule="auto"/>
      </w:pPr>
    </w:p>
  </w:endnote>
  <w:endnote w:type="continuationSeparator" w:id="0">
    <w:p w:rsidR="00605E52" w:rsidRDefault="00605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C" w:rsidRDefault="00591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C" w:rsidRDefault="00591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C" w:rsidRDefault="00591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52" w:rsidRDefault="00605E52">
      <w:pPr>
        <w:spacing w:after="0" w:line="240" w:lineRule="auto"/>
      </w:pPr>
    </w:p>
  </w:footnote>
  <w:footnote w:type="continuationSeparator" w:id="0">
    <w:p w:rsidR="00605E52" w:rsidRDefault="00605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C" w:rsidRDefault="00591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C" w:rsidRDefault="00591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0C" w:rsidRDefault="00591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08"/>
    <w:rsid w:val="0009345E"/>
    <w:rsid w:val="004159AA"/>
    <w:rsid w:val="0059160C"/>
    <w:rsid w:val="00605E52"/>
    <w:rsid w:val="00675206"/>
    <w:rsid w:val="00712E0C"/>
    <w:rsid w:val="00861625"/>
    <w:rsid w:val="00A73A08"/>
    <w:rsid w:val="00B00F77"/>
    <w:rsid w:val="00B01343"/>
    <w:rsid w:val="00B56B6A"/>
    <w:rsid w:val="00CB56F4"/>
    <w:rsid w:val="00E7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A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3A08"/>
    <w:rPr>
      <w:b/>
      <w:bCs/>
    </w:rPr>
  </w:style>
  <w:style w:type="character" w:styleId="Hyperlink">
    <w:name w:val="Hyperlink"/>
    <w:basedOn w:val="DefaultParagraphFont"/>
    <w:uiPriority w:val="99"/>
    <w:semiHidden/>
    <w:unhideWhenUsed/>
    <w:rsid w:val="00A73A08"/>
    <w:rPr>
      <w:color w:val="0000FF"/>
      <w:u w:val="single"/>
    </w:rPr>
  </w:style>
  <w:style w:type="character" w:styleId="FollowedHyperlink">
    <w:name w:val="FollowedHyperlink"/>
    <w:basedOn w:val="DefaultParagraphFont"/>
    <w:uiPriority w:val="99"/>
    <w:semiHidden/>
    <w:unhideWhenUsed/>
    <w:rsid w:val="00861625"/>
    <w:rPr>
      <w:color w:val="800080" w:themeColor="followedHyperlink"/>
      <w:u w:val="single"/>
    </w:rPr>
  </w:style>
  <w:style w:type="paragraph" w:styleId="Header">
    <w:name w:val="header"/>
    <w:basedOn w:val="Normal"/>
    <w:link w:val="HeaderChar"/>
    <w:uiPriority w:val="99"/>
    <w:unhideWhenUsed/>
    <w:rsid w:val="0059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60C"/>
  </w:style>
  <w:style w:type="paragraph" w:styleId="Footer">
    <w:name w:val="footer"/>
    <w:basedOn w:val="Normal"/>
    <w:link w:val="FooterChar"/>
    <w:uiPriority w:val="99"/>
    <w:unhideWhenUsed/>
    <w:rsid w:val="00591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1585">
      <w:bodyDiv w:val="1"/>
      <w:marLeft w:val="0"/>
      <w:marRight w:val="0"/>
      <w:marTop w:val="0"/>
      <w:marBottom w:val="0"/>
      <w:divBdr>
        <w:top w:val="none" w:sz="0" w:space="0" w:color="auto"/>
        <w:left w:val="none" w:sz="0" w:space="0" w:color="auto"/>
        <w:bottom w:val="none" w:sz="0" w:space="0" w:color="auto"/>
        <w:right w:val="none" w:sz="0" w:space="0" w:color="auto"/>
      </w:divBdr>
      <w:divsChild>
        <w:div w:id="200410852">
          <w:marLeft w:val="0"/>
          <w:marRight w:val="0"/>
          <w:marTop w:val="0"/>
          <w:marBottom w:val="450"/>
          <w:divBdr>
            <w:top w:val="none" w:sz="0" w:space="0" w:color="auto"/>
            <w:left w:val="none" w:sz="0" w:space="0" w:color="auto"/>
            <w:bottom w:val="none" w:sz="0" w:space="0" w:color="auto"/>
            <w:right w:val="none" w:sz="0" w:space="0" w:color="auto"/>
          </w:divBdr>
        </w:div>
        <w:div w:id="1714384062">
          <w:marLeft w:val="0"/>
          <w:marRight w:val="0"/>
          <w:marTop w:val="0"/>
          <w:marBottom w:val="450"/>
          <w:divBdr>
            <w:top w:val="none" w:sz="0" w:space="0" w:color="auto"/>
            <w:left w:val="none" w:sz="0" w:space="0" w:color="auto"/>
            <w:bottom w:val="none" w:sz="0" w:space="0" w:color="auto"/>
            <w:right w:val="none" w:sz="0" w:space="0" w:color="auto"/>
          </w:divBdr>
        </w:div>
        <w:div w:id="1684552053">
          <w:marLeft w:val="0"/>
          <w:marRight w:val="0"/>
          <w:marTop w:val="0"/>
          <w:marBottom w:val="450"/>
          <w:divBdr>
            <w:top w:val="none" w:sz="0" w:space="0" w:color="auto"/>
            <w:left w:val="none" w:sz="0" w:space="0" w:color="auto"/>
            <w:bottom w:val="none" w:sz="0" w:space="0" w:color="auto"/>
            <w:right w:val="none" w:sz="0" w:space="0" w:color="auto"/>
          </w:divBdr>
        </w:div>
        <w:div w:id="1688097920">
          <w:marLeft w:val="0"/>
          <w:marRight w:val="0"/>
          <w:marTop w:val="0"/>
          <w:marBottom w:val="450"/>
          <w:divBdr>
            <w:top w:val="none" w:sz="0" w:space="0" w:color="auto"/>
            <w:left w:val="none" w:sz="0" w:space="0" w:color="auto"/>
            <w:bottom w:val="none" w:sz="0" w:space="0" w:color="auto"/>
            <w:right w:val="none" w:sz="0" w:space="0" w:color="auto"/>
          </w:divBdr>
        </w:div>
        <w:div w:id="1199707191">
          <w:marLeft w:val="0"/>
          <w:marRight w:val="0"/>
          <w:marTop w:val="0"/>
          <w:marBottom w:val="450"/>
          <w:divBdr>
            <w:top w:val="none" w:sz="0" w:space="0" w:color="auto"/>
            <w:left w:val="none" w:sz="0" w:space="0" w:color="auto"/>
            <w:bottom w:val="none" w:sz="0" w:space="0" w:color="auto"/>
            <w:right w:val="none" w:sz="0" w:space="0" w:color="auto"/>
          </w:divBdr>
        </w:div>
        <w:div w:id="365371392">
          <w:marLeft w:val="0"/>
          <w:marRight w:val="0"/>
          <w:marTop w:val="0"/>
          <w:marBottom w:val="450"/>
          <w:divBdr>
            <w:top w:val="none" w:sz="0" w:space="0" w:color="auto"/>
            <w:left w:val="none" w:sz="0" w:space="0" w:color="auto"/>
            <w:bottom w:val="none" w:sz="0" w:space="0" w:color="auto"/>
            <w:right w:val="none" w:sz="0" w:space="0" w:color="auto"/>
          </w:divBdr>
        </w:div>
        <w:div w:id="1065838000">
          <w:marLeft w:val="0"/>
          <w:marRight w:val="0"/>
          <w:marTop w:val="0"/>
          <w:marBottom w:val="450"/>
          <w:divBdr>
            <w:top w:val="none" w:sz="0" w:space="0" w:color="auto"/>
            <w:left w:val="none" w:sz="0" w:space="0" w:color="auto"/>
            <w:bottom w:val="none" w:sz="0" w:space="0" w:color="auto"/>
            <w:right w:val="none" w:sz="0" w:space="0" w:color="auto"/>
          </w:divBdr>
        </w:div>
        <w:div w:id="1053888970">
          <w:marLeft w:val="0"/>
          <w:marRight w:val="0"/>
          <w:marTop w:val="0"/>
          <w:marBottom w:val="450"/>
          <w:divBdr>
            <w:top w:val="none" w:sz="0" w:space="0" w:color="auto"/>
            <w:left w:val="none" w:sz="0" w:space="0" w:color="auto"/>
            <w:bottom w:val="none" w:sz="0" w:space="0" w:color="auto"/>
            <w:right w:val="none" w:sz="0" w:space="0" w:color="auto"/>
          </w:divBdr>
        </w:div>
        <w:div w:id="2085910115">
          <w:marLeft w:val="0"/>
          <w:marRight w:val="0"/>
          <w:marTop w:val="0"/>
          <w:marBottom w:val="450"/>
          <w:divBdr>
            <w:top w:val="none" w:sz="0" w:space="0" w:color="auto"/>
            <w:left w:val="none" w:sz="0" w:space="0" w:color="auto"/>
            <w:bottom w:val="none" w:sz="0" w:space="0" w:color="auto"/>
            <w:right w:val="none" w:sz="0" w:space="0" w:color="auto"/>
          </w:divBdr>
        </w:div>
        <w:div w:id="16892087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144101"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secure.sos.state.or.us/oard/viewSingleRule.action?ruleVrsnRsn=14409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secure.sos.state.or.us/oard/viewSingleRule.action?ruleVrsnRsn=144093"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secure.sos.state.or.us/oard/viewSingleRule.action?ruleVrsnRsn=14410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New</Priority>
    <Remediation_x0020_Date xmlns="54ba7e27-71cb-4c46-94e1-a2d959839410">2020-02-14T08:00:00+00:00</Remediation_x0020_Date>
    <Estimated_x0020_Creation_x0020_Date xmlns="54ba7e27-71cb-4c46-94e1-a2d959839410" xsi:nil="true"/>
  </documentManagement>
</p:properties>
</file>

<file path=customXml/itemProps1.xml><?xml version="1.0" encoding="utf-8"?>
<ds:datastoreItem xmlns:ds="http://schemas.openxmlformats.org/officeDocument/2006/customXml" ds:itemID="{17249673-50BB-4142-A1A9-B8009BF13D17}"/>
</file>

<file path=customXml/itemProps2.xml><?xml version="1.0" encoding="utf-8"?>
<ds:datastoreItem xmlns:ds="http://schemas.openxmlformats.org/officeDocument/2006/customXml" ds:itemID="{37B9921A-9E24-4522-AE2B-00E79DFE1DD7}"/>
</file>

<file path=customXml/itemProps3.xml><?xml version="1.0" encoding="utf-8"?>
<ds:datastoreItem xmlns:ds="http://schemas.openxmlformats.org/officeDocument/2006/customXml" ds:itemID="{BF152099-B277-4A71-AF15-59169DA4E29F}"/>
</file>

<file path=docProps/app.xml><?xml version="1.0" encoding="utf-8"?>
<Properties xmlns="http://schemas.openxmlformats.org/officeDocument/2006/extended-properties" xmlns:vt="http://schemas.openxmlformats.org/officeDocument/2006/docPropsVTypes">
  <Template>Normal</Template>
  <TotalTime>0</TotalTime>
  <Pages>1</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Hub OARs &amp; ORs</dc:title>
  <dc:subject/>
  <dc:creator/>
  <cp:keywords/>
  <dc:description/>
  <cp:lastModifiedBy/>
  <cp:revision>1</cp:revision>
  <dcterms:created xsi:type="dcterms:W3CDTF">2020-02-14T21:20:00Z</dcterms:created>
  <dcterms:modified xsi:type="dcterms:W3CDTF">2020-02-14T21:20:00Z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