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3FDF" w:rsidRDefault="00F33FDF" w:rsidP="00F33FDF">
      <w:pPr>
        <w:pStyle w:val="NormalWeb"/>
        <w:shd w:val="clear" w:color="auto" w:fill="F5F5F5"/>
        <w:rPr>
          <w:rFonts w:ascii="Arial" w:hAnsi="Arial" w:cs="Arial"/>
          <w:color w:val="333333"/>
          <w:sz w:val="20"/>
          <w:szCs w:val="20"/>
        </w:rPr>
      </w:pPr>
      <w:r>
        <w:rPr>
          <w:rStyle w:val="Strong"/>
          <w:rFonts w:ascii="Arial" w:hAnsi="Arial" w:cs="Arial"/>
          <w:color w:val="333333"/>
          <w:sz w:val="20"/>
          <w:szCs w:val="20"/>
        </w:rPr>
        <w:fldChar w:fldCharType="begin"/>
      </w:r>
      <w:r>
        <w:rPr>
          <w:rStyle w:val="Strong"/>
          <w:rFonts w:ascii="Arial" w:hAnsi="Arial" w:cs="Arial"/>
          <w:color w:val="333333"/>
          <w:sz w:val="20"/>
          <w:szCs w:val="20"/>
        </w:rPr>
        <w:instrText xml:space="preserve"> HYPERLINK "https://secure.sos.state.or.us/oard/viewSingleRule.action?ruleVrsnRsn=144108" </w:instrText>
      </w:r>
      <w:r>
        <w:rPr>
          <w:rStyle w:val="Strong"/>
          <w:rFonts w:ascii="Arial" w:hAnsi="Arial" w:cs="Arial"/>
          <w:color w:val="333333"/>
          <w:sz w:val="20"/>
          <w:szCs w:val="20"/>
        </w:rPr>
        <w:fldChar w:fldCharType="separate"/>
      </w:r>
      <w:r>
        <w:rPr>
          <w:rStyle w:val="Hyperlink"/>
          <w:rFonts w:ascii="Arial" w:hAnsi="Arial" w:cs="Arial"/>
          <w:b/>
          <w:bCs/>
          <w:color w:val="005592"/>
          <w:sz w:val="20"/>
          <w:szCs w:val="20"/>
        </w:rPr>
        <w:t>581-017-0321</w:t>
      </w:r>
      <w:r>
        <w:rPr>
          <w:rStyle w:val="Strong"/>
          <w:rFonts w:ascii="Arial" w:hAnsi="Arial" w:cs="Arial"/>
          <w:color w:val="333333"/>
          <w:sz w:val="20"/>
          <w:szCs w:val="20"/>
        </w:rPr>
        <w:fldChar w:fldCharType="end"/>
      </w:r>
      <w:r>
        <w:rPr>
          <w:rFonts w:ascii="Arial" w:hAnsi="Arial" w:cs="Arial"/>
          <w:color w:val="333333"/>
          <w:sz w:val="20"/>
          <w:szCs w:val="20"/>
        </w:rPr>
        <w:br/>
      </w:r>
      <w:r>
        <w:rPr>
          <w:rStyle w:val="Strong"/>
          <w:rFonts w:ascii="Arial" w:hAnsi="Arial" w:cs="Arial"/>
          <w:color w:val="333333"/>
          <w:sz w:val="20"/>
          <w:szCs w:val="20"/>
        </w:rPr>
        <w:t>Establishment of the STEM Innovation Grants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The purpose of the STEM Innovation Grant Program is to award grants that expand the implementation of effective programs relating to science, technology, engineering, and mathematics, that:</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(1) Propose innovative approaches to STEM-based education; or</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(2) Provide professional development relating to science, technology, engineering, and mathematics.</w:t>
      </w:r>
    </w:p>
    <w:p w:rsidR="00F33FDF" w:rsidRDefault="00F33FDF" w:rsidP="00F33FDF">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ODE 18-2016, f. &amp; cert. ef. 3-22-16</w:t>
      </w:r>
      <w:r>
        <w:rPr>
          <w:rFonts w:ascii="Arial" w:hAnsi="Arial" w:cs="Arial"/>
          <w:color w:val="333333"/>
          <w:sz w:val="20"/>
          <w:szCs w:val="20"/>
        </w:rPr>
        <w:br/>
        <w:t>ODE 30-2014, f. &amp; cert. ef. 6-24-14; ODE 34-2015(Temp) f. 12-23-15, cert. ef. 12-28-15 thru 4-1-16</w:t>
      </w:r>
    </w:p>
    <w:p w:rsidR="00F33FDF" w:rsidRDefault="004D4DDF" w:rsidP="00F33FDF">
      <w:pPr>
        <w:pStyle w:val="NormalWeb"/>
        <w:shd w:val="clear" w:color="auto" w:fill="F5F5F5"/>
        <w:rPr>
          <w:rFonts w:ascii="Arial" w:hAnsi="Arial" w:cs="Arial"/>
          <w:color w:val="333333"/>
          <w:sz w:val="20"/>
          <w:szCs w:val="20"/>
        </w:rPr>
      </w:pPr>
      <w:hyperlink r:id="rId6" w:history="1">
        <w:r w:rsidR="00F33FDF">
          <w:rPr>
            <w:rStyle w:val="Hyperlink"/>
            <w:rFonts w:ascii="Arial" w:hAnsi="Arial" w:cs="Arial"/>
            <w:b/>
            <w:bCs/>
            <w:color w:val="005592"/>
            <w:sz w:val="20"/>
            <w:szCs w:val="20"/>
          </w:rPr>
          <w:t>581-017-0324</w:t>
        </w:r>
      </w:hyperlink>
      <w:r w:rsidR="00F33FDF">
        <w:rPr>
          <w:rFonts w:ascii="Arial" w:hAnsi="Arial" w:cs="Arial"/>
          <w:color w:val="333333"/>
          <w:sz w:val="20"/>
          <w:szCs w:val="20"/>
        </w:rPr>
        <w:br/>
      </w:r>
      <w:r w:rsidR="00F33FDF">
        <w:rPr>
          <w:rStyle w:val="Strong"/>
          <w:rFonts w:ascii="Arial" w:hAnsi="Arial" w:cs="Arial"/>
          <w:color w:val="333333"/>
          <w:sz w:val="20"/>
          <w:szCs w:val="20"/>
        </w:rPr>
        <w:t>Eligibility of STEM Innovation Grant</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The Oregon Department of Education shall allocate funds for the STEM Innovation Grant. The following entities are able to apply for the STEM Innovation Grant:</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(1) STEM Hubs;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(2) School districts;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(3) Education service districts as defined in ORS 334.003</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(3) Public schools;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(4) Public charter schools;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(5) Student-focused nonprofit organizations who are in partnership with an eligible fiscal agent under OAR 581-017-0302; or</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(4) Post-secondary institutions who are, or are in partnership with, an eligible fiscal agent under OAR 581-017-0302.</w:t>
      </w:r>
    </w:p>
    <w:p w:rsidR="00F33FDF" w:rsidRDefault="00F33FDF" w:rsidP="00F33FDF">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ORS 327.820; 2015 OL Ch. 763 &amp; Sec. 1 (Enrolled HB 3072)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ODE 18-2016, f. &amp; cert. ef. 3-22-16</w:t>
      </w:r>
      <w:r>
        <w:rPr>
          <w:rFonts w:ascii="Arial" w:hAnsi="Arial" w:cs="Arial"/>
          <w:color w:val="333333"/>
          <w:sz w:val="20"/>
          <w:szCs w:val="20"/>
        </w:rPr>
        <w:br/>
        <w:t>ODE 30-2014, f. &amp; cert. ef. 6-24-14; ODE 34-2015(Temp) f. 12-23-15, cert. ef. 12-28-15 thru 4-1-16</w:t>
      </w:r>
    </w:p>
    <w:p w:rsidR="00F33FDF" w:rsidRDefault="004D4DDF" w:rsidP="00F33FDF">
      <w:pPr>
        <w:pStyle w:val="NormalWeb"/>
        <w:shd w:val="clear" w:color="auto" w:fill="F5F5F5"/>
        <w:rPr>
          <w:rFonts w:ascii="Arial" w:hAnsi="Arial" w:cs="Arial"/>
          <w:color w:val="333333"/>
          <w:sz w:val="20"/>
          <w:szCs w:val="20"/>
        </w:rPr>
      </w:pPr>
      <w:hyperlink r:id="rId7" w:history="1">
        <w:r w:rsidR="00F33FDF">
          <w:rPr>
            <w:rStyle w:val="Hyperlink"/>
            <w:rFonts w:ascii="Arial" w:hAnsi="Arial" w:cs="Arial"/>
            <w:b/>
            <w:bCs/>
            <w:color w:val="005592"/>
            <w:sz w:val="20"/>
            <w:szCs w:val="20"/>
          </w:rPr>
          <w:t>581-017-0327</w:t>
        </w:r>
      </w:hyperlink>
      <w:r w:rsidR="00F33FDF">
        <w:rPr>
          <w:rFonts w:ascii="Arial" w:hAnsi="Arial" w:cs="Arial"/>
          <w:color w:val="333333"/>
          <w:sz w:val="20"/>
          <w:szCs w:val="20"/>
        </w:rPr>
        <w:br/>
      </w:r>
      <w:r w:rsidR="00F33FDF">
        <w:rPr>
          <w:rStyle w:val="Strong"/>
          <w:rFonts w:ascii="Arial" w:hAnsi="Arial" w:cs="Arial"/>
          <w:color w:val="333333"/>
          <w:sz w:val="20"/>
          <w:szCs w:val="20"/>
        </w:rPr>
        <w:t>Criteria of STEM Innovation Grant</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(1) The Oregon Department of Education shall establish a request for proposal, application, or direct grant solicitation and approval process to be conducted each biennium for which the STEM Innovation Grant funds are available.</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(2) Eligible recipients will focus on STEM related education with a specific agenda that demonstrates a record of success or clearly established plans for addressing the following through innovative approaches: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lastRenderedPageBreak/>
        <w:t>(a) Closing the achievement gap for students who are historically underserved students or underrepresented in STEM or both with innovative approaches;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(b) Supporting effective implementation of Oregon’s academic standards and relevant technical skills;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(c) Successfully moving students along a P-20 STEM workforce pathway; and</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(d) Engaging all students in meaningful, authentic problem-based learning.</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(b) The Department shall give priority to proposals that meet the minimum criteria and clearly demonstrates how the grant funds will be used to address the following:</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(A) Establish how underserved and underrepresented students will be engaged and have increased learning opportunities;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(B) Support new or expand STEM programs and activities;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(C) Demonstrate a long-term sustainability plan; and</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(D) Collaborate with local business and industry partners or Regional STEM Hubs or both.</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(3) The Department of Education may consider the geographic location of grant applicants to ensure geographic diversity within the recipients of grant program funds throughout the state.</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(4) Eligible recipients must have a comprehensive system for measuring students’ quantitative and qualitative outcomes.</w:t>
      </w:r>
    </w:p>
    <w:p w:rsidR="00F33FDF" w:rsidRDefault="00F33FDF" w:rsidP="00F33FDF">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2013 OL Ch. 661 &amp; Sec. 4 (Enrolled HB 3232)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2013 OL Ch. 661 &amp; Sec. 4 (Enrolled HB 3232)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ODE 18-2016, f. &amp; cert. ef. 3-22-16</w:t>
      </w:r>
      <w:r>
        <w:rPr>
          <w:rFonts w:ascii="Arial" w:hAnsi="Arial" w:cs="Arial"/>
          <w:color w:val="333333"/>
          <w:sz w:val="20"/>
          <w:szCs w:val="20"/>
        </w:rPr>
        <w:br/>
        <w:t>ODE 30-2014, f. &amp; cert. ef. 6-24-14; ODE 34-2015(Temp) f. 12-23-15, cert. ef. 12-28-15 thru 4-1-16</w:t>
      </w:r>
    </w:p>
    <w:p w:rsidR="00F33FDF" w:rsidRDefault="004D4DDF" w:rsidP="00F33FDF">
      <w:pPr>
        <w:pStyle w:val="NormalWeb"/>
        <w:shd w:val="clear" w:color="auto" w:fill="F5F5F5"/>
        <w:rPr>
          <w:rFonts w:ascii="Arial" w:hAnsi="Arial" w:cs="Arial"/>
          <w:color w:val="333333"/>
          <w:sz w:val="20"/>
          <w:szCs w:val="20"/>
        </w:rPr>
      </w:pPr>
      <w:hyperlink r:id="rId8" w:history="1">
        <w:r w:rsidR="00F33FDF">
          <w:rPr>
            <w:rStyle w:val="Hyperlink"/>
            <w:rFonts w:ascii="Arial" w:hAnsi="Arial" w:cs="Arial"/>
            <w:b/>
            <w:bCs/>
            <w:color w:val="005592"/>
            <w:sz w:val="20"/>
            <w:szCs w:val="20"/>
          </w:rPr>
          <w:t>581-017-0330</w:t>
        </w:r>
      </w:hyperlink>
      <w:r w:rsidR="00F33FDF">
        <w:rPr>
          <w:rFonts w:ascii="Arial" w:hAnsi="Arial" w:cs="Arial"/>
          <w:color w:val="333333"/>
          <w:sz w:val="20"/>
          <w:szCs w:val="20"/>
        </w:rPr>
        <w:br/>
      </w:r>
      <w:r w:rsidR="00F33FDF">
        <w:rPr>
          <w:rStyle w:val="Strong"/>
          <w:rFonts w:ascii="Arial" w:hAnsi="Arial" w:cs="Arial"/>
          <w:color w:val="333333"/>
          <w:sz w:val="20"/>
          <w:szCs w:val="20"/>
        </w:rPr>
        <w:t>Implementation of STEM Innovation Grant</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(1) The Oregon Department of Education, in collaboration with the Chief Education Office and the STEM Council, shall determine for each biennium the funds available for the STEM Innovation Grants.</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(2) STEM Innovation Grant funds received by a grantee must be separately accounted for and may be used only to provide funding for the purposes described in the application of the grant recipient.</w:t>
      </w:r>
    </w:p>
    <w:p w:rsidR="00F33FDF" w:rsidRDefault="00F33FDF" w:rsidP="00F33FDF">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2013 OL Ch. 661 &amp; Sec. 4 (Enrolled HB 3232)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2013 OL Ch. 661 &amp; Sec. 4 (Enrolled HB 3232)</w:t>
      </w:r>
      <w:r>
        <w:rPr>
          <w:rFonts w:ascii="Arial" w:hAnsi="Arial" w:cs="Arial"/>
          <w:color w:val="333333"/>
          <w:sz w:val="20"/>
          <w:szCs w:val="20"/>
        </w:rPr>
        <w:br/>
      </w:r>
      <w:r>
        <w:rPr>
          <w:rFonts w:ascii="Arial" w:hAnsi="Arial" w:cs="Arial"/>
          <w:b/>
          <w:bCs/>
          <w:color w:val="333333"/>
          <w:sz w:val="20"/>
          <w:szCs w:val="20"/>
        </w:rPr>
        <w:t>History:</w:t>
      </w:r>
      <w:r>
        <w:rPr>
          <w:rFonts w:ascii="Arial" w:hAnsi="Arial" w:cs="Arial"/>
          <w:color w:val="333333"/>
          <w:sz w:val="20"/>
          <w:szCs w:val="20"/>
        </w:rPr>
        <w:br/>
        <w:t>ODE 18-2016, f. &amp; cert. ef. 3-22-16</w:t>
      </w:r>
      <w:r>
        <w:rPr>
          <w:rFonts w:ascii="Arial" w:hAnsi="Arial" w:cs="Arial"/>
          <w:color w:val="333333"/>
          <w:sz w:val="20"/>
          <w:szCs w:val="20"/>
        </w:rPr>
        <w:br/>
        <w:t>ODE 30-2014, f. &amp; cert. ef. 6-24-14; ODE 34-2015(Temp) f. 12-23-15, cert. ef. 12-28-15 thru 4-1-16</w:t>
      </w:r>
    </w:p>
    <w:p w:rsidR="00F33FDF" w:rsidRDefault="004D4DDF" w:rsidP="00F33FDF">
      <w:pPr>
        <w:pStyle w:val="NormalWeb"/>
        <w:shd w:val="clear" w:color="auto" w:fill="F5F5F5"/>
        <w:rPr>
          <w:rFonts w:ascii="Arial" w:hAnsi="Arial" w:cs="Arial"/>
          <w:color w:val="333333"/>
          <w:sz w:val="20"/>
          <w:szCs w:val="20"/>
        </w:rPr>
      </w:pPr>
      <w:hyperlink r:id="rId9" w:history="1">
        <w:r w:rsidR="00F33FDF">
          <w:rPr>
            <w:rStyle w:val="Hyperlink"/>
            <w:rFonts w:ascii="Arial" w:hAnsi="Arial" w:cs="Arial"/>
            <w:b/>
            <w:bCs/>
            <w:color w:val="005592"/>
            <w:sz w:val="20"/>
            <w:szCs w:val="20"/>
          </w:rPr>
          <w:t>581-017-0333</w:t>
        </w:r>
      </w:hyperlink>
      <w:r w:rsidR="00F33FDF">
        <w:rPr>
          <w:rFonts w:ascii="Arial" w:hAnsi="Arial" w:cs="Arial"/>
          <w:color w:val="333333"/>
          <w:sz w:val="20"/>
          <w:szCs w:val="20"/>
        </w:rPr>
        <w:br/>
      </w:r>
      <w:r w:rsidR="00F33FDF">
        <w:rPr>
          <w:rStyle w:val="Strong"/>
          <w:rFonts w:ascii="Arial" w:hAnsi="Arial" w:cs="Arial"/>
          <w:color w:val="333333"/>
          <w:sz w:val="20"/>
          <w:szCs w:val="20"/>
        </w:rPr>
        <w:t>Reporting of STEM Innovation Grant</w:t>
      </w:r>
    </w:p>
    <w:p w:rsidR="00F33FDF" w:rsidRDefault="00F33FDF" w:rsidP="00F33FDF">
      <w:pPr>
        <w:pStyle w:val="NormalWeb"/>
        <w:shd w:val="clear" w:color="auto" w:fill="F5F5F5"/>
        <w:rPr>
          <w:rFonts w:ascii="Arial" w:hAnsi="Arial" w:cs="Arial"/>
          <w:color w:val="333333"/>
          <w:sz w:val="20"/>
          <w:szCs w:val="20"/>
        </w:rPr>
      </w:pPr>
      <w:r>
        <w:rPr>
          <w:rFonts w:ascii="Arial" w:hAnsi="Arial" w:cs="Arial"/>
          <w:color w:val="333333"/>
          <w:sz w:val="20"/>
          <w:szCs w:val="20"/>
        </w:rPr>
        <w:t>Recipients of the STEM Innovation Grant must report on the grant to the Department of Education. The report must include metrics developed by the Department of Education, in collaboration with the STEM Council and the Chief Education Office.</w:t>
      </w:r>
    </w:p>
    <w:p w:rsidR="00F33FDF" w:rsidRDefault="00F33FDF" w:rsidP="00F33FDF">
      <w:pPr>
        <w:pStyle w:val="NormalWeb"/>
        <w:shd w:val="clear" w:color="auto" w:fill="F5F5F5"/>
        <w:rPr>
          <w:rFonts w:ascii="Arial" w:hAnsi="Arial" w:cs="Arial"/>
          <w:color w:val="333333"/>
          <w:sz w:val="20"/>
          <w:szCs w:val="20"/>
        </w:rPr>
      </w:pPr>
      <w:r>
        <w:rPr>
          <w:rFonts w:ascii="Arial" w:hAnsi="Arial" w:cs="Arial"/>
          <w:b/>
          <w:bCs/>
          <w:color w:val="333333"/>
          <w:sz w:val="20"/>
          <w:szCs w:val="20"/>
        </w:rPr>
        <w:t>Statutory/Other Authority:</w:t>
      </w:r>
      <w:r>
        <w:rPr>
          <w:rFonts w:ascii="Arial" w:hAnsi="Arial" w:cs="Arial"/>
          <w:color w:val="333333"/>
          <w:sz w:val="20"/>
          <w:szCs w:val="20"/>
        </w:rPr>
        <w:t> 2013 OL Ch. 661 &amp; Sec. 4 (Enrolled HB 3232)</w:t>
      </w:r>
      <w:r>
        <w:rPr>
          <w:rFonts w:ascii="Arial" w:hAnsi="Arial" w:cs="Arial"/>
          <w:color w:val="333333"/>
          <w:sz w:val="20"/>
          <w:szCs w:val="20"/>
        </w:rPr>
        <w:br/>
      </w:r>
      <w:r>
        <w:rPr>
          <w:rFonts w:ascii="Arial" w:hAnsi="Arial" w:cs="Arial"/>
          <w:b/>
          <w:bCs/>
          <w:color w:val="333333"/>
          <w:sz w:val="20"/>
          <w:szCs w:val="20"/>
        </w:rPr>
        <w:t>Statutes/Other Implemented:</w:t>
      </w:r>
      <w:r>
        <w:rPr>
          <w:rFonts w:ascii="Arial" w:hAnsi="Arial" w:cs="Arial"/>
          <w:color w:val="333333"/>
          <w:sz w:val="20"/>
          <w:szCs w:val="20"/>
        </w:rPr>
        <w:t> 2013 OL Ch. 661 &amp; Sec. 4 (Enrolled HB 3232)</w:t>
      </w:r>
      <w:r>
        <w:rPr>
          <w:rFonts w:ascii="Arial" w:hAnsi="Arial" w:cs="Arial"/>
          <w:color w:val="333333"/>
          <w:sz w:val="20"/>
          <w:szCs w:val="20"/>
        </w:rPr>
        <w:br/>
      </w:r>
      <w:r>
        <w:rPr>
          <w:rFonts w:ascii="Arial" w:hAnsi="Arial" w:cs="Arial"/>
          <w:b/>
          <w:bCs/>
          <w:color w:val="333333"/>
          <w:sz w:val="20"/>
          <w:szCs w:val="20"/>
        </w:rPr>
        <w:lastRenderedPageBreak/>
        <w:t>History:</w:t>
      </w:r>
      <w:r>
        <w:rPr>
          <w:rFonts w:ascii="Arial" w:hAnsi="Arial" w:cs="Arial"/>
          <w:color w:val="333333"/>
          <w:sz w:val="20"/>
          <w:szCs w:val="20"/>
        </w:rPr>
        <w:br/>
        <w:t>ODE 18-2016, f. &amp; cert. ef. 3-22-16</w:t>
      </w:r>
      <w:r>
        <w:rPr>
          <w:rFonts w:ascii="Arial" w:hAnsi="Arial" w:cs="Arial"/>
          <w:color w:val="333333"/>
          <w:sz w:val="20"/>
          <w:szCs w:val="20"/>
        </w:rPr>
        <w:br/>
        <w:t>ODE 30-2014, f. &amp; cert. ef. 6-24-14; ODE 34-2015(Temp) f. 12-23-15, cert. ef. 12-28-15 thru 4-1-16</w:t>
      </w:r>
    </w:p>
    <w:p w:rsidR="00B00F77" w:rsidRPr="00F33FDF" w:rsidRDefault="00B00F77" w:rsidP="00F33FDF"/>
    <w:sectPr w:rsidR="00B00F77" w:rsidRPr="00F33F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DF" w:rsidRDefault="004D4DDF">
      <w:pPr>
        <w:spacing w:after="0" w:line="240" w:lineRule="auto"/>
      </w:pPr>
    </w:p>
  </w:endnote>
  <w:endnote w:type="continuationSeparator" w:id="0">
    <w:p w:rsidR="004D4DDF" w:rsidRDefault="004D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D" w:rsidRDefault="00466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D" w:rsidRDefault="00466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D" w:rsidRDefault="0046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DF" w:rsidRDefault="004D4DDF">
      <w:pPr>
        <w:spacing w:after="0" w:line="240" w:lineRule="auto"/>
      </w:pPr>
    </w:p>
  </w:footnote>
  <w:footnote w:type="continuationSeparator" w:id="0">
    <w:p w:rsidR="004D4DDF" w:rsidRDefault="004D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D" w:rsidRDefault="00466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D" w:rsidRDefault="00466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82D" w:rsidRDefault="00466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F"/>
    <w:rsid w:val="0009345E"/>
    <w:rsid w:val="004159AA"/>
    <w:rsid w:val="0046682D"/>
    <w:rsid w:val="004D4DDF"/>
    <w:rsid w:val="00675206"/>
    <w:rsid w:val="00712E0C"/>
    <w:rsid w:val="00B00F77"/>
    <w:rsid w:val="00B01343"/>
    <w:rsid w:val="00B56B6A"/>
    <w:rsid w:val="00CB56F4"/>
    <w:rsid w:val="00E70EDF"/>
    <w:rsid w:val="00F3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FDF"/>
    <w:rPr>
      <w:b/>
      <w:bCs/>
    </w:rPr>
  </w:style>
  <w:style w:type="character" w:styleId="Hyperlink">
    <w:name w:val="Hyperlink"/>
    <w:basedOn w:val="DefaultParagraphFont"/>
    <w:uiPriority w:val="99"/>
    <w:semiHidden/>
    <w:unhideWhenUsed/>
    <w:rsid w:val="00F33FDF"/>
    <w:rPr>
      <w:color w:val="0000FF"/>
      <w:u w:val="single"/>
    </w:rPr>
  </w:style>
  <w:style w:type="paragraph" w:styleId="Header">
    <w:name w:val="header"/>
    <w:basedOn w:val="Normal"/>
    <w:link w:val="HeaderChar"/>
    <w:uiPriority w:val="99"/>
    <w:unhideWhenUsed/>
    <w:rsid w:val="00466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82D"/>
  </w:style>
  <w:style w:type="paragraph" w:styleId="Footer">
    <w:name w:val="footer"/>
    <w:basedOn w:val="Normal"/>
    <w:link w:val="FooterChar"/>
    <w:uiPriority w:val="99"/>
    <w:unhideWhenUsed/>
    <w:rsid w:val="0046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74489">
      <w:bodyDiv w:val="1"/>
      <w:marLeft w:val="0"/>
      <w:marRight w:val="0"/>
      <w:marTop w:val="0"/>
      <w:marBottom w:val="0"/>
      <w:divBdr>
        <w:top w:val="none" w:sz="0" w:space="0" w:color="auto"/>
        <w:left w:val="none" w:sz="0" w:space="0" w:color="auto"/>
        <w:bottom w:val="none" w:sz="0" w:space="0" w:color="auto"/>
        <w:right w:val="none" w:sz="0" w:space="0" w:color="auto"/>
      </w:divBdr>
      <w:divsChild>
        <w:div w:id="839346104">
          <w:marLeft w:val="0"/>
          <w:marRight w:val="0"/>
          <w:marTop w:val="0"/>
          <w:marBottom w:val="450"/>
          <w:divBdr>
            <w:top w:val="none" w:sz="0" w:space="0" w:color="auto"/>
            <w:left w:val="none" w:sz="0" w:space="0" w:color="auto"/>
            <w:bottom w:val="none" w:sz="0" w:space="0" w:color="auto"/>
            <w:right w:val="none" w:sz="0" w:space="0" w:color="auto"/>
          </w:divBdr>
        </w:div>
        <w:div w:id="407503117">
          <w:marLeft w:val="0"/>
          <w:marRight w:val="0"/>
          <w:marTop w:val="0"/>
          <w:marBottom w:val="450"/>
          <w:divBdr>
            <w:top w:val="none" w:sz="0" w:space="0" w:color="auto"/>
            <w:left w:val="none" w:sz="0" w:space="0" w:color="auto"/>
            <w:bottom w:val="none" w:sz="0" w:space="0" w:color="auto"/>
            <w:right w:val="none" w:sz="0" w:space="0" w:color="auto"/>
          </w:divBdr>
        </w:div>
        <w:div w:id="1615673980">
          <w:marLeft w:val="0"/>
          <w:marRight w:val="0"/>
          <w:marTop w:val="0"/>
          <w:marBottom w:val="450"/>
          <w:divBdr>
            <w:top w:val="none" w:sz="0" w:space="0" w:color="auto"/>
            <w:left w:val="none" w:sz="0" w:space="0" w:color="auto"/>
            <w:bottom w:val="none" w:sz="0" w:space="0" w:color="auto"/>
            <w:right w:val="none" w:sz="0" w:space="0" w:color="auto"/>
          </w:divBdr>
        </w:div>
        <w:div w:id="1093477753">
          <w:marLeft w:val="0"/>
          <w:marRight w:val="0"/>
          <w:marTop w:val="0"/>
          <w:marBottom w:val="450"/>
          <w:divBdr>
            <w:top w:val="none" w:sz="0" w:space="0" w:color="auto"/>
            <w:left w:val="none" w:sz="0" w:space="0" w:color="auto"/>
            <w:bottom w:val="none" w:sz="0" w:space="0" w:color="auto"/>
            <w:right w:val="none" w:sz="0" w:space="0" w:color="auto"/>
          </w:divBdr>
        </w:div>
        <w:div w:id="66239137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144114"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secure.sos.state.or.us/oard/viewSingleRule.action?ruleVrsnRsn=14411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secure.sos.state.or.us/oard/viewSingleRule.action?ruleVrsnRsn=144110"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secure.sos.state.or.us/oard/viewSingleRule.action?ruleVrsnRsn=14411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2020-02-14T08:00:00+00:00</Remediation_x0020_Date>
    <Estimated_x0020_Creation_x0020_Date xmlns="54ba7e27-71cb-4c46-94e1-a2d959839410" xsi:nil="true"/>
  </documentManagement>
</p:properties>
</file>

<file path=customXml/itemProps1.xml><?xml version="1.0" encoding="utf-8"?>
<ds:datastoreItem xmlns:ds="http://schemas.openxmlformats.org/officeDocument/2006/customXml" ds:itemID="{CD51C53E-6E8E-4B7C-9029-D0C73B6C6631}"/>
</file>

<file path=customXml/itemProps2.xml><?xml version="1.0" encoding="utf-8"?>
<ds:datastoreItem xmlns:ds="http://schemas.openxmlformats.org/officeDocument/2006/customXml" ds:itemID="{6C5975CE-28E9-478D-A81A-29BC4003C533}"/>
</file>

<file path=customXml/itemProps3.xml><?xml version="1.0" encoding="utf-8"?>
<ds:datastoreItem xmlns:ds="http://schemas.openxmlformats.org/officeDocument/2006/customXml" ds:itemID="{FE3B49D7-513B-4255-9291-6790604D98C2}"/>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Innovation OARs and ORs</dc:title>
  <dc:subject/>
  <dc:creator/>
  <cp:keywords/>
  <dc:description/>
  <cp:lastModifiedBy/>
  <cp:revision>1</cp:revision>
  <dcterms:created xsi:type="dcterms:W3CDTF">2020-02-14T21:20:00Z</dcterms:created>
  <dcterms:modified xsi:type="dcterms:W3CDTF">2020-02-14T21:20:00Z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