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9203"/>
      </w:tblGrid>
      <w:tr w:rsidR="00F7322A" w:rsidRPr="00346EEB" w:rsidTr="00F7322A">
        <w:trPr>
          <w:trHeight w:val="2510"/>
        </w:trPr>
        <w:tc>
          <w:tcPr>
            <w:tcW w:w="4855" w:type="dxa"/>
            <w:tcBorders>
              <w:top w:val="nil"/>
              <w:left w:val="nil"/>
              <w:bottom w:val="nil"/>
              <w:right w:val="nil"/>
            </w:tcBorders>
          </w:tcPr>
          <w:p w:rsidR="00F7322A" w:rsidRDefault="00E96741" w:rsidP="00F7322A">
            <w:pPr>
              <w:ind w:left="-468"/>
              <w:rPr>
                <w:color w:val="0000FF"/>
              </w:rPr>
            </w:pPr>
            <w:bookmarkStart w:id="0" w:name="_GoBack"/>
            <w:bookmarkEnd w:id="0"/>
            <w:r w:rsidRPr="001E3238">
              <w:rPr>
                <w:noProof/>
                <w:color w:val="0000FF"/>
              </w:rPr>
              <mc:AlternateContent>
                <mc:Choice Requires="wps">
                  <w:drawing>
                    <wp:anchor distT="0" distB="0" distL="114300" distR="114300" simplePos="0" relativeHeight="251657216" behindDoc="0" locked="0" layoutInCell="1" allowOverlap="1">
                      <wp:simplePos x="0" y="0"/>
                      <wp:positionH relativeFrom="column">
                        <wp:posOffset>940435</wp:posOffset>
                      </wp:positionH>
                      <wp:positionV relativeFrom="paragraph">
                        <wp:posOffset>102870</wp:posOffset>
                      </wp:positionV>
                      <wp:extent cx="1204595" cy="266700"/>
                      <wp:effectExtent l="0"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577A" w:rsidRDefault="006A577A" w:rsidP="00F7322A">
                                  <w:r>
                                    <w:t>Department of</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4.05pt;margin-top:8.1pt;width:94.85pt;height:21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" stroked="f">
                      <v:textbox style="mso-fit-shape-to-text:t">
                        <w:txbxContent>
                          <w:p w:rsidR="006A577A" w:rsidRDefault="006A577A" w:rsidP="00F7322A">
                            <w:r>
                              <w:t>Department of</w:t>
                            </w:r>
                          </w:p>
                        </w:txbxContent>
                      </v:textbox>
                    </v:shape>
                  </w:pict>
                </mc:Fallback>
              </mc:AlternateContent>
            </w:r>
            <w:r w:rsidR="00F7322A">
              <w:rPr>
                <w:color w:val="0000FF"/>
              </w:rPr>
              <w:t xml:space="preserve">  </w:t>
            </w:r>
          </w:p>
          <w:p w:rsidR="00F7322A" w:rsidRDefault="00E96741" w:rsidP="006A577A">
            <w:pPr>
              <w:pStyle w:val="Heading1"/>
              <w:jc w:val="left"/>
              <w:rPr>
                <w:sz w:val="20"/>
              </w:rPr>
            </w:pPr>
            <w:r>
              <w:rPr>
                <w:noProof/>
                <w:sz w:val="20"/>
              </w:rPr>
              <w:drawing>
                <wp:inline distT="0" distB="0" distL="0" distR="0">
                  <wp:extent cx="2200275" cy="466725"/>
                  <wp:effectExtent l="0" t="0" r="0" b="0"/>
                  <wp:docPr id="1" name="Picture 1" descr="ode_logo_print_LIGH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_logo_print_LIGHT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466725"/>
                          </a:xfrm>
                          <a:prstGeom prst="rect">
                            <a:avLst/>
                          </a:prstGeom>
                          <a:noFill/>
                          <a:ln>
                            <a:noFill/>
                          </a:ln>
                        </pic:spPr>
                      </pic:pic>
                    </a:graphicData>
                  </a:graphic>
                </wp:inline>
              </w:drawing>
            </w:r>
          </w:p>
          <w:p w:rsidR="00F7322A" w:rsidRPr="000E1ACE" w:rsidRDefault="00F7322A" w:rsidP="006A577A">
            <w:pPr>
              <w:pStyle w:val="Heading1"/>
              <w:jc w:val="left"/>
              <w:rPr>
                <w:sz w:val="32"/>
              </w:rPr>
            </w:pPr>
            <w:r>
              <w:rPr>
                <w:sz w:val="20"/>
              </w:rPr>
              <w:t>O</w:t>
            </w:r>
            <w:r w:rsidRPr="0002151E">
              <w:rPr>
                <w:sz w:val="20"/>
              </w:rPr>
              <w:t>ffice of Educational Improvement</w:t>
            </w:r>
            <w:r>
              <w:rPr>
                <w:sz w:val="20"/>
              </w:rPr>
              <w:t xml:space="preserve"> </w:t>
            </w:r>
            <w:r w:rsidRPr="0002151E">
              <w:rPr>
                <w:sz w:val="20"/>
              </w:rPr>
              <w:t>and Innovation</w:t>
            </w:r>
          </w:p>
          <w:p w:rsidR="00F7322A" w:rsidRPr="0002151E" w:rsidRDefault="00F7322A" w:rsidP="006A577A">
            <w:pPr>
              <w:rPr>
                <w:sz w:val="12"/>
              </w:rPr>
            </w:pPr>
            <w:smartTag w:uri="urn:schemas-microsoft-com:office:smarttags" w:element="place">
              <w:smartTag w:uri="urn:schemas-microsoft-com:office:smarttags" w:element="PlaceName">
                <w:r w:rsidRPr="0002151E">
                  <w:rPr>
                    <w:sz w:val="12"/>
                  </w:rPr>
                  <w:t>Public</w:t>
                </w:r>
              </w:smartTag>
              <w:r w:rsidRPr="0002151E">
                <w:rPr>
                  <w:sz w:val="12"/>
                </w:rPr>
                <w:t xml:space="preserve"> </w:t>
              </w:r>
              <w:smartTag w:uri="urn:schemas-microsoft-com:office:smarttags" w:element="PlaceName">
                <w:r w:rsidRPr="0002151E">
                  <w:rPr>
                    <w:sz w:val="12"/>
                  </w:rPr>
                  <w:t>Service</w:t>
                </w:r>
              </w:smartTag>
              <w:r w:rsidRPr="0002151E">
                <w:rPr>
                  <w:sz w:val="12"/>
                </w:rPr>
                <w:t xml:space="preserve"> </w:t>
              </w:r>
              <w:smartTag w:uri="urn:schemas-microsoft-com:office:smarttags" w:element="PlaceType">
                <w:r w:rsidRPr="0002151E">
                  <w:rPr>
                    <w:sz w:val="12"/>
                  </w:rPr>
                  <w:t>Building</w:t>
                </w:r>
              </w:smartTag>
            </w:smartTag>
          </w:p>
          <w:p w:rsidR="00F7322A" w:rsidRPr="0002151E" w:rsidRDefault="00F7322A" w:rsidP="006A577A">
            <w:pPr>
              <w:rPr>
                <w:sz w:val="12"/>
              </w:rPr>
            </w:pPr>
            <w:smartTag w:uri="urn:schemas-microsoft-com:office:smarttags" w:element="Street">
              <w:smartTag w:uri="urn:schemas-microsoft-com:office:smarttags" w:element="address">
                <w:r w:rsidRPr="0002151E">
                  <w:rPr>
                    <w:sz w:val="12"/>
                  </w:rPr>
                  <w:t>255 Capitol Street NE</w:t>
                </w:r>
              </w:smartTag>
            </w:smartTag>
          </w:p>
          <w:p w:rsidR="00F7322A" w:rsidRPr="0002151E" w:rsidRDefault="00F7322A" w:rsidP="006A577A">
            <w:pPr>
              <w:rPr>
                <w:sz w:val="12"/>
              </w:rPr>
            </w:pPr>
            <w:smartTag w:uri="urn:schemas-microsoft-com:office:smarttags" w:element="place">
              <w:smartTag w:uri="urn:schemas-microsoft-com:office:smarttags" w:element="City">
                <w:r w:rsidRPr="0002151E">
                  <w:rPr>
                    <w:sz w:val="12"/>
                  </w:rPr>
                  <w:t>Salem</w:t>
                </w:r>
              </w:smartTag>
              <w:r w:rsidRPr="0002151E">
                <w:rPr>
                  <w:sz w:val="12"/>
                </w:rPr>
                <w:t xml:space="preserve">, </w:t>
              </w:r>
              <w:smartTag w:uri="urn:schemas-microsoft-com:office:smarttags" w:element="State">
                <w:r w:rsidRPr="0002151E">
                  <w:rPr>
                    <w:sz w:val="12"/>
                  </w:rPr>
                  <w:t>OR</w:t>
                </w:r>
              </w:smartTag>
              <w:r w:rsidRPr="0002151E">
                <w:rPr>
                  <w:sz w:val="12"/>
                </w:rPr>
                <w:t xml:space="preserve">  </w:t>
              </w:r>
              <w:smartTag w:uri="urn:schemas-microsoft-com:office:smarttags" w:element="PostalCode">
                <w:r w:rsidRPr="0002151E">
                  <w:rPr>
                    <w:sz w:val="12"/>
                  </w:rPr>
                  <w:t>97310-0203</w:t>
                </w:r>
              </w:smartTag>
            </w:smartTag>
          </w:p>
          <w:p w:rsidR="00F7322A" w:rsidRPr="0002151E" w:rsidRDefault="00F7322A" w:rsidP="006A577A">
            <w:pPr>
              <w:rPr>
                <w:sz w:val="12"/>
              </w:rPr>
            </w:pPr>
            <w:r w:rsidRPr="0002151E">
              <w:rPr>
                <w:sz w:val="12"/>
              </w:rPr>
              <w:t>503-947-5600</w:t>
            </w:r>
          </w:p>
          <w:p w:rsidR="00F7322A" w:rsidRPr="0002151E" w:rsidRDefault="00F7322A" w:rsidP="006A577A">
            <w:pPr>
              <w:rPr>
                <w:sz w:val="12"/>
              </w:rPr>
            </w:pPr>
            <w:r w:rsidRPr="0002151E">
              <w:rPr>
                <w:sz w:val="12"/>
              </w:rPr>
              <w:t>Fax 503-378-5156</w:t>
            </w:r>
          </w:p>
          <w:p w:rsidR="00F7322A" w:rsidRDefault="00F7322A" w:rsidP="006A577A">
            <w:pPr>
              <w:rPr>
                <w:sz w:val="12"/>
              </w:rPr>
            </w:pPr>
            <w:hyperlink r:id="rId13" w:history="1">
              <w:r w:rsidRPr="00706C65">
                <w:rPr>
                  <w:rStyle w:val="Hyperlink"/>
                  <w:sz w:val="12"/>
                </w:rPr>
                <w:t>http://www.ode.state.or.us/go/cte/</w:t>
              </w:r>
            </w:hyperlink>
            <w:r>
              <w:rPr>
                <w:sz w:val="12"/>
              </w:rPr>
              <w:t xml:space="preserve"> </w:t>
            </w:r>
          </w:p>
          <w:p w:rsidR="00F7322A" w:rsidRDefault="00F7322A" w:rsidP="006A577A">
            <w:pPr>
              <w:rPr>
                <w:sz w:val="12"/>
              </w:rPr>
            </w:pPr>
          </w:p>
          <w:p w:rsidR="00F7322A" w:rsidRPr="0002151E" w:rsidRDefault="00F7322A" w:rsidP="006A577A">
            <w:pPr>
              <w:rPr>
                <w:sz w:val="18"/>
              </w:rPr>
            </w:pPr>
          </w:p>
        </w:tc>
        <w:tc>
          <w:tcPr>
            <w:tcW w:w="9203" w:type="dxa"/>
            <w:tcBorders>
              <w:top w:val="nil"/>
              <w:left w:val="nil"/>
              <w:bottom w:val="nil"/>
              <w:right w:val="nil"/>
            </w:tcBorders>
          </w:tcPr>
          <w:p w:rsidR="00F7322A" w:rsidRPr="00346EEB" w:rsidRDefault="00E96741" w:rsidP="006A577A">
            <w:pPr>
              <w:jc w:val="right"/>
              <w:rPr>
                <w:sz w:val="12"/>
                <w:szCs w:val="12"/>
              </w:rPr>
            </w:pPr>
            <w:r w:rsidRPr="00F7322A">
              <w:rPr>
                <w:noProof/>
                <w:sz w:val="20"/>
              </w:rPr>
              <mc:AlternateContent>
                <mc:Choice Requires="wps">
                  <w:drawing>
                    <wp:anchor distT="0" distB="0" distL="114300" distR="114300" simplePos="0" relativeHeight="251658240" behindDoc="0" locked="0" layoutInCell="1" allowOverlap="1">
                      <wp:simplePos x="0" y="0"/>
                      <wp:positionH relativeFrom="column">
                        <wp:posOffset>670560</wp:posOffset>
                      </wp:positionH>
                      <wp:positionV relativeFrom="paragraph">
                        <wp:posOffset>55245</wp:posOffset>
                      </wp:positionV>
                      <wp:extent cx="2330450" cy="1511935"/>
                      <wp:effectExtent l="2540" t="0" r="635" b="444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151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577A" w:rsidRDefault="00E96741" w:rsidP="00F7322A">
                                  <w:pPr>
                                    <w:jc w:val="right"/>
                                  </w:pPr>
                                  <w:r>
                                    <w:rPr>
                                      <w:noProof/>
                                    </w:rPr>
                                    <w:drawing>
                                      <wp:inline distT="0" distB="0" distL="0" distR="0">
                                        <wp:extent cx="723900" cy="342900"/>
                                        <wp:effectExtent l="0" t="0" r="0" b="0"/>
                                        <wp:docPr id="2" name="Picture 2" descr="Community Colleges &amp; Workforce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unity Colleges &amp; Workforce Development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342900"/>
                                                </a:xfrm>
                                                <a:prstGeom prst="rect">
                                                  <a:avLst/>
                                                </a:prstGeom>
                                                <a:noFill/>
                                                <a:ln>
                                                  <a:noFill/>
                                                </a:ln>
                                              </pic:spPr>
                                            </pic:pic>
                                          </a:graphicData>
                                        </a:graphic>
                                      </wp:inline>
                                    </w:drawing>
                                  </w:r>
                                </w:p>
                                <w:p w:rsidR="006A577A" w:rsidRPr="00F7322A" w:rsidRDefault="006A577A" w:rsidP="00F7322A">
                                  <w:pPr>
                                    <w:pStyle w:val="Heading1"/>
                                    <w:jc w:val="right"/>
                                    <w:rPr>
                                      <w:szCs w:val="28"/>
                                    </w:rPr>
                                  </w:pPr>
                                  <w:r w:rsidRPr="00F7322A">
                                    <w:rPr>
                                      <w:szCs w:val="28"/>
                                    </w:rPr>
                                    <w:t xml:space="preserve">Oregon Department of </w:t>
                                  </w:r>
                                </w:p>
                                <w:p w:rsidR="006A577A" w:rsidRPr="00F7322A" w:rsidRDefault="006A577A" w:rsidP="00F7322A">
                                  <w:pPr>
                                    <w:pStyle w:val="Heading1"/>
                                    <w:jc w:val="right"/>
                                    <w:rPr>
                                      <w:szCs w:val="28"/>
                                    </w:rPr>
                                  </w:pPr>
                                  <w:r w:rsidRPr="00F7322A">
                                    <w:rPr>
                                      <w:szCs w:val="28"/>
                                    </w:rPr>
                                    <w:t xml:space="preserve">Community Colleges and </w:t>
                                  </w:r>
                                </w:p>
                                <w:p w:rsidR="006A577A" w:rsidRPr="00F7322A" w:rsidRDefault="006A577A" w:rsidP="00F7322A">
                                  <w:pPr>
                                    <w:pStyle w:val="Heading1"/>
                                    <w:jc w:val="right"/>
                                    <w:rPr>
                                      <w:szCs w:val="28"/>
                                    </w:rPr>
                                  </w:pPr>
                                  <w:r w:rsidRPr="00F7322A">
                                    <w:rPr>
                                      <w:szCs w:val="28"/>
                                    </w:rPr>
                                    <w:t>Workforce Development</w:t>
                                  </w:r>
                                </w:p>
                                <w:p w:rsidR="006A577A" w:rsidRPr="00F7322A" w:rsidRDefault="006A577A" w:rsidP="00F7322A">
                                  <w:pPr>
                                    <w:jc w:val="right"/>
                                    <w:rPr>
                                      <w:sz w:val="10"/>
                                      <w:szCs w:val="12"/>
                                    </w:rPr>
                                  </w:pPr>
                                  <w:r w:rsidRPr="00F7322A">
                                    <w:rPr>
                                      <w:sz w:val="10"/>
                                      <w:szCs w:val="12"/>
                                    </w:rPr>
                                    <w:t>Public Service Building</w:t>
                                  </w:r>
                                </w:p>
                                <w:p w:rsidR="006A577A" w:rsidRPr="00F7322A" w:rsidRDefault="006A577A" w:rsidP="00F7322A">
                                  <w:pPr>
                                    <w:jc w:val="right"/>
                                    <w:rPr>
                                      <w:sz w:val="10"/>
                                      <w:szCs w:val="12"/>
                                    </w:rPr>
                                  </w:pPr>
                                  <w:r w:rsidRPr="00F7322A">
                                    <w:rPr>
                                      <w:sz w:val="10"/>
                                      <w:szCs w:val="12"/>
                                    </w:rPr>
                                    <w:t>255 Capitol Street NE</w:t>
                                  </w:r>
                                </w:p>
                                <w:p w:rsidR="006A577A" w:rsidRPr="00AA77FB" w:rsidRDefault="006A577A" w:rsidP="00F7322A">
                                  <w:pPr>
                                    <w:tabs>
                                      <w:tab w:val="left" w:pos="904"/>
                                      <w:tab w:val="right" w:pos="6354"/>
                                    </w:tabs>
                                    <w:jc w:val="right"/>
                                    <w:rPr>
                                      <w:sz w:val="12"/>
                                      <w:szCs w:val="12"/>
                                    </w:rPr>
                                  </w:pPr>
                                  <w:r>
                                    <w:rPr>
                                      <w:sz w:val="12"/>
                                      <w:szCs w:val="12"/>
                                    </w:rPr>
                                    <w:tab/>
                                  </w:r>
                                  <w:r>
                                    <w:rPr>
                                      <w:sz w:val="12"/>
                                      <w:szCs w:val="12"/>
                                    </w:rPr>
                                    <w:tab/>
                                  </w:r>
                                  <w:r w:rsidRPr="00AA77FB">
                                    <w:rPr>
                                      <w:sz w:val="12"/>
                                      <w:szCs w:val="12"/>
                                    </w:rPr>
                                    <w:t>Salem, OR  97310-0203</w:t>
                                  </w:r>
                                </w:p>
                                <w:p w:rsidR="006A577A" w:rsidRPr="00AA77FB" w:rsidRDefault="006A577A" w:rsidP="00F7322A">
                                  <w:pPr>
                                    <w:jc w:val="right"/>
                                    <w:rPr>
                                      <w:sz w:val="12"/>
                                      <w:szCs w:val="12"/>
                                    </w:rPr>
                                  </w:pPr>
                                  <w:r w:rsidRPr="00AA77FB">
                                    <w:rPr>
                                      <w:sz w:val="12"/>
                                      <w:szCs w:val="12"/>
                                    </w:rPr>
                                    <w:t>503-378-8648</w:t>
                                  </w:r>
                                </w:p>
                                <w:p w:rsidR="006A577A" w:rsidRDefault="006A577A" w:rsidP="00F7322A">
                                  <w:pPr>
                                    <w:jc w:val="right"/>
                                    <w:rPr>
                                      <w:sz w:val="12"/>
                                      <w:szCs w:val="12"/>
                                    </w:rPr>
                                  </w:pPr>
                                  <w:r w:rsidRPr="00AA77FB">
                                    <w:rPr>
                                      <w:sz w:val="12"/>
                                      <w:szCs w:val="12"/>
                                    </w:rPr>
                                    <w:t>Fax 503-378-3365</w:t>
                                  </w:r>
                                </w:p>
                                <w:p w:rsidR="006A577A" w:rsidRDefault="006A577A" w:rsidP="00F7322A">
                                  <w:pPr>
                                    <w:jc w:val="right"/>
                                    <w:rPr>
                                      <w:rFonts w:ascii="Tahoma" w:hAnsi="Tahoma"/>
                                      <w:sz w:val="12"/>
                                      <w:szCs w:val="12"/>
                                    </w:rPr>
                                  </w:pPr>
                                  <w:hyperlink r:id="rId15" w:history="1">
                                    <w:r w:rsidRPr="00346EEB">
                                      <w:rPr>
                                        <w:rStyle w:val="Hyperlink"/>
                                        <w:sz w:val="12"/>
                                        <w:szCs w:val="12"/>
                                      </w:rPr>
                                      <w:t>http://www.odccwd.state.or.us/prgapproval/</w:t>
                                    </w:r>
                                  </w:hyperlink>
                                </w:p>
                                <w:p w:rsidR="006A577A" w:rsidRPr="00AA77FB" w:rsidRDefault="006A577A" w:rsidP="00F7322A">
                                  <w:pPr>
                                    <w:rPr>
                                      <w:sz w:val="12"/>
                                      <w:szCs w:val="12"/>
                                    </w:rPr>
                                  </w:pPr>
                                </w:p>
                                <w:p w:rsidR="006A577A" w:rsidRDefault="006A577A" w:rsidP="00F7322A">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52.8pt;margin-top:4.35pt;width:183.5pt;height:1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" stroked="f">
                      <v:textbox>
                        <w:txbxContent>
                          <w:p w:rsidR="006A577A" w:rsidRDefault="00E96741" w:rsidP="00F7322A">
                            <w:pPr>
                              <w:jc w:val="right"/>
                            </w:pPr>
                            <w:r>
                              <w:rPr>
                                <w:noProof/>
                              </w:rPr>
                              <w:drawing>
                                <wp:inline distT="0" distB="0" distL="0" distR="0">
                                  <wp:extent cx="723900" cy="342900"/>
                                  <wp:effectExtent l="0" t="0" r="0" b="0"/>
                                  <wp:docPr id="2" name="Picture 2" descr="Community Colleges &amp; Workforce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unity Colleges &amp; Workforce Development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342900"/>
                                          </a:xfrm>
                                          <a:prstGeom prst="rect">
                                            <a:avLst/>
                                          </a:prstGeom>
                                          <a:noFill/>
                                          <a:ln>
                                            <a:noFill/>
                                          </a:ln>
                                        </pic:spPr>
                                      </pic:pic>
                                    </a:graphicData>
                                  </a:graphic>
                                </wp:inline>
                              </w:drawing>
                            </w:r>
                          </w:p>
                          <w:p w:rsidR="006A577A" w:rsidRPr="00F7322A" w:rsidRDefault="006A577A" w:rsidP="00F7322A">
                            <w:pPr>
                              <w:pStyle w:val="Heading1"/>
                              <w:jc w:val="right"/>
                              <w:rPr>
                                <w:szCs w:val="28"/>
                              </w:rPr>
                            </w:pPr>
                            <w:r w:rsidRPr="00F7322A">
                              <w:rPr>
                                <w:szCs w:val="28"/>
                              </w:rPr>
                              <w:t xml:space="preserve">Oregon Department of </w:t>
                            </w:r>
                          </w:p>
                          <w:p w:rsidR="006A577A" w:rsidRPr="00F7322A" w:rsidRDefault="006A577A" w:rsidP="00F7322A">
                            <w:pPr>
                              <w:pStyle w:val="Heading1"/>
                              <w:jc w:val="right"/>
                              <w:rPr>
                                <w:szCs w:val="28"/>
                              </w:rPr>
                            </w:pPr>
                            <w:r w:rsidRPr="00F7322A">
                              <w:rPr>
                                <w:szCs w:val="28"/>
                              </w:rPr>
                              <w:t xml:space="preserve">Community Colleges and </w:t>
                            </w:r>
                          </w:p>
                          <w:p w:rsidR="006A577A" w:rsidRPr="00F7322A" w:rsidRDefault="006A577A" w:rsidP="00F7322A">
                            <w:pPr>
                              <w:pStyle w:val="Heading1"/>
                              <w:jc w:val="right"/>
                              <w:rPr>
                                <w:szCs w:val="28"/>
                              </w:rPr>
                            </w:pPr>
                            <w:r w:rsidRPr="00F7322A">
                              <w:rPr>
                                <w:szCs w:val="28"/>
                              </w:rPr>
                              <w:t>Workforce Development</w:t>
                            </w:r>
                          </w:p>
                          <w:p w:rsidR="006A577A" w:rsidRPr="00F7322A" w:rsidRDefault="006A577A" w:rsidP="00F7322A">
                            <w:pPr>
                              <w:jc w:val="right"/>
                              <w:rPr>
                                <w:sz w:val="10"/>
                                <w:szCs w:val="12"/>
                              </w:rPr>
                            </w:pPr>
                            <w:r w:rsidRPr="00F7322A">
                              <w:rPr>
                                <w:sz w:val="10"/>
                                <w:szCs w:val="12"/>
                              </w:rPr>
                              <w:t>Public Service Building</w:t>
                            </w:r>
                          </w:p>
                          <w:p w:rsidR="006A577A" w:rsidRPr="00F7322A" w:rsidRDefault="006A577A" w:rsidP="00F7322A">
                            <w:pPr>
                              <w:jc w:val="right"/>
                              <w:rPr>
                                <w:sz w:val="10"/>
                                <w:szCs w:val="12"/>
                              </w:rPr>
                            </w:pPr>
                            <w:r w:rsidRPr="00F7322A">
                              <w:rPr>
                                <w:sz w:val="10"/>
                                <w:szCs w:val="12"/>
                              </w:rPr>
                              <w:t>255 Capitol Street NE</w:t>
                            </w:r>
                          </w:p>
                          <w:p w:rsidR="006A577A" w:rsidRPr="00AA77FB" w:rsidRDefault="006A577A" w:rsidP="00F7322A">
                            <w:pPr>
                              <w:tabs>
                                <w:tab w:val="left" w:pos="904"/>
                                <w:tab w:val="right" w:pos="6354"/>
                              </w:tabs>
                              <w:jc w:val="right"/>
                              <w:rPr>
                                <w:sz w:val="12"/>
                                <w:szCs w:val="12"/>
                              </w:rPr>
                            </w:pPr>
                            <w:r>
                              <w:rPr>
                                <w:sz w:val="12"/>
                                <w:szCs w:val="12"/>
                              </w:rPr>
                              <w:tab/>
                            </w:r>
                            <w:r>
                              <w:rPr>
                                <w:sz w:val="12"/>
                                <w:szCs w:val="12"/>
                              </w:rPr>
                              <w:tab/>
                            </w:r>
                            <w:r w:rsidRPr="00AA77FB">
                              <w:rPr>
                                <w:sz w:val="12"/>
                                <w:szCs w:val="12"/>
                              </w:rPr>
                              <w:t>Salem, OR  97310-0203</w:t>
                            </w:r>
                          </w:p>
                          <w:p w:rsidR="006A577A" w:rsidRPr="00AA77FB" w:rsidRDefault="006A577A" w:rsidP="00F7322A">
                            <w:pPr>
                              <w:jc w:val="right"/>
                              <w:rPr>
                                <w:sz w:val="12"/>
                                <w:szCs w:val="12"/>
                              </w:rPr>
                            </w:pPr>
                            <w:r w:rsidRPr="00AA77FB">
                              <w:rPr>
                                <w:sz w:val="12"/>
                                <w:szCs w:val="12"/>
                              </w:rPr>
                              <w:t>503-378-8648</w:t>
                            </w:r>
                          </w:p>
                          <w:p w:rsidR="006A577A" w:rsidRDefault="006A577A" w:rsidP="00F7322A">
                            <w:pPr>
                              <w:jc w:val="right"/>
                              <w:rPr>
                                <w:sz w:val="12"/>
                                <w:szCs w:val="12"/>
                              </w:rPr>
                            </w:pPr>
                            <w:r w:rsidRPr="00AA77FB">
                              <w:rPr>
                                <w:sz w:val="12"/>
                                <w:szCs w:val="12"/>
                              </w:rPr>
                              <w:t>Fax 503-378-3365</w:t>
                            </w:r>
                          </w:p>
                          <w:p w:rsidR="006A577A" w:rsidRDefault="006A577A" w:rsidP="00F7322A">
                            <w:pPr>
                              <w:jc w:val="right"/>
                              <w:rPr>
                                <w:rFonts w:ascii="Tahoma" w:hAnsi="Tahoma"/>
                                <w:sz w:val="12"/>
                                <w:szCs w:val="12"/>
                              </w:rPr>
                            </w:pPr>
                            <w:hyperlink r:id="rId16" w:history="1">
                              <w:r w:rsidRPr="00346EEB">
                                <w:rPr>
                                  <w:rStyle w:val="Hyperlink"/>
                                  <w:sz w:val="12"/>
                                  <w:szCs w:val="12"/>
                                </w:rPr>
                                <w:t>http://www.odccwd.state.or.us/prgapproval/</w:t>
                              </w:r>
                            </w:hyperlink>
                          </w:p>
                          <w:p w:rsidR="006A577A" w:rsidRPr="00AA77FB" w:rsidRDefault="006A577A" w:rsidP="00F7322A">
                            <w:pPr>
                              <w:rPr>
                                <w:sz w:val="12"/>
                                <w:szCs w:val="12"/>
                              </w:rPr>
                            </w:pPr>
                          </w:p>
                          <w:p w:rsidR="006A577A" w:rsidRDefault="006A577A" w:rsidP="00F7322A">
                            <w:pPr>
                              <w:jc w:val="right"/>
                            </w:pPr>
                          </w:p>
                        </w:txbxContent>
                      </v:textbox>
                    </v:shape>
                  </w:pict>
                </mc:Fallback>
              </mc:AlternateContent>
            </w:r>
          </w:p>
        </w:tc>
      </w:tr>
    </w:tbl>
    <w:p w:rsidR="00F7322A" w:rsidRPr="00F7322A" w:rsidRDefault="00F7322A" w:rsidP="00F7322A">
      <w:pPr>
        <w:jc w:val="center"/>
        <w:rPr>
          <w:b/>
          <w:sz w:val="36"/>
        </w:rPr>
      </w:pPr>
      <w:r w:rsidRPr="00F7322A">
        <w:rPr>
          <w:b/>
          <w:sz w:val="40"/>
        </w:rPr>
        <w:t>New CTE Program of Study Application</w:t>
      </w:r>
    </w:p>
    <w:p w:rsidR="00701485" w:rsidRPr="00F7322A" w:rsidRDefault="00F7322A" w:rsidP="00F7322A">
      <w:pPr>
        <w:jc w:val="center"/>
        <w:rPr>
          <w:b/>
          <w:sz w:val="32"/>
        </w:rPr>
      </w:pPr>
      <w:r w:rsidRPr="00F7322A">
        <w:rPr>
          <w:b/>
          <w:sz w:val="32"/>
        </w:rPr>
        <w:t>Questions and Answers</w:t>
      </w:r>
    </w:p>
    <w:p w:rsidR="00676D99" w:rsidRPr="007D330B" w:rsidRDefault="00676D99"/>
    <w:p w:rsidR="00AC6BD0" w:rsidRPr="007D330B" w:rsidRDefault="00A2389C" w:rsidP="00761666">
      <w:pPr>
        <w:ind w:left="360" w:hanging="360"/>
        <w:rPr>
          <w:b/>
        </w:rPr>
      </w:pPr>
      <w:r w:rsidRPr="007D330B">
        <w:rPr>
          <w:b/>
        </w:rPr>
        <w:t xml:space="preserve">1.  </w:t>
      </w:r>
      <w:r w:rsidR="00985C7A" w:rsidRPr="007D330B">
        <w:rPr>
          <w:b/>
        </w:rPr>
        <w:t xml:space="preserve">Is prior </w:t>
      </w:r>
      <w:r w:rsidR="00AC6BD0" w:rsidRPr="007D330B">
        <w:rPr>
          <w:b/>
        </w:rPr>
        <w:t xml:space="preserve">approval </w:t>
      </w:r>
      <w:r w:rsidR="00985C7A" w:rsidRPr="007D330B">
        <w:rPr>
          <w:b/>
        </w:rPr>
        <w:t xml:space="preserve">required </w:t>
      </w:r>
      <w:r w:rsidR="00AC6BD0" w:rsidRPr="007D330B">
        <w:rPr>
          <w:b/>
        </w:rPr>
        <w:t>to use Perkins funds to develop a new C</w:t>
      </w:r>
      <w:r w:rsidR="00CC37C6">
        <w:rPr>
          <w:b/>
        </w:rPr>
        <w:t xml:space="preserve">areer and </w:t>
      </w:r>
      <w:r w:rsidR="00AC6BD0" w:rsidRPr="007D330B">
        <w:rPr>
          <w:b/>
        </w:rPr>
        <w:t>T</w:t>
      </w:r>
      <w:r w:rsidR="00CC37C6">
        <w:rPr>
          <w:b/>
        </w:rPr>
        <w:t>echnical Education</w:t>
      </w:r>
      <w:r w:rsidR="00AC6BD0" w:rsidRPr="007D330B">
        <w:rPr>
          <w:b/>
        </w:rPr>
        <w:t xml:space="preserve"> Program of Study?</w:t>
      </w:r>
    </w:p>
    <w:p w:rsidR="006A78A7" w:rsidRPr="007D330B" w:rsidRDefault="006A78A7">
      <w:pPr>
        <w:rPr>
          <w:b/>
        </w:rPr>
      </w:pPr>
    </w:p>
    <w:p w:rsidR="00D70FE2" w:rsidRDefault="00453255">
      <w:r w:rsidRPr="007D330B">
        <w:t>Yes</w:t>
      </w:r>
      <w:r w:rsidR="00780931">
        <w:t>.  This is allowable</w:t>
      </w:r>
      <w:r w:rsidR="002C69AF" w:rsidRPr="007D330B">
        <w:t xml:space="preserve"> if </w:t>
      </w:r>
      <w:r w:rsidR="00780931">
        <w:t>the</w:t>
      </w:r>
      <w:r w:rsidR="002C69AF" w:rsidRPr="007D330B">
        <w:t xml:space="preserve"> plan</w:t>
      </w:r>
      <w:r w:rsidR="00780931">
        <w:t xml:space="preserve"> is</w:t>
      </w:r>
      <w:r w:rsidR="002C69AF" w:rsidRPr="007D330B">
        <w:t xml:space="preserve"> to use Perkins funds to develop the </w:t>
      </w:r>
      <w:r w:rsidR="006A78A7" w:rsidRPr="007D330B">
        <w:t>new</w:t>
      </w:r>
      <w:r w:rsidR="00CC37C6">
        <w:t xml:space="preserve"> program</w:t>
      </w:r>
      <w:r w:rsidR="006A78A7" w:rsidRPr="007D330B">
        <w:t xml:space="preserve"> </w:t>
      </w:r>
      <w:r w:rsidR="002C69AF" w:rsidRPr="007D330B">
        <w:t>for future approval</w:t>
      </w:r>
      <w:r w:rsidR="00CC37C6">
        <w:t xml:space="preserve"> as a </w:t>
      </w:r>
      <w:r w:rsidR="00D70FE2">
        <w:t xml:space="preserve">complete </w:t>
      </w:r>
      <w:r w:rsidR="00CC37C6">
        <w:t>CTE P</w:t>
      </w:r>
      <w:r w:rsidR="00CC37C6" w:rsidRPr="007D330B">
        <w:t>rogram of Study</w:t>
      </w:r>
      <w:r w:rsidR="00CC37C6">
        <w:t xml:space="preserve"> </w:t>
      </w:r>
      <w:r w:rsidR="00CC37C6" w:rsidRPr="007D330B">
        <w:t>(</w:t>
      </w:r>
      <w:r w:rsidR="00CC37C6">
        <w:t xml:space="preserve">CTE </w:t>
      </w:r>
      <w:r w:rsidR="00CC37C6" w:rsidRPr="007D330B">
        <w:t>POS)</w:t>
      </w:r>
      <w:r w:rsidRPr="007D330B">
        <w:t xml:space="preserve">.  </w:t>
      </w:r>
    </w:p>
    <w:p w:rsidR="00D70FE2" w:rsidRDefault="00D70FE2"/>
    <w:p w:rsidR="00AC6BD0" w:rsidRPr="007D330B" w:rsidRDefault="00D70FE2">
      <w:r>
        <w:t>According to the Perkins State Plan,</w:t>
      </w:r>
      <w:r w:rsidRPr="007D330B">
        <w:t xml:space="preserve"> </w:t>
      </w:r>
      <w:r>
        <w:t>beginning in</w:t>
      </w:r>
      <w:r w:rsidR="006A78A7" w:rsidRPr="007D330B">
        <w:t xml:space="preserve"> January of 2009</w:t>
      </w:r>
      <w:r w:rsidR="005C44D3" w:rsidRPr="007D330B">
        <w:t xml:space="preserve">, </w:t>
      </w:r>
      <w:r>
        <w:t>P</w:t>
      </w:r>
      <w:r w:rsidR="00453255" w:rsidRPr="007D330B">
        <w:t xml:space="preserve">erkins funds can only be used to pay for expenses associated with </w:t>
      </w:r>
      <w:r w:rsidR="005C44D3" w:rsidRPr="007D330B">
        <w:t xml:space="preserve">CTE </w:t>
      </w:r>
      <w:r w:rsidR="00CC37C6">
        <w:t>POS</w:t>
      </w:r>
      <w:r>
        <w:t>,</w:t>
      </w:r>
      <w:r w:rsidR="00CD5BF9" w:rsidRPr="007D330B">
        <w:t xml:space="preserve"> </w:t>
      </w:r>
      <w:r w:rsidR="006A78A7" w:rsidRPr="007D330B">
        <w:t>or</w:t>
      </w:r>
      <w:r w:rsidR="005C44D3" w:rsidRPr="007D330B">
        <w:t xml:space="preserve"> </w:t>
      </w:r>
      <w:r>
        <w:t xml:space="preserve">with </w:t>
      </w:r>
      <w:r w:rsidR="005C44D3" w:rsidRPr="007D330B">
        <w:t xml:space="preserve">previously approved </w:t>
      </w:r>
      <w:r w:rsidR="00CD5BF9" w:rsidRPr="007D330B">
        <w:t xml:space="preserve">CTE </w:t>
      </w:r>
      <w:r w:rsidR="005C44D3" w:rsidRPr="007D330B">
        <w:t xml:space="preserve">programs that </w:t>
      </w:r>
      <w:r w:rsidR="00CD5BF9" w:rsidRPr="007D330B">
        <w:t xml:space="preserve">have been </w:t>
      </w:r>
      <w:r w:rsidR="005C44D3" w:rsidRPr="007D330B">
        <w:t xml:space="preserve">identified for development into CTE </w:t>
      </w:r>
      <w:r w:rsidR="00CC37C6">
        <w:t>POS</w:t>
      </w:r>
      <w:r w:rsidR="005C44D3" w:rsidRPr="007D330B">
        <w:t xml:space="preserve">.  </w:t>
      </w:r>
      <w:r w:rsidR="00453255" w:rsidRPr="007D330B">
        <w:t>However, i</w:t>
      </w:r>
      <w:r w:rsidR="005C44D3" w:rsidRPr="007D330B">
        <w:t xml:space="preserve">n some cases, Perkins funds can be used to </w:t>
      </w:r>
      <w:r>
        <w:t>initiate</w:t>
      </w:r>
      <w:r w:rsidR="005C44D3" w:rsidRPr="007D330B">
        <w:t xml:space="preserve"> new </w:t>
      </w:r>
      <w:r>
        <w:t>p</w:t>
      </w:r>
      <w:r w:rsidR="005C44D3" w:rsidRPr="007D330B">
        <w:t xml:space="preserve">rograms that are </w:t>
      </w:r>
      <w:r>
        <w:t>neither</w:t>
      </w:r>
      <w:r w:rsidR="005C44D3" w:rsidRPr="007D330B">
        <w:t xml:space="preserve"> currently ap</w:t>
      </w:r>
      <w:r w:rsidR="008524C2" w:rsidRPr="007D330B">
        <w:t xml:space="preserve">proved CTE Programs of </w:t>
      </w:r>
      <w:r w:rsidRPr="007D330B">
        <w:t xml:space="preserve">Study </w:t>
      </w:r>
      <w:r>
        <w:t>nor</w:t>
      </w:r>
      <w:r w:rsidR="008524C2" w:rsidRPr="007D330B">
        <w:t xml:space="preserve"> were previously identified for development</w:t>
      </w:r>
      <w:r w:rsidR="00CD5BF9" w:rsidRPr="007D330B">
        <w:t xml:space="preserve"> into CTE Program</w:t>
      </w:r>
      <w:r>
        <w:t>s</w:t>
      </w:r>
      <w:r w:rsidR="00CD5BF9" w:rsidRPr="007D330B">
        <w:t xml:space="preserve"> of Study.</w:t>
      </w:r>
      <w:r w:rsidR="008524C2" w:rsidRPr="007D330B">
        <w:t xml:space="preserve">   </w:t>
      </w:r>
      <w:r w:rsidR="00C453CE" w:rsidRPr="007D330B">
        <w:t>The use of Perkins f</w:t>
      </w:r>
      <w:r w:rsidR="008524C2" w:rsidRPr="007D330B">
        <w:t xml:space="preserve">unds for such </w:t>
      </w:r>
      <w:r>
        <w:t xml:space="preserve">CTE </w:t>
      </w:r>
      <w:r w:rsidR="00CD5BF9" w:rsidRPr="007D330B">
        <w:t xml:space="preserve">POS </w:t>
      </w:r>
      <w:r>
        <w:t xml:space="preserve">initiation and </w:t>
      </w:r>
      <w:r w:rsidR="008524C2" w:rsidRPr="007D330B">
        <w:t xml:space="preserve">development can only be used with prior </w:t>
      </w:r>
      <w:r w:rsidR="00C453CE" w:rsidRPr="007D330B">
        <w:t xml:space="preserve">authorization and </w:t>
      </w:r>
      <w:r w:rsidR="008524C2" w:rsidRPr="007D330B">
        <w:t>written approval from ODE staff charge</w:t>
      </w:r>
      <w:r>
        <w:t>d</w:t>
      </w:r>
      <w:r w:rsidR="008524C2" w:rsidRPr="007D330B">
        <w:t xml:space="preserve"> </w:t>
      </w:r>
      <w:r>
        <w:t>with</w:t>
      </w:r>
      <w:r w:rsidR="008524C2" w:rsidRPr="007D330B">
        <w:t xml:space="preserve"> Perkins </w:t>
      </w:r>
      <w:r w:rsidR="00721D0F" w:rsidRPr="007D330B">
        <w:t>a</w:t>
      </w:r>
      <w:r w:rsidR="008524C2" w:rsidRPr="007D330B">
        <w:t>dministration.</w:t>
      </w:r>
    </w:p>
    <w:p w:rsidR="003356B2" w:rsidRPr="007D330B" w:rsidRDefault="003356B2"/>
    <w:p w:rsidR="003356B2" w:rsidRPr="007D330B" w:rsidRDefault="00725F44" w:rsidP="00761666">
      <w:pPr>
        <w:ind w:left="360" w:hanging="360"/>
        <w:rPr>
          <w:b/>
        </w:rPr>
      </w:pPr>
      <w:r w:rsidRPr="007D330B">
        <w:rPr>
          <w:b/>
        </w:rPr>
        <w:t>2</w:t>
      </w:r>
      <w:r w:rsidR="003356B2" w:rsidRPr="007D330B">
        <w:rPr>
          <w:b/>
        </w:rPr>
        <w:t>.  Can a new CTE Program of Study be developed without a sec</w:t>
      </w:r>
      <w:r w:rsidR="007D330B" w:rsidRPr="007D330B">
        <w:rPr>
          <w:b/>
        </w:rPr>
        <w:t>ondary or post-secondary component?</w:t>
      </w:r>
      <w:r w:rsidR="003356B2" w:rsidRPr="007D330B">
        <w:rPr>
          <w:b/>
        </w:rPr>
        <w:t xml:space="preserve">  </w:t>
      </w:r>
    </w:p>
    <w:p w:rsidR="003356B2" w:rsidRPr="007D330B" w:rsidRDefault="003356B2"/>
    <w:p w:rsidR="003356B2" w:rsidRDefault="003356B2">
      <w:r w:rsidRPr="007D330B">
        <w:t xml:space="preserve">No.  </w:t>
      </w:r>
      <w:r w:rsidR="00725F44" w:rsidRPr="007D330B">
        <w:t>A CTE Program of Study must have a secondary and post-secondary component.  Perkins funds may be used to develop only one of those components or the funds may be used to develop both components simultaneously.  In either case, ODE must be assured that there will be both components</w:t>
      </w:r>
      <w:r w:rsidR="003C18C5">
        <w:t xml:space="preserve"> (secondary and post-secondary)</w:t>
      </w:r>
      <w:r w:rsidR="00725F44" w:rsidRPr="007D330B">
        <w:t xml:space="preserve"> present when the proposed CTE Program of Study is fully developed. </w:t>
      </w:r>
    </w:p>
    <w:p w:rsidR="0046327A" w:rsidRDefault="0046327A"/>
    <w:p w:rsidR="0046327A" w:rsidRPr="00D70FE2" w:rsidRDefault="0046327A" w:rsidP="00761666">
      <w:pPr>
        <w:ind w:left="360" w:hanging="360"/>
        <w:rPr>
          <w:b/>
        </w:rPr>
      </w:pPr>
      <w:r w:rsidRPr="00D70FE2">
        <w:rPr>
          <w:b/>
        </w:rPr>
        <w:t>3.  Can a new CTE Program of Study be developed without a business/industry partner?</w:t>
      </w:r>
    </w:p>
    <w:p w:rsidR="0046327A" w:rsidRPr="00D70FE2" w:rsidRDefault="0046327A">
      <w:pPr>
        <w:rPr>
          <w:b/>
        </w:rPr>
      </w:pPr>
    </w:p>
    <w:p w:rsidR="00AB202E" w:rsidRDefault="0046327A" w:rsidP="00AB202E">
      <w:r w:rsidRPr="00D70FE2">
        <w:t xml:space="preserve">No.  A CTE Program of Study must have industry partners.  Partners may not yet </w:t>
      </w:r>
      <w:r w:rsidR="00AB202E" w:rsidRPr="00D70FE2">
        <w:t xml:space="preserve">be </w:t>
      </w:r>
      <w:r w:rsidRPr="00D70FE2">
        <w:t xml:space="preserve">fully identified and developed at the time the </w:t>
      </w:r>
      <w:r w:rsidRPr="00D70FE2">
        <w:rPr>
          <w:b/>
          <w:i/>
        </w:rPr>
        <w:t>Application for a Start-Up Program of Study</w:t>
      </w:r>
      <w:r w:rsidRPr="00D70FE2">
        <w:t xml:space="preserve"> is submitted, but </w:t>
      </w:r>
      <w:r w:rsidR="00AB202E" w:rsidRPr="00D70FE2">
        <w:t xml:space="preserve">ODE must be assured that there will be both </w:t>
      </w:r>
      <w:r w:rsidR="00D70FE2" w:rsidRPr="00D70FE2">
        <w:t>partners</w:t>
      </w:r>
      <w:r w:rsidR="003C18C5" w:rsidRPr="00D70FE2">
        <w:t xml:space="preserve"> (business partners and education partners)</w:t>
      </w:r>
      <w:r w:rsidR="00AB202E" w:rsidRPr="00D70FE2">
        <w:t xml:space="preserve"> present when the proposed CTE </w:t>
      </w:r>
      <w:r w:rsidR="00D70FE2">
        <w:t>POS</w:t>
      </w:r>
      <w:r w:rsidR="00AB202E" w:rsidRPr="00D70FE2">
        <w:t xml:space="preserve"> is fully developed.</w:t>
      </w:r>
      <w:r w:rsidR="00AB202E" w:rsidRPr="007D330B">
        <w:t xml:space="preserve"> </w:t>
      </w:r>
    </w:p>
    <w:p w:rsidR="008524C2" w:rsidRPr="007D330B" w:rsidRDefault="00D70FE2">
      <w:r>
        <w:br w:type="page"/>
      </w:r>
    </w:p>
    <w:p w:rsidR="008524C2" w:rsidRPr="007D330B" w:rsidRDefault="0046327A" w:rsidP="00761666">
      <w:pPr>
        <w:ind w:left="360" w:hanging="360"/>
        <w:rPr>
          <w:b/>
        </w:rPr>
      </w:pPr>
      <w:r>
        <w:rPr>
          <w:b/>
        </w:rPr>
        <w:t>4</w:t>
      </w:r>
      <w:r w:rsidR="00A2389C" w:rsidRPr="007D330B">
        <w:rPr>
          <w:b/>
        </w:rPr>
        <w:t xml:space="preserve">.  </w:t>
      </w:r>
      <w:r w:rsidR="00985C7A" w:rsidRPr="007D330B">
        <w:rPr>
          <w:b/>
        </w:rPr>
        <w:t xml:space="preserve">What is the application process for </w:t>
      </w:r>
      <w:r w:rsidR="008524C2" w:rsidRPr="007D330B">
        <w:rPr>
          <w:b/>
        </w:rPr>
        <w:t>approval to use Perkins funds to develop a new CTE Program of Study?</w:t>
      </w:r>
    </w:p>
    <w:p w:rsidR="006A78A7" w:rsidRPr="007D330B" w:rsidRDefault="006A78A7">
      <w:pPr>
        <w:rPr>
          <w:b/>
        </w:rPr>
      </w:pPr>
    </w:p>
    <w:p w:rsidR="008524C2" w:rsidRPr="007D330B" w:rsidRDefault="006C31EE">
      <w:r w:rsidRPr="007D330B">
        <w:t xml:space="preserve">A.  </w:t>
      </w:r>
      <w:r w:rsidR="005B1EE2" w:rsidRPr="007D330B">
        <w:t>Approval wi</w:t>
      </w:r>
      <w:r w:rsidR="00D70FE2">
        <w:t>ll be based on two key criteria:</w:t>
      </w:r>
    </w:p>
    <w:p w:rsidR="005B1EE2" w:rsidRPr="007D330B" w:rsidRDefault="005B1EE2"/>
    <w:p w:rsidR="00473A0F" w:rsidRPr="007D330B" w:rsidRDefault="005B1EE2" w:rsidP="00473A0F">
      <w:pPr>
        <w:numPr>
          <w:ilvl w:val="0"/>
          <w:numId w:val="1"/>
        </w:numPr>
      </w:pPr>
      <w:r w:rsidRPr="007D330B">
        <w:t xml:space="preserve">The </w:t>
      </w:r>
      <w:r w:rsidR="00CD5BF9" w:rsidRPr="007D330B">
        <w:t xml:space="preserve">proposed CTE </w:t>
      </w:r>
      <w:r w:rsidR="00020187" w:rsidRPr="007D330B">
        <w:t>Program of Study</w:t>
      </w:r>
      <w:r w:rsidR="006A78A7" w:rsidRPr="007D330B">
        <w:t xml:space="preserve"> </w:t>
      </w:r>
      <w:r w:rsidRPr="007D330B">
        <w:t xml:space="preserve">must be new to the secondary or post-secondary institution.  New programs are those that have not existed at the institution for a period of at least </w:t>
      </w:r>
      <w:r w:rsidR="00D70FE2">
        <w:t>3</w:t>
      </w:r>
      <w:r w:rsidRPr="007D330B">
        <w:t xml:space="preserve"> years as a previously approved </w:t>
      </w:r>
      <w:r w:rsidR="00CD5BF9" w:rsidRPr="007D330B">
        <w:t xml:space="preserve">CTE </w:t>
      </w:r>
      <w:r w:rsidRPr="007D330B">
        <w:t>program</w:t>
      </w:r>
      <w:r w:rsidR="006C31EE" w:rsidRPr="007D330B">
        <w:t xml:space="preserve"> or </w:t>
      </w:r>
      <w:r w:rsidR="0049544D">
        <w:t xml:space="preserve">as a </w:t>
      </w:r>
      <w:r w:rsidR="00D70FE2">
        <w:t xml:space="preserve">CTE </w:t>
      </w:r>
      <w:r w:rsidR="006C31EE" w:rsidRPr="007D330B">
        <w:t>POS</w:t>
      </w:r>
      <w:r w:rsidRPr="007D330B">
        <w:t>.</w:t>
      </w:r>
      <w:r w:rsidR="002B56A9" w:rsidRPr="007D330B">
        <w:t xml:space="preserve"> </w:t>
      </w:r>
    </w:p>
    <w:p w:rsidR="00473A0F" w:rsidRPr="007D330B" w:rsidRDefault="00473A0F" w:rsidP="00473A0F"/>
    <w:p w:rsidR="00473A0F" w:rsidRPr="007D330B" w:rsidRDefault="00473A0F" w:rsidP="00473A0F">
      <w:pPr>
        <w:numPr>
          <w:ilvl w:val="0"/>
          <w:numId w:val="1"/>
        </w:numPr>
      </w:pPr>
      <w:r w:rsidRPr="007D330B">
        <w:t xml:space="preserve">The </w:t>
      </w:r>
      <w:r w:rsidR="00CD5BF9" w:rsidRPr="007D330B">
        <w:t xml:space="preserve">proposed CTE </w:t>
      </w:r>
      <w:r w:rsidR="00020187" w:rsidRPr="007D330B">
        <w:t>Program of Study</w:t>
      </w:r>
      <w:r w:rsidR="006C31EE" w:rsidRPr="007D330B">
        <w:t xml:space="preserve"> </w:t>
      </w:r>
      <w:r w:rsidRPr="007D330B">
        <w:t xml:space="preserve">must address a local, state, or regional workforce </w:t>
      </w:r>
      <w:r w:rsidR="0049544D" w:rsidRPr="007D330B">
        <w:t>need and</w:t>
      </w:r>
      <w:r w:rsidR="0049544D">
        <w:t>/or</w:t>
      </w:r>
      <w:r w:rsidR="0049544D" w:rsidRPr="007D330B">
        <w:t xml:space="preserve"> </w:t>
      </w:r>
      <w:r w:rsidRPr="007D330B">
        <w:t>shortage</w:t>
      </w:r>
      <w:r w:rsidR="00453255" w:rsidRPr="007D330B">
        <w:t xml:space="preserve"> </w:t>
      </w:r>
      <w:r w:rsidRPr="007D330B">
        <w:t xml:space="preserve">in </w:t>
      </w:r>
      <w:r w:rsidR="00453255" w:rsidRPr="007D330B">
        <w:t xml:space="preserve">a </w:t>
      </w:r>
      <w:r w:rsidRPr="007D330B">
        <w:t>high wage</w:t>
      </w:r>
      <w:r w:rsidR="0049544D">
        <w:t>,</w:t>
      </w:r>
      <w:r w:rsidRPr="007D330B">
        <w:t xml:space="preserve"> high demand career</w:t>
      </w:r>
      <w:r w:rsidR="0049544D">
        <w:t>,</w:t>
      </w:r>
      <w:r w:rsidRPr="007D330B">
        <w:t xml:space="preserve"> or </w:t>
      </w:r>
      <w:r w:rsidR="0049544D">
        <w:t xml:space="preserve">it must </w:t>
      </w:r>
      <w:r w:rsidRPr="007D330B">
        <w:t xml:space="preserve">focus on an emerging </w:t>
      </w:r>
      <w:r w:rsidR="0049544D">
        <w:t xml:space="preserve">workforce </w:t>
      </w:r>
      <w:r w:rsidRPr="007D330B">
        <w:t>need.</w:t>
      </w:r>
    </w:p>
    <w:p w:rsidR="00473A0F" w:rsidRPr="007D330B" w:rsidRDefault="00473A0F" w:rsidP="00473A0F"/>
    <w:p w:rsidR="00473A0F" w:rsidRDefault="00A2389C" w:rsidP="00892278">
      <w:pPr>
        <w:ind w:left="360" w:hanging="360"/>
      </w:pPr>
      <w:r w:rsidRPr="007D330B">
        <w:t xml:space="preserve">B.  </w:t>
      </w:r>
      <w:r w:rsidR="00473A0F" w:rsidRPr="007D330B">
        <w:t>A written request m</w:t>
      </w:r>
      <w:r w:rsidR="00892278">
        <w:t xml:space="preserve">ust be sent to the ODE staff </w:t>
      </w:r>
      <w:r w:rsidR="00473A0F" w:rsidRPr="007D330B">
        <w:t>charge</w:t>
      </w:r>
      <w:r w:rsidR="00892278">
        <w:t>d</w:t>
      </w:r>
      <w:r w:rsidR="00473A0F" w:rsidRPr="007D330B">
        <w:t xml:space="preserve"> </w:t>
      </w:r>
      <w:r w:rsidR="00892278">
        <w:t>with</w:t>
      </w:r>
      <w:r w:rsidR="00473A0F" w:rsidRPr="007D330B">
        <w:t xml:space="preserve"> Perkins </w:t>
      </w:r>
      <w:r w:rsidR="00721D0F" w:rsidRPr="007D330B">
        <w:t>a</w:t>
      </w:r>
      <w:r w:rsidR="00473A0F" w:rsidRPr="007D330B">
        <w:t>dministration.  The request must include the following information:</w:t>
      </w:r>
    </w:p>
    <w:p w:rsidR="00892278" w:rsidRPr="007D330B" w:rsidRDefault="00892278" w:rsidP="00892278">
      <w:pPr>
        <w:ind w:left="360" w:hanging="360"/>
      </w:pPr>
    </w:p>
    <w:p w:rsidR="00B05E3D" w:rsidRPr="007D330B" w:rsidRDefault="00B05E3D" w:rsidP="00B05E3D">
      <w:pPr>
        <w:numPr>
          <w:ilvl w:val="0"/>
          <w:numId w:val="2"/>
        </w:numPr>
      </w:pPr>
      <w:r w:rsidRPr="007D330B">
        <w:t xml:space="preserve">A description of the </w:t>
      </w:r>
      <w:r w:rsidR="00CD5BF9" w:rsidRPr="007D330B">
        <w:t xml:space="preserve">proposed CTE </w:t>
      </w:r>
      <w:r w:rsidR="00020187" w:rsidRPr="007D330B">
        <w:t>Program of Study</w:t>
      </w:r>
      <w:r w:rsidRPr="007D330B">
        <w:t xml:space="preserve"> including the standards or outcomes the program will address.</w:t>
      </w:r>
    </w:p>
    <w:p w:rsidR="00B05E3D" w:rsidRPr="007D330B" w:rsidRDefault="00B05E3D" w:rsidP="00B05E3D">
      <w:pPr>
        <w:numPr>
          <w:ilvl w:val="0"/>
          <w:numId w:val="2"/>
        </w:numPr>
      </w:pPr>
      <w:r w:rsidRPr="007D330B">
        <w:t>Local, regional, or state data that demonstr</w:t>
      </w:r>
      <w:r w:rsidR="006C31EE" w:rsidRPr="007D330B">
        <w:t>ates the need for such a POS</w:t>
      </w:r>
      <w:r w:rsidRPr="007D330B">
        <w:t xml:space="preserve">.  In the case of emerging careers, this can include </w:t>
      </w:r>
      <w:r w:rsidR="00C453CE" w:rsidRPr="007D330B">
        <w:t xml:space="preserve">pertinent demographic data, information from popular or professional media, </w:t>
      </w:r>
      <w:r w:rsidRPr="007D330B">
        <w:t>statements from potential employers</w:t>
      </w:r>
      <w:r w:rsidR="00C453CE" w:rsidRPr="007D330B">
        <w:t>,</w:t>
      </w:r>
      <w:r w:rsidRPr="007D330B">
        <w:t xml:space="preserve"> </w:t>
      </w:r>
      <w:r w:rsidR="00A2389C" w:rsidRPr="007D330B">
        <w:t xml:space="preserve">input from local workforce development organizations, </w:t>
      </w:r>
      <w:r w:rsidR="00C453CE" w:rsidRPr="007D330B">
        <w:t>survey results, and/</w:t>
      </w:r>
      <w:r w:rsidRPr="007D330B">
        <w:t>or national statistics related to the career.</w:t>
      </w:r>
    </w:p>
    <w:p w:rsidR="004D3A51" w:rsidRPr="007D330B" w:rsidRDefault="00B05E3D" w:rsidP="000A699F">
      <w:pPr>
        <w:numPr>
          <w:ilvl w:val="0"/>
          <w:numId w:val="2"/>
        </w:numPr>
      </w:pPr>
      <w:r w:rsidRPr="007D330B">
        <w:t>A</w:t>
      </w:r>
      <w:r w:rsidR="00464080">
        <w:t xml:space="preserve"> three year budget that identifies the </w:t>
      </w:r>
      <w:r w:rsidR="004D3A51">
        <w:t xml:space="preserve">short term </w:t>
      </w:r>
      <w:r w:rsidR="00464080">
        <w:t>(</w:t>
      </w:r>
      <w:r w:rsidR="004D3A51">
        <w:t>year one</w:t>
      </w:r>
      <w:r w:rsidR="00464080">
        <w:t>)</w:t>
      </w:r>
      <w:r w:rsidR="004D3A51">
        <w:t xml:space="preserve"> and long term </w:t>
      </w:r>
      <w:r w:rsidR="00464080">
        <w:t>(</w:t>
      </w:r>
      <w:r w:rsidR="004D3A51">
        <w:t xml:space="preserve">years two and three) </w:t>
      </w:r>
      <w:r w:rsidR="00464080">
        <w:t xml:space="preserve">expenditures associated with </w:t>
      </w:r>
      <w:r w:rsidR="00892278">
        <w:t xml:space="preserve">establishment of </w:t>
      </w:r>
      <w:r w:rsidR="00464080">
        <w:t xml:space="preserve">the POS.  The budget should </w:t>
      </w:r>
      <w:r w:rsidRPr="007D330B">
        <w:t xml:space="preserve">indicate all </w:t>
      </w:r>
      <w:r w:rsidR="007950E8">
        <w:t xml:space="preserve">proposed </w:t>
      </w:r>
      <w:r w:rsidRPr="007D330B">
        <w:t xml:space="preserve">funds </w:t>
      </w:r>
      <w:r w:rsidR="00C731FB" w:rsidRPr="007D330B">
        <w:t xml:space="preserve">that will be used to develop the </w:t>
      </w:r>
      <w:r w:rsidR="00C453CE" w:rsidRPr="007D330B">
        <w:t xml:space="preserve">proposed CTE </w:t>
      </w:r>
      <w:r w:rsidR="00020187" w:rsidRPr="007D330B">
        <w:t>Program of Study</w:t>
      </w:r>
      <w:r w:rsidR="00C731FB" w:rsidRPr="007D330B">
        <w:t xml:space="preserve">.  Perkins funds </w:t>
      </w:r>
      <w:r w:rsidR="003051A7">
        <w:t>may be used</w:t>
      </w:r>
      <w:r w:rsidR="00892278">
        <w:t>,</w:t>
      </w:r>
      <w:r w:rsidR="003051A7">
        <w:t xml:space="preserve"> but </w:t>
      </w:r>
      <w:r w:rsidR="00C731FB" w:rsidRPr="007D330B">
        <w:t xml:space="preserve">must not exceed 30% of the total </w:t>
      </w:r>
      <w:r w:rsidR="003051A7">
        <w:t>amount used</w:t>
      </w:r>
      <w:r w:rsidR="00C731FB" w:rsidRPr="007D330B">
        <w:t xml:space="preserve"> to develop the program and the program must become a CTE Program of Study within three years</w:t>
      </w:r>
      <w:r w:rsidR="003051A7">
        <w:t>.</w:t>
      </w:r>
      <w:r w:rsidR="00892278">
        <w:t xml:space="preserve">  Perkins funds can only be used on Perkins eligible expenditures.</w:t>
      </w:r>
    </w:p>
    <w:p w:rsidR="006C31EE" w:rsidRPr="007D330B" w:rsidRDefault="00C731FB" w:rsidP="00667C38">
      <w:pPr>
        <w:numPr>
          <w:ilvl w:val="0"/>
          <w:numId w:val="2"/>
        </w:numPr>
      </w:pPr>
      <w:r w:rsidRPr="007D330B">
        <w:t xml:space="preserve">Written and signed assurances from appropriate administrators that attest to the financial support </w:t>
      </w:r>
      <w:r w:rsidR="00220435" w:rsidRPr="007D330B">
        <w:t xml:space="preserve">that </w:t>
      </w:r>
      <w:r w:rsidR="00C453CE" w:rsidRPr="007D330B">
        <w:t xml:space="preserve">will be </w:t>
      </w:r>
      <w:r w:rsidRPr="007D330B">
        <w:t xml:space="preserve">provided </w:t>
      </w:r>
      <w:r w:rsidR="00A2389C" w:rsidRPr="007D330B">
        <w:t xml:space="preserve">and sustained </w:t>
      </w:r>
      <w:r w:rsidRPr="007D330B">
        <w:t>from sources other than Perkins funds</w:t>
      </w:r>
      <w:r w:rsidR="00892278">
        <w:t xml:space="preserve"> (program sustainability)</w:t>
      </w:r>
      <w:r w:rsidRPr="007D330B">
        <w:t xml:space="preserve">. </w:t>
      </w:r>
    </w:p>
    <w:p w:rsidR="00C731FB" w:rsidRPr="007D330B" w:rsidRDefault="006C31EE" w:rsidP="00667C38">
      <w:pPr>
        <w:numPr>
          <w:ilvl w:val="0"/>
          <w:numId w:val="2"/>
        </w:numPr>
      </w:pPr>
      <w:r w:rsidRPr="007D330B">
        <w:t>Written and signed assurances from second</w:t>
      </w:r>
      <w:r w:rsidR="00D23D1D" w:rsidRPr="007D330B">
        <w:t xml:space="preserve">ary and post-secondary institutions </w:t>
      </w:r>
      <w:r w:rsidRPr="007D330B">
        <w:t xml:space="preserve">that attest </w:t>
      </w:r>
      <w:r w:rsidR="00D23D1D" w:rsidRPr="007D330B">
        <w:t>that the proposed CTE Program of Study will have a secondary and post-secondary component</w:t>
      </w:r>
      <w:r w:rsidR="00DB6DF1">
        <w:t>, as well as industry partners,</w:t>
      </w:r>
      <w:r w:rsidR="00D23D1D" w:rsidRPr="007D330B">
        <w:t xml:space="preserve"> when fully developed.</w:t>
      </w:r>
      <w:r w:rsidR="00C731FB" w:rsidRPr="007D330B">
        <w:t xml:space="preserve"> </w:t>
      </w:r>
    </w:p>
    <w:p w:rsidR="00667C38" w:rsidRPr="007D330B" w:rsidRDefault="00667C38" w:rsidP="00667C38"/>
    <w:p w:rsidR="00667C38" w:rsidRPr="007D330B" w:rsidRDefault="0046327A" w:rsidP="00761666">
      <w:pPr>
        <w:ind w:left="360" w:hanging="360"/>
        <w:rPr>
          <w:b/>
        </w:rPr>
      </w:pPr>
      <w:r>
        <w:rPr>
          <w:b/>
        </w:rPr>
        <w:t>5</w:t>
      </w:r>
      <w:r w:rsidR="00A2389C" w:rsidRPr="007D330B">
        <w:rPr>
          <w:b/>
        </w:rPr>
        <w:t xml:space="preserve">.  </w:t>
      </w:r>
      <w:r w:rsidR="00667C38" w:rsidRPr="007D330B">
        <w:rPr>
          <w:b/>
        </w:rPr>
        <w:t xml:space="preserve">What will happen once </w:t>
      </w:r>
      <w:r w:rsidR="00DD7742" w:rsidRPr="007D330B">
        <w:rPr>
          <w:b/>
        </w:rPr>
        <w:t xml:space="preserve">a </w:t>
      </w:r>
      <w:r w:rsidR="00667C38" w:rsidRPr="007D330B">
        <w:rPr>
          <w:b/>
        </w:rPr>
        <w:t>request</w:t>
      </w:r>
      <w:r w:rsidR="00DD7742" w:rsidRPr="007D330B">
        <w:rPr>
          <w:b/>
        </w:rPr>
        <w:t xml:space="preserve"> is submitted to ODE to use Perkins funds to develop a new CTE Program of Study</w:t>
      </w:r>
      <w:r w:rsidR="00667C38" w:rsidRPr="007D330B">
        <w:rPr>
          <w:b/>
        </w:rPr>
        <w:t>?</w:t>
      </w:r>
    </w:p>
    <w:p w:rsidR="00D23D1D" w:rsidRPr="007D330B" w:rsidRDefault="00D23D1D" w:rsidP="00667C38"/>
    <w:p w:rsidR="009A5261" w:rsidRDefault="00A2389C" w:rsidP="00667C38">
      <w:r w:rsidRPr="007D330B">
        <w:t>ODE</w:t>
      </w:r>
      <w:r w:rsidR="00C453CE" w:rsidRPr="007D330B">
        <w:t xml:space="preserve"> </w:t>
      </w:r>
      <w:r w:rsidR="00667C38" w:rsidRPr="007D330B">
        <w:t>will review the information and contact the</w:t>
      </w:r>
      <w:r w:rsidR="00D23D1D" w:rsidRPr="007D330B">
        <w:t xml:space="preserve"> applicant, institutional partners, or</w:t>
      </w:r>
      <w:r w:rsidR="00667C38" w:rsidRPr="007D330B">
        <w:t xml:space="preserve"> </w:t>
      </w:r>
      <w:r w:rsidR="009632F6" w:rsidRPr="007D330B">
        <w:t xml:space="preserve">regional </w:t>
      </w:r>
      <w:r w:rsidR="00C453CE" w:rsidRPr="007D330B">
        <w:t xml:space="preserve">CTE </w:t>
      </w:r>
      <w:r w:rsidR="009632F6" w:rsidRPr="007D330B">
        <w:t xml:space="preserve">coordinator </w:t>
      </w:r>
      <w:r w:rsidR="00667C38" w:rsidRPr="007D330B">
        <w:t>if further clarification is required.  Perkins funds can only be used after the recipient has received written notification of the approval.  The written notification will include specifics about the total funds that are authorized</w:t>
      </w:r>
      <w:r w:rsidR="009A5261" w:rsidRPr="007D330B">
        <w:t>, the allowable uses of those funds, and the timeline for use of those funds.</w:t>
      </w:r>
    </w:p>
    <w:p w:rsidR="003051A7" w:rsidRDefault="00DB6DF1" w:rsidP="00667C38">
      <w:r>
        <w:br w:type="page"/>
      </w:r>
    </w:p>
    <w:p w:rsidR="003051A7" w:rsidRDefault="0046327A" w:rsidP="003051A7">
      <w:pPr>
        <w:rPr>
          <w:b/>
        </w:rPr>
      </w:pPr>
      <w:r>
        <w:rPr>
          <w:b/>
        </w:rPr>
        <w:t>6</w:t>
      </w:r>
      <w:r w:rsidR="003051A7" w:rsidRPr="003051A7">
        <w:rPr>
          <w:b/>
        </w:rPr>
        <w:t xml:space="preserve">.  </w:t>
      </w:r>
      <w:r w:rsidR="003051A7">
        <w:rPr>
          <w:b/>
        </w:rPr>
        <w:t>What should be included when developing the short and long term budgets?</w:t>
      </w:r>
    </w:p>
    <w:p w:rsidR="003051A7" w:rsidRDefault="003051A7" w:rsidP="003051A7">
      <w:pPr>
        <w:rPr>
          <w:b/>
        </w:rPr>
      </w:pPr>
    </w:p>
    <w:p w:rsidR="0029790D" w:rsidRDefault="003051A7" w:rsidP="003051A7">
      <w:r>
        <w:t xml:space="preserve">The budget should include </w:t>
      </w:r>
      <w:r w:rsidRPr="0029790D">
        <w:rPr>
          <w:u w:val="single"/>
        </w:rPr>
        <w:t>all</w:t>
      </w:r>
      <w:r>
        <w:t xml:space="preserve"> costs associated with the startup of a new CTE Program of Study</w:t>
      </w:r>
      <w:r w:rsidR="0029790D">
        <w:t xml:space="preserve"> – </w:t>
      </w:r>
      <w:r w:rsidR="0029790D" w:rsidRPr="0029790D">
        <w:rPr>
          <w:u w:val="single"/>
        </w:rPr>
        <w:t>with the exception of</w:t>
      </w:r>
      <w:r w:rsidR="0029790D">
        <w:t xml:space="preserve"> personnel and general classroom set up costs</w:t>
      </w:r>
      <w:r w:rsidR="00DB6DF1">
        <w:t>,</w:t>
      </w:r>
      <w:r w:rsidR="0029790D">
        <w:t xml:space="preserve"> such as furniture and utilities</w:t>
      </w:r>
      <w:r>
        <w:t xml:space="preserve">.  </w:t>
      </w:r>
    </w:p>
    <w:p w:rsidR="0029790D" w:rsidRDefault="0029790D" w:rsidP="003051A7"/>
    <w:p w:rsidR="003051A7" w:rsidRDefault="003051A7" w:rsidP="003051A7">
      <w:r>
        <w:t>You may want to consider some of the following costs:</w:t>
      </w:r>
    </w:p>
    <w:p w:rsidR="003051A7" w:rsidRDefault="003051A7" w:rsidP="003051A7">
      <w:pPr>
        <w:numPr>
          <w:ilvl w:val="0"/>
          <w:numId w:val="6"/>
        </w:numPr>
      </w:pPr>
      <w:r>
        <w:t>Specialized equipment, furniture, tools and supplies</w:t>
      </w:r>
    </w:p>
    <w:p w:rsidR="003051A7" w:rsidRDefault="003051A7" w:rsidP="003051A7">
      <w:pPr>
        <w:numPr>
          <w:ilvl w:val="0"/>
          <w:numId w:val="6"/>
        </w:numPr>
      </w:pPr>
      <w:r>
        <w:t>Professional development needs including stipends, mentors and substitute costs</w:t>
      </w:r>
    </w:p>
    <w:p w:rsidR="003051A7" w:rsidRDefault="003051A7" w:rsidP="003051A7">
      <w:pPr>
        <w:numPr>
          <w:ilvl w:val="0"/>
          <w:numId w:val="6"/>
        </w:numPr>
      </w:pPr>
      <w:r>
        <w:t>Costs associated with collaboration with postsecondary and advisory committee members</w:t>
      </w:r>
    </w:p>
    <w:p w:rsidR="003051A7" w:rsidRDefault="003051A7" w:rsidP="003051A7">
      <w:pPr>
        <w:numPr>
          <w:ilvl w:val="0"/>
          <w:numId w:val="6"/>
        </w:numPr>
      </w:pPr>
      <w:r>
        <w:t>Non-monetary in-kind donations</w:t>
      </w:r>
    </w:p>
    <w:p w:rsidR="0029790D" w:rsidRDefault="0029790D" w:rsidP="003051A7">
      <w:pPr>
        <w:numPr>
          <w:ilvl w:val="0"/>
          <w:numId w:val="6"/>
        </w:numPr>
      </w:pPr>
      <w:r>
        <w:t>Facility upgrades and retooling</w:t>
      </w:r>
    </w:p>
    <w:p w:rsidR="00F4195B" w:rsidRPr="003051A7" w:rsidRDefault="00F4195B" w:rsidP="00F4195B">
      <w:pPr>
        <w:ind w:left="720"/>
      </w:pPr>
    </w:p>
    <w:p w:rsidR="009A5261" w:rsidRDefault="009A5261" w:rsidP="00667C38"/>
    <w:p w:rsidR="0029790D" w:rsidRDefault="0046327A" w:rsidP="00761666">
      <w:pPr>
        <w:ind w:left="360" w:hanging="360"/>
        <w:rPr>
          <w:b/>
        </w:rPr>
      </w:pPr>
      <w:r>
        <w:rPr>
          <w:b/>
        </w:rPr>
        <w:t>7</w:t>
      </w:r>
      <w:r w:rsidR="0029790D" w:rsidRPr="003051A7">
        <w:rPr>
          <w:b/>
        </w:rPr>
        <w:t xml:space="preserve">.  </w:t>
      </w:r>
      <w:r w:rsidR="0029790D">
        <w:rPr>
          <w:b/>
        </w:rPr>
        <w:t xml:space="preserve">How can </w:t>
      </w:r>
      <w:r w:rsidR="003C18C5">
        <w:rPr>
          <w:b/>
        </w:rPr>
        <w:t>a</w:t>
      </w:r>
      <w:r w:rsidR="00780931">
        <w:rPr>
          <w:b/>
        </w:rPr>
        <w:t>n</w:t>
      </w:r>
      <w:r w:rsidR="003C18C5">
        <w:rPr>
          <w:b/>
        </w:rPr>
        <w:t xml:space="preserve"> eligible recipient</w:t>
      </w:r>
      <w:r w:rsidR="0029790D">
        <w:rPr>
          <w:b/>
        </w:rPr>
        <w:t xml:space="preserve"> use the Perkins Funds on the startup CTE Program of Study?</w:t>
      </w:r>
    </w:p>
    <w:p w:rsidR="0029790D" w:rsidRDefault="0029790D" w:rsidP="0029790D">
      <w:pPr>
        <w:rPr>
          <w:b/>
        </w:rPr>
      </w:pPr>
    </w:p>
    <w:p w:rsidR="0029790D" w:rsidRDefault="0029790D" w:rsidP="0029790D">
      <w:r>
        <w:t xml:space="preserve">Once </w:t>
      </w:r>
      <w:r w:rsidR="003C18C5">
        <w:t>the eligible recipient has</w:t>
      </w:r>
      <w:r>
        <w:t xml:space="preserve"> figured the entire cost of the startup for the first year, </w:t>
      </w:r>
      <w:r w:rsidR="003C18C5">
        <w:t>they</w:t>
      </w:r>
      <w:r>
        <w:t xml:space="preserve"> may use Perkins funds to pay for up to 30% of that total cost.  Of course </w:t>
      </w:r>
      <w:r w:rsidR="003C18C5">
        <w:t>they</w:t>
      </w:r>
      <w:r>
        <w:t xml:space="preserve"> may only spend Perkins funds on those items typically allowed as a Perkins expenditure.</w:t>
      </w:r>
    </w:p>
    <w:p w:rsidR="0029790D" w:rsidRDefault="0029790D" w:rsidP="0029790D"/>
    <w:p w:rsidR="0029790D" w:rsidRDefault="0029790D" w:rsidP="0029790D">
      <w:r w:rsidRPr="00F4195B">
        <w:rPr>
          <w:u w:val="single"/>
        </w:rPr>
        <w:t>Example</w:t>
      </w:r>
      <w:r>
        <w:t>:</w:t>
      </w:r>
    </w:p>
    <w:p w:rsidR="0029790D" w:rsidRDefault="0029790D" w:rsidP="0029790D">
      <w:pPr>
        <w:tabs>
          <w:tab w:val="left" w:pos="0"/>
        </w:tabs>
      </w:pPr>
      <w:r>
        <w:t xml:space="preserve">An industry group has approached a high school and local community college with the need for the industry in the </w:t>
      </w:r>
      <w:r w:rsidR="00761666">
        <w:t xml:space="preserve">local </w:t>
      </w:r>
      <w:r>
        <w:t xml:space="preserve">area.  The goal is to create a </w:t>
      </w:r>
      <w:r w:rsidR="00761666">
        <w:t xml:space="preserve">CTE </w:t>
      </w:r>
      <w:r>
        <w:t xml:space="preserve">Program of Study.  The community college has an instructional program in the CTE area.  The focus </w:t>
      </w:r>
      <w:r w:rsidR="00761666">
        <w:t xml:space="preserve">of the New CTE POS Application </w:t>
      </w:r>
      <w:r>
        <w:t>is on developing the high school component.  The school district has agreed to provide four classes that will be offered</w:t>
      </w:r>
      <w:r w:rsidR="00761666">
        <w:t xml:space="preserve"> to students</w:t>
      </w:r>
      <w:r>
        <w:t xml:space="preserve">.  The </w:t>
      </w:r>
      <w:r w:rsidR="00F4195B">
        <w:t>proposed first year</w:t>
      </w:r>
      <w:r>
        <w:t xml:space="preserve"> budget </w:t>
      </w:r>
      <w:r w:rsidR="00761666">
        <w:t xml:space="preserve">in the application </w:t>
      </w:r>
      <w:r>
        <w:t>is as follows:</w:t>
      </w:r>
    </w:p>
    <w:p w:rsidR="0029790D" w:rsidRDefault="0029790D" w:rsidP="0029790D">
      <w:pPr>
        <w:tabs>
          <w:tab w:val="left" w:pos="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225"/>
        <w:gridCol w:w="2649"/>
        <w:tblGridChange w:id="1">
          <w:tblGrid>
            <w:gridCol w:w="5504"/>
            <w:gridCol w:w="1225"/>
            <w:gridCol w:w="2649"/>
          </w:tblGrid>
        </w:tblGridChange>
      </w:tblGrid>
      <w:tr w:rsidR="00C66383" w:rsidTr="002F629D">
        <w:tc>
          <w:tcPr>
            <w:tcW w:w="9378" w:type="dxa"/>
            <w:gridSpan w:val="3"/>
            <w:shd w:val="clear" w:color="auto" w:fill="000000"/>
          </w:tcPr>
          <w:p w:rsidR="00C66383" w:rsidRDefault="00C66383" w:rsidP="00C66383">
            <w:pPr>
              <w:tabs>
                <w:tab w:val="left" w:pos="0"/>
              </w:tabs>
              <w:jc w:val="center"/>
            </w:pPr>
            <w:r>
              <w:t>New Program of Study Total Cost – Year One</w:t>
            </w:r>
          </w:p>
          <w:p w:rsidR="00F4195B" w:rsidRDefault="00F4195B" w:rsidP="00F4195B">
            <w:pPr>
              <w:tabs>
                <w:tab w:val="left" w:pos="0"/>
              </w:tabs>
              <w:jc w:val="center"/>
            </w:pPr>
          </w:p>
        </w:tc>
      </w:tr>
      <w:tr w:rsidR="00C66383" w:rsidTr="00C66383">
        <w:tc>
          <w:tcPr>
            <w:tcW w:w="5504" w:type="dxa"/>
            <w:shd w:val="clear" w:color="auto" w:fill="000000"/>
          </w:tcPr>
          <w:p w:rsidR="00C66383" w:rsidRPr="00B51A10" w:rsidRDefault="00C66383" w:rsidP="0029790D">
            <w:pPr>
              <w:tabs>
                <w:tab w:val="left" w:pos="0"/>
              </w:tabs>
              <w:rPr>
                <w:color w:val="FFFFFF"/>
              </w:rPr>
            </w:pPr>
            <w:r w:rsidRPr="00B51A10">
              <w:rPr>
                <w:color w:val="FFFFFF"/>
              </w:rPr>
              <w:t>Item</w:t>
            </w:r>
          </w:p>
        </w:tc>
        <w:tc>
          <w:tcPr>
            <w:tcW w:w="1225" w:type="dxa"/>
            <w:shd w:val="clear" w:color="auto" w:fill="000000"/>
          </w:tcPr>
          <w:p w:rsidR="00C66383" w:rsidRPr="00B51A10" w:rsidRDefault="00C66383" w:rsidP="0029790D">
            <w:pPr>
              <w:tabs>
                <w:tab w:val="left" w:pos="0"/>
              </w:tabs>
              <w:rPr>
                <w:color w:val="FFFFFF"/>
              </w:rPr>
            </w:pPr>
            <w:r w:rsidRPr="00B51A10">
              <w:rPr>
                <w:color w:val="FFFFFF"/>
              </w:rPr>
              <w:t>Cost</w:t>
            </w:r>
          </w:p>
        </w:tc>
        <w:tc>
          <w:tcPr>
            <w:tcW w:w="2649" w:type="dxa"/>
            <w:shd w:val="clear" w:color="auto" w:fill="000000"/>
          </w:tcPr>
          <w:p w:rsidR="00C66383" w:rsidRPr="00B51A10" w:rsidRDefault="00C66383" w:rsidP="002F629D">
            <w:pPr>
              <w:tabs>
                <w:tab w:val="left" w:pos="0"/>
              </w:tabs>
              <w:rPr>
                <w:color w:val="FFFFFF"/>
              </w:rPr>
            </w:pPr>
            <w:r>
              <w:rPr>
                <w:color w:val="FFFFFF"/>
              </w:rPr>
              <w:t>Potential Source</w:t>
            </w:r>
          </w:p>
        </w:tc>
      </w:tr>
      <w:tr w:rsidR="00C66383" w:rsidTr="00C66383">
        <w:tc>
          <w:tcPr>
            <w:tcW w:w="5504" w:type="dxa"/>
            <w:shd w:val="clear" w:color="auto" w:fill="auto"/>
          </w:tcPr>
          <w:p w:rsidR="00C66383" w:rsidRPr="00B51A10" w:rsidRDefault="00C66383" w:rsidP="00C66383">
            <w:pPr>
              <w:tabs>
                <w:tab w:val="left" w:pos="0"/>
              </w:tabs>
              <w:rPr>
                <w:sz w:val="20"/>
              </w:rPr>
            </w:pPr>
            <w:r w:rsidRPr="00B51A10">
              <w:rPr>
                <w:sz w:val="20"/>
              </w:rPr>
              <w:t xml:space="preserve">Specialty Equipment </w:t>
            </w:r>
          </w:p>
        </w:tc>
        <w:tc>
          <w:tcPr>
            <w:tcW w:w="1225" w:type="dxa"/>
            <w:shd w:val="clear" w:color="auto" w:fill="auto"/>
          </w:tcPr>
          <w:p w:rsidR="00C66383" w:rsidRPr="00B51A10" w:rsidRDefault="00C66383" w:rsidP="00C66383">
            <w:pPr>
              <w:tabs>
                <w:tab w:val="left" w:pos="0"/>
              </w:tabs>
              <w:rPr>
                <w:sz w:val="20"/>
              </w:rPr>
            </w:pPr>
            <w:r>
              <w:rPr>
                <w:sz w:val="20"/>
              </w:rPr>
              <w:t>23</w:t>
            </w:r>
            <w:r w:rsidRPr="00B51A10">
              <w:rPr>
                <w:sz w:val="20"/>
              </w:rPr>
              <w:t>,000</w:t>
            </w:r>
          </w:p>
        </w:tc>
        <w:tc>
          <w:tcPr>
            <w:tcW w:w="2649" w:type="dxa"/>
          </w:tcPr>
          <w:p w:rsidR="00C66383" w:rsidRPr="00B51A10" w:rsidRDefault="00C66383" w:rsidP="002F629D">
            <w:pPr>
              <w:tabs>
                <w:tab w:val="left" w:pos="0"/>
              </w:tabs>
              <w:rPr>
                <w:sz w:val="20"/>
              </w:rPr>
            </w:pPr>
            <w:r>
              <w:rPr>
                <w:sz w:val="20"/>
              </w:rPr>
              <w:t>Perkins</w:t>
            </w:r>
          </w:p>
        </w:tc>
      </w:tr>
      <w:tr w:rsidR="00C66383" w:rsidTr="00C66383">
        <w:tc>
          <w:tcPr>
            <w:tcW w:w="5504" w:type="dxa"/>
            <w:shd w:val="clear" w:color="auto" w:fill="auto"/>
          </w:tcPr>
          <w:p w:rsidR="00C66383" w:rsidRPr="00B51A10" w:rsidRDefault="00C66383" w:rsidP="00C66383">
            <w:pPr>
              <w:tabs>
                <w:tab w:val="left" w:pos="0"/>
              </w:tabs>
              <w:rPr>
                <w:sz w:val="20"/>
              </w:rPr>
            </w:pPr>
            <w:r>
              <w:rPr>
                <w:sz w:val="20"/>
              </w:rPr>
              <w:t>Specialty F</w:t>
            </w:r>
            <w:r w:rsidRPr="00B51A10">
              <w:rPr>
                <w:sz w:val="20"/>
              </w:rPr>
              <w:t xml:space="preserve">urniture </w:t>
            </w:r>
          </w:p>
        </w:tc>
        <w:tc>
          <w:tcPr>
            <w:tcW w:w="1225" w:type="dxa"/>
            <w:shd w:val="clear" w:color="auto" w:fill="auto"/>
          </w:tcPr>
          <w:p w:rsidR="00C66383" w:rsidRPr="00B51A10" w:rsidRDefault="00C66383" w:rsidP="00C66383">
            <w:pPr>
              <w:tabs>
                <w:tab w:val="left" w:pos="0"/>
              </w:tabs>
              <w:rPr>
                <w:sz w:val="20"/>
              </w:rPr>
            </w:pPr>
            <w:r>
              <w:rPr>
                <w:sz w:val="20"/>
              </w:rPr>
              <w:t>31</w:t>
            </w:r>
            <w:r w:rsidRPr="00B51A10">
              <w:rPr>
                <w:sz w:val="20"/>
              </w:rPr>
              <w:t>,000</w:t>
            </w:r>
          </w:p>
        </w:tc>
        <w:tc>
          <w:tcPr>
            <w:tcW w:w="2649" w:type="dxa"/>
          </w:tcPr>
          <w:p w:rsidR="00C66383" w:rsidRPr="00B51A10" w:rsidRDefault="00C66383" w:rsidP="002F629D">
            <w:pPr>
              <w:tabs>
                <w:tab w:val="left" w:pos="0"/>
              </w:tabs>
              <w:rPr>
                <w:sz w:val="20"/>
              </w:rPr>
            </w:pPr>
            <w:r>
              <w:rPr>
                <w:sz w:val="20"/>
              </w:rPr>
              <w:t>In-Kind Industry</w:t>
            </w:r>
          </w:p>
        </w:tc>
      </w:tr>
      <w:tr w:rsidR="00C66383" w:rsidTr="00C66383">
        <w:tc>
          <w:tcPr>
            <w:tcW w:w="5504" w:type="dxa"/>
            <w:shd w:val="clear" w:color="auto" w:fill="auto"/>
          </w:tcPr>
          <w:p w:rsidR="00C66383" w:rsidRPr="00B51A10" w:rsidRDefault="00C66383" w:rsidP="00C66383">
            <w:pPr>
              <w:tabs>
                <w:tab w:val="left" w:pos="0"/>
              </w:tabs>
              <w:rPr>
                <w:sz w:val="20"/>
              </w:rPr>
            </w:pPr>
            <w:r w:rsidRPr="00B51A10">
              <w:rPr>
                <w:sz w:val="20"/>
              </w:rPr>
              <w:t xml:space="preserve">Electrical Drops / Plumbing Needs </w:t>
            </w:r>
          </w:p>
        </w:tc>
        <w:tc>
          <w:tcPr>
            <w:tcW w:w="1225" w:type="dxa"/>
            <w:shd w:val="clear" w:color="auto" w:fill="auto"/>
          </w:tcPr>
          <w:p w:rsidR="00C66383" w:rsidRPr="00B51A10" w:rsidRDefault="00C66383" w:rsidP="0029790D">
            <w:pPr>
              <w:tabs>
                <w:tab w:val="left" w:pos="0"/>
              </w:tabs>
              <w:rPr>
                <w:sz w:val="20"/>
              </w:rPr>
            </w:pPr>
            <w:r w:rsidRPr="00B51A10">
              <w:rPr>
                <w:sz w:val="20"/>
              </w:rPr>
              <w:t>10,000</w:t>
            </w:r>
          </w:p>
        </w:tc>
        <w:tc>
          <w:tcPr>
            <w:tcW w:w="2649" w:type="dxa"/>
          </w:tcPr>
          <w:p w:rsidR="00C66383" w:rsidRPr="00B51A10" w:rsidRDefault="00C66383" w:rsidP="002F629D">
            <w:pPr>
              <w:tabs>
                <w:tab w:val="left" w:pos="0"/>
              </w:tabs>
              <w:rPr>
                <w:sz w:val="20"/>
              </w:rPr>
            </w:pPr>
            <w:r>
              <w:rPr>
                <w:sz w:val="20"/>
              </w:rPr>
              <w:t>In-Kind Industry</w:t>
            </w:r>
          </w:p>
        </w:tc>
      </w:tr>
      <w:tr w:rsidR="00C66383" w:rsidTr="00C66383">
        <w:tc>
          <w:tcPr>
            <w:tcW w:w="5504" w:type="dxa"/>
            <w:shd w:val="clear" w:color="auto" w:fill="auto"/>
          </w:tcPr>
          <w:p w:rsidR="00C66383" w:rsidRPr="00B51A10" w:rsidRDefault="00C66383" w:rsidP="00C66383">
            <w:pPr>
              <w:tabs>
                <w:tab w:val="left" w:pos="0"/>
              </w:tabs>
              <w:rPr>
                <w:sz w:val="20"/>
              </w:rPr>
            </w:pPr>
            <w:r w:rsidRPr="00B51A10">
              <w:rPr>
                <w:sz w:val="20"/>
              </w:rPr>
              <w:t xml:space="preserve">Professional development - Conf – Atlanta GA </w:t>
            </w:r>
          </w:p>
        </w:tc>
        <w:tc>
          <w:tcPr>
            <w:tcW w:w="1225" w:type="dxa"/>
            <w:shd w:val="clear" w:color="auto" w:fill="auto"/>
          </w:tcPr>
          <w:p w:rsidR="00C66383" w:rsidRPr="00B51A10" w:rsidRDefault="00C66383" w:rsidP="0029790D">
            <w:pPr>
              <w:tabs>
                <w:tab w:val="left" w:pos="0"/>
              </w:tabs>
              <w:rPr>
                <w:sz w:val="20"/>
              </w:rPr>
            </w:pPr>
            <w:r w:rsidRPr="00B51A10">
              <w:rPr>
                <w:sz w:val="20"/>
              </w:rPr>
              <w:t>5,000</w:t>
            </w:r>
          </w:p>
        </w:tc>
        <w:tc>
          <w:tcPr>
            <w:tcW w:w="2649" w:type="dxa"/>
          </w:tcPr>
          <w:p w:rsidR="00C66383" w:rsidRPr="00B51A10" w:rsidRDefault="00C66383" w:rsidP="002F629D">
            <w:pPr>
              <w:tabs>
                <w:tab w:val="left" w:pos="0"/>
              </w:tabs>
              <w:rPr>
                <w:sz w:val="20"/>
              </w:rPr>
            </w:pPr>
            <w:r>
              <w:rPr>
                <w:sz w:val="20"/>
              </w:rPr>
              <w:t>School District</w:t>
            </w:r>
          </w:p>
        </w:tc>
      </w:tr>
      <w:tr w:rsidR="00C66383" w:rsidTr="00C66383">
        <w:tc>
          <w:tcPr>
            <w:tcW w:w="5504" w:type="dxa"/>
            <w:shd w:val="clear" w:color="auto" w:fill="auto"/>
          </w:tcPr>
          <w:p w:rsidR="00C66383" w:rsidRPr="00B51A10" w:rsidRDefault="00C66383" w:rsidP="00C66383">
            <w:pPr>
              <w:tabs>
                <w:tab w:val="left" w:pos="0"/>
              </w:tabs>
              <w:rPr>
                <w:sz w:val="20"/>
              </w:rPr>
            </w:pPr>
            <w:r w:rsidRPr="00B51A10">
              <w:rPr>
                <w:sz w:val="20"/>
              </w:rPr>
              <w:t xml:space="preserve">Curriculum development – release time &amp; sub </w:t>
            </w:r>
          </w:p>
        </w:tc>
        <w:tc>
          <w:tcPr>
            <w:tcW w:w="1225" w:type="dxa"/>
            <w:shd w:val="clear" w:color="auto" w:fill="auto"/>
          </w:tcPr>
          <w:p w:rsidR="00C66383" w:rsidRPr="00B51A10" w:rsidRDefault="00C66383" w:rsidP="0029790D">
            <w:pPr>
              <w:tabs>
                <w:tab w:val="left" w:pos="0"/>
              </w:tabs>
              <w:rPr>
                <w:sz w:val="20"/>
              </w:rPr>
            </w:pPr>
            <w:r w:rsidRPr="00B51A10">
              <w:rPr>
                <w:sz w:val="20"/>
              </w:rPr>
              <w:t>1,000</w:t>
            </w:r>
          </w:p>
        </w:tc>
        <w:tc>
          <w:tcPr>
            <w:tcW w:w="2649" w:type="dxa"/>
          </w:tcPr>
          <w:p w:rsidR="00C66383" w:rsidRPr="00B51A10" w:rsidRDefault="00C66383" w:rsidP="002F629D">
            <w:pPr>
              <w:tabs>
                <w:tab w:val="left" w:pos="0"/>
              </w:tabs>
              <w:rPr>
                <w:sz w:val="20"/>
              </w:rPr>
            </w:pPr>
            <w:r>
              <w:rPr>
                <w:sz w:val="20"/>
              </w:rPr>
              <w:t>School District</w:t>
            </w:r>
          </w:p>
        </w:tc>
      </w:tr>
      <w:tr w:rsidR="00C66383" w:rsidTr="00C66383">
        <w:tc>
          <w:tcPr>
            <w:tcW w:w="5504" w:type="dxa"/>
            <w:shd w:val="clear" w:color="auto" w:fill="auto"/>
          </w:tcPr>
          <w:p w:rsidR="00C66383" w:rsidRPr="00B51A10" w:rsidRDefault="00C66383" w:rsidP="00C66383">
            <w:pPr>
              <w:tabs>
                <w:tab w:val="left" w:pos="0"/>
              </w:tabs>
              <w:rPr>
                <w:sz w:val="20"/>
              </w:rPr>
            </w:pPr>
            <w:r w:rsidRPr="00B51A10">
              <w:rPr>
                <w:sz w:val="20"/>
              </w:rPr>
              <w:t xml:space="preserve">Consumable supply budget </w:t>
            </w:r>
          </w:p>
        </w:tc>
        <w:tc>
          <w:tcPr>
            <w:tcW w:w="1225" w:type="dxa"/>
            <w:shd w:val="clear" w:color="auto" w:fill="auto"/>
          </w:tcPr>
          <w:p w:rsidR="00C66383" w:rsidRPr="00B51A10" w:rsidRDefault="00C66383" w:rsidP="0029790D">
            <w:pPr>
              <w:tabs>
                <w:tab w:val="left" w:pos="0"/>
              </w:tabs>
              <w:rPr>
                <w:sz w:val="20"/>
              </w:rPr>
            </w:pPr>
            <w:r w:rsidRPr="00B51A10">
              <w:rPr>
                <w:sz w:val="20"/>
              </w:rPr>
              <w:t>4,000</w:t>
            </w:r>
          </w:p>
        </w:tc>
        <w:tc>
          <w:tcPr>
            <w:tcW w:w="2649" w:type="dxa"/>
          </w:tcPr>
          <w:p w:rsidR="00C66383" w:rsidRPr="00B51A10" w:rsidRDefault="00C66383" w:rsidP="002F629D">
            <w:pPr>
              <w:tabs>
                <w:tab w:val="left" w:pos="0"/>
              </w:tabs>
              <w:rPr>
                <w:sz w:val="20"/>
              </w:rPr>
            </w:pPr>
            <w:r>
              <w:rPr>
                <w:sz w:val="20"/>
              </w:rPr>
              <w:t>School District</w:t>
            </w:r>
          </w:p>
        </w:tc>
      </w:tr>
      <w:tr w:rsidR="00C66383" w:rsidTr="00C66383">
        <w:tc>
          <w:tcPr>
            <w:tcW w:w="5504" w:type="dxa"/>
            <w:shd w:val="clear" w:color="auto" w:fill="auto"/>
          </w:tcPr>
          <w:p w:rsidR="00C66383" w:rsidRPr="00B51A10" w:rsidRDefault="00C66383" w:rsidP="00C66383">
            <w:pPr>
              <w:tabs>
                <w:tab w:val="left" w:pos="0"/>
              </w:tabs>
              <w:rPr>
                <w:sz w:val="20"/>
              </w:rPr>
            </w:pPr>
            <w:r w:rsidRPr="00B51A10">
              <w:rPr>
                <w:sz w:val="20"/>
              </w:rPr>
              <w:t xml:space="preserve">Equipment supply budget </w:t>
            </w:r>
          </w:p>
        </w:tc>
        <w:tc>
          <w:tcPr>
            <w:tcW w:w="1225" w:type="dxa"/>
            <w:shd w:val="clear" w:color="auto" w:fill="auto"/>
          </w:tcPr>
          <w:p w:rsidR="00C66383" w:rsidRPr="00B51A10" w:rsidRDefault="00C66383" w:rsidP="0029790D">
            <w:pPr>
              <w:tabs>
                <w:tab w:val="left" w:pos="0"/>
              </w:tabs>
              <w:rPr>
                <w:sz w:val="20"/>
              </w:rPr>
            </w:pPr>
            <w:r w:rsidRPr="00B51A10">
              <w:rPr>
                <w:sz w:val="20"/>
              </w:rPr>
              <w:t>1,500</w:t>
            </w:r>
          </w:p>
        </w:tc>
        <w:tc>
          <w:tcPr>
            <w:tcW w:w="2649" w:type="dxa"/>
          </w:tcPr>
          <w:p w:rsidR="00C66383" w:rsidRPr="00B51A10" w:rsidRDefault="00C66383" w:rsidP="002F629D">
            <w:pPr>
              <w:tabs>
                <w:tab w:val="left" w:pos="0"/>
              </w:tabs>
              <w:rPr>
                <w:sz w:val="20"/>
              </w:rPr>
            </w:pPr>
            <w:r>
              <w:rPr>
                <w:sz w:val="20"/>
              </w:rPr>
              <w:t>School District</w:t>
            </w:r>
          </w:p>
        </w:tc>
      </w:tr>
      <w:tr w:rsidR="00C66383" w:rsidTr="00C66383">
        <w:tc>
          <w:tcPr>
            <w:tcW w:w="5504" w:type="dxa"/>
            <w:shd w:val="clear" w:color="auto" w:fill="auto"/>
          </w:tcPr>
          <w:p w:rsidR="00C66383" w:rsidRPr="00B51A10" w:rsidRDefault="00C66383" w:rsidP="00C66383">
            <w:pPr>
              <w:tabs>
                <w:tab w:val="left" w:pos="0"/>
              </w:tabs>
              <w:rPr>
                <w:sz w:val="20"/>
              </w:rPr>
            </w:pPr>
            <w:r w:rsidRPr="00B51A10">
              <w:rPr>
                <w:sz w:val="20"/>
              </w:rPr>
              <w:t xml:space="preserve">Mentor networking </w:t>
            </w:r>
          </w:p>
        </w:tc>
        <w:tc>
          <w:tcPr>
            <w:tcW w:w="1225" w:type="dxa"/>
            <w:shd w:val="clear" w:color="auto" w:fill="auto"/>
          </w:tcPr>
          <w:p w:rsidR="00C66383" w:rsidRPr="00B51A10" w:rsidRDefault="00C66383" w:rsidP="0029790D">
            <w:pPr>
              <w:tabs>
                <w:tab w:val="left" w:pos="0"/>
              </w:tabs>
              <w:rPr>
                <w:sz w:val="20"/>
              </w:rPr>
            </w:pPr>
            <w:r w:rsidRPr="00B51A10">
              <w:rPr>
                <w:sz w:val="20"/>
              </w:rPr>
              <w:t>500</w:t>
            </w:r>
          </w:p>
        </w:tc>
        <w:tc>
          <w:tcPr>
            <w:tcW w:w="2649" w:type="dxa"/>
          </w:tcPr>
          <w:p w:rsidR="00C66383" w:rsidRPr="00B51A10" w:rsidRDefault="00C66383" w:rsidP="002F629D">
            <w:pPr>
              <w:tabs>
                <w:tab w:val="left" w:pos="0"/>
              </w:tabs>
              <w:rPr>
                <w:sz w:val="20"/>
              </w:rPr>
            </w:pPr>
            <w:r>
              <w:rPr>
                <w:sz w:val="20"/>
              </w:rPr>
              <w:t>In-Kind Industry</w:t>
            </w:r>
          </w:p>
        </w:tc>
      </w:tr>
      <w:tr w:rsidR="00C66383" w:rsidTr="00C66383">
        <w:tc>
          <w:tcPr>
            <w:tcW w:w="5504" w:type="dxa"/>
            <w:shd w:val="clear" w:color="auto" w:fill="auto"/>
          </w:tcPr>
          <w:p w:rsidR="00C66383" w:rsidRPr="00B51A10" w:rsidRDefault="00C66383" w:rsidP="00C66383">
            <w:pPr>
              <w:tabs>
                <w:tab w:val="left" w:pos="0"/>
              </w:tabs>
              <w:rPr>
                <w:sz w:val="20"/>
              </w:rPr>
            </w:pPr>
            <w:r w:rsidRPr="00B51A10">
              <w:rPr>
                <w:sz w:val="20"/>
              </w:rPr>
              <w:t xml:space="preserve">Mentor shadowing @ school &amp; in the industry  </w:t>
            </w:r>
          </w:p>
        </w:tc>
        <w:tc>
          <w:tcPr>
            <w:tcW w:w="1225" w:type="dxa"/>
            <w:shd w:val="clear" w:color="auto" w:fill="auto"/>
          </w:tcPr>
          <w:p w:rsidR="00C66383" w:rsidRPr="00B51A10" w:rsidRDefault="00C66383" w:rsidP="0029790D">
            <w:pPr>
              <w:tabs>
                <w:tab w:val="left" w:pos="0"/>
              </w:tabs>
              <w:rPr>
                <w:sz w:val="20"/>
              </w:rPr>
            </w:pPr>
            <w:r w:rsidRPr="00B51A10">
              <w:rPr>
                <w:sz w:val="20"/>
              </w:rPr>
              <w:t>10,000</w:t>
            </w:r>
          </w:p>
        </w:tc>
        <w:tc>
          <w:tcPr>
            <w:tcW w:w="2649" w:type="dxa"/>
          </w:tcPr>
          <w:p w:rsidR="00C66383" w:rsidRPr="00B51A10" w:rsidRDefault="00C66383" w:rsidP="002F629D">
            <w:pPr>
              <w:tabs>
                <w:tab w:val="left" w:pos="0"/>
              </w:tabs>
              <w:rPr>
                <w:sz w:val="20"/>
              </w:rPr>
            </w:pPr>
            <w:r>
              <w:rPr>
                <w:sz w:val="20"/>
              </w:rPr>
              <w:t>In-Kind Industry</w:t>
            </w:r>
          </w:p>
        </w:tc>
      </w:tr>
      <w:tr w:rsidR="00C66383" w:rsidTr="00C66383">
        <w:tc>
          <w:tcPr>
            <w:tcW w:w="5504" w:type="dxa"/>
            <w:shd w:val="clear" w:color="auto" w:fill="auto"/>
          </w:tcPr>
          <w:p w:rsidR="00C66383" w:rsidRPr="00B51A10" w:rsidRDefault="00C66383" w:rsidP="00C66383">
            <w:pPr>
              <w:tabs>
                <w:tab w:val="left" w:pos="0"/>
              </w:tabs>
              <w:rPr>
                <w:sz w:val="20"/>
              </w:rPr>
            </w:pPr>
            <w:r w:rsidRPr="00B51A10">
              <w:rPr>
                <w:sz w:val="20"/>
              </w:rPr>
              <w:t xml:space="preserve">Advisory committee </w:t>
            </w:r>
          </w:p>
        </w:tc>
        <w:tc>
          <w:tcPr>
            <w:tcW w:w="1225" w:type="dxa"/>
            <w:shd w:val="clear" w:color="auto" w:fill="auto"/>
          </w:tcPr>
          <w:p w:rsidR="00C66383" w:rsidRPr="00B51A10" w:rsidRDefault="00C66383" w:rsidP="0029790D">
            <w:pPr>
              <w:tabs>
                <w:tab w:val="left" w:pos="0"/>
              </w:tabs>
              <w:rPr>
                <w:sz w:val="20"/>
              </w:rPr>
            </w:pPr>
            <w:r>
              <w:rPr>
                <w:sz w:val="20"/>
              </w:rPr>
              <w:t>2</w:t>
            </w:r>
            <w:r w:rsidRPr="00B51A10">
              <w:rPr>
                <w:sz w:val="20"/>
              </w:rPr>
              <w:t>00</w:t>
            </w:r>
          </w:p>
        </w:tc>
        <w:tc>
          <w:tcPr>
            <w:tcW w:w="2649" w:type="dxa"/>
          </w:tcPr>
          <w:p w:rsidR="00C66383" w:rsidRPr="00B51A10" w:rsidRDefault="00C66383" w:rsidP="002F629D">
            <w:pPr>
              <w:tabs>
                <w:tab w:val="left" w:pos="0"/>
              </w:tabs>
              <w:rPr>
                <w:sz w:val="20"/>
              </w:rPr>
            </w:pPr>
            <w:r>
              <w:rPr>
                <w:sz w:val="20"/>
              </w:rPr>
              <w:t>Perkins</w:t>
            </w:r>
          </w:p>
        </w:tc>
      </w:tr>
      <w:tr w:rsidR="00C66383" w:rsidTr="00C66383">
        <w:tc>
          <w:tcPr>
            <w:tcW w:w="5504" w:type="dxa"/>
            <w:shd w:val="clear" w:color="auto" w:fill="auto"/>
          </w:tcPr>
          <w:p w:rsidR="00C66383" w:rsidRPr="00B51A10" w:rsidRDefault="00C66383" w:rsidP="0029790D">
            <w:pPr>
              <w:tabs>
                <w:tab w:val="left" w:pos="0"/>
              </w:tabs>
              <w:rPr>
                <w:sz w:val="20"/>
              </w:rPr>
            </w:pPr>
            <w:r w:rsidRPr="00B51A10">
              <w:rPr>
                <w:sz w:val="20"/>
              </w:rPr>
              <w:t>Alignment and Articulation PLC meetings</w:t>
            </w:r>
            <w:r>
              <w:rPr>
                <w:sz w:val="20"/>
              </w:rPr>
              <w:t>, stipends</w:t>
            </w:r>
          </w:p>
        </w:tc>
        <w:tc>
          <w:tcPr>
            <w:tcW w:w="1225" w:type="dxa"/>
            <w:shd w:val="clear" w:color="auto" w:fill="auto"/>
          </w:tcPr>
          <w:p w:rsidR="00C66383" w:rsidRPr="00B51A10" w:rsidRDefault="00C66383" w:rsidP="0029790D">
            <w:pPr>
              <w:tabs>
                <w:tab w:val="left" w:pos="0"/>
              </w:tabs>
              <w:rPr>
                <w:sz w:val="20"/>
              </w:rPr>
            </w:pPr>
            <w:r>
              <w:rPr>
                <w:sz w:val="20"/>
              </w:rPr>
              <w:t>1,6</w:t>
            </w:r>
            <w:r w:rsidRPr="00B51A10">
              <w:rPr>
                <w:sz w:val="20"/>
              </w:rPr>
              <w:t>00</w:t>
            </w:r>
          </w:p>
        </w:tc>
        <w:tc>
          <w:tcPr>
            <w:tcW w:w="2649" w:type="dxa"/>
          </w:tcPr>
          <w:p w:rsidR="00C66383" w:rsidRPr="00B51A10" w:rsidRDefault="00C66383" w:rsidP="002F629D">
            <w:pPr>
              <w:tabs>
                <w:tab w:val="left" w:pos="0"/>
              </w:tabs>
              <w:rPr>
                <w:sz w:val="20"/>
              </w:rPr>
            </w:pPr>
            <w:r>
              <w:rPr>
                <w:sz w:val="20"/>
              </w:rPr>
              <w:t>Perkins</w:t>
            </w:r>
          </w:p>
        </w:tc>
      </w:tr>
      <w:tr w:rsidR="00C66383" w:rsidTr="00C66383">
        <w:tc>
          <w:tcPr>
            <w:tcW w:w="5504" w:type="dxa"/>
            <w:shd w:val="clear" w:color="auto" w:fill="auto"/>
          </w:tcPr>
          <w:p w:rsidR="00C66383" w:rsidRPr="00B51A10" w:rsidRDefault="00C66383" w:rsidP="00C66383">
            <w:pPr>
              <w:tabs>
                <w:tab w:val="left" w:pos="0"/>
              </w:tabs>
              <w:rPr>
                <w:sz w:val="20"/>
              </w:rPr>
            </w:pPr>
            <w:r w:rsidRPr="00B51A10">
              <w:rPr>
                <w:sz w:val="20"/>
              </w:rPr>
              <w:t xml:space="preserve">Professional development – OACTE </w:t>
            </w:r>
          </w:p>
        </w:tc>
        <w:tc>
          <w:tcPr>
            <w:tcW w:w="1225" w:type="dxa"/>
            <w:shd w:val="clear" w:color="auto" w:fill="auto"/>
          </w:tcPr>
          <w:p w:rsidR="00C66383" w:rsidRPr="00B51A10" w:rsidRDefault="00C66383" w:rsidP="0029790D">
            <w:pPr>
              <w:tabs>
                <w:tab w:val="left" w:pos="0"/>
              </w:tabs>
              <w:rPr>
                <w:sz w:val="20"/>
              </w:rPr>
            </w:pPr>
            <w:r w:rsidRPr="00B51A10">
              <w:rPr>
                <w:sz w:val="20"/>
              </w:rPr>
              <w:t>2,200</w:t>
            </w:r>
          </w:p>
        </w:tc>
        <w:tc>
          <w:tcPr>
            <w:tcW w:w="2649" w:type="dxa"/>
          </w:tcPr>
          <w:p w:rsidR="00C66383" w:rsidRPr="00B51A10" w:rsidRDefault="00C66383" w:rsidP="002F629D">
            <w:pPr>
              <w:tabs>
                <w:tab w:val="left" w:pos="0"/>
              </w:tabs>
              <w:rPr>
                <w:sz w:val="20"/>
              </w:rPr>
            </w:pPr>
            <w:r>
              <w:rPr>
                <w:sz w:val="20"/>
              </w:rPr>
              <w:t>Perkins</w:t>
            </w:r>
          </w:p>
        </w:tc>
      </w:tr>
      <w:tr w:rsidR="00C66383" w:rsidTr="00C66383">
        <w:tc>
          <w:tcPr>
            <w:tcW w:w="5504" w:type="dxa"/>
            <w:shd w:val="clear" w:color="auto" w:fill="auto"/>
          </w:tcPr>
          <w:p w:rsidR="00C66383" w:rsidRPr="00B51A10" w:rsidRDefault="00C66383" w:rsidP="0029790D">
            <w:pPr>
              <w:tabs>
                <w:tab w:val="left" w:pos="0"/>
              </w:tabs>
              <w:rPr>
                <w:sz w:val="20"/>
              </w:rPr>
            </w:pPr>
          </w:p>
        </w:tc>
        <w:tc>
          <w:tcPr>
            <w:tcW w:w="1225" w:type="dxa"/>
            <w:shd w:val="clear" w:color="auto" w:fill="auto"/>
          </w:tcPr>
          <w:p w:rsidR="00C66383" w:rsidRPr="00B51A10" w:rsidRDefault="00C66383" w:rsidP="0029790D">
            <w:pPr>
              <w:tabs>
                <w:tab w:val="left" w:pos="0"/>
              </w:tabs>
              <w:rPr>
                <w:sz w:val="20"/>
              </w:rPr>
            </w:pPr>
          </w:p>
        </w:tc>
        <w:tc>
          <w:tcPr>
            <w:tcW w:w="2649" w:type="dxa"/>
          </w:tcPr>
          <w:p w:rsidR="00C66383" w:rsidRPr="00B51A10" w:rsidRDefault="00C66383" w:rsidP="002F629D">
            <w:pPr>
              <w:tabs>
                <w:tab w:val="left" w:pos="0"/>
              </w:tabs>
              <w:rPr>
                <w:sz w:val="20"/>
              </w:rPr>
            </w:pPr>
          </w:p>
        </w:tc>
      </w:tr>
      <w:tr w:rsidR="00C66383" w:rsidTr="00C66383">
        <w:tc>
          <w:tcPr>
            <w:tcW w:w="5504" w:type="dxa"/>
            <w:shd w:val="clear" w:color="auto" w:fill="auto"/>
          </w:tcPr>
          <w:p w:rsidR="00C66383" w:rsidRPr="007645F1" w:rsidRDefault="00C66383" w:rsidP="0029790D">
            <w:pPr>
              <w:tabs>
                <w:tab w:val="left" w:pos="0"/>
              </w:tabs>
              <w:jc w:val="right"/>
            </w:pPr>
            <w:r w:rsidRPr="007645F1">
              <w:t>Total</w:t>
            </w:r>
          </w:p>
        </w:tc>
        <w:tc>
          <w:tcPr>
            <w:tcW w:w="1225" w:type="dxa"/>
            <w:shd w:val="clear" w:color="auto" w:fill="auto"/>
          </w:tcPr>
          <w:p w:rsidR="00C66383" w:rsidRPr="007645F1" w:rsidRDefault="00C66383" w:rsidP="00C66383">
            <w:pPr>
              <w:tabs>
                <w:tab w:val="left" w:pos="0"/>
              </w:tabs>
            </w:pPr>
            <w:r>
              <w:t>90,000</w:t>
            </w:r>
          </w:p>
        </w:tc>
        <w:tc>
          <w:tcPr>
            <w:tcW w:w="2649" w:type="dxa"/>
          </w:tcPr>
          <w:p w:rsidR="00C66383" w:rsidRPr="00C66383" w:rsidRDefault="00C66383" w:rsidP="002F629D">
            <w:pPr>
              <w:tabs>
                <w:tab w:val="left" w:pos="0"/>
              </w:tabs>
              <w:rPr>
                <w:i/>
              </w:rPr>
            </w:pPr>
            <w:r w:rsidRPr="00C66383">
              <w:rPr>
                <w:i/>
                <w:sz w:val="20"/>
              </w:rPr>
              <w:t>$90,000x30%=$27,000</w:t>
            </w:r>
          </w:p>
        </w:tc>
      </w:tr>
    </w:tbl>
    <w:p w:rsidR="00C66383" w:rsidRDefault="00C66383" w:rsidP="0029790D"/>
    <w:p w:rsidR="0029790D" w:rsidRDefault="00C66383" w:rsidP="0029790D">
      <w:r>
        <w:lastRenderedPageBreak/>
        <w:t>In this example</w:t>
      </w:r>
      <w:r w:rsidR="00761666">
        <w:t>,</w:t>
      </w:r>
      <w:r>
        <w:t xml:space="preserve"> Perkins </w:t>
      </w:r>
      <w:r w:rsidR="00761666">
        <w:t xml:space="preserve">funds </w:t>
      </w:r>
      <w:r>
        <w:t>may be used for up to $27,000 of these costs</w:t>
      </w:r>
      <w:r w:rsidR="00761666">
        <w:t>, as long as those costs</w:t>
      </w:r>
      <w:r>
        <w:t xml:space="preserve"> are allowable</w:t>
      </w:r>
      <w:r w:rsidR="00761666">
        <w:t xml:space="preserve"> expenditures</w:t>
      </w:r>
      <w:r>
        <w:t xml:space="preserve"> under Perkins law.</w:t>
      </w:r>
    </w:p>
    <w:p w:rsidR="0029790D" w:rsidRDefault="0029790D" w:rsidP="0029790D"/>
    <w:p w:rsidR="0029790D" w:rsidRPr="007D330B" w:rsidRDefault="0029790D" w:rsidP="0029790D"/>
    <w:p w:rsidR="009A5261" w:rsidRPr="00F4195B" w:rsidRDefault="0046327A" w:rsidP="00761666">
      <w:pPr>
        <w:ind w:left="360" w:hanging="360"/>
        <w:rPr>
          <w:b/>
        </w:rPr>
      </w:pPr>
      <w:r>
        <w:rPr>
          <w:b/>
        </w:rPr>
        <w:t>8</w:t>
      </w:r>
      <w:r w:rsidR="00A2389C" w:rsidRPr="007D330B">
        <w:rPr>
          <w:b/>
        </w:rPr>
        <w:t xml:space="preserve">.  </w:t>
      </w:r>
      <w:r w:rsidR="009A5261" w:rsidRPr="007D330B">
        <w:rPr>
          <w:b/>
        </w:rPr>
        <w:t xml:space="preserve">How will ODE track progress on </w:t>
      </w:r>
      <w:r w:rsidR="00761666">
        <w:rPr>
          <w:b/>
        </w:rPr>
        <w:t xml:space="preserve">the </w:t>
      </w:r>
      <w:r w:rsidR="00761666" w:rsidRPr="00F4195B">
        <w:rPr>
          <w:b/>
        </w:rPr>
        <w:t>development</w:t>
      </w:r>
      <w:r w:rsidR="00761666" w:rsidRPr="007D330B">
        <w:rPr>
          <w:b/>
        </w:rPr>
        <w:t xml:space="preserve"> </w:t>
      </w:r>
      <w:r w:rsidR="00761666">
        <w:rPr>
          <w:b/>
        </w:rPr>
        <w:t xml:space="preserve">of </w:t>
      </w:r>
      <w:r w:rsidR="00220435" w:rsidRPr="007D330B">
        <w:rPr>
          <w:b/>
        </w:rPr>
        <w:t xml:space="preserve">an </w:t>
      </w:r>
      <w:r w:rsidR="009A5261" w:rsidRPr="007D330B">
        <w:rPr>
          <w:b/>
        </w:rPr>
        <w:t xml:space="preserve">approved </w:t>
      </w:r>
      <w:r w:rsidR="009A5261" w:rsidRPr="00F4195B">
        <w:rPr>
          <w:b/>
        </w:rPr>
        <w:t>new</w:t>
      </w:r>
      <w:r w:rsidR="00C453CE" w:rsidRPr="00F4195B">
        <w:rPr>
          <w:b/>
        </w:rPr>
        <w:t xml:space="preserve"> CTE</w:t>
      </w:r>
      <w:r w:rsidR="00020187" w:rsidRPr="00F4195B">
        <w:rPr>
          <w:b/>
        </w:rPr>
        <w:t xml:space="preserve"> </w:t>
      </w:r>
      <w:r w:rsidR="00D23D1D" w:rsidRPr="00F4195B">
        <w:rPr>
          <w:b/>
        </w:rPr>
        <w:t>Program of Study</w:t>
      </w:r>
      <w:r w:rsidR="009A5261" w:rsidRPr="00F4195B">
        <w:rPr>
          <w:b/>
        </w:rPr>
        <w:t>?</w:t>
      </w:r>
    </w:p>
    <w:p w:rsidR="009A5261" w:rsidRPr="007D330B" w:rsidRDefault="009A5261" w:rsidP="00667C38"/>
    <w:p w:rsidR="009A5261" w:rsidRPr="007D330B" w:rsidRDefault="00453255" w:rsidP="00761666">
      <w:pPr>
        <w:ind w:left="360" w:hanging="360"/>
      </w:pPr>
      <w:r w:rsidRPr="007D330B">
        <w:t xml:space="preserve">A.  </w:t>
      </w:r>
      <w:r w:rsidR="009A5261" w:rsidRPr="007D330B">
        <w:t>All pr</w:t>
      </w:r>
      <w:r w:rsidR="00D23D1D" w:rsidRPr="007D330B">
        <w:t xml:space="preserve">ogress will be reported annually to the </w:t>
      </w:r>
      <w:r w:rsidR="00721D0F" w:rsidRPr="007D330B">
        <w:t>ODE staff in charge of Perkins administration</w:t>
      </w:r>
      <w:r w:rsidR="009A5261" w:rsidRPr="007D330B">
        <w:t xml:space="preserve">.  For each year in which </w:t>
      </w:r>
      <w:r w:rsidR="00985C7A" w:rsidRPr="007D330B">
        <w:t xml:space="preserve">Perkins </w:t>
      </w:r>
      <w:r w:rsidR="009A5261" w:rsidRPr="007D330B">
        <w:t>expenses are permitted, the following information must be provided:</w:t>
      </w:r>
    </w:p>
    <w:p w:rsidR="009A5261" w:rsidRPr="007D330B" w:rsidRDefault="009A5261" w:rsidP="00667C38"/>
    <w:p w:rsidR="00CC2BE2" w:rsidRPr="007D330B" w:rsidRDefault="009A5261" w:rsidP="00CC2BE2">
      <w:pPr>
        <w:numPr>
          <w:ilvl w:val="0"/>
          <w:numId w:val="3"/>
        </w:numPr>
      </w:pPr>
      <w:r w:rsidRPr="007D330B">
        <w:t>A detailed description o</w:t>
      </w:r>
      <w:r w:rsidR="00CC2BE2" w:rsidRPr="007D330B">
        <w:t>f the activities related to the</w:t>
      </w:r>
      <w:r w:rsidR="00702350" w:rsidRPr="007D330B">
        <w:t xml:space="preserve"> development of the new CTE </w:t>
      </w:r>
      <w:r w:rsidR="001A7F3A" w:rsidRPr="007D330B">
        <w:t>Program of Study</w:t>
      </w:r>
      <w:r w:rsidR="00702350" w:rsidRPr="007D330B">
        <w:t xml:space="preserve"> </w:t>
      </w:r>
      <w:r w:rsidR="00CC2BE2" w:rsidRPr="007D330B">
        <w:t>with total expenditures used in each activity.  This must include Perkins funds and other matching funds.</w:t>
      </w:r>
    </w:p>
    <w:p w:rsidR="00702FB6" w:rsidRPr="007D330B" w:rsidRDefault="00702FB6" w:rsidP="00702FB6">
      <w:pPr>
        <w:numPr>
          <w:ilvl w:val="0"/>
          <w:numId w:val="3"/>
        </w:numPr>
      </w:pPr>
      <w:r w:rsidRPr="007D330B">
        <w:t>An analysis of data related to the Perkins performance measures.</w:t>
      </w:r>
    </w:p>
    <w:p w:rsidR="00702FB6" w:rsidRPr="007D330B" w:rsidRDefault="00702FB6" w:rsidP="00702FB6">
      <w:pPr>
        <w:numPr>
          <w:ilvl w:val="0"/>
          <w:numId w:val="3"/>
        </w:numPr>
      </w:pPr>
      <w:r w:rsidRPr="007D330B">
        <w:t>A detailed description of adjustments to be implemented in consideration of performance and outcomes to date.</w:t>
      </w:r>
    </w:p>
    <w:p w:rsidR="00702FB6" w:rsidRPr="007D330B" w:rsidRDefault="00702FB6" w:rsidP="00CC2BE2">
      <w:pPr>
        <w:numPr>
          <w:ilvl w:val="0"/>
          <w:numId w:val="3"/>
        </w:numPr>
      </w:pPr>
      <w:r w:rsidRPr="007D330B">
        <w:t xml:space="preserve">A discussion of the </w:t>
      </w:r>
      <w:r w:rsidR="00702350" w:rsidRPr="007D330B">
        <w:t>challenges</w:t>
      </w:r>
      <w:r w:rsidRPr="007D330B">
        <w:t xml:space="preserve"> encountered </w:t>
      </w:r>
      <w:r w:rsidR="00702350" w:rsidRPr="007D330B">
        <w:t>with development and how those challenges</w:t>
      </w:r>
      <w:r w:rsidRPr="007D330B">
        <w:t xml:space="preserve"> were addressed.</w:t>
      </w:r>
    </w:p>
    <w:p w:rsidR="00CC2BE2" w:rsidRPr="007D330B" w:rsidRDefault="00CC2BE2" w:rsidP="00CC2BE2">
      <w:pPr>
        <w:numPr>
          <w:ilvl w:val="0"/>
          <w:numId w:val="3"/>
        </w:numPr>
      </w:pPr>
      <w:r w:rsidRPr="007D330B">
        <w:t>An outline of the work that will be completed in the next year.</w:t>
      </w:r>
    </w:p>
    <w:p w:rsidR="00CC2BE2" w:rsidRPr="007D330B" w:rsidRDefault="00CC2BE2" w:rsidP="00CC2BE2"/>
    <w:p w:rsidR="00CC2BE2" w:rsidRPr="007D330B" w:rsidRDefault="0046327A" w:rsidP="00761666">
      <w:pPr>
        <w:ind w:left="360" w:hanging="360"/>
        <w:rPr>
          <w:b/>
        </w:rPr>
      </w:pPr>
      <w:r>
        <w:rPr>
          <w:b/>
        </w:rPr>
        <w:t>9</w:t>
      </w:r>
      <w:r w:rsidR="00A2389C" w:rsidRPr="007D330B">
        <w:rPr>
          <w:b/>
        </w:rPr>
        <w:t xml:space="preserve">.  </w:t>
      </w:r>
      <w:r w:rsidR="00CC2BE2" w:rsidRPr="007D330B">
        <w:rPr>
          <w:b/>
        </w:rPr>
        <w:t xml:space="preserve">What will happen if </w:t>
      </w:r>
      <w:r w:rsidR="00DD7742" w:rsidRPr="007D330B">
        <w:rPr>
          <w:b/>
        </w:rPr>
        <w:t xml:space="preserve">the </w:t>
      </w:r>
      <w:r w:rsidR="00702FB6" w:rsidRPr="007D330B">
        <w:rPr>
          <w:b/>
        </w:rPr>
        <w:t xml:space="preserve">local </w:t>
      </w:r>
      <w:r w:rsidR="00DD7742" w:rsidRPr="007D330B">
        <w:rPr>
          <w:b/>
        </w:rPr>
        <w:t xml:space="preserve">non-Perkins </w:t>
      </w:r>
      <w:r w:rsidR="00CC2BE2" w:rsidRPr="007D330B">
        <w:rPr>
          <w:b/>
        </w:rPr>
        <w:t xml:space="preserve">funding </w:t>
      </w:r>
      <w:r w:rsidR="00702350" w:rsidRPr="007D330B">
        <w:rPr>
          <w:b/>
        </w:rPr>
        <w:t>match is reduced or</w:t>
      </w:r>
      <w:r w:rsidR="00985C7A" w:rsidRPr="007D330B">
        <w:rPr>
          <w:b/>
        </w:rPr>
        <w:t xml:space="preserve"> eliminated</w:t>
      </w:r>
      <w:r w:rsidR="00CC2BE2" w:rsidRPr="007D330B">
        <w:rPr>
          <w:b/>
        </w:rPr>
        <w:t>?</w:t>
      </w:r>
    </w:p>
    <w:p w:rsidR="00702350" w:rsidRPr="007D330B" w:rsidRDefault="00702350" w:rsidP="00CC2BE2"/>
    <w:p w:rsidR="00677B75" w:rsidRPr="007D330B" w:rsidRDefault="00CC2BE2" w:rsidP="00CC2BE2">
      <w:r w:rsidRPr="007D330B">
        <w:t>A</w:t>
      </w:r>
      <w:r w:rsidR="00702350" w:rsidRPr="007D330B">
        <w:t xml:space="preserve"> key </w:t>
      </w:r>
      <w:r w:rsidR="00985C7A" w:rsidRPr="007D330B">
        <w:t xml:space="preserve">requirement </w:t>
      </w:r>
      <w:r w:rsidR="000E19EB" w:rsidRPr="007D330B">
        <w:t xml:space="preserve">of </w:t>
      </w:r>
      <w:r w:rsidR="001C688B" w:rsidRPr="007D330B">
        <w:t xml:space="preserve">the </w:t>
      </w:r>
      <w:r w:rsidR="00170787">
        <w:t xml:space="preserve">Perkins funding </w:t>
      </w:r>
      <w:r w:rsidR="000E19EB" w:rsidRPr="007D330B">
        <w:t>support for</w:t>
      </w:r>
      <w:r w:rsidRPr="007D330B">
        <w:t xml:space="preserve"> </w:t>
      </w:r>
      <w:r w:rsidR="001A7F3A" w:rsidRPr="007D330B">
        <w:t xml:space="preserve">the development of </w:t>
      </w:r>
      <w:r w:rsidRPr="007D330B">
        <w:t>new</w:t>
      </w:r>
      <w:r w:rsidR="00C453CE" w:rsidRPr="007D330B">
        <w:t xml:space="preserve"> CTE Programs of Study </w:t>
      </w:r>
      <w:r w:rsidR="00F60A63" w:rsidRPr="007D330B">
        <w:t>is a matching local financial commitment.</w:t>
      </w:r>
      <w:r w:rsidRPr="007D330B">
        <w:t xml:space="preserve">  If </w:t>
      </w:r>
      <w:r w:rsidR="00F60A63" w:rsidRPr="007D330B">
        <w:t>any group is unable to meet its</w:t>
      </w:r>
      <w:r w:rsidR="00DD7742" w:rsidRPr="007D330B">
        <w:t xml:space="preserve"> </w:t>
      </w:r>
      <w:r w:rsidRPr="007D330B">
        <w:t xml:space="preserve">initial </w:t>
      </w:r>
      <w:r w:rsidR="00F60A63" w:rsidRPr="007D330B">
        <w:t xml:space="preserve">financial </w:t>
      </w:r>
      <w:r w:rsidRPr="007D330B">
        <w:t xml:space="preserve">obligations, </w:t>
      </w:r>
      <w:r w:rsidR="00F60A63" w:rsidRPr="007D330B">
        <w:t>the applicant</w:t>
      </w:r>
      <w:r w:rsidR="00DD7742" w:rsidRPr="007D330B">
        <w:t xml:space="preserve"> </w:t>
      </w:r>
      <w:r w:rsidRPr="007D330B">
        <w:t>may be required to reduce or eliminate the use of Perkins funds to further develop the program.</w:t>
      </w:r>
      <w:r w:rsidR="001A7F3A" w:rsidRPr="007D330B">
        <w:t xml:space="preserve"> </w:t>
      </w:r>
    </w:p>
    <w:p w:rsidR="00F60A63" w:rsidRPr="007D330B" w:rsidRDefault="00F60A63" w:rsidP="00CC2BE2">
      <w:pPr>
        <w:rPr>
          <w:b/>
        </w:rPr>
      </w:pPr>
    </w:p>
    <w:p w:rsidR="00677B75" w:rsidRPr="00F4195B" w:rsidRDefault="0046327A" w:rsidP="00170787">
      <w:pPr>
        <w:ind w:left="450" w:hanging="450"/>
        <w:rPr>
          <w:b/>
        </w:rPr>
      </w:pPr>
      <w:r>
        <w:rPr>
          <w:b/>
        </w:rPr>
        <w:t>10</w:t>
      </w:r>
      <w:r w:rsidR="00A2389C" w:rsidRPr="007D330B">
        <w:rPr>
          <w:b/>
        </w:rPr>
        <w:t xml:space="preserve">.  </w:t>
      </w:r>
      <w:r w:rsidR="00677B75" w:rsidRPr="007D330B">
        <w:rPr>
          <w:b/>
        </w:rPr>
        <w:t xml:space="preserve">What will </w:t>
      </w:r>
      <w:r w:rsidR="00677B75" w:rsidRPr="00F4195B">
        <w:rPr>
          <w:b/>
        </w:rPr>
        <w:t xml:space="preserve">happen if </w:t>
      </w:r>
      <w:r w:rsidR="00F60A63" w:rsidRPr="00F4195B">
        <w:rPr>
          <w:b/>
        </w:rPr>
        <w:t xml:space="preserve">the applicant is </w:t>
      </w:r>
      <w:r w:rsidR="00677B75" w:rsidRPr="00F4195B">
        <w:rPr>
          <w:b/>
        </w:rPr>
        <w:t>not able to have a completed CTE Program of Study within three years?</w:t>
      </w:r>
    </w:p>
    <w:p w:rsidR="00F60A63" w:rsidRPr="00F4195B" w:rsidRDefault="00F60A63" w:rsidP="00CC2BE2">
      <w:pPr>
        <w:rPr>
          <w:b/>
        </w:rPr>
      </w:pPr>
    </w:p>
    <w:p w:rsidR="001C688B" w:rsidRPr="007D330B" w:rsidRDefault="00677B75" w:rsidP="00CC2BE2">
      <w:r w:rsidRPr="007D330B">
        <w:t xml:space="preserve">This is the primary outcome of the agreement.  </w:t>
      </w:r>
      <w:r w:rsidRPr="007D330B">
        <w:rPr>
          <w:i/>
          <w:u w:val="single"/>
        </w:rPr>
        <w:t>I</w:t>
      </w:r>
      <w:r w:rsidR="003356B2" w:rsidRPr="007D330B">
        <w:rPr>
          <w:i/>
          <w:u w:val="single"/>
        </w:rPr>
        <w:t>f the applicant is</w:t>
      </w:r>
      <w:r w:rsidRPr="007D330B">
        <w:rPr>
          <w:i/>
          <w:u w:val="single"/>
        </w:rPr>
        <w:t xml:space="preserve"> not able to complete tha</w:t>
      </w:r>
      <w:r w:rsidR="00220435" w:rsidRPr="007D330B">
        <w:rPr>
          <w:i/>
          <w:u w:val="single"/>
        </w:rPr>
        <w:t>t agreement within three years,</w:t>
      </w:r>
      <w:r w:rsidRPr="007D330B">
        <w:rPr>
          <w:i/>
          <w:u w:val="single"/>
        </w:rPr>
        <w:t xml:space="preserve"> </w:t>
      </w:r>
      <w:r w:rsidR="00DD7742" w:rsidRPr="007D330B">
        <w:rPr>
          <w:i/>
          <w:u w:val="single"/>
        </w:rPr>
        <w:t xml:space="preserve">they </w:t>
      </w:r>
      <w:r w:rsidRPr="007D330B">
        <w:rPr>
          <w:i/>
          <w:u w:val="single"/>
        </w:rPr>
        <w:t>may</w:t>
      </w:r>
      <w:r w:rsidR="001C688B" w:rsidRPr="007D330B">
        <w:rPr>
          <w:i/>
          <w:u w:val="single"/>
        </w:rPr>
        <w:t xml:space="preserve"> be </w:t>
      </w:r>
      <w:r w:rsidR="007D330B" w:rsidRPr="007D330B">
        <w:rPr>
          <w:i/>
          <w:u w:val="single"/>
        </w:rPr>
        <w:t>asked to</w:t>
      </w:r>
      <w:r w:rsidRPr="007D330B">
        <w:rPr>
          <w:i/>
          <w:u w:val="single"/>
        </w:rPr>
        <w:t xml:space="preserve"> return all or part of the Perkins funds that were used to develop the </w:t>
      </w:r>
      <w:r w:rsidR="003356B2" w:rsidRPr="007D330B">
        <w:rPr>
          <w:i/>
          <w:u w:val="single"/>
        </w:rPr>
        <w:t xml:space="preserve">proposed </w:t>
      </w:r>
      <w:r w:rsidR="001A7F3A" w:rsidRPr="007D330B">
        <w:rPr>
          <w:u w:val="single"/>
        </w:rPr>
        <w:t>CTE Program of Study</w:t>
      </w:r>
      <w:r w:rsidRPr="007D330B">
        <w:rPr>
          <w:i/>
          <w:u w:val="single"/>
        </w:rPr>
        <w:t>.</w:t>
      </w:r>
      <w:r w:rsidRPr="007D330B">
        <w:t xml:space="preserve">  </w:t>
      </w:r>
      <w:r w:rsidR="003356B2" w:rsidRPr="007D330B">
        <w:t xml:space="preserve">ODE should be notified in advance of annual reporting </w:t>
      </w:r>
      <w:r w:rsidRPr="007D330B">
        <w:t>if there are possible circumstances that would prevent the program from becoming a CTE Program of Study.</w:t>
      </w:r>
    </w:p>
    <w:p w:rsidR="001C688B" w:rsidRPr="007D330B" w:rsidRDefault="001C688B" w:rsidP="00CC2BE2"/>
    <w:p w:rsidR="000A699F" w:rsidRDefault="000A699F" w:rsidP="000A699F">
      <w:pPr>
        <w:tabs>
          <w:tab w:val="left" w:pos="0"/>
          <w:tab w:val="left" w:pos="360"/>
          <w:tab w:val="left" w:pos="720"/>
        </w:tabs>
        <w:ind w:left="720"/>
      </w:pPr>
    </w:p>
    <w:sectPr w:rsidR="000A699F" w:rsidSect="00F7322A">
      <w:footerReference w:type="default" r:id="rId1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A1E" w:rsidRDefault="00071A1E" w:rsidP="00F7322A">
      <w:r>
        <w:separator/>
      </w:r>
    </w:p>
  </w:endnote>
  <w:endnote w:type="continuationSeparator" w:id="0">
    <w:p w:rsidR="00071A1E" w:rsidRDefault="00071A1E" w:rsidP="00F7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7A" w:rsidRPr="00F7322A" w:rsidRDefault="006A577A">
    <w:pPr>
      <w:pStyle w:val="Footer"/>
      <w:rPr>
        <w:sz w:val="14"/>
      </w:rPr>
    </w:pPr>
    <w:r w:rsidRPr="00F7322A">
      <w:rPr>
        <w:b/>
        <w:i/>
        <w:sz w:val="14"/>
      </w:rPr>
      <w:t>New Program of Study Application Q&amp;A</w:t>
    </w:r>
    <w:r w:rsidRPr="00F7322A">
      <w:rPr>
        <w:b/>
        <w:sz w:val="14"/>
      </w:rPr>
      <w:tab/>
    </w:r>
    <w:r w:rsidR="00807F39">
      <w:rPr>
        <w:b/>
        <w:sz w:val="14"/>
      </w:rPr>
      <w:t xml:space="preserve"> - 201</w:t>
    </w:r>
    <w:r w:rsidR="00CC37C6">
      <w:rPr>
        <w:b/>
        <w:sz w:val="14"/>
      </w:rPr>
      <w:t>3</w:t>
    </w:r>
    <w:r>
      <w:rPr>
        <w:sz w:val="14"/>
      </w:rPr>
      <w:t xml:space="preserve">          </w:t>
    </w:r>
    <w:r w:rsidRPr="00F7322A">
      <w:rPr>
        <w:sz w:val="14"/>
      </w:rPr>
      <w:t>Oregon Department of Education/Office of Community Colleges &amp; Workforce Development</w:t>
    </w:r>
    <w:r w:rsidRPr="00F7322A">
      <w:rPr>
        <w:sz w:val="14"/>
      </w:rPr>
      <w:tab/>
    </w:r>
    <w:r w:rsidR="00807F39">
      <w:rPr>
        <w:sz w:val="14"/>
      </w:rPr>
      <w:t xml:space="preserve">  </w:t>
    </w:r>
    <w:r w:rsidRPr="00F7322A">
      <w:rPr>
        <w:sz w:val="14"/>
      </w:rPr>
      <w:fldChar w:fldCharType="begin"/>
    </w:r>
    <w:r w:rsidRPr="00F7322A">
      <w:rPr>
        <w:sz w:val="14"/>
      </w:rPr>
      <w:instrText xml:space="preserve"> PAGE   \* MERGEFORMAT </w:instrText>
    </w:r>
    <w:r w:rsidRPr="00F7322A">
      <w:rPr>
        <w:sz w:val="14"/>
      </w:rPr>
      <w:fldChar w:fldCharType="separate"/>
    </w:r>
    <w:r w:rsidR="00E96741">
      <w:rPr>
        <w:noProof/>
        <w:sz w:val="14"/>
      </w:rPr>
      <w:t>1</w:t>
    </w:r>
    <w:r w:rsidRPr="00F7322A">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A1E" w:rsidRDefault="00071A1E" w:rsidP="00F7322A">
      <w:r>
        <w:separator/>
      </w:r>
    </w:p>
  </w:footnote>
  <w:footnote w:type="continuationSeparator" w:id="0">
    <w:p w:rsidR="00071A1E" w:rsidRDefault="00071A1E" w:rsidP="00F73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705A"/>
    <w:multiLevelType w:val="hybridMultilevel"/>
    <w:tmpl w:val="4FA6F64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8B408B"/>
    <w:multiLevelType w:val="hybridMultilevel"/>
    <w:tmpl w:val="2BE41E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C7567D"/>
    <w:multiLevelType w:val="hybridMultilevel"/>
    <w:tmpl w:val="DB3E79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8F636D"/>
    <w:multiLevelType w:val="hybridMultilevel"/>
    <w:tmpl w:val="601450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166880"/>
    <w:multiLevelType w:val="hybridMultilevel"/>
    <w:tmpl w:val="A7ACFC68"/>
    <w:lvl w:ilvl="0" w:tplc="0409000D">
      <w:start w:val="1"/>
      <w:numFmt w:val="bullet"/>
      <w:lvlText w:val=""/>
      <w:lvlJc w:val="left"/>
      <w:pPr>
        <w:tabs>
          <w:tab w:val="num" w:pos="972"/>
        </w:tabs>
        <w:ind w:left="972" w:hanging="360"/>
      </w:pPr>
      <w:rPr>
        <w:rFonts w:ascii="Wingdings" w:hAnsi="Wingdings"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5" w15:restartNumberingAfterBreak="0">
    <w:nsid w:val="6B0B4866"/>
    <w:multiLevelType w:val="hybridMultilevel"/>
    <w:tmpl w:val="497A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BD0"/>
    <w:rsid w:val="00020187"/>
    <w:rsid w:val="00071A1E"/>
    <w:rsid w:val="000A699F"/>
    <w:rsid w:val="000E19EB"/>
    <w:rsid w:val="00113A89"/>
    <w:rsid w:val="001571B9"/>
    <w:rsid w:val="00170787"/>
    <w:rsid w:val="001A7F3A"/>
    <w:rsid w:val="001C5EBB"/>
    <w:rsid w:val="001C688B"/>
    <w:rsid w:val="00220435"/>
    <w:rsid w:val="0029790D"/>
    <w:rsid w:val="002B56A9"/>
    <w:rsid w:val="002C69AF"/>
    <w:rsid w:val="002F629D"/>
    <w:rsid w:val="003051A7"/>
    <w:rsid w:val="003356B2"/>
    <w:rsid w:val="00352214"/>
    <w:rsid w:val="003657E2"/>
    <w:rsid w:val="003C18C5"/>
    <w:rsid w:val="00453255"/>
    <w:rsid w:val="00454597"/>
    <w:rsid w:val="0046327A"/>
    <w:rsid w:val="00464080"/>
    <w:rsid w:val="00473A0F"/>
    <w:rsid w:val="00476B5E"/>
    <w:rsid w:val="0049544D"/>
    <w:rsid w:val="004D3A51"/>
    <w:rsid w:val="004D7F05"/>
    <w:rsid w:val="00507BCF"/>
    <w:rsid w:val="0057613F"/>
    <w:rsid w:val="00591AB3"/>
    <w:rsid w:val="005B1EE2"/>
    <w:rsid w:val="005C44D3"/>
    <w:rsid w:val="006463A8"/>
    <w:rsid w:val="00667C38"/>
    <w:rsid w:val="00676D99"/>
    <w:rsid w:val="00677B75"/>
    <w:rsid w:val="00690561"/>
    <w:rsid w:val="006A577A"/>
    <w:rsid w:val="006A78A7"/>
    <w:rsid w:val="006C31EE"/>
    <w:rsid w:val="00701485"/>
    <w:rsid w:val="00702350"/>
    <w:rsid w:val="00702FB6"/>
    <w:rsid w:val="00721D0F"/>
    <w:rsid w:val="00725F44"/>
    <w:rsid w:val="00747755"/>
    <w:rsid w:val="00761666"/>
    <w:rsid w:val="007645F1"/>
    <w:rsid w:val="00780931"/>
    <w:rsid w:val="007950E8"/>
    <w:rsid w:val="007967A1"/>
    <w:rsid w:val="007D330B"/>
    <w:rsid w:val="007D5E15"/>
    <w:rsid w:val="00807F39"/>
    <w:rsid w:val="008524C2"/>
    <w:rsid w:val="00882ADE"/>
    <w:rsid w:val="00892278"/>
    <w:rsid w:val="009632F6"/>
    <w:rsid w:val="00966040"/>
    <w:rsid w:val="00985C7A"/>
    <w:rsid w:val="009A5261"/>
    <w:rsid w:val="00A2389C"/>
    <w:rsid w:val="00AB202E"/>
    <w:rsid w:val="00AC6BD0"/>
    <w:rsid w:val="00AF3C4D"/>
    <w:rsid w:val="00B05E3D"/>
    <w:rsid w:val="00B05F97"/>
    <w:rsid w:val="00B51A10"/>
    <w:rsid w:val="00BB0BE0"/>
    <w:rsid w:val="00C453CE"/>
    <w:rsid w:val="00C66383"/>
    <w:rsid w:val="00C731FB"/>
    <w:rsid w:val="00CC2BE2"/>
    <w:rsid w:val="00CC37C6"/>
    <w:rsid w:val="00CD5BF9"/>
    <w:rsid w:val="00CF0E50"/>
    <w:rsid w:val="00D23D1D"/>
    <w:rsid w:val="00D47228"/>
    <w:rsid w:val="00D70FE2"/>
    <w:rsid w:val="00D722E0"/>
    <w:rsid w:val="00D845F3"/>
    <w:rsid w:val="00DA67B8"/>
    <w:rsid w:val="00DB6DF1"/>
    <w:rsid w:val="00DD7742"/>
    <w:rsid w:val="00E52616"/>
    <w:rsid w:val="00E96741"/>
    <w:rsid w:val="00F33E50"/>
    <w:rsid w:val="00F4195B"/>
    <w:rsid w:val="00F60A63"/>
    <w:rsid w:val="00F7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BFC0A21E-E2E4-407B-AB9C-A20AECBF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F7322A"/>
    <w:pPr>
      <w:keepNext/>
      <w:jc w:val="center"/>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uiPriority w:val="9"/>
    <w:rsid w:val="00F7322A"/>
    <w:rPr>
      <w:rFonts w:ascii="Arial" w:hAnsi="Arial"/>
      <w:b/>
      <w:bCs/>
      <w:sz w:val="24"/>
      <w:szCs w:val="24"/>
    </w:rPr>
  </w:style>
  <w:style w:type="character" w:styleId="Hyperlink">
    <w:name w:val="Hyperlink"/>
    <w:rsid w:val="00F7322A"/>
    <w:rPr>
      <w:rFonts w:cs="Times New Roman"/>
      <w:color w:val="0000FF"/>
      <w:u w:val="single"/>
    </w:rPr>
  </w:style>
  <w:style w:type="paragraph" w:styleId="Header">
    <w:name w:val="header"/>
    <w:basedOn w:val="Normal"/>
    <w:link w:val="HeaderChar"/>
    <w:rsid w:val="00F7322A"/>
    <w:pPr>
      <w:tabs>
        <w:tab w:val="center" w:pos="4680"/>
        <w:tab w:val="right" w:pos="9360"/>
      </w:tabs>
    </w:pPr>
  </w:style>
  <w:style w:type="character" w:customStyle="1" w:styleId="HeaderChar">
    <w:name w:val="Header Char"/>
    <w:link w:val="Header"/>
    <w:rsid w:val="00F7322A"/>
    <w:rPr>
      <w:rFonts w:ascii="Arial" w:hAnsi="Arial"/>
      <w:sz w:val="24"/>
      <w:szCs w:val="24"/>
    </w:rPr>
  </w:style>
  <w:style w:type="paragraph" w:styleId="Footer">
    <w:name w:val="footer"/>
    <w:basedOn w:val="Normal"/>
    <w:link w:val="FooterChar"/>
    <w:rsid w:val="00F7322A"/>
    <w:pPr>
      <w:tabs>
        <w:tab w:val="center" w:pos="4680"/>
        <w:tab w:val="right" w:pos="9360"/>
      </w:tabs>
    </w:pPr>
  </w:style>
  <w:style w:type="character" w:customStyle="1" w:styleId="FooterChar">
    <w:name w:val="Footer Char"/>
    <w:link w:val="Footer"/>
    <w:rsid w:val="00F7322A"/>
    <w:rPr>
      <w:rFonts w:ascii="Arial" w:hAnsi="Arial"/>
      <w:sz w:val="24"/>
      <w:szCs w:val="24"/>
    </w:rPr>
  </w:style>
  <w:style w:type="paragraph" w:styleId="BalloonText">
    <w:name w:val="Balloon Text"/>
    <w:basedOn w:val="Normal"/>
    <w:link w:val="BalloonTextChar"/>
    <w:rsid w:val="00F7322A"/>
    <w:rPr>
      <w:rFonts w:ascii="Tahoma" w:hAnsi="Tahoma" w:cs="Tahoma"/>
      <w:sz w:val="16"/>
      <w:szCs w:val="16"/>
    </w:rPr>
  </w:style>
  <w:style w:type="character" w:customStyle="1" w:styleId="BalloonTextChar">
    <w:name w:val="Balloon Text Char"/>
    <w:link w:val="BalloonText"/>
    <w:rsid w:val="00F7322A"/>
    <w:rPr>
      <w:rFonts w:ascii="Tahoma" w:hAnsi="Tahoma" w:cs="Tahoma"/>
      <w:sz w:val="16"/>
      <w:szCs w:val="16"/>
    </w:rPr>
  </w:style>
  <w:style w:type="table" w:styleId="TableGrid">
    <w:name w:val="Table Grid"/>
    <w:basedOn w:val="TableNormal"/>
    <w:rsid w:val="00AF3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05F97"/>
    <w:rPr>
      <w:sz w:val="16"/>
      <w:szCs w:val="16"/>
    </w:rPr>
  </w:style>
  <w:style w:type="paragraph" w:styleId="CommentText">
    <w:name w:val="annotation text"/>
    <w:basedOn w:val="Normal"/>
    <w:link w:val="CommentTextChar"/>
    <w:rsid w:val="00B05F97"/>
    <w:rPr>
      <w:sz w:val="20"/>
      <w:szCs w:val="20"/>
    </w:rPr>
  </w:style>
  <w:style w:type="character" w:customStyle="1" w:styleId="CommentTextChar">
    <w:name w:val="Comment Text Char"/>
    <w:link w:val="CommentText"/>
    <w:rsid w:val="00B05F97"/>
    <w:rPr>
      <w:rFonts w:ascii="Arial" w:hAnsi="Arial"/>
    </w:rPr>
  </w:style>
  <w:style w:type="paragraph" w:styleId="CommentSubject">
    <w:name w:val="annotation subject"/>
    <w:basedOn w:val="CommentText"/>
    <w:next w:val="CommentText"/>
    <w:link w:val="CommentSubjectChar"/>
    <w:rsid w:val="00B05F97"/>
    <w:rPr>
      <w:b/>
      <w:bCs/>
    </w:rPr>
  </w:style>
  <w:style w:type="character" w:customStyle="1" w:styleId="CommentSubjectChar">
    <w:name w:val="Comment Subject Char"/>
    <w:link w:val="CommentSubject"/>
    <w:rsid w:val="00B05F9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de.state.or.us/go/ct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odccwd.state.or.us/prgapprova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dccwd.state.or.us/prgapprova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EA4080AC646C46ADCF94E40500EAAA" ma:contentTypeVersion="7" ma:contentTypeDescription="Create a new document." ma:contentTypeScope="" ma:versionID="65541e0802308968ec04ca0dcea30397">
  <xsd:schema xmlns:xsd="http://www.w3.org/2001/XMLSchema" xmlns:xs="http://www.w3.org/2001/XMLSchema" xmlns:p="http://schemas.microsoft.com/office/2006/metadata/properties" xmlns:ns1="http://schemas.microsoft.com/sharepoint/v3" xmlns:ns2="54ba7e27-71cb-4c46-94e1-a2d959839410" xmlns:ns3="54031767-dd6d-417c-ab73-583408f47564" targetNamespace="http://schemas.microsoft.com/office/2006/metadata/properties" ma:root="true" ma:fieldsID="ec373ca5e322ce03912459cbb723fbfa" ns1:_="" ns2:_="" ns3:_="">
    <xsd:import namespace="http://schemas.microsoft.com/sharepoint/v3"/>
    <xsd:import namespace="54ba7e27-71cb-4c46-94e1-a2d95983941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a7e27-71cb-4c46-94e1-a2d95983941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54ba7e27-71cb-4c46-94e1-a2d959839410">Legacy</Priority>
    <Remediation_x0020_Date xmlns="54ba7e27-71cb-4c46-94e1-a2d959839410">2019-09-13T07:00:00+00:00</Remediation_x0020_Date>
    <Estimated_x0020_Creation_x0020_Date xmlns="54ba7e27-71cb-4c46-94e1-a2d959839410">2013-05-20T07:00:00+00:00</Estimated_x0020_Creation_x0020_Dat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F9254-5D68-4EA4-8932-5B83D7A31462}"/>
</file>

<file path=customXml/itemProps2.xml><?xml version="1.0" encoding="utf-8"?>
<ds:datastoreItem xmlns:ds="http://schemas.openxmlformats.org/officeDocument/2006/customXml" ds:itemID="{B3981E72-E1E7-4EE6-B8EF-A4014172B4E4}"/>
</file>

<file path=customXml/itemProps3.xml><?xml version="1.0" encoding="utf-8"?>
<ds:datastoreItem xmlns:ds="http://schemas.openxmlformats.org/officeDocument/2006/customXml" ds:itemID="{C86E04A6-7B27-4CC0-BA48-0E84E3BC1080}"/>
</file>

<file path=customXml/itemProps4.xml><?xml version="1.0" encoding="utf-8"?>
<ds:datastoreItem xmlns:ds="http://schemas.openxmlformats.org/officeDocument/2006/customXml" ds:itemID="{F720CC64-74D0-43AF-BAF4-EE54621BB959}"/>
</file>

<file path=customXml/itemProps5.xml><?xml version="1.0" encoding="utf-8"?>
<ds:datastoreItem xmlns:ds="http://schemas.openxmlformats.org/officeDocument/2006/customXml" ds:itemID="{E72BE49A-CA5F-4297-8664-D1531ABA52BA}"/>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Using Perkins funds to develop New Start-Up CTE Programs of Study Q&amp;A</vt:lpstr>
    </vt:vector>
  </TitlesOfParts>
  <Company>Oregon Department of Education</Company>
  <LinksUpToDate>false</LinksUpToDate>
  <CharactersWithSpaces>8929</CharactersWithSpaces>
  <SharedDoc>false</SharedDoc>
  <HLinks>
    <vt:vector size="12" baseType="variant">
      <vt:variant>
        <vt:i4>7798901</vt:i4>
      </vt:variant>
      <vt:variant>
        <vt:i4>0</vt:i4>
      </vt:variant>
      <vt:variant>
        <vt:i4>0</vt:i4>
      </vt:variant>
      <vt:variant>
        <vt:i4>5</vt:i4>
      </vt:variant>
      <vt:variant>
        <vt:lpwstr>http://www.ode.state.or.us/go/cte/</vt:lpwstr>
      </vt:variant>
      <vt:variant>
        <vt:lpwstr/>
      </vt:variant>
      <vt:variant>
        <vt:i4>3801209</vt:i4>
      </vt:variant>
      <vt:variant>
        <vt:i4>3</vt:i4>
      </vt:variant>
      <vt:variant>
        <vt:i4>0</vt:i4>
      </vt:variant>
      <vt:variant>
        <vt:i4>5</vt:i4>
      </vt:variant>
      <vt:variant>
        <vt:lpwstr>http://www.odccwd.state.or.us/prgapproval/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Start-Up CTE Programs of Study Questions and Answers</dc:title>
  <dc:subject/>
  <dc:creator>thompsot</dc:creator>
  <cp:keywords/>
  <cp:lastModifiedBy>SIMEONE Linda - ODE</cp:lastModifiedBy>
  <cp:revision>2</cp:revision>
  <cp:lastPrinted>2013-05-17T20:57:00Z</cp:lastPrinted>
  <dcterms:created xsi:type="dcterms:W3CDTF">2019-09-13T17:44:00Z</dcterms:created>
  <dcterms:modified xsi:type="dcterms:W3CDTF">2019-09-13T17:44:00Z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0x010100E3EA4080AC646C46ADCF94E40500EAAA</vt:lpwstr>
  </property>
</Properties>
</file>