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F5318" w14:textId="77777777" w:rsidR="00197CB5" w:rsidRPr="00EA5D60" w:rsidRDefault="009F2494" w:rsidP="003E282A">
      <w:pPr>
        <w:pStyle w:val="Title"/>
        <w:spacing w:after="240"/>
        <w:jc w:val="center"/>
        <w:rPr>
          <w:sz w:val="48"/>
          <w:szCs w:val="48"/>
        </w:rPr>
      </w:pPr>
      <w:r w:rsidRPr="00EA5D60">
        <w:rPr>
          <w:sz w:val="48"/>
          <w:szCs w:val="48"/>
        </w:rPr>
        <w:t xml:space="preserve">How </w:t>
      </w:r>
      <w:r w:rsidR="00197CB5" w:rsidRPr="00EA5D60">
        <w:rPr>
          <w:sz w:val="48"/>
          <w:szCs w:val="48"/>
        </w:rPr>
        <w:t xml:space="preserve">to Access SECC </w:t>
      </w:r>
      <w:r w:rsidR="002D6482" w:rsidRPr="00EA5D60">
        <w:rPr>
          <w:sz w:val="48"/>
          <w:szCs w:val="48"/>
        </w:rPr>
        <w:t>Production Download</w:t>
      </w:r>
      <w:r w:rsidR="00197CB5" w:rsidRPr="00EA5D60">
        <w:rPr>
          <w:sz w:val="48"/>
          <w:szCs w:val="48"/>
        </w:rPr>
        <w:t xml:space="preserve"> Reports</w:t>
      </w:r>
    </w:p>
    <w:p w14:paraId="5F63A3BF" w14:textId="0D6E4E16" w:rsidR="00BA7157" w:rsidRPr="00365B47" w:rsidRDefault="00652F87" w:rsidP="00147C99">
      <w:pPr>
        <w:numPr>
          <w:ilvl w:val="0"/>
          <w:numId w:val="12"/>
        </w:numPr>
        <w:spacing w:after="200"/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Login through</w:t>
      </w:r>
      <w:r w:rsidR="00197CB5" w:rsidRPr="00EA5D60">
        <w:rPr>
          <w:rFonts w:asciiTheme="minorHAnsi" w:hAnsiTheme="minorHAnsi" w:cstheme="minorHAnsi"/>
          <w:sz w:val="22"/>
          <w:szCs w:val="22"/>
        </w:rPr>
        <w:t xml:space="preserve"> the district home page site </w:t>
      </w:r>
      <w:hyperlink r:id="rId11" w:history="1">
        <w:r w:rsidR="00473025" w:rsidRPr="00473025">
          <w:rPr>
            <w:rStyle w:val="Hyperlink"/>
            <w:rFonts w:asciiTheme="minorHAnsi" w:hAnsiTheme="minorHAnsi" w:cstheme="minorHAnsi"/>
            <w:sz w:val="22"/>
            <w:szCs w:val="22"/>
          </w:rPr>
          <w:t>https://odedistrict.oregon.gov/Pages/default.aspx</w:t>
        </w:r>
      </w:hyperlink>
      <w:r w:rsidR="00632DB2" w:rsidRPr="00EA5D60">
        <w:rPr>
          <w:rFonts w:asciiTheme="minorHAnsi" w:hAnsiTheme="minorHAnsi" w:cstheme="minorHAnsi"/>
          <w:sz w:val="22"/>
          <w:szCs w:val="22"/>
        </w:rPr>
        <w:t>.</w:t>
      </w:r>
      <w:r w:rsidR="00EA5D60">
        <w:rPr>
          <w:rFonts w:asciiTheme="minorHAnsi" w:hAnsiTheme="minorHAnsi" w:cstheme="minorHAnsi"/>
          <w:sz w:val="22"/>
          <w:szCs w:val="22"/>
        </w:rPr>
        <w:t xml:space="preserve"> The L</w:t>
      </w:r>
      <w:r w:rsidR="00473025">
        <w:rPr>
          <w:rFonts w:asciiTheme="minorHAnsi" w:hAnsiTheme="minorHAnsi" w:cstheme="minorHAnsi"/>
          <w:sz w:val="22"/>
          <w:szCs w:val="22"/>
        </w:rPr>
        <w:t>ogin</w:t>
      </w:r>
      <w:r>
        <w:rPr>
          <w:rFonts w:asciiTheme="minorHAnsi" w:hAnsiTheme="minorHAnsi" w:cstheme="minorHAnsi"/>
          <w:sz w:val="22"/>
          <w:szCs w:val="22"/>
        </w:rPr>
        <w:t xml:space="preserve"> web application link</w:t>
      </w:r>
      <w:r w:rsidR="00473025">
        <w:rPr>
          <w:rFonts w:asciiTheme="minorHAnsi" w:hAnsiTheme="minorHAnsi" w:cstheme="minorHAnsi"/>
          <w:sz w:val="22"/>
          <w:szCs w:val="22"/>
        </w:rPr>
        <w:t xml:space="preserve"> is located in the center</w:t>
      </w:r>
      <w:r w:rsidR="00EA5D60">
        <w:rPr>
          <w:rFonts w:asciiTheme="minorHAnsi" w:hAnsiTheme="minorHAnsi" w:cstheme="minorHAnsi"/>
          <w:sz w:val="22"/>
          <w:szCs w:val="22"/>
        </w:rPr>
        <w:t xml:space="preserve"> of the page.</w:t>
      </w:r>
    </w:p>
    <w:p w14:paraId="0C8DC31C" w14:textId="2DAEF4BC" w:rsidR="00365B47" w:rsidRPr="00EA5D60" w:rsidRDefault="00147C99" w:rsidP="00473025">
      <w:pPr>
        <w:spacing w:after="200"/>
        <w:jc w:val="center"/>
        <w:rPr>
          <w:rFonts w:asciiTheme="minorHAnsi" w:hAnsiTheme="minorHAnsi" w:cstheme="minorHAnsi"/>
          <w:noProof/>
          <w:sz w:val="22"/>
          <w:szCs w:val="22"/>
        </w:rPr>
      </w:pPr>
      <w:r w:rsidRPr="002F1E93">
        <w:rPr>
          <w:noProof/>
        </w:rPr>
        <w:drawing>
          <wp:inline distT="0" distB="0" distL="0" distR="0" wp14:anchorId="2BEFAA4A" wp14:editId="21890976">
            <wp:extent cx="5139990" cy="2538375"/>
            <wp:effectExtent l="0" t="0" r="3810" b="0"/>
            <wp:docPr id="2" name="Picture 2" descr="Screenshot of the District website, with circle around the District website login l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of the District website, with circle around the District website login link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16" cy="2543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2D227" w14:textId="77777777" w:rsidR="00473025" w:rsidRPr="00652F87" w:rsidRDefault="00652F87" w:rsidP="00147C99">
      <w:pPr>
        <w:pStyle w:val="ListParagraph"/>
        <w:numPr>
          <w:ilvl w:val="0"/>
          <w:numId w:val="12"/>
        </w:numPr>
        <w:spacing w:after="200"/>
        <w:ind w:left="360" w:hanging="360"/>
        <w:rPr>
          <w:rFonts w:asciiTheme="minorHAnsi" w:hAnsiTheme="minorHAnsi" w:cstheme="minorHAnsi"/>
          <w:sz w:val="22"/>
          <w:szCs w:val="22"/>
        </w:rPr>
      </w:pPr>
      <w:bookmarkStart w:id="0" w:name="_Hlk163132701"/>
      <w:r w:rsidRPr="00652F87">
        <w:rPr>
          <w:rFonts w:asciiTheme="minorHAnsi" w:hAnsiTheme="minorHAnsi" w:cstheme="minorHAnsi"/>
          <w:sz w:val="22"/>
          <w:szCs w:val="22"/>
        </w:rPr>
        <w:t xml:space="preserve">Login </w:t>
      </w:r>
      <w:r w:rsidR="00564B2F">
        <w:rPr>
          <w:rFonts w:asciiTheme="minorHAnsi" w:hAnsiTheme="minorHAnsi" w:cstheme="minorHAnsi"/>
          <w:sz w:val="22"/>
          <w:szCs w:val="22"/>
        </w:rPr>
        <w:t>on</w:t>
      </w:r>
      <w:r w:rsidRPr="00652F87">
        <w:rPr>
          <w:rFonts w:asciiTheme="minorHAnsi" w:hAnsiTheme="minorHAnsi" w:cstheme="minorHAnsi"/>
          <w:sz w:val="22"/>
          <w:szCs w:val="22"/>
        </w:rPr>
        <w:t xml:space="preserve"> the district Central Login web application</w:t>
      </w:r>
      <w:bookmarkEnd w:id="0"/>
      <w:r w:rsidRPr="00652F87">
        <w:rPr>
          <w:rFonts w:asciiTheme="minorHAnsi" w:hAnsiTheme="minorHAnsi" w:cstheme="minorHAnsi"/>
          <w:sz w:val="22"/>
          <w:szCs w:val="22"/>
        </w:rPr>
        <w:t>.</w:t>
      </w:r>
    </w:p>
    <w:p w14:paraId="7D8BEFD4" w14:textId="2B243547" w:rsidR="001654CC" w:rsidRDefault="00940B43" w:rsidP="00940B43">
      <w:pPr>
        <w:spacing w:after="200"/>
        <w:jc w:val="center"/>
      </w:pPr>
      <w:r>
        <w:rPr>
          <w:noProof/>
        </w:rPr>
        <w:drawing>
          <wp:inline distT="0" distB="0" distL="0" distR="0" wp14:anchorId="4A4B4731" wp14:editId="4BA1C38A">
            <wp:extent cx="5152796" cy="2487766"/>
            <wp:effectExtent l="19050" t="19050" r="10160" b="27305"/>
            <wp:docPr id="1813542535" name="Picture 1" descr="Screenshot of the login screen showing username and password fields, and the login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542535" name="Picture 1" descr="Screenshot of the login screen showing username and password fields, and the login butto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4600" cy="2503121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654CC">
        <w:br w:type="page"/>
      </w:r>
    </w:p>
    <w:p w14:paraId="7C7C8508" w14:textId="77777777" w:rsidR="00B71056" w:rsidRDefault="00197CB5" w:rsidP="00147C99">
      <w:pPr>
        <w:numPr>
          <w:ilvl w:val="0"/>
          <w:numId w:val="12"/>
        </w:numPr>
        <w:spacing w:after="20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B71056">
        <w:rPr>
          <w:rFonts w:asciiTheme="minorHAnsi" w:hAnsiTheme="minorHAnsi" w:cstheme="minorHAnsi"/>
          <w:sz w:val="22"/>
          <w:szCs w:val="22"/>
        </w:rPr>
        <w:lastRenderedPageBreak/>
        <w:t>An Applications list will appear on the next page</w:t>
      </w:r>
      <w:r w:rsidR="00632DB2" w:rsidRPr="00B71056">
        <w:rPr>
          <w:rFonts w:asciiTheme="minorHAnsi" w:hAnsiTheme="minorHAnsi" w:cstheme="minorHAnsi"/>
          <w:sz w:val="22"/>
          <w:szCs w:val="22"/>
        </w:rPr>
        <w:t>.</w:t>
      </w:r>
      <w:r w:rsidR="0080445A" w:rsidRPr="00B71056">
        <w:rPr>
          <w:rFonts w:asciiTheme="minorHAnsi" w:hAnsiTheme="minorHAnsi" w:cstheme="minorHAnsi"/>
          <w:sz w:val="22"/>
          <w:szCs w:val="22"/>
        </w:rPr>
        <w:t xml:space="preserve"> Cl</w:t>
      </w:r>
      <w:r w:rsidR="00B71056" w:rsidRPr="00B71056">
        <w:rPr>
          <w:rFonts w:asciiTheme="minorHAnsi" w:hAnsiTheme="minorHAnsi" w:cstheme="minorHAnsi"/>
          <w:sz w:val="22"/>
          <w:szCs w:val="22"/>
        </w:rPr>
        <w:t>ick on Consolidated Collections.</w:t>
      </w:r>
    </w:p>
    <w:p w14:paraId="50088F33" w14:textId="5EFB1F05" w:rsidR="00BA7157" w:rsidRPr="00B455C8" w:rsidRDefault="00940B43" w:rsidP="00652F87">
      <w:pPr>
        <w:spacing w:after="20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62E1DD54" wp14:editId="719F5D9D">
            <wp:extent cx="5361097" cy="2388438"/>
            <wp:effectExtent l="19050" t="19050" r="11430" b="12065"/>
            <wp:docPr id="1433464290" name="Picture 1" descr="Screenshot of the Applications list, with the Consolidated Collections link highlighted in blu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64290" name="Picture 1" descr="Screenshot of the Applications list, with the Consolidated Collections link highlighted in blue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76566" cy="239533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6A64C7" w14:textId="77777777" w:rsidR="00064CFD" w:rsidRDefault="0080445A" w:rsidP="00EA5D60">
      <w:pPr>
        <w:numPr>
          <w:ilvl w:val="0"/>
          <w:numId w:val="12"/>
        </w:numPr>
        <w:spacing w:after="20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EA5D60">
        <w:rPr>
          <w:rFonts w:asciiTheme="minorHAnsi" w:hAnsiTheme="minorHAnsi" w:cstheme="minorHAnsi"/>
          <w:sz w:val="22"/>
          <w:szCs w:val="22"/>
        </w:rPr>
        <w:t xml:space="preserve">Select </w:t>
      </w:r>
      <w:r w:rsidR="00EA5D60">
        <w:rPr>
          <w:rFonts w:asciiTheme="minorHAnsi" w:hAnsiTheme="minorHAnsi" w:cstheme="minorHAnsi"/>
          <w:sz w:val="22"/>
          <w:szCs w:val="22"/>
        </w:rPr>
        <w:t xml:space="preserve">the </w:t>
      </w:r>
      <w:r w:rsidRPr="00EA5D60">
        <w:rPr>
          <w:rFonts w:asciiTheme="minorHAnsi" w:hAnsiTheme="minorHAnsi" w:cstheme="minorHAnsi"/>
          <w:sz w:val="22"/>
          <w:szCs w:val="22"/>
        </w:rPr>
        <w:t xml:space="preserve">Reports tab, located next to </w:t>
      </w:r>
      <w:r w:rsidR="00EA5D60">
        <w:rPr>
          <w:rFonts w:asciiTheme="minorHAnsi" w:hAnsiTheme="minorHAnsi" w:cstheme="minorHAnsi"/>
          <w:sz w:val="22"/>
          <w:szCs w:val="22"/>
        </w:rPr>
        <w:t>the</w:t>
      </w:r>
      <w:r w:rsidR="0018561A">
        <w:rPr>
          <w:rFonts w:asciiTheme="minorHAnsi" w:hAnsiTheme="minorHAnsi" w:cstheme="minorHAnsi"/>
          <w:sz w:val="22"/>
          <w:szCs w:val="22"/>
        </w:rPr>
        <w:t xml:space="preserve"> </w:t>
      </w:r>
      <w:r w:rsidRPr="00EA5D60">
        <w:rPr>
          <w:rFonts w:asciiTheme="minorHAnsi" w:hAnsiTheme="minorHAnsi" w:cstheme="minorHAnsi"/>
          <w:sz w:val="22"/>
          <w:szCs w:val="22"/>
        </w:rPr>
        <w:t>Status Tracking tab.</w:t>
      </w:r>
    </w:p>
    <w:p w14:paraId="779190BC" w14:textId="6F6E7CC0" w:rsidR="007201D2" w:rsidRDefault="007201D2" w:rsidP="007201D2">
      <w:pPr>
        <w:spacing w:after="20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7CB4B6AD" wp14:editId="5853E618">
            <wp:extent cx="5943600" cy="1757992"/>
            <wp:effectExtent l="19050" t="19050" r="19050" b="13970"/>
            <wp:docPr id="5859938" name="Picture 1" descr="Screenshot of Consolidated Collections page with a circle around the Reports ta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938" name="Picture 1" descr="Screenshot of Consolidated Collections page with a circle around the Reports tab."/>
                    <pic:cNvPicPr/>
                  </pic:nvPicPr>
                  <pic:blipFill rotWithShape="1">
                    <a:blip r:embed="rId15"/>
                    <a:srcRect b="7655"/>
                    <a:stretch/>
                  </pic:blipFill>
                  <pic:spPr bwMode="auto">
                    <a:xfrm>
                      <a:off x="0" y="0"/>
                      <a:ext cx="5943600" cy="175799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067833" w14:textId="0C30ED88" w:rsidR="005C466B" w:rsidRDefault="006353D6" w:rsidP="00EA5D60">
      <w:pPr>
        <w:numPr>
          <w:ilvl w:val="0"/>
          <w:numId w:val="12"/>
        </w:numPr>
        <w:spacing w:after="200"/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</w:t>
      </w:r>
      <w:r w:rsidR="005C466B" w:rsidRPr="00EA5D60">
        <w:rPr>
          <w:rFonts w:asciiTheme="minorHAnsi" w:hAnsiTheme="minorHAnsi" w:cstheme="minorHAnsi"/>
          <w:sz w:val="22"/>
          <w:szCs w:val="22"/>
        </w:rPr>
        <w:t xml:space="preserve"> the </w:t>
      </w:r>
      <w:r>
        <w:rPr>
          <w:rFonts w:asciiTheme="minorHAnsi" w:hAnsiTheme="minorHAnsi" w:cstheme="minorHAnsi"/>
          <w:sz w:val="22"/>
          <w:szCs w:val="22"/>
        </w:rPr>
        <w:t>Collection</w:t>
      </w:r>
      <w:r w:rsidR="005C466B" w:rsidRPr="00EA5D60">
        <w:rPr>
          <w:rFonts w:asciiTheme="minorHAnsi" w:hAnsiTheme="minorHAnsi" w:cstheme="minorHAnsi"/>
          <w:sz w:val="22"/>
          <w:szCs w:val="22"/>
        </w:rPr>
        <w:t xml:space="preserve"> menu, select Specia</w:t>
      </w:r>
      <w:r>
        <w:rPr>
          <w:rFonts w:asciiTheme="minorHAnsi" w:hAnsiTheme="minorHAnsi" w:cstheme="minorHAnsi"/>
          <w:sz w:val="22"/>
          <w:szCs w:val="22"/>
        </w:rPr>
        <w:t>l Education Child Census (SECC).</w:t>
      </w:r>
    </w:p>
    <w:p w14:paraId="6E3E001C" w14:textId="49144C88" w:rsidR="003E6542" w:rsidRPr="00EA5D60" w:rsidRDefault="003E6542" w:rsidP="00652F87">
      <w:pPr>
        <w:spacing w:after="20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5A378F06" wp14:editId="337FFAEB">
            <wp:extent cx="3364265" cy="2751151"/>
            <wp:effectExtent l="19050" t="19050" r="26670" b="11430"/>
            <wp:docPr id="13" name="Picture 13" descr="Screenshot of Collection list, with SECC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Screenshot of Collection list, with SECC highlighted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82543" cy="2766098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B972C3B" w14:textId="77777777" w:rsidR="005C466B" w:rsidRDefault="005C466B" w:rsidP="00F327D9">
      <w:pPr>
        <w:numPr>
          <w:ilvl w:val="0"/>
          <w:numId w:val="12"/>
        </w:numPr>
        <w:spacing w:after="20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EA5D60">
        <w:rPr>
          <w:rFonts w:asciiTheme="minorHAnsi" w:hAnsiTheme="minorHAnsi" w:cstheme="minorHAnsi"/>
          <w:sz w:val="22"/>
          <w:szCs w:val="22"/>
        </w:rPr>
        <w:lastRenderedPageBreak/>
        <w:t xml:space="preserve">In the Report Year menu that appears below or to the right, select </w:t>
      </w:r>
      <w:r w:rsidR="00C30BFA" w:rsidRPr="00EA5D60">
        <w:rPr>
          <w:rFonts w:asciiTheme="minorHAnsi" w:hAnsiTheme="minorHAnsi" w:cstheme="minorHAnsi"/>
          <w:sz w:val="22"/>
          <w:szCs w:val="22"/>
        </w:rPr>
        <w:t xml:space="preserve">the </w:t>
      </w:r>
      <w:r w:rsidR="00064CFD" w:rsidRPr="00EA5D60">
        <w:rPr>
          <w:rFonts w:asciiTheme="minorHAnsi" w:hAnsiTheme="minorHAnsi" w:cstheme="minorHAnsi"/>
          <w:sz w:val="22"/>
          <w:szCs w:val="22"/>
        </w:rPr>
        <w:t xml:space="preserve">DecSECC </w:t>
      </w:r>
      <w:r w:rsidR="00297629" w:rsidRPr="00EA5D60">
        <w:rPr>
          <w:rFonts w:asciiTheme="minorHAnsi" w:hAnsiTheme="minorHAnsi" w:cstheme="minorHAnsi"/>
          <w:sz w:val="22"/>
          <w:szCs w:val="22"/>
        </w:rPr>
        <w:t xml:space="preserve">Report from the </w:t>
      </w:r>
      <w:r w:rsidR="00064CFD" w:rsidRPr="00EA5D60">
        <w:rPr>
          <w:rFonts w:asciiTheme="minorHAnsi" w:hAnsiTheme="minorHAnsi" w:cstheme="minorHAnsi"/>
          <w:sz w:val="22"/>
          <w:szCs w:val="22"/>
        </w:rPr>
        <w:t>collection year needed.</w:t>
      </w:r>
    </w:p>
    <w:p w14:paraId="69244CB5" w14:textId="213CA95E" w:rsidR="00C336DE" w:rsidRDefault="00364546" w:rsidP="00364546">
      <w:pPr>
        <w:spacing w:after="20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640206D2" wp14:editId="316B2573">
            <wp:extent cx="3057525" cy="2009775"/>
            <wp:effectExtent l="19050" t="19050" r="28575" b="28575"/>
            <wp:docPr id="509447142" name="Picture 1" descr="Screenshot of Report Year list, showing SECC reports by school y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447142" name="Picture 1" descr="Screenshot of Report Year list, showing SECC reports by school year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00977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D0EF17" w14:textId="09AB21D0" w:rsidR="00FE1428" w:rsidRPr="00F327D9" w:rsidRDefault="005C466B" w:rsidP="00F327D9">
      <w:pPr>
        <w:pStyle w:val="ListParagraph"/>
        <w:numPr>
          <w:ilvl w:val="0"/>
          <w:numId w:val="12"/>
        </w:numPr>
        <w:spacing w:after="20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EA5D60">
        <w:rPr>
          <w:rFonts w:asciiTheme="minorHAnsi" w:hAnsiTheme="minorHAnsi" w:cstheme="minorHAnsi"/>
          <w:sz w:val="22"/>
          <w:szCs w:val="22"/>
        </w:rPr>
        <w:t xml:space="preserve">In the Report menu that appears below or to right, select </w:t>
      </w:r>
      <w:r w:rsidR="002D6482" w:rsidRPr="00EA5D60">
        <w:rPr>
          <w:rFonts w:asciiTheme="minorHAnsi" w:hAnsiTheme="minorHAnsi" w:cstheme="minorHAnsi"/>
          <w:sz w:val="22"/>
          <w:szCs w:val="22"/>
        </w:rPr>
        <w:t>Production Download Report.</w:t>
      </w:r>
    </w:p>
    <w:p w14:paraId="2470F0BE" w14:textId="77777777" w:rsidR="00FE3864" w:rsidRPr="00652F87" w:rsidRDefault="00F327D9" w:rsidP="00652F87">
      <w:pPr>
        <w:spacing w:after="20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0AAAE383" wp14:editId="13396A52">
            <wp:extent cx="4491533" cy="962025"/>
            <wp:effectExtent l="19050" t="19050" r="23495" b="9525"/>
            <wp:docPr id="15" name="Picture 15" descr="Screenshot of Report list, with Production Download Repo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Screenshot of Report list, with Production Download Report."/>
                    <pic:cNvPicPr/>
                  </pic:nvPicPr>
                  <pic:blipFill rotWithShape="1">
                    <a:blip r:embed="rId18"/>
                    <a:srcRect r="935"/>
                    <a:stretch/>
                  </pic:blipFill>
                  <pic:spPr bwMode="auto">
                    <a:xfrm>
                      <a:off x="0" y="0"/>
                      <a:ext cx="4491533" cy="9620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D06306" w14:textId="546976F8" w:rsidR="00FE3864" w:rsidRDefault="00FE3864" w:rsidP="00FE3864">
      <w:pPr>
        <w:numPr>
          <w:ilvl w:val="0"/>
          <w:numId w:val="12"/>
        </w:numPr>
        <w:spacing w:after="20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FE3864">
        <w:rPr>
          <w:rFonts w:asciiTheme="minorHAnsi" w:hAnsiTheme="minorHAnsi" w:cstheme="minorHAnsi"/>
          <w:sz w:val="22"/>
          <w:szCs w:val="22"/>
        </w:rPr>
        <w:t xml:space="preserve">A </w:t>
      </w:r>
      <w:r w:rsidR="0018019D" w:rsidRPr="0018019D">
        <w:rPr>
          <w:rFonts w:asciiTheme="minorHAnsi" w:hAnsiTheme="minorHAnsi" w:cstheme="minorHAnsi"/>
          <w:sz w:val="22"/>
          <w:szCs w:val="22"/>
        </w:rPr>
        <w:t>new tab will open notifying which report was selected, and identifying the collection and year requested.</w:t>
      </w:r>
    </w:p>
    <w:p w14:paraId="6CA743D4" w14:textId="6A151403" w:rsidR="00F66BB9" w:rsidRDefault="00364546" w:rsidP="0018019D">
      <w:pPr>
        <w:spacing w:after="20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144EF3EB" wp14:editId="48DF03D1">
            <wp:extent cx="5943600" cy="1654382"/>
            <wp:effectExtent l="19050" t="19050" r="19050" b="22225"/>
            <wp:docPr id="163571211" name="Picture 1" descr="Screenshot of the production download popup message, showing which collection and agency the report is for: SECC 23-24 for Oregon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1211" name="Picture 1" descr="Screenshot of the production download popup message, showing which collection and agency the report is for: SECC 23-24 for Oregon Department of Education"/>
                    <pic:cNvPicPr/>
                  </pic:nvPicPr>
                  <pic:blipFill rotWithShape="1">
                    <a:blip r:embed="rId19"/>
                    <a:srcRect t="1575"/>
                    <a:stretch/>
                  </pic:blipFill>
                  <pic:spPr bwMode="auto">
                    <a:xfrm>
                      <a:off x="0" y="0"/>
                      <a:ext cx="5943600" cy="165438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6BB9">
        <w:rPr>
          <w:rFonts w:asciiTheme="minorHAnsi" w:hAnsiTheme="minorHAnsi" w:cstheme="minorHAnsi"/>
          <w:sz w:val="22"/>
          <w:szCs w:val="22"/>
        </w:rPr>
        <w:br w:type="page"/>
      </w:r>
    </w:p>
    <w:p w14:paraId="4463482D" w14:textId="77777777" w:rsidR="00FE3864" w:rsidRDefault="00FE3864" w:rsidP="00FE3864">
      <w:pPr>
        <w:numPr>
          <w:ilvl w:val="0"/>
          <w:numId w:val="12"/>
        </w:numPr>
        <w:spacing w:after="20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FE3864">
        <w:rPr>
          <w:rFonts w:asciiTheme="minorHAnsi" w:hAnsiTheme="minorHAnsi" w:cstheme="minorHAnsi"/>
          <w:sz w:val="22"/>
          <w:szCs w:val="22"/>
        </w:rPr>
        <w:lastRenderedPageBreak/>
        <w:t>Consolidated Collections will send the user an email, using the email address associated with the users login/account. Click the link in this email.</w:t>
      </w:r>
    </w:p>
    <w:p w14:paraId="28C0B9B3" w14:textId="34240C81" w:rsidR="00C336DE" w:rsidRDefault="00364546" w:rsidP="00364546">
      <w:pPr>
        <w:spacing w:after="20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7DF11CBB" wp14:editId="178946FE">
            <wp:extent cx="4580626" cy="3145755"/>
            <wp:effectExtent l="19050" t="19050" r="10795" b="17145"/>
            <wp:docPr id="1372654997" name="Picture 1" descr="Email generated by ODE Helpdes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654997" name="Picture 1" descr="Email generated by ODE Helpdesk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91163" cy="3152991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D2A61D" w14:textId="77777777" w:rsidR="0074581C" w:rsidRPr="00CF2C82" w:rsidRDefault="0074581C" w:rsidP="0074581C">
      <w:pPr>
        <w:pStyle w:val="ListParagraph"/>
        <w:numPr>
          <w:ilvl w:val="0"/>
          <w:numId w:val="12"/>
        </w:numPr>
        <w:spacing w:after="16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74581C">
        <w:rPr>
          <w:rFonts w:asciiTheme="minorHAnsi" w:hAnsiTheme="minorHAnsi" w:cstheme="minorHAnsi"/>
          <w:sz w:val="22"/>
          <w:szCs w:val="22"/>
        </w:rPr>
        <w:t>The link will take users to a Secure File Transfer page on the ODE District website. Enter the user’s email address, the same address the email was sent to, and click the Submit Email Address button</w:t>
      </w:r>
      <w:r w:rsidR="00CF2C82">
        <w:rPr>
          <w:rFonts w:asciiTheme="minorHAnsi" w:hAnsiTheme="minorHAnsi" w:cstheme="minorHAnsi"/>
          <w:sz w:val="22"/>
          <w:szCs w:val="22"/>
        </w:rPr>
        <w:t>.</w:t>
      </w:r>
    </w:p>
    <w:p w14:paraId="653B66AC" w14:textId="77777777" w:rsidR="0074581C" w:rsidRPr="00CF2C82" w:rsidRDefault="0074581C" w:rsidP="00652F87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 w:rsidRPr="00CF2C82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3C4E805" wp14:editId="6E8002BE">
            <wp:extent cx="5852160" cy="1834427"/>
            <wp:effectExtent l="19050" t="19050" r="15240" b="13970"/>
            <wp:docPr id="87" name="Picture 87" descr="Screenshot of the Secure File Transfer website, where user's email address is used as a password to get to the Production Download Repo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 descr="Screenshot of the Secure File Transfer website, where user's email address is used as a password to get to the Production Download Repor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55648" cy="183552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DEC0E8" w14:textId="77777777" w:rsidR="0074581C" w:rsidRPr="00CF2C82" w:rsidRDefault="0074581C" w:rsidP="00CF2C82">
      <w:pPr>
        <w:pStyle w:val="ListParagraph"/>
        <w:numPr>
          <w:ilvl w:val="0"/>
          <w:numId w:val="12"/>
        </w:numPr>
        <w:spacing w:after="16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CF2C82">
        <w:rPr>
          <w:rFonts w:asciiTheme="minorHAnsi" w:hAnsiTheme="minorHAnsi" w:cstheme="minorHAnsi"/>
          <w:sz w:val="22"/>
          <w:szCs w:val="22"/>
        </w:rPr>
        <w:t>After the Submit Email Address button is clicked, the page will generate a Download button. Click the Download button to download the zip file of the Production Download Report.</w:t>
      </w:r>
    </w:p>
    <w:p w14:paraId="269B57C1" w14:textId="77777777" w:rsidR="00F46545" w:rsidRDefault="00F46545" w:rsidP="00652F87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7FAC0757" wp14:editId="417B95F5">
            <wp:extent cx="5943600" cy="1503045"/>
            <wp:effectExtent l="19050" t="19050" r="19050" b="20955"/>
            <wp:docPr id="6" name="Picture 6" descr="Screenshot of the Secure File Transfer website, where users can click the Download button that will generate the Production Download Repo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creenshot of the Secure File Transfer website, where users can click the Download button that will generate the Production Download Repor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304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8967CF" w14:textId="77777777" w:rsidR="008B2776" w:rsidRDefault="0074581C" w:rsidP="00A27A04">
      <w:pPr>
        <w:pStyle w:val="ListParagraph"/>
        <w:numPr>
          <w:ilvl w:val="0"/>
          <w:numId w:val="12"/>
        </w:numPr>
        <w:spacing w:after="16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8B2776">
        <w:rPr>
          <w:rFonts w:asciiTheme="minorHAnsi" w:hAnsiTheme="minorHAnsi" w:cstheme="minorHAnsi"/>
          <w:sz w:val="22"/>
          <w:szCs w:val="22"/>
        </w:rPr>
        <w:lastRenderedPageBreak/>
        <w:t>The</w:t>
      </w:r>
      <w:r w:rsidR="008B2776" w:rsidRPr="008B2776">
        <w:rPr>
          <w:rFonts w:asciiTheme="minorHAnsi" w:hAnsiTheme="minorHAnsi" w:cstheme="minorHAnsi"/>
          <w:sz w:val="22"/>
          <w:szCs w:val="22"/>
        </w:rPr>
        <w:t xml:space="preserve"> system will generate a download box in the top right of the bowser. Users can click on the file name or the folder icon. Clicking the file name will open a zip folder containing a CSV workbook. Clicking the folder icon will open the Downloads folder where the file has been saved.</w:t>
      </w:r>
    </w:p>
    <w:p w14:paraId="7CE1AD76" w14:textId="50767C3F" w:rsidR="00A16EF3" w:rsidRPr="008B2776" w:rsidRDefault="008B2776" w:rsidP="00997591">
      <w:pPr>
        <w:pStyle w:val="ListParagraph"/>
        <w:spacing w:after="160"/>
        <w:ind w:left="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6B2E501D" wp14:editId="52A2B55F">
            <wp:extent cx="5943600" cy="879475"/>
            <wp:effectExtent l="19050" t="19050" r="19050" b="15875"/>
            <wp:docPr id="553912411" name="Picture 1" descr="Screenshot of download box in the top right of the bowser. Users can click on the file name or the folder ic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12411" name="Picture 1" descr="Screenshot of download box in the top right of the bowser. Users can click on the file name or the folder icon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947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031CA5" w14:textId="77777777" w:rsidR="0018561A" w:rsidRDefault="0018561A" w:rsidP="00BA69E2">
      <w:pPr>
        <w:spacing w:after="2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same steps can be used for June Exit</w:t>
      </w:r>
      <w:r w:rsidR="00BA69E2">
        <w:rPr>
          <w:rFonts w:asciiTheme="minorHAnsi" w:hAnsiTheme="minorHAnsi" w:cstheme="minorHAnsi"/>
          <w:sz w:val="22"/>
          <w:szCs w:val="22"/>
        </w:rPr>
        <w:t xml:space="preserve">, which is also located in the </w:t>
      </w:r>
      <w:r w:rsidR="00BA69E2" w:rsidRPr="00EA5D60">
        <w:rPr>
          <w:rFonts w:asciiTheme="minorHAnsi" w:hAnsiTheme="minorHAnsi" w:cstheme="minorHAnsi"/>
          <w:sz w:val="22"/>
          <w:szCs w:val="22"/>
        </w:rPr>
        <w:t>Specia</w:t>
      </w:r>
      <w:r w:rsidR="00BA69E2">
        <w:rPr>
          <w:rFonts w:asciiTheme="minorHAnsi" w:hAnsiTheme="minorHAnsi" w:cstheme="minorHAnsi"/>
          <w:sz w:val="22"/>
          <w:szCs w:val="22"/>
        </w:rPr>
        <w:t xml:space="preserve">l Education Child Census (SECC)” in the </w:t>
      </w:r>
      <w:r w:rsidR="006353D6">
        <w:rPr>
          <w:rFonts w:asciiTheme="minorHAnsi" w:hAnsiTheme="minorHAnsi" w:cstheme="minorHAnsi"/>
          <w:sz w:val="22"/>
          <w:szCs w:val="22"/>
        </w:rPr>
        <w:t>Collection</w:t>
      </w:r>
      <w:r w:rsidR="00BA69E2">
        <w:rPr>
          <w:rFonts w:asciiTheme="minorHAnsi" w:hAnsiTheme="minorHAnsi" w:cstheme="minorHAnsi"/>
          <w:sz w:val="22"/>
          <w:szCs w:val="22"/>
        </w:rPr>
        <w:t xml:space="preserve"> menu</w:t>
      </w:r>
      <w:r w:rsidRPr="00BA69E2">
        <w:rPr>
          <w:rFonts w:asciiTheme="minorHAnsi" w:hAnsiTheme="minorHAnsi" w:cstheme="minorHAnsi"/>
          <w:sz w:val="22"/>
          <w:szCs w:val="22"/>
        </w:rPr>
        <w:t>. For Child Find</w:t>
      </w:r>
      <w:r w:rsidR="00BA69E2">
        <w:rPr>
          <w:rFonts w:asciiTheme="minorHAnsi" w:hAnsiTheme="minorHAnsi" w:cstheme="minorHAnsi"/>
          <w:sz w:val="22"/>
          <w:szCs w:val="22"/>
        </w:rPr>
        <w:t>, select “Special Ed Child Find” in the Reports menu.</w:t>
      </w:r>
    </w:p>
    <w:p w14:paraId="026EA4A9" w14:textId="77777777" w:rsidR="00BA69E2" w:rsidRPr="00BA69E2" w:rsidRDefault="00BA69E2" w:rsidP="00652F87">
      <w:pPr>
        <w:spacing w:after="20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7B0821D8" wp14:editId="261617F5">
            <wp:extent cx="3209842" cy="1333500"/>
            <wp:effectExtent l="19050" t="19050" r="10160" b="19050"/>
            <wp:docPr id="3" name="Picture 3" descr="Screenshot of Collection list, with Child Find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shot of Collection list, with Child Find highlighted."/>
                    <pic:cNvPicPr/>
                  </pic:nvPicPr>
                  <pic:blipFill rotWithShape="1">
                    <a:blip r:embed="rId24"/>
                    <a:srcRect l="1464"/>
                    <a:stretch/>
                  </pic:blipFill>
                  <pic:spPr bwMode="auto">
                    <a:xfrm>
                      <a:off x="0" y="0"/>
                      <a:ext cx="3209842" cy="13335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AF9C24" w14:textId="0370EC58" w:rsidR="00197CB5" w:rsidRPr="00EA5D60" w:rsidRDefault="00197CB5" w:rsidP="00EA5D60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EA5D60">
        <w:rPr>
          <w:rFonts w:asciiTheme="minorHAnsi" w:hAnsiTheme="minorHAnsi" w:cstheme="minorHAnsi"/>
          <w:sz w:val="22"/>
          <w:szCs w:val="22"/>
        </w:rPr>
        <w:t xml:space="preserve">If you need assistance with this process, call anyone in the Data </w:t>
      </w:r>
      <w:r w:rsidR="002209D1" w:rsidRPr="00EA5D60">
        <w:rPr>
          <w:rFonts w:asciiTheme="minorHAnsi" w:hAnsiTheme="minorHAnsi" w:cstheme="minorHAnsi"/>
          <w:sz w:val="22"/>
          <w:szCs w:val="22"/>
        </w:rPr>
        <w:t>Team</w:t>
      </w:r>
      <w:r w:rsidR="00910737" w:rsidRPr="00EA5D60">
        <w:rPr>
          <w:rFonts w:asciiTheme="minorHAnsi" w:hAnsiTheme="minorHAnsi" w:cstheme="minorHAnsi"/>
          <w:sz w:val="22"/>
          <w:szCs w:val="22"/>
        </w:rPr>
        <w:t>:</w:t>
      </w:r>
    </w:p>
    <w:p w14:paraId="11060C7E" w14:textId="745DE339" w:rsidR="00910737" w:rsidRPr="00E54E32" w:rsidRDefault="00910737" w:rsidP="00E54E32">
      <w:pPr>
        <w:pStyle w:val="ListParagraph"/>
        <w:numPr>
          <w:ilvl w:val="0"/>
          <w:numId w:val="17"/>
        </w:numPr>
        <w:spacing w:after="200"/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E54E32">
        <w:rPr>
          <w:rFonts w:asciiTheme="minorHAnsi" w:hAnsiTheme="minorHAnsi" w:cstheme="minorHAnsi"/>
          <w:sz w:val="22"/>
          <w:szCs w:val="22"/>
        </w:rPr>
        <w:t xml:space="preserve">Jackie McKim, </w:t>
      </w:r>
      <w:r w:rsidR="00FD2765" w:rsidRPr="00E54E32">
        <w:rPr>
          <w:rFonts w:asciiTheme="minorHAnsi" w:hAnsiTheme="minorHAnsi" w:cstheme="minorHAnsi"/>
          <w:sz w:val="22"/>
          <w:szCs w:val="22"/>
        </w:rPr>
        <w:t xml:space="preserve">971-240-0234 </w:t>
      </w:r>
      <w:r w:rsidRPr="00E54E32">
        <w:rPr>
          <w:rFonts w:asciiTheme="minorHAnsi" w:hAnsiTheme="minorHAnsi" w:cstheme="minorHAnsi"/>
          <w:sz w:val="22"/>
          <w:szCs w:val="22"/>
        </w:rPr>
        <w:t xml:space="preserve">or </w:t>
      </w:r>
      <w:hyperlink r:id="rId25" w:history="1">
        <w:r w:rsidR="00562EC5" w:rsidRPr="00E54E32">
          <w:rPr>
            <w:rStyle w:val="Hyperlink"/>
            <w:rFonts w:asciiTheme="minorHAnsi" w:hAnsiTheme="minorHAnsi" w:cstheme="minorHAnsi"/>
            <w:sz w:val="22"/>
            <w:szCs w:val="22"/>
          </w:rPr>
          <w:t>jackie.mckim@ode.oregon.gov</w:t>
        </w:r>
      </w:hyperlink>
    </w:p>
    <w:p w14:paraId="3019E81C" w14:textId="787BA329" w:rsidR="002209D1" w:rsidRPr="00E54E32" w:rsidRDefault="002209D1" w:rsidP="00E54E32">
      <w:pPr>
        <w:pStyle w:val="ListParagraph"/>
        <w:numPr>
          <w:ilvl w:val="0"/>
          <w:numId w:val="17"/>
        </w:numPr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E54E32">
        <w:rPr>
          <w:rFonts w:asciiTheme="minorHAnsi" w:hAnsiTheme="minorHAnsi" w:cstheme="minorHAnsi"/>
          <w:sz w:val="22"/>
          <w:szCs w:val="22"/>
        </w:rPr>
        <w:t xml:space="preserve">Cynthia Garton, </w:t>
      </w:r>
      <w:r w:rsidR="00FD2765" w:rsidRPr="00E54E32">
        <w:rPr>
          <w:rFonts w:asciiTheme="minorHAnsi" w:hAnsiTheme="minorHAnsi" w:cstheme="minorHAnsi"/>
          <w:sz w:val="22"/>
          <w:szCs w:val="22"/>
        </w:rPr>
        <w:t xml:space="preserve">503-508-7492 </w:t>
      </w:r>
      <w:r w:rsidRPr="00E54E32">
        <w:rPr>
          <w:rFonts w:asciiTheme="minorHAnsi" w:hAnsiTheme="minorHAnsi" w:cstheme="minorHAnsi"/>
          <w:sz w:val="22"/>
          <w:szCs w:val="22"/>
        </w:rPr>
        <w:t xml:space="preserve">or </w:t>
      </w:r>
      <w:hyperlink r:id="rId26" w:history="1">
        <w:r w:rsidR="00562EC5" w:rsidRPr="00E54E32">
          <w:rPr>
            <w:rStyle w:val="Hyperlink"/>
            <w:rFonts w:asciiTheme="minorHAnsi" w:hAnsiTheme="minorHAnsi" w:cstheme="minorHAnsi"/>
            <w:sz w:val="22"/>
            <w:szCs w:val="22"/>
          </w:rPr>
          <w:t>cynthia.garton@ode.oregon.gov</w:t>
        </w:r>
      </w:hyperlink>
    </w:p>
    <w:p w14:paraId="6CEA45B2" w14:textId="598C8084" w:rsidR="00750449" w:rsidRPr="00C336DE" w:rsidRDefault="00FD2765" w:rsidP="00E54E32">
      <w:pPr>
        <w:pStyle w:val="ListParagraph"/>
        <w:numPr>
          <w:ilvl w:val="0"/>
          <w:numId w:val="17"/>
        </w:numPr>
        <w:ind w:left="360"/>
        <w:contextualSpacing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E54E32">
        <w:rPr>
          <w:rFonts w:asciiTheme="minorHAnsi" w:hAnsiTheme="minorHAnsi" w:cstheme="minorHAnsi"/>
          <w:sz w:val="22"/>
          <w:szCs w:val="22"/>
        </w:rPr>
        <w:t xml:space="preserve">Maxwell Swope, 971-208-0259 or </w:t>
      </w:r>
      <w:hyperlink r:id="rId27" w:history="1">
        <w:r w:rsidRPr="00E54E32">
          <w:rPr>
            <w:rStyle w:val="Hyperlink"/>
            <w:rFonts w:asciiTheme="minorHAnsi" w:hAnsiTheme="minorHAnsi" w:cstheme="minorHAnsi"/>
            <w:sz w:val="22"/>
            <w:szCs w:val="22"/>
          </w:rPr>
          <w:t>maxwell.swope@ode.oregon.gov</w:t>
        </w:r>
      </w:hyperlink>
    </w:p>
    <w:p w14:paraId="10A70720" w14:textId="00F2A01A" w:rsidR="00C336DE" w:rsidRPr="007C21FD" w:rsidRDefault="00C336DE" w:rsidP="00C336DE">
      <w:pPr>
        <w:pStyle w:val="ListParagraph"/>
        <w:numPr>
          <w:ilvl w:val="0"/>
          <w:numId w:val="17"/>
        </w:numPr>
        <w:ind w:left="360"/>
        <w:contextualSpacing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576710">
        <w:rPr>
          <w:rFonts w:asciiTheme="minorHAnsi" w:hAnsiTheme="minorHAnsi" w:cstheme="minorHAnsi"/>
          <w:sz w:val="22"/>
          <w:szCs w:val="22"/>
        </w:rPr>
        <w:t xml:space="preserve">Amanda Claycomb, 503-931-8003 or </w:t>
      </w:r>
      <w:hyperlink r:id="rId28" w:history="1">
        <w:r w:rsidRPr="00C8148C">
          <w:rPr>
            <w:rStyle w:val="Hyperlink"/>
            <w:rFonts w:asciiTheme="minorHAnsi" w:hAnsiTheme="minorHAnsi" w:cstheme="minorHAnsi"/>
            <w:sz w:val="22"/>
            <w:szCs w:val="22"/>
          </w:rPr>
          <w:t>amanda.claycomb@ode.oregon.gov</w:t>
        </w:r>
      </w:hyperlink>
    </w:p>
    <w:p w14:paraId="5739AA74" w14:textId="04C4B416" w:rsidR="007C21FD" w:rsidRPr="007C21FD" w:rsidRDefault="007C21FD" w:rsidP="007C21FD">
      <w:pPr>
        <w:pStyle w:val="ListParagraph"/>
        <w:numPr>
          <w:ilvl w:val="0"/>
          <w:numId w:val="17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7C21FD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Cara </w:t>
      </w: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McMurry </w:t>
      </w:r>
      <w:r w:rsidRPr="007C21FD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503-689-2783</w:t>
      </w: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or </w:t>
      </w:r>
      <w:hyperlink r:id="rId29" w:history="1">
        <w:r w:rsidRPr="005A4EC4">
          <w:rPr>
            <w:rStyle w:val="Hyperlink"/>
            <w:rFonts w:asciiTheme="minorHAnsi" w:hAnsiTheme="minorHAnsi" w:cstheme="minorHAnsi"/>
            <w:sz w:val="22"/>
            <w:szCs w:val="22"/>
          </w:rPr>
          <w:t>cara.mcmurry@ode.oregon.gov</w:t>
        </w:r>
      </w:hyperlink>
    </w:p>
    <w:sectPr w:rsidR="007C21FD" w:rsidRPr="007C21FD" w:rsidSect="00E96790">
      <w:footerReference w:type="default" r:id="rId30"/>
      <w:pgSz w:w="12240" w:h="15840"/>
      <w:pgMar w:top="99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6816" w14:textId="77777777" w:rsidR="00B83D52" w:rsidRDefault="00B83D52">
      <w:r>
        <w:separator/>
      </w:r>
    </w:p>
    <w:p w14:paraId="6DEB0DE6" w14:textId="77777777" w:rsidR="0054435D" w:rsidRDefault="0054435D"/>
  </w:endnote>
  <w:endnote w:type="continuationSeparator" w:id="0">
    <w:p w14:paraId="0D867344" w14:textId="77777777" w:rsidR="00B83D52" w:rsidRDefault="00B83D52">
      <w:r>
        <w:continuationSeparator/>
      </w:r>
    </w:p>
    <w:p w14:paraId="7A00A961" w14:textId="77777777" w:rsidR="0054435D" w:rsidRDefault="00544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1922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4BE60" w14:textId="2B1A0BF3" w:rsidR="0054435D" w:rsidRPr="00B40444" w:rsidRDefault="00EA5D60" w:rsidP="00B40444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A5D60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A5D60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EA5D60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A7F59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EA5D60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9479" w14:textId="77777777" w:rsidR="00B83D52" w:rsidRDefault="00B83D52">
      <w:r>
        <w:separator/>
      </w:r>
    </w:p>
    <w:p w14:paraId="3F48E82F" w14:textId="77777777" w:rsidR="0054435D" w:rsidRDefault="0054435D"/>
  </w:footnote>
  <w:footnote w:type="continuationSeparator" w:id="0">
    <w:p w14:paraId="02770B49" w14:textId="77777777" w:rsidR="00B83D52" w:rsidRDefault="00B83D52">
      <w:r>
        <w:continuationSeparator/>
      </w:r>
    </w:p>
    <w:p w14:paraId="2BF89E34" w14:textId="77777777" w:rsidR="0054435D" w:rsidRDefault="005443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3FA"/>
    <w:multiLevelType w:val="hybridMultilevel"/>
    <w:tmpl w:val="B94046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676DC"/>
    <w:multiLevelType w:val="hybridMultilevel"/>
    <w:tmpl w:val="AC48EA8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724A54"/>
    <w:multiLevelType w:val="hybridMultilevel"/>
    <w:tmpl w:val="765899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74F47"/>
    <w:multiLevelType w:val="hybridMultilevel"/>
    <w:tmpl w:val="1052724C"/>
    <w:lvl w:ilvl="0" w:tplc="1718722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D747B"/>
    <w:multiLevelType w:val="hybridMultilevel"/>
    <w:tmpl w:val="C5B2B0D6"/>
    <w:lvl w:ilvl="0" w:tplc="04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5" w15:restartNumberingAfterBreak="0">
    <w:nsid w:val="30027004"/>
    <w:multiLevelType w:val="hybridMultilevel"/>
    <w:tmpl w:val="2C74C9EC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322E4D18"/>
    <w:multiLevelType w:val="hybridMultilevel"/>
    <w:tmpl w:val="001ED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E2061A"/>
    <w:multiLevelType w:val="hybridMultilevel"/>
    <w:tmpl w:val="D6424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503AD"/>
    <w:multiLevelType w:val="hybridMultilevel"/>
    <w:tmpl w:val="88720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2D1936"/>
    <w:multiLevelType w:val="hybridMultilevel"/>
    <w:tmpl w:val="D99CF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2F4174"/>
    <w:multiLevelType w:val="hybridMultilevel"/>
    <w:tmpl w:val="A6EC17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E33748"/>
    <w:multiLevelType w:val="hybridMultilevel"/>
    <w:tmpl w:val="166ECC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377937"/>
    <w:multiLevelType w:val="hybridMultilevel"/>
    <w:tmpl w:val="2134206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9F0B40"/>
    <w:multiLevelType w:val="multilevel"/>
    <w:tmpl w:val="9C88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9611A2"/>
    <w:multiLevelType w:val="hybridMultilevel"/>
    <w:tmpl w:val="10062DCC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5" w15:restartNumberingAfterBreak="0">
    <w:nsid w:val="704015DF"/>
    <w:multiLevelType w:val="hybridMultilevel"/>
    <w:tmpl w:val="8EAE1E4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6" w15:restartNumberingAfterBreak="0">
    <w:nsid w:val="7ACE7D64"/>
    <w:multiLevelType w:val="hybridMultilevel"/>
    <w:tmpl w:val="5234F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7316315">
    <w:abstractNumId w:val="10"/>
  </w:num>
  <w:num w:numId="2" w16cid:durableId="1778475942">
    <w:abstractNumId w:val="6"/>
  </w:num>
  <w:num w:numId="3" w16cid:durableId="770206475">
    <w:abstractNumId w:val="2"/>
  </w:num>
  <w:num w:numId="4" w16cid:durableId="1310330236">
    <w:abstractNumId w:val="16"/>
  </w:num>
  <w:num w:numId="5" w16cid:durableId="1392315204">
    <w:abstractNumId w:val="9"/>
  </w:num>
  <w:num w:numId="6" w16cid:durableId="116415563">
    <w:abstractNumId w:val="8"/>
  </w:num>
  <w:num w:numId="7" w16cid:durableId="266623763">
    <w:abstractNumId w:val="11"/>
  </w:num>
  <w:num w:numId="8" w16cid:durableId="800926508">
    <w:abstractNumId w:val="3"/>
  </w:num>
  <w:num w:numId="9" w16cid:durableId="1626888488">
    <w:abstractNumId w:val="13"/>
  </w:num>
  <w:num w:numId="10" w16cid:durableId="827094137">
    <w:abstractNumId w:val="0"/>
  </w:num>
  <w:num w:numId="11" w16cid:durableId="231819903">
    <w:abstractNumId w:val="4"/>
  </w:num>
  <w:num w:numId="12" w16cid:durableId="595479085">
    <w:abstractNumId w:val="12"/>
  </w:num>
  <w:num w:numId="13" w16cid:durableId="1069382649">
    <w:abstractNumId w:val="1"/>
  </w:num>
  <w:num w:numId="14" w16cid:durableId="1728261067">
    <w:abstractNumId w:val="7"/>
  </w:num>
  <w:num w:numId="15" w16cid:durableId="1210265070">
    <w:abstractNumId w:val="15"/>
  </w:num>
  <w:num w:numId="16" w16cid:durableId="8366517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3090108">
    <w:abstractNumId w:val="14"/>
  </w:num>
  <w:num w:numId="18" w16cid:durableId="735402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167"/>
    <w:rsid w:val="00023FB3"/>
    <w:rsid w:val="00062CE3"/>
    <w:rsid w:val="00064CFD"/>
    <w:rsid w:val="00066C90"/>
    <w:rsid w:val="000A7F59"/>
    <w:rsid w:val="000B6411"/>
    <w:rsid w:val="00123661"/>
    <w:rsid w:val="00133DFB"/>
    <w:rsid w:val="001476D2"/>
    <w:rsid w:val="00147C99"/>
    <w:rsid w:val="001654CC"/>
    <w:rsid w:val="0017623E"/>
    <w:rsid w:val="0018019D"/>
    <w:rsid w:val="0018561A"/>
    <w:rsid w:val="001918C4"/>
    <w:rsid w:val="00197CB5"/>
    <w:rsid w:val="001C633B"/>
    <w:rsid w:val="001E164F"/>
    <w:rsid w:val="0020036E"/>
    <w:rsid w:val="00217764"/>
    <w:rsid w:val="002209D1"/>
    <w:rsid w:val="002700BB"/>
    <w:rsid w:val="002868DE"/>
    <w:rsid w:val="00297629"/>
    <w:rsid w:val="002D6482"/>
    <w:rsid w:val="002F298D"/>
    <w:rsid w:val="00306F2E"/>
    <w:rsid w:val="00333D2D"/>
    <w:rsid w:val="00341DF3"/>
    <w:rsid w:val="00364546"/>
    <w:rsid w:val="00365B47"/>
    <w:rsid w:val="003711ED"/>
    <w:rsid w:val="003A2B26"/>
    <w:rsid w:val="003E282A"/>
    <w:rsid w:val="003E29C5"/>
    <w:rsid w:val="003E3F5C"/>
    <w:rsid w:val="003E6542"/>
    <w:rsid w:val="003F77D8"/>
    <w:rsid w:val="00433118"/>
    <w:rsid w:val="00460E59"/>
    <w:rsid w:val="00473025"/>
    <w:rsid w:val="0048044D"/>
    <w:rsid w:val="0049595C"/>
    <w:rsid w:val="004A798F"/>
    <w:rsid w:val="004C5A9B"/>
    <w:rsid w:val="004E58B5"/>
    <w:rsid w:val="00515323"/>
    <w:rsid w:val="0054435D"/>
    <w:rsid w:val="00562EC5"/>
    <w:rsid w:val="00564AD2"/>
    <w:rsid w:val="00564B2F"/>
    <w:rsid w:val="0057111A"/>
    <w:rsid w:val="00574457"/>
    <w:rsid w:val="00575386"/>
    <w:rsid w:val="00594842"/>
    <w:rsid w:val="005A2A36"/>
    <w:rsid w:val="005C466B"/>
    <w:rsid w:val="005D61D0"/>
    <w:rsid w:val="00615597"/>
    <w:rsid w:val="00632DB2"/>
    <w:rsid w:val="006353D6"/>
    <w:rsid w:val="006463A8"/>
    <w:rsid w:val="00652F87"/>
    <w:rsid w:val="00686F33"/>
    <w:rsid w:val="006A3EA4"/>
    <w:rsid w:val="006B43D0"/>
    <w:rsid w:val="006F4C5B"/>
    <w:rsid w:val="007044A3"/>
    <w:rsid w:val="007201D2"/>
    <w:rsid w:val="0074581C"/>
    <w:rsid w:val="00750449"/>
    <w:rsid w:val="0075049D"/>
    <w:rsid w:val="00760534"/>
    <w:rsid w:val="00763D9E"/>
    <w:rsid w:val="007C08A4"/>
    <w:rsid w:val="007C21FD"/>
    <w:rsid w:val="007C5ED7"/>
    <w:rsid w:val="007E1F77"/>
    <w:rsid w:val="007E20FB"/>
    <w:rsid w:val="007E2FD6"/>
    <w:rsid w:val="0080445A"/>
    <w:rsid w:val="0080466B"/>
    <w:rsid w:val="008232D9"/>
    <w:rsid w:val="00865F09"/>
    <w:rsid w:val="00875664"/>
    <w:rsid w:val="008B2776"/>
    <w:rsid w:val="008C7976"/>
    <w:rsid w:val="008F3592"/>
    <w:rsid w:val="008F762D"/>
    <w:rsid w:val="00910737"/>
    <w:rsid w:val="00940B43"/>
    <w:rsid w:val="00962E4B"/>
    <w:rsid w:val="00994206"/>
    <w:rsid w:val="00994E9D"/>
    <w:rsid w:val="00997591"/>
    <w:rsid w:val="009A0D94"/>
    <w:rsid w:val="009F2494"/>
    <w:rsid w:val="009F4EC6"/>
    <w:rsid w:val="00A01193"/>
    <w:rsid w:val="00A16EF3"/>
    <w:rsid w:val="00A37366"/>
    <w:rsid w:val="00A53E1F"/>
    <w:rsid w:val="00A7126F"/>
    <w:rsid w:val="00A82DF6"/>
    <w:rsid w:val="00B300FE"/>
    <w:rsid w:val="00B3160D"/>
    <w:rsid w:val="00B40444"/>
    <w:rsid w:val="00B455C8"/>
    <w:rsid w:val="00B53D61"/>
    <w:rsid w:val="00B71056"/>
    <w:rsid w:val="00B71EB6"/>
    <w:rsid w:val="00B83D52"/>
    <w:rsid w:val="00BA1B6F"/>
    <w:rsid w:val="00BA1C7E"/>
    <w:rsid w:val="00BA69E2"/>
    <w:rsid w:val="00BA7157"/>
    <w:rsid w:val="00BB1AA4"/>
    <w:rsid w:val="00BD7B4C"/>
    <w:rsid w:val="00C04049"/>
    <w:rsid w:val="00C30BFA"/>
    <w:rsid w:val="00C336DE"/>
    <w:rsid w:val="00C47ADD"/>
    <w:rsid w:val="00CB73C3"/>
    <w:rsid w:val="00CE56BA"/>
    <w:rsid w:val="00CF2C82"/>
    <w:rsid w:val="00D1067F"/>
    <w:rsid w:val="00D31F11"/>
    <w:rsid w:val="00D36510"/>
    <w:rsid w:val="00D6173A"/>
    <w:rsid w:val="00D80099"/>
    <w:rsid w:val="00D95304"/>
    <w:rsid w:val="00DC1F67"/>
    <w:rsid w:val="00E0022A"/>
    <w:rsid w:val="00E111AF"/>
    <w:rsid w:val="00E54E32"/>
    <w:rsid w:val="00E96790"/>
    <w:rsid w:val="00EA4577"/>
    <w:rsid w:val="00EA5D60"/>
    <w:rsid w:val="00EA75CC"/>
    <w:rsid w:val="00ED3167"/>
    <w:rsid w:val="00EF73D5"/>
    <w:rsid w:val="00F327D9"/>
    <w:rsid w:val="00F46545"/>
    <w:rsid w:val="00F633F7"/>
    <w:rsid w:val="00F66557"/>
    <w:rsid w:val="00F66BB9"/>
    <w:rsid w:val="00F716B3"/>
    <w:rsid w:val="00F72F77"/>
    <w:rsid w:val="00F8010D"/>
    <w:rsid w:val="00F8172F"/>
    <w:rsid w:val="00FB3385"/>
    <w:rsid w:val="00FC3C66"/>
    <w:rsid w:val="00FD2765"/>
    <w:rsid w:val="00FE1428"/>
    <w:rsid w:val="00F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0D25B9D7"/>
  <w15:chartTrackingRefBased/>
  <w15:docId w15:val="{33625602-7122-4ADC-9EE0-E2971F35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D3167"/>
    <w:rPr>
      <w:color w:val="0000FF"/>
      <w:u w:val="single"/>
    </w:rPr>
  </w:style>
  <w:style w:type="character" w:styleId="FollowedHyperlink">
    <w:name w:val="FollowedHyperlink"/>
    <w:rsid w:val="00ED3167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72F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2F7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72F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4842"/>
    <w:pPr>
      <w:ind w:left="720"/>
    </w:pPr>
  </w:style>
  <w:style w:type="character" w:customStyle="1" w:styleId="FooterChar">
    <w:name w:val="Footer Char"/>
    <w:link w:val="Footer"/>
    <w:uiPriority w:val="99"/>
    <w:rsid w:val="009F2494"/>
    <w:rPr>
      <w:rFonts w:ascii="Arial" w:hAnsi="Arial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EA5D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A5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erChar">
    <w:name w:val="Header Char"/>
    <w:basedOn w:val="DefaultParagraphFont"/>
    <w:link w:val="Header"/>
    <w:uiPriority w:val="99"/>
    <w:rsid w:val="00EA5D60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7458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581C"/>
    <w:pPr>
      <w:spacing w:after="200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581C"/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FD2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yperlink" Target="mailto:cynthia.garton@ode.oregon.gov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yperlink" Target="mailto:jackie.mckim@ode.oregon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yperlink" Target="mailto:cara.mcmurry@ode.oregon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edistrict.oregon.gov/Pages/default.aspx" TargetMode="External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hyperlink" Target="mailto:amanda.claycomb@ode.oregon.gov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hyperlink" Target="mailto:maxwell.swope@ode.oregon.gov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8DD44CB858442B66A87FE9EA95DB1" ma:contentTypeVersion="6" ma:contentTypeDescription="Create a new document." ma:contentTypeScope="" ma:versionID="cca012b55986be3546baa92a625ee8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c1b499c44b6107b94dd22258705a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1E52A-9290-4ECE-A05A-734E58A50269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38af894-c1b2-412d-93a4-7aed4031ee3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55FA06-8B24-4D33-BAD7-2689ACAD35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36B41-DAE6-4772-AB85-ABFE1A482072}"/>
</file>

<file path=customXml/itemProps4.xml><?xml version="1.0" encoding="utf-8"?>
<ds:datastoreItem xmlns:ds="http://schemas.openxmlformats.org/officeDocument/2006/customXml" ds:itemID="{A758FDE9-193E-463A-9248-113EB49CF2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5</Pages>
  <Words>349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Accessing SECC Production Download Reports</vt:lpstr>
    </vt:vector>
  </TitlesOfParts>
  <Company>Oregon Department of Education</Company>
  <LinksUpToDate>false</LinksUpToDate>
  <CharactersWithSpaces>2527</CharactersWithSpaces>
  <SharedDoc>false</SharedDoc>
  <HLinks>
    <vt:vector size="24" baseType="variant">
      <vt:variant>
        <vt:i4>1507375</vt:i4>
      </vt:variant>
      <vt:variant>
        <vt:i4>9</vt:i4>
      </vt:variant>
      <vt:variant>
        <vt:i4>0</vt:i4>
      </vt:variant>
      <vt:variant>
        <vt:i4>5</vt:i4>
      </vt:variant>
      <vt:variant>
        <vt:lpwstr>mailto:wes.mouw@state.or.us</vt:lpwstr>
      </vt:variant>
      <vt:variant>
        <vt:lpwstr/>
      </vt:variant>
      <vt:variant>
        <vt:i4>5177464</vt:i4>
      </vt:variant>
      <vt:variant>
        <vt:i4>6</vt:i4>
      </vt:variant>
      <vt:variant>
        <vt:i4>0</vt:i4>
      </vt:variant>
      <vt:variant>
        <vt:i4>5</vt:i4>
      </vt:variant>
      <vt:variant>
        <vt:lpwstr>mailto:jackie.mckim@state.or.us</vt:lpwstr>
      </vt:variant>
      <vt:variant>
        <vt:lpwstr/>
      </vt:variant>
      <vt:variant>
        <vt:i4>196655</vt:i4>
      </vt:variant>
      <vt:variant>
        <vt:i4>3</vt:i4>
      </vt:variant>
      <vt:variant>
        <vt:i4>0</vt:i4>
      </vt:variant>
      <vt:variant>
        <vt:i4>5</vt:i4>
      </vt:variant>
      <vt:variant>
        <vt:lpwstr>mailto:trish.lutgen@state.or.us</vt:lpwstr>
      </vt:variant>
      <vt:variant>
        <vt:lpwstr/>
      </vt:variant>
      <vt:variant>
        <vt:i4>7602222</vt:i4>
      </vt:variant>
      <vt:variant>
        <vt:i4>0</vt:i4>
      </vt:variant>
      <vt:variant>
        <vt:i4>0</vt:i4>
      </vt:variant>
      <vt:variant>
        <vt:i4>5</vt:i4>
      </vt:variant>
      <vt:variant>
        <vt:lpwstr>https://district.ode.state.or.us/home/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Accessing SECC Production Download Reports</dc:title>
  <dc:subject/>
  <dc:creator>OSS Data Team</dc:creator>
  <cp:keywords/>
  <cp:lastModifiedBy>GARTON Cynthia * ODE</cp:lastModifiedBy>
  <cp:revision>44</cp:revision>
  <cp:lastPrinted>2012-11-29T16:37:00Z</cp:lastPrinted>
  <dcterms:created xsi:type="dcterms:W3CDTF">2018-12-19T23:04:00Z</dcterms:created>
  <dcterms:modified xsi:type="dcterms:W3CDTF">2025-08-28T21:05:00Z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-1714828004</vt:i4>
  </property>
  <property fmtid="{D5CDD505-2E9C-101B-9397-08002B2CF9AE}" pid="3" name="_NewReviewCycle">
    <vt:lpwstr/>
  </property>
  <property fmtid="{D5CDD505-2E9C-101B-9397-08002B2CF9AE}" pid="4" name="_EmailSubject">
    <vt:lpwstr>DRAFT Listserv for Spring SpEd Collections</vt:lpwstr>
  </property>
  <property fmtid="{D5CDD505-2E9C-101B-9397-08002B2CF9AE}" pid="5" name="_AuthorEmail">
    <vt:lpwstr>Sara.Berscheit@ode.state.or.us</vt:lpwstr>
  </property>
  <property fmtid="{D5CDD505-2E9C-101B-9397-08002B2CF9AE}" pid="6" name="_AuthorEmailDisplayName">
    <vt:lpwstr>BERSCHEIT Sara</vt:lpwstr>
  </property>
  <property fmtid="{D5CDD505-2E9C-101B-9397-08002B2CF9AE}" pid="7" name="_PreviousAdHocReviewCycleID">
    <vt:i4>436844832</vt:i4>
  </property>
  <property fmtid="{D5CDD505-2E9C-101B-9397-08002B2CF9AE}" pid="8" name="_ReviewingToolsShownOnce">
    <vt:lpwstr/>
  </property>
  <property fmtid="{D5CDD505-2E9C-101B-9397-08002B2CF9AE}" pid="9" name="MSIP_Label_61f40bdc-19d8-4b8e-be88-e9eb9bcca8b8_Enabled">
    <vt:lpwstr>true</vt:lpwstr>
  </property>
  <property fmtid="{D5CDD505-2E9C-101B-9397-08002B2CF9AE}" pid="10" name="MSIP_Label_61f40bdc-19d8-4b8e-be88-e9eb9bcca8b8_SetDate">
    <vt:lpwstr>2023-10-19T16:31:07Z</vt:lpwstr>
  </property>
  <property fmtid="{D5CDD505-2E9C-101B-9397-08002B2CF9AE}" pid="11" name="MSIP_Label_61f40bdc-19d8-4b8e-be88-e9eb9bcca8b8_Method">
    <vt:lpwstr>Privileged</vt:lpwstr>
  </property>
  <property fmtid="{D5CDD505-2E9C-101B-9397-08002B2CF9AE}" pid="12" name="MSIP_Label_61f40bdc-19d8-4b8e-be88-e9eb9bcca8b8_Name">
    <vt:lpwstr>Level 1 - Published (Items)</vt:lpwstr>
  </property>
  <property fmtid="{D5CDD505-2E9C-101B-9397-08002B2CF9AE}" pid="13" name="MSIP_Label_61f40bdc-19d8-4b8e-be88-e9eb9bcca8b8_SiteId">
    <vt:lpwstr>b4f51418-b269-49a2-935a-fa54bf584fc8</vt:lpwstr>
  </property>
  <property fmtid="{D5CDD505-2E9C-101B-9397-08002B2CF9AE}" pid="14" name="MSIP_Label_61f40bdc-19d8-4b8e-be88-e9eb9bcca8b8_ActionId">
    <vt:lpwstr>eace45ea-6d11-4f29-b2e8-6094264669f2</vt:lpwstr>
  </property>
  <property fmtid="{D5CDD505-2E9C-101B-9397-08002B2CF9AE}" pid="15" name="MSIP_Label_61f40bdc-19d8-4b8e-be88-e9eb9bcca8b8_ContentBits">
    <vt:lpwstr>0</vt:lpwstr>
  </property>
  <property fmtid="{D5CDD505-2E9C-101B-9397-08002B2CF9AE}" pid="16" name="ContentTypeId">
    <vt:lpwstr>0x0101004BF8DD44CB858442B66A87FE9EA95DB1</vt:lpwstr>
  </property>
</Properties>
</file>