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E07FA" w14:textId="03EEBB33" w:rsidR="0082346B" w:rsidRPr="001071FD" w:rsidRDefault="0082346B" w:rsidP="0082346B">
      <w:pPr>
        <w:autoSpaceDE w:val="0"/>
        <w:autoSpaceDN w:val="0"/>
        <w:adjustRightInd w:val="0"/>
        <w:jc w:val="center"/>
        <w:rPr>
          <w:rFonts w:cs="Arial"/>
          <w:b/>
          <w:bCs/>
          <w:smallCaps/>
          <w:color w:val="000000" w:themeColor="text1"/>
          <w:sz w:val="32"/>
          <w:szCs w:val="32"/>
        </w:rPr>
      </w:pPr>
      <w:bookmarkStart w:id="0" w:name="_Toc382082357"/>
      <w:bookmarkStart w:id="1" w:name="_Toc392159258"/>
      <w:r w:rsidRPr="001071FD">
        <w:rPr>
          <w:rFonts w:cs="Arial"/>
          <w:b/>
          <w:bCs/>
          <w:smallCaps/>
          <w:color w:val="000000" w:themeColor="text1"/>
          <w:sz w:val="32"/>
          <w:szCs w:val="32"/>
        </w:rPr>
        <w:t>State Performance Plan / Annual Performance Report: Part C</w:t>
      </w:r>
    </w:p>
    <w:p w14:paraId="35A4F3A3" w14:textId="1C32BC71" w:rsidR="0082346B" w:rsidRPr="001071FD" w:rsidRDefault="0082346B" w:rsidP="0082346B">
      <w:pPr>
        <w:autoSpaceDE w:val="0"/>
        <w:autoSpaceDN w:val="0"/>
        <w:adjustRightInd w:val="0"/>
        <w:spacing w:before="360"/>
        <w:jc w:val="center"/>
        <w:rPr>
          <w:rFonts w:cs="Arial"/>
          <w:b/>
          <w:bCs/>
          <w:color w:val="000000" w:themeColor="text1"/>
          <w:sz w:val="24"/>
          <w:szCs w:val="24"/>
        </w:rPr>
      </w:pPr>
      <w:r w:rsidRPr="001071FD">
        <w:rPr>
          <w:rFonts w:cs="Arial"/>
          <w:b/>
          <w:bCs/>
          <w:color w:val="000000" w:themeColor="text1"/>
          <w:sz w:val="24"/>
          <w:szCs w:val="24"/>
        </w:rPr>
        <w:t>for STATE FORMULA GRANT PROGRAMS under the Individuals with Disabilities Education Act</w:t>
      </w:r>
    </w:p>
    <w:p w14:paraId="14238AAF" w14:textId="132F911A" w:rsidR="0082346B" w:rsidRPr="001071FD" w:rsidRDefault="0082346B" w:rsidP="0082346B">
      <w:pPr>
        <w:autoSpaceDE w:val="0"/>
        <w:autoSpaceDN w:val="0"/>
        <w:adjustRightInd w:val="0"/>
        <w:spacing w:before="360"/>
        <w:jc w:val="center"/>
        <w:rPr>
          <w:rFonts w:cs="Arial"/>
          <w:b/>
          <w:bCs/>
          <w:color w:val="000000" w:themeColor="text1"/>
          <w:sz w:val="28"/>
          <w:szCs w:val="28"/>
        </w:rPr>
      </w:pPr>
      <w:r w:rsidRPr="005C29F8">
        <w:rPr>
          <w:rFonts w:cs="Arial"/>
          <w:b/>
          <w:bCs/>
          <w:color w:val="000000" w:themeColor="text1"/>
          <w:sz w:val="24"/>
          <w:szCs w:val="24"/>
        </w:rPr>
        <w:t xml:space="preserve">For reporting on </w:t>
      </w:r>
      <w:r>
        <w:rPr>
          <w:rFonts w:cs="Arial"/>
          <w:b/>
          <w:bCs/>
          <w:color w:val="000000" w:themeColor="text1"/>
          <w:sz w:val="24"/>
          <w:szCs w:val="24"/>
        </w:rPr>
        <w:br/>
      </w:r>
      <w:r w:rsidR="00F22D09">
        <w:rPr>
          <w:rFonts w:cs="Arial"/>
          <w:b/>
          <w:bCs/>
          <w:color w:val="000000" w:themeColor="text1"/>
          <w:sz w:val="28"/>
          <w:szCs w:val="28"/>
        </w:rPr>
        <w:t>FFY 202</w:t>
      </w:r>
      <w:r w:rsidR="0001214A">
        <w:rPr>
          <w:rFonts w:cs="Arial"/>
          <w:b/>
          <w:bCs/>
          <w:color w:val="000000" w:themeColor="text1"/>
          <w:sz w:val="28"/>
          <w:szCs w:val="28"/>
        </w:rPr>
        <w:t>2</w:t>
      </w:r>
    </w:p>
    <w:p w14:paraId="328C2694" w14:textId="77777777" w:rsidR="0082346B" w:rsidRPr="001071FD" w:rsidRDefault="0082346B" w:rsidP="0082346B">
      <w:pPr>
        <w:autoSpaceDE w:val="0"/>
        <w:autoSpaceDN w:val="0"/>
        <w:adjustRightInd w:val="0"/>
        <w:spacing w:before="360"/>
        <w:jc w:val="center"/>
        <w:rPr>
          <w:rFonts w:cs="Arial"/>
          <w:b/>
          <w:bCs/>
          <w:color w:val="000000" w:themeColor="text1"/>
          <w:sz w:val="32"/>
          <w:szCs w:val="32"/>
        </w:rPr>
      </w:pPr>
      <w:r w:rsidRPr="001071FD">
        <w:rPr>
          <w:rFonts w:cs="Arial"/>
          <w:b/>
          <w:bCs/>
          <w:color w:val="000000" w:themeColor="text1"/>
          <w:sz w:val="32"/>
          <w:szCs w:val="32"/>
        </w:rPr>
        <w:t>Oregon</w:t>
      </w:r>
    </w:p>
    <w:p w14:paraId="45B0CEC9" w14:textId="77777777" w:rsidR="0082346B" w:rsidRPr="005C29F8" w:rsidRDefault="0082346B" w:rsidP="0082346B">
      <w:pPr>
        <w:autoSpaceDE w:val="0"/>
        <w:autoSpaceDN w:val="0"/>
        <w:adjustRightInd w:val="0"/>
        <w:spacing w:before="360"/>
        <w:jc w:val="center"/>
        <w:rPr>
          <w:rFonts w:cs="Arial"/>
          <w:b/>
          <w:bCs/>
          <w:color w:val="000000" w:themeColor="text1"/>
          <w:sz w:val="24"/>
          <w:szCs w:val="24"/>
        </w:rPr>
      </w:pPr>
      <w:r>
        <w:rPr>
          <w:rFonts w:cs="Arial"/>
          <w:noProof/>
          <w:color w:val="000000" w:themeColor="text1"/>
          <w:sz w:val="24"/>
          <w:szCs w:val="24"/>
        </w:rPr>
        <w:drawing>
          <wp:inline distT="0" distB="0" distL="0" distR="0" wp14:anchorId="595780A9" wp14:editId="0CEFC105">
            <wp:extent cx="2281963" cy="2286000"/>
            <wp:effectExtent l="0" t="0" r="4445" b="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Education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1963" cy="2286000"/>
                    </a:xfrm>
                    <a:prstGeom prst="rect">
                      <a:avLst/>
                    </a:prstGeom>
                  </pic:spPr>
                </pic:pic>
              </a:graphicData>
            </a:graphic>
          </wp:inline>
        </w:drawing>
      </w:r>
    </w:p>
    <w:p w14:paraId="2AF9D8C0" w14:textId="22DE4E51" w:rsidR="0082346B" w:rsidRPr="005C29F8" w:rsidRDefault="0082346B" w:rsidP="0082346B">
      <w:pPr>
        <w:autoSpaceDE w:val="0"/>
        <w:autoSpaceDN w:val="0"/>
        <w:adjustRightInd w:val="0"/>
        <w:spacing w:before="360"/>
        <w:jc w:val="center"/>
        <w:rPr>
          <w:rFonts w:cs="Arial"/>
          <w:b/>
          <w:bCs/>
          <w:color w:val="000000" w:themeColor="text1"/>
          <w:sz w:val="24"/>
          <w:szCs w:val="24"/>
        </w:rPr>
      </w:pPr>
      <w:r w:rsidRPr="005C29F8">
        <w:rPr>
          <w:rFonts w:cs="Arial"/>
          <w:b/>
          <w:bCs/>
          <w:color w:val="000000" w:themeColor="text1"/>
          <w:sz w:val="24"/>
          <w:szCs w:val="24"/>
        </w:rPr>
        <w:t xml:space="preserve">PART C DUE </w:t>
      </w:r>
      <w:r>
        <w:rPr>
          <w:rFonts w:cs="Arial"/>
          <w:b/>
          <w:bCs/>
          <w:color w:val="000000" w:themeColor="text1"/>
          <w:sz w:val="24"/>
          <w:szCs w:val="24"/>
        </w:rPr>
        <w:br/>
      </w:r>
      <w:r w:rsidR="00B43A02">
        <w:rPr>
          <w:rFonts w:cs="Arial"/>
          <w:b/>
          <w:bCs/>
          <w:color w:val="000000" w:themeColor="text1"/>
          <w:sz w:val="24"/>
          <w:szCs w:val="24"/>
        </w:rPr>
        <w:t>February 1, 202</w:t>
      </w:r>
      <w:r w:rsidR="00F14FB2">
        <w:rPr>
          <w:rFonts w:cs="Arial"/>
          <w:b/>
          <w:bCs/>
          <w:color w:val="000000" w:themeColor="text1"/>
          <w:sz w:val="24"/>
          <w:szCs w:val="24"/>
        </w:rPr>
        <w:t>4</w:t>
      </w:r>
    </w:p>
    <w:p w14:paraId="4DFD0E86" w14:textId="77777777" w:rsidR="0082346B" w:rsidRPr="005C29F8" w:rsidRDefault="0082346B" w:rsidP="0082346B">
      <w:pPr>
        <w:autoSpaceDE w:val="0"/>
        <w:autoSpaceDN w:val="0"/>
        <w:adjustRightInd w:val="0"/>
        <w:spacing w:before="360"/>
        <w:jc w:val="center"/>
        <w:rPr>
          <w:rFonts w:cs="Arial"/>
          <w:b/>
          <w:bCs/>
          <w:color w:val="000000" w:themeColor="text1"/>
          <w:sz w:val="18"/>
          <w:szCs w:val="18"/>
        </w:rPr>
      </w:pPr>
      <w:r w:rsidRPr="005C29F8">
        <w:rPr>
          <w:rFonts w:cs="Arial"/>
          <w:b/>
          <w:bCs/>
          <w:color w:val="000000" w:themeColor="text1"/>
          <w:sz w:val="18"/>
          <w:szCs w:val="18"/>
        </w:rPr>
        <w:t>U.S. DEPARTMENT OF EDUCATION</w:t>
      </w:r>
    </w:p>
    <w:p w14:paraId="0022FD2E" w14:textId="6A23E138" w:rsidR="0082346B" w:rsidRDefault="0082346B" w:rsidP="0082346B">
      <w:pPr>
        <w:jc w:val="center"/>
        <w:rPr>
          <w:rFonts w:cs="Arial"/>
          <w:b/>
          <w:bCs/>
          <w:color w:val="000000" w:themeColor="text1"/>
          <w:sz w:val="18"/>
          <w:szCs w:val="18"/>
        </w:rPr>
      </w:pPr>
      <w:r w:rsidRPr="005C29F8">
        <w:rPr>
          <w:rFonts w:cs="Arial"/>
          <w:b/>
          <w:bCs/>
          <w:color w:val="000000" w:themeColor="text1"/>
          <w:sz w:val="18"/>
          <w:szCs w:val="18"/>
        </w:rPr>
        <w:t>WASHINGTON, DC 20202</w:t>
      </w:r>
    </w:p>
    <w:p w14:paraId="30F07D4A" w14:textId="2C9FB663" w:rsidR="00181DEB" w:rsidRPr="00ED172B" w:rsidRDefault="00F563DA" w:rsidP="00CD6E4E">
      <w:pPr>
        <w:pStyle w:val="Heading1"/>
        <w:tabs>
          <w:tab w:val="left" w:pos="8415"/>
        </w:tabs>
        <w:rPr>
          <w:color w:val="000000" w:themeColor="text1"/>
        </w:rPr>
      </w:pPr>
      <w:r>
        <w:rPr>
          <w:rFonts w:cs="Arial"/>
          <w:color w:val="000000" w:themeColor="text1"/>
          <w:sz w:val="18"/>
          <w:szCs w:val="18"/>
        </w:rPr>
        <w:br w:type="page"/>
      </w:r>
      <w:r w:rsidR="00181DEB" w:rsidRPr="00ED172B">
        <w:rPr>
          <w:color w:val="000000" w:themeColor="text1"/>
        </w:rPr>
        <w:lastRenderedPageBreak/>
        <w:t>Introduction</w:t>
      </w:r>
      <w:r w:rsidR="0073775B">
        <w:rPr>
          <w:color w:val="000000" w:themeColor="text1"/>
        </w:rPr>
        <w:tab/>
      </w:r>
    </w:p>
    <w:p w14:paraId="51365A5D" w14:textId="77777777" w:rsidR="00014550" w:rsidRPr="00ED172B" w:rsidRDefault="00014550" w:rsidP="009A3621">
      <w:pPr>
        <w:rPr>
          <w:color w:val="000000" w:themeColor="text1"/>
          <w:szCs w:val="20"/>
        </w:rPr>
      </w:pPr>
      <w:r w:rsidRPr="00ED172B">
        <w:rPr>
          <w:b/>
          <w:color w:val="000000" w:themeColor="text1"/>
          <w:sz w:val="20"/>
          <w:szCs w:val="20"/>
        </w:rPr>
        <w:t>Instructions</w:t>
      </w:r>
    </w:p>
    <w:p w14:paraId="2D358717" w14:textId="30358795" w:rsidR="00014550" w:rsidRPr="00ED172B" w:rsidRDefault="004868E8" w:rsidP="00042EBF">
      <w:pPr>
        <w:rPr>
          <w:color w:val="000000" w:themeColor="text1"/>
          <w:szCs w:val="16"/>
          <w:shd w:val="clear" w:color="auto" w:fill="FFFFFF"/>
        </w:rPr>
      </w:pPr>
      <w:r w:rsidRPr="00ED172B">
        <w:rPr>
          <w:color w:val="000000" w:themeColor="text1"/>
          <w:szCs w:val="16"/>
          <w:shd w:val="clear" w:color="auto" w:fill="FFFFFF"/>
        </w:rPr>
        <w:t>Provide sufficient detail to ensure that the Secretary and the public are informed of and understand the State’s systems designed to drive improved results for infants and toddlers with disabilities and their families and to ensure that the Lead Agency (LA) meets the requirements of Part C of the IDEA. This introduction must include descriptions of the State’s General Supervision System, Technical Assistance System, Professional Development System, Stakeholder Involvement, and Reporting to the Public.</w:t>
      </w:r>
    </w:p>
    <w:p w14:paraId="0DFB17FF" w14:textId="49892274" w:rsidR="00042EBF" w:rsidRPr="00A40EE1" w:rsidRDefault="00571E72" w:rsidP="00C15786">
      <w:pPr>
        <w:pStyle w:val="Heading2"/>
      </w:pPr>
      <w:r w:rsidRPr="00A40EE1">
        <w:t xml:space="preserve">Intro - </w:t>
      </w:r>
      <w:r w:rsidR="00042EBF" w:rsidRPr="00A40EE1">
        <w:t>Indicator Data</w:t>
      </w:r>
    </w:p>
    <w:p w14:paraId="15034079" w14:textId="66F2BB2C" w:rsidR="00181DEB" w:rsidRPr="00ED172B" w:rsidRDefault="00181DEB">
      <w:pPr>
        <w:rPr>
          <w:b/>
          <w:color w:val="000000" w:themeColor="text1"/>
        </w:rPr>
      </w:pPr>
      <w:r w:rsidRPr="00ED172B">
        <w:rPr>
          <w:b/>
          <w:color w:val="000000" w:themeColor="text1"/>
        </w:rPr>
        <w:t>Executive Summary</w:t>
      </w:r>
    </w:p>
    <w:p w14:paraId="09038252" w14:textId="4DBCDFF1" w:rsidR="003A4D77" w:rsidRPr="00ED172B" w:rsidRDefault="00860830" w:rsidP="003A4D77">
      <w:pPr>
        <w:rPr>
          <w:color w:val="000000" w:themeColor="text1"/>
        </w:rPr>
      </w:pPr>
      <w:r w:rsidRPr="00ED172B">
        <w:rPr>
          <w:color w:val="000000" w:themeColor="text1"/>
        </w:rPr>
        <w:t xml:space="preserve">The Oregon Department of Education (ODE) Office of Enhancing Student Opportunities is responsible for Oregon’s 197 school districts and 35 Early Intervention/Early Childhood Special Education (EI/ECSE) programs that serve students eligible for IDEA services. The State worked collaboratively with districts and programs to support improved academic and functional results for children with disabilities. The State supported and monitored its districts and programs via the following: General Supervision System; Technical Assistance System; Professional Development System; Stakeholder Involvement; and Reporting to the Public. These approaches are designed to facilitate high expectations and college and career readiness (CCR) for the State’s students with disabilities. </w:t>
      </w:r>
      <w:r w:rsidRPr="00ED172B">
        <w:rPr>
          <w:color w:val="000000" w:themeColor="text1"/>
        </w:rPr>
        <w:br/>
      </w:r>
      <w:r w:rsidRPr="00ED172B">
        <w:rPr>
          <w:color w:val="000000" w:themeColor="text1"/>
        </w:rPr>
        <w:br/>
        <w:t xml:space="preserve">The State has a Technical Assistance System that utilized technology and personnel to provide districts and programs timely access to data and activities that ensure compliance, as well as improved academic and functional outcomes for students with disabilities. Education specialists served as single points of contact for districts and programs. In addition, a web-based system provided access to data and on-demand technical assistance, to specialists, districts, and programs. </w:t>
      </w:r>
      <w:r w:rsidRPr="00ED172B">
        <w:rPr>
          <w:color w:val="000000" w:themeColor="text1"/>
        </w:rPr>
        <w:br/>
      </w:r>
      <w:r w:rsidRPr="00ED172B">
        <w:rPr>
          <w:color w:val="000000" w:themeColor="text1"/>
        </w:rPr>
        <w:br/>
        <w:t xml:space="preserve">The State’s Professional Development System leveraged both IDEA discretionary funds and funds from the State Personnel Development Grant (SPDG) to provide every district and program the opportunity to receive direct technical assistance and professional development focusing on the implementation of evidence-based practices for students with disabilities. Activities included: annual state-wide training on data collections; workshops to parents of students with disabilities regarding procedural safeguards and navigating the IFSP; and support for programs to implement Multi-Tiered Systems of Support (MTSS). In addition, districts/programs can request individualized technical assistance from the State and every effort is made to provide the professional development on-site. </w:t>
      </w:r>
      <w:r w:rsidRPr="00ED172B">
        <w:rPr>
          <w:color w:val="000000" w:themeColor="text1"/>
        </w:rPr>
        <w:br/>
      </w:r>
      <w:r w:rsidRPr="00ED172B">
        <w:rPr>
          <w:color w:val="000000" w:themeColor="text1"/>
        </w:rPr>
        <w:br/>
        <w:t>The State solicited stakeholder input as needed on Annual Performance Report (APR) target setting and the State Systemic Improvement Plan (SSIP) content. The State created Special Education Profiles for each of the 197 school districts and 35 Early Intervention/Early Childhood Special Education (EI/ECSE) county programs. These profiles displayed the indicators on the Annual Performance Report that are required for public reporting. Profiles were distributed to parents of children with disabilities and were made available to the public on the State’s website:  https://www.oregon.gov/ode/schools-and-districts/reportcards/spedreportcards/pages/default.aspx.</w:t>
      </w:r>
    </w:p>
    <w:p w14:paraId="6009AC06" w14:textId="7EF72D40" w:rsidR="004C7EE6" w:rsidRDefault="004C7EE6" w:rsidP="004C7EE6">
      <w:pPr>
        <w:pStyle w:val="Subhed"/>
      </w:pPr>
      <w:r>
        <w:t>A</w:t>
      </w:r>
      <w:r w:rsidRPr="001B6EB0">
        <w:t>dditional information related to data collection and reporting</w:t>
      </w:r>
    </w:p>
    <w:p w14:paraId="35504308" w14:textId="29D7C803" w:rsidR="008C6D27" w:rsidRPr="00ED172B" w:rsidRDefault="008C6D27" w:rsidP="008C6D27">
      <w:pPr>
        <w:rPr>
          <w:color w:val="000000" w:themeColor="text1"/>
        </w:rPr>
      </w:pPr>
    </w:p>
    <w:p w14:paraId="255BEFE2" w14:textId="0EBDC8B7" w:rsidR="00181DEB" w:rsidRPr="00ED172B" w:rsidRDefault="00181DEB">
      <w:pPr>
        <w:rPr>
          <w:b/>
          <w:color w:val="000000" w:themeColor="text1"/>
        </w:rPr>
      </w:pPr>
      <w:r w:rsidRPr="00ED172B">
        <w:rPr>
          <w:b/>
          <w:color w:val="000000" w:themeColor="text1"/>
        </w:rPr>
        <w:t>General Supervision System</w:t>
      </w:r>
    </w:p>
    <w:p w14:paraId="71F4BDA2" w14:textId="4D998B93" w:rsidR="00B717AA" w:rsidRPr="00ED172B" w:rsidRDefault="00492B6F" w:rsidP="00042EBF">
      <w:pPr>
        <w:rPr>
          <w:b/>
          <w:color w:val="000000" w:themeColor="text1"/>
          <w:szCs w:val="16"/>
        </w:rPr>
      </w:pPr>
      <w:r>
        <w:rPr>
          <w:szCs w:val="16"/>
        </w:rPr>
        <w:t>The systems that are in place to ensure that the IDEA Part C requirements are met (e.g., integrated monitoring activities; data on processes and results; the SPP/APR; fiscal management; policies, procedures, and practices resulting in effective implementation; and improvement, correction, incentives, and sanctions).</w:t>
      </w:r>
    </w:p>
    <w:p w14:paraId="1B57950D" w14:textId="1D7D48FB" w:rsidR="003A4D77" w:rsidRPr="00ED172B" w:rsidRDefault="00860830" w:rsidP="00042EBF">
      <w:pPr>
        <w:rPr>
          <w:color w:val="000000" w:themeColor="text1"/>
          <w:szCs w:val="16"/>
        </w:rPr>
      </w:pPr>
      <w:r w:rsidRPr="00ED172B">
        <w:rPr>
          <w:color w:val="000000" w:themeColor="text1"/>
          <w:szCs w:val="16"/>
        </w:rPr>
        <w:t xml:space="preserve">The State worked collaboratively with nine contractors and 35 Early Intervention/Early Childhood Special Education (EI/ECSE) county programs on comprehensive data collection, analysis, performance reporting, improvement planning, implementation, and progress reporting. </w:t>
      </w:r>
      <w:r w:rsidRPr="00ED172B">
        <w:rPr>
          <w:color w:val="000000" w:themeColor="text1"/>
          <w:szCs w:val="16"/>
        </w:rPr>
        <w:br/>
      </w:r>
      <w:r w:rsidRPr="00ED172B">
        <w:rPr>
          <w:color w:val="000000" w:themeColor="text1"/>
          <w:szCs w:val="16"/>
        </w:rPr>
        <w:br/>
        <w:t xml:space="preserve">The State’s general supervision system was coordinated by the Office of Enhancing Student Opportunities and included data, monitoring, and legal components that were designed to identify noncompliance. Components were organized as follows: </w:t>
      </w:r>
      <w:r w:rsidRPr="00ED172B">
        <w:rPr>
          <w:color w:val="000000" w:themeColor="text1"/>
          <w:szCs w:val="16"/>
        </w:rPr>
        <w:br/>
      </w:r>
      <w:r w:rsidRPr="00ED172B">
        <w:rPr>
          <w:color w:val="000000" w:themeColor="text1"/>
          <w:szCs w:val="16"/>
        </w:rPr>
        <w:br/>
        <w:t>Fiscal Management: The State provides oversight and technical assistance on the distribution and use of funds according to federal and state requirements. The State and LEAs must have strong internal controls to ensure fiscal accountability, and the state must monitor each recipient of IDEA funds to ensure IDEA and other federal fiscal requirements are met.</w:t>
      </w:r>
      <w:r w:rsidRPr="00ED172B">
        <w:rPr>
          <w:color w:val="000000" w:themeColor="text1"/>
          <w:szCs w:val="16"/>
        </w:rPr>
        <w:br/>
      </w:r>
      <w:r w:rsidRPr="00ED172B">
        <w:rPr>
          <w:color w:val="000000" w:themeColor="text1"/>
          <w:szCs w:val="16"/>
        </w:rPr>
        <w:br/>
        <w:t xml:space="preserve">System Performance Review &amp; Improvement (SPR&amp;I): All EI/ECSE programs in the State that receive IDEA funds were required to participate in the State’s SPR&amp;I system of annual accountability and performance reporting. This system focused on procedural compliance and performance indicators identified through federal and state regulation and previous state monitoring findings. Programs conducted individual child file reviews annually to collect procedural compliance data. Individual child procedural compliance data was collected by programs and submitted to the State electronically through the SPR&amp;I database. Additionally, they are provided program specific APR indicator data in SPR&amp;I and complete worksheets and or improvement activities in areas below results and compliance targets.  The SPR&amp;I system provided the State with the mechanism for review of district/program policies, procedures, and systems, to ensure the requirements set forth in 34 CFR 303.700-708 are met by the State.  </w:t>
      </w:r>
      <w:r w:rsidRPr="00ED172B">
        <w:rPr>
          <w:color w:val="000000" w:themeColor="text1"/>
          <w:szCs w:val="16"/>
        </w:rPr>
        <w:br/>
      </w:r>
      <w:r w:rsidRPr="00ED172B">
        <w:rPr>
          <w:color w:val="000000" w:themeColor="text1"/>
          <w:szCs w:val="16"/>
        </w:rPr>
        <w:br/>
        <w:t xml:space="preserve">Oregon utilizes “ecWeb”, a statewide database for Early Intervention and Early Childhood Special Education records in conjunction with SPR&amp;I to verify corrections, answer questions on program reviews, and to complete annual audits by ODE staff on a subset of programs. ODE utilizes the same review process as EI/ECSE programs to review EI/ECSE files in the audit process. ecWeb is also utilized to track results and improvement activities for child outcome and evaluation timelines for Early Intervention. </w:t>
      </w:r>
      <w:r w:rsidRPr="00ED172B">
        <w:rPr>
          <w:color w:val="000000" w:themeColor="text1"/>
          <w:szCs w:val="16"/>
        </w:rPr>
        <w:br/>
      </w:r>
      <w:r w:rsidRPr="00ED172B">
        <w:rPr>
          <w:color w:val="000000" w:themeColor="text1"/>
          <w:szCs w:val="16"/>
        </w:rPr>
        <w:br/>
        <w:t>Issues and concerns outside of the monitoring process that are communicated to ODE by parents, programs, or the public are documented on an EI/ECSE County Contact Smart Sheet. Some issues are addressed by providing information or clarification. Other issues may be resolved in the dispute resolution process. Any issue determined to be a noncompliance would result in an official notification on noncompliance from ODE with corrective action to be completed as soon as possible but no later than one year from identification.</w:t>
      </w:r>
      <w:r w:rsidRPr="00ED172B">
        <w:rPr>
          <w:color w:val="000000" w:themeColor="text1"/>
          <w:szCs w:val="16"/>
        </w:rPr>
        <w:br/>
        <w:t>The Oregon EI/ECSE Policies and Procedures manual is available at https://www.oregon.gov/ode/students-and-family/SpecialEducation/earlyintervention/Pages/Program-Policy-and-Procedures.aspx.</w:t>
      </w:r>
      <w:r w:rsidRPr="00ED172B">
        <w:rPr>
          <w:color w:val="000000" w:themeColor="text1"/>
          <w:szCs w:val="16"/>
        </w:rPr>
        <w:br/>
      </w:r>
      <w:r w:rsidRPr="00ED172B">
        <w:rPr>
          <w:color w:val="000000" w:themeColor="text1"/>
          <w:szCs w:val="16"/>
        </w:rPr>
        <w:br/>
        <w:t xml:space="preserve">Determinations are made annually for each EI/ECSE program. The manual for SPR&amp;I, Determinations Guidance, and the Determinations and Enforcement Matrix are available at the following website: </w:t>
      </w:r>
      <w:r w:rsidRPr="00ED172B">
        <w:rPr>
          <w:color w:val="000000" w:themeColor="text1"/>
          <w:szCs w:val="16"/>
        </w:rPr>
        <w:br/>
        <w:t>https://www.oregon.gov/ode/students-and-family/SpecialEducation/GeneralSupervision/Pages/2023-2024eiecsespriresources.aspx .</w:t>
      </w:r>
      <w:r w:rsidRPr="00ED172B">
        <w:rPr>
          <w:color w:val="000000" w:themeColor="text1"/>
          <w:szCs w:val="16"/>
        </w:rPr>
        <w:br/>
      </w:r>
      <w:r w:rsidRPr="00ED172B">
        <w:rPr>
          <w:color w:val="000000" w:themeColor="text1"/>
          <w:szCs w:val="16"/>
        </w:rPr>
        <w:br/>
      </w:r>
      <w:r w:rsidRPr="00ED172B">
        <w:rPr>
          <w:color w:val="000000" w:themeColor="text1"/>
          <w:szCs w:val="16"/>
        </w:rPr>
        <w:br/>
      </w:r>
      <w:r w:rsidRPr="00ED172B">
        <w:rPr>
          <w:color w:val="000000" w:themeColor="text1"/>
          <w:szCs w:val="16"/>
        </w:rPr>
        <w:lastRenderedPageBreak/>
        <w:t>Complaints and dispute resolution: While the State oversees complaints, due process hearings, mediations, and other alternative dispute resolution activities as part of its general supervision responsibilities, only complaints and due process hearings result in findings of noncompliance. The State uses independent contractors to conduct mediations and complaint investigations, with support, coordination, and additional assistance by the State’s special education legal specialist. The State provides training and oversight for these complaint contractors. When a complaint final order identifies noncompliance and orders corrective action, State staff work with district and program staff to ensure completion of corrective action within required timelines. The State uses the same complaint resolution system and complaint contractors for Part B and Part C.</w:t>
      </w:r>
      <w:r w:rsidRPr="00ED172B">
        <w:rPr>
          <w:color w:val="000000" w:themeColor="text1"/>
          <w:szCs w:val="16"/>
        </w:rPr>
        <w:br/>
      </w:r>
      <w:r w:rsidRPr="00ED172B">
        <w:rPr>
          <w:color w:val="000000" w:themeColor="text1"/>
          <w:szCs w:val="16"/>
        </w:rPr>
        <w:br/>
        <w:t>The State has a one-tier due process hearing system. All special education due process hearings are conducted by Office of Administrative Hearings (OAH) administrative law judges. OAH and the State have trained OAH administrative law judges to conduct special education hearings. When a due process hearing final order identifies noncompliance and orders corrective action, State staff work with district and program staff to ensure completion of corrective action within required timelines. The State uses the same due process hearing system and complaint contractors for Part B and Part C.</w:t>
      </w:r>
      <w:r w:rsidRPr="00ED172B">
        <w:rPr>
          <w:color w:val="000000" w:themeColor="text1"/>
          <w:szCs w:val="16"/>
        </w:rPr>
        <w:br/>
      </w:r>
      <w:r w:rsidRPr="00ED172B">
        <w:rPr>
          <w:color w:val="000000" w:themeColor="text1"/>
          <w:szCs w:val="16"/>
        </w:rPr>
        <w:br/>
        <w:t xml:space="preserve">The State amended OAR 581-015-2015 in June 2022 following State approval procedures. These changes updated the State’s general supervision procedures, including school district requirements for compliance and Agency procedures for non-compliance and corrective action. The State has been providing technical assistance to districts on these changes with regular monthly informational and system updates at the Special Education Directors monthly meetings. </w:t>
      </w:r>
      <w:r w:rsidRPr="00ED172B">
        <w:rPr>
          <w:color w:val="000000" w:themeColor="text1"/>
          <w:szCs w:val="16"/>
        </w:rPr>
        <w:br/>
      </w:r>
      <w:r w:rsidRPr="00ED172B">
        <w:rPr>
          <w:color w:val="000000" w:themeColor="text1"/>
          <w:szCs w:val="16"/>
        </w:rPr>
        <w:br/>
        <w:t>The State has a one-tier due process hearing system. All special education due process hearings are conducted by Office of Administrative Hearings (OAH) administrative law judges. OAH and the State have trained OAH administrative law judges to conduct special education hearings. When a due process hearing final order identifies noncompliance and orders corrective action, State staff work with program staff to ensure completion of corrective action within required timelines. The State used the same due process hearing system and complaint contractors for Part B and Part C.</w:t>
      </w:r>
    </w:p>
    <w:p w14:paraId="49C3FD7F" w14:textId="77777777" w:rsidR="00181DEB" w:rsidRPr="00ED172B" w:rsidRDefault="00181DEB">
      <w:pPr>
        <w:rPr>
          <w:b/>
          <w:color w:val="000000" w:themeColor="text1"/>
        </w:rPr>
      </w:pPr>
      <w:r w:rsidRPr="00ED172B">
        <w:rPr>
          <w:b/>
          <w:color w:val="000000" w:themeColor="text1"/>
        </w:rPr>
        <w:t>Technical Assistance System:</w:t>
      </w:r>
    </w:p>
    <w:p w14:paraId="7EE0C7FA" w14:textId="0AF910D4" w:rsidR="00181DEB" w:rsidRPr="00ED172B" w:rsidRDefault="00181DEB" w:rsidP="00042EBF">
      <w:pPr>
        <w:rPr>
          <w:b/>
          <w:color w:val="000000" w:themeColor="text1"/>
          <w:szCs w:val="16"/>
        </w:rPr>
      </w:pPr>
      <w:r w:rsidRPr="00ED172B">
        <w:rPr>
          <w:b/>
          <w:color w:val="000000" w:themeColor="text1"/>
          <w:szCs w:val="16"/>
        </w:rPr>
        <w:t>The mechanisms that the State has in place to ensure the timely delivery of high quality, evidence-based technical assistance and support to early intervention service (EIS) programs.</w:t>
      </w:r>
    </w:p>
    <w:p w14:paraId="1697FA23" w14:textId="56CF03A5" w:rsidR="003A4D77" w:rsidRPr="00ED172B" w:rsidRDefault="00860830" w:rsidP="00042EBF">
      <w:pPr>
        <w:rPr>
          <w:color w:val="000000" w:themeColor="text1"/>
          <w:szCs w:val="16"/>
        </w:rPr>
      </w:pPr>
      <w:r w:rsidRPr="00ED172B">
        <w:rPr>
          <w:color w:val="000000" w:themeColor="text1"/>
          <w:szCs w:val="16"/>
        </w:rPr>
        <w:t>During FFY 2022, the State provided boot camp training for IDEA data managers, as well as fall and spring virtual trainings. The virtual training topics included data reporting essentials and submission processes, data collection, compliance and performance issues as well as trainings for new district and program participants as part of general supervision, data collection, and monitoring activities.</w:t>
      </w:r>
      <w:r w:rsidRPr="00ED172B">
        <w:rPr>
          <w:color w:val="000000" w:themeColor="text1"/>
          <w:szCs w:val="16"/>
        </w:rPr>
        <w:br/>
      </w:r>
      <w:r w:rsidRPr="00ED172B">
        <w:rPr>
          <w:color w:val="000000" w:themeColor="text1"/>
          <w:szCs w:val="16"/>
        </w:rPr>
        <w:br/>
        <w:t xml:space="preserve">The State facilitated a bimonthly intake and referral community of practice (COP) for intake coordinators and other relevant staff across all contracted regions. The COP topics included updates to state forms and manuals, strategies and barriers to an effective referral and intake process, medical eligibility, and ongoing analysis of statewide referral numbers. In addition, the COP meetings provided opportunities to meet with referral partners, including the Oregon Childhood Lead Poisoning Prevention Program, Oregon Screening Project, and Child Welfare.  </w:t>
      </w:r>
    </w:p>
    <w:p w14:paraId="6F4BBA1C" w14:textId="77777777" w:rsidR="00181DEB" w:rsidRPr="00ED172B" w:rsidRDefault="00181DEB">
      <w:pPr>
        <w:rPr>
          <w:b/>
          <w:color w:val="000000" w:themeColor="text1"/>
        </w:rPr>
      </w:pPr>
      <w:r w:rsidRPr="00ED172B">
        <w:rPr>
          <w:b/>
          <w:color w:val="000000" w:themeColor="text1"/>
        </w:rPr>
        <w:t>Professional Development System:</w:t>
      </w:r>
    </w:p>
    <w:p w14:paraId="472FC7D3" w14:textId="6229555E" w:rsidR="00181DEB" w:rsidRPr="00ED172B" w:rsidRDefault="00181DEB" w:rsidP="00181DEB">
      <w:pPr>
        <w:rPr>
          <w:b/>
          <w:color w:val="000000" w:themeColor="text1"/>
          <w:szCs w:val="16"/>
        </w:rPr>
      </w:pPr>
      <w:r w:rsidRPr="00ED172B">
        <w:rPr>
          <w:b/>
          <w:color w:val="000000" w:themeColor="text1"/>
          <w:szCs w:val="16"/>
        </w:rPr>
        <w:t>The mechanisms the State has in place to ensure that service providers are effectively providing services that improve results for infants and toddlers with disabilities and their families.</w:t>
      </w:r>
    </w:p>
    <w:p w14:paraId="66BCEB0F" w14:textId="4812B8EE" w:rsidR="003A4D77" w:rsidRPr="00ED172B" w:rsidRDefault="00860830" w:rsidP="00181DEB">
      <w:pPr>
        <w:rPr>
          <w:color w:val="000000" w:themeColor="text1"/>
          <w:szCs w:val="16"/>
        </w:rPr>
      </w:pPr>
      <w:r w:rsidRPr="00ED172B">
        <w:rPr>
          <w:color w:val="000000" w:themeColor="text1"/>
          <w:szCs w:val="16"/>
        </w:rPr>
        <w:t>During the last reporting period, the State made significant progress on meeting the goals outlined in the Comprehensive Professional Development Plan. This plan is guided by review and use of the Personnel/</w:t>
      </w:r>
      <w:proofErr w:type="spellStart"/>
      <w:r w:rsidRPr="00ED172B">
        <w:rPr>
          <w:color w:val="000000" w:themeColor="text1"/>
          <w:szCs w:val="16"/>
        </w:rPr>
        <w:t>Wokforce</w:t>
      </w:r>
      <w:proofErr w:type="spellEnd"/>
      <w:r w:rsidRPr="00ED172B">
        <w:rPr>
          <w:color w:val="000000" w:themeColor="text1"/>
          <w:szCs w:val="16"/>
        </w:rPr>
        <w:t xml:space="preserve"> subcomponent of a Systems Framework for building a high-quality Early Intervention and Preschool Special Education Programs found on the Early Childhood Technical </w:t>
      </w:r>
      <w:proofErr w:type="spellStart"/>
      <w:r w:rsidRPr="00ED172B">
        <w:rPr>
          <w:color w:val="000000" w:themeColor="text1"/>
          <w:szCs w:val="16"/>
        </w:rPr>
        <w:t>Assitance</w:t>
      </w:r>
      <w:proofErr w:type="spellEnd"/>
      <w:r w:rsidRPr="00ED172B">
        <w:rPr>
          <w:color w:val="000000" w:themeColor="text1"/>
          <w:szCs w:val="16"/>
        </w:rPr>
        <w:t xml:space="preserve"> Center webpage: https://ectacenter.org/sysframe/. In particular, the areas of focus for FFY 2022 included State Personnel Standards, Recruitment and Retention, and evaluation of the Personnel/Workforce System for Early Intervention/Early Childhood Special Education. During this period the State identified the following goals and objectives: 1) Continue to develop collaboration with staff of Early Childhood Care and Education, Home Visiting, Early Childhood Education (Early Learning Division), TSPC and Higher Education to share information, minimize unnecessary redundancy, and ensure consistency in related areas across all personnel standards developed for providers who serve young children in Oregon. 2) Review EI/ECSE Competencies every 5 years. Crosswalk with DEC’s future new EI/ECSE Standards. 3) Review DEC’s final EI/ECSE Standards. 4) Adopt DEC national standards for Oregon EI/ECSE competencies. Create guidance for each standard. Plan partner feedback via surveys and focus groups. Use feedback to guide final guidance revisions. 5) Update EI/ECSE Authorization certification for specialist and supervisor to align with DEC national standards. Revise Authorization application and website. Create online application for efficiency. 6) Explore distance services and tele-interventions (especially in rural areas) increase services with less staff. 7) Collect and analyze staff shortage data from EI/ECSE programs 8) Collect and analyze data on EI/ECSE Authorization. Build “Counts per county” by year reports on Authorization database. 9) Develop questions added to Needs Assessment survey on staff shortage, mentor &amp; well-being programs. 10) Develop guidance for leveraging funds (including federal relief dollars) to recruit and retain staff. 11) Increase awareness of strategies and supports to recruit and retain a diverse workforce including alternative pathways for licensure and access to higher education. 12) create a comprehensive evaluation of the CSPD using the Systems Framework, dovetailing with infrastructure improvements outlined in the SSIP. </w:t>
      </w:r>
      <w:r w:rsidRPr="00ED172B">
        <w:rPr>
          <w:color w:val="000000" w:themeColor="text1"/>
          <w:szCs w:val="16"/>
        </w:rPr>
        <w:br/>
      </w:r>
      <w:r w:rsidRPr="00ED172B">
        <w:rPr>
          <w:color w:val="000000" w:themeColor="text1"/>
          <w:szCs w:val="16"/>
        </w:rPr>
        <w:br/>
        <w:t xml:space="preserve">Of the 12 goals and objectives listed above, 10 were successfully completed during the reporting period and the remaining goals were moved into an ongoing improvement status with the idea that strategies such as increased partnership and ongoing technical assistance and guidance development are embedded parts of the states improved general supervision process. Of particular note, the State updated its EI/ECSE personnel standards for assistants, specialists, and supervisors. The standards are used to help guide professional development plans, in-service training, and the authorization process for EI/ECSE professionals in Oregon. The personnel standards were updated with a focus on equity and inclusion and to reflect current recommended practices in the field of EI/ECSE. The revised standards were adopted in October 2023. </w:t>
      </w:r>
    </w:p>
    <w:p w14:paraId="29B4BF78" w14:textId="168C5C46" w:rsidR="00D62BE4" w:rsidRPr="00D62BE4" w:rsidRDefault="00492B6F" w:rsidP="00D62BE4">
      <w:pPr>
        <w:rPr>
          <w:b/>
          <w:color w:val="000000" w:themeColor="text1"/>
        </w:rPr>
      </w:pPr>
      <w:r>
        <w:rPr>
          <w:b/>
          <w:color w:val="000000" w:themeColor="text1"/>
        </w:rPr>
        <w:t>Stakeholder Engagement</w:t>
      </w:r>
      <w:r w:rsidR="00D62BE4" w:rsidRPr="00D974E1">
        <w:rPr>
          <w:b/>
          <w:color w:val="000000" w:themeColor="text1"/>
        </w:rPr>
        <w:t xml:space="preserve">: </w:t>
      </w:r>
    </w:p>
    <w:p w14:paraId="35CAF926" w14:textId="5CC7F759" w:rsidR="00B717AA" w:rsidRDefault="00492B6F" w:rsidP="00D62BE4">
      <w:pPr>
        <w:rPr>
          <w:b/>
          <w:color w:val="000000" w:themeColor="text1"/>
        </w:rPr>
      </w:pPr>
      <w:r w:rsidRPr="003B2959">
        <w:rPr>
          <w:b/>
        </w:rPr>
        <w:t>The mechanisms for broad stakeholder engagement, including activities carried out to obtain input from, and build the capacity of, a diverse group of parents to support the implementation activities designed to improve outcomes, including target setting and any subsequent revisions to targets, analyzing data, developing improvement strategies, and evaluating progress</w:t>
      </w:r>
      <w:r>
        <w:rPr>
          <w:b/>
        </w:rPr>
        <w:t>.</w:t>
      </w:r>
      <w:r w:rsidRPr="00D62BE4" w:rsidDel="00492B6F">
        <w:rPr>
          <w:b/>
          <w:color w:val="000000" w:themeColor="text1"/>
        </w:rPr>
        <w:t xml:space="preserve"> </w:t>
      </w:r>
    </w:p>
    <w:p w14:paraId="025083D4" w14:textId="1FBE7633" w:rsidR="00D62BE4" w:rsidRPr="00F85A5B" w:rsidRDefault="00116D8B" w:rsidP="00D62BE4">
      <w:pPr>
        <w:rPr>
          <w:color w:val="000000" w:themeColor="text1"/>
          <w:szCs w:val="16"/>
        </w:rPr>
      </w:pPr>
      <w:r w:rsidRPr="00ED172B">
        <w:rPr>
          <w:color w:val="000000" w:themeColor="text1"/>
          <w:szCs w:val="16"/>
        </w:rPr>
        <w:t xml:space="preserve">The State engaged in broad stakeholder input on new targets established for FFY 2020-2025, reported in the 2021 submission. The State did not revise targets during this reporting period. Ongoing engagement included regular reports from the director and Agency staff to the State Interagency Coordinating Council, Regional Inclusive Services, and State Advisory Council on Special Education. Targeted engagement on personnel standards, the state systemic improvement plan and activities, strategies for improving access to inclusive early learning environments for children with disabilities, and updated guidance on discipline occurred throughout the reporting period. This included presentations during conferences, meetings, and advisory groups, updates to the Agency web pages, leveraging newsletters for Oregon Early Childhood Inclusion, webinars, and memorandums to district leadership and superintendents.  </w:t>
      </w:r>
      <w:r w:rsidRPr="00ED172B">
        <w:rPr>
          <w:color w:val="000000" w:themeColor="text1"/>
          <w:szCs w:val="16"/>
        </w:rPr>
        <w:br/>
        <w:t xml:space="preserve">The State engaged with various stakeholder groups to gather feedback on the revision of the EI/ECSE personnel standards. Multiple stakeholder engagement sessions were held with EI/ECSE practitioners, community partners, and families. The State partnered with a parent information and training center, Family and Community Together (FACT) Oregon, to host a feedback session with families of children receiving EI/ECSE services. Materials were made available in Spanish and Spanish translation was provided at the family feedback session.  </w:t>
      </w:r>
    </w:p>
    <w:p w14:paraId="250D9274" w14:textId="1C276BD3" w:rsidR="003747D0" w:rsidRPr="00ED172B" w:rsidRDefault="003747D0" w:rsidP="003747D0">
      <w:pPr>
        <w:rPr>
          <w:b/>
          <w:color w:val="000000" w:themeColor="text1"/>
          <w:szCs w:val="16"/>
        </w:rPr>
      </w:pPr>
      <w:r w:rsidRPr="00ED172B">
        <w:rPr>
          <w:b/>
          <w:color w:val="000000" w:themeColor="text1"/>
          <w:szCs w:val="16"/>
        </w:rPr>
        <w:t xml:space="preserve">Apply stakeholder input from introduction to all Part C results indicators. (y/n) </w:t>
      </w:r>
    </w:p>
    <w:p w14:paraId="1CB822D1" w14:textId="77777777" w:rsidR="00907A9B" w:rsidRDefault="003747D0">
      <w:pPr>
        <w:rPr>
          <w:color w:val="000000" w:themeColor="text1"/>
          <w:szCs w:val="16"/>
        </w:rPr>
      </w:pPr>
      <w:r w:rsidRPr="00ED172B">
        <w:rPr>
          <w:color w:val="000000" w:themeColor="text1"/>
          <w:szCs w:val="16"/>
        </w:rPr>
        <w:lastRenderedPageBreak/>
        <w:t>YES</w:t>
      </w:r>
    </w:p>
    <w:p w14:paraId="7DEA0B5E" w14:textId="030CCA43" w:rsidR="00887FBA" w:rsidRDefault="00887FBA">
      <w:pPr>
        <w:rPr>
          <w:b/>
          <w:color w:val="000000" w:themeColor="text1"/>
        </w:rPr>
      </w:pPr>
      <w:r w:rsidRPr="00887FBA">
        <w:rPr>
          <w:b/>
          <w:color w:val="000000" w:themeColor="text1"/>
        </w:rPr>
        <w:t>Number of Parent Members:</w:t>
      </w:r>
    </w:p>
    <w:p w14:paraId="6F9BBC61" w14:textId="058E2B2B" w:rsidR="00887FBA" w:rsidRPr="00ED172B" w:rsidRDefault="00887FBA" w:rsidP="00887FBA">
      <w:pPr>
        <w:rPr>
          <w:color w:val="000000" w:themeColor="text1"/>
          <w:szCs w:val="16"/>
        </w:rPr>
      </w:pPr>
      <w:r w:rsidRPr="00ED172B">
        <w:rPr>
          <w:color w:val="000000" w:themeColor="text1"/>
          <w:szCs w:val="16"/>
        </w:rPr>
        <w:t>21</w:t>
      </w:r>
    </w:p>
    <w:p w14:paraId="3124ECA4" w14:textId="733293E7" w:rsidR="00887FBA" w:rsidRDefault="00887FBA">
      <w:pPr>
        <w:rPr>
          <w:b/>
          <w:color w:val="000000" w:themeColor="text1"/>
        </w:rPr>
      </w:pPr>
      <w:r w:rsidRPr="00887FBA">
        <w:rPr>
          <w:b/>
          <w:color w:val="000000" w:themeColor="text1"/>
        </w:rPr>
        <w:t>Parent Members Engagement:</w:t>
      </w:r>
    </w:p>
    <w:p w14:paraId="7660E9C5" w14:textId="505FA6B2" w:rsidR="00887FBA" w:rsidRDefault="00887FBA">
      <w:pPr>
        <w:rPr>
          <w:b/>
          <w:color w:val="000000" w:themeColor="text1"/>
        </w:rPr>
      </w:pPr>
      <w:r w:rsidRPr="00887FBA">
        <w:rPr>
          <w:b/>
          <w:color w:val="000000" w:themeColor="text1"/>
        </w:rPr>
        <w:t>Describe how the parent members of the Interagency Coordinating Council, parent center staff, parents from local and statewide advocacy and advisory committees, and individual parents were engaged in setting targets, analyzing data, developing improvement strategies, and evaluating progress.</w:t>
      </w:r>
    </w:p>
    <w:p w14:paraId="7CE6FAFE" w14:textId="5A01E2A2" w:rsidR="00887FBA" w:rsidRPr="00F85A5B" w:rsidRDefault="00091E9A">
      <w:pPr>
        <w:rPr>
          <w:color w:val="000000" w:themeColor="text1"/>
          <w:szCs w:val="16"/>
        </w:rPr>
      </w:pPr>
      <w:r w:rsidRPr="00ED172B">
        <w:rPr>
          <w:color w:val="000000" w:themeColor="text1"/>
          <w:szCs w:val="16"/>
        </w:rPr>
        <w:t>Parent and family members engaged with the Agency to set SPP/APR targets and analyze data in the prior reporting period. These engagement efforts were reported in the FFY 2021 submission.</w:t>
      </w:r>
      <w:r w:rsidRPr="00ED172B">
        <w:rPr>
          <w:color w:val="000000" w:themeColor="text1"/>
          <w:szCs w:val="16"/>
        </w:rPr>
        <w:br/>
      </w:r>
      <w:r w:rsidRPr="00ED172B">
        <w:rPr>
          <w:color w:val="000000" w:themeColor="text1"/>
          <w:szCs w:val="16"/>
        </w:rPr>
        <w:br/>
        <w:t>During the current reporting period, the State continues to maintain an ongoing partnership with the State Interagency Coordinating Council (SICC), including parent members, to continue to develop improvement strategies. These discussions with the SICC help to inform statewide improvement strategies as reflected in the SPP/APR. Topics addressed in 2023 included regular legislative session updates.</w:t>
      </w:r>
    </w:p>
    <w:p w14:paraId="478ADE7A" w14:textId="77777777" w:rsidR="00375DCE" w:rsidRPr="00375DCE" w:rsidRDefault="00375DCE" w:rsidP="00375DCE">
      <w:pPr>
        <w:rPr>
          <w:b/>
          <w:color w:val="000000" w:themeColor="text1"/>
        </w:rPr>
      </w:pPr>
      <w:r w:rsidRPr="00375DCE">
        <w:rPr>
          <w:b/>
          <w:color w:val="000000" w:themeColor="text1"/>
        </w:rPr>
        <w:t>Activities to Improve Outcomes for Children with Disabilities:</w:t>
      </w:r>
    </w:p>
    <w:p w14:paraId="7C7668E9" w14:textId="40A34C84" w:rsidR="00375DCE" w:rsidRDefault="00375DCE" w:rsidP="00375DCE">
      <w:pPr>
        <w:rPr>
          <w:b/>
          <w:color w:val="000000" w:themeColor="text1"/>
        </w:rPr>
      </w:pPr>
      <w:r w:rsidRPr="00375DCE">
        <w:rPr>
          <w:b/>
          <w:color w:val="000000" w:themeColor="text1"/>
        </w:rPr>
        <w:t>Describe the activities conducted to increase the capacity of diverse groups of parents to support the development of implementation activities designed to improve outcomes for infants and toddlers with disabilities and their families.</w:t>
      </w:r>
    </w:p>
    <w:p w14:paraId="054E8935" w14:textId="2FBC8274" w:rsidR="00375DCE" w:rsidRDefault="002D7C09" w:rsidP="00375DCE">
      <w:pPr>
        <w:rPr>
          <w:color w:val="000000" w:themeColor="text1"/>
          <w:szCs w:val="16"/>
        </w:rPr>
      </w:pPr>
      <w:r w:rsidRPr="00ED172B">
        <w:rPr>
          <w:color w:val="000000" w:themeColor="text1"/>
          <w:szCs w:val="16"/>
        </w:rPr>
        <w:t>The State partners with FACT (the Parent Advocacy Center) to improve capacity with diverse groups of parents.</w:t>
      </w:r>
      <w:r w:rsidRPr="00ED172B">
        <w:rPr>
          <w:color w:val="000000" w:themeColor="text1"/>
          <w:szCs w:val="16"/>
        </w:rPr>
        <w:br/>
      </w:r>
      <w:r w:rsidRPr="00ED172B">
        <w:rPr>
          <w:color w:val="000000" w:themeColor="text1"/>
          <w:szCs w:val="16"/>
        </w:rPr>
        <w:br/>
        <w:t>The State has used recruitment efforts to increase diversity of representation on the SICC.   The State has started SICC subcommittee focused on the Local Interagency Coordinating Councils. This subcommittee has identified a need to more comprehensively understand the composition of the LICCs and how feedback from the group is heard and considered by the SICC.</w:t>
      </w:r>
      <w:r w:rsidRPr="00ED172B">
        <w:rPr>
          <w:color w:val="000000" w:themeColor="text1"/>
          <w:szCs w:val="16"/>
        </w:rPr>
        <w:br/>
      </w:r>
      <w:r w:rsidRPr="00ED172B">
        <w:rPr>
          <w:color w:val="000000" w:themeColor="text1"/>
          <w:szCs w:val="16"/>
        </w:rPr>
        <w:br/>
        <w:t xml:space="preserve">The State has implemented strategies to increase parent response from families of color and those whose first language is not English for our annual Parent Survey as well. </w:t>
      </w:r>
    </w:p>
    <w:p w14:paraId="568574BC" w14:textId="77777777" w:rsidR="006D0CD0" w:rsidRPr="00F85A5B" w:rsidRDefault="006D0CD0" w:rsidP="006D0CD0">
      <w:pPr>
        <w:rPr>
          <w:b/>
          <w:color w:val="000000" w:themeColor="text1"/>
        </w:rPr>
      </w:pPr>
      <w:r w:rsidRPr="00F85A5B">
        <w:rPr>
          <w:b/>
          <w:color w:val="000000" w:themeColor="text1"/>
        </w:rPr>
        <w:t>Soliciting Public Input:</w:t>
      </w:r>
    </w:p>
    <w:p w14:paraId="6DE56C89" w14:textId="65E52F00" w:rsidR="006D0CD0" w:rsidRDefault="006D0CD0" w:rsidP="006D0CD0">
      <w:pPr>
        <w:rPr>
          <w:b/>
          <w:color w:val="000000" w:themeColor="text1"/>
        </w:rPr>
      </w:pPr>
      <w:r w:rsidRPr="00F85A5B">
        <w:rPr>
          <w:b/>
          <w:color w:val="000000" w:themeColor="text1"/>
        </w:rPr>
        <w:t>The mechanisms and timelines for soliciting public input for setting targets, analyzing data, developing improvement strategies, and evaluating progress.</w:t>
      </w:r>
    </w:p>
    <w:p w14:paraId="0381CFBB" w14:textId="64F886B8" w:rsidR="006D0CD0" w:rsidRDefault="006D0CD0" w:rsidP="006D0CD0">
      <w:pPr>
        <w:rPr>
          <w:color w:val="000000" w:themeColor="text1"/>
          <w:szCs w:val="16"/>
        </w:rPr>
      </w:pPr>
      <w:r w:rsidRPr="00ED172B">
        <w:rPr>
          <w:color w:val="000000" w:themeColor="text1"/>
          <w:szCs w:val="16"/>
        </w:rPr>
        <w:t xml:space="preserve">The State solicited public input and analyzed data to set targets during FFY 2020. </w:t>
      </w:r>
      <w:r w:rsidRPr="00ED172B">
        <w:rPr>
          <w:color w:val="000000" w:themeColor="text1"/>
          <w:szCs w:val="16"/>
        </w:rPr>
        <w:br/>
      </w:r>
      <w:r w:rsidRPr="00ED172B">
        <w:rPr>
          <w:color w:val="000000" w:themeColor="text1"/>
          <w:szCs w:val="16"/>
        </w:rPr>
        <w:br/>
        <w:t>The State regularly reports to the State Interagency Coordinating Committee (SICC) and engages SICC to share data updates and refine the statewide improvement strategies related to inclusion and results for students experiencing disability. The State continues to work with SICC on their joint goals in support of inclusion and improving performance of students experiencing disability in this reporting period. During 2022-23, the State continued to present information to the SICC and solicit public input to inform changes to state efforts and involvements, including regular updates on pending legislation.</w:t>
      </w:r>
    </w:p>
    <w:p w14:paraId="2BC7B253" w14:textId="77777777" w:rsidR="00583FAD" w:rsidRPr="00F85A5B" w:rsidRDefault="00583FAD" w:rsidP="00583FAD">
      <w:pPr>
        <w:rPr>
          <w:b/>
          <w:color w:val="000000" w:themeColor="text1"/>
        </w:rPr>
      </w:pPr>
      <w:r w:rsidRPr="00F85A5B">
        <w:rPr>
          <w:b/>
          <w:color w:val="000000" w:themeColor="text1"/>
        </w:rPr>
        <w:t>Making Results Available to the Public:</w:t>
      </w:r>
    </w:p>
    <w:p w14:paraId="76B02DE6" w14:textId="7E68F210" w:rsidR="00583FAD" w:rsidRDefault="00583FAD" w:rsidP="00583FAD">
      <w:pPr>
        <w:rPr>
          <w:b/>
          <w:color w:val="000000" w:themeColor="text1"/>
        </w:rPr>
      </w:pPr>
      <w:r w:rsidRPr="00F85A5B">
        <w:rPr>
          <w:b/>
          <w:color w:val="000000" w:themeColor="text1"/>
        </w:rPr>
        <w:t>The mechanisms and timelines for making the results of the setting</w:t>
      </w:r>
      <w:r w:rsidR="00492B6F">
        <w:rPr>
          <w:b/>
          <w:color w:val="000000" w:themeColor="text1"/>
        </w:rPr>
        <w:t xml:space="preserve"> targets</w:t>
      </w:r>
      <w:r w:rsidRPr="00F85A5B">
        <w:rPr>
          <w:b/>
          <w:color w:val="000000" w:themeColor="text1"/>
        </w:rPr>
        <w:t>, data analysis, development of the improvement strategies, and evaluation available to the public.</w:t>
      </w:r>
    </w:p>
    <w:p w14:paraId="11C27D9E" w14:textId="4B17759B" w:rsidR="00583FAD" w:rsidRDefault="00583FAD" w:rsidP="00583FAD">
      <w:pPr>
        <w:rPr>
          <w:color w:val="000000" w:themeColor="text1"/>
          <w:szCs w:val="16"/>
        </w:rPr>
      </w:pPr>
      <w:proofErr w:type="spellStart"/>
      <w:r w:rsidRPr="00ED172B">
        <w:rPr>
          <w:color w:val="000000" w:themeColor="text1"/>
          <w:szCs w:val="16"/>
        </w:rPr>
        <w:t>TThe</w:t>
      </w:r>
      <w:proofErr w:type="spellEnd"/>
      <w:r w:rsidRPr="00ED172B">
        <w:rPr>
          <w:color w:val="000000" w:themeColor="text1"/>
          <w:szCs w:val="16"/>
        </w:rPr>
        <w:t xml:space="preserve"> State  reports this information to the public by posting the SPP/APR annually on this site: https://www.oregon.gov/ode/reports-and-data/SpEdReports/Pages/State-Performance-Plan-and-Annual-Performance-Report-for-Special-Education.aspx.</w:t>
      </w:r>
      <w:r w:rsidRPr="00ED172B">
        <w:rPr>
          <w:color w:val="000000" w:themeColor="text1"/>
          <w:szCs w:val="16"/>
        </w:rPr>
        <w:br/>
      </w:r>
      <w:r w:rsidRPr="00ED172B">
        <w:rPr>
          <w:color w:val="000000" w:themeColor="text1"/>
          <w:szCs w:val="16"/>
        </w:rPr>
        <w:br/>
        <w:t>The State does not solely rely on the website to meet the requirements for making results available to the public; in addition, the State also distributed the SPP/APR News Release to the media and public agencies on October 20, 2023, as required by 34 C.F.R §§ 300.602(b)(1)(</w:t>
      </w:r>
      <w:proofErr w:type="spellStart"/>
      <w:r w:rsidRPr="00ED172B">
        <w:rPr>
          <w:color w:val="000000" w:themeColor="text1"/>
          <w:szCs w:val="16"/>
        </w:rPr>
        <w:t>i</w:t>
      </w:r>
      <w:proofErr w:type="spellEnd"/>
      <w:r w:rsidRPr="00ED172B">
        <w:rPr>
          <w:color w:val="000000" w:themeColor="text1"/>
          <w:szCs w:val="16"/>
        </w:rPr>
        <w:t>)(B) and 303.702(b)(1)(</w:t>
      </w:r>
      <w:proofErr w:type="spellStart"/>
      <w:r w:rsidRPr="00ED172B">
        <w:rPr>
          <w:color w:val="000000" w:themeColor="text1"/>
          <w:szCs w:val="16"/>
        </w:rPr>
        <w:t>i</w:t>
      </w:r>
      <w:proofErr w:type="spellEnd"/>
      <w:r w:rsidRPr="00ED172B">
        <w:rPr>
          <w:color w:val="000000" w:themeColor="text1"/>
          <w:szCs w:val="16"/>
        </w:rPr>
        <w:t>)(B). This News Release provided web links, an explanation of the basis for the APR, and Key Highlights of Oregon’s APR. The State intends to continue to work with the ODE Communications Office to ensure that this media release process is adhered to annually.</w:t>
      </w:r>
    </w:p>
    <w:p w14:paraId="2B722A72" w14:textId="77777777" w:rsidR="00181DEB" w:rsidRPr="00ED172B" w:rsidRDefault="00181DEB">
      <w:pPr>
        <w:rPr>
          <w:b/>
          <w:color w:val="000000" w:themeColor="text1"/>
        </w:rPr>
      </w:pPr>
      <w:r w:rsidRPr="00ED172B">
        <w:rPr>
          <w:b/>
          <w:color w:val="000000" w:themeColor="text1"/>
        </w:rPr>
        <w:t>Reporting to the Public:</w:t>
      </w:r>
    </w:p>
    <w:p w14:paraId="1A46B98A" w14:textId="7593885A" w:rsidR="004868E8" w:rsidRPr="00ED172B" w:rsidRDefault="004868E8" w:rsidP="004868E8">
      <w:pPr>
        <w:rPr>
          <w:b/>
          <w:color w:val="000000" w:themeColor="text1"/>
          <w:szCs w:val="16"/>
        </w:rPr>
      </w:pPr>
      <w:r w:rsidRPr="00ED172B">
        <w:rPr>
          <w:b/>
          <w:color w:val="000000" w:themeColor="text1"/>
          <w:szCs w:val="16"/>
        </w:rPr>
        <w:t>How and where the State reported to the public on the FFY 2021 performance of each EIS Program located in the State on the targets in the SPP/APR as soon as practicable, but no later than 120 days following the State’s submission of its FFY 2021 APR, as required by 34 CFR §303.702(b)(1)(</w:t>
      </w:r>
      <w:proofErr w:type="spellStart"/>
      <w:r w:rsidRPr="00ED172B">
        <w:rPr>
          <w:b/>
          <w:color w:val="000000" w:themeColor="text1"/>
          <w:szCs w:val="16"/>
        </w:rPr>
        <w:t>i</w:t>
      </w:r>
      <w:proofErr w:type="spellEnd"/>
      <w:r w:rsidRPr="00ED172B">
        <w:rPr>
          <w:b/>
          <w:color w:val="000000" w:themeColor="text1"/>
          <w:szCs w:val="16"/>
        </w:rPr>
        <w:t>)(A); and a description of where, on its website, a complete copy of the State’s SPP/APR, including any revision</w:t>
      </w:r>
      <w:r w:rsidR="00492B6F">
        <w:rPr>
          <w:b/>
          <w:color w:val="000000" w:themeColor="text1"/>
          <w:szCs w:val="16"/>
        </w:rPr>
        <w:t>s</w:t>
      </w:r>
      <w:r w:rsidRPr="00ED172B">
        <w:rPr>
          <w:b/>
          <w:color w:val="000000" w:themeColor="text1"/>
          <w:szCs w:val="16"/>
        </w:rPr>
        <w:t xml:space="preserve"> if the State has revised the targets that it submitted with its FFY 2021 APR in 2023, is available.</w:t>
      </w:r>
    </w:p>
    <w:p w14:paraId="788E8800" w14:textId="7E8AC8B9" w:rsidR="003A4D77" w:rsidRPr="00ED172B" w:rsidRDefault="00860830" w:rsidP="00DF09CC">
      <w:pPr>
        <w:rPr>
          <w:color w:val="000000" w:themeColor="text1"/>
          <w:szCs w:val="16"/>
        </w:rPr>
      </w:pPr>
      <w:r w:rsidRPr="00ED172B">
        <w:rPr>
          <w:color w:val="000000" w:themeColor="text1"/>
          <w:szCs w:val="16"/>
        </w:rPr>
        <w:t xml:space="preserve">The State produces At-A-Glance Special Education Profiles for each of the 197 school districts and 35 Early Intervention/Early Childhood Special Education (EI/ECSE) county programs. An additional EI/ECSE profile is produced for the Confederated Tribes of Warm Springs and a combined report card for Sherman, Gilliam, and Wheeler counties. These report cards display the indicators on the Annual Performance Report that are required for public reporting. </w:t>
      </w:r>
      <w:r w:rsidRPr="00ED172B">
        <w:rPr>
          <w:color w:val="000000" w:themeColor="text1"/>
          <w:szCs w:val="16"/>
        </w:rPr>
        <w:br/>
      </w:r>
      <w:r w:rsidRPr="00ED172B">
        <w:rPr>
          <w:color w:val="000000" w:themeColor="text1"/>
          <w:szCs w:val="16"/>
        </w:rPr>
        <w:br/>
        <w:t xml:space="preserve">The State reports on Indicators B6, B7, B8, and B12 to the public on the EI/ECSE profiles. The State requires that districts distribute the profiles to all parents of students with IFSPs or IEPs. At-A-Glance Special Education Profiles are released to the public within 120 days of the APR submission to the Office of Special Education Programs (OSEP). </w:t>
      </w:r>
      <w:r w:rsidRPr="00ED172B">
        <w:rPr>
          <w:color w:val="000000" w:themeColor="text1"/>
          <w:szCs w:val="16"/>
        </w:rPr>
        <w:br/>
      </w:r>
      <w:r w:rsidRPr="00ED172B">
        <w:rPr>
          <w:color w:val="000000" w:themeColor="text1"/>
          <w:szCs w:val="16"/>
        </w:rPr>
        <w:br/>
        <w:t>The At-A-Glance Special Education Profiles are available at: https://www.ode.state.or.us/data/reportcard/ReportList.aspx. To find EI/ECSE profiles, type “EI” in the search box.  Additional information about the At-A-Glance Special Education Profiles (e.g., technical assistance documents) is available at: https://www.oregon.gov/ode/schools-and-districts/reportcards/SpEdReportCards/Pages/default.aspx.</w:t>
      </w:r>
      <w:r w:rsidRPr="00ED172B">
        <w:rPr>
          <w:color w:val="000000" w:themeColor="text1"/>
          <w:szCs w:val="16"/>
        </w:rPr>
        <w:br/>
      </w:r>
      <w:r w:rsidRPr="00ED172B">
        <w:rPr>
          <w:color w:val="000000" w:themeColor="text1"/>
          <w:szCs w:val="16"/>
        </w:rPr>
        <w:br/>
      </w:r>
      <w:r w:rsidRPr="00ED172B">
        <w:rPr>
          <w:color w:val="000000" w:themeColor="text1"/>
          <w:szCs w:val="16"/>
        </w:rPr>
        <w:br/>
        <w:t xml:space="preserve">The State’s SPP/APR including revised targets is posted at: https://www.oregon.gov/ode/reports-and-data/SpEdReports/Pages/State-Performance-Plan-and-Annual-Performance-Report-for-Special-Education.aspx. </w:t>
      </w:r>
    </w:p>
    <w:p w14:paraId="6A6F1771" w14:textId="3EDEB232" w:rsidR="003A4D77" w:rsidRPr="00A40EE1" w:rsidRDefault="00571E72" w:rsidP="00C15786">
      <w:pPr>
        <w:pStyle w:val="Heading2"/>
      </w:pPr>
      <w:r w:rsidRPr="00A40EE1">
        <w:t xml:space="preserve">Intro - </w:t>
      </w:r>
      <w:r w:rsidR="003A4D77" w:rsidRPr="00A40EE1">
        <w:t xml:space="preserve">Prior FFY Required Actions </w:t>
      </w:r>
    </w:p>
    <w:p w14:paraId="42E348D4" w14:textId="355A8F7D" w:rsidR="003A4D77" w:rsidRPr="00ED172B" w:rsidRDefault="00027F39" w:rsidP="00027F39">
      <w:pPr>
        <w:rPr>
          <w:color w:val="000000" w:themeColor="text1"/>
        </w:rPr>
      </w:pPr>
      <w:r w:rsidRPr="00ED172B">
        <w:rPr>
          <w:color w:val="000000" w:themeColor="text1"/>
        </w:rPr>
        <w:t>None</w:t>
      </w:r>
    </w:p>
    <w:p w14:paraId="49F2B657" w14:textId="77777777" w:rsidR="005A43C0" w:rsidRPr="00ED172B" w:rsidRDefault="005A43C0" w:rsidP="003A4D77">
      <w:pPr>
        <w:rPr>
          <w:rFonts w:cs="Arial"/>
          <w:color w:val="000000" w:themeColor="text1"/>
          <w:szCs w:val="16"/>
        </w:rPr>
      </w:pPr>
    </w:p>
    <w:p w14:paraId="37898305" w14:textId="383BCBB8" w:rsidR="003A4D77" w:rsidRPr="00A40EE1" w:rsidRDefault="00571E72" w:rsidP="00C15786">
      <w:pPr>
        <w:pStyle w:val="Heading2"/>
      </w:pPr>
      <w:r w:rsidRPr="00A40EE1">
        <w:lastRenderedPageBreak/>
        <w:t>Intro - OSEP Response</w:t>
      </w:r>
    </w:p>
    <w:p w14:paraId="317418C1" w14:textId="65B78829" w:rsidR="003A4D77" w:rsidRPr="00ED172B" w:rsidRDefault="00027F39" w:rsidP="00027F39">
      <w:pPr>
        <w:rPr>
          <w:color w:val="000000" w:themeColor="text1"/>
        </w:rPr>
      </w:pPr>
      <w:r w:rsidRPr="00ED172B">
        <w:rPr>
          <w:color w:val="000000" w:themeColor="text1"/>
        </w:rPr>
        <w:t>The State Interagency Coordinating Council (SICC) submitted to the Secretary its annual report that is required under IDEA Section 641(e)(1)(D) and 34 C.F.R. § 303.604(c). The SICC noted it has elected to support the State lead agency's submission of its SPP/APR as its annual report in lieu of submitting a separate report. OSEP accepts the SICC form, which will not be posted publicly with the State's SPP/APR documents.</w:t>
      </w:r>
      <w:r w:rsidRPr="00ED172B">
        <w:rPr>
          <w:color w:val="000000" w:themeColor="text1"/>
        </w:rPr>
        <w:br/>
      </w:r>
      <w:r w:rsidRPr="00ED172B">
        <w:rPr>
          <w:color w:val="000000" w:themeColor="text1"/>
        </w:rPr>
        <w:br/>
        <w:t>The State did not provide a description of the activities conducted to increase the capacity of diverse groups of parents.</w:t>
      </w:r>
    </w:p>
    <w:p w14:paraId="4DE677F5" w14:textId="22C5CCC7" w:rsidR="003A4D77" w:rsidRPr="00A40EE1" w:rsidRDefault="00571E72" w:rsidP="00C15786">
      <w:pPr>
        <w:pStyle w:val="Heading2"/>
      </w:pPr>
      <w:r w:rsidRPr="00A40EE1">
        <w:t>Intro - Required Actions</w:t>
      </w:r>
    </w:p>
    <w:p w14:paraId="1D94D5A9" w14:textId="74A17E4D" w:rsidR="003A4D77" w:rsidRPr="00ED172B" w:rsidRDefault="00027F39" w:rsidP="00027F39">
      <w:pPr>
        <w:rPr>
          <w:color w:val="000000" w:themeColor="text1"/>
        </w:rPr>
      </w:pPr>
      <w:r w:rsidRPr="00ED172B">
        <w:rPr>
          <w:color w:val="000000" w:themeColor="text1"/>
        </w:rPr>
        <w:t>The State has not provided a description of the activities conducted to increase the capacity of diverse groups of parents. In its FFY 2023 SPP/APR, the State must provide the required information.</w:t>
      </w:r>
    </w:p>
    <w:p w14:paraId="363852FA" w14:textId="77777777" w:rsidR="00181DEB" w:rsidRPr="00ED172B" w:rsidRDefault="00181DEB">
      <w:pPr>
        <w:spacing w:before="0" w:after="200" w:line="276" w:lineRule="auto"/>
        <w:rPr>
          <w:rFonts w:asciiTheme="majorHAnsi" w:eastAsiaTheme="majorEastAsia" w:hAnsiTheme="majorHAnsi" w:cstheme="majorBidi"/>
          <w:b/>
          <w:bCs/>
          <w:color w:val="000000" w:themeColor="text1"/>
          <w:sz w:val="28"/>
          <w:szCs w:val="28"/>
        </w:rPr>
      </w:pPr>
      <w:r w:rsidRPr="00ED172B">
        <w:rPr>
          <w:color w:val="000000" w:themeColor="text1"/>
        </w:rPr>
        <w:br w:type="page"/>
      </w:r>
    </w:p>
    <w:p w14:paraId="29D41139" w14:textId="3B97F0BA" w:rsidR="00EB0146" w:rsidRPr="00ED172B" w:rsidRDefault="00EB0146" w:rsidP="0077063D">
      <w:pPr>
        <w:pStyle w:val="Heading1"/>
        <w:rPr>
          <w:color w:val="000000" w:themeColor="text1"/>
        </w:rPr>
      </w:pPr>
      <w:r w:rsidRPr="00ED172B">
        <w:rPr>
          <w:color w:val="000000" w:themeColor="text1"/>
        </w:rPr>
        <w:lastRenderedPageBreak/>
        <w:t xml:space="preserve">Indicator 1: </w:t>
      </w:r>
      <w:bookmarkEnd w:id="0"/>
      <w:bookmarkEnd w:id="1"/>
      <w:r w:rsidR="005F5034" w:rsidRPr="00ED172B">
        <w:rPr>
          <w:color w:val="000000" w:themeColor="text1"/>
        </w:rPr>
        <w:t xml:space="preserve">Timely </w:t>
      </w:r>
      <w:r w:rsidR="00321B65" w:rsidRPr="00ED172B">
        <w:rPr>
          <w:color w:val="000000" w:themeColor="text1"/>
        </w:rPr>
        <w:t>P</w:t>
      </w:r>
      <w:r w:rsidR="005F5034" w:rsidRPr="00ED172B">
        <w:rPr>
          <w:color w:val="000000" w:themeColor="text1"/>
        </w:rPr>
        <w:t xml:space="preserve">rovision of </w:t>
      </w:r>
      <w:r w:rsidR="00321B65" w:rsidRPr="00ED172B">
        <w:rPr>
          <w:color w:val="000000" w:themeColor="text1"/>
        </w:rPr>
        <w:t>S</w:t>
      </w:r>
      <w:r w:rsidR="005F5034" w:rsidRPr="00ED172B">
        <w:rPr>
          <w:color w:val="000000" w:themeColor="text1"/>
        </w:rPr>
        <w:t>ervices</w:t>
      </w:r>
    </w:p>
    <w:p w14:paraId="289C1D05" w14:textId="23E658E1" w:rsidR="00174E1C" w:rsidRPr="00ED172B" w:rsidRDefault="00174E1C" w:rsidP="00E01C49">
      <w:pPr>
        <w:rPr>
          <w:color w:val="000000" w:themeColor="text1"/>
          <w:szCs w:val="20"/>
        </w:rPr>
      </w:pPr>
      <w:r w:rsidRPr="00ED172B">
        <w:rPr>
          <w:b/>
          <w:color w:val="000000" w:themeColor="text1"/>
          <w:sz w:val="20"/>
          <w:szCs w:val="20"/>
        </w:rPr>
        <w:t>Instructions and Measurement</w:t>
      </w:r>
    </w:p>
    <w:p w14:paraId="47A57E5D" w14:textId="77777777" w:rsidR="005F5034" w:rsidRPr="00ED172B" w:rsidRDefault="005F5034" w:rsidP="0077063D">
      <w:pPr>
        <w:rPr>
          <w:b/>
          <w:color w:val="000000" w:themeColor="text1"/>
          <w:szCs w:val="16"/>
        </w:rPr>
      </w:pPr>
      <w:bookmarkStart w:id="2" w:name="_Toc392159259"/>
      <w:r w:rsidRPr="00ED172B">
        <w:rPr>
          <w:b/>
          <w:color w:val="000000" w:themeColor="text1"/>
          <w:szCs w:val="16"/>
        </w:rPr>
        <w:t xml:space="preserve">Monitoring Priority: </w:t>
      </w:r>
      <w:r w:rsidRPr="00ED172B">
        <w:rPr>
          <w:color w:val="000000" w:themeColor="text1"/>
          <w:szCs w:val="16"/>
        </w:rPr>
        <w:t xml:space="preserve">Early Intervention Services </w:t>
      </w:r>
      <w:proofErr w:type="gramStart"/>
      <w:r w:rsidRPr="00ED172B">
        <w:rPr>
          <w:color w:val="000000" w:themeColor="text1"/>
          <w:szCs w:val="16"/>
        </w:rPr>
        <w:t>In</w:t>
      </w:r>
      <w:proofErr w:type="gramEnd"/>
      <w:r w:rsidRPr="00ED172B">
        <w:rPr>
          <w:color w:val="000000" w:themeColor="text1"/>
          <w:szCs w:val="16"/>
        </w:rPr>
        <w:t xml:space="preserve"> Natural Environments</w:t>
      </w:r>
    </w:p>
    <w:p w14:paraId="32ED9AA4" w14:textId="4704EC03" w:rsidR="005F5034" w:rsidRPr="00ED172B" w:rsidRDefault="005F5034" w:rsidP="005F5034">
      <w:pPr>
        <w:rPr>
          <w:color w:val="000000" w:themeColor="text1"/>
          <w:szCs w:val="16"/>
        </w:rPr>
      </w:pPr>
      <w:r w:rsidRPr="00ED172B">
        <w:rPr>
          <w:b/>
          <w:color w:val="000000" w:themeColor="text1"/>
          <w:szCs w:val="16"/>
        </w:rPr>
        <w:t xml:space="preserve">Compliance indicator: </w:t>
      </w:r>
      <w:r w:rsidRPr="00ED172B">
        <w:rPr>
          <w:color w:val="000000" w:themeColor="text1"/>
          <w:szCs w:val="16"/>
        </w:rPr>
        <w:t xml:space="preserve">Percent of infants and toddlers with </w:t>
      </w:r>
      <w:r w:rsidR="00DF09CC" w:rsidRPr="00ED172B">
        <w:rPr>
          <w:color w:val="000000" w:themeColor="text1"/>
          <w:szCs w:val="16"/>
        </w:rPr>
        <w:t>Individual Fa</w:t>
      </w:r>
      <w:r w:rsidR="001C6627">
        <w:rPr>
          <w:color w:val="000000" w:themeColor="text1"/>
          <w:szCs w:val="16"/>
        </w:rPr>
        <w:t>m</w:t>
      </w:r>
      <w:r w:rsidR="00DF09CC" w:rsidRPr="00ED172B">
        <w:rPr>
          <w:color w:val="000000" w:themeColor="text1"/>
          <w:szCs w:val="16"/>
        </w:rPr>
        <w:t>ily Service Plans</w:t>
      </w:r>
      <w:r w:rsidR="001C6627">
        <w:rPr>
          <w:color w:val="000000" w:themeColor="text1"/>
          <w:szCs w:val="16"/>
        </w:rPr>
        <w:t xml:space="preserve"> </w:t>
      </w:r>
      <w:r w:rsidR="00DF09CC" w:rsidRPr="00ED172B">
        <w:rPr>
          <w:color w:val="000000" w:themeColor="text1"/>
          <w:szCs w:val="16"/>
        </w:rPr>
        <w:t>(IFSPs)</w:t>
      </w:r>
      <w:r w:rsidRPr="00ED172B">
        <w:rPr>
          <w:color w:val="000000" w:themeColor="text1"/>
          <w:szCs w:val="16"/>
        </w:rPr>
        <w:t xml:space="preserve"> who receive the early intervention services on their IFSPs in a timely manner.</w:t>
      </w:r>
      <w:r w:rsidR="0077063D" w:rsidRPr="00ED172B">
        <w:rPr>
          <w:color w:val="000000" w:themeColor="text1"/>
          <w:szCs w:val="16"/>
        </w:rPr>
        <w:t xml:space="preserve"> </w:t>
      </w:r>
      <w:r w:rsidRPr="00ED172B">
        <w:rPr>
          <w:color w:val="000000" w:themeColor="text1"/>
          <w:szCs w:val="16"/>
        </w:rPr>
        <w:t>(20 U.S.C. 1416(a)(3)(A) and 1442)</w:t>
      </w:r>
    </w:p>
    <w:p w14:paraId="5ECAED3F" w14:textId="77777777" w:rsidR="00DF09CC" w:rsidRPr="00ED172B" w:rsidRDefault="00DF09CC">
      <w:pPr>
        <w:rPr>
          <w:b/>
          <w:color w:val="000000" w:themeColor="text1"/>
        </w:rPr>
      </w:pPr>
      <w:r w:rsidRPr="00ED172B">
        <w:rPr>
          <w:b/>
          <w:color w:val="000000" w:themeColor="text1"/>
        </w:rPr>
        <w:t>Data Source</w:t>
      </w:r>
    </w:p>
    <w:p w14:paraId="29FC80BA" w14:textId="724018B8" w:rsidR="00DF09CC" w:rsidRPr="00ED172B" w:rsidRDefault="00A86E16" w:rsidP="0077063D">
      <w:pPr>
        <w:rPr>
          <w:color w:val="000000" w:themeColor="text1"/>
          <w:szCs w:val="16"/>
        </w:rPr>
      </w:pPr>
      <w:r w:rsidRPr="00ED172B">
        <w:rPr>
          <w:color w:val="000000" w:themeColor="text1"/>
          <w:szCs w:val="16"/>
        </w:rPr>
        <w:t>Data to be taken from monitoring or State data system and must be based on actual, not an average, number of days. Include the State’s criteria for “timely” receipt of early intervention services (i.e., the time period from parent consent to when IFSP services are actually initiated).</w:t>
      </w:r>
    </w:p>
    <w:p w14:paraId="56E31631" w14:textId="77777777" w:rsidR="00DF09CC" w:rsidRPr="00ED172B" w:rsidRDefault="00DF09CC">
      <w:pPr>
        <w:rPr>
          <w:b/>
          <w:color w:val="000000" w:themeColor="text1"/>
        </w:rPr>
      </w:pPr>
      <w:r w:rsidRPr="00ED172B">
        <w:rPr>
          <w:b/>
          <w:color w:val="000000" w:themeColor="text1"/>
        </w:rPr>
        <w:t>Measurement</w:t>
      </w:r>
    </w:p>
    <w:p w14:paraId="4B425749" w14:textId="77777777" w:rsidR="00A86E16" w:rsidRPr="00ED172B" w:rsidRDefault="00A86E16" w:rsidP="0077063D">
      <w:pPr>
        <w:rPr>
          <w:color w:val="000000" w:themeColor="text1"/>
          <w:szCs w:val="16"/>
        </w:rPr>
      </w:pPr>
      <w:r w:rsidRPr="00ED172B">
        <w:rPr>
          <w:color w:val="000000" w:themeColor="text1"/>
          <w:szCs w:val="16"/>
        </w:rPr>
        <w:t>Percent = [(# of infants and toddlers with IFSPs who receive the early intervention services on their IFSPs in a timely manner) divided by the (total # of infants and toddlers with IFSPs)] times 100.</w:t>
      </w:r>
    </w:p>
    <w:p w14:paraId="4B1B5A45" w14:textId="77777777" w:rsidR="00A86E16" w:rsidRPr="00ED172B" w:rsidRDefault="00A86E16" w:rsidP="0077063D">
      <w:pPr>
        <w:rPr>
          <w:color w:val="000000" w:themeColor="text1"/>
          <w:szCs w:val="16"/>
        </w:rPr>
      </w:pPr>
      <w:r w:rsidRPr="00ED172B">
        <w:rPr>
          <w:color w:val="000000" w:themeColor="text1"/>
          <w:szCs w:val="16"/>
        </w:rPr>
        <w:t>Account for untimely receipt of services, including the reasons for delays.</w:t>
      </w:r>
    </w:p>
    <w:p w14:paraId="3CAFBCB4" w14:textId="77777777" w:rsidR="00DF09CC" w:rsidRPr="00ED172B" w:rsidRDefault="00DF09CC">
      <w:pPr>
        <w:rPr>
          <w:b/>
          <w:color w:val="000000" w:themeColor="text1"/>
        </w:rPr>
      </w:pPr>
      <w:r w:rsidRPr="00ED172B">
        <w:rPr>
          <w:b/>
          <w:color w:val="000000" w:themeColor="text1"/>
        </w:rPr>
        <w:t>Instructions</w:t>
      </w:r>
    </w:p>
    <w:p w14:paraId="3EE1C546" w14:textId="77777777" w:rsidR="00A86E16" w:rsidRPr="00D21F29" w:rsidRDefault="00A86E16" w:rsidP="0077063D">
      <w:pPr>
        <w:rPr>
          <w:i/>
          <w:iCs/>
          <w:color w:val="000000" w:themeColor="text1"/>
          <w:szCs w:val="16"/>
        </w:rPr>
      </w:pPr>
      <w:r w:rsidRPr="00D21F29">
        <w:rPr>
          <w:i/>
          <w:iCs/>
          <w:color w:val="000000" w:themeColor="text1"/>
          <w:szCs w:val="16"/>
        </w:rPr>
        <w:t xml:space="preserve">If data are from State monitoring, describe the method used to select early intervention service (EIS) programs for monitoring. If data are from a </w:t>
      </w:r>
      <w:proofErr w:type="gramStart"/>
      <w:r w:rsidRPr="00D21F29">
        <w:rPr>
          <w:i/>
          <w:iCs/>
          <w:color w:val="000000" w:themeColor="text1"/>
          <w:szCs w:val="16"/>
        </w:rPr>
        <w:t>State</w:t>
      </w:r>
      <w:proofErr w:type="gramEnd"/>
      <w:r w:rsidRPr="00D21F29">
        <w:rPr>
          <w:i/>
          <w:iCs/>
          <w:color w:val="000000" w:themeColor="text1"/>
          <w:szCs w:val="16"/>
        </w:rPr>
        <w:t xml:space="preserv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7659DB14" w14:textId="77777777" w:rsidR="00A86E16" w:rsidRPr="00ED172B" w:rsidRDefault="00A86E16" w:rsidP="0077063D">
      <w:pPr>
        <w:rPr>
          <w:color w:val="000000" w:themeColor="text1"/>
          <w:szCs w:val="16"/>
        </w:rPr>
      </w:pPr>
      <w:r w:rsidRPr="00ED172B">
        <w:rPr>
          <w:color w:val="000000" w:themeColor="text1"/>
          <w:szCs w:val="16"/>
        </w:rPr>
        <w:t>Targets must be 100%.</w:t>
      </w:r>
    </w:p>
    <w:p w14:paraId="7036877F" w14:textId="77777777" w:rsidR="00A86E16" w:rsidRPr="00ED172B" w:rsidRDefault="00A86E16" w:rsidP="0077063D">
      <w:pPr>
        <w:rPr>
          <w:color w:val="000000" w:themeColor="text1"/>
          <w:szCs w:val="16"/>
        </w:rPr>
      </w:pPr>
      <w:r w:rsidRPr="00ED172B">
        <w:rPr>
          <w:color w:val="000000" w:themeColor="text1"/>
          <w:szCs w:val="16"/>
        </w:rPr>
        <w:t>Describe the results of the calculations and compare the results to the target. Describe the method used to collect these data and if data are from the State’s monitoring, describe the procedures used to collect these data. States report in both the numerator and denominator under Indicator 1 on the number of children for whom the State ensured the timely initiation of new services identified on the IFSP. Include the timely initiation of new early intervention services from both initial IFSPs and subsequent IFSPs. Provide actual numbers used in the calculation.</w:t>
      </w:r>
    </w:p>
    <w:p w14:paraId="76F90F71" w14:textId="77777777" w:rsidR="00A86E16" w:rsidRPr="00ED172B" w:rsidRDefault="00A86E16" w:rsidP="0077063D">
      <w:pPr>
        <w:rPr>
          <w:color w:val="000000" w:themeColor="text1"/>
          <w:szCs w:val="16"/>
        </w:rPr>
      </w:pPr>
      <w:r w:rsidRPr="00ED172B">
        <w:rPr>
          <w:color w:val="000000" w:themeColor="text1"/>
          <w:szCs w:val="16"/>
        </w:rPr>
        <w:t>The State’s timeliness measure for this indicator must be either: (1) a time period that runs from when the parent consents to IFSP services; or (2) the IFSP initiation date (established by the IFSP Team, including the parent).</w:t>
      </w:r>
    </w:p>
    <w:p w14:paraId="4BD24914" w14:textId="77777777" w:rsidR="00A86E16" w:rsidRPr="00ED172B" w:rsidRDefault="00A86E16" w:rsidP="0077063D">
      <w:pPr>
        <w:rPr>
          <w:color w:val="000000" w:themeColor="text1"/>
          <w:szCs w:val="16"/>
        </w:rPr>
      </w:pPr>
      <w:r w:rsidRPr="00ED172B">
        <w:rPr>
          <w:color w:val="000000" w:themeColor="text1"/>
          <w:szCs w:val="16"/>
        </w:rPr>
        <w:t>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5D4A54D0" w14:textId="64753B7F" w:rsidR="00A86E16" w:rsidRPr="00ED172B" w:rsidRDefault="00A86E16" w:rsidP="0077063D">
      <w:pPr>
        <w:rPr>
          <w:color w:val="000000" w:themeColor="text1"/>
          <w:szCs w:val="16"/>
        </w:rPr>
      </w:pPr>
      <w:r w:rsidRPr="00ED172B">
        <w:rPr>
          <w:color w:val="000000" w:themeColor="text1"/>
          <w:szCs w:val="16"/>
        </w:rPr>
        <w:t xml:space="preserve">Provide detailed information about the timely correction of </w:t>
      </w:r>
      <w:r w:rsidR="00333435" w:rsidRPr="00D21F29">
        <w:rPr>
          <w:color w:val="000000" w:themeColor="text1"/>
          <w:szCs w:val="16"/>
        </w:rPr>
        <w:t xml:space="preserve">child-specific and regulatory/systemic </w:t>
      </w:r>
      <w:r w:rsidRPr="00ED172B">
        <w:rPr>
          <w:color w:val="000000" w:themeColor="text1"/>
          <w:szCs w:val="16"/>
        </w:rPr>
        <w:t>noncompliance as noted in the Office of Special Education Programs’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07A49385" w14:textId="08103D9A" w:rsidR="00A86E16" w:rsidRPr="00ED172B" w:rsidRDefault="00A86E16" w:rsidP="0077063D">
      <w:pPr>
        <w:rPr>
          <w:color w:val="000000" w:themeColor="text1"/>
          <w:szCs w:val="16"/>
        </w:rPr>
      </w:pPr>
      <w:r w:rsidRPr="00ED172B">
        <w:rPr>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66EA9111" w14:textId="77777777" w:rsidR="00193E59" w:rsidRPr="00ED172B" w:rsidRDefault="00193E59" w:rsidP="0077063D">
      <w:pPr>
        <w:rPr>
          <w:color w:val="000000" w:themeColor="text1"/>
          <w:szCs w:val="16"/>
        </w:rPr>
      </w:pPr>
    </w:p>
    <w:bookmarkEnd w:id="2"/>
    <w:p w14:paraId="50323F6D" w14:textId="004783BF" w:rsidR="005E59DB" w:rsidRPr="00A40EE1" w:rsidRDefault="000D0117" w:rsidP="005C3FFD">
      <w:pPr>
        <w:pStyle w:val="Heading2"/>
      </w:pPr>
      <w:r w:rsidRPr="00A40EE1">
        <w:t xml:space="preserve">1 - </w:t>
      </w:r>
      <w:r w:rsidR="0077063D" w:rsidRPr="00A40EE1">
        <w:t>Indicator Data</w:t>
      </w:r>
    </w:p>
    <w:p w14:paraId="32B81788" w14:textId="009B6C8A" w:rsidR="00761753" w:rsidRDefault="00761753">
      <w:pPr>
        <w:rPr>
          <w:b/>
          <w:color w:val="000000" w:themeColor="text1"/>
        </w:rPr>
      </w:pPr>
      <w:bookmarkStart w:id="3" w:name="_Toc392159260"/>
      <w:r w:rsidRPr="00ED172B">
        <w:rPr>
          <w:b/>
          <w:color w:val="000000" w:themeColor="text1"/>
        </w:rPr>
        <w:t>Historical Data</w:t>
      </w:r>
    </w:p>
    <w:tbl>
      <w:tblPr>
        <w:tblStyle w:val="TableGrid"/>
        <w:tblW w:w="0" w:type="auto"/>
        <w:tblLayout w:type="fixed"/>
        <w:tblLook w:val="04A0" w:firstRow="1" w:lastRow="0" w:firstColumn="1" w:lastColumn="0" w:noHBand="0" w:noVBand="1"/>
        <w:tblCaption w:val="C01BASELINEDATA"/>
      </w:tblPr>
      <w:tblGrid>
        <w:gridCol w:w="1797"/>
        <w:gridCol w:w="1798"/>
      </w:tblGrid>
      <w:tr w:rsidR="000A2C40" w14:paraId="1641C315" w14:textId="77777777" w:rsidTr="00A40EE1">
        <w:trPr>
          <w:trHeight w:val="311"/>
          <w:tblHeader/>
        </w:trPr>
        <w:tc>
          <w:tcPr>
            <w:tcW w:w="1797" w:type="dxa"/>
          </w:tcPr>
          <w:p w14:paraId="6D8A83A6" w14:textId="77777777" w:rsidR="000A2C40" w:rsidRPr="003923EF" w:rsidRDefault="000A2C40" w:rsidP="000A2C40">
            <w:pPr>
              <w:jc w:val="center"/>
              <w:rPr>
                <w:b/>
                <w:color w:val="000000" w:themeColor="text1"/>
              </w:rPr>
            </w:pPr>
            <w:r w:rsidRPr="00C779B5">
              <w:rPr>
                <w:rFonts w:cs="Arial"/>
                <w:b/>
                <w:color w:val="000000" w:themeColor="text1"/>
                <w:szCs w:val="16"/>
              </w:rPr>
              <w:t>Baseline Year</w:t>
            </w:r>
          </w:p>
        </w:tc>
        <w:tc>
          <w:tcPr>
            <w:tcW w:w="1798" w:type="dxa"/>
          </w:tcPr>
          <w:p w14:paraId="75E967D8" w14:textId="77777777" w:rsidR="000A2C40" w:rsidRPr="00C779B5" w:rsidRDefault="000A2C40" w:rsidP="000A2C40">
            <w:pPr>
              <w:jc w:val="center"/>
              <w:rPr>
                <w:b/>
                <w:color w:val="000000" w:themeColor="text1"/>
              </w:rPr>
            </w:pPr>
            <w:r w:rsidRPr="00C779B5">
              <w:rPr>
                <w:b/>
                <w:color w:val="000000" w:themeColor="text1"/>
              </w:rPr>
              <w:t>Baseline Data</w:t>
            </w:r>
          </w:p>
        </w:tc>
      </w:tr>
      <w:tr w:rsidR="000A2C40" w14:paraId="3FD36428" w14:textId="77777777" w:rsidTr="00A40EE1">
        <w:trPr>
          <w:trHeight w:val="311"/>
        </w:trPr>
        <w:tc>
          <w:tcPr>
            <w:tcW w:w="1797" w:type="dxa"/>
            <w:vAlign w:val="center"/>
          </w:tcPr>
          <w:p w14:paraId="73E5A89C" w14:textId="26AE6D7B" w:rsidR="000A2C40" w:rsidRDefault="000A2C40" w:rsidP="000A2C40">
            <w:pPr>
              <w:jc w:val="center"/>
              <w:rPr>
                <w:b/>
                <w:color w:val="000000" w:themeColor="text1"/>
              </w:rPr>
            </w:pPr>
            <w:r w:rsidRPr="005C29F8">
              <w:rPr>
                <w:rFonts w:cs="Arial"/>
                <w:color w:val="000000" w:themeColor="text1"/>
                <w:szCs w:val="16"/>
              </w:rPr>
              <w:t>2005</w:t>
            </w:r>
          </w:p>
        </w:tc>
        <w:tc>
          <w:tcPr>
            <w:tcW w:w="1798" w:type="dxa"/>
            <w:vAlign w:val="center"/>
          </w:tcPr>
          <w:p w14:paraId="4C825A6A" w14:textId="0D819E12" w:rsidR="000A2C40" w:rsidRDefault="000A2C40" w:rsidP="000A2C40">
            <w:pPr>
              <w:jc w:val="center"/>
              <w:rPr>
                <w:b/>
                <w:color w:val="000000" w:themeColor="text1"/>
              </w:rPr>
            </w:pPr>
            <w:r w:rsidRPr="005C29F8">
              <w:rPr>
                <w:rFonts w:cs="Arial"/>
                <w:color w:val="000000" w:themeColor="text1"/>
                <w:szCs w:val="16"/>
              </w:rPr>
              <w:t>99.00%</w:t>
            </w:r>
          </w:p>
        </w:tc>
      </w:tr>
    </w:tbl>
    <w:p w14:paraId="659F9D02" w14:textId="24567A3D" w:rsidR="000A2C40" w:rsidRDefault="000A2C40">
      <w:pPr>
        <w:rPr>
          <w:b/>
          <w:color w:val="000000" w:themeColor="text1"/>
        </w:rPr>
      </w:pPr>
    </w:p>
    <w:p w14:paraId="249C4D61" w14:textId="77777777" w:rsidR="000A2C40" w:rsidRPr="00ED172B" w:rsidRDefault="000A2C40">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1HISTDATA"/>
      </w:tblPr>
      <w:tblGrid>
        <w:gridCol w:w="984"/>
        <w:gridCol w:w="1979"/>
        <w:gridCol w:w="1981"/>
        <w:gridCol w:w="1834"/>
        <w:gridCol w:w="2007"/>
        <w:gridCol w:w="2005"/>
      </w:tblGrid>
      <w:tr w:rsidR="00ED172B" w:rsidRPr="00ED172B" w14:paraId="22CB2AFF" w14:textId="11B2D5F0" w:rsidTr="00986B99">
        <w:trPr>
          <w:trHeight w:val="350"/>
        </w:trPr>
        <w:tc>
          <w:tcPr>
            <w:tcW w:w="456" w:type="pct"/>
            <w:tcBorders>
              <w:bottom w:val="single" w:sz="4" w:space="0" w:color="auto"/>
            </w:tcBorders>
            <w:shd w:val="clear" w:color="auto" w:fill="auto"/>
          </w:tcPr>
          <w:p w14:paraId="171B41E8" w14:textId="77777777" w:rsidR="003A4D77" w:rsidRPr="00ED172B" w:rsidRDefault="003A4D77" w:rsidP="00E01C49">
            <w:pPr>
              <w:jc w:val="center"/>
              <w:rPr>
                <w:b/>
                <w:color w:val="000000" w:themeColor="text1"/>
                <w:szCs w:val="16"/>
              </w:rPr>
            </w:pPr>
            <w:r w:rsidRPr="00ED172B">
              <w:rPr>
                <w:b/>
                <w:color w:val="000000" w:themeColor="text1"/>
                <w:szCs w:val="16"/>
              </w:rPr>
              <w:t>FFY</w:t>
            </w:r>
          </w:p>
        </w:tc>
        <w:tc>
          <w:tcPr>
            <w:tcW w:w="917" w:type="pct"/>
            <w:shd w:val="clear" w:color="auto" w:fill="auto"/>
            <w:vAlign w:val="center"/>
          </w:tcPr>
          <w:p w14:paraId="0BBC31D5" w14:textId="34E2A72C" w:rsidR="003A4D77" w:rsidRPr="00ED172B" w:rsidRDefault="002163F2" w:rsidP="003A4D77">
            <w:pPr>
              <w:jc w:val="center"/>
              <w:rPr>
                <w:b/>
                <w:color w:val="000000" w:themeColor="text1"/>
                <w:szCs w:val="16"/>
              </w:rPr>
            </w:pPr>
            <w:r w:rsidRPr="00ED172B">
              <w:rPr>
                <w:rFonts w:cs="Arial"/>
                <w:b/>
                <w:color w:val="000000" w:themeColor="text1"/>
                <w:szCs w:val="16"/>
              </w:rPr>
              <w:t>2017</w:t>
            </w:r>
          </w:p>
        </w:tc>
        <w:tc>
          <w:tcPr>
            <w:tcW w:w="918" w:type="pct"/>
            <w:shd w:val="clear" w:color="auto" w:fill="auto"/>
            <w:vAlign w:val="center"/>
          </w:tcPr>
          <w:p w14:paraId="4DD075F8" w14:textId="7F484A8A" w:rsidR="003A4D77" w:rsidRPr="00ED172B" w:rsidRDefault="002163F2" w:rsidP="003A4D77">
            <w:pPr>
              <w:jc w:val="center"/>
              <w:rPr>
                <w:b/>
                <w:color w:val="000000" w:themeColor="text1"/>
                <w:szCs w:val="16"/>
              </w:rPr>
            </w:pPr>
            <w:r w:rsidRPr="00ED172B">
              <w:rPr>
                <w:rFonts w:cs="Arial"/>
                <w:b/>
                <w:color w:val="000000" w:themeColor="text1"/>
                <w:szCs w:val="16"/>
              </w:rPr>
              <w:t>2018</w:t>
            </w:r>
          </w:p>
        </w:tc>
        <w:tc>
          <w:tcPr>
            <w:tcW w:w="850" w:type="pct"/>
            <w:shd w:val="clear" w:color="auto" w:fill="auto"/>
            <w:vAlign w:val="center"/>
          </w:tcPr>
          <w:p w14:paraId="514A90C5" w14:textId="37A399C8" w:rsidR="003A4D77" w:rsidRPr="00ED172B" w:rsidRDefault="002163F2" w:rsidP="003A4D77">
            <w:pPr>
              <w:jc w:val="center"/>
              <w:rPr>
                <w:b/>
                <w:color w:val="000000" w:themeColor="text1"/>
                <w:szCs w:val="16"/>
              </w:rPr>
            </w:pPr>
            <w:r w:rsidRPr="00ED172B">
              <w:rPr>
                <w:rFonts w:cs="Arial"/>
                <w:b/>
                <w:color w:val="000000" w:themeColor="text1"/>
                <w:szCs w:val="16"/>
              </w:rPr>
              <w:t>2019</w:t>
            </w:r>
          </w:p>
        </w:tc>
        <w:tc>
          <w:tcPr>
            <w:tcW w:w="930" w:type="pct"/>
            <w:shd w:val="clear" w:color="auto" w:fill="auto"/>
            <w:vAlign w:val="center"/>
          </w:tcPr>
          <w:p w14:paraId="34A0C210" w14:textId="0D3E0248" w:rsidR="003A4D77" w:rsidRPr="00ED172B" w:rsidRDefault="002163F2" w:rsidP="003A4D77">
            <w:pPr>
              <w:jc w:val="center"/>
              <w:rPr>
                <w:b/>
                <w:color w:val="000000" w:themeColor="text1"/>
                <w:szCs w:val="16"/>
              </w:rPr>
            </w:pPr>
            <w:r w:rsidRPr="00ED172B">
              <w:rPr>
                <w:rFonts w:cs="Arial"/>
                <w:b/>
                <w:color w:val="000000" w:themeColor="text1"/>
                <w:szCs w:val="16"/>
              </w:rPr>
              <w:t>2020</w:t>
            </w:r>
          </w:p>
        </w:tc>
        <w:tc>
          <w:tcPr>
            <w:tcW w:w="929" w:type="pct"/>
            <w:shd w:val="clear" w:color="auto" w:fill="auto"/>
            <w:vAlign w:val="center"/>
          </w:tcPr>
          <w:p w14:paraId="1641BA41" w14:textId="0CD4505D" w:rsidR="003A4D77" w:rsidRPr="00ED172B" w:rsidRDefault="006D43D3" w:rsidP="003A4D77">
            <w:pPr>
              <w:jc w:val="center"/>
              <w:rPr>
                <w:b/>
                <w:color w:val="000000" w:themeColor="text1"/>
                <w:szCs w:val="16"/>
              </w:rPr>
            </w:pPr>
            <w:r w:rsidRPr="00ED172B">
              <w:rPr>
                <w:rFonts w:cs="Arial"/>
                <w:b/>
                <w:color w:val="000000" w:themeColor="text1"/>
                <w:szCs w:val="16"/>
              </w:rPr>
              <w:t>2021</w:t>
            </w:r>
          </w:p>
        </w:tc>
      </w:tr>
      <w:tr w:rsidR="00ED172B" w:rsidRPr="00ED172B" w14:paraId="6CE8763A" w14:textId="0E161AC9" w:rsidTr="00986B99">
        <w:trPr>
          <w:trHeight w:val="357"/>
        </w:trPr>
        <w:tc>
          <w:tcPr>
            <w:tcW w:w="456" w:type="pct"/>
            <w:shd w:val="clear" w:color="auto" w:fill="auto"/>
          </w:tcPr>
          <w:p w14:paraId="673D2FDB" w14:textId="5EFC127B" w:rsidR="00CB5BE6" w:rsidRPr="00ED172B" w:rsidRDefault="00CB5BE6" w:rsidP="00D21F29">
            <w:pPr>
              <w:jc w:val="center"/>
              <w:rPr>
                <w:color w:val="000000" w:themeColor="text1"/>
                <w:szCs w:val="16"/>
              </w:rPr>
            </w:pPr>
            <w:r w:rsidRPr="00ED172B">
              <w:rPr>
                <w:color w:val="000000" w:themeColor="text1"/>
                <w:szCs w:val="16"/>
              </w:rPr>
              <w:t>Target</w:t>
            </w:r>
          </w:p>
        </w:tc>
        <w:tc>
          <w:tcPr>
            <w:tcW w:w="917" w:type="pct"/>
            <w:shd w:val="clear" w:color="auto" w:fill="auto"/>
          </w:tcPr>
          <w:p w14:paraId="3161DFBE" w14:textId="692C0959" w:rsidR="00CB5BE6" w:rsidRPr="00ED172B" w:rsidRDefault="008C4470" w:rsidP="00CB5BE6">
            <w:pPr>
              <w:jc w:val="center"/>
              <w:rPr>
                <w:color w:val="000000" w:themeColor="text1"/>
                <w:szCs w:val="16"/>
              </w:rPr>
            </w:pPr>
            <w:r w:rsidRPr="00ED172B">
              <w:rPr>
                <w:color w:val="000000" w:themeColor="text1"/>
                <w:szCs w:val="16"/>
              </w:rPr>
              <w:t>100%</w:t>
            </w:r>
          </w:p>
        </w:tc>
        <w:tc>
          <w:tcPr>
            <w:tcW w:w="918" w:type="pct"/>
            <w:shd w:val="clear" w:color="auto" w:fill="auto"/>
          </w:tcPr>
          <w:p w14:paraId="12D1472E" w14:textId="2561B9FA" w:rsidR="00CB5BE6" w:rsidRPr="00ED172B" w:rsidRDefault="008C4470" w:rsidP="00CB5BE6">
            <w:pPr>
              <w:jc w:val="center"/>
              <w:rPr>
                <w:color w:val="000000" w:themeColor="text1"/>
                <w:szCs w:val="16"/>
              </w:rPr>
            </w:pPr>
            <w:r w:rsidRPr="00ED172B">
              <w:rPr>
                <w:color w:val="000000" w:themeColor="text1"/>
                <w:szCs w:val="16"/>
              </w:rPr>
              <w:t>100%</w:t>
            </w:r>
          </w:p>
        </w:tc>
        <w:tc>
          <w:tcPr>
            <w:tcW w:w="850" w:type="pct"/>
            <w:shd w:val="clear" w:color="auto" w:fill="auto"/>
          </w:tcPr>
          <w:p w14:paraId="01A46A4F" w14:textId="759D4F9D" w:rsidR="00CB5BE6" w:rsidRPr="00ED172B" w:rsidRDefault="008C4470" w:rsidP="00CB5BE6">
            <w:pPr>
              <w:jc w:val="center"/>
              <w:rPr>
                <w:color w:val="000000" w:themeColor="text1"/>
                <w:szCs w:val="16"/>
              </w:rPr>
            </w:pPr>
            <w:r w:rsidRPr="00ED172B">
              <w:rPr>
                <w:color w:val="000000" w:themeColor="text1"/>
                <w:szCs w:val="16"/>
              </w:rPr>
              <w:t>100%</w:t>
            </w:r>
          </w:p>
        </w:tc>
        <w:tc>
          <w:tcPr>
            <w:tcW w:w="930" w:type="pct"/>
            <w:shd w:val="clear" w:color="auto" w:fill="auto"/>
          </w:tcPr>
          <w:p w14:paraId="1B8F0DD3" w14:textId="4F0775AB" w:rsidR="00CB5BE6" w:rsidRPr="00ED172B" w:rsidRDefault="008C4470" w:rsidP="00CB5BE6">
            <w:pPr>
              <w:jc w:val="center"/>
              <w:rPr>
                <w:color w:val="000000" w:themeColor="text1"/>
                <w:szCs w:val="16"/>
              </w:rPr>
            </w:pPr>
            <w:r w:rsidRPr="00ED172B">
              <w:rPr>
                <w:color w:val="000000" w:themeColor="text1"/>
                <w:szCs w:val="16"/>
              </w:rPr>
              <w:t>100%</w:t>
            </w:r>
          </w:p>
        </w:tc>
        <w:tc>
          <w:tcPr>
            <w:tcW w:w="929" w:type="pct"/>
            <w:shd w:val="clear" w:color="auto" w:fill="auto"/>
          </w:tcPr>
          <w:p w14:paraId="5A12292D" w14:textId="0A238119" w:rsidR="00CB5BE6" w:rsidRPr="00ED172B" w:rsidRDefault="008C4470" w:rsidP="00CB5BE6">
            <w:pPr>
              <w:jc w:val="center"/>
              <w:rPr>
                <w:color w:val="000000" w:themeColor="text1"/>
                <w:szCs w:val="16"/>
              </w:rPr>
            </w:pPr>
            <w:r w:rsidRPr="00ED172B">
              <w:rPr>
                <w:color w:val="000000" w:themeColor="text1"/>
                <w:szCs w:val="16"/>
              </w:rPr>
              <w:t>100%</w:t>
            </w:r>
          </w:p>
        </w:tc>
      </w:tr>
      <w:tr w:rsidR="00ED172B" w:rsidRPr="00ED172B" w14:paraId="58686DBF" w14:textId="1B582E75" w:rsidTr="00986B99">
        <w:trPr>
          <w:trHeight w:val="85"/>
        </w:trPr>
        <w:tc>
          <w:tcPr>
            <w:tcW w:w="456" w:type="pct"/>
            <w:shd w:val="clear" w:color="auto" w:fill="auto"/>
          </w:tcPr>
          <w:p w14:paraId="2D0C7D71" w14:textId="77777777" w:rsidR="003A4D77" w:rsidRPr="00ED172B" w:rsidRDefault="003A4D77" w:rsidP="00D21F29">
            <w:pPr>
              <w:jc w:val="center"/>
              <w:rPr>
                <w:color w:val="000000" w:themeColor="text1"/>
                <w:szCs w:val="16"/>
              </w:rPr>
            </w:pPr>
            <w:r w:rsidRPr="00ED172B">
              <w:rPr>
                <w:color w:val="000000" w:themeColor="text1"/>
                <w:szCs w:val="16"/>
              </w:rPr>
              <w:t>Data</w:t>
            </w:r>
          </w:p>
        </w:tc>
        <w:tc>
          <w:tcPr>
            <w:tcW w:w="917" w:type="pct"/>
            <w:shd w:val="clear" w:color="auto" w:fill="auto"/>
            <w:vAlign w:val="center"/>
          </w:tcPr>
          <w:p w14:paraId="533520F5" w14:textId="68A00307" w:rsidR="003A4D77" w:rsidRPr="00ED172B" w:rsidRDefault="00860830" w:rsidP="003A4D77">
            <w:pPr>
              <w:jc w:val="center"/>
              <w:rPr>
                <w:color w:val="000000" w:themeColor="text1"/>
                <w:szCs w:val="16"/>
              </w:rPr>
            </w:pPr>
            <w:r w:rsidRPr="00ED172B">
              <w:rPr>
                <w:rFonts w:cs="Arial"/>
                <w:color w:val="000000" w:themeColor="text1"/>
                <w:szCs w:val="16"/>
              </w:rPr>
              <w:t>92.86%</w:t>
            </w:r>
          </w:p>
        </w:tc>
        <w:tc>
          <w:tcPr>
            <w:tcW w:w="918" w:type="pct"/>
            <w:tcBorders>
              <w:bottom w:val="single" w:sz="4" w:space="0" w:color="auto"/>
            </w:tcBorders>
            <w:shd w:val="clear" w:color="auto" w:fill="auto"/>
            <w:vAlign w:val="center"/>
          </w:tcPr>
          <w:p w14:paraId="383E26BA" w14:textId="07A641ED" w:rsidR="003A4D77" w:rsidRPr="00ED172B" w:rsidRDefault="00860830" w:rsidP="003A4D77">
            <w:pPr>
              <w:jc w:val="center"/>
              <w:rPr>
                <w:color w:val="000000" w:themeColor="text1"/>
                <w:szCs w:val="16"/>
              </w:rPr>
            </w:pPr>
            <w:r w:rsidRPr="00ED172B">
              <w:rPr>
                <w:rFonts w:cs="Arial"/>
                <w:color w:val="000000" w:themeColor="text1"/>
                <w:szCs w:val="16"/>
              </w:rPr>
              <w:t>95.51%</w:t>
            </w:r>
          </w:p>
        </w:tc>
        <w:tc>
          <w:tcPr>
            <w:tcW w:w="850" w:type="pct"/>
            <w:tcBorders>
              <w:bottom w:val="single" w:sz="4" w:space="0" w:color="auto"/>
            </w:tcBorders>
            <w:shd w:val="clear" w:color="auto" w:fill="auto"/>
            <w:vAlign w:val="center"/>
          </w:tcPr>
          <w:p w14:paraId="4360919A" w14:textId="650E7DC6" w:rsidR="003A4D77" w:rsidRPr="00ED172B" w:rsidRDefault="00860830" w:rsidP="003A4D77">
            <w:pPr>
              <w:jc w:val="center"/>
              <w:rPr>
                <w:color w:val="000000" w:themeColor="text1"/>
                <w:szCs w:val="16"/>
              </w:rPr>
            </w:pPr>
            <w:r w:rsidRPr="00ED172B">
              <w:rPr>
                <w:rFonts w:cs="Arial"/>
                <w:color w:val="000000" w:themeColor="text1"/>
                <w:szCs w:val="16"/>
              </w:rPr>
              <w:t>97.47%</w:t>
            </w:r>
          </w:p>
        </w:tc>
        <w:tc>
          <w:tcPr>
            <w:tcW w:w="930" w:type="pct"/>
            <w:tcBorders>
              <w:bottom w:val="single" w:sz="4" w:space="0" w:color="auto"/>
            </w:tcBorders>
            <w:shd w:val="clear" w:color="auto" w:fill="auto"/>
            <w:vAlign w:val="center"/>
          </w:tcPr>
          <w:p w14:paraId="6ABE873A" w14:textId="1CB80B8B" w:rsidR="003A4D77" w:rsidRPr="00ED172B" w:rsidRDefault="00860830" w:rsidP="003A4D77">
            <w:pPr>
              <w:jc w:val="center"/>
              <w:rPr>
                <w:color w:val="000000" w:themeColor="text1"/>
                <w:szCs w:val="16"/>
              </w:rPr>
            </w:pPr>
            <w:r w:rsidRPr="00ED172B">
              <w:rPr>
                <w:rFonts w:cs="Arial"/>
                <w:color w:val="000000" w:themeColor="text1"/>
                <w:szCs w:val="16"/>
              </w:rPr>
              <w:t>96.84%</w:t>
            </w:r>
          </w:p>
        </w:tc>
        <w:tc>
          <w:tcPr>
            <w:tcW w:w="929" w:type="pct"/>
            <w:tcBorders>
              <w:bottom w:val="single" w:sz="4" w:space="0" w:color="auto"/>
            </w:tcBorders>
            <w:shd w:val="clear" w:color="auto" w:fill="auto"/>
            <w:vAlign w:val="center"/>
          </w:tcPr>
          <w:p w14:paraId="2A56A472" w14:textId="1476B433" w:rsidR="003A4D77" w:rsidRPr="00ED172B" w:rsidRDefault="00860830" w:rsidP="003A4D77">
            <w:pPr>
              <w:jc w:val="center"/>
              <w:rPr>
                <w:color w:val="000000" w:themeColor="text1"/>
                <w:szCs w:val="16"/>
              </w:rPr>
            </w:pPr>
            <w:r w:rsidRPr="00ED172B">
              <w:rPr>
                <w:rFonts w:cs="Arial"/>
                <w:color w:val="000000" w:themeColor="text1"/>
                <w:szCs w:val="16"/>
              </w:rPr>
              <w:t>97.97%</w:t>
            </w:r>
          </w:p>
        </w:tc>
      </w:tr>
    </w:tbl>
    <w:p w14:paraId="461F44EB" w14:textId="77777777" w:rsidR="000A2C40" w:rsidRDefault="000A2C40">
      <w:pPr>
        <w:rPr>
          <w:b/>
          <w:color w:val="000000" w:themeColor="text1"/>
        </w:rPr>
      </w:pPr>
    </w:p>
    <w:p w14:paraId="33CA97E7" w14:textId="2A9F8E35" w:rsidR="00B609A4" w:rsidRPr="00ED172B" w:rsidRDefault="00B609A4">
      <w:pPr>
        <w:rPr>
          <w:b/>
          <w:color w:val="000000" w:themeColor="text1"/>
        </w:rPr>
      </w:pPr>
      <w:r w:rsidRPr="00ED172B">
        <w:rPr>
          <w:b/>
          <w:color w:val="000000" w:themeColor="text1"/>
        </w:rPr>
        <w:t>Targets</w:t>
      </w:r>
    </w:p>
    <w:tbl>
      <w:tblPr>
        <w:tblW w:w="34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1TARGETS"/>
      </w:tblPr>
      <w:tblGrid>
        <w:gridCol w:w="679"/>
        <w:gridCol w:w="1687"/>
        <w:gridCol w:w="1685"/>
        <w:gridCol w:w="1685"/>
        <w:gridCol w:w="1685"/>
      </w:tblGrid>
      <w:tr w:rsidR="00E8119B" w:rsidRPr="00ED172B" w14:paraId="246DB490" w14:textId="7B55901D" w:rsidTr="00E415ED">
        <w:trPr>
          <w:trHeight w:val="350"/>
        </w:trPr>
        <w:tc>
          <w:tcPr>
            <w:tcW w:w="458" w:type="pct"/>
            <w:tcBorders>
              <w:bottom w:val="single" w:sz="4" w:space="0" w:color="auto"/>
            </w:tcBorders>
            <w:shd w:val="clear" w:color="auto" w:fill="auto"/>
          </w:tcPr>
          <w:p w14:paraId="7E3256F3" w14:textId="77777777" w:rsidR="00E8119B" w:rsidRPr="00ED172B" w:rsidRDefault="00E8119B" w:rsidP="00E01C49">
            <w:pPr>
              <w:jc w:val="center"/>
              <w:rPr>
                <w:b/>
                <w:color w:val="000000" w:themeColor="text1"/>
                <w:szCs w:val="16"/>
              </w:rPr>
            </w:pPr>
            <w:r w:rsidRPr="00ED172B">
              <w:rPr>
                <w:b/>
                <w:color w:val="000000" w:themeColor="text1"/>
                <w:szCs w:val="16"/>
              </w:rPr>
              <w:t>FFY</w:t>
            </w:r>
          </w:p>
        </w:tc>
        <w:tc>
          <w:tcPr>
            <w:tcW w:w="1137" w:type="pct"/>
            <w:shd w:val="clear" w:color="auto" w:fill="auto"/>
            <w:vAlign w:val="center"/>
          </w:tcPr>
          <w:p w14:paraId="6C3EA6E7" w14:textId="0CD96192" w:rsidR="00E8119B" w:rsidRPr="00ED172B" w:rsidRDefault="00E8119B" w:rsidP="003A4D77">
            <w:pPr>
              <w:jc w:val="center"/>
              <w:rPr>
                <w:b/>
                <w:color w:val="000000" w:themeColor="text1"/>
                <w:szCs w:val="16"/>
              </w:rPr>
            </w:pPr>
            <w:r w:rsidRPr="00ED172B">
              <w:rPr>
                <w:rFonts w:cs="Arial"/>
                <w:b/>
                <w:color w:val="000000" w:themeColor="text1"/>
                <w:szCs w:val="16"/>
              </w:rPr>
              <w:t>2022</w:t>
            </w:r>
          </w:p>
        </w:tc>
        <w:tc>
          <w:tcPr>
            <w:tcW w:w="1135" w:type="pct"/>
          </w:tcPr>
          <w:p w14:paraId="44A76023" w14:textId="1CD7C23A" w:rsidR="00E8119B" w:rsidRPr="00ED172B" w:rsidRDefault="00E8119B" w:rsidP="003A4D77">
            <w:pPr>
              <w:jc w:val="center"/>
              <w:rPr>
                <w:rFonts w:cs="Arial"/>
                <w:b/>
                <w:color w:val="000000" w:themeColor="text1"/>
                <w:szCs w:val="16"/>
              </w:rPr>
            </w:pPr>
            <w:r>
              <w:rPr>
                <w:rFonts w:cs="Arial"/>
                <w:b/>
                <w:color w:val="000000" w:themeColor="text1"/>
                <w:szCs w:val="16"/>
              </w:rPr>
              <w:t>2023</w:t>
            </w:r>
          </w:p>
        </w:tc>
        <w:tc>
          <w:tcPr>
            <w:tcW w:w="1135" w:type="pct"/>
          </w:tcPr>
          <w:p w14:paraId="40AA5EA9" w14:textId="37071A4C" w:rsidR="00E8119B" w:rsidRPr="00ED172B" w:rsidRDefault="00E8119B" w:rsidP="003A4D77">
            <w:pPr>
              <w:jc w:val="center"/>
              <w:rPr>
                <w:rFonts w:cs="Arial"/>
                <w:b/>
                <w:color w:val="000000" w:themeColor="text1"/>
                <w:szCs w:val="16"/>
              </w:rPr>
            </w:pPr>
            <w:r>
              <w:rPr>
                <w:rFonts w:cs="Arial"/>
                <w:b/>
                <w:color w:val="000000" w:themeColor="text1"/>
                <w:szCs w:val="16"/>
              </w:rPr>
              <w:t>2024</w:t>
            </w:r>
          </w:p>
        </w:tc>
        <w:tc>
          <w:tcPr>
            <w:tcW w:w="1135" w:type="pct"/>
          </w:tcPr>
          <w:p w14:paraId="489AC9B0" w14:textId="3222C7C4" w:rsidR="00E8119B" w:rsidRPr="00ED172B" w:rsidRDefault="00E8119B" w:rsidP="003A4D77">
            <w:pPr>
              <w:jc w:val="center"/>
              <w:rPr>
                <w:rFonts w:cs="Arial"/>
                <w:b/>
                <w:color w:val="000000" w:themeColor="text1"/>
                <w:szCs w:val="16"/>
              </w:rPr>
            </w:pPr>
            <w:r>
              <w:rPr>
                <w:rFonts w:cs="Arial"/>
                <w:b/>
                <w:color w:val="000000" w:themeColor="text1"/>
                <w:szCs w:val="16"/>
              </w:rPr>
              <w:t>2025</w:t>
            </w:r>
          </w:p>
        </w:tc>
      </w:tr>
      <w:tr w:rsidR="00E8119B" w:rsidRPr="00ED172B" w14:paraId="31760632" w14:textId="0D9FE637" w:rsidTr="00E415ED">
        <w:trPr>
          <w:trHeight w:val="357"/>
        </w:trPr>
        <w:tc>
          <w:tcPr>
            <w:tcW w:w="458" w:type="pct"/>
            <w:shd w:val="clear" w:color="auto" w:fill="auto"/>
          </w:tcPr>
          <w:p w14:paraId="1FB4BD66" w14:textId="77777777" w:rsidR="00E8119B" w:rsidRPr="00ED172B" w:rsidRDefault="00E8119B" w:rsidP="00D21F29">
            <w:pPr>
              <w:jc w:val="center"/>
              <w:rPr>
                <w:color w:val="000000" w:themeColor="text1"/>
                <w:szCs w:val="16"/>
              </w:rPr>
            </w:pPr>
            <w:r w:rsidRPr="00ED172B">
              <w:rPr>
                <w:color w:val="000000" w:themeColor="text1"/>
                <w:szCs w:val="16"/>
              </w:rPr>
              <w:t>Target</w:t>
            </w:r>
          </w:p>
        </w:tc>
        <w:tc>
          <w:tcPr>
            <w:tcW w:w="1137" w:type="pct"/>
            <w:shd w:val="clear" w:color="auto" w:fill="auto"/>
          </w:tcPr>
          <w:p w14:paraId="73D2B7A9" w14:textId="1EA3E525" w:rsidR="00E8119B" w:rsidRPr="00ED172B" w:rsidRDefault="00E8119B" w:rsidP="00715B7C">
            <w:pPr>
              <w:jc w:val="center"/>
              <w:rPr>
                <w:color w:val="000000" w:themeColor="text1"/>
                <w:szCs w:val="16"/>
              </w:rPr>
            </w:pPr>
            <w:r w:rsidRPr="00ED172B">
              <w:rPr>
                <w:color w:val="000000" w:themeColor="text1"/>
                <w:szCs w:val="16"/>
              </w:rPr>
              <w:t>100%</w:t>
            </w:r>
          </w:p>
        </w:tc>
        <w:tc>
          <w:tcPr>
            <w:tcW w:w="1135" w:type="pct"/>
          </w:tcPr>
          <w:p w14:paraId="04EEAAC8" w14:textId="11881C4E" w:rsidR="00E8119B" w:rsidRPr="00ED172B" w:rsidRDefault="00E8119B" w:rsidP="00715B7C">
            <w:pPr>
              <w:jc w:val="center"/>
              <w:rPr>
                <w:color w:val="000000" w:themeColor="text1"/>
                <w:szCs w:val="16"/>
              </w:rPr>
            </w:pPr>
            <w:r>
              <w:rPr>
                <w:color w:val="000000" w:themeColor="text1"/>
                <w:szCs w:val="16"/>
              </w:rPr>
              <w:t>100%</w:t>
            </w:r>
          </w:p>
        </w:tc>
        <w:tc>
          <w:tcPr>
            <w:tcW w:w="1135" w:type="pct"/>
          </w:tcPr>
          <w:p w14:paraId="041BBD6F" w14:textId="37DE789D" w:rsidR="00E8119B" w:rsidRPr="00ED172B" w:rsidRDefault="00E8119B" w:rsidP="00715B7C">
            <w:pPr>
              <w:jc w:val="center"/>
              <w:rPr>
                <w:color w:val="000000" w:themeColor="text1"/>
                <w:szCs w:val="16"/>
              </w:rPr>
            </w:pPr>
            <w:r>
              <w:rPr>
                <w:color w:val="000000" w:themeColor="text1"/>
                <w:szCs w:val="16"/>
              </w:rPr>
              <w:t>100%</w:t>
            </w:r>
          </w:p>
        </w:tc>
        <w:tc>
          <w:tcPr>
            <w:tcW w:w="1135" w:type="pct"/>
          </w:tcPr>
          <w:p w14:paraId="57F0B811" w14:textId="00234F7C" w:rsidR="00E8119B" w:rsidRPr="00ED172B" w:rsidRDefault="00E8119B" w:rsidP="00715B7C">
            <w:pPr>
              <w:jc w:val="center"/>
              <w:rPr>
                <w:color w:val="000000" w:themeColor="text1"/>
                <w:szCs w:val="16"/>
              </w:rPr>
            </w:pPr>
            <w:r>
              <w:rPr>
                <w:color w:val="000000" w:themeColor="text1"/>
                <w:szCs w:val="16"/>
              </w:rPr>
              <w:t>100%</w:t>
            </w:r>
          </w:p>
        </w:tc>
      </w:tr>
    </w:tbl>
    <w:p w14:paraId="00A2F9D5" w14:textId="77777777" w:rsidR="000A2C40" w:rsidRDefault="000A2C40">
      <w:pPr>
        <w:rPr>
          <w:b/>
          <w:color w:val="000000" w:themeColor="text1"/>
        </w:rPr>
      </w:pPr>
    </w:p>
    <w:p w14:paraId="4BF12CE7" w14:textId="3CBCC90D" w:rsidR="00441FB4" w:rsidRPr="00ED172B" w:rsidRDefault="00F22D09">
      <w:pPr>
        <w:rPr>
          <w:b/>
          <w:color w:val="000000" w:themeColor="text1"/>
        </w:rPr>
      </w:pPr>
      <w:r>
        <w:rPr>
          <w:b/>
          <w:color w:val="000000" w:themeColor="text1"/>
        </w:rPr>
        <w:t>FFY 2022 SPP/APR Data</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1CFFYAPRDATA"/>
      </w:tblPr>
      <w:tblGrid>
        <w:gridCol w:w="1711"/>
        <w:gridCol w:w="1867"/>
        <w:gridCol w:w="1278"/>
        <w:gridCol w:w="1912"/>
        <w:gridCol w:w="1152"/>
        <w:gridCol w:w="1459"/>
        <w:gridCol w:w="1411"/>
      </w:tblGrid>
      <w:tr w:rsidR="00ED172B" w:rsidRPr="00ED172B" w14:paraId="0F119A4D" w14:textId="77B8E4E9" w:rsidTr="00A40EE1">
        <w:trPr>
          <w:tblHeader/>
        </w:trPr>
        <w:tc>
          <w:tcPr>
            <w:tcW w:w="793" w:type="pct"/>
            <w:shd w:val="clear" w:color="auto" w:fill="auto"/>
            <w:vAlign w:val="bottom"/>
          </w:tcPr>
          <w:p w14:paraId="7E547840" w14:textId="77777777" w:rsidR="006A05A9" w:rsidRPr="00ED172B" w:rsidRDefault="006A05A9" w:rsidP="006A05A9">
            <w:pPr>
              <w:jc w:val="center"/>
              <w:rPr>
                <w:b/>
                <w:color w:val="000000" w:themeColor="text1"/>
                <w:szCs w:val="16"/>
              </w:rPr>
            </w:pPr>
            <w:bookmarkStart w:id="4" w:name="_Toc392159261"/>
            <w:r w:rsidRPr="00ED172B">
              <w:rPr>
                <w:b/>
                <w:color w:val="000000" w:themeColor="text1"/>
                <w:szCs w:val="16"/>
              </w:rPr>
              <w:lastRenderedPageBreak/>
              <w:t>Number of infants and toddlers with IFSPs who receive the early intervention services on their IFSPs in a timely manner</w:t>
            </w:r>
          </w:p>
        </w:tc>
        <w:tc>
          <w:tcPr>
            <w:tcW w:w="865" w:type="pct"/>
            <w:shd w:val="clear" w:color="auto" w:fill="auto"/>
            <w:vAlign w:val="bottom"/>
          </w:tcPr>
          <w:p w14:paraId="09962364" w14:textId="77777777" w:rsidR="006A05A9" w:rsidRPr="00ED172B" w:rsidRDefault="006A05A9" w:rsidP="006A05A9">
            <w:pPr>
              <w:jc w:val="center"/>
              <w:rPr>
                <w:b/>
                <w:color w:val="000000" w:themeColor="text1"/>
                <w:szCs w:val="16"/>
              </w:rPr>
            </w:pPr>
            <w:r w:rsidRPr="00ED172B">
              <w:rPr>
                <w:b/>
                <w:color w:val="000000" w:themeColor="text1"/>
                <w:szCs w:val="16"/>
              </w:rPr>
              <w:t>Total number of infants and toddlers with IFSPs</w:t>
            </w:r>
          </w:p>
        </w:tc>
        <w:tc>
          <w:tcPr>
            <w:tcW w:w="592" w:type="pct"/>
            <w:shd w:val="clear" w:color="auto" w:fill="auto"/>
            <w:vAlign w:val="bottom"/>
          </w:tcPr>
          <w:p w14:paraId="2096A85C" w14:textId="06F6FF07" w:rsidR="006A05A9" w:rsidRPr="00ED172B" w:rsidRDefault="00CD74B5" w:rsidP="006A05A9">
            <w:pPr>
              <w:jc w:val="center"/>
              <w:rPr>
                <w:b/>
                <w:color w:val="000000" w:themeColor="text1"/>
                <w:szCs w:val="16"/>
              </w:rPr>
            </w:pPr>
            <w:r>
              <w:rPr>
                <w:rFonts w:cs="Arial"/>
                <w:b/>
                <w:color w:val="000000" w:themeColor="text1"/>
                <w:szCs w:val="16"/>
              </w:rPr>
              <w:t>FFY 2021 Data</w:t>
            </w:r>
          </w:p>
        </w:tc>
        <w:tc>
          <w:tcPr>
            <w:tcW w:w="886" w:type="pct"/>
            <w:shd w:val="clear" w:color="auto" w:fill="auto"/>
            <w:vAlign w:val="bottom"/>
          </w:tcPr>
          <w:p w14:paraId="64E16C07" w14:textId="4CA257EE" w:rsidR="006A05A9" w:rsidRPr="00ED172B" w:rsidRDefault="00F22D09" w:rsidP="006A05A9">
            <w:pPr>
              <w:jc w:val="center"/>
              <w:rPr>
                <w:b/>
                <w:color w:val="000000" w:themeColor="text1"/>
                <w:szCs w:val="16"/>
              </w:rPr>
            </w:pPr>
            <w:r>
              <w:rPr>
                <w:rFonts w:cs="Arial"/>
                <w:b/>
                <w:color w:val="000000" w:themeColor="text1"/>
                <w:szCs w:val="16"/>
              </w:rPr>
              <w:t>FFY 2022 Target</w:t>
            </w:r>
          </w:p>
        </w:tc>
        <w:tc>
          <w:tcPr>
            <w:tcW w:w="534" w:type="pct"/>
            <w:shd w:val="clear" w:color="auto" w:fill="auto"/>
            <w:vAlign w:val="bottom"/>
          </w:tcPr>
          <w:p w14:paraId="3A16633D" w14:textId="0B141BA2" w:rsidR="006A05A9" w:rsidRPr="00ED172B" w:rsidRDefault="00F22D09" w:rsidP="006A05A9">
            <w:pPr>
              <w:jc w:val="center"/>
              <w:rPr>
                <w:b/>
                <w:color w:val="000000" w:themeColor="text1"/>
                <w:szCs w:val="16"/>
              </w:rPr>
            </w:pPr>
            <w:r>
              <w:rPr>
                <w:rFonts w:cs="Arial"/>
                <w:b/>
                <w:color w:val="000000" w:themeColor="text1"/>
                <w:szCs w:val="16"/>
              </w:rPr>
              <w:t>FFY 2022 Data</w:t>
            </w:r>
          </w:p>
        </w:tc>
        <w:tc>
          <w:tcPr>
            <w:tcW w:w="676" w:type="pct"/>
            <w:shd w:val="clear" w:color="auto" w:fill="auto"/>
            <w:vAlign w:val="bottom"/>
          </w:tcPr>
          <w:p w14:paraId="0F52761C" w14:textId="0B0E8DE2" w:rsidR="006A05A9" w:rsidRPr="00ED172B" w:rsidRDefault="006A05A9" w:rsidP="006A05A9">
            <w:pPr>
              <w:jc w:val="center"/>
              <w:rPr>
                <w:b/>
                <w:color w:val="000000" w:themeColor="text1"/>
                <w:szCs w:val="16"/>
              </w:rPr>
            </w:pPr>
            <w:r w:rsidRPr="00ED172B">
              <w:rPr>
                <w:b/>
                <w:color w:val="000000" w:themeColor="text1"/>
                <w:szCs w:val="16"/>
              </w:rPr>
              <w:t>Status</w:t>
            </w:r>
          </w:p>
        </w:tc>
        <w:tc>
          <w:tcPr>
            <w:tcW w:w="654" w:type="pct"/>
            <w:shd w:val="clear" w:color="auto" w:fill="auto"/>
            <w:vAlign w:val="bottom"/>
          </w:tcPr>
          <w:p w14:paraId="0B32A54D" w14:textId="349A897C" w:rsidR="006A05A9" w:rsidRPr="00ED172B" w:rsidRDefault="006A05A9" w:rsidP="006A05A9">
            <w:pPr>
              <w:jc w:val="center"/>
              <w:rPr>
                <w:b/>
                <w:color w:val="000000" w:themeColor="text1"/>
                <w:szCs w:val="16"/>
              </w:rPr>
            </w:pPr>
            <w:r w:rsidRPr="00ED172B">
              <w:rPr>
                <w:b/>
                <w:color w:val="000000" w:themeColor="text1"/>
                <w:szCs w:val="16"/>
              </w:rPr>
              <w:t>Slippage</w:t>
            </w:r>
          </w:p>
        </w:tc>
      </w:tr>
      <w:tr w:rsidR="00ED172B" w:rsidRPr="00ED172B" w14:paraId="620F9784" w14:textId="30FC28C1" w:rsidTr="00A40EE1">
        <w:tc>
          <w:tcPr>
            <w:tcW w:w="793" w:type="pct"/>
            <w:shd w:val="clear" w:color="auto" w:fill="auto"/>
            <w:vAlign w:val="center"/>
          </w:tcPr>
          <w:p w14:paraId="31592C01" w14:textId="6D092DA6" w:rsidR="00F97A57" w:rsidRPr="00ED172B" w:rsidRDefault="00860830" w:rsidP="00F97A57">
            <w:pPr>
              <w:jc w:val="center"/>
              <w:rPr>
                <w:color w:val="000000" w:themeColor="text1"/>
                <w:szCs w:val="16"/>
              </w:rPr>
            </w:pPr>
            <w:r w:rsidRPr="00ED172B">
              <w:rPr>
                <w:color w:val="000000" w:themeColor="text1"/>
                <w:szCs w:val="16"/>
              </w:rPr>
              <w:t>146</w:t>
            </w:r>
          </w:p>
        </w:tc>
        <w:tc>
          <w:tcPr>
            <w:tcW w:w="865" w:type="pct"/>
            <w:shd w:val="clear" w:color="auto" w:fill="auto"/>
            <w:vAlign w:val="center"/>
          </w:tcPr>
          <w:p w14:paraId="44F9E666" w14:textId="0948A7BD" w:rsidR="00F97A57" w:rsidRPr="00ED172B" w:rsidRDefault="00860830" w:rsidP="00F97A57">
            <w:pPr>
              <w:jc w:val="center"/>
              <w:rPr>
                <w:color w:val="000000" w:themeColor="text1"/>
                <w:szCs w:val="16"/>
              </w:rPr>
            </w:pPr>
            <w:r w:rsidRPr="00ED172B">
              <w:rPr>
                <w:color w:val="000000" w:themeColor="text1"/>
                <w:szCs w:val="16"/>
              </w:rPr>
              <w:t>156</w:t>
            </w:r>
          </w:p>
        </w:tc>
        <w:tc>
          <w:tcPr>
            <w:tcW w:w="592" w:type="pct"/>
            <w:shd w:val="clear" w:color="auto" w:fill="auto"/>
          </w:tcPr>
          <w:p w14:paraId="576AB130" w14:textId="21AB123C" w:rsidR="00F97A57" w:rsidRPr="00ED172B" w:rsidRDefault="00860830" w:rsidP="00F97A57">
            <w:pPr>
              <w:jc w:val="center"/>
              <w:rPr>
                <w:color w:val="000000" w:themeColor="text1"/>
                <w:szCs w:val="16"/>
              </w:rPr>
            </w:pPr>
            <w:r w:rsidRPr="00ED172B">
              <w:rPr>
                <w:rFonts w:cs="Arial"/>
                <w:color w:val="000000" w:themeColor="text1"/>
                <w:szCs w:val="16"/>
              </w:rPr>
              <w:t>97.97%</w:t>
            </w:r>
          </w:p>
        </w:tc>
        <w:tc>
          <w:tcPr>
            <w:tcW w:w="886" w:type="pct"/>
            <w:shd w:val="clear" w:color="auto" w:fill="auto"/>
          </w:tcPr>
          <w:p w14:paraId="3533D935" w14:textId="1949D9D3" w:rsidR="00F97A57" w:rsidRPr="00ED172B" w:rsidRDefault="008C4470" w:rsidP="00F97A57">
            <w:pPr>
              <w:jc w:val="center"/>
              <w:rPr>
                <w:color w:val="000000" w:themeColor="text1"/>
                <w:szCs w:val="16"/>
              </w:rPr>
            </w:pPr>
            <w:r w:rsidRPr="00ED172B">
              <w:rPr>
                <w:color w:val="000000" w:themeColor="text1"/>
                <w:szCs w:val="16"/>
              </w:rPr>
              <w:t>100%</w:t>
            </w:r>
          </w:p>
        </w:tc>
        <w:tc>
          <w:tcPr>
            <w:tcW w:w="534" w:type="pct"/>
            <w:shd w:val="clear" w:color="auto" w:fill="auto"/>
          </w:tcPr>
          <w:p w14:paraId="354EFF4D" w14:textId="5546CDAD" w:rsidR="00F97A57" w:rsidRPr="00ED172B" w:rsidRDefault="00860830" w:rsidP="00F97A57">
            <w:pPr>
              <w:jc w:val="center"/>
              <w:rPr>
                <w:color w:val="000000" w:themeColor="text1"/>
                <w:szCs w:val="16"/>
              </w:rPr>
            </w:pPr>
            <w:r w:rsidRPr="00ED172B">
              <w:rPr>
                <w:rFonts w:cs="Arial"/>
                <w:color w:val="000000" w:themeColor="text1"/>
                <w:szCs w:val="16"/>
              </w:rPr>
              <w:t>98.72%</w:t>
            </w:r>
          </w:p>
        </w:tc>
        <w:tc>
          <w:tcPr>
            <w:tcW w:w="676" w:type="pct"/>
            <w:shd w:val="clear" w:color="auto" w:fill="auto"/>
          </w:tcPr>
          <w:p w14:paraId="64C1CD5F" w14:textId="24AEC3C0" w:rsidR="00F97A57" w:rsidRPr="00ED172B" w:rsidRDefault="00AA1A12" w:rsidP="00027F39">
            <w:pPr>
              <w:jc w:val="center"/>
              <w:rPr>
                <w:color w:val="000000" w:themeColor="text1"/>
              </w:rPr>
            </w:pPr>
            <w:r w:rsidRPr="00ED172B">
              <w:rPr>
                <w:rFonts w:cs="Arial"/>
                <w:color w:val="000000" w:themeColor="text1"/>
                <w:szCs w:val="16"/>
              </w:rPr>
              <w:t>Did not meet target</w:t>
            </w:r>
          </w:p>
        </w:tc>
        <w:tc>
          <w:tcPr>
            <w:tcW w:w="654" w:type="pct"/>
            <w:shd w:val="clear" w:color="auto" w:fill="auto"/>
          </w:tcPr>
          <w:p w14:paraId="54B44D47" w14:textId="3452B2C9" w:rsidR="00F97A57" w:rsidRPr="00ED172B" w:rsidRDefault="005E414F" w:rsidP="00027F39">
            <w:pPr>
              <w:jc w:val="center"/>
              <w:rPr>
                <w:color w:val="000000" w:themeColor="text1"/>
              </w:rPr>
            </w:pPr>
            <w:r w:rsidRPr="00ED172B">
              <w:rPr>
                <w:rFonts w:cs="Arial"/>
                <w:color w:val="000000" w:themeColor="text1"/>
                <w:szCs w:val="16"/>
              </w:rPr>
              <w:t>No Slippage</w:t>
            </w:r>
          </w:p>
        </w:tc>
      </w:tr>
    </w:tbl>
    <w:p w14:paraId="3D57C24C" w14:textId="2CACC1E9" w:rsidR="00B54E6C" w:rsidRPr="00ED172B" w:rsidRDefault="00B54E6C" w:rsidP="00B54E6C">
      <w:pPr>
        <w:rPr>
          <w:b/>
          <w:color w:val="000000" w:themeColor="text1"/>
          <w:szCs w:val="16"/>
        </w:rPr>
      </w:pPr>
      <w:r w:rsidRPr="00ED172B">
        <w:rPr>
          <w:b/>
          <w:color w:val="000000" w:themeColor="text1"/>
          <w:szCs w:val="16"/>
        </w:rPr>
        <w:t>Number of documented delays attributable to exceptional family circumstances</w:t>
      </w:r>
    </w:p>
    <w:p w14:paraId="7A97E4C7" w14:textId="30309E08" w:rsidR="00B54E6C" w:rsidRPr="00ED172B" w:rsidRDefault="00B54E6C" w:rsidP="00B54E6C">
      <w:pPr>
        <w:rPr>
          <w:b/>
          <w:color w:val="000000" w:themeColor="text1"/>
          <w:szCs w:val="16"/>
        </w:rPr>
      </w:pPr>
      <w:r w:rsidRPr="00ED172B">
        <w:rPr>
          <w:b/>
          <w:i/>
          <w:color w:val="000000" w:themeColor="text1"/>
          <w:szCs w:val="16"/>
        </w:rPr>
        <w:t>This number will be added to the "Number of infants and toddlers with IFSPs who receive their early intervention services on their IFSPs in a timely manner" field above to calculate the numerator for this indicator.</w:t>
      </w:r>
    </w:p>
    <w:p w14:paraId="1BDA9B66" w14:textId="0D509F41" w:rsidR="00B54E6C" w:rsidRPr="00ED172B" w:rsidRDefault="00B54E6C" w:rsidP="00133698">
      <w:pPr>
        <w:rPr>
          <w:rFonts w:cs="Arial"/>
          <w:color w:val="000000" w:themeColor="text1"/>
          <w:szCs w:val="16"/>
        </w:rPr>
      </w:pPr>
      <w:bookmarkStart w:id="5" w:name="_Toc382082358"/>
      <w:bookmarkEnd w:id="4"/>
      <w:r w:rsidRPr="00ED172B">
        <w:rPr>
          <w:color w:val="000000" w:themeColor="text1"/>
          <w:szCs w:val="16"/>
        </w:rPr>
        <w:t>8</w:t>
      </w:r>
    </w:p>
    <w:p w14:paraId="5AF9B014" w14:textId="3F4B8397" w:rsidR="003739C5" w:rsidRDefault="003739C5" w:rsidP="00133698">
      <w:pPr>
        <w:rPr>
          <w:rFonts w:cs="Arial"/>
          <w:b/>
          <w:color w:val="000000" w:themeColor="text1"/>
          <w:szCs w:val="16"/>
        </w:rPr>
      </w:pPr>
      <w:r w:rsidRPr="003739C5">
        <w:rPr>
          <w:rFonts w:cs="Arial"/>
          <w:b/>
          <w:color w:val="000000" w:themeColor="text1"/>
          <w:szCs w:val="16"/>
        </w:rPr>
        <w:t>Provide reasons for delay, if applicable.</w:t>
      </w:r>
    </w:p>
    <w:p w14:paraId="71C1ED23" w14:textId="2777F026" w:rsidR="003739C5" w:rsidRPr="00ED172B" w:rsidRDefault="003739C5" w:rsidP="003739C5">
      <w:pPr>
        <w:rPr>
          <w:rFonts w:cs="Arial"/>
          <w:color w:val="000000" w:themeColor="text1"/>
          <w:szCs w:val="16"/>
        </w:rPr>
      </w:pPr>
      <w:r w:rsidRPr="00ED172B">
        <w:rPr>
          <w:color w:val="000000" w:themeColor="text1"/>
          <w:szCs w:val="16"/>
        </w:rPr>
        <w:t>In addition to eight delays attributable to exceptional family circumstances, two delays were due to staff scheduling services at a time which did not meet Oregon’s definition of “timely receipt of services.”</w:t>
      </w:r>
    </w:p>
    <w:p w14:paraId="3E95DC92" w14:textId="76EF721D" w:rsidR="007E0FCC" w:rsidRPr="00ED172B" w:rsidRDefault="00A86E16" w:rsidP="00133698">
      <w:pPr>
        <w:rPr>
          <w:rFonts w:cs="Arial"/>
          <w:b/>
          <w:color w:val="000000" w:themeColor="text1"/>
          <w:szCs w:val="16"/>
        </w:rPr>
      </w:pPr>
      <w:r w:rsidRPr="00ED172B">
        <w:rPr>
          <w:rFonts w:cs="Arial"/>
          <w:b/>
          <w:color w:val="000000" w:themeColor="text1"/>
          <w:szCs w:val="16"/>
        </w:rPr>
        <w:t xml:space="preserve">Include your </w:t>
      </w:r>
      <w:proofErr w:type="gramStart"/>
      <w:r w:rsidRPr="00ED172B">
        <w:rPr>
          <w:rFonts w:cs="Arial"/>
          <w:b/>
          <w:color w:val="000000" w:themeColor="text1"/>
          <w:szCs w:val="16"/>
        </w:rPr>
        <w:t>State’s</w:t>
      </w:r>
      <w:proofErr w:type="gramEnd"/>
      <w:r w:rsidRPr="00ED172B">
        <w:rPr>
          <w:rFonts w:cs="Arial"/>
          <w:b/>
          <w:color w:val="000000" w:themeColor="text1"/>
          <w:szCs w:val="16"/>
        </w:rPr>
        <w:t xml:space="preserve"> criteria for “timely” receipt of early intervention services (i.e., the time period from parent consent to when IFSP services are actually</w:t>
      </w:r>
      <w:r w:rsidRPr="00ED172B">
        <w:rPr>
          <w:b/>
          <w:color w:val="000000" w:themeColor="text1"/>
          <w:szCs w:val="16"/>
        </w:rPr>
        <w:t xml:space="preserve"> </w:t>
      </w:r>
      <w:r w:rsidRPr="00ED172B">
        <w:rPr>
          <w:rFonts w:cs="Arial"/>
          <w:b/>
          <w:color w:val="000000" w:themeColor="text1"/>
          <w:szCs w:val="16"/>
        </w:rPr>
        <w:t>initiated).</w:t>
      </w:r>
    </w:p>
    <w:p w14:paraId="3F2D8FDD" w14:textId="687B9DF6" w:rsidR="007F3393" w:rsidRPr="00ED172B" w:rsidRDefault="00860830" w:rsidP="00133698">
      <w:pPr>
        <w:rPr>
          <w:color w:val="000000" w:themeColor="text1"/>
          <w:szCs w:val="16"/>
        </w:rPr>
      </w:pPr>
      <w:r w:rsidRPr="00ED172B">
        <w:rPr>
          <w:color w:val="000000" w:themeColor="text1"/>
          <w:szCs w:val="16"/>
        </w:rPr>
        <w:t>During 2005-2006, the State defined “timely manner” (based on guidance from OSEP) as the initiation date on the IFSP or ten days from when the parent provides consent for the IFSP service.</w:t>
      </w:r>
    </w:p>
    <w:p w14:paraId="63EBC4F0" w14:textId="77777777" w:rsidR="005A4FE1" w:rsidRPr="00ED172B" w:rsidRDefault="005A4FE1" w:rsidP="00B83404">
      <w:pPr>
        <w:rPr>
          <w:b/>
          <w:color w:val="000000" w:themeColor="text1"/>
        </w:rPr>
      </w:pPr>
      <w:r w:rsidRPr="00ED172B">
        <w:rPr>
          <w:b/>
          <w:color w:val="000000" w:themeColor="text1"/>
        </w:rPr>
        <w:t>What is the source of the data provided for this indicator?</w:t>
      </w:r>
    </w:p>
    <w:p w14:paraId="261B8254" w14:textId="6C7DD3A3" w:rsidR="00431D4D" w:rsidRDefault="00431D4D" w:rsidP="00B83404">
      <w:pPr>
        <w:rPr>
          <w:rFonts w:cs="Arial"/>
          <w:color w:val="000000" w:themeColor="text1"/>
          <w:szCs w:val="16"/>
        </w:rPr>
      </w:pPr>
      <w:bookmarkStart w:id="6" w:name="_Hlk23243004"/>
      <w:r w:rsidRPr="00ED172B">
        <w:rPr>
          <w:rFonts w:cs="Arial"/>
          <w:color w:val="000000" w:themeColor="text1"/>
          <w:szCs w:val="16"/>
        </w:rPr>
        <w:t>State monitoring</w:t>
      </w:r>
    </w:p>
    <w:bookmarkEnd w:id="6"/>
    <w:p w14:paraId="5833E38F" w14:textId="2DC628E4" w:rsidR="005A4FE1" w:rsidRPr="00ED172B" w:rsidRDefault="007F3393" w:rsidP="00B83404">
      <w:pPr>
        <w:rPr>
          <w:b/>
          <w:color w:val="000000" w:themeColor="text1"/>
        </w:rPr>
      </w:pPr>
      <w:r w:rsidRPr="00ED172B">
        <w:rPr>
          <w:b/>
          <w:color w:val="000000" w:themeColor="text1"/>
        </w:rPr>
        <w:t>Describe the method used to select EIS programs for monitoring.</w:t>
      </w:r>
    </w:p>
    <w:p w14:paraId="74894608" w14:textId="764B3ADF" w:rsidR="007F3393" w:rsidRDefault="00860830" w:rsidP="00B83404">
      <w:pPr>
        <w:rPr>
          <w:color w:val="000000" w:themeColor="text1"/>
        </w:rPr>
      </w:pPr>
      <w:r w:rsidRPr="00ED172B">
        <w:rPr>
          <w:color w:val="000000" w:themeColor="text1"/>
        </w:rPr>
        <w:t xml:space="preserve">To select EIS programs for monitoring, the State uses the System Performance Review and Improvement (SPR&amp;I) monitoring tool. All Early Intervention programs in Oregon receiving IDEA funds are required to participate in the Oregon Department of Education (ODE) SPR&amp;I system of annual accountability and performance reporting. This system focuses on procedural compliance and indicators identified through federal and state regulation and previous state monitoring findings. Programs conduct individual child file reviews annually to collect procedural compliance data. These data are collected on a specified number of child files determined by the State and are evenly split between Early Intervention, Early Intervention Transition, and Early Childhood Special Education. Files are selected to match the individual race/ethnicity, disability, and gender distribution for each EI/ECSE program based on the December child count. </w:t>
      </w:r>
      <w:r w:rsidRPr="00ED172B">
        <w:rPr>
          <w:color w:val="000000" w:themeColor="text1"/>
        </w:rPr>
        <w:br/>
      </w:r>
      <w:r w:rsidRPr="00ED172B">
        <w:rPr>
          <w:color w:val="000000" w:themeColor="text1"/>
        </w:rPr>
        <w:br/>
        <w:t>Individual child procedural compliance data is collected by programs and submitted to the State electronically through the SPR&amp;I database. The State works collaboratively with programs on comprehensive data collection, analyses, performance reporting, improvement planning, implementation, and reporting of progress. The SPR&amp;I system provides the State with the mechanism for review of corrective actions, district/program policies, procedures, and systems, to ensure the requirements set forth in 34 CFR 303.700-708 are met. Data are based on actual number of days. The early intervention services indicated on an Individual Family Service Plan (IFSP) are implemented by Early Intervention/Early Childhood Special Education (EI/ECSE) programs as soon as possible following parent consent for services; if there is any delay, the reason must be documented.</w:t>
      </w:r>
    </w:p>
    <w:p w14:paraId="0A887955" w14:textId="77777777" w:rsidR="0099603A" w:rsidRDefault="002F48B9" w:rsidP="00361F62">
      <w:pPr>
        <w:rPr>
          <w:b/>
          <w:color w:val="000000" w:themeColor="text1"/>
        </w:rPr>
      </w:pPr>
      <w:r w:rsidRPr="002F48B9">
        <w:rPr>
          <w:b/>
          <w:color w:val="000000" w:themeColor="text1"/>
        </w:rPr>
        <w:t>Provide additional information about this indicator (optional)</w:t>
      </w:r>
    </w:p>
    <w:p w14:paraId="7BC214DF" w14:textId="3B536CFA" w:rsidR="006E322D" w:rsidRPr="00ED172B" w:rsidRDefault="006E322D" w:rsidP="00361F62">
      <w:pPr>
        <w:rPr>
          <w:color w:val="000000" w:themeColor="text1"/>
        </w:rPr>
      </w:pPr>
    </w:p>
    <w:p w14:paraId="53FAF326" w14:textId="1D74C4FC" w:rsidR="002F1A9A" w:rsidRPr="00ED172B" w:rsidRDefault="002F1A9A" w:rsidP="00B83404">
      <w:pPr>
        <w:rPr>
          <w:color w:val="000000" w:themeColor="text1"/>
        </w:rPr>
      </w:pPr>
      <w:r w:rsidRPr="00ED172B">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C01PFFYNCFINDINGS"/>
      </w:tblPr>
      <w:tblGrid>
        <w:gridCol w:w="2647"/>
        <w:gridCol w:w="2776"/>
        <w:gridCol w:w="2652"/>
        <w:gridCol w:w="2715"/>
      </w:tblGrid>
      <w:tr w:rsidR="00ED172B" w:rsidRPr="00ED172B" w14:paraId="34A38ABD" w14:textId="77777777" w:rsidTr="00986B99">
        <w:trPr>
          <w:trHeight w:val="389"/>
          <w:tblHeader/>
        </w:trPr>
        <w:tc>
          <w:tcPr>
            <w:tcW w:w="1226" w:type="pct"/>
            <w:shd w:val="clear" w:color="auto" w:fill="auto"/>
            <w:vAlign w:val="bottom"/>
          </w:tcPr>
          <w:p w14:paraId="5D4EE2C0"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86" w:type="pct"/>
            <w:shd w:val="clear" w:color="auto" w:fill="auto"/>
            <w:vAlign w:val="bottom"/>
          </w:tcPr>
          <w:p w14:paraId="365DD9CF"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29" w:type="pct"/>
            <w:shd w:val="clear" w:color="auto" w:fill="auto"/>
            <w:vAlign w:val="bottom"/>
          </w:tcPr>
          <w:p w14:paraId="4979AFEB"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258" w:type="pct"/>
            <w:shd w:val="clear" w:color="auto" w:fill="auto"/>
            <w:vAlign w:val="bottom"/>
          </w:tcPr>
          <w:p w14:paraId="5C5E9C6B"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6FD61D9A" w14:textId="77777777" w:rsidTr="00986B99">
        <w:tc>
          <w:tcPr>
            <w:tcW w:w="1226" w:type="pct"/>
            <w:shd w:val="clear" w:color="auto" w:fill="auto"/>
          </w:tcPr>
          <w:p w14:paraId="010E54A6" w14:textId="0E2FA923" w:rsidR="002F1A9A" w:rsidRPr="00ED172B" w:rsidRDefault="00860830" w:rsidP="00186420">
            <w:pPr>
              <w:jc w:val="center"/>
              <w:rPr>
                <w:rFonts w:cs="Arial"/>
                <w:color w:val="000000" w:themeColor="text1"/>
                <w:szCs w:val="16"/>
              </w:rPr>
            </w:pPr>
            <w:r w:rsidRPr="00ED172B">
              <w:rPr>
                <w:rFonts w:cs="Arial"/>
                <w:color w:val="000000" w:themeColor="text1"/>
                <w:szCs w:val="16"/>
              </w:rPr>
              <w:t>3</w:t>
            </w:r>
          </w:p>
        </w:tc>
        <w:tc>
          <w:tcPr>
            <w:tcW w:w="1286" w:type="pct"/>
            <w:shd w:val="clear" w:color="auto" w:fill="auto"/>
          </w:tcPr>
          <w:p w14:paraId="1DD20B92" w14:textId="04C9E392" w:rsidR="002F1A9A" w:rsidRPr="00ED172B" w:rsidRDefault="00860830" w:rsidP="00186420">
            <w:pPr>
              <w:jc w:val="center"/>
              <w:rPr>
                <w:rFonts w:cs="Arial"/>
                <w:color w:val="000000" w:themeColor="text1"/>
                <w:szCs w:val="16"/>
              </w:rPr>
            </w:pPr>
            <w:r w:rsidRPr="00ED172B">
              <w:rPr>
                <w:rFonts w:cs="Arial"/>
                <w:color w:val="000000" w:themeColor="text1"/>
                <w:szCs w:val="16"/>
              </w:rPr>
              <w:t>3</w:t>
            </w:r>
          </w:p>
        </w:tc>
        <w:tc>
          <w:tcPr>
            <w:tcW w:w="1229" w:type="pct"/>
            <w:shd w:val="clear" w:color="auto" w:fill="auto"/>
          </w:tcPr>
          <w:p w14:paraId="1E129A69" w14:textId="461E68FA" w:rsidR="002F1A9A"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58" w:type="pct"/>
            <w:shd w:val="clear" w:color="auto" w:fill="auto"/>
          </w:tcPr>
          <w:p w14:paraId="4ABA803A" w14:textId="0CE67DB7" w:rsidR="002F1A9A" w:rsidRPr="00ED172B" w:rsidRDefault="00860830" w:rsidP="00186420">
            <w:pPr>
              <w:jc w:val="center"/>
              <w:rPr>
                <w:rFonts w:cs="Arial"/>
                <w:color w:val="000000" w:themeColor="text1"/>
                <w:szCs w:val="16"/>
              </w:rPr>
            </w:pPr>
            <w:r w:rsidRPr="00ED172B">
              <w:rPr>
                <w:rFonts w:cs="Arial"/>
                <w:color w:val="000000" w:themeColor="text1"/>
                <w:szCs w:val="16"/>
              </w:rPr>
              <w:t>0</w:t>
            </w:r>
          </w:p>
        </w:tc>
      </w:tr>
    </w:tbl>
    <w:p w14:paraId="5569C69F" w14:textId="23B5B4B1" w:rsidR="002F1A9A" w:rsidRPr="00ED172B" w:rsidRDefault="00CD74B5" w:rsidP="00B83404">
      <w:pPr>
        <w:rPr>
          <w:color w:val="000000" w:themeColor="text1"/>
        </w:rPr>
      </w:pPr>
      <w:r>
        <w:rPr>
          <w:b/>
          <w:color w:val="000000" w:themeColor="text1"/>
        </w:rPr>
        <w:t>FFY 2021 Findings of Noncompliance Verified as Corrected</w:t>
      </w:r>
    </w:p>
    <w:p w14:paraId="55F5996D" w14:textId="2D0FCDCC" w:rsidR="002F1A9A" w:rsidRPr="00ED172B" w:rsidRDefault="002F1A9A">
      <w:pPr>
        <w:rPr>
          <w:b/>
          <w:color w:val="000000" w:themeColor="text1"/>
        </w:rPr>
      </w:pPr>
      <w:r w:rsidRPr="00ED172B">
        <w:rPr>
          <w:b/>
          <w:color w:val="000000" w:themeColor="text1"/>
        </w:rPr>
        <w:t xml:space="preserve">Describe how the State verified that the source of noncompliance is correctly implementing the </w:t>
      </w:r>
      <w:r w:rsidR="0031099B" w:rsidRPr="00ED172B">
        <w:rPr>
          <w:b/>
          <w:i/>
          <w:color w:val="000000" w:themeColor="text1"/>
        </w:rPr>
        <w:t>regulatory requirements</w:t>
      </w:r>
      <w:r w:rsidR="00A26AB9">
        <w:rPr>
          <w:b/>
          <w:i/>
          <w:color w:val="000000" w:themeColor="text1"/>
        </w:rPr>
        <w:t>.</w:t>
      </w:r>
    </w:p>
    <w:p w14:paraId="4A0BD85E" w14:textId="6583A277" w:rsidR="002F1A9A" w:rsidRPr="00ED172B" w:rsidRDefault="00860830">
      <w:pPr>
        <w:rPr>
          <w:color w:val="000000" w:themeColor="text1"/>
        </w:rPr>
      </w:pPr>
      <w:r w:rsidRPr="00ED172B">
        <w:rPr>
          <w:color w:val="000000" w:themeColor="text1"/>
        </w:rPr>
        <w:t xml:space="preserve">The State verified as per OSEP QA 23-01 through individual file review and review and approval of correction data submitted by Early Intervention Programs in SPR&amp;I, Oregon’s online monitoring system, that 100% (3/3) of incidents of noncompliance in FFY 2021 were corrected within one year. </w:t>
      </w:r>
      <w:r w:rsidRPr="00ED172B">
        <w:rPr>
          <w:color w:val="000000" w:themeColor="text1"/>
        </w:rPr>
        <w:br/>
      </w:r>
      <w:r w:rsidRPr="00ED172B">
        <w:rPr>
          <w:color w:val="000000" w:themeColor="text1"/>
        </w:rPr>
        <w:br/>
        <w:t>The State verified through additional file reviews (of files created after the correction of individual noncompliance) submitted in SPR&amp;I and reviewed and approved by the State, that programs with noncompliance demonstrated current compliance and correct implementation of regulatory requirements [34 CFR §§ 303.20(c), 303.344(f)(1)].</w:t>
      </w:r>
      <w:r w:rsidRPr="00ED172B">
        <w:rPr>
          <w:color w:val="000000" w:themeColor="text1"/>
        </w:rPr>
        <w:br/>
      </w:r>
      <w:r w:rsidRPr="00ED172B">
        <w:rPr>
          <w:color w:val="000000" w:themeColor="text1"/>
        </w:rPr>
        <w:br/>
        <w:t xml:space="preserve">The following steps were completed for the verification process for each individual noncompliance: </w:t>
      </w:r>
      <w:r w:rsidRPr="00ED172B">
        <w:rPr>
          <w:color w:val="000000" w:themeColor="text1"/>
        </w:rPr>
        <w:br/>
        <w:t>•</w:t>
      </w:r>
      <w:r w:rsidRPr="00ED172B">
        <w:rPr>
          <w:color w:val="000000" w:themeColor="text1"/>
        </w:rPr>
        <w:tab/>
        <w:t xml:space="preserve">The EI program provided the reason for each individual noncompliance through online submission into SPR&amp;I, Oregon’s monitoring system. </w:t>
      </w:r>
      <w:r w:rsidRPr="00ED172B">
        <w:rPr>
          <w:color w:val="000000" w:themeColor="text1"/>
        </w:rPr>
        <w:br/>
        <w:t>•</w:t>
      </w:r>
      <w:r w:rsidRPr="00ED172B">
        <w:rPr>
          <w:color w:val="000000" w:themeColor="text1"/>
        </w:rPr>
        <w:tab/>
        <w:t xml:space="preserve">The State reviewed the reason for noncompliance and indicated corrective action needed.  </w:t>
      </w:r>
      <w:r w:rsidRPr="00ED172B">
        <w:rPr>
          <w:color w:val="000000" w:themeColor="text1"/>
        </w:rPr>
        <w:br/>
        <w:t>•</w:t>
      </w:r>
      <w:r w:rsidRPr="00ED172B">
        <w:rPr>
          <w:color w:val="000000" w:themeColor="text1"/>
        </w:rPr>
        <w:tab/>
        <w:t xml:space="preserve">The EI program submitted the corrective action on the individual noncompliance in SPR&amp;I. </w:t>
      </w:r>
      <w:r w:rsidRPr="00ED172B">
        <w:rPr>
          <w:color w:val="000000" w:themeColor="text1"/>
        </w:rPr>
        <w:br/>
        <w:t>•</w:t>
      </w:r>
      <w:r w:rsidRPr="00ED172B">
        <w:rPr>
          <w:color w:val="000000" w:themeColor="text1"/>
        </w:rPr>
        <w:tab/>
        <w:t xml:space="preserve">The State reviewed the submitted corrective action and individual child files in ecWeb (the statewide EI/ECSE special education database) and approved the same. </w:t>
      </w:r>
      <w:r w:rsidRPr="00ED172B">
        <w:rPr>
          <w:color w:val="000000" w:themeColor="text1"/>
        </w:rPr>
        <w:br/>
      </w:r>
      <w:r w:rsidRPr="00ED172B">
        <w:rPr>
          <w:color w:val="000000" w:themeColor="text1"/>
        </w:rPr>
        <w:br/>
        <w:t xml:space="preserve">Demonstration of correction of practices that contributed to the noncompliance, as well as current compliance with 34 CFR §§ 303.20(c), 303.344(f)(1), was obtained through the following: </w:t>
      </w:r>
      <w:r w:rsidRPr="00ED172B">
        <w:rPr>
          <w:color w:val="000000" w:themeColor="text1"/>
        </w:rPr>
        <w:br/>
      </w:r>
      <w:r w:rsidRPr="00ED172B">
        <w:rPr>
          <w:color w:val="000000" w:themeColor="text1"/>
        </w:rPr>
        <w:br/>
        <w:t>•</w:t>
      </w:r>
      <w:r w:rsidRPr="00ED172B">
        <w:rPr>
          <w:color w:val="000000" w:themeColor="text1"/>
        </w:rPr>
        <w:tab/>
        <w:t xml:space="preserve">For the identified area of noncompliance, the EI programs with noncompliance completed additional reviews of files that were developed after the original noncompliance in the area of the identified noncompliance and submitted these in SPR&amp;I. </w:t>
      </w:r>
      <w:r w:rsidRPr="00ED172B">
        <w:rPr>
          <w:color w:val="000000" w:themeColor="text1"/>
        </w:rPr>
        <w:br/>
        <w:t>• The State used ecWeb (the statewide EI/ECSE special education database) to review the additional file reviews and individual child files for each EI Program to verify as per OSEP QA 23-01 that each EI program with corrected noncompliance was in compliance and correctly implementing 34 CFR §§ 303.20(c), 303.344(f)(1).</w:t>
      </w:r>
    </w:p>
    <w:p w14:paraId="43786BF5" w14:textId="5256C900" w:rsidR="002F1A9A" w:rsidRPr="00ED172B" w:rsidRDefault="002F1A9A">
      <w:pPr>
        <w:rPr>
          <w:b/>
          <w:color w:val="000000" w:themeColor="text1"/>
        </w:rPr>
      </w:pPr>
      <w:r w:rsidRPr="00ED172B">
        <w:rPr>
          <w:b/>
          <w:color w:val="000000" w:themeColor="text1"/>
        </w:rPr>
        <w:lastRenderedPageBreak/>
        <w:t xml:space="preserve">Describe how the State verified that each </w:t>
      </w:r>
      <w:r w:rsidR="0031099B" w:rsidRPr="00ED172B">
        <w:rPr>
          <w:b/>
          <w:i/>
          <w:color w:val="000000" w:themeColor="text1"/>
        </w:rPr>
        <w:t>individual case</w:t>
      </w:r>
      <w:r w:rsidRPr="00ED172B">
        <w:rPr>
          <w:b/>
          <w:color w:val="000000" w:themeColor="text1"/>
        </w:rPr>
        <w:t xml:space="preserve"> of noncompliance was corrected</w:t>
      </w:r>
      <w:r w:rsidR="00A26AB9">
        <w:rPr>
          <w:b/>
          <w:color w:val="000000" w:themeColor="text1"/>
        </w:rPr>
        <w:t>.</w:t>
      </w:r>
    </w:p>
    <w:p w14:paraId="7DD27FB9" w14:textId="5AC7708B" w:rsidR="002F1A9A" w:rsidRDefault="00860830">
      <w:pPr>
        <w:rPr>
          <w:color w:val="000000" w:themeColor="text1"/>
        </w:rPr>
      </w:pPr>
      <w:r w:rsidRPr="00ED172B">
        <w:rPr>
          <w:color w:val="000000" w:themeColor="text1"/>
        </w:rPr>
        <w:t>For FFY 2021, the 3 incidents of delay of services were due to staff scheduling services after the start date on the IFSP.</w:t>
      </w:r>
      <w:r w:rsidRPr="00ED172B">
        <w:rPr>
          <w:color w:val="000000" w:themeColor="text1"/>
        </w:rPr>
        <w:br/>
      </w:r>
      <w:r w:rsidRPr="00ED172B">
        <w:rPr>
          <w:color w:val="000000" w:themeColor="text1"/>
        </w:rPr>
        <w:br/>
        <w:t xml:space="preserve">The verification process for each individual noncompliance included the following steps: </w:t>
      </w:r>
      <w:r w:rsidRPr="00ED172B">
        <w:rPr>
          <w:color w:val="000000" w:themeColor="text1"/>
        </w:rPr>
        <w:br/>
        <w:t>• The State reviewed the reason for each individual case of noncompliance as submitted online through SPR&amp;I, Oregon’s monitoring system, and indicated corrective action needed.</w:t>
      </w:r>
      <w:r w:rsidRPr="00ED172B">
        <w:rPr>
          <w:color w:val="000000" w:themeColor="text1"/>
        </w:rPr>
        <w:br/>
        <w:t>•</w:t>
      </w:r>
      <w:r w:rsidRPr="00ED172B">
        <w:rPr>
          <w:color w:val="000000" w:themeColor="text1"/>
        </w:rPr>
        <w:tab/>
        <w:t xml:space="preserve">The State reviewed and approved the corrective action submitted by EI programs (through SPR&amp;I) and approved the same. </w:t>
      </w:r>
      <w:r w:rsidRPr="00ED172B">
        <w:rPr>
          <w:color w:val="000000" w:themeColor="text1"/>
        </w:rPr>
        <w:br/>
        <w:t>• The State verified individual correction as per OSEP QA 23-01 through review of individual correction data submitted by Early Intervention Programs in SPR&amp;I, Oregon’s online monitoring system as well as reviewing individual child files in ecWeb, that 100% (3/3) of the individual incidents of noncompliance in FFY 2021 were corrected within one year.</w:t>
      </w:r>
      <w:r w:rsidRPr="00ED172B">
        <w:rPr>
          <w:color w:val="000000" w:themeColor="text1"/>
        </w:rPr>
        <w:br/>
      </w:r>
      <w:r w:rsidRPr="00ED172B">
        <w:rPr>
          <w:color w:val="000000" w:themeColor="text1"/>
        </w:rPr>
        <w:br/>
        <w:t>The State verified through review of subsequent data and individual child files that in the 3 instances of noncompliance, children received the early intervention services on their IFSP, although late, unless the child was no longer within the jurisdiction of the EIS program, consistent with OSEP QA 23-01. As a result of the review of subsequent or updated data, the State verified that 100% (3/3) compliance was achieved and the programs demonstrated correct implementation of the regulatory requirements of 34 CFR §§ 303.20(c), 303.344(f)(1).</w:t>
      </w:r>
    </w:p>
    <w:p w14:paraId="0275179C" w14:textId="47B09E7B" w:rsidR="002F1A9A" w:rsidRPr="00ED172B" w:rsidRDefault="002F1A9A" w:rsidP="00B83404">
      <w:pPr>
        <w:rPr>
          <w:color w:val="000000" w:themeColor="text1"/>
        </w:rPr>
      </w:pPr>
      <w:r w:rsidRPr="00ED172B">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C01PPFFYNCFINDINGS"/>
      </w:tblPr>
      <w:tblGrid>
        <w:gridCol w:w="1941"/>
        <w:gridCol w:w="3020"/>
        <w:gridCol w:w="3008"/>
        <w:gridCol w:w="2821"/>
      </w:tblGrid>
      <w:tr w:rsidR="00ED172B" w:rsidRPr="00ED172B" w14:paraId="7E28CC0F" w14:textId="77777777" w:rsidTr="00986B99">
        <w:trPr>
          <w:tblHeader/>
        </w:trPr>
        <w:tc>
          <w:tcPr>
            <w:tcW w:w="899" w:type="pct"/>
            <w:shd w:val="clear" w:color="auto" w:fill="auto"/>
            <w:vAlign w:val="bottom"/>
          </w:tcPr>
          <w:p w14:paraId="61175C0A"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99" w:type="pct"/>
            <w:shd w:val="clear" w:color="auto" w:fill="auto"/>
            <w:vAlign w:val="bottom"/>
          </w:tcPr>
          <w:p w14:paraId="5832D775" w14:textId="5DBCACDF"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2021 APR</w:t>
            </w:r>
          </w:p>
        </w:tc>
        <w:tc>
          <w:tcPr>
            <w:tcW w:w="1394" w:type="pct"/>
            <w:shd w:val="clear" w:color="auto" w:fill="auto"/>
            <w:vAlign w:val="bottom"/>
          </w:tcPr>
          <w:p w14:paraId="31807C98"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7" w:type="pct"/>
            <w:shd w:val="clear" w:color="auto" w:fill="auto"/>
            <w:vAlign w:val="bottom"/>
          </w:tcPr>
          <w:p w14:paraId="2938ABF0"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5A6AE6B0" w14:textId="77777777" w:rsidTr="00986B99">
        <w:tc>
          <w:tcPr>
            <w:tcW w:w="899" w:type="pct"/>
            <w:shd w:val="clear" w:color="auto" w:fill="auto"/>
          </w:tcPr>
          <w:p w14:paraId="7E294C4A" w14:textId="793E00D3" w:rsidR="002F1A9A" w:rsidRPr="00ED172B" w:rsidRDefault="002F1A9A" w:rsidP="00186420">
            <w:pPr>
              <w:jc w:val="center"/>
              <w:rPr>
                <w:rFonts w:cs="Arial"/>
                <w:color w:val="000000" w:themeColor="text1"/>
                <w:szCs w:val="16"/>
              </w:rPr>
            </w:pPr>
          </w:p>
        </w:tc>
        <w:tc>
          <w:tcPr>
            <w:tcW w:w="1399" w:type="pct"/>
            <w:shd w:val="clear" w:color="auto" w:fill="auto"/>
          </w:tcPr>
          <w:p w14:paraId="1160A201" w14:textId="0E2C6FD9" w:rsidR="002F1A9A" w:rsidRPr="00ED172B" w:rsidRDefault="002F1A9A" w:rsidP="009A3621">
            <w:pPr>
              <w:jc w:val="center"/>
              <w:rPr>
                <w:rFonts w:cs="Arial"/>
                <w:noProof/>
                <w:color w:val="000000" w:themeColor="text1"/>
                <w:szCs w:val="16"/>
              </w:rPr>
            </w:pPr>
          </w:p>
        </w:tc>
        <w:tc>
          <w:tcPr>
            <w:tcW w:w="1394" w:type="pct"/>
            <w:shd w:val="clear" w:color="auto" w:fill="auto"/>
          </w:tcPr>
          <w:p w14:paraId="4333C23A" w14:textId="71B77B57" w:rsidR="002F1A9A" w:rsidRPr="00ED172B" w:rsidRDefault="002F1A9A" w:rsidP="009A3621">
            <w:pPr>
              <w:jc w:val="center"/>
              <w:rPr>
                <w:rFonts w:cs="Arial"/>
                <w:noProof/>
                <w:color w:val="000000" w:themeColor="text1"/>
                <w:szCs w:val="16"/>
              </w:rPr>
            </w:pPr>
          </w:p>
        </w:tc>
        <w:tc>
          <w:tcPr>
            <w:tcW w:w="1307" w:type="pct"/>
            <w:shd w:val="clear" w:color="auto" w:fill="auto"/>
          </w:tcPr>
          <w:p w14:paraId="33AEF7F3" w14:textId="54D2CF26" w:rsidR="002F1A9A" w:rsidRPr="00ED172B" w:rsidRDefault="002F1A9A" w:rsidP="00433DB7">
            <w:pPr>
              <w:jc w:val="center"/>
              <w:rPr>
                <w:rFonts w:cs="Arial"/>
                <w:noProof/>
                <w:color w:val="000000" w:themeColor="text1"/>
                <w:szCs w:val="16"/>
              </w:rPr>
            </w:pPr>
          </w:p>
        </w:tc>
      </w:tr>
      <w:tr w:rsidR="00ED172B" w:rsidRPr="00ED172B" w14:paraId="77EEF846" w14:textId="77777777" w:rsidTr="00986B99">
        <w:tc>
          <w:tcPr>
            <w:tcW w:w="899" w:type="pct"/>
            <w:shd w:val="clear" w:color="auto" w:fill="auto"/>
          </w:tcPr>
          <w:p w14:paraId="5220DDBB" w14:textId="617F1338" w:rsidR="002F1A9A" w:rsidRPr="00ED172B" w:rsidRDefault="002F1A9A" w:rsidP="00186420">
            <w:pPr>
              <w:jc w:val="center"/>
              <w:rPr>
                <w:rFonts w:cs="Arial"/>
                <w:color w:val="000000" w:themeColor="text1"/>
                <w:szCs w:val="16"/>
              </w:rPr>
            </w:pPr>
          </w:p>
        </w:tc>
        <w:tc>
          <w:tcPr>
            <w:tcW w:w="1399" w:type="pct"/>
            <w:shd w:val="clear" w:color="auto" w:fill="auto"/>
          </w:tcPr>
          <w:p w14:paraId="51E72912" w14:textId="28137C7A" w:rsidR="002F1A9A" w:rsidRPr="00ED172B" w:rsidRDefault="002F1A9A" w:rsidP="009A3621">
            <w:pPr>
              <w:jc w:val="center"/>
              <w:rPr>
                <w:rFonts w:cs="Arial"/>
                <w:noProof/>
                <w:color w:val="000000" w:themeColor="text1"/>
                <w:szCs w:val="16"/>
              </w:rPr>
            </w:pPr>
          </w:p>
        </w:tc>
        <w:tc>
          <w:tcPr>
            <w:tcW w:w="1394" w:type="pct"/>
            <w:shd w:val="clear" w:color="auto" w:fill="auto"/>
          </w:tcPr>
          <w:p w14:paraId="2C1F8516" w14:textId="6CE00AC5" w:rsidR="002F1A9A" w:rsidRPr="00ED172B" w:rsidRDefault="002F1A9A" w:rsidP="009A3621">
            <w:pPr>
              <w:jc w:val="center"/>
              <w:rPr>
                <w:rFonts w:cs="Arial"/>
                <w:noProof/>
                <w:color w:val="000000" w:themeColor="text1"/>
                <w:szCs w:val="16"/>
              </w:rPr>
            </w:pPr>
          </w:p>
        </w:tc>
        <w:tc>
          <w:tcPr>
            <w:tcW w:w="1307" w:type="pct"/>
            <w:shd w:val="clear" w:color="auto" w:fill="auto"/>
          </w:tcPr>
          <w:p w14:paraId="504165E6" w14:textId="20AD78DF" w:rsidR="002F1A9A" w:rsidRPr="00ED172B" w:rsidRDefault="002F1A9A" w:rsidP="00433DB7">
            <w:pPr>
              <w:jc w:val="center"/>
              <w:rPr>
                <w:rFonts w:cs="Arial"/>
                <w:noProof/>
                <w:color w:val="000000" w:themeColor="text1"/>
                <w:szCs w:val="16"/>
              </w:rPr>
            </w:pPr>
          </w:p>
        </w:tc>
      </w:tr>
      <w:tr w:rsidR="00ED172B" w:rsidRPr="00ED172B" w14:paraId="06686058" w14:textId="77777777" w:rsidTr="00986B99">
        <w:tc>
          <w:tcPr>
            <w:tcW w:w="899" w:type="pct"/>
            <w:shd w:val="clear" w:color="auto" w:fill="auto"/>
          </w:tcPr>
          <w:p w14:paraId="25B79FD3" w14:textId="19A616F7" w:rsidR="002F1A9A" w:rsidRPr="00ED172B" w:rsidRDefault="002F1A9A" w:rsidP="00186420">
            <w:pPr>
              <w:jc w:val="center"/>
              <w:rPr>
                <w:rFonts w:cs="Arial"/>
                <w:color w:val="000000" w:themeColor="text1"/>
                <w:szCs w:val="16"/>
              </w:rPr>
            </w:pPr>
          </w:p>
        </w:tc>
        <w:tc>
          <w:tcPr>
            <w:tcW w:w="1399" w:type="pct"/>
            <w:shd w:val="clear" w:color="auto" w:fill="auto"/>
          </w:tcPr>
          <w:p w14:paraId="107B2803" w14:textId="0CF5B5C3" w:rsidR="002F1A9A" w:rsidRPr="00ED172B" w:rsidRDefault="002F1A9A" w:rsidP="009A3621">
            <w:pPr>
              <w:jc w:val="center"/>
              <w:rPr>
                <w:rFonts w:cs="Arial"/>
                <w:noProof/>
                <w:color w:val="000000" w:themeColor="text1"/>
                <w:szCs w:val="16"/>
              </w:rPr>
            </w:pPr>
          </w:p>
        </w:tc>
        <w:tc>
          <w:tcPr>
            <w:tcW w:w="1394" w:type="pct"/>
            <w:shd w:val="clear" w:color="auto" w:fill="auto"/>
          </w:tcPr>
          <w:p w14:paraId="5FBAC412" w14:textId="4ED40606" w:rsidR="002F1A9A" w:rsidRPr="00ED172B" w:rsidRDefault="002F1A9A" w:rsidP="009A3621">
            <w:pPr>
              <w:jc w:val="center"/>
              <w:rPr>
                <w:rFonts w:cs="Arial"/>
                <w:noProof/>
                <w:color w:val="000000" w:themeColor="text1"/>
                <w:szCs w:val="16"/>
              </w:rPr>
            </w:pPr>
          </w:p>
        </w:tc>
        <w:tc>
          <w:tcPr>
            <w:tcW w:w="1307" w:type="pct"/>
            <w:shd w:val="clear" w:color="auto" w:fill="auto"/>
          </w:tcPr>
          <w:p w14:paraId="1B00BD3C" w14:textId="5FA6F0AB" w:rsidR="002F1A9A" w:rsidRPr="00ED172B" w:rsidRDefault="002F1A9A" w:rsidP="00433DB7">
            <w:pPr>
              <w:jc w:val="center"/>
              <w:rPr>
                <w:rFonts w:cs="Arial"/>
                <w:noProof/>
                <w:color w:val="000000" w:themeColor="text1"/>
                <w:szCs w:val="16"/>
              </w:rPr>
            </w:pPr>
          </w:p>
        </w:tc>
      </w:tr>
      <w:tr w:rsidR="00D06052" w:rsidRPr="00ED172B" w14:paraId="75EC4F8F" w14:textId="77777777" w:rsidTr="00986B99">
        <w:tc>
          <w:tcPr>
            <w:tcW w:w="899" w:type="pct"/>
            <w:shd w:val="clear" w:color="auto" w:fill="auto"/>
          </w:tcPr>
          <w:p w14:paraId="6B87481D" w14:textId="5A6E3598" w:rsidR="00D06052" w:rsidRPr="00ED172B" w:rsidRDefault="00D06052" w:rsidP="00D06052">
            <w:pPr>
              <w:jc w:val="center"/>
              <w:rPr>
                <w:rFonts w:cs="Arial"/>
                <w:color w:val="000000" w:themeColor="text1"/>
                <w:szCs w:val="16"/>
              </w:rPr>
            </w:pPr>
          </w:p>
        </w:tc>
        <w:tc>
          <w:tcPr>
            <w:tcW w:w="1399" w:type="pct"/>
            <w:shd w:val="clear" w:color="auto" w:fill="auto"/>
          </w:tcPr>
          <w:p w14:paraId="3FE68023" w14:textId="610C124D" w:rsidR="00D06052" w:rsidRPr="00ED172B" w:rsidRDefault="00D06052" w:rsidP="00D06052">
            <w:pPr>
              <w:jc w:val="center"/>
              <w:rPr>
                <w:rFonts w:cs="Arial"/>
                <w:color w:val="000000" w:themeColor="text1"/>
                <w:szCs w:val="16"/>
              </w:rPr>
            </w:pPr>
          </w:p>
        </w:tc>
        <w:tc>
          <w:tcPr>
            <w:tcW w:w="1394" w:type="pct"/>
            <w:shd w:val="clear" w:color="auto" w:fill="auto"/>
          </w:tcPr>
          <w:p w14:paraId="08CEA572" w14:textId="644D97CC" w:rsidR="00D06052" w:rsidRPr="00ED172B" w:rsidRDefault="00D06052" w:rsidP="00D06052">
            <w:pPr>
              <w:jc w:val="center"/>
              <w:rPr>
                <w:rFonts w:cs="Arial"/>
                <w:color w:val="000000" w:themeColor="text1"/>
                <w:szCs w:val="16"/>
              </w:rPr>
            </w:pPr>
          </w:p>
        </w:tc>
        <w:tc>
          <w:tcPr>
            <w:tcW w:w="1307" w:type="pct"/>
            <w:shd w:val="clear" w:color="auto" w:fill="auto"/>
          </w:tcPr>
          <w:p w14:paraId="7AADBB03" w14:textId="24C5A8C7" w:rsidR="00D06052" w:rsidRPr="00ED172B" w:rsidRDefault="00D06052" w:rsidP="00D06052">
            <w:pPr>
              <w:jc w:val="center"/>
              <w:rPr>
                <w:rFonts w:cs="Arial"/>
                <w:color w:val="000000" w:themeColor="text1"/>
                <w:szCs w:val="16"/>
              </w:rPr>
            </w:pPr>
          </w:p>
        </w:tc>
      </w:tr>
      <w:tr w:rsidR="00D06052" w:rsidRPr="00ED172B" w14:paraId="38F4CB9B" w14:textId="77777777" w:rsidTr="00986B99">
        <w:tc>
          <w:tcPr>
            <w:tcW w:w="899" w:type="pct"/>
            <w:shd w:val="clear" w:color="auto" w:fill="auto"/>
          </w:tcPr>
          <w:p w14:paraId="139D770E" w14:textId="6EB521BB" w:rsidR="00D06052" w:rsidRPr="00ED172B" w:rsidRDefault="00D06052" w:rsidP="00D06052">
            <w:pPr>
              <w:jc w:val="center"/>
              <w:rPr>
                <w:rFonts w:cs="Arial"/>
                <w:color w:val="000000" w:themeColor="text1"/>
                <w:szCs w:val="16"/>
              </w:rPr>
            </w:pPr>
          </w:p>
        </w:tc>
        <w:tc>
          <w:tcPr>
            <w:tcW w:w="1399" w:type="pct"/>
            <w:shd w:val="clear" w:color="auto" w:fill="auto"/>
          </w:tcPr>
          <w:p w14:paraId="1AED1D12" w14:textId="70F050AE" w:rsidR="00D06052" w:rsidRPr="00ED172B" w:rsidRDefault="00D06052" w:rsidP="00D06052">
            <w:pPr>
              <w:jc w:val="center"/>
              <w:rPr>
                <w:rFonts w:cs="Arial"/>
                <w:color w:val="000000" w:themeColor="text1"/>
                <w:szCs w:val="16"/>
              </w:rPr>
            </w:pPr>
          </w:p>
        </w:tc>
        <w:tc>
          <w:tcPr>
            <w:tcW w:w="1394" w:type="pct"/>
            <w:shd w:val="clear" w:color="auto" w:fill="auto"/>
          </w:tcPr>
          <w:p w14:paraId="1580EBDF" w14:textId="2288BD28" w:rsidR="00D06052" w:rsidRPr="00ED172B" w:rsidRDefault="00D06052" w:rsidP="00D06052">
            <w:pPr>
              <w:jc w:val="center"/>
              <w:rPr>
                <w:rFonts w:cs="Arial"/>
                <w:color w:val="000000" w:themeColor="text1"/>
                <w:szCs w:val="16"/>
              </w:rPr>
            </w:pPr>
          </w:p>
        </w:tc>
        <w:tc>
          <w:tcPr>
            <w:tcW w:w="1307" w:type="pct"/>
            <w:shd w:val="clear" w:color="auto" w:fill="auto"/>
          </w:tcPr>
          <w:p w14:paraId="0DE5838F" w14:textId="1505E187" w:rsidR="00D06052" w:rsidRPr="00ED172B" w:rsidRDefault="00D06052" w:rsidP="00D06052">
            <w:pPr>
              <w:jc w:val="center"/>
              <w:rPr>
                <w:rFonts w:cs="Arial"/>
                <w:color w:val="000000" w:themeColor="text1"/>
                <w:szCs w:val="16"/>
              </w:rPr>
            </w:pPr>
          </w:p>
        </w:tc>
      </w:tr>
    </w:tbl>
    <w:p w14:paraId="5567CC80" w14:textId="77777777" w:rsidR="00DE328D" w:rsidRPr="00ED172B" w:rsidRDefault="00DE328D">
      <w:pPr>
        <w:rPr>
          <w:color w:val="000000" w:themeColor="text1"/>
        </w:rPr>
      </w:pPr>
    </w:p>
    <w:p w14:paraId="7D42D1C9" w14:textId="0CD6E9DC" w:rsidR="002F1A9A" w:rsidRPr="00A40EE1" w:rsidRDefault="000D0117" w:rsidP="005C3FFD">
      <w:pPr>
        <w:pStyle w:val="Heading2"/>
      </w:pPr>
      <w:r w:rsidRPr="00A40EE1">
        <w:t xml:space="preserve">1 - </w:t>
      </w:r>
      <w:r w:rsidR="002F1A9A" w:rsidRPr="00A40EE1">
        <w:t>Prior FFY Required Actions</w:t>
      </w:r>
    </w:p>
    <w:p w14:paraId="07770A6D" w14:textId="113FE3B3" w:rsidR="002F1A9A" w:rsidRPr="00ED172B" w:rsidRDefault="005E414F" w:rsidP="00027F39">
      <w:pPr>
        <w:rPr>
          <w:color w:val="000000" w:themeColor="text1"/>
        </w:rPr>
      </w:pPr>
      <w:r w:rsidRPr="00ED172B">
        <w:rPr>
          <w:color w:val="000000" w:themeColor="text1"/>
        </w:rPr>
        <w:t>Because the State reported less than 100% compliance for FFY 2021, the State must report on the status of correction of noncompliance identified in FFY 2021 for this indicator. When reporting on the correction of noncompliance, the State must report, in the FFY 2022 SPP/APR, that it has verified that each EIS program or provider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2022 SPP/APR, the State must describe the specific actions that were taken to verify the correction.</w:t>
      </w:r>
      <w:r w:rsidRPr="00ED172B">
        <w:rPr>
          <w:color w:val="000000" w:themeColor="text1"/>
        </w:rPr>
        <w:br/>
        <w:t>If the State did not identify any findings of noncompliance in FFY 2021, although its FFY 2021 data reflect less than 100% compliance, provide an explanation of why the State did not identify any findings of noncompliance in FFY 2021.</w:t>
      </w:r>
    </w:p>
    <w:p w14:paraId="50B0C9A3" w14:textId="77777777" w:rsidR="004C1CEE" w:rsidRPr="00ED172B" w:rsidRDefault="004C1CEE" w:rsidP="002F1A9A">
      <w:pPr>
        <w:rPr>
          <w:rFonts w:cs="Arial"/>
          <w:color w:val="000000" w:themeColor="text1"/>
          <w:szCs w:val="16"/>
        </w:rPr>
      </w:pPr>
    </w:p>
    <w:p w14:paraId="7CD7BB8E" w14:textId="2A40DF33" w:rsidR="002F1A9A" w:rsidRPr="00ED172B" w:rsidRDefault="002F1A9A" w:rsidP="00B83404">
      <w:pPr>
        <w:rPr>
          <w:color w:val="000000" w:themeColor="text1"/>
        </w:rPr>
      </w:pPr>
      <w:r w:rsidRPr="00ED172B">
        <w:rPr>
          <w:b/>
          <w:color w:val="000000" w:themeColor="text1"/>
        </w:rPr>
        <w:t>Response to actions required in FFY 2021 SPP/APR</w:t>
      </w:r>
      <w:r w:rsidR="00950382" w:rsidRPr="00ED172B">
        <w:rPr>
          <w:color w:val="000000" w:themeColor="text1"/>
        </w:rPr>
        <w:t xml:space="preserve"> </w:t>
      </w:r>
    </w:p>
    <w:p w14:paraId="7B432D1F" w14:textId="30BE75E8" w:rsidR="002F1A9A" w:rsidRPr="00ED172B" w:rsidRDefault="00027F39" w:rsidP="00027F39">
      <w:pPr>
        <w:rPr>
          <w:color w:val="000000" w:themeColor="text1"/>
        </w:rPr>
      </w:pPr>
      <w:r w:rsidRPr="00ED172B">
        <w:rPr>
          <w:color w:val="000000" w:themeColor="text1"/>
        </w:rPr>
        <w:t>For FFY 2021, the 3 incidents of delay of services were due to staff scheduling services after the start date on the IFSP</w:t>
      </w:r>
      <w:r w:rsidRPr="00ED172B">
        <w:rPr>
          <w:color w:val="000000" w:themeColor="text1"/>
        </w:rPr>
        <w:br/>
      </w:r>
      <w:r w:rsidRPr="00ED172B">
        <w:rPr>
          <w:color w:val="000000" w:themeColor="text1"/>
        </w:rPr>
        <w:br/>
      </w:r>
      <w:r w:rsidRPr="00ED172B">
        <w:rPr>
          <w:color w:val="000000" w:themeColor="text1"/>
        </w:rPr>
        <w:br/>
        <w:t xml:space="preserve">The verification process for each individual noncompliance included the following steps: </w:t>
      </w:r>
      <w:r w:rsidRPr="00ED172B">
        <w:rPr>
          <w:color w:val="000000" w:themeColor="text1"/>
        </w:rPr>
        <w:br/>
        <w:t>• The State reviewed the reason for each individual case of noncompliance as submitted online through SPR&amp;I, Oregon’s monitoring system, and indicated corrective action needed.</w:t>
      </w:r>
      <w:r w:rsidRPr="00ED172B">
        <w:rPr>
          <w:color w:val="000000" w:themeColor="text1"/>
        </w:rPr>
        <w:br/>
        <w:t>•</w:t>
      </w:r>
      <w:r w:rsidRPr="00ED172B">
        <w:rPr>
          <w:color w:val="000000" w:themeColor="text1"/>
        </w:rPr>
        <w:tab/>
        <w:t xml:space="preserve">The State reviewed and approved the corrective action submitted by EI programs (through SPR&amp;I) and approved the same. </w:t>
      </w:r>
      <w:r w:rsidRPr="00ED172B">
        <w:rPr>
          <w:color w:val="000000" w:themeColor="text1"/>
        </w:rPr>
        <w:br/>
        <w:t>• The State verified individual correction as per OSEP QA 23-01 through review of individual correction data submitted by Early Intervention Programs in SPR&amp;I, Oregon’s online monitoring system as well as reviewing individual child files in ecWeb (the statewide EI/ECSE special education database), that 100% (3/3) of the individual incidents of noncompliance in FFY 2021 were corrected within one year.</w:t>
      </w:r>
      <w:r w:rsidRPr="00ED172B">
        <w:rPr>
          <w:color w:val="000000" w:themeColor="text1"/>
        </w:rPr>
        <w:br/>
      </w:r>
      <w:r w:rsidRPr="00ED172B">
        <w:rPr>
          <w:color w:val="000000" w:themeColor="text1"/>
        </w:rPr>
        <w:br/>
        <w:t>The State verified through review of subsequent data and individual child files that in the 3 instances of noncompliance, children received the early intervention services on their IFSP, although late, unless the child was no longer within the jurisdiction of the EIS program, consistent with OSEP QA 23-01. As a result of the review of subsequent or updated data, the State verified that 100% (3/3) compliance was achieved and the programs demonstrated correct implementation of the regulatory requirements of 34 CFR §§ 303.20(c), 303.344(f)(1).</w:t>
      </w:r>
      <w:r w:rsidRPr="00ED172B">
        <w:rPr>
          <w:color w:val="000000" w:themeColor="text1"/>
        </w:rPr>
        <w:br/>
        <w:t>Describe how the State verified that the source of noncompliance is correctly implementing the regulatory requirements.</w:t>
      </w:r>
      <w:r w:rsidRPr="00ED172B">
        <w:rPr>
          <w:color w:val="000000" w:themeColor="text1"/>
        </w:rPr>
        <w:br/>
        <w:t>The State verified as per OSEP QA 23-01 through individual file review and review and approval of correction data submitted by Early Intervention Programs in SPR&amp;I, Oregon’s online monitoring system, that 100% (3/3) of incidents of noncompliance in FFY 2021 were corrected within one year.</w:t>
      </w:r>
      <w:r w:rsidRPr="00ED172B">
        <w:rPr>
          <w:color w:val="000000" w:themeColor="text1"/>
        </w:rPr>
        <w:br/>
      </w:r>
      <w:r w:rsidRPr="00ED172B">
        <w:rPr>
          <w:color w:val="000000" w:themeColor="text1"/>
        </w:rPr>
        <w:br/>
        <w:t>The State verified through additional file reviews (of files created after the correction of individual noncompliance) submitted in SPR&amp;I and reviewed and approved by the State, that programs with noncompliance demonstrated current compliance and correct implementation of regulatory requirements [34 CFR §§ 303.20(c), 303.344(f)(1)].</w:t>
      </w:r>
      <w:r w:rsidRPr="00ED172B">
        <w:rPr>
          <w:color w:val="000000" w:themeColor="text1"/>
        </w:rPr>
        <w:br/>
      </w:r>
      <w:r w:rsidRPr="00ED172B">
        <w:rPr>
          <w:color w:val="000000" w:themeColor="text1"/>
        </w:rPr>
        <w:br/>
        <w:t xml:space="preserve">The following steps were completed for the verification process for each individual noncompliance: </w:t>
      </w:r>
      <w:r w:rsidRPr="00ED172B">
        <w:rPr>
          <w:color w:val="000000" w:themeColor="text1"/>
        </w:rPr>
        <w:br/>
        <w:t>• The EI program provided the reason for each individual noncompliance through online submission into SPR&amp;I, Oregon’s monitoring system;</w:t>
      </w:r>
      <w:r w:rsidRPr="00ED172B">
        <w:rPr>
          <w:color w:val="000000" w:themeColor="text1"/>
        </w:rPr>
        <w:br/>
        <w:t>•</w:t>
      </w:r>
      <w:r w:rsidRPr="00ED172B">
        <w:rPr>
          <w:color w:val="000000" w:themeColor="text1"/>
        </w:rPr>
        <w:tab/>
        <w:t xml:space="preserve">The State reviewed the reason for noncompliance and indicated corrective action needed; </w:t>
      </w:r>
      <w:r w:rsidRPr="00ED172B">
        <w:rPr>
          <w:color w:val="000000" w:themeColor="text1"/>
        </w:rPr>
        <w:br/>
        <w:t>•</w:t>
      </w:r>
      <w:r w:rsidRPr="00ED172B">
        <w:rPr>
          <w:color w:val="000000" w:themeColor="text1"/>
        </w:rPr>
        <w:tab/>
        <w:t xml:space="preserve">The EI program submitted the corrective action on the individual noncompliance in SPR&amp;I; </w:t>
      </w:r>
      <w:r w:rsidRPr="00ED172B">
        <w:rPr>
          <w:color w:val="000000" w:themeColor="text1"/>
        </w:rPr>
        <w:br/>
        <w:t>•</w:t>
      </w:r>
      <w:r w:rsidRPr="00ED172B">
        <w:rPr>
          <w:color w:val="000000" w:themeColor="text1"/>
        </w:rPr>
        <w:tab/>
        <w:t xml:space="preserve">The State reviewed the submitted corrective action and individual child files in ecWeb (the statewide EI/ECSE special education database) and approved the same. </w:t>
      </w:r>
      <w:r w:rsidRPr="00ED172B">
        <w:rPr>
          <w:color w:val="000000" w:themeColor="text1"/>
        </w:rPr>
        <w:br/>
      </w:r>
      <w:r w:rsidRPr="00ED172B">
        <w:rPr>
          <w:color w:val="000000" w:themeColor="text1"/>
        </w:rPr>
        <w:br/>
        <w:t xml:space="preserve">Demonstration of correction of practices that contributed to the noncompliance as well as current compliance with 34 CFR §§ 303.20(c), 303.344(f)(1) was obtained through the following: </w:t>
      </w:r>
      <w:r w:rsidRPr="00ED172B">
        <w:rPr>
          <w:color w:val="000000" w:themeColor="text1"/>
        </w:rPr>
        <w:br/>
      </w:r>
      <w:r w:rsidRPr="00ED172B">
        <w:rPr>
          <w:color w:val="000000" w:themeColor="text1"/>
        </w:rPr>
        <w:lastRenderedPageBreak/>
        <w:br/>
        <w:t>•</w:t>
      </w:r>
      <w:r w:rsidRPr="00ED172B">
        <w:rPr>
          <w:color w:val="000000" w:themeColor="text1"/>
        </w:rPr>
        <w:tab/>
        <w:t xml:space="preserve">For the identified area of noncompliance, the EI programs with noncompliance completed additional reviews of files that were developed after the original noncompliance in the area of the identified noncompliance and submitted these in SPR&amp;I. </w:t>
      </w:r>
      <w:r w:rsidRPr="00ED172B">
        <w:rPr>
          <w:color w:val="000000" w:themeColor="text1"/>
        </w:rPr>
        <w:br/>
        <w:t>• The State used ecWeb (the statewide EI/ECSE special education database) to review the additional file reviews and individual child files for each EI Program to verify that each EI program with corrected noncompliance were in compliance and correctly implementing 34 CFR §§ 303.20(c), 303.344(f)(1).</w:t>
      </w:r>
    </w:p>
    <w:p w14:paraId="5B26E5E3" w14:textId="4D399F9F" w:rsidR="002F1A9A" w:rsidRPr="00A40EE1" w:rsidRDefault="000D0117" w:rsidP="005C3FFD">
      <w:pPr>
        <w:pStyle w:val="Heading2"/>
      </w:pPr>
      <w:r w:rsidRPr="00A40EE1">
        <w:t xml:space="preserve">1 - </w:t>
      </w:r>
      <w:r w:rsidR="002F1A9A" w:rsidRPr="00A40EE1">
        <w:t>OSEP Response</w:t>
      </w:r>
    </w:p>
    <w:p w14:paraId="7E4E1765" w14:textId="5486F1D2" w:rsidR="002F1A9A" w:rsidRPr="00ED172B" w:rsidRDefault="002F1A9A" w:rsidP="00027F39">
      <w:pPr>
        <w:rPr>
          <w:color w:val="000000" w:themeColor="text1"/>
        </w:rPr>
      </w:pPr>
    </w:p>
    <w:p w14:paraId="14E4670B" w14:textId="0CF10102" w:rsidR="002F1A9A" w:rsidRPr="00A40EE1" w:rsidRDefault="000D0117" w:rsidP="005C3FFD">
      <w:pPr>
        <w:pStyle w:val="Heading2"/>
      </w:pPr>
      <w:r w:rsidRPr="00A40EE1">
        <w:t xml:space="preserve">1 - </w:t>
      </w:r>
      <w:r w:rsidR="002F1A9A" w:rsidRPr="00A40EE1">
        <w:t>Required Actions</w:t>
      </w:r>
    </w:p>
    <w:p w14:paraId="1951D376" w14:textId="06E81FEF" w:rsidR="002F1A9A" w:rsidRPr="00ED172B" w:rsidRDefault="00027F39" w:rsidP="00027F39">
      <w:pPr>
        <w:rPr>
          <w:color w:val="000000" w:themeColor="text1"/>
        </w:rPr>
      </w:pPr>
      <w:r w:rsidRPr="00ED172B">
        <w:rPr>
          <w:color w:val="000000" w:themeColor="text1"/>
        </w:rPr>
        <w:t>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EIS program or provider with noncompliance identified in FFY 2022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QA 23-01. In the FFY 2023 SPP/APR, the State must describe the specific actions that were taken to verify the correction. If the State did not identify any findings of noncompliance in FFY 2022, although its FFY 2022 data reflect less than 100% compliance, provide an explanation of why the State did not identify any findings of noncompliance in FFY 2022.</w:t>
      </w:r>
    </w:p>
    <w:p w14:paraId="5457E150" w14:textId="2454D9B8" w:rsidR="006B486C" w:rsidRPr="00ED172B" w:rsidRDefault="006B486C" w:rsidP="00604467">
      <w:pPr>
        <w:rPr>
          <w:color w:val="000000" w:themeColor="text1"/>
        </w:rPr>
        <w:sectPr w:rsidR="006B486C" w:rsidRPr="00ED172B" w:rsidSect="00BF3AB4">
          <w:footerReference w:type="default" r:id="rId12"/>
          <w:pgSz w:w="12240" w:h="15840"/>
          <w:pgMar w:top="720" w:right="720" w:bottom="720" w:left="720" w:header="720" w:footer="463" w:gutter="0"/>
          <w:cols w:space="720"/>
          <w:docGrid w:linePitch="360"/>
        </w:sectPr>
      </w:pPr>
    </w:p>
    <w:p w14:paraId="4A6B8FA1" w14:textId="0413C7A8" w:rsidR="00D21EAA" w:rsidRPr="00ED172B" w:rsidRDefault="00D21EAA" w:rsidP="00174E1C">
      <w:pPr>
        <w:pStyle w:val="Heading1"/>
        <w:rPr>
          <w:color w:val="000000" w:themeColor="text1"/>
        </w:rPr>
      </w:pPr>
      <w:bookmarkStart w:id="7" w:name="_Toc392159262"/>
      <w:r w:rsidRPr="00ED172B">
        <w:rPr>
          <w:color w:val="000000" w:themeColor="text1"/>
        </w:rPr>
        <w:lastRenderedPageBreak/>
        <w:t xml:space="preserve">Indicator 2: </w:t>
      </w:r>
      <w:bookmarkEnd w:id="5"/>
      <w:bookmarkEnd w:id="7"/>
      <w:r w:rsidR="00B55C3D" w:rsidRPr="00ED172B">
        <w:rPr>
          <w:color w:val="000000" w:themeColor="text1"/>
        </w:rPr>
        <w:t>Services in Natural Environments</w:t>
      </w:r>
    </w:p>
    <w:p w14:paraId="4A896E65" w14:textId="77777777" w:rsidR="00174E1C" w:rsidRPr="00ED172B" w:rsidRDefault="00174E1C" w:rsidP="00186420">
      <w:pPr>
        <w:rPr>
          <w:color w:val="000000" w:themeColor="text1"/>
          <w:szCs w:val="20"/>
        </w:rPr>
      </w:pPr>
      <w:bookmarkStart w:id="8" w:name="_Toc392159263"/>
      <w:r w:rsidRPr="00ED172B">
        <w:rPr>
          <w:b/>
          <w:color w:val="000000" w:themeColor="text1"/>
          <w:sz w:val="20"/>
          <w:szCs w:val="20"/>
        </w:rPr>
        <w:t>Instructions and Measurement</w:t>
      </w:r>
    </w:p>
    <w:p w14:paraId="1B71FDF7" w14:textId="77777777" w:rsidR="00B55C3D" w:rsidRPr="00ED172B" w:rsidRDefault="00B55C3D" w:rsidP="00174E1C">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Early Intervention Services </w:t>
      </w:r>
      <w:proofErr w:type="gramStart"/>
      <w:r w:rsidRPr="00ED172B">
        <w:rPr>
          <w:color w:val="000000" w:themeColor="text1"/>
          <w:szCs w:val="16"/>
        </w:rPr>
        <w:t>In</w:t>
      </w:r>
      <w:proofErr w:type="gramEnd"/>
      <w:r w:rsidRPr="00ED172B">
        <w:rPr>
          <w:color w:val="000000" w:themeColor="text1"/>
          <w:szCs w:val="16"/>
        </w:rPr>
        <w:t xml:space="preserve"> Natural Environments</w:t>
      </w:r>
    </w:p>
    <w:p w14:paraId="7F28A479" w14:textId="155CFC80" w:rsidR="00B55C3D" w:rsidRPr="00ED172B" w:rsidRDefault="00B55C3D" w:rsidP="00B55C3D">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infants and toddlers with IFSPs who primarily receive early intervention services in the home or community-based settings.</w:t>
      </w:r>
      <w:r w:rsidR="007243C1" w:rsidRPr="00ED172B">
        <w:rPr>
          <w:color w:val="000000" w:themeColor="text1"/>
          <w:szCs w:val="16"/>
        </w:rPr>
        <w:t xml:space="preserve"> </w:t>
      </w:r>
      <w:r w:rsidRPr="00ED172B">
        <w:rPr>
          <w:color w:val="000000" w:themeColor="text1"/>
          <w:szCs w:val="16"/>
        </w:rPr>
        <w:t>(20 U.S.C. 1416(a)(3)(A) and 1442)</w:t>
      </w:r>
    </w:p>
    <w:p w14:paraId="6BD43E0B" w14:textId="77777777" w:rsidR="006628E4" w:rsidRPr="00ED172B" w:rsidRDefault="006628E4">
      <w:pPr>
        <w:rPr>
          <w:b/>
          <w:color w:val="000000" w:themeColor="text1"/>
        </w:rPr>
      </w:pPr>
      <w:r w:rsidRPr="00ED172B">
        <w:rPr>
          <w:b/>
          <w:color w:val="000000" w:themeColor="text1"/>
        </w:rPr>
        <w:t>Data Source</w:t>
      </w:r>
    </w:p>
    <w:p w14:paraId="3DA519AD" w14:textId="7BC50025" w:rsidR="006628E4" w:rsidRPr="00ED172B" w:rsidRDefault="006628E4" w:rsidP="00174E1C">
      <w:pPr>
        <w:rPr>
          <w:color w:val="000000" w:themeColor="text1"/>
          <w:szCs w:val="16"/>
        </w:rPr>
      </w:pPr>
      <w:r w:rsidRPr="00ED172B">
        <w:rPr>
          <w:color w:val="000000" w:themeColor="text1"/>
          <w:szCs w:val="16"/>
        </w:rPr>
        <w:t>Data collected under section 618 of the IDEA (IDEA Part C Child Count and Settings data collection in the ED</w:t>
      </w:r>
      <w:r w:rsidRPr="00F85A5B">
        <w:rPr>
          <w:i/>
          <w:color w:val="000000" w:themeColor="text1"/>
          <w:szCs w:val="16"/>
        </w:rPr>
        <w:t>Facts</w:t>
      </w:r>
      <w:r w:rsidRPr="00ED172B">
        <w:rPr>
          <w:color w:val="000000" w:themeColor="text1"/>
          <w:szCs w:val="16"/>
        </w:rPr>
        <w:t xml:space="preserve"> Metadata and Process System (E</w:t>
      </w:r>
      <w:r w:rsidRPr="00ED172B">
        <w:rPr>
          <w:i/>
          <w:color w:val="000000" w:themeColor="text1"/>
          <w:szCs w:val="16"/>
        </w:rPr>
        <w:t>MAPS</w:t>
      </w:r>
      <w:r w:rsidRPr="00ED172B">
        <w:rPr>
          <w:color w:val="000000" w:themeColor="text1"/>
          <w:szCs w:val="16"/>
        </w:rPr>
        <w:t>)).</w:t>
      </w:r>
    </w:p>
    <w:p w14:paraId="01D6DC11" w14:textId="77777777" w:rsidR="006628E4" w:rsidRPr="00ED172B" w:rsidRDefault="006628E4">
      <w:pPr>
        <w:rPr>
          <w:b/>
          <w:color w:val="000000" w:themeColor="text1"/>
        </w:rPr>
      </w:pPr>
      <w:r w:rsidRPr="00ED172B">
        <w:rPr>
          <w:b/>
          <w:color w:val="000000" w:themeColor="text1"/>
        </w:rPr>
        <w:t>Measurement</w:t>
      </w:r>
    </w:p>
    <w:p w14:paraId="05B82688" w14:textId="27C10D0B" w:rsidR="006628E4" w:rsidRPr="00ED172B" w:rsidRDefault="006628E4" w:rsidP="00174E1C">
      <w:pPr>
        <w:rPr>
          <w:color w:val="000000" w:themeColor="text1"/>
          <w:szCs w:val="16"/>
        </w:rPr>
      </w:pPr>
      <w:r w:rsidRPr="00ED172B">
        <w:rPr>
          <w:color w:val="000000" w:themeColor="text1"/>
          <w:szCs w:val="16"/>
        </w:rPr>
        <w:t>Percent = [(# of infants and toddlers with IFSPs who primarily receive early intervention services in the home or community-based settings) divided by the (total # of infants and toddlers with IFSPs)] times 100.</w:t>
      </w:r>
    </w:p>
    <w:p w14:paraId="04AAE1E9" w14:textId="77777777" w:rsidR="006628E4" w:rsidRPr="00ED172B" w:rsidRDefault="006628E4">
      <w:pPr>
        <w:rPr>
          <w:b/>
          <w:color w:val="000000" w:themeColor="text1"/>
        </w:rPr>
      </w:pPr>
      <w:r w:rsidRPr="00ED172B">
        <w:rPr>
          <w:b/>
          <w:color w:val="000000" w:themeColor="text1"/>
        </w:rPr>
        <w:t>Instructions</w:t>
      </w:r>
    </w:p>
    <w:p w14:paraId="4FC585CD" w14:textId="77777777" w:rsidR="006628E4" w:rsidRPr="00D21F29" w:rsidRDefault="006628E4" w:rsidP="00174E1C">
      <w:pPr>
        <w:rPr>
          <w:i/>
          <w:iCs/>
          <w:color w:val="000000" w:themeColor="text1"/>
          <w:szCs w:val="16"/>
        </w:rPr>
      </w:pPr>
      <w:r w:rsidRPr="00D21F29">
        <w:rPr>
          <w:i/>
          <w:iCs/>
          <w:color w:val="000000" w:themeColor="text1"/>
          <w:szCs w:val="16"/>
        </w:rPr>
        <w:t>Sampling from the State’s 618 data is not allowed.</w:t>
      </w:r>
    </w:p>
    <w:p w14:paraId="67AADE97" w14:textId="77777777" w:rsidR="006628E4" w:rsidRPr="00ED172B" w:rsidRDefault="006628E4" w:rsidP="00174E1C">
      <w:pPr>
        <w:rPr>
          <w:color w:val="000000" w:themeColor="text1"/>
          <w:szCs w:val="16"/>
        </w:rPr>
      </w:pPr>
      <w:r w:rsidRPr="00ED172B">
        <w:rPr>
          <w:color w:val="000000" w:themeColor="text1"/>
          <w:szCs w:val="16"/>
        </w:rPr>
        <w:t>Describe the results of the calculations and compare the results to the target.</w:t>
      </w:r>
    </w:p>
    <w:p w14:paraId="42AB5A74" w14:textId="6A2F0793" w:rsidR="006628E4" w:rsidRPr="00ED172B" w:rsidRDefault="006628E4" w:rsidP="00174E1C">
      <w:pPr>
        <w:rPr>
          <w:color w:val="000000" w:themeColor="text1"/>
          <w:szCs w:val="16"/>
        </w:rPr>
      </w:pPr>
      <w:r w:rsidRPr="00ED172B">
        <w:rPr>
          <w:color w:val="000000" w:themeColor="text1"/>
          <w:szCs w:val="16"/>
        </w:rPr>
        <w:t>The data reported in this indicator should be consistent with the State’s 618 data reported in Table 2. If not, explain.</w:t>
      </w:r>
    </w:p>
    <w:bookmarkEnd w:id="8"/>
    <w:p w14:paraId="493A0B54" w14:textId="0A91F1AD" w:rsidR="00DE5141" w:rsidRPr="00A40EE1" w:rsidRDefault="000D0117" w:rsidP="005C3FFD">
      <w:pPr>
        <w:pStyle w:val="Heading2"/>
      </w:pPr>
      <w:r w:rsidRPr="00A40EE1">
        <w:t xml:space="preserve">2 - </w:t>
      </w:r>
      <w:r w:rsidR="00174E1C" w:rsidRPr="00A40EE1">
        <w:t>Indicator Data</w:t>
      </w:r>
    </w:p>
    <w:p w14:paraId="52D18010" w14:textId="2BDFB139" w:rsidR="00B312CC" w:rsidRDefault="00B312CC">
      <w:pPr>
        <w:rPr>
          <w:b/>
          <w:color w:val="000000" w:themeColor="text1"/>
        </w:rPr>
      </w:pPr>
      <w:bookmarkStart w:id="9" w:name="_Toc392159264"/>
      <w:r w:rsidRPr="00ED172B">
        <w:rPr>
          <w:b/>
          <w:color w:val="000000" w:themeColor="text1"/>
        </w:rPr>
        <w:t>Historical Data</w:t>
      </w:r>
    </w:p>
    <w:p w14:paraId="3F9E9E24" w14:textId="1F2AEED2" w:rsidR="000A2C40" w:rsidRDefault="000A2C40">
      <w:pPr>
        <w:rPr>
          <w:b/>
          <w:color w:val="000000" w:themeColor="text1"/>
        </w:rPr>
      </w:pP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2BASELINEDATA"/>
      </w:tblPr>
      <w:tblGrid>
        <w:gridCol w:w="1887"/>
        <w:gridCol w:w="1887"/>
      </w:tblGrid>
      <w:tr w:rsidR="0038029B" w:rsidRPr="00ED172B" w14:paraId="70F8F73D" w14:textId="77777777" w:rsidTr="004B3BC6">
        <w:trPr>
          <w:trHeight w:val="350"/>
          <w:tblHeader/>
        </w:trPr>
        <w:tc>
          <w:tcPr>
            <w:tcW w:w="1800" w:type="dxa"/>
            <w:tcBorders>
              <w:bottom w:val="single" w:sz="4" w:space="0" w:color="auto"/>
            </w:tcBorders>
            <w:shd w:val="clear" w:color="auto" w:fill="auto"/>
            <w:vAlign w:val="center"/>
          </w:tcPr>
          <w:p w14:paraId="3AEF722A" w14:textId="2D4AF0D4" w:rsidR="0038029B" w:rsidRPr="00A40EE1" w:rsidRDefault="0038029B" w:rsidP="000A2C40">
            <w:pPr>
              <w:jc w:val="center"/>
              <w:rPr>
                <w:b/>
                <w:bCs/>
                <w:color w:val="000000" w:themeColor="text1"/>
              </w:rPr>
            </w:pPr>
            <w:r>
              <w:rPr>
                <w:b/>
                <w:bCs/>
                <w:color w:val="000000" w:themeColor="text1"/>
              </w:rPr>
              <w:t>Baseline Year</w:t>
            </w:r>
          </w:p>
        </w:tc>
        <w:tc>
          <w:tcPr>
            <w:tcW w:w="1800" w:type="dxa"/>
            <w:tcBorders>
              <w:top w:val="single" w:sz="4" w:space="0" w:color="auto"/>
              <w:right w:val="single" w:sz="4" w:space="0" w:color="auto"/>
            </w:tcBorders>
            <w:shd w:val="clear" w:color="auto" w:fill="auto"/>
            <w:vAlign w:val="center"/>
          </w:tcPr>
          <w:p w14:paraId="0EFB96D1" w14:textId="773D5379" w:rsidR="0038029B" w:rsidRPr="00A40EE1" w:rsidRDefault="0038029B" w:rsidP="000A2C40">
            <w:pPr>
              <w:jc w:val="center"/>
              <w:rPr>
                <w:rFonts w:cs="Arial"/>
                <w:b/>
                <w:bCs/>
                <w:color w:val="000000" w:themeColor="text1"/>
                <w:szCs w:val="16"/>
              </w:rPr>
            </w:pPr>
            <w:r>
              <w:rPr>
                <w:rFonts w:cs="Arial"/>
                <w:b/>
                <w:bCs/>
                <w:color w:val="000000" w:themeColor="text1"/>
                <w:szCs w:val="16"/>
              </w:rPr>
              <w:t>Baseline Data</w:t>
            </w:r>
          </w:p>
        </w:tc>
      </w:tr>
      <w:tr w:rsidR="0038029B" w:rsidRPr="00ED172B" w14:paraId="1FE14E73" w14:textId="77777777" w:rsidTr="00A40EE1">
        <w:trPr>
          <w:trHeight w:val="350"/>
        </w:trPr>
        <w:tc>
          <w:tcPr>
            <w:tcW w:w="1800" w:type="dxa"/>
            <w:tcBorders>
              <w:bottom w:val="single" w:sz="4" w:space="0" w:color="auto"/>
            </w:tcBorders>
            <w:shd w:val="clear" w:color="auto" w:fill="auto"/>
            <w:vAlign w:val="center"/>
          </w:tcPr>
          <w:p w14:paraId="2412809D" w14:textId="77777777" w:rsidR="0038029B" w:rsidRPr="00ED172B" w:rsidRDefault="0038029B" w:rsidP="000A2C40">
            <w:pPr>
              <w:jc w:val="center"/>
              <w:rPr>
                <w:b/>
                <w:color w:val="000000" w:themeColor="text1"/>
              </w:rPr>
            </w:pPr>
            <w:r w:rsidRPr="00ED172B">
              <w:rPr>
                <w:color w:val="000000" w:themeColor="text1"/>
              </w:rPr>
              <w:t>2005</w:t>
            </w:r>
          </w:p>
        </w:tc>
        <w:tc>
          <w:tcPr>
            <w:tcW w:w="1800" w:type="dxa"/>
            <w:tcBorders>
              <w:top w:val="single" w:sz="4" w:space="0" w:color="auto"/>
              <w:right w:val="single" w:sz="4" w:space="0" w:color="auto"/>
            </w:tcBorders>
            <w:shd w:val="clear" w:color="auto" w:fill="auto"/>
            <w:vAlign w:val="center"/>
          </w:tcPr>
          <w:p w14:paraId="74DCC466" w14:textId="77777777" w:rsidR="0038029B" w:rsidRPr="00ED172B" w:rsidRDefault="0038029B" w:rsidP="000A2C40">
            <w:pPr>
              <w:jc w:val="center"/>
              <w:rPr>
                <w:b/>
                <w:color w:val="000000" w:themeColor="text1"/>
                <w:szCs w:val="16"/>
              </w:rPr>
            </w:pPr>
            <w:r w:rsidRPr="00ED172B">
              <w:rPr>
                <w:rFonts w:cs="Arial"/>
                <w:color w:val="000000" w:themeColor="text1"/>
                <w:szCs w:val="16"/>
              </w:rPr>
              <w:t>81.00%</w:t>
            </w:r>
          </w:p>
        </w:tc>
      </w:tr>
    </w:tbl>
    <w:p w14:paraId="4D18B16D" w14:textId="475B72D9" w:rsidR="000A2C40" w:rsidRDefault="000A2C40">
      <w:pPr>
        <w:rPr>
          <w:b/>
          <w:color w:val="000000" w:themeColor="text1"/>
        </w:rPr>
      </w:pPr>
    </w:p>
    <w:p w14:paraId="1A51B6EA" w14:textId="77777777" w:rsidR="000A2C40" w:rsidRPr="00ED172B" w:rsidRDefault="000A2C40">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2HISTDATA"/>
      </w:tblPr>
      <w:tblGrid>
        <w:gridCol w:w="1437"/>
        <w:gridCol w:w="1871"/>
        <w:gridCol w:w="1871"/>
        <w:gridCol w:w="1871"/>
        <w:gridCol w:w="1871"/>
        <w:gridCol w:w="1869"/>
      </w:tblGrid>
      <w:tr w:rsidR="00ED172B" w:rsidRPr="00ED172B" w14:paraId="7FDD231D" w14:textId="25ECD173" w:rsidTr="00986B99">
        <w:trPr>
          <w:trHeight w:val="350"/>
        </w:trPr>
        <w:tc>
          <w:tcPr>
            <w:tcW w:w="666" w:type="pct"/>
            <w:tcBorders>
              <w:bottom w:val="single" w:sz="4" w:space="0" w:color="auto"/>
            </w:tcBorders>
            <w:shd w:val="clear" w:color="auto" w:fill="auto"/>
          </w:tcPr>
          <w:p w14:paraId="787C292C" w14:textId="77777777" w:rsidR="00472221" w:rsidRPr="00ED172B" w:rsidRDefault="00472221" w:rsidP="00186420">
            <w:pPr>
              <w:jc w:val="center"/>
              <w:rPr>
                <w:b/>
                <w:color w:val="000000" w:themeColor="text1"/>
                <w:szCs w:val="16"/>
              </w:rPr>
            </w:pPr>
            <w:r w:rsidRPr="00ED172B">
              <w:rPr>
                <w:b/>
                <w:color w:val="000000" w:themeColor="text1"/>
                <w:szCs w:val="16"/>
              </w:rPr>
              <w:t>FFY</w:t>
            </w:r>
          </w:p>
        </w:tc>
        <w:tc>
          <w:tcPr>
            <w:tcW w:w="867" w:type="pct"/>
            <w:shd w:val="clear" w:color="auto" w:fill="auto"/>
            <w:vAlign w:val="center"/>
          </w:tcPr>
          <w:p w14:paraId="4E446356" w14:textId="285A1B3B" w:rsidR="00472221" w:rsidRPr="00ED172B" w:rsidRDefault="002163F2" w:rsidP="00472221">
            <w:pPr>
              <w:jc w:val="center"/>
              <w:rPr>
                <w:b/>
                <w:color w:val="000000" w:themeColor="text1"/>
                <w:szCs w:val="16"/>
              </w:rPr>
            </w:pPr>
            <w:r w:rsidRPr="00ED172B">
              <w:rPr>
                <w:rFonts w:cs="Arial"/>
                <w:b/>
                <w:color w:val="000000" w:themeColor="text1"/>
                <w:szCs w:val="16"/>
              </w:rPr>
              <w:t>2017</w:t>
            </w:r>
          </w:p>
        </w:tc>
        <w:tc>
          <w:tcPr>
            <w:tcW w:w="867" w:type="pct"/>
            <w:shd w:val="clear" w:color="auto" w:fill="auto"/>
            <w:vAlign w:val="center"/>
          </w:tcPr>
          <w:p w14:paraId="30A3B8E1" w14:textId="24F22632" w:rsidR="00472221" w:rsidRPr="00ED172B" w:rsidRDefault="002163F2" w:rsidP="00472221">
            <w:pPr>
              <w:jc w:val="center"/>
              <w:rPr>
                <w:b/>
                <w:color w:val="000000" w:themeColor="text1"/>
                <w:szCs w:val="16"/>
              </w:rPr>
            </w:pPr>
            <w:r w:rsidRPr="00ED172B">
              <w:rPr>
                <w:rFonts w:cs="Arial"/>
                <w:b/>
                <w:color w:val="000000" w:themeColor="text1"/>
                <w:szCs w:val="16"/>
              </w:rPr>
              <w:t>2018</w:t>
            </w:r>
          </w:p>
        </w:tc>
        <w:tc>
          <w:tcPr>
            <w:tcW w:w="867" w:type="pct"/>
            <w:shd w:val="clear" w:color="auto" w:fill="auto"/>
            <w:vAlign w:val="center"/>
          </w:tcPr>
          <w:p w14:paraId="13F85307" w14:textId="0DEF098F" w:rsidR="00472221" w:rsidRPr="00ED172B" w:rsidRDefault="002163F2" w:rsidP="00472221">
            <w:pPr>
              <w:jc w:val="center"/>
              <w:rPr>
                <w:b/>
                <w:color w:val="000000" w:themeColor="text1"/>
                <w:szCs w:val="16"/>
              </w:rPr>
            </w:pPr>
            <w:r w:rsidRPr="00ED172B">
              <w:rPr>
                <w:rFonts w:cs="Arial"/>
                <w:b/>
                <w:color w:val="000000" w:themeColor="text1"/>
                <w:szCs w:val="16"/>
              </w:rPr>
              <w:t>2019</w:t>
            </w:r>
          </w:p>
        </w:tc>
        <w:tc>
          <w:tcPr>
            <w:tcW w:w="867" w:type="pct"/>
            <w:shd w:val="clear" w:color="auto" w:fill="auto"/>
            <w:vAlign w:val="center"/>
          </w:tcPr>
          <w:p w14:paraId="3895EB5E" w14:textId="70A997D1" w:rsidR="00472221" w:rsidRPr="00ED172B" w:rsidRDefault="002163F2" w:rsidP="00472221">
            <w:pPr>
              <w:jc w:val="center"/>
              <w:rPr>
                <w:b/>
                <w:color w:val="000000" w:themeColor="text1"/>
                <w:szCs w:val="16"/>
              </w:rPr>
            </w:pPr>
            <w:r w:rsidRPr="00ED172B">
              <w:rPr>
                <w:rFonts w:cs="Arial"/>
                <w:b/>
                <w:color w:val="000000" w:themeColor="text1"/>
                <w:szCs w:val="16"/>
              </w:rPr>
              <w:t>2020</w:t>
            </w:r>
          </w:p>
        </w:tc>
        <w:tc>
          <w:tcPr>
            <w:tcW w:w="866" w:type="pct"/>
            <w:shd w:val="clear" w:color="auto" w:fill="auto"/>
            <w:vAlign w:val="center"/>
          </w:tcPr>
          <w:p w14:paraId="6A7334FC" w14:textId="23611369" w:rsidR="00472221" w:rsidRPr="00ED172B" w:rsidRDefault="006D43D3" w:rsidP="00472221">
            <w:pPr>
              <w:jc w:val="center"/>
              <w:rPr>
                <w:b/>
                <w:color w:val="000000" w:themeColor="text1"/>
                <w:szCs w:val="16"/>
              </w:rPr>
            </w:pPr>
            <w:r w:rsidRPr="00ED172B">
              <w:rPr>
                <w:rFonts w:cs="Arial"/>
                <w:b/>
                <w:color w:val="000000" w:themeColor="text1"/>
                <w:szCs w:val="16"/>
              </w:rPr>
              <w:t>2021</w:t>
            </w:r>
          </w:p>
        </w:tc>
      </w:tr>
      <w:tr w:rsidR="00ED172B" w:rsidRPr="00ED172B" w14:paraId="1A3FBEC1" w14:textId="758D5A2D" w:rsidTr="00986B99">
        <w:trPr>
          <w:trHeight w:val="357"/>
        </w:trPr>
        <w:tc>
          <w:tcPr>
            <w:tcW w:w="666" w:type="pct"/>
            <w:shd w:val="clear" w:color="auto" w:fill="auto"/>
          </w:tcPr>
          <w:p w14:paraId="619910EF" w14:textId="5E3258DE" w:rsidR="00D71B7C" w:rsidRPr="00ED172B" w:rsidRDefault="00D71B7C" w:rsidP="00D21F29">
            <w:pPr>
              <w:jc w:val="center"/>
              <w:rPr>
                <w:color w:val="000000" w:themeColor="text1"/>
                <w:szCs w:val="16"/>
              </w:rPr>
            </w:pPr>
            <w:r w:rsidRPr="00ED172B">
              <w:rPr>
                <w:color w:val="000000" w:themeColor="text1"/>
                <w:szCs w:val="16"/>
              </w:rPr>
              <w:t>Target&gt;=</w:t>
            </w:r>
          </w:p>
        </w:tc>
        <w:tc>
          <w:tcPr>
            <w:tcW w:w="867" w:type="pct"/>
            <w:shd w:val="clear" w:color="auto" w:fill="auto"/>
            <w:vAlign w:val="center"/>
          </w:tcPr>
          <w:p w14:paraId="482B9556" w14:textId="1A803C94" w:rsidR="00D71B7C" w:rsidRPr="00ED172B" w:rsidRDefault="00860830" w:rsidP="00D71B7C">
            <w:pPr>
              <w:jc w:val="center"/>
              <w:rPr>
                <w:color w:val="000000" w:themeColor="text1"/>
                <w:szCs w:val="16"/>
              </w:rPr>
            </w:pPr>
            <w:r w:rsidRPr="00ED172B">
              <w:rPr>
                <w:rFonts w:cs="Arial"/>
                <w:color w:val="000000" w:themeColor="text1"/>
                <w:szCs w:val="16"/>
              </w:rPr>
              <w:t>96.50%</w:t>
            </w:r>
          </w:p>
        </w:tc>
        <w:tc>
          <w:tcPr>
            <w:tcW w:w="867" w:type="pct"/>
            <w:shd w:val="clear" w:color="auto" w:fill="auto"/>
            <w:vAlign w:val="center"/>
          </w:tcPr>
          <w:p w14:paraId="4B0CEF64" w14:textId="5DF3545B" w:rsidR="00D71B7C" w:rsidRPr="00ED172B" w:rsidRDefault="00860830" w:rsidP="00D71B7C">
            <w:pPr>
              <w:jc w:val="center"/>
              <w:rPr>
                <w:color w:val="000000" w:themeColor="text1"/>
                <w:szCs w:val="16"/>
              </w:rPr>
            </w:pPr>
            <w:r w:rsidRPr="00ED172B">
              <w:rPr>
                <w:rFonts w:cs="Arial"/>
                <w:color w:val="000000" w:themeColor="text1"/>
                <w:szCs w:val="16"/>
              </w:rPr>
              <w:t>96.50%</w:t>
            </w:r>
          </w:p>
        </w:tc>
        <w:tc>
          <w:tcPr>
            <w:tcW w:w="867" w:type="pct"/>
            <w:shd w:val="clear" w:color="auto" w:fill="auto"/>
            <w:vAlign w:val="center"/>
          </w:tcPr>
          <w:p w14:paraId="4A489F6D" w14:textId="7F753FC5" w:rsidR="00D71B7C" w:rsidRPr="00ED172B" w:rsidRDefault="00860830" w:rsidP="00D71B7C">
            <w:pPr>
              <w:jc w:val="center"/>
              <w:rPr>
                <w:color w:val="000000" w:themeColor="text1"/>
                <w:szCs w:val="16"/>
              </w:rPr>
            </w:pPr>
            <w:r w:rsidRPr="00ED172B">
              <w:rPr>
                <w:rFonts w:cs="Arial"/>
                <w:color w:val="000000" w:themeColor="text1"/>
                <w:szCs w:val="16"/>
              </w:rPr>
              <w:t>96.50%</w:t>
            </w:r>
          </w:p>
        </w:tc>
        <w:tc>
          <w:tcPr>
            <w:tcW w:w="867" w:type="pct"/>
            <w:shd w:val="clear" w:color="auto" w:fill="auto"/>
            <w:vAlign w:val="center"/>
          </w:tcPr>
          <w:p w14:paraId="5F18F91B" w14:textId="7540D14E" w:rsidR="00D71B7C" w:rsidRPr="00ED172B" w:rsidRDefault="00860830" w:rsidP="00D71B7C">
            <w:pPr>
              <w:jc w:val="center"/>
              <w:rPr>
                <w:color w:val="000000" w:themeColor="text1"/>
                <w:szCs w:val="16"/>
              </w:rPr>
            </w:pPr>
            <w:r w:rsidRPr="00ED172B">
              <w:rPr>
                <w:rFonts w:cs="Arial"/>
                <w:color w:val="000000" w:themeColor="text1"/>
                <w:szCs w:val="16"/>
              </w:rPr>
              <w:t>96.50%</w:t>
            </w:r>
          </w:p>
        </w:tc>
        <w:tc>
          <w:tcPr>
            <w:tcW w:w="866" w:type="pct"/>
            <w:shd w:val="clear" w:color="auto" w:fill="auto"/>
            <w:vAlign w:val="center"/>
          </w:tcPr>
          <w:p w14:paraId="5C1958D9" w14:textId="1D59A645" w:rsidR="00D71B7C" w:rsidRPr="00ED172B" w:rsidRDefault="00860830" w:rsidP="00D71B7C">
            <w:pPr>
              <w:jc w:val="center"/>
              <w:rPr>
                <w:color w:val="000000" w:themeColor="text1"/>
                <w:szCs w:val="16"/>
              </w:rPr>
            </w:pPr>
            <w:r w:rsidRPr="00ED172B">
              <w:rPr>
                <w:rFonts w:cs="Arial"/>
                <w:color w:val="000000" w:themeColor="text1"/>
                <w:szCs w:val="16"/>
              </w:rPr>
              <w:t>96.50%</w:t>
            </w:r>
          </w:p>
        </w:tc>
      </w:tr>
      <w:tr w:rsidR="00ED172B" w:rsidRPr="00ED172B" w14:paraId="5833C430" w14:textId="29FE84DB" w:rsidTr="00986B99">
        <w:trPr>
          <w:trHeight w:val="85"/>
        </w:trPr>
        <w:tc>
          <w:tcPr>
            <w:tcW w:w="666" w:type="pct"/>
            <w:shd w:val="clear" w:color="auto" w:fill="auto"/>
          </w:tcPr>
          <w:p w14:paraId="1A85A0DF" w14:textId="77777777" w:rsidR="00D71B7C" w:rsidRPr="00ED172B" w:rsidRDefault="00D71B7C" w:rsidP="00D21F29">
            <w:pPr>
              <w:jc w:val="center"/>
              <w:rPr>
                <w:color w:val="000000" w:themeColor="text1"/>
                <w:szCs w:val="16"/>
              </w:rPr>
            </w:pPr>
            <w:r w:rsidRPr="00ED172B">
              <w:rPr>
                <w:color w:val="000000" w:themeColor="text1"/>
                <w:szCs w:val="16"/>
              </w:rPr>
              <w:t>Data</w:t>
            </w:r>
          </w:p>
        </w:tc>
        <w:tc>
          <w:tcPr>
            <w:tcW w:w="867" w:type="pct"/>
            <w:shd w:val="clear" w:color="auto" w:fill="auto"/>
            <w:vAlign w:val="center"/>
          </w:tcPr>
          <w:p w14:paraId="13794BAE" w14:textId="51B76448" w:rsidR="00D71B7C" w:rsidRPr="00ED172B" w:rsidRDefault="00860830" w:rsidP="00D71B7C">
            <w:pPr>
              <w:jc w:val="center"/>
              <w:rPr>
                <w:color w:val="000000" w:themeColor="text1"/>
                <w:szCs w:val="16"/>
              </w:rPr>
            </w:pPr>
            <w:r w:rsidRPr="00ED172B">
              <w:rPr>
                <w:rFonts w:cs="Arial"/>
                <w:color w:val="000000" w:themeColor="text1"/>
                <w:szCs w:val="16"/>
              </w:rPr>
              <w:t>98.15%</w:t>
            </w:r>
          </w:p>
        </w:tc>
        <w:tc>
          <w:tcPr>
            <w:tcW w:w="867" w:type="pct"/>
            <w:shd w:val="clear" w:color="auto" w:fill="auto"/>
            <w:vAlign w:val="center"/>
          </w:tcPr>
          <w:p w14:paraId="2F58FC52" w14:textId="1FD2578B" w:rsidR="00D71B7C" w:rsidRPr="00ED172B" w:rsidRDefault="00860830" w:rsidP="00D71B7C">
            <w:pPr>
              <w:jc w:val="center"/>
              <w:rPr>
                <w:color w:val="000000" w:themeColor="text1"/>
                <w:szCs w:val="16"/>
              </w:rPr>
            </w:pPr>
            <w:r w:rsidRPr="00ED172B">
              <w:rPr>
                <w:rFonts w:cs="Arial"/>
                <w:color w:val="000000" w:themeColor="text1"/>
                <w:szCs w:val="16"/>
              </w:rPr>
              <w:t>98.47%</w:t>
            </w:r>
          </w:p>
        </w:tc>
        <w:tc>
          <w:tcPr>
            <w:tcW w:w="867" w:type="pct"/>
            <w:tcBorders>
              <w:bottom w:val="single" w:sz="4" w:space="0" w:color="auto"/>
            </w:tcBorders>
            <w:shd w:val="clear" w:color="auto" w:fill="auto"/>
            <w:vAlign w:val="center"/>
          </w:tcPr>
          <w:p w14:paraId="03D4B2C7" w14:textId="2104CE09" w:rsidR="00D71B7C" w:rsidRPr="00ED172B" w:rsidRDefault="00860830" w:rsidP="00D71B7C">
            <w:pPr>
              <w:jc w:val="center"/>
              <w:rPr>
                <w:color w:val="000000" w:themeColor="text1"/>
                <w:szCs w:val="16"/>
              </w:rPr>
            </w:pPr>
            <w:r w:rsidRPr="00ED172B">
              <w:rPr>
                <w:rFonts w:cs="Arial"/>
                <w:color w:val="000000" w:themeColor="text1"/>
                <w:szCs w:val="16"/>
              </w:rPr>
              <w:t>98.66%</w:t>
            </w:r>
          </w:p>
        </w:tc>
        <w:tc>
          <w:tcPr>
            <w:tcW w:w="867" w:type="pct"/>
            <w:tcBorders>
              <w:bottom w:val="single" w:sz="4" w:space="0" w:color="auto"/>
            </w:tcBorders>
            <w:shd w:val="clear" w:color="auto" w:fill="auto"/>
            <w:vAlign w:val="center"/>
          </w:tcPr>
          <w:p w14:paraId="11DB3FBB" w14:textId="31829891" w:rsidR="00D71B7C" w:rsidRPr="00ED172B" w:rsidRDefault="00860830" w:rsidP="00D71B7C">
            <w:pPr>
              <w:jc w:val="center"/>
              <w:rPr>
                <w:color w:val="000000" w:themeColor="text1"/>
                <w:szCs w:val="16"/>
              </w:rPr>
            </w:pPr>
            <w:r w:rsidRPr="00ED172B">
              <w:rPr>
                <w:rFonts w:cs="Arial"/>
                <w:color w:val="000000" w:themeColor="text1"/>
                <w:szCs w:val="16"/>
              </w:rPr>
              <w:t>99.31%</w:t>
            </w:r>
          </w:p>
        </w:tc>
        <w:tc>
          <w:tcPr>
            <w:tcW w:w="866" w:type="pct"/>
            <w:tcBorders>
              <w:bottom w:val="single" w:sz="4" w:space="0" w:color="auto"/>
            </w:tcBorders>
            <w:shd w:val="clear" w:color="auto" w:fill="auto"/>
            <w:vAlign w:val="center"/>
          </w:tcPr>
          <w:p w14:paraId="2328AEB2" w14:textId="4844AE53" w:rsidR="00D71B7C" w:rsidRPr="00ED172B" w:rsidRDefault="00860830" w:rsidP="00D71B7C">
            <w:pPr>
              <w:jc w:val="center"/>
              <w:rPr>
                <w:color w:val="000000" w:themeColor="text1"/>
                <w:szCs w:val="16"/>
              </w:rPr>
            </w:pPr>
            <w:r w:rsidRPr="00ED172B">
              <w:rPr>
                <w:rFonts w:cs="Arial"/>
                <w:color w:val="000000" w:themeColor="text1"/>
                <w:szCs w:val="16"/>
              </w:rPr>
              <w:t>97.42%</w:t>
            </w:r>
          </w:p>
        </w:tc>
      </w:tr>
    </w:tbl>
    <w:p w14:paraId="54FA3A41" w14:textId="1A075C46" w:rsidR="00B312CC" w:rsidRPr="00ED172B" w:rsidRDefault="00B312CC">
      <w:pPr>
        <w:rPr>
          <w:b/>
          <w:color w:val="000000" w:themeColor="text1"/>
        </w:rPr>
      </w:pPr>
      <w:r w:rsidRPr="00ED172B">
        <w:rPr>
          <w:b/>
          <w:color w:val="000000" w:themeColor="text1"/>
        </w:rPr>
        <w:t>Targets</w:t>
      </w:r>
    </w:p>
    <w:tbl>
      <w:tblPr>
        <w:tblW w:w="34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2TARGETS"/>
      </w:tblPr>
      <w:tblGrid>
        <w:gridCol w:w="728"/>
        <w:gridCol w:w="1677"/>
        <w:gridCol w:w="1678"/>
        <w:gridCol w:w="1678"/>
        <w:gridCol w:w="1675"/>
      </w:tblGrid>
      <w:tr w:rsidR="00C843AF" w:rsidRPr="00ED172B" w14:paraId="69640561" w14:textId="00BF0E9A" w:rsidTr="00E415ED">
        <w:trPr>
          <w:trHeight w:val="350"/>
        </w:trPr>
        <w:tc>
          <w:tcPr>
            <w:tcW w:w="490" w:type="pct"/>
            <w:tcBorders>
              <w:bottom w:val="single" w:sz="4" w:space="0" w:color="auto"/>
            </w:tcBorders>
            <w:shd w:val="clear" w:color="auto" w:fill="auto"/>
          </w:tcPr>
          <w:p w14:paraId="1E99C122" w14:textId="77777777" w:rsidR="00C843AF" w:rsidRPr="00ED172B" w:rsidRDefault="00C843AF" w:rsidP="003546A3">
            <w:pPr>
              <w:jc w:val="center"/>
              <w:rPr>
                <w:b/>
                <w:color w:val="000000" w:themeColor="text1"/>
                <w:szCs w:val="16"/>
              </w:rPr>
            </w:pPr>
            <w:r w:rsidRPr="00ED172B">
              <w:rPr>
                <w:b/>
                <w:color w:val="000000" w:themeColor="text1"/>
                <w:szCs w:val="16"/>
              </w:rPr>
              <w:t>FFY</w:t>
            </w:r>
          </w:p>
        </w:tc>
        <w:tc>
          <w:tcPr>
            <w:tcW w:w="1128" w:type="pct"/>
            <w:shd w:val="clear" w:color="auto" w:fill="auto"/>
            <w:vAlign w:val="center"/>
          </w:tcPr>
          <w:p w14:paraId="65FF2B00" w14:textId="7CCAF341" w:rsidR="00C843AF" w:rsidRPr="00ED172B" w:rsidRDefault="00C843AF" w:rsidP="003546A3">
            <w:pPr>
              <w:jc w:val="center"/>
              <w:rPr>
                <w:b/>
                <w:color w:val="000000" w:themeColor="text1"/>
                <w:szCs w:val="16"/>
              </w:rPr>
            </w:pPr>
            <w:r w:rsidRPr="00ED172B">
              <w:rPr>
                <w:rFonts w:cs="Arial"/>
                <w:b/>
                <w:color w:val="000000" w:themeColor="text1"/>
                <w:szCs w:val="16"/>
              </w:rPr>
              <w:t>2022</w:t>
            </w:r>
          </w:p>
        </w:tc>
        <w:tc>
          <w:tcPr>
            <w:tcW w:w="1128" w:type="pct"/>
          </w:tcPr>
          <w:p w14:paraId="6A5B5290" w14:textId="1CFF28ED" w:rsidR="00C843AF" w:rsidRPr="00ED172B" w:rsidRDefault="00C843AF" w:rsidP="003546A3">
            <w:pPr>
              <w:jc w:val="center"/>
              <w:rPr>
                <w:rFonts w:cs="Arial"/>
                <w:b/>
                <w:color w:val="000000" w:themeColor="text1"/>
                <w:szCs w:val="16"/>
              </w:rPr>
            </w:pPr>
            <w:r>
              <w:rPr>
                <w:rFonts w:cs="Arial"/>
                <w:b/>
                <w:color w:val="000000" w:themeColor="text1"/>
                <w:szCs w:val="16"/>
              </w:rPr>
              <w:t>2023</w:t>
            </w:r>
          </w:p>
        </w:tc>
        <w:tc>
          <w:tcPr>
            <w:tcW w:w="1128" w:type="pct"/>
          </w:tcPr>
          <w:p w14:paraId="4C7B3CA6" w14:textId="5B6A1FA8" w:rsidR="00C843AF" w:rsidRPr="00ED172B" w:rsidRDefault="00C843AF" w:rsidP="003546A3">
            <w:pPr>
              <w:jc w:val="center"/>
              <w:rPr>
                <w:rFonts w:cs="Arial"/>
                <w:b/>
                <w:color w:val="000000" w:themeColor="text1"/>
                <w:szCs w:val="16"/>
              </w:rPr>
            </w:pPr>
            <w:r w:rsidRPr="005A1B4F">
              <w:rPr>
                <w:rFonts w:cs="Arial"/>
                <w:b/>
                <w:color w:val="000000" w:themeColor="text1"/>
                <w:szCs w:val="16"/>
              </w:rPr>
              <w:t>2024</w:t>
            </w:r>
          </w:p>
        </w:tc>
        <w:tc>
          <w:tcPr>
            <w:tcW w:w="1128" w:type="pct"/>
          </w:tcPr>
          <w:p w14:paraId="42E64847" w14:textId="5D935C1F" w:rsidR="00C843AF" w:rsidRPr="00ED172B" w:rsidRDefault="00C843AF" w:rsidP="003546A3">
            <w:pPr>
              <w:jc w:val="center"/>
              <w:rPr>
                <w:rFonts w:cs="Arial"/>
                <w:b/>
                <w:color w:val="000000" w:themeColor="text1"/>
                <w:szCs w:val="16"/>
              </w:rPr>
            </w:pPr>
            <w:r w:rsidRPr="005A1B4F">
              <w:rPr>
                <w:rFonts w:cs="Arial"/>
                <w:b/>
                <w:color w:val="000000" w:themeColor="text1"/>
                <w:szCs w:val="16"/>
              </w:rPr>
              <w:t>2025</w:t>
            </w:r>
          </w:p>
        </w:tc>
      </w:tr>
      <w:tr w:rsidR="00C843AF" w:rsidRPr="00ED172B" w14:paraId="67435F39" w14:textId="4B221A6D" w:rsidTr="00E415ED">
        <w:trPr>
          <w:trHeight w:val="357"/>
        </w:trPr>
        <w:tc>
          <w:tcPr>
            <w:tcW w:w="490" w:type="pct"/>
            <w:shd w:val="clear" w:color="auto" w:fill="auto"/>
          </w:tcPr>
          <w:p w14:paraId="3D2F539F" w14:textId="00377A5F" w:rsidR="00C843AF" w:rsidRPr="00ED172B" w:rsidRDefault="00C843AF" w:rsidP="00D21F29">
            <w:pPr>
              <w:jc w:val="center"/>
              <w:rPr>
                <w:color w:val="000000" w:themeColor="text1"/>
                <w:szCs w:val="16"/>
              </w:rPr>
            </w:pPr>
            <w:r w:rsidRPr="00ED172B">
              <w:rPr>
                <w:color w:val="000000" w:themeColor="text1"/>
                <w:szCs w:val="16"/>
              </w:rPr>
              <w:t>Target&gt;=</w:t>
            </w:r>
          </w:p>
        </w:tc>
        <w:tc>
          <w:tcPr>
            <w:tcW w:w="1128" w:type="pct"/>
            <w:shd w:val="clear" w:color="auto" w:fill="auto"/>
            <w:vAlign w:val="center"/>
          </w:tcPr>
          <w:p w14:paraId="64D40D5F" w14:textId="4B9F73CA" w:rsidR="00C843AF" w:rsidRPr="00ED172B" w:rsidRDefault="00C843AF" w:rsidP="00573310">
            <w:pPr>
              <w:jc w:val="center"/>
              <w:rPr>
                <w:color w:val="000000" w:themeColor="text1"/>
                <w:szCs w:val="16"/>
              </w:rPr>
            </w:pPr>
            <w:r w:rsidRPr="00ED172B">
              <w:rPr>
                <w:rFonts w:cs="Arial"/>
                <w:color w:val="000000" w:themeColor="text1"/>
                <w:szCs w:val="16"/>
              </w:rPr>
              <w:t>96.50%</w:t>
            </w:r>
          </w:p>
        </w:tc>
        <w:tc>
          <w:tcPr>
            <w:tcW w:w="1128" w:type="pct"/>
          </w:tcPr>
          <w:p w14:paraId="729751AD" w14:textId="13A0179F" w:rsidR="00C843AF" w:rsidRPr="00ED172B" w:rsidRDefault="00C843AF" w:rsidP="00573310">
            <w:pPr>
              <w:jc w:val="center"/>
              <w:rPr>
                <w:rFonts w:cs="Arial"/>
                <w:color w:val="000000" w:themeColor="text1"/>
                <w:szCs w:val="16"/>
              </w:rPr>
            </w:pPr>
            <w:r>
              <w:rPr>
                <w:rFonts w:cs="Arial"/>
                <w:color w:val="000000" w:themeColor="text1"/>
                <w:szCs w:val="16"/>
              </w:rPr>
              <w:t>96.50%</w:t>
            </w:r>
          </w:p>
        </w:tc>
        <w:tc>
          <w:tcPr>
            <w:tcW w:w="1128" w:type="pct"/>
          </w:tcPr>
          <w:p w14:paraId="32254393" w14:textId="0DA02971" w:rsidR="00C843AF" w:rsidRPr="00ED172B" w:rsidRDefault="00C843AF" w:rsidP="00573310">
            <w:pPr>
              <w:jc w:val="center"/>
              <w:rPr>
                <w:rFonts w:cs="Arial"/>
                <w:color w:val="000000" w:themeColor="text1"/>
                <w:szCs w:val="16"/>
              </w:rPr>
            </w:pPr>
            <w:r w:rsidRPr="005F5F3C">
              <w:rPr>
                <w:rFonts w:cs="Arial"/>
                <w:color w:val="000000" w:themeColor="text1"/>
                <w:szCs w:val="16"/>
              </w:rPr>
              <w:t>96.50%</w:t>
            </w:r>
          </w:p>
        </w:tc>
        <w:tc>
          <w:tcPr>
            <w:tcW w:w="1128" w:type="pct"/>
          </w:tcPr>
          <w:p w14:paraId="36BBFFFB" w14:textId="63C7EE46" w:rsidR="00C843AF" w:rsidRPr="00ED172B" w:rsidRDefault="00C843AF" w:rsidP="00573310">
            <w:pPr>
              <w:jc w:val="center"/>
              <w:rPr>
                <w:rFonts w:cs="Arial"/>
                <w:color w:val="000000" w:themeColor="text1"/>
                <w:szCs w:val="16"/>
              </w:rPr>
            </w:pPr>
            <w:r w:rsidRPr="005F5F3C">
              <w:rPr>
                <w:rFonts w:cs="Arial"/>
                <w:color w:val="000000" w:themeColor="text1"/>
                <w:szCs w:val="16"/>
              </w:rPr>
              <w:t>96.50%</w:t>
            </w:r>
          </w:p>
        </w:tc>
      </w:tr>
    </w:tbl>
    <w:p w14:paraId="048B5BE7" w14:textId="7B076B48" w:rsidR="00BF7D80" w:rsidRDefault="00F80C9C" w:rsidP="00B83404">
      <w:pPr>
        <w:rPr>
          <w:b/>
          <w:color w:val="000000" w:themeColor="text1"/>
        </w:rPr>
      </w:pPr>
      <w:bookmarkStart w:id="10" w:name="_Toc392159265"/>
      <w:bookmarkEnd w:id="9"/>
      <w:r w:rsidRPr="00ED172B">
        <w:rPr>
          <w:b/>
          <w:color w:val="000000" w:themeColor="text1"/>
        </w:rPr>
        <w:t>Targets: Description of Stakeholder Input</w:t>
      </w:r>
    </w:p>
    <w:p w14:paraId="58140005" w14:textId="254A99F8" w:rsidR="00F80C9C" w:rsidRDefault="00CF03E0" w:rsidP="00CF03E0">
      <w:pPr>
        <w:rPr>
          <w:color w:val="000000" w:themeColor="text1"/>
        </w:rPr>
      </w:pPr>
      <w:r w:rsidRPr="00ED172B">
        <w:rPr>
          <w:b/>
          <w:color w:val="000000" w:themeColor="text1"/>
        </w:rPr>
        <w:t xml:space="preserve"> </w:t>
      </w:r>
      <w:r w:rsidRPr="00ED172B">
        <w:rPr>
          <w:color w:val="000000" w:themeColor="text1"/>
        </w:rPr>
        <w:t xml:space="preserve">The State engaged in broad stakeholder input on new targets established for FFY 2020-2025, reported in the 2021 submission. The State did not revise targets during this reporting period. Ongoing engagement included regular reports from the director and Agency staff to the State Interagency Coordinating Council, Regional Inclusive Services, and State Advisory Council on Special Education. Targeted engagement on personnel standards, the state systemic improvement plan and activities, strategies for improving access to inclusive early learning environments for children with disabilities, and updated guidance on discipline occurred throughout the reporting period. This included presentations during conferences, meetings, and advisory groups, updates to the Agency web pages, leveraging newsletters for Oregon Early Childhood Inclusion, webinars, and memorandums to district leadership and superintendents.  </w:t>
      </w:r>
      <w:r w:rsidRPr="00ED172B">
        <w:rPr>
          <w:color w:val="000000" w:themeColor="text1"/>
        </w:rPr>
        <w:br/>
        <w:t xml:space="preserve">The State engaged with various stakeholder groups to gather feedback on the revision of the EI/ECSE personnel standards. Multiple stakeholder engagement sessions were held with EI/ECSE practitioners, community partners, and families. The State partnered with a parent information and training center, Family and Community Together (FACT) Oregon, to host a feedback session with families of children receiving EI/ECSE services. Materials were made available in Spanish and Spanish translation was provided at the family feedback session.  </w:t>
      </w:r>
    </w:p>
    <w:p w14:paraId="7615FD78" w14:textId="04DD62A8" w:rsidR="00AE7452" w:rsidRPr="00ED172B" w:rsidRDefault="00AE7452" w:rsidP="00B83404">
      <w:pPr>
        <w:rPr>
          <w:color w:val="000000" w:themeColor="text1"/>
        </w:rPr>
      </w:pPr>
    </w:p>
    <w:p w14:paraId="021B388F" w14:textId="77777777" w:rsidR="006628E4" w:rsidRPr="00ED172B" w:rsidRDefault="006628E4">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C02PREPOPDATA"/>
      </w:tblPr>
      <w:tblGrid>
        <w:gridCol w:w="2604"/>
        <w:gridCol w:w="3151"/>
        <w:gridCol w:w="3209"/>
        <w:gridCol w:w="1826"/>
      </w:tblGrid>
      <w:tr w:rsidR="00ED172B" w:rsidRPr="00ED172B" w14:paraId="43EF5C6C" w14:textId="77777777" w:rsidTr="00986B99">
        <w:trPr>
          <w:trHeight w:val="372"/>
          <w:tblHeader/>
        </w:trPr>
        <w:tc>
          <w:tcPr>
            <w:tcW w:w="1207" w:type="pct"/>
            <w:shd w:val="clear" w:color="auto" w:fill="auto"/>
          </w:tcPr>
          <w:p w14:paraId="69556F9B" w14:textId="77777777" w:rsidR="000F7D53" w:rsidRPr="00ED172B" w:rsidRDefault="000F7D53" w:rsidP="00516737">
            <w:pPr>
              <w:spacing w:after="0"/>
              <w:jc w:val="center"/>
              <w:rPr>
                <w:b/>
                <w:color w:val="000000" w:themeColor="text1"/>
                <w:szCs w:val="16"/>
              </w:rPr>
            </w:pPr>
            <w:r w:rsidRPr="00ED172B">
              <w:rPr>
                <w:b/>
                <w:color w:val="000000" w:themeColor="text1"/>
                <w:szCs w:val="16"/>
              </w:rPr>
              <w:t>Source</w:t>
            </w:r>
          </w:p>
        </w:tc>
        <w:tc>
          <w:tcPr>
            <w:tcW w:w="1460" w:type="pct"/>
            <w:shd w:val="clear" w:color="auto" w:fill="auto"/>
          </w:tcPr>
          <w:p w14:paraId="0DA78D38" w14:textId="77777777" w:rsidR="000F7D53" w:rsidRPr="00ED172B" w:rsidRDefault="000F7D53" w:rsidP="00516737">
            <w:pPr>
              <w:spacing w:after="0"/>
              <w:jc w:val="center"/>
              <w:rPr>
                <w:b/>
                <w:color w:val="000000" w:themeColor="text1"/>
                <w:szCs w:val="16"/>
              </w:rPr>
            </w:pPr>
            <w:r w:rsidRPr="00ED172B">
              <w:rPr>
                <w:b/>
                <w:color w:val="000000" w:themeColor="text1"/>
                <w:szCs w:val="16"/>
              </w:rPr>
              <w:t>Date</w:t>
            </w:r>
          </w:p>
        </w:tc>
        <w:tc>
          <w:tcPr>
            <w:tcW w:w="1487" w:type="pct"/>
            <w:shd w:val="clear" w:color="auto" w:fill="auto"/>
          </w:tcPr>
          <w:p w14:paraId="6FE143C8" w14:textId="77777777" w:rsidR="000F7D53" w:rsidRPr="00ED172B" w:rsidRDefault="000F7D53" w:rsidP="00516737">
            <w:pPr>
              <w:spacing w:after="0"/>
              <w:jc w:val="center"/>
              <w:rPr>
                <w:b/>
                <w:color w:val="000000" w:themeColor="text1"/>
                <w:szCs w:val="16"/>
              </w:rPr>
            </w:pPr>
            <w:r w:rsidRPr="00ED172B">
              <w:rPr>
                <w:b/>
                <w:color w:val="000000" w:themeColor="text1"/>
                <w:szCs w:val="16"/>
              </w:rPr>
              <w:t>Description</w:t>
            </w:r>
          </w:p>
        </w:tc>
        <w:tc>
          <w:tcPr>
            <w:tcW w:w="846" w:type="pct"/>
            <w:shd w:val="clear" w:color="auto" w:fill="auto"/>
          </w:tcPr>
          <w:p w14:paraId="2FF23077" w14:textId="77777777" w:rsidR="000F7D53" w:rsidRPr="00ED172B" w:rsidRDefault="000F7D53" w:rsidP="00516737">
            <w:pPr>
              <w:spacing w:after="0"/>
              <w:jc w:val="center"/>
              <w:rPr>
                <w:b/>
                <w:color w:val="000000" w:themeColor="text1"/>
                <w:szCs w:val="16"/>
              </w:rPr>
            </w:pPr>
            <w:r w:rsidRPr="00ED172B">
              <w:rPr>
                <w:b/>
                <w:color w:val="000000" w:themeColor="text1"/>
                <w:szCs w:val="16"/>
              </w:rPr>
              <w:t>Data</w:t>
            </w:r>
          </w:p>
        </w:tc>
      </w:tr>
      <w:tr w:rsidR="00ED172B" w:rsidRPr="00ED172B" w14:paraId="0F537033" w14:textId="77777777" w:rsidTr="00986B99">
        <w:trPr>
          <w:trHeight w:val="380"/>
        </w:trPr>
        <w:tc>
          <w:tcPr>
            <w:tcW w:w="1207" w:type="pct"/>
            <w:shd w:val="clear" w:color="auto" w:fill="auto"/>
            <w:vAlign w:val="center"/>
          </w:tcPr>
          <w:p w14:paraId="50B96616" w14:textId="5FDBEB69" w:rsidR="006111D4" w:rsidRPr="00ED172B" w:rsidRDefault="00753E04" w:rsidP="006111D4">
            <w:pPr>
              <w:jc w:val="center"/>
              <w:rPr>
                <w:color w:val="000000" w:themeColor="text1"/>
                <w:szCs w:val="16"/>
              </w:rPr>
            </w:pPr>
            <w:r w:rsidRPr="00ED172B">
              <w:rPr>
                <w:rFonts w:cs="Arial"/>
                <w:color w:val="000000" w:themeColor="text1"/>
                <w:szCs w:val="16"/>
              </w:rPr>
              <w:t>SY 2022-23 EMAPS IDEA Part C Child Count and Settings Survey; Section A: Child Count and Settings by Age</w:t>
            </w:r>
          </w:p>
        </w:tc>
        <w:tc>
          <w:tcPr>
            <w:tcW w:w="1460" w:type="pct"/>
            <w:shd w:val="clear" w:color="auto" w:fill="auto"/>
          </w:tcPr>
          <w:p w14:paraId="738E4570" w14:textId="08441A46" w:rsidR="006111D4" w:rsidRPr="00ED172B" w:rsidRDefault="00753E04" w:rsidP="006111D4">
            <w:pPr>
              <w:jc w:val="center"/>
              <w:rPr>
                <w:rFonts w:cs="Arial"/>
                <w:color w:val="000000" w:themeColor="text1"/>
                <w:szCs w:val="16"/>
              </w:rPr>
            </w:pPr>
            <w:r w:rsidRPr="00ED172B">
              <w:rPr>
                <w:rFonts w:cs="Arial"/>
                <w:color w:val="000000" w:themeColor="text1"/>
                <w:szCs w:val="16"/>
              </w:rPr>
              <w:t>08/30/2023</w:t>
            </w:r>
          </w:p>
        </w:tc>
        <w:tc>
          <w:tcPr>
            <w:tcW w:w="1487" w:type="pct"/>
            <w:shd w:val="clear" w:color="auto" w:fill="auto"/>
          </w:tcPr>
          <w:p w14:paraId="340AC5A9" w14:textId="339193EA" w:rsidR="006111D4" w:rsidRPr="00ED172B" w:rsidRDefault="006111D4" w:rsidP="006111D4">
            <w:pPr>
              <w:jc w:val="center"/>
              <w:rPr>
                <w:color w:val="000000" w:themeColor="text1"/>
                <w:szCs w:val="16"/>
              </w:rPr>
            </w:pPr>
            <w:r w:rsidRPr="00ED172B">
              <w:rPr>
                <w:color w:val="000000" w:themeColor="text1"/>
                <w:szCs w:val="16"/>
              </w:rPr>
              <w:t>Number of infants and toddlers with IFSPs who primarily receive early intervention services in the home or community-based settings</w:t>
            </w:r>
          </w:p>
        </w:tc>
        <w:tc>
          <w:tcPr>
            <w:tcW w:w="846" w:type="pct"/>
            <w:shd w:val="clear" w:color="auto" w:fill="auto"/>
          </w:tcPr>
          <w:p w14:paraId="1C4DB47F" w14:textId="62B147B6" w:rsidR="006111D4" w:rsidRPr="00ED172B" w:rsidRDefault="00860830" w:rsidP="006111D4">
            <w:pPr>
              <w:jc w:val="center"/>
              <w:rPr>
                <w:color w:val="000000" w:themeColor="text1"/>
                <w:szCs w:val="16"/>
              </w:rPr>
            </w:pPr>
            <w:r w:rsidRPr="00ED172B">
              <w:rPr>
                <w:color w:val="000000" w:themeColor="text1"/>
                <w:szCs w:val="16"/>
              </w:rPr>
              <w:t>4,011</w:t>
            </w:r>
          </w:p>
        </w:tc>
      </w:tr>
      <w:tr w:rsidR="00ED172B" w:rsidRPr="00ED172B" w14:paraId="23879959" w14:textId="77777777" w:rsidTr="00986B99">
        <w:trPr>
          <w:trHeight w:val="380"/>
        </w:trPr>
        <w:tc>
          <w:tcPr>
            <w:tcW w:w="1207" w:type="pct"/>
            <w:shd w:val="clear" w:color="auto" w:fill="auto"/>
            <w:vAlign w:val="center"/>
          </w:tcPr>
          <w:p w14:paraId="0F04187E" w14:textId="0D4F9C80" w:rsidR="00F32B6D" w:rsidRPr="00ED172B" w:rsidRDefault="00753E04" w:rsidP="00F32B6D">
            <w:pPr>
              <w:jc w:val="center"/>
              <w:rPr>
                <w:color w:val="000000" w:themeColor="text1"/>
                <w:szCs w:val="16"/>
              </w:rPr>
            </w:pPr>
            <w:r w:rsidRPr="00ED172B">
              <w:rPr>
                <w:rFonts w:cs="Arial"/>
                <w:color w:val="000000" w:themeColor="text1"/>
                <w:szCs w:val="16"/>
              </w:rPr>
              <w:t>SY 2022-23 EMAPS IDEA Part C Child Count and Settings Survey; Section A: Child Count and Settings by Age</w:t>
            </w:r>
          </w:p>
        </w:tc>
        <w:tc>
          <w:tcPr>
            <w:tcW w:w="1460" w:type="pct"/>
            <w:shd w:val="clear" w:color="auto" w:fill="auto"/>
          </w:tcPr>
          <w:p w14:paraId="2B2C4396" w14:textId="37230B50" w:rsidR="00F32B6D" w:rsidRPr="00ED172B" w:rsidRDefault="00753E04" w:rsidP="00F32B6D">
            <w:pPr>
              <w:jc w:val="center"/>
              <w:rPr>
                <w:color w:val="000000" w:themeColor="text1"/>
                <w:szCs w:val="16"/>
              </w:rPr>
            </w:pPr>
            <w:r w:rsidRPr="00ED172B">
              <w:rPr>
                <w:rFonts w:cs="Arial"/>
                <w:color w:val="000000" w:themeColor="text1"/>
                <w:szCs w:val="16"/>
              </w:rPr>
              <w:t>08/30/2023</w:t>
            </w:r>
          </w:p>
        </w:tc>
        <w:tc>
          <w:tcPr>
            <w:tcW w:w="1487" w:type="pct"/>
            <w:shd w:val="clear" w:color="auto" w:fill="auto"/>
          </w:tcPr>
          <w:p w14:paraId="5C29929A" w14:textId="586BB346" w:rsidR="00F32B6D" w:rsidRPr="00ED172B" w:rsidRDefault="00F32B6D" w:rsidP="00F32B6D">
            <w:pPr>
              <w:jc w:val="center"/>
              <w:rPr>
                <w:color w:val="000000" w:themeColor="text1"/>
                <w:szCs w:val="16"/>
              </w:rPr>
            </w:pPr>
            <w:r w:rsidRPr="00ED172B">
              <w:rPr>
                <w:color w:val="000000" w:themeColor="text1"/>
                <w:szCs w:val="16"/>
              </w:rPr>
              <w:t>Total number of infants and toddlers with IFSPs</w:t>
            </w:r>
          </w:p>
        </w:tc>
        <w:tc>
          <w:tcPr>
            <w:tcW w:w="846" w:type="pct"/>
            <w:shd w:val="clear" w:color="auto" w:fill="auto"/>
            <w:vAlign w:val="center"/>
          </w:tcPr>
          <w:p w14:paraId="41EA183A" w14:textId="192C1E18" w:rsidR="00F32B6D" w:rsidRPr="00ED172B" w:rsidRDefault="00860830" w:rsidP="00F32B6D">
            <w:pPr>
              <w:jc w:val="center"/>
              <w:rPr>
                <w:color w:val="000000" w:themeColor="text1"/>
                <w:szCs w:val="16"/>
              </w:rPr>
            </w:pPr>
            <w:r w:rsidRPr="00ED172B">
              <w:rPr>
                <w:color w:val="000000" w:themeColor="text1"/>
                <w:szCs w:val="16"/>
              </w:rPr>
              <w:t>4,112</w:t>
            </w:r>
          </w:p>
        </w:tc>
      </w:tr>
    </w:tbl>
    <w:p w14:paraId="7B961186" w14:textId="217E2F32" w:rsidR="006628E4" w:rsidRPr="00ED172B" w:rsidRDefault="00F22D09">
      <w:pPr>
        <w:rPr>
          <w:b/>
          <w:color w:val="000000" w:themeColor="text1"/>
        </w:rPr>
      </w:pPr>
      <w:r>
        <w:rPr>
          <w:b/>
          <w:color w:val="000000" w:themeColor="text1"/>
        </w:rPr>
        <w:t>FFY 2022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2FFYAPRDATA"/>
      </w:tblPr>
      <w:tblGrid>
        <w:gridCol w:w="1801"/>
        <w:gridCol w:w="1849"/>
        <w:gridCol w:w="1268"/>
        <w:gridCol w:w="1893"/>
        <w:gridCol w:w="1140"/>
        <w:gridCol w:w="1444"/>
        <w:gridCol w:w="1399"/>
      </w:tblGrid>
      <w:tr w:rsidR="00ED172B" w:rsidRPr="00ED172B" w14:paraId="07885561" w14:textId="77777777" w:rsidTr="00986B99">
        <w:trPr>
          <w:trHeight w:val="359"/>
          <w:tblHeader/>
        </w:trPr>
        <w:tc>
          <w:tcPr>
            <w:tcW w:w="834" w:type="pct"/>
            <w:shd w:val="clear" w:color="auto" w:fill="auto"/>
            <w:vAlign w:val="bottom"/>
          </w:tcPr>
          <w:p w14:paraId="472B2B7A" w14:textId="59B6334C" w:rsidR="00B605F5" w:rsidRPr="00ED172B" w:rsidRDefault="00B605F5" w:rsidP="00B605F5">
            <w:pPr>
              <w:jc w:val="center"/>
              <w:rPr>
                <w:b/>
                <w:color w:val="000000" w:themeColor="text1"/>
                <w:szCs w:val="16"/>
              </w:rPr>
            </w:pPr>
            <w:r w:rsidRPr="00ED172B">
              <w:rPr>
                <w:b/>
                <w:color w:val="000000" w:themeColor="text1"/>
                <w:szCs w:val="16"/>
              </w:rPr>
              <w:lastRenderedPageBreak/>
              <w:t>Number of infants and toddlers with IFSPs who primarily receive early intervention services in the home or community-based settings</w:t>
            </w:r>
          </w:p>
        </w:tc>
        <w:tc>
          <w:tcPr>
            <w:tcW w:w="856" w:type="pct"/>
            <w:shd w:val="clear" w:color="auto" w:fill="auto"/>
            <w:vAlign w:val="bottom"/>
          </w:tcPr>
          <w:p w14:paraId="6BCF7402" w14:textId="42590957" w:rsidR="00B605F5" w:rsidRPr="00ED172B" w:rsidRDefault="00B605F5" w:rsidP="00B605F5">
            <w:pPr>
              <w:jc w:val="center"/>
              <w:rPr>
                <w:color w:val="000000" w:themeColor="text1"/>
                <w:szCs w:val="16"/>
              </w:rPr>
            </w:pPr>
            <w:r w:rsidRPr="00ED172B">
              <w:rPr>
                <w:b/>
                <w:color w:val="000000" w:themeColor="text1"/>
                <w:szCs w:val="16"/>
              </w:rPr>
              <w:t>Total number of Infants and toddlers with IFSPs</w:t>
            </w:r>
          </w:p>
        </w:tc>
        <w:tc>
          <w:tcPr>
            <w:tcW w:w="587" w:type="pct"/>
            <w:shd w:val="clear" w:color="auto" w:fill="auto"/>
            <w:vAlign w:val="bottom"/>
          </w:tcPr>
          <w:p w14:paraId="10A26864" w14:textId="00E54FCF" w:rsidR="00B605F5" w:rsidRPr="00ED172B" w:rsidRDefault="00CD74B5" w:rsidP="00B605F5">
            <w:pPr>
              <w:jc w:val="center"/>
              <w:rPr>
                <w:b/>
                <w:color w:val="000000" w:themeColor="text1"/>
                <w:szCs w:val="16"/>
              </w:rPr>
            </w:pPr>
            <w:r>
              <w:rPr>
                <w:rFonts w:cs="Arial"/>
                <w:b/>
                <w:color w:val="000000" w:themeColor="text1"/>
                <w:szCs w:val="16"/>
              </w:rPr>
              <w:t>FFY 2021 Data</w:t>
            </w:r>
          </w:p>
        </w:tc>
        <w:tc>
          <w:tcPr>
            <w:tcW w:w="877" w:type="pct"/>
            <w:shd w:val="clear" w:color="auto" w:fill="auto"/>
            <w:vAlign w:val="bottom"/>
          </w:tcPr>
          <w:p w14:paraId="418B7AF3" w14:textId="783365FA" w:rsidR="00B605F5" w:rsidRPr="00ED172B" w:rsidRDefault="00F22D09" w:rsidP="00B605F5">
            <w:pPr>
              <w:jc w:val="center"/>
              <w:rPr>
                <w:b/>
                <w:color w:val="000000" w:themeColor="text1"/>
                <w:szCs w:val="16"/>
              </w:rPr>
            </w:pPr>
            <w:r>
              <w:rPr>
                <w:rFonts w:cs="Arial"/>
                <w:b/>
                <w:color w:val="000000" w:themeColor="text1"/>
                <w:szCs w:val="16"/>
              </w:rPr>
              <w:t>FFY 2022 Target</w:t>
            </w:r>
          </w:p>
        </w:tc>
        <w:tc>
          <w:tcPr>
            <w:tcW w:w="528" w:type="pct"/>
            <w:shd w:val="clear" w:color="auto" w:fill="auto"/>
            <w:vAlign w:val="bottom"/>
          </w:tcPr>
          <w:p w14:paraId="1EF8A614" w14:textId="66DC2759" w:rsidR="00B605F5" w:rsidRPr="00ED172B" w:rsidRDefault="00F22D09" w:rsidP="00B605F5">
            <w:pPr>
              <w:jc w:val="center"/>
              <w:rPr>
                <w:b/>
                <w:color w:val="000000" w:themeColor="text1"/>
                <w:szCs w:val="16"/>
              </w:rPr>
            </w:pPr>
            <w:r>
              <w:rPr>
                <w:rFonts w:cs="Arial"/>
                <w:b/>
                <w:color w:val="000000" w:themeColor="text1"/>
                <w:szCs w:val="16"/>
              </w:rPr>
              <w:t>FFY 2022 Data</w:t>
            </w:r>
          </w:p>
        </w:tc>
        <w:tc>
          <w:tcPr>
            <w:tcW w:w="669" w:type="pct"/>
            <w:shd w:val="clear" w:color="auto" w:fill="auto"/>
            <w:vAlign w:val="bottom"/>
          </w:tcPr>
          <w:p w14:paraId="44081306" w14:textId="77777777" w:rsidR="00B605F5" w:rsidRPr="00ED172B" w:rsidRDefault="00B605F5" w:rsidP="00B605F5">
            <w:pPr>
              <w:jc w:val="center"/>
              <w:rPr>
                <w:b/>
                <w:color w:val="000000" w:themeColor="text1"/>
                <w:szCs w:val="16"/>
              </w:rPr>
            </w:pPr>
            <w:r w:rsidRPr="00ED172B">
              <w:rPr>
                <w:b/>
                <w:color w:val="000000" w:themeColor="text1"/>
                <w:szCs w:val="16"/>
              </w:rPr>
              <w:t>Status</w:t>
            </w:r>
          </w:p>
        </w:tc>
        <w:tc>
          <w:tcPr>
            <w:tcW w:w="648" w:type="pct"/>
            <w:shd w:val="clear" w:color="auto" w:fill="auto"/>
            <w:vAlign w:val="bottom"/>
          </w:tcPr>
          <w:p w14:paraId="04CEAB25" w14:textId="77777777" w:rsidR="00B605F5" w:rsidRPr="00ED172B" w:rsidRDefault="00B605F5" w:rsidP="00B605F5">
            <w:pPr>
              <w:jc w:val="center"/>
              <w:rPr>
                <w:b/>
                <w:color w:val="000000" w:themeColor="text1"/>
                <w:szCs w:val="16"/>
              </w:rPr>
            </w:pPr>
            <w:r w:rsidRPr="00ED172B">
              <w:rPr>
                <w:b/>
                <w:color w:val="000000" w:themeColor="text1"/>
                <w:szCs w:val="16"/>
              </w:rPr>
              <w:t>Slippage</w:t>
            </w:r>
          </w:p>
        </w:tc>
      </w:tr>
      <w:tr w:rsidR="00ED172B" w:rsidRPr="00ED172B" w14:paraId="7B353118" w14:textId="77777777" w:rsidTr="00986B99">
        <w:trPr>
          <w:trHeight w:val="366"/>
        </w:trPr>
        <w:tc>
          <w:tcPr>
            <w:tcW w:w="834" w:type="pct"/>
            <w:shd w:val="clear" w:color="auto" w:fill="auto"/>
            <w:vAlign w:val="center"/>
          </w:tcPr>
          <w:p w14:paraId="144020CA" w14:textId="64560A31" w:rsidR="00650CF7" w:rsidRPr="00ED172B" w:rsidRDefault="00860830" w:rsidP="00694144">
            <w:pPr>
              <w:jc w:val="center"/>
              <w:rPr>
                <w:color w:val="000000" w:themeColor="text1"/>
                <w:szCs w:val="16"/>
              </w:rPr>
            </w:pPr>
            <w:r w:rsidRPr="00ED172B">
              <w:rPr>
                <w:color w:val="000000" w:themeColor="text1"/>
                <w:szCs w:val="16"/>
              </w:rPr>
              <w:t>4,011</w:t>
            </w:r>
          </w:p>
        </w:tc>
        <w:tc>
          <w:tcPr>
            <w:tcW w:w="856" w:type="pct"/>
            <w:shd w:val="clear" w:color="auto" w:fill="auto"/>
            <w:vAlign w:val="center"/>
          </w:tcPr>
          <w:p w14:paraId="7B36A1D9" w14:textId="53D1EA58" w:rsidR="00650CF7" w:rsidRPr="00ED172B" w:rsidRDefault="00860830" w:rsidP="00694144">
            <w:pPr>
              <w:jc w:val="center"/>
              <w:rPr>
                <w:color w:val="000000" w:themeColor="text1"/>
                <w:szCs w:val="16"/>
              </w:rPr>
            </w:pPr>
            <w:r w:rsidRPr="00ED172B">
              <w:rPr>
                <w:color w:val="000000" w:themeColor="text1"/>
                <w:szCs w:val="16"/>
              </w:rPr>
              <w:t>4,112</w:t>
            </w:r>
          </w:p>
        </w:tc>
        <w:tc>
          <w:tcPr>
            <w:tcW w:w="587" w:type="pct"/>
            <w:shd w:val="clear" w:color="auto" w:fill="auto"/>
            <w:vAlign w:val="center"/>
          </w:tcPr>
          <w:p w14:paraId="79EBF212" w14:textId="3ECE0202" w:rsidR="00650CF7" w:rsidRPr="00ED172B" w:rsidRDefault="00860830" w:rsidP="00694144">
            <w:pPr>
              <w:jc w:val="center"/>
              <w:rPr>
                <w:color w:val="000000" w:themeColor="text1"/>
                <w:szCs w:val="16"/>
              </w:rPr>
            </w:pPr>
            <w:r w:rsidRPr="00ED172B">
              <w:rPr>
                <w:rFonts w:cs="Arial"/>
                <w:color w:val="000000" w:themeColor="text1"/>
                <w:szCs w:val="16"/>
              </w:rPr>
              <w:t>97.42%</w:t>
            </w:r>
          </w:p>
        </w:tc>
        <w:tc>
          <w:tcPr>
            <w:tcW w:w="877" w:type="pct"/>
            <w:shd w:val="clear" w:color="auto" w:fill="auto"/>
            <w:vAlign w:val="center"/>
          </w:tcPr>
          <w:p w14:paraId="6BB2A0A3" w14:textId="2F872183" w:rsidR="00650CF7" w:rsidRPr="00ED172B" w:rsidRDefault="00860830" w:rsidP="00694144">
            <w:pPr>
              <w:jc w:val="center"/>
              <w:rPr>
                <w:color w:val="000000" w:themeColor="text1"/>
                <w:szCs w:val="16"/>
              </w:rPr>
            </w:pPr>
            <w:r w:rsidRPr="00ED172B">
              <w:rPr>
                <w:rFonts w:cs="Arial"/>
                <w:color w:val="000000" w:themeColor="text1"/>
                <w:szCs w:val="16"/>
              </w:rPr>
              <w:t>96.50%</w:t>
            </w:r>
          </w:p>
        </w:tc>
        <w:tc>
          <w:tcPr>
            <w:tcW w:w="528" w:type="pct"/>
            <w:shd w:val="clear" w:color="auto" w:fill="auto"/>
            <w:vAlign w:val="center"/>
          </w:tcPr>
          <w:p w14:paraId="3EC9700C" w14:textId="27692569" w:rsidR="00650CF7" w:rsidRPr="00ED172B" w:rsidRDefault="00860830" w:rsidP="00694144">
            <w:pPr>
              <w:jc w:val="center"/>
              <w:rPr>
                <w:color w:val="000000" w:themeColor="text1"/>
                <w:szCs w:val="16"/>
              </w:rPr>
            </w:pPr>
            <w:r w:rsidRPr="00ED172B">
              <w:rPr>
                <w:rFonts w:cs="Arial"/>
                <w:color w:val="000000" w:themeColor="text1"/>
                <w:szCs w:val="16"/>
              </w:rPr>
              <w:t>97.54%</w:t>
            </w:r>
          </w:p>
        </w:tc>
        <w:tc>
          <w:tcPr>
            <w:tcW w:w="669" w:type="pct"/>
            <w:shd w:val="clear" w:color="auto" w:fill="auto"/>
            <w:vAlign w:val="center"/>
          </w:tcPr>
          <w:p w14:paraId="50DC4650" w14:textId="13CA2BE4" w:rsidR="00650CF7" w:rsidRPr="00ED172B" w:rsidRDefault="002F5A9E" w:rsidP="00027F39">
            <w:pPr>
              <w:jc w:val="center"/>
              <w:rPr>
                <w:color w:val="000000" w:themeColor="text1"/>
              </w:rPr>
            </w:pPr>
            <w:r w:rsidRPr="00ED172B">
              <w:rPr>
                <w:color w:val="000000" w:themeColor="text1"/>
              </w:rPr>
              <w:t>Met target</w:t>
            </w:r>
          </w:p>
        </w:tc>
        <w:tc>
          <w:tcPr>
            <w:tcW w:w="648" w:type="pct"/>
            <w:shd w:val="clear" w:color="auto" w:fill="auto"/>
            <w:vAlign w:val="center"/>
          </w:tcPr>
          <w:p w14:paraId="2D824F9E" w14:textId="714F97F8" w:rsidR="00650CF7" w:rsidRPr="00ED172B" w:rsidRDefault="002F5A9E" w:rsidP="00027F39">
            <w:pPr>
              <w:jc w:val="center"/>
              <w:rPr>
                <w:color w:val="000000" w:themeColor="text1"/>
              </w:rPr>
            </w:pPr>
            <w:r w:rsidRPr="00ED172B">
              <w:rPr>
                <w:color w:val="000000" w:themeColor="text1"/>
              </w:rPr>
              <w:t>No Slippage</w:t>
            </w:r>
          </w:p>
        </w:tc>
      </w:tr>
    </w:tbl>
    <w:p w14:paraId="34E598B5" w14:textId="0DFDF6A9" w:rsidR="003A3693" w:rsidRPr="00ED172B" w:rsidRDefault="003A3693" w:rsidP="003A3693">
      <w:pPr>
        <w:rPr>
          <w:rFonts w:cs="Arial"/>
          <w:b/>
          <w:color w:val="000000" w:themeColor="text1"/>
          <w:szCs w:val="16"/>
        </w:rPr>
      </w:pPr>
      <w:bookmarkStart w:id="11" w:name="_Toc382082359"/>
      <w:bookmarkStart w:id="12" w:name="_Toc392159266"/>
      <w:bookmarkStart w:id="13" w:name="_Toc365403651"/>
      <w:bookmarkEnd w:id="10"/>
      <w:r w:rsidRPr="00ED172B">
        <w:rPr>
          <w:rFonts w:cs="Arial"/>
          <w:b/>
          <w:color w:val="000000" w:themeColor="text1"/>
          <w:szCs w:val="16"/>
        </w:rPr>
        <w:t>Provide additional information about this indicator (optional).</w:t>
      </w:r>
    </w:p>
    <w:p w14:paraId="67203ABB" w14:textId="34BF3061" w:rsidR="003A3693" w:rsidRPr="00ED172B" w:rsidRDefault="003A3693" w:rsidP="003A3693">
      <w:pPr>
        <w:rPr>
          <w:rFonts w:cs="Arial"/>
          <w:color w:val="000000" w:themeColor="text1"/>
          <w:szCs w:val="16"/>
        </w:rPr>
      </w:pPr>
    </w:p>
    <w:p w14:paraId="1F801FF4" w14:textId="35B46122" w:rsidR="00DC0682" w:rsidRPr="00A40EE1" w:rsidRDefault="000D0117" w:rsidP="005C3FFD">
      <w:pPr>
        <w:pStyle w:val="Heading2"/>
      </w:pPr>
      <w:r w:rsidRPr="00A40EE1">
        <w:t xml:space="preserve">2 - </w:t>
      </w:r>
      <w:r w:rsidR="00DC0682" w:rsidRPr="00A40EE1">
        <w:t>Prior FFY Required Actions</w:t>
      </w:r>
    </w:p>
    <w:p w14:paraId="127F5C56" w14:textId="4FCFDE78" w:rsidR="004C1CEE" w:rsidRPr="00ED172B" w:rsidRDefault="002F5A9E" w:rsidP="00DC0682">
      <w:pPr>
        <w:rPr>
          <w:rFonts w:cs="Arial"/>
          <w:color w:val="000000" w:themeColor="text1"/>
          <w:szCs w:val="16"/>
        </w:rPr>
      </w:pPr>
      <w:r w:rsidRPr="00ED172B">
        <w:rPr>
          <w:color w:val="000000" w:themeColor="text1"/>
        </w:rPr>
        <w:t>None</w:t>
      </w:r>
    </w:p>
    <w:p w14:paraId="7C49F614" w14:textId="3891505A" w:rsidR="00DC0682" w:rsidRPr="00A40EE1" w:rsidRDefault="000D0117" w:rsidP="005C3FFD">
      <w:pPr>
        <w:pStyle w:val="Heading2"/>
      </w:pPr>
      <w:r w:rsidRPr="00A40EE1">
        <w:t xml:space="preserve">2 - </w:t>
      </w:r>
      <w:r w:rsidR="00DC0682" w:rsidRPr="00A40EE1">
        <w:t>OSEP Response</w:t>
      </w:r>
    </w:p>
    <w:p w14:paraId="3C724ABD" w14:textId="240B5FAA" w:rsidR="00DC0682" w:rsidRPr="00ED172B" w:rsidRDefault="00DC0682" w:rsidP="002F5A9E">
      <w:pPr>
        <w:rPr>
          <w:color w:val="000000" w:themeColor="text1"/>
        </w:rPr>
      </w:pPr>
    </w:p>
    <w:p w14:paraId="07A9F6AD" w14:textId="269C71A0" w:rsidR="00DC0682" w:rsidRPr="00A40EE1" w:rsidRDefault="000D0117" w:rsidP="005C3FFD">
      <w:pPr>
        <w:pStyle w:val="Heading2"/>
      </w:pPr>
      <w:r w:rsidRPr="00A40EE1">
        <w:t xml:space="preserve">2 - </w:t>
      </w:r>
      <w:r w:rsidR="00DC0682" w:rsidRPr="00A40EE1">
        <w:t>Required Actions</w:t>
      </w:r>
    </w:p>
    <w:p w14:paraId="1E68FF4D" w14:textId="53301172" w:rsidR="00DC0682" w:rsidRPr="00ED172B" w:rsidRDefault="00DC0682" w:rsidP="002F5A9E">
      <w:pPr>
        <w:rPr>
          <w:color w:val="000000" w:themeColor="text1"/>
        </w:rPr>
      </w:pPr>
    </w:p>
    <w:p w14:paraId="08C95D8D" w14:textId="77777777" w:rsidR="00660214" w:rsidRPr="00ED172B" w:rsidRDefault="0066021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2A74FD4B" w14:textId="7206C53B" w:rsidR="009D378C" w:rsidRPr="00ED172B" w:rsidRDefault="009D378C" w:rsidP="0077063D">
      <w:pPr>
        <w:pStyle w:val="Heading1"/>
        <w:rPr>
          <w:color w:val="000000" w:themeColor="text1"/>
        </w:rPr>
      </w:pPr>
      <w:r w:rsidRPr="00ED172B">
        <w:rPr>
          <w:color w:val="000000" w:themeColor="text1"/>
        </w:rPr>
        <w:lastRenderedPageBreak/>
        <w:t xml:space="preserve">Indicator </w:t>
      </w:r>
      <w:bookmarkEnd w:id="11"/>
      <w:bookmarkEnd w:id="12"/>
      <w:r w:rsidR="005F4279" w:rsidRPr="00ED172B">
        <w:rPr>
          <w:color w:val="000000" w:themeColor="text1"/>
        </w:rPr>
        <w:t>3: Early Childhood Outcomes</w:t>
      </w:r>
    </w:p>
    <w:p w14:paraId="6C56BCF0" w14:textId="77777777" w:rsidR="000C5918" w:rsidRPr="00ED172B" w:rsidRDefault="000C5918" w:rsidP="00186420">
      <w:pPr>
        <w:rPr>
          <w:color w:val="000000" w:themeColor="text1"/>
          <w:szCs w:val="20"/>
        </w:rPr>
      </w:pPr>
      <w:bookmarkStart w:id="14" w:name="_Toc392159267"/>
      <w:r w:rsidRPr="00ED172B">
        <w:rPr>
          <w:b/>
          <w:color w:val="000000" w:themeColor="text1"/>
          <w:sz w:val="20"/>
          <w:szCs w:val="20"/>
        </w:rPr>
        <w:t>Instructions and Measurement</w:t>
      </w:r>
    </w:p>
    <w:p w14:paraId="6525FF69" w14:textId="77777777" w:rsidR="005F4279" w:rsidRPr="00ED172B" w:rsidRDefault="005F4279">
      <w:pPr>
        <w:rPr>
          <w:b/>
          <w:color w:val="000000" w:themeColor="text1"/>
        </w:rPr>
      </w:pPr>
      <w:r w:rsidRPr="00ED172B">
        <w:rPr>
          <w:b/>
          <w:color w:val="000000" w:themeColor="text1"/>
        </w:rPr>
        <w:t xml:space="preserve">Monitoring Priority: </w:t>
      </w:r>
      <w:r w:rsidRPr="00ED172B">
        <w:rPr>
          <w:color w:val="000000" w:themeColor="text1"/>
        </w:rPr>
        <w:t xml:space="preserve">Early Intervention Services </w:t>
      </w:r>
      <w:proofErr w:type="gramStart"/>
      <w:r w:rsidRPr="00ED172B">
        <w:rPr>
          <w:color w:val="000000" w:themeColor="text1"/>
        </w:rPr>
        <w:t>In</w:t>
      </w:r>
      <w:proofErr w:type="gramEnd"/>
      <w:r w:rsidRPr="00ED172B">
        <w:rPr>
          <w:color w:val="000000" w:themeColor="text1"/>
        </w:rPr>
        <w:t xml:space="preserve"> Natural Environments</w:t>
      </w:r>
    </w:p>
    <w:p w14:paraId="7DC43ED3" w14:textId="77777777" w:rsidR="005F4279" w:rsidRPr="00ED172B" w:rsidRDefault="005F4279" w:rsidP="005F4279">
      <w:pPr>
        <w:rPr>
          <w:rFonts w:cs="Arial"/>
          <w:color w:val="000000" w:themeColor="text1"/>
          <w:szCs w:val="16"/>
        </w:rPr>
      </w:pPr>
      <w:r w:rsidRPr="00ED172B">
        <w:rPr>
          <w:rFonts w:cs="Arial"/>
          <w:b/>
          <w:color w:val="000000" w:themeColor="text1"/>
          <w:szCs w:val="16"/>
        </w:rPr>
        <w:t xml:space="preserve">Results indicator: </w:t>
      </w:r>
      <w:r w:rsidRPr="00ED172B">
        <w:rPr>
          <w:rFonts w:cs="Arial"/>
          <w:color w:val="000000" w:themeColor="text1"/>
          <w:szCs w:val="16"/>
        </w:rPr>
        <w:t>Percent of infants and toddlers with IFSPs who demonstrate improved:</w:t>
      </w:r>
    </w:p>
    <w:p w14:paraId="6CAB2321" w14:textId="2DB2028B" w:rsidR="005F4279" w:rsidRPr="00ED172B" w:rsidRDefault="007F55E8" w:rsidP="00ED172B">
      <w:pPr>
        <w:ind w:firstLine="360"/>
        <w:rPr>
          <w:rFonts w:cs="Arial"/>
          <w:color w:val="000000" w:themeColor="text1"/>
          <w:szCs w:val="16"/>
        </w:rPr>
      </w:pPr>
      <w:r w:rsidRPr="00ED172B">
        <w:rPr>
          <w:rFonts w:cs="Arial"/>
          <w:color w:val="000000" w:themeColor="text1"/>
          <w:szCs w:val="16"/>
        </w:rPr>
        <w:t xml:space="preserve">A. Positive social-emotional skills (including social relationships); </w:t>
      </w:r>
    </w:p>
    <w:p w14:paraId="7C6F9A34" w14:textId="4B08B8EB" w:rsidR="005F4279" w:rsidRPr="00ED172B" w:rsidRDefault="007F55E8" w:rsidP="00ED172B">
      <w:pPr>
        <w:ind w:firstLine="360"/>
        <w:rPr>
          <w:rFonts w:cs="Arial"/>
          <w:color w:val="000000" w:themeColor="text1"/>
          <w:szCs w:val="16"/>
        </w:rPr>
      </w:pPr>
      <w:r w:rsidRPr="00ED172B">
        <w:rPr>
          <w:rFonts w:cs="Arial"/>
          <w:color w:val="000000" w:themeColor="text1"/>
          <w:szCs w:val="16"/>
        </w:rPr>
        <w:t xml:space="preserve">B. Acquisition and use of knowledge and skills (including early language/ communication); and </w:t>
      </w:r>
    </w:p>
    <w:p w14:paraId="607BA869" w14:textId="484FD2C0" w:rsidR="005F4279" w:rsidRPr="00ED172B" w:rsidRDefault="007F55E8" w:rsidP="00ED172B">
      <w:pPr>
        <w:ind w:firstLine="360"/>
        <w:rPr>
          <w:rFonts w:cs="Arial"/>
          <w:color w:val="000000" w:themeColor="text1"/>
          <w:szCs w:val="16"/>
        </w:rPr>
      </w:pPr>
      <w:r w:rsidRPr="00ED172B">
        <w:rPr>
          <w:rFonts w:cs="Arial"/>
          <w:color w:val="000000" w:themeColor="text1"/>
          <w:szCs w:val="16"/>
        </w:rPr>
        <w:t>C. Use of appropriate behaviors to meet their needs.</w:t>
      </w:r>
    </w:p>
    <w:p w14:paraId="02F8B72A" w14:textId="77777777" w:rsidR="005F4279" w:rsidRPr="00ED172B" w:rsidRDefault="005F4279" w:rsidP="005F4279">
      <w:pPr>
        <w:rPr>
          <w:rFonts w:cs="Arial"/>
          <w:color w:val="000000" w:themeColor="text1"/>
          <w:szCs w:val="16"/>
        </w:rPr>
      </w:pPr>
      <w:r w:rsidRPr="00ED172B">
        <w:rPr>
          <w:rFonts w:cs="Arial"/>
          <w:color w:val="000000" w:themeColor="text1"/>
          <w:szCs w:val="16"/>
        </w:rPr>
        <w:t>(20 U.S.C. 1416(a)(3)(A) and 1442)</w:t>
      </w:r>
    </w:p>
    <w:p w14:paraId="2207A350" w14:textId="77777777" w:rsidR="00F83F88" w:rsidRPr="00ED172B" w:rsidRDefault="00F83F88">
      <w:pPr>
        <w:rPr>
          <w:b/>
          <w:color w:val="000000" w:themeColor="text1"/>
        </w:rPr>
      </w:pPr>
      <w:r w:rsidRPr="00ED172B">
        <w:rPr>
          <w:b/>
          <w:color w:val="000000" w:themeColor="text1"/>
        </w:rPr>
        <w:t>Data Source</w:t>
      </w:r>
    </w:p>
    <w:p w14:paraId="156A0C7D" w14:textId="5C588A7F" w:rsidR="00F83F88" w:rsidRPr="00ED172B" w:rsidRDefault="00F83F88" w:rsidP="004A4483">
      <w:pPr>
        <w:rPr>
          <w:rFonts w:cs="Arial"/>
          <w:color w:val="000000" w:themeColor="text1"/>
          <w:szCs w:val="16"/>
        </w:rPr>
      </w:pPr>
      <w:r w:rsidRPr="00ED172B">
        <w:rPr>
          <w:rFonts w:cs="Arial"/>
          <w:color w:val="000000" w:themeColor="text1"/>
          <w:szCs w:val="16"/>
        </w:rPr>
        <w:t>State selected data source.</w:t>
      </w:r>
    </w:p>
    <w:p w14:paraId="206DD9A6" w14:textId="77777777" w:rsidR="00F83F88" w:rsidRPr="00ED172B" w:rsidRDefault="00F83F88">
      <w:pPr>
        <w:rPr>
          <w:b/>
          <w:color w:val="000000" w:themeColor="text1"/>
        </w:rPr>
      </w:pPr>
      <w:r w:rsidRPr="00ED172B">
        <w:rPr>
          <w:b/>
          <w:color w:val="000000" w:themeColor="text1"/>
        </w:rPr>
        <w:t>Measurement</w:t>
      </w:r>
    </w:p>
    <w:p w14:paraId="02CDD99A" w14:textId="77777777" w:rsidR="00F83F88" w:rsidRPr="00ED172B" w:rsidRDefault="00F83F88" w:rsidP="004A4483">
      <w:pPr>
        <w:rPr>
          <w:rFonts w:cs="Arial"/>
          <w:color w:val="000000" w:themeColor="text1"/>
          <w:szCs w:val="16"/>
        </w:rPr>
      </w:pPr>
      <w:r w:rsidRPr="00ED172B">
        <w:rPr>
          <w:rFonts w:cs="Arial"/>
          <w:color w:val="000000" w:themeColor="text1"/>
          <w:szCs w:val="16"/>
        </w:rPr>
        <w:t>Outcomes:</w:t>
      </w:r>
    </w:p>
    <w:p w14:paraId="2E218DAA" w14:textId="6183F4B1" w:rsidR="00F83F88" w:rsidRPr="00ED172B" w:rsidRDefault="00342BF9" w:rsidP="00ED172B">
      <w:pPr>
        <w:ind w:firstLine="360"/>
        <w:rPr>
          <w:rFonts w:cs="Arial"/>
          <w:color w:val="000000" w:themeColor="text1"/>
          <w:szCs w:val="16"/>
        </w:rPr>
      </w:pPr>
      <w:r w:rsidRPr="00ED172B">
        <w:rPr>
          <w:rFonts w:cs="Arial"/>
          <w:color w:val="000000" w:themeColor="text1"/>
          <w:szCs w:val="16"/>
        </w:rPr>
        <w:tab/>
      </w:r>
      <w:r w:rsidR="005E54D4" w:rsidRPr="00ED172B">
        <w:rPr>
          <w:rFonts w:cs="Arial"/>
          <w:color w:val="000000" w:themeColor="text1"/>
          <w:szCs w:val="16"/>
        </w:rPr>
        <w:t>A. Positive social-emotional skills (including social relationships);</w:t>
      </w:r>
    </w:p>
    <w:p w14:paraId="584471E2" w14:textId="1E4F2111" w:rsidR="00F83F88" w:rsidRPr="00ED172B" w:rsidRDefault="00342BF9" w:rsidP="00ED172B">
      <w:pPr>
        <w:ind w:firstLine="360"/>
        <w:rPr>
          <w:rFonts w:cs="Arial"/>
          <w:color w:val="000000" w:themeColor="text1"/>
          <w:szCs w:val="16"/>
        </w:rPr>
      </w:pPr>
      <w:r w:rsidRPr="00ED172B">
        <w:rPr>
          <w:rFonts w:cs="Arial"/>
          <w:color w:val="000000" w:themeColor="text1"/>
          <w:szCs w:val="16"/>
        </w:rPr>
        <w:tab/>
      </w:r>
      <w:r w:rsidR="005E54D4" w:rsidRPr="00ED172B">
        <w:rPr>
          <w:rFonts w:cs="Arial"/>
          <w:color w:val="000000" w:themeColor="text1"/>
          <w:szCs w:val="16"/>
        </w:rPr>
        <w:t>B. Acquisition and use of knowledge and skills (including early language/communication); and</w:t>
      </w:r>
    </w:p>
    <w:p w14:paraId="54D1C25B" w14:textId="5CB438D4" w:rsidR="00F83F88" w:rsidRPr="00ED172B" w:rsidRDefault="00342BF9" w:rsidP="00ED172B">
      <w:pPr>
        <w:ind w:firstLine="360"/>
        <w:rPr>
          <w:rFonts w:cs="Arial"/>
          <w:color w:val="000000" w:themeColor="text1"/>
          <w:szCs w:val="16"/>
        </w:rPr>
      </w:pPr>
      <w:r w:rsidRPr="00ED172B">
        <w:rPr>
          <w:rFonts w:cs="Arial"/>
          <w:color w:val="000000" w:themeColor="text1"/>
          <w:szCs w:val="16"/>
        </w:rPr>
        <w:tab/>
      </w:r>
      <w:r w:rsidR="005E54D4" w:rsidRPr="00ED172B">
        <w:rPr>
          <w:rFonts w:cs="Arial"/>
          <w:color w:val="000000" w:themeColor="text1"/>
          <w:szCs w:val="16"/>
        </w:rPr>
        <w:t>C. Use of appropriate behaviors to meet their needs.</w:t>
      </w:r>
    </w:p>
    <w:p w14:paraId="0E19F7BA" w14:textId="77777777" w:rsidR="00F83F88" w:rsidRPr="00ED172B" w:rsidRDefault="00F83F88" w:rsidP="004A4483">
      <w:pPr>
        <w:rPr>
          <w:rFonts w:cs="Arial"/>
          <w:color w:val="000000" w:themeColor="text1"/>
          <w:szCs w:val="16"/>
        </w:rPr>
      </w:pPr>
      <w:r w:rsidRPr="00ED172B">
        <w:rPr>
          <w:rFonts w:cs="Arial"/>
          <w:color w:val="000000" w:themeColor="text1"/>
          <w:szCs w:val="16"/>
        </w:rPr>
        <w:t>Progress categories for A, B and C:</w:t>
      </w:r>
    </w:p>
    <w:p w14:paraId="01E3EFA9" w14:textId="4705CE46" w:rsidR="00F83F88" w:rsidRPr="00ED172B" w:rsidRDefault="007F55E8" w:rsidP="00ED172B">
      <w:pPr>
        <w:ind w:left="288"/>
        <w:rPr>
          <w:rFonts w:cs="Arial"/>
          <w:color w:val="000000" w:themeColor="text1"/>
          <w:szCs w:val="16"/>
        </w:rPr>
      </w:pPr>
      <w:r w:rsidRPr="00ED172B">
        <w:rPr>
          <w:rFonts w:cs="Arial"/>
          <w:color w:val="000000" w:themeColor="text1"/>
          <w:szCs w:val="16"/>
        </w:rPr>
        <w:t>a. Percent of infants and toddlers who did not improve functioning = [(# of infants and toddlers who did not improve functioning) divided by (# of infants and toddlers with IFSPs assessed)] times 100.</w:t>
      </w:r>
    </w:p>
    <w:p w14:paraId="7887E639" w14:textId="17325666" w:rsidR="00F83F88" w:rsidRPr="00ED172B" w:rsidRDefault="007F55E8" w:rsidP="00ED172B">
      <w:pPr>
        <w:ind w:left="288"/>
        <w:rPr>
          <w:rFonts w:cs="Arial"/>
          <w:color w:val="000000" w:themeColor="text1"/>
          <w:szCs w:val="16"/>
        </w:rPr>
      </w:pPr>
      <w:r w:rsidRPr="00ED172B">
        <w:rPr>
          <w:rFonts w:cs="Arial"/>
          <w:color w:val="000000" w:themeColor="text1"/>
          <w:szCs w:val="16"/>
        </w:rPr>
        <w:t>b. Percent of infants and toddlers who improved functioning but not sufficient to move nearer to functioning comparable to same-aged peers = [(# of infants and toddlers who improved functioning but not sufficient to move nearer to functioning comparable to same-aged peers) divided by (# of infants and toddlers with IFSPs assessed)] times 100.</w:t>
      </w:r>
    </w:p>
    <w:p w14:paraId="5BA9195E" w14:textId="4B83F5C7" w:rsidR="00F83F88" w:rsidRPr="00ED172B" w:rsidRDefault="007F55E8" w:rsidP="00ED172B">
      <w:pPr>
        <w:ind w:left="288"/>
        <w:rPr>
          <w:rFonts w:cs="Arial"/>
          <w:color w:val="000000" w:themeColor="text1"/>
          <w:szCs w:val="16"/>
        </w:rPr>
      </w:pPr>
      <w:r w:rsidRPr="00ED172B">
        <w:rPr>
          <w:rFonts w:cs="Arial"/>
          <w:color w:val="000000" w:themeColor="text1"/>
          <w:szCs w:val="16"/>
        </w:rPr>
        <w:t>c. Percent of infants and toddlers who improved functioning to a level nearer to same-aged peers but did not reach it = [(# of infants and toddlers who improved functioning to a level nearer to same-aged peers but did not reach it) divided by (# of infants and toddlers with IFSPs assessed)] times 100.</w:t>
      </w:r>
    </w:p>
    <w:p w14:paraId="0D9D3767" w14:textId="0A74AD9F" w:rsidR="00F83F88" w:rsidRPr="00ED172B" w:rsidRDefault="007F55E8" w:rsidP="00ED172B">
      <w:pPr>
        <w:ind w:left="288"/>
        <w:rPr>
          <w:rFonts w:cs="Arial"/>
          <w:color w:val="000000" w:themeColor="text1"/>
          <w:szCs w:val="16"/>
        </w:rPr>
      </w:pPr>
      <w:r w:rsidRPr="00ED172B">
        <w:rPr>
          <w:rFonts w:cs="Arial"/>
          <w:color w:val="000000" w:themeColor="text1"/>
          <w:szCs w:val="16"/>
        </w:rPr>
        <w:t>d. Percent of infants and toddlers who improved functioning to reach a level comparable to same-aged peers = [(# of infants and toddlers who improved functioning to reach a level comparable to same-aged peers) divided by (# of infants and toddlers with IFSPs assessed)] times 100.</w:t>
      </w:r>
    </w:p>
    <w:p w14:paraId="4F6F4FE8" w14:textId="718C9D87" w:rsidR="00F83F88" w:rsidRPr="00ED172B" w:rsidRDefault="007F55E8" w:rsidP="00ED172B">
      <w:pPr>
        <w:ind w:left="288"/>
        <w:rPr>
          <w:rFonts w:cs="Arial"/>
          <w:color w:val="000000" w:themeColor="text1"/>
          <w:szCs w:val="16"/>
        </w:rPr>
      </w:pPr>
      <w:r w:rsidRPr="00ED172B">
        <w:rPr>
          <w:rFonts w:cs="Arial"/>
          <w:color w:val="000000" w:themeColor="text1"/>
          <w:szCs w:val="16"/>
        </w:rPr>
        <w:t>e. Percent of infants and toddlers who maintained functioning at a level comparable to same-aged peers = [(# of infants and toddlers who maintained functioning at a level comparable to same-aged peers) divided by (# of infants and toddlers with IFSPs assessed)] times 100.</w:t>
      </w:r>
    </w:p>
    <w:p w14:paraId="7C594667" w14:textId="77777777" w:rsidR="00F83F88" w:rsidRPr="00ED172B" w:rsidRDefault="00F83F88" w:rsidP="004A4483">
      <w:pPr>
        <w:rPr>
          <w:rFonts w:cs="Arial"/>
          <w:b/>
          <w:bCs/>
          <w:color w:val="000000" w:themeColor="text1"/>
          <w:szCs w:val="16"/>
        </w:rPr>
      </w:pPr>
      <w:r w:rsidRPr="00ED172B">
        <w:rPr>
          <w:rFonts w:cs="Arial"/>
          <w:b/>
          <w:bCs/>
          <w:color w:val="000000" w:themeColor="text1"/>
          <w:szCs w:val="16"/>
        </w:rPr>
        <w:t>Summary Statements for Each of the Three Outcomes:</w:t>
      </w:r>
    </w:p>
    <w:p w14:paraId="07EED66E" w14:textId="77777777" w:rsidR="00F83F88" w:rsidRPr="00ED172B" w:rsidRDefault="00F83F88" w:rsidP="004A4483">
      <w:pPr>
        <w:rPr>
          <w:rFonts w:cs="Arial"/>
          <w:color w:val="000000" w:themeColor="text1"/>
          <w:szCs w:val="16"/>
        </w:rPr>
      </w:pPr>
      <w:r w:rsidRPr="00ED172B">
        <w:rPr>
          <w:rFonts w:cs="Arial"/>
          <w:b/>
          <w:color w:val="000000" w:themeColor="text1"/>
          <w:szCs w:val="16"/>
        </w:rPr>
        <w:t>Summary Statement 1:</w:t>
      </w:r>
      <w:r w:rsidRPr="00ED172B">
        <w:rPr>
          <w:rFonts w:cs="Arial"/>
          <w:color w:val="000000" w:themeColor="text1"/>
          <w:szCs w:val="16"/>
        </w:rPr>
        <w:t> Of those infants and toddlers who entered early intervention below age expectations in each Outcome, the percent who substantially increased their rate of growth by the time they turned 3 years of age or exited the program.</w:t>
      </w:r>
    </w:p>
    <w:p w14:paraId="70A4FAEC" w14:textId="77777777" w:rsidR="00F83F88" w:rsidRPr="00ED172B" w:rsidRDefault="00F83F88" w:rsidP="004A4483">
      <w:pPr>
        <w:rPr>
          <w:rFonts w:cs="Arial"/>
          <w:b/>
          <w:color w:val="000000" w:themeColor="text1"/>
          <w:szCs w:val="16"/>
        </w:rPr>
      </w:pPr>
      <w:r w:rsidRPr="00ED172B">
        <w:rPr>
          <w:rFonts w:cs="Arial"/>
          <w:b/>
          <w:color w:val="000000" w:themeColor="text1"/>
          <w:szCs w:val="16"/>
        </w:rPr>
        <w:t>Measurement for Summary Statement 1:</w:t>
      </w:r>
    </w:p>
    <w:p w14:paraId="043B1C16" w14:textId="77777777" w:rsidR="00F83F88" w:rsidRPr="00ED172B" w:rsidRDefault="00F83F88" w:rsidP="004A4483">
      <w:pPr>
        <w:rPr>
          <w:rFonts w:cs="Arial"/>
          <w:color w:val="000000" w:themeColor="text1"/>
          <w:szCs w:val="16"/>
        </w:rPr>
      </w:pPr>
      <w:r w:rsidRPr="00ED172B">
        <w:rPr>
          <w:rFonts w:cs="Arial"/>
          <w:color w:val="000000" w:themeColor="text1"/>
          <w:szCs w:val="16"/>
        </w:rPr>
        <w:t>Percent = [(# of infants and toddlers reported in progress category (c) plus # of infants and toddlers reported in category (d)) divided by (# of infants and toddlers reported in progress category (a) plus # of infants and toddlers reported in progress category (b) plus # of infants and toddlers reported in progress category (c) plus # of infants and toddlers reported in progress category (d))] times 100.</w:t>
      </w:r>
    </w:p>
    <w:p w14:paraId="6AB11E47" w14:textId="77777777" w:rsidR="00F83F88" w:rsidRPr="00ED172B" w:rsidRDefault="00F83F88" w:rsidP="004A4483">
      <w:pPr>
        <w:rPr>
          <w:rFonts w:cs="Arial"/>
          <w:color w:val="000000" w:themeColor="text1"/>
          <w:szCs w:val="16"/>
        </w:rPr>
      </w:pPr>
      <w:r w:rsidRPr="00ED172B">
        <w:rPr>
          <w:rFonts w:cs="Arial"/>
          <w:b/>
          <w:color w:val="000000" w:themeColor="text1"/>
          <w:szCs w:val="16"/>
        </w:rPr>
        <w:t>Summary Statement 2:</w:t>
      </w:r>
      <w:r w:rsidRPr="00ED172B">
        <w:rPr>
          <w:rFonts w:cs="Arial"/>
          <w:color w:val="000000" w:themeColor="text1"/>
          <w:szCs w:val="16"/>
        </w:rPr>
        <w:t> The percent of infants and toddlers who were functioning within age expectations in each Outcome by the time they turned 3 years of age or exited the program.</w:t>
      </w:r>
    </w:p>
    <w:p w14:paraId="27E38307" w14:textId="77777777" w:rsidR="00F83F88" w:rsidRPr="00ED172B" w:rsidRDefault="00F83F88" w:rsidP="004A4483">
      <w:pPr>
        <w:rPr>
          <w:rFonts w:cs="Arial"/>
          <w:b/>
          <w:color w:val="000000" w:themeColor="text1"/>
          <w:szCs w:val="16"/>
        </w:rPr>
      </w:pPr>
      <w:r w:rsidRPr="00ED172B">
        <w:rPr>
          <w:rFonts w:cs="Arial"/>
          <w:b/>
          <w:color w:val="000000" w:themeColor="text1"/>
          <w:szCs w:val="16"/>
        </w:rPr>
        <w:t>Measurement for Summary Statement 2:</w:t>
      </w:r>
    </w:p>
    <w:p w14:paraId="5E267956" w14:textId="77777777" w:rsidR="00F83F88" w:rsidRPr="00ED172B" w:rsidRDefault="00F83F88" w:rsidP="004A4483">
      <w:pPr>
        <w:rPr>
          <w:rFonts w:cs="Arial"/>
          <w:color w:val="000000" w:themeColor="text1"/>
          <w:szCs w:val="16"/>
        </w:rPr>
      </w:pPr>
      <w:r w:rsidRPr="00ED172B">
        <w:rPr>
          <w:rFonts w:cs="Arial"/>
          <w:color w:val="000000" w:themeColor="text1"/>
          <w:szCs w:val="16"/>
        </w:rPr>
        <w:t>Percent = [(# of infants and toddlers reported in progress category (d) plus # of infants and toddlers reported in progress category (e)) divided by the (total # of infants and toddlers reported in progress categories (a) + (b) + (c) + (d) + (e))] times 100.</w:t>
      </w:r>
    </w:p>
    <w:p w14:paraId="25A641FB" w14:textId="77777777" w:rsidR="00F83F88" w:rsidRPr="00ED172B" w:rsidRDefault="00F83F88">
      <w:pPr>
        <w:rPr>
          <w:b/>
          <w:color w:val="000000" w:themeColor="text1"/>
        </w:rPr>
      </w:pPr>
      <w:r w:rsidRPr="00ED172B">
        <w:rPr>
          <w:b/>
          <w:color w:val="000000" w:themeColor="text1"/>
        </w:rPr>
        <w:t>Instructions</w:t>
      </w:r>
    </w:p>
    <w:p w14:paraId="7EEB2122" w14:textId="77777777" w:rsidR="00F83F88" w:rsidRPr="00D974E1" w:rsidRDefault="00F83F88" w:rsidP="004A4483">
      <w:pPr>
        <w:rPr>
          <w:rFonts w:cs="Arial"/>
          <w:i/>
          <w:iCs/>
          <w:color w:val="000000" w:themeColor="text1"/>
          <w:szCs w:val="16"/>
        </w:rPr>
      </w:pPr>
      <w:r w:rsidRPr="00D974E1">
        <w:rPr>
          <w:rFonts w:cs="Arial"/>
          <w:bCs/>
          <w:i/>
          <w:iCs/>
          <w:color w:val="000000" w:themeColor="text1"/>
          <w:szCs w:val="16"/>
        </w:rPr>
        <w:t>Sampling of</w:t>
      </w:r>
      <w:r w:rsidRPr="00D974E1">
        <w:rPr>
          <w:rFonts w:cs="Arial"/>
          <w:b/>
          <w:i/>
          <w:iCs/>
          <w:color w:val="000000" w:themeColor="text1"/>
          <w:szCs w:val="16"/>
        </w:rPr>
        <w:t> infants and toddlers with IFSPs</w:t>
      </w:r>
      <w:r w:rsidRPr="00D974E1">
        <w:rPr>
          <w:rFonts w:cs="Arial"/>
          <w:i/>
          <w:iCs/>
          <w:color w:val="000000" w:themeColor="text1"/>
          <w:szCs w:val="16"/>
        </w:rPr>
        <w:t> is allowed. When sampling is used, submit a description of the sampling methodology outlining how the design will yield valid and reliable estimates. (See </w:t>
      </w:r>
      <w:r w:rsidRPr="00D974E1">
        <w:rPr>
          <w:rFonts w:cs="Arial"/>
          <w:i/>
          <w:iCs/>
          <w:color w:val="000000" w:themeColor="text1"/>
          <w:szCs w:val="16"/>
          <w:u w:val="single"/>
        </w:rPr>
        <w:t>General Instructions</w:t>
      </w:r>
      <w:r w:rsidRPr="00D974E1">
        <w:rPr>
          <w:rFonts w:cs="Arial"/>
          <w:i/>
          <w:iCs/>
          <w:color w:val="000000" w:themeColor="text1"/>
          <w:szCs w:val="16"/>
        </w:rPr>
        <w:t> page 2 for additional instructions on sampling.)</w:t>
      </w:r>
    </w:p>
    <w:p w14:paraId="1D631ACD" w14:textId="77777777" w:rsidR="00F83F88" w:rsidRPr="00ED172B" w:rsidRDefault="00F83F88" w:rsidP="004A4483">
      <w:pPr>
        <w:rPr>
          <w:rFonts w:cs="Arial"/>
          <w:color w:val="000000" w:themeColor="text1"/>
          <w:szCs w:val="16"/>
        </w:rPr>
      </w:pPr>
      <w:r w:rsidRPr="00ED172B">
        <w:rPr>
          <w:rFonts w:cs="Arial"/>
          <w:color w:val="000000" w:themeColor="text1"/>
          <w:szCs w:val="16"/>
        </w:rPr>
        <w:t>In the measurement, include in the numerator and denominator only infants and toddlers with IFSPs who received early intervention services for at least six months before exiting the Part C program.</w:t>
      </w:r>
    </w:p>
    <w:p w14:paraId="7E07F147" w14:textId="77777777" w:rsidR="00F83F88" w:rsidRPr="00ED172B" w:rsidRDefault="00F83F88" w:rsidP="004A4483">
      <w:pPr>
        <w:rPr>
          <w:rFonts w:cs="Arial"/>
          <w:color w:val="000000" w:themeColor="text1"/>
          <w:szCs w:val="16"/>
        </w:rPr>
      </w:pPr>
      <w:r w:rsidRPr="00ED172B">
        <w:rPr>
          <w:rFonts w:cs="Arial"/>
          <w:color w:val="000000" w:themeColor="text1"/>
          <w:szCs w:val="16"/>
        </w:rPr>
        <w:t>Report: (1) the number of infants and toddlers who exited the Part C program during the reporting period, as reported in the State’s Part C exiting data under Section 618 of the IDEA; and (2) the number of those infants and toddlers who did not receive early intervention services for at least six months before exiting the Part C program.</w:t>
      </w:r>
    </w:p>
    <w:p w14:paraId="1321EF76" w14:textId="7EEF9F28" w:rsidR="00F83F88" w:rsidRPr="00ED172B" w:rsidRDefault="00F83F88" w:rsidP="004A4483">
      <w:pPr>
        <w:rPr>
          <w:rFonts w:cs="Arial"/>
          <w:color w:val="000000" w:themeColor="text1"/>
          <w:szCs w:val="16"/>
        </w:rPr>
      </w:pPr>
      <w:r w:rsidRPr="00ED172B">
        <w:rPr>
          <w:rFonts w:cs="Arial"/>
          <w:color w:val="000000" w:themeColor="text1"/>
          <w:szCs w:val="16"/>
        </w:rPr>
        <w:t>Describe the results of the calculations and compare the results to the targets. States will use the progress categories for each of the three Outcomes to calculate and report the two Summary Statements.</w:t>
      </w:r>
    </w:p>
    <w:p w14:paraId="17EC3DAA" w14:textId="23EB9319" w:rsidR="00F83F88" w:rsidRPr="00ED172B" w:rsidRDefault="00F83F88" w:rsidP="004A4483">
      <w:pPr>
        <w:rPr>
          <w:color w:val="000000" w:themeColor="text1"/>
          <w:szCs w:val="16"/>
        </w:rPr>
      </w:pPr>
      <w:r w:rsidRPr="00ED172B">
        <w:rPr>
          <w:color w:val="000000" w:themeColor="text1"/>
          <w:szCs w:val="16"/>
        </w:rPr>
        <w:t xml:space="preserve">Report progress data and calculate Summary Statements to compare against the six targets. Provide the actual numbers and percentages for the five reporting categories for each of the three </w:t>
      </w:r>
      <w:r w:rsidR="00B13B7A">
        <w:rPr>
          <w:color w:val="000000" w:themeColor="text1"/>
          <w:szCs w:val="16"/>
        </w:rPr>
        <w:t>O</w:t>
      </w:r>
      <w:r w:rsidRPr="00ED172B">
        <w:rPr>
          <w:color w:val="000000" w:themeColor="text1"/>
          <w:szCs w:val="16"/>
        </w:rPr>
        <w:t>utcomes.</w:t>
      </w:r>
    </w:p>
    <w:p w14:paraId="5D065449" w14:textId="77777777" w:rsidR="00F83F88" w:rsidRPr="00ED172B" w:rsidRDefault="00F83F88" w:rsidP="004A4483">
      <w:pPr>
        <w:rPr>
          <w:color w:val="000000" w:themeColor="text1"/>
          <w:szCs w:val="16"/>
        </w:rPr>
      </w:pPr>
      <w:r w:rsidRPr="00ED172B">
        <w:rPr>
          <w:color w:val="000000" w:themeColor="text1"/>
          <w:szCs w:val="16"/>
        </w:rPr>
        <w:t>In presenting results, provide the criteria for defining “comparable to same-aged peers.” If a State is using the Early Childhood Outcomes Center (ECO) Child Outcomes Summary Process (COS), then the criteria for defining “comparable to same-aged peers” has been defined as a child who has been assigned a score of 6 or 7 on the COS.</w:t>
      </w:r>
    </w:p>
    <w:p w14:paraId="56DC50D5" w14:textId="77777777" w:rsidR="00F83F88" w:rsidRPr="00ED172B" w:rsidRDefault="00F83F88" w:rsidP="004A4483">
      <w:pPr>
        <w:rPr>
          <w:color w:val="000000" w:themeColor="text1"/>
          <w:szCs w:val="16"/>
        </w:rPr>
      </w:pPr>
      <w:r w:rsidRPr="00ED172B">
        <w:rPr>
          <w:color w:val="000000" w:themeColor="text1"/>
          <w:szCs w:val="16"/>
        </w:rPr>
        <w:t>In addition, list the instruments and procedures used to gather data for this indicator, including if the State is using the ECO COS.</w:t>
      </w:r>
    </w:p>
    <w:p w14:paraId="7420D0BF" w14:textId="285FA580" w:rsidR="00F83F88" w:rsidRPr="00ED172B" w:rsidRDefault="00F83F88" w:rsidP="004A4483">
      <w:pPr>
        <w:rPr>
          <w:color w:val="000000" w:themeColor="text1"/>
        </w:rPr>
      </w:pPr>
      <w:r w:rsidRPr="00ED172B">
        <w:rPr>
          <w:color w:val="000000" w:themeColor="text1"/>
          <w:szCs w:val="16"/>
        </w:rPr>
        <w:t>If the State’s Part C eligibility criteria include infants and toddlers who are at risk of having substantial developmental delays (or “at-risk infants and toddlers”) under IDEA section 632(5)(B)(</w:t>
      </w:r>
      <w:proofErr w:type="spellStart"/>
      <w:r w:rsidRPr="00ED172B">
        <w:rPr>
          <w:color w:val="000000" w:themeColor="text1"/>
          <w:szCs w:val="16"/>
        </w:rPr>
        <w:t>i</w:t>
      </w:r>
      <w:proofErr w:type="spellEnd"/>
      <w:r w:rsidRPr="00ED172B">
        <w:rPr>
          <w:color w:val="000000" w:themeColor="text1"/>
          <w:szCs w:val="16"/>
        </w:rPr>
        <w:t>), the State must report data in two ways. First, it must report on all eligible children but exclude its at-risk infants and toddlers (i.e., include just those infants and toddlers experiencing developmental delay (or “developmentally delayed children”) or having a diagnosed physical or mental condition that has a high probability of resulting in developmental delay (or “children with diagnosed conditions”)). Second, the State must separately report outcome data on either: (1) just its at-risk infants and toddlers; or (2) aggregated performance data on all of the infants and toddlers it serves under Part C (including developmentally delayed children, children with diagnosed conditions, and at-risk infants and toddlers).</w:t>
      </w:r>
    </w:p>
    <w:p w14:paraId="3F1A9F00" w14:textId="6E8EB8B7" w:rsidR="00833727" w:rsidRPr="00A40EE1" w:rsidRDefault="000D0117" w:rsidP="005C3FFD">
      <w:pPr>
        <w:pStyle w:val="Heading2"/>
      </w:pPr>
      <w:r w:rsidRPr="00A40EE1">
        <w:lastRenderedPageBreak/>
        <w:t xml:space="preserve">3 - </w:t>
      </w:r>
      <w:r w:rsidR="004A4483" w:rsidRPr="00A40EE1">
        <w:t>Indicator Data</w:t>
      </w:r>
      <w:bookmarkEnd w:id="14"/>
    </w:p>
    <w:p w14:paraId="4F24CCB1" w14:textId="0C4D54E3" w:rsidR="00363AAB" w:rsidRPr="00ED172B" w:rsidRDefault="00363AAB" w:rsidP="00186420">
      <w:pPr>
        <w:rPr>
          <w:b/>
          <w:color w:val="000000" w:themeColor="text1"/>
        </w:rPr>
      </w:pPr>
      <w:proofErr w:type="gramStart"/>
      <w:r w:rsidRPr="00ED172B">
        <w:rPr>
          <w:b/>
          <w:color w:val="000000" w:themeColor="text1"/>
        </w:rPr>
        <w:t>Does</w:t>
      </w:r>
      <w:proofErr w:type="gramEnd"/>
      <w:r w:rsidRPr="00ED172B">
        <w:rPr>
          <w:b/>
          <w:color w:val="000000" w:themeColor="text1"/>
        </w:rPr>
        <w:t xml:space="preserve"> your State's Part C eligibility criteria include infants and toddlers who are at risk of having substantial developmental delays (or “at-risk infants and toddlers”) under IDEA section 632(5)(B)(</w:t>
      </w:r>
      <w:proofErr w:type="spellStart"/>
      <w:r w:rsidRPr="00ED172B">
        <w:rPr>
          <w:b/>
          <w:color w:val="000000" w:themeColor="text1"/>
        </w:rPr>
        <w:t>i</w:t>
      </w:r>
      <w:proofErr w:type="spellEnd"/>
      <w:r w:rsidRPr="00ED172B">
        <w:rPr>
          <w:b/>
          <w:color w:val="000000" w:themeColor="text1"/>
        </w:rPr>
        <w:t>)? (yes/no)</w:t>
      </w:r>
    </w:p>
    <w:p w14:paraId="6E42FBC3" w14:textId="45672C6E" w:rsidR="00363AAB" w:rsidRPr="00ED172B" w:rsidRDefault="00363AAB">
      <w:pPr>
        <w:rPr>
          <w:color w:val="000000" w:themeColor="text1"/>
        </w:rPr>
      </w:pPr>
      <w:r w:rsidRPr="00ED172B">
        <w:rPr>
          <w:color w:val="000000" w:themeColor="text1"/>
        </w:rPr>
        <w:t>NO</w:t>
      </w:r>
    </w:p>
    <w:p w14:paraId="1A3E318B" w14:textId="77777777" w:rsidR="00F32724" w:rsidRPr="00ED172B" w:rsidRDefault="00F32724" w:rsidP="00F32724">
      <w:pPr>
        <w:rPr>
          <w:b/>
          <w:color w:val="000000" w:themeColor="text1"/>
        </w:rPr>
      </w:pPr>
    </w:p>
    <w:p w14:paraId="4AA49CFE" w14:textId="159CB7D7" w:rsidR="00F32724" w:rsidRDefault="00F32724" w:rsidP="00F32724">
      <w:pPr>
        <w:rPr>
          <w:b/>
          <w:color w:val="000000" w:themeColor="text1"/>
        </w:rPr>
      </w:pPr>
      <w:r w:rsidRPr="00ED172B">
        <w:rPr>
          <w:b/>
          <w:color w:val="000000" w:themeColor="text1"/>
        </w:rPr>
        <w:t xml:space="preserve">Targets: Description of Stakeholder Input </w:t>
      </w:r>
    </w:p>
    <w:p w14:paraId="28278A5A" w14:textId="77CA1927" w:rsidR="00F32724" w:rsidRDefault="00CF03E0" w:rsidP="00CF03E0">
      <w:pPr>
        <w:rPr>
          <w:color w:val="000000" w:themeColor="text1"/>
        </w:rPr>
      </w:pPr>
      <w:r w:rsidRPr="00ED172B">
        <w:rPr>
          <w:color w:val="000000" w:themeColor="text1"/>
        </w:rPr>
        <w:t xml:space="preserve">The State engaged in broad stakeholder input on new targets established for FFY 2020-2025, reported in the 2021 submission. The State did not revise targets during this reporting period. Ongoing engagement included regular reports from the director and Agency staff to the State Interagency Coordinating Council, Regional Inclusive Services, and State Advisory Council on Special Education. Targeted engagement on personnel standards, the state systemic improvement plan and activities, strategies for improving access to inclusive early learning environments for children with disabilities, and updated guidance on discipline occurred throughout the reporting period. This included presentations during conferences, meetings, and advisory groups, updates to the Agency web pages, leveraging newsletters for Oregon Early Childhood Inclusion, webinars, and memorandums to district leadership and superintendents.  </w:t>
      </w:r>
      <w:r w:rsidRPr="00ED172B">
        <w:rPr>
          <w:color w:val="000000" w:themeColor="text1"/>
        </w:rPr>
        <w:br/>
        <w:t xml:space="preserve">The State engaged with various stakeholder groups to gather feedback on the revision of the EI/ECSE personnel standards. Multiple stakeholder engagement sessions were held with EI/ECSE practitioners, community partners, and families. The State partnered with a parent information and training center, Family and Community Together (FACT) Oregon, to host a feedback session with families of children receiving EI/ECSE services. Materials were made available in Spanish and Spanish translation was provided at the family feedback session.  </w:t>
      </w:r>
    </w:p>
    <w:p w14:paraId="4E7E8330" w14:textId="749679DB" w:rsidR="004C1CEE" w:rsidRPr="00ED172B" w:rsidRDefault="004C1CEE" w:rsidP="00F32724">
      <w:pPr>
        <w:rPr>
          <w:color w:val="000000" w:themeColor="text1"/>
        </w:rPr>
      </w:pPr>
    </w:p>
    <w:p w14:paraId="76A19C1D" w14:textId="4079988E" w:rsidR="001A4B29" w:rsidRPr="00ED172B" w:rsidRDefault="001A4B29">
      <w:pPr>
        <w:rPr>
          <w:b/>
          <w:color w:val="000000" w:themeColor="text1"/>
        </w:rPr>
      </w:pPr>
      <w:r w:rsidRPr="00ED172B">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03HISTDATA1"/>
      </w:tblPr>
      <w:tblGrid>
        <w:gridCol w:w="1078"/>
        <w:gridCol w:w="1078"/>
        <w:gridCol w:w="1079"/>
        <w:gridCol w:w="1511"/>
        <w:gridCol w:w="1511"/>
        <w:gridCol w:w="1511"/>
        <w:gridCol w:w="1511"/>
        <w:gridCol w:w="1511"/>
      </w:tblGrid>
      <w:tr w:rsidR="00ED172B" w:rsidRPr="00ED172B" w14:paraId="35BD5034" w14:textId="29B5A610" w:rsidTr="00A40EE1">
        <w:trPr>
          <w:trHeight w:val="395"/>
        </w:trPr>
        <w:tc>
          <w:tcPr>
            <w:tcW w:w="500" w:type="pct"/>
            <w:tcBorders>
              <w:top w:val="single" w:sz="4" w:space="0" w:color="auto"/>
              <w:left w:val="single" w:sz="4" w:space="0" w:color="auto"/>
              <w:bottom w:val="single" w:sz="4" w:space="0" w:color="auto"/>
              <w:right w:val="single" w:sz="4" w:space="0" w:color="auto"/>
            </w:tcBorders>
            <w:shd w:val="clear" w:color="auto" w:fill="auto"/>
            <w:vAlign w:val="bottom"/>
          </w:tcPr>
          <w:p w14:paraId="4E846D5C" w14:textId="0DA7F083" w:rsidR="00E87031" w:rsidRPr="00ED172B" w:rsidRDefault="00E55520" w:rsidP="00E87031">
            <w:pPr>
              <w:jc w:val="center"/>
              <w:rPr>
                <w:rFonts w:cs="Arial"/>
                <w:b/>
                <w:color w:val="000000" w:themeColor="text1"/>
                <w:szCs w:val="16"/>
              </w:rPr>
            </w:pPr>
            <w:r>
              <w:rPr>
                <w:rFonts w:cs="Arial"/>
                <w:b/>
                <w:color w:val="000000" w:themeColor="text1"/>
                <w:szCs w:val="16"/>
              </w:rPr>
              <w:t>Outcome</w:t>
            </w:r>
          </w:p>
        </w:tc>
        <w:tc>
          <w:tcPr>
            <w:tcW w:w="500" w:type="pct"/>
            <w:tcBorders>
              <w:top w:val="single" w:sz="4" w:space="0" w:color="auto"/>
              <w:left w:val="single" w:sz="4" w:space="0" w:color="auto"/>
              <w:bottom w:val="single" w:sz="4" w:space="0" w:color="auto"/>
              <w:right w:val="single" w:sz="4" w:space="0" w:color="auto"/>
            </w:tcBorders>
            <w:shd w:val="clear" w:color="auto" w:fill="auto"/>
            <w:vAlign w:val="bottom"/>
          </w:tcPr>
          <w:p w14:paraId="06527863" w14:textId="251D9709" w:rsidR="00E87031" w:rsidRPr="00ED172B" w:rsidRDefault="00E87031" w:rsidP="00E87031">
            <w:pPr>
              <w:jc w:val="center"/>
              <w:rPr>
                <w:rFonts w:cs="Arial"/>
                <w:b/>
                <w:color w:val="000000" w:themeColor="text1"/>
                <w:szCs w:val="16"/>
              </w:rPr>
            </w:pPr>
            <w:r w:rsidRPr="00ED172B">
              <w:rPr>
                <w:rFonts w:cs="Arial"/>
                <w:b/>
                <w:color w:val="000000" w:themeColor="text1"/>
                <w:szCs w:val="16"/>
              </w:rPr>
              <w:t>Baseline</w:t>
            </w:r>
          </w:p>
        </w:tc>
        <w:tc>
          <w:tcPr>
            <w:tcW w:w="500" w:type="pct"/>
            <w:tcBorders>
              <w:top w:val="single" w:sz="4" w:space="0" w:color="auto"/>
              <w:left w:val="single" w:sz="4" w:space="0" w:color="auto"/>
              <w:bottom w:val="single" w:sz="4" w:space="0" w:color="auto"/>
              <w:right w:val="single" w:sz="4" w:space="0" w:color="auto"/>
            </w:tcBorders>
            <w:shd w:val="clear" w:color="auto" w:fill="auto"/>
            <w:vAlign w:val="bottom"/>
          </w:tcPr>
          <w:p w14:paraId="5A2957BE" w14:textId="2C7B03ED" w:rsidR="00E87031" w:rsidRPr="00ED172B" w:rsidRDefault="00E87031" w:rsidP="00E87031">
            <w:pPr>
              <w:jc w:val="center"/>
              <w:rPr>
                <w:rFonts w:cs="Arial"/>
                <w:b/>
                <w:color w:val="000000" w:themeColor="text1"/>
                <w:szCs w:val="16"/>
              </w:rPr>
            </w:pPr>
            <w:r w:rsidRPr="00ED172B">
              <w:rPr>
                <w:rFonts w:cs="Arial"/>
                <w:b/>
                <w:color w:val="000000" w:themeColor="text1"/>
                <w:szCs w:val="16"/>
              </w:rPr>
              <w:t>FFY</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B76558F" w14:textId="074C0C53" w:rsidR="00E87031" w:rsidRPr="00ED172B" w:rsidRDefault="002163F2" w:rsidP="00E87031">
            <w:pPr>
              <w:jc w:val="center"/>
              <w:rPr>
                <w:rFonts w:cs="Arial"/>
                <w:b/>
                <w:color w:val="000000" w:themeColor="text1"/>
                <w:szCs w:val="16"/>
              </w:rPr>
            </w:pPr>
            <w:r w:rsidRPr="00ED172B">
              <w:rPr>
                <w:rFonts w:cs="Arial"/>
                <w:b/>
                <w:color w:val="000000" w:themeColor="text1"/>
                <w:szCs w:val="16"/>
              </w:rPr>
              <w:t>2017</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5893A07F" w14:textId="1CDA13A9" w:rsidR="00E87031" w:rsidRPr="00ED172B" w:rsidRDefault="002163F2" w:rsidP="00E87031">
            <w:pPr>
              <w:jc w:val="center"/>
              <w:rPr>
                <w:rFonts w:cs="Arial"/>
                <w:b/>
                <w:color w:val="000000" w:themeColor="text1"/>
                <w:szCs w:val="16"/>
              </w:rPr>
            </w:pPr>
            <w:r w:rsidRPr="00ED172B">
              <w:rPr>
                <w:rFonts w:cs="Arial"/>
                <w:b/>
                <w:color w:val="000000" w:themeColor="text1"/>
                <w:szCs w:val="16"/>
              </w:rPr>
              <w:t>2018</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03B2578E" w14:textId="7026210E" w:rsidR="00E87031" w:rsidRPr="00ED172B" w:rsidRDefault="002163F2" w:rsidP="00E87031">
            <w:pPr>
              <w:jc w:val="center"/>
              <w:rPr>
                <w:rFonts w:cs="Arial"/>
                <w:b/>
                <w:color w:val="000000" w:themeColor="text1"/>
                <w:szCs w:val="16"/>
              </w:rPr>
            </w:pPr>
            <w:r w:rsidRPr="00ED172B">
              <w:rPr>
                <w:rFonts w:cs="Arial"/>
                <w:b/>
                <w:color w:val="000000" w:themeColor="text1"/>
                <w:szCs w:val="16"/>
              </w:rPr>
              <w:t>2019</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48DC945F" w14:textId="2A4DDDFA" w:rsidR="00E87031" w:rsidRPr="00ED172B" w:rsidRDefault="002163F2" w:rsidP="00E87031">
            <w:pPr>
              <w:jc w:val="center"/>
              <w:rPr>
                <w:rFonts w:cs="Arial"/>
                <w:b/>
                <w:color w:val="000000" w:themeColor="text1"/>
                <w:szCs w:val="16"/>
              </w:rPr>
            </w:pPr>
            <w:r w:rsidRPr="00ED172B">
              <w:rPr>
                <w:rFonts w:cs="Arial"/>
                <w:b/>
                <w:color w:val="000000" w:themeColor="text1"/>
                <w:szCs w:val="16"/>
              </w:rPr>
              <w:t>2020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8B07557" w14:textId="0E63ADD4" w:rsidR="00E87031" w:rsidRPr="00ED172B" w:rsidRDefault="006D43D3" w:rsidP="00E87031">
            <w:pPr>
              <w:jc w:val="center"/>
              <w:rPr>
                <w:rFonts w:cs="Arial"/>
                <w:b/>
                <w:color w:val="000000" w:themeColor="text1"/>
                <w:szCs w:val="16"/>
              </w:rPr>
            </w:pPr>
            <w:r w:rsidRPr="00ED172B">
              <w:rPr>
                <w:rFonts w:cs="Arial"/>
                <w:b/>
                <w:color w:val="000000" w:themeColor="text1"/>
                <w:szCs w:val="16"/>
              </w:rPr>
              <w:t>2021</w:t>
            </w:r>
          </w:p>
        </w:tc>
      </w:tr>
      <w:tr w:rsidR="00ED172B" w:rsidRPr="00ED172B" w14:paraId="56A8F97B" w14:textId="64924B4E" w:rsidTr="00A40EE1">
        <w:trPr>
          <w:trHeight w:val="70"/>
        </w:trPr>
        <w:tc>
          <w:tcPr>
            <w:tcW w:w="500" w:type="pct"/>
            <w:tcBorders>
              <w:top w:val="single" w:sz="4" w:space="0" w:color="auto"/>
              <w:left w:val="single" w:sz="4" w:space="0" w:color="auto"/>
              <w:right w:val="single" w:sz="4" w:space="0" w:color="auto"/>
            </w:tcBorders>
            <w:shd w:val="clear" w:color="auto" w:fill="auto"/>
            <w:vAlign w:val="center"/>
          </w:tcPr>
          <w:p w14:paraId="3ABA9B1B"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A1</w:t>
            </w:r>
          </w:p>
        </w:tc>
        <w:tc>
          <w:tcPr>
            <w:tcW w:w="500" w:type="pct"/>
            <w:tcBorders>
              <w:top w:val="single" w:sz="4" w:space="0" w:color="auto"/>
              <w:left w:val="single" w:sz="4" w:space="0" w:color="auto"/>
              <w:right w:val="single" w:sz="4" w:space="0" w:color="auto"/>
            </w:tcBorders>
            <w:shd w:val="clear" w:color="auto" w:fill="auto"/>
          </w:tcPr>
          <w:p w14:paraId="6C9E9448" w14:textId="57CFAE14" w:rsidR="007F3393" w:rsidRPr="00ED172B" w:rsidRDefault="002F5A9E" w:rsidP="00027F39">
            <w:pPr>
              <w:jc w:val="center"/>
              <w:rPr>
                <w:color w:val="000000" w:themeColor="text1"/>
              </w:rPr>
            </w:pPr>
            <w:r w:rsidRPr="00ED172B">
              <w:rPr>
                <w:color w:val="000000" w:themeColor="text1"/>
              </w:rPr>
              <w:t>2015</w:t>
            </w: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14:paraId="764E0C17" w14:textId="211050C8"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D3E35F5" w14:textId="0A5E6B48" w:rsidR="007F3393" w:rsidRPr="00ED172B" w:rsidRDefault="00860830" w:rsidP="00186420">
            <w:pPr>
              <w:jc w:val="center"/>
              <w:rPr>
                <w:rFonts w:cs="Arial"/>
                <w:color w:val="000000" w:themeColor="text1"/>
                <w:szCs w:val="16"/>
              </w:rPr>
            </w:pPr>
            <w:r w:rsidRPr="00ED172B">
              <w:rPr>
                <w:rFonts w:cs="Arial"/>
                <w:color w:val="000000" w:themeColor="text1"/>
                <w:szCs w:val="16"/>
              </w:rPr>
              <w:t>85.40%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39A9F38" w14:textId="09F7D1AD" w:rsidR="007F3393" w:rsidRPr="00ED172B" w:rsidRDefault="00860830" w:rsidP="00186420">
            <w:pPr>
              <w:jc w:val="center"/>
              <w:rPr>
                <w:rFonts w:cs="Arial"/>
                <w:color w:val="000000" w:themeColor="text1"/>
                <w:szCs w:val="16"/>
              </w:rPr>
            </w:pPr>
            <w:r w:rsidRPr="00ED172B">
              <w:rPr>
                <w:rFonts w:cs="Arial"/>
                <w:color w:val="000000" w:themeColor="text1"/>
                <w:szCs w:val="16"/>
              </w:rPr>
              <w:t>85.40%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57FCF2F2" w14:textId="0333A0D9" w:rsidR="007F3393" w:rsidRPr="00ED172B" w:rsidRDefault="00860830" w:rsidP="00186420">
            <w:pPr>
              <w:jc w:val="center"/>
              <w:rPr>
                <w:rFonts w:cs="Arial"/>
                <w:color w:val="000000" w:themeColor="text1"/>
                <w:szCs w:val="16"/>
              </w:rPr>
            </w:pPr>
            <w:r w:rsidRPr="00ED172B">
              <w:rPr>
                <w:rFonts w:cs="Arial"/>
                <w:color w:val="000000" w:themeColor="text1"/>
                <w:szCs w:val="16"/>
              </w:rPr>
              <w:t>85.40%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3D77E4C" w14:textId="6EAE4922" w:rsidR="007F3393" w:rsidRPr="00ED172B" w:rsidRDefault="00860830" w:rsidP="00186420">
            <w:pPr>
              <w:jc w:val="center"/>
              <w:rPr>
                <w:rFonts w:cs="Arial"/>
                <w:color w:val="000000" w:themeColor="text1"/>
                <w:szCs w:val="16"/>
              </w:rPr>
            </w:pPr>
            <w:r w:rsidRPr="00ED172B">
              <w:rPr>
                <w:rFonts w:cs="Arial"/>
                <w:color w:val="000000" w:themeColor="text1"/>
                <w:szCs w:val="16"/>
              </w:rPr>
              <w:t>85.40%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5B5FD670" w14:textId="2F388A90" w:rsidR="007F3393" w:rsidRPr="00ED172B" w:rsidRDefault="00860830" w:rsidP="00186420">
            <w:pPr>
              <w:jc w:val="center"/>
              <w:rPr>
                <w:rFonts w:cs="Arial"/>
                <w:color w:val="000000" w:themeColor="text1"/>
                <w:szCs w:val="16"/>
              </w:rPr>
            </w:pPr>
            <w:r w:rsidRPr="00ED172B">
              <w:rPr>
                <w:rFonts w:cs="Arial"/>
                <w:color w:val="000000" w:themeColor="text1"/>
                <w:szCs w:val="16"/>
              </w:rPr>
              <w:t>85.60%</w:t>
            </w:r>
          </w:p>
        </w:tc>
      </w:tr>
      <w:tr w:rsidR="00ED172B" w:rsidRPr="00ED172B" w14:paraId="0CFAE849" w14:textId="06B25E22" w:rsidTr="00A40EE1">
        <w:trPr>
          <w:trHeight w:val="70"/>
        </w:trPr>
        <w:tc>
          <w:tcPr>
            <w:tcW w:w="500" w:type="pct"/>
            <w:tcBorders>
              <w:left w:val="single" w:sz="4" w:space="0" w:color="auto"/>
              <w:right w:val="single" w:sz="4" w:space="0" w:color="auto"/>
            </w:tcBorders>
            <w:shd w:val="clear" w:color="auto" w:fill="auto"/>
            <w:vAlign w:val="center"/>
          </w:tcPr>
          <w:p w14:paraId="2B77B8BB" w14:textId="30D52AA3" w:rsidR="007F3393" w:rsidRPr="00ED172B" w:rsidRDefault="006935F4" w:rsidP="00186420">
            <w:pPr>
              <w:jc w:val="center"/>
              <w:rPr>
                <w:rFonts w:cs="Arial"/>
                <w:b/>
                <w:color w:val="000000" w:themeColor="text1"/>
                <w:szCs w:val="16"/>
              </w:rPr>
            </w:pPr>
            <w:r w:rsidRPr="00ED172B">
              <w:rPr>
                <w:rFonts w:cs="Arial"/>
                <w:b/>
                <w:color w:val="000000" w:themeColor="text1"/>
                <w:szCs w:val="16"/>
              </w:rPr>
              <w:t>A1</w:t>
            </w:r>
          </w:p>
        </w:tc>
        <w:tc>
          <w:tcPr>
            <w:tcW w:w="500" w:type="pct"/>
            <w:tcBorders>
              <w:left w:val="single" w:sz="4" w:space="0" w:color="auto"/>
              <w:right w:val="single" w:sz="4" w:space="0" w:color="auto"/>
            </w:tcBorders>
            <w:shd w:val="clear" w:color="auto" w:fill="auto"/>
          </w:tcPr>
          <w:p w14:paraId="3D9909C2" w14:textId="0A3AFD10" w:rsidR="007F3393" w:rsidRPr="00ED172B" w:rsidRDefault="002F5A9E" w:rsidP="00027F39">
            <w:pPr>
              <w:jc w:val="center"/>
              <w:rPr>
                <w:color w:val="000000" w:themeColor="text1"/>
              </w:rPr>
            </w:pPr>
            <w:r w:rsidRPr="00ED172B">
              <w:rPr>
                <w:color w:val="000000" w:themeColor="text1"/>
              </w:rPr>
              <w:t>84.89%</w:t>
            </w: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14:paraId="5123D015" w14:textId="1AAB6D9E"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5AA2FDD" w14:textId="0DBF1FA9" w:rsidR="007F3393" w:rsidRPr="00ED172B" w:rsidRDefault="00860830" w:rsidP="00186420">
            <w:pPr>
              <w:jc w:val="center"/>
              <w:rPr>
                <w:rFonts w:cs="Arial"/>
                <w:color w:val="000000" w:themeColor="text1"/>
                <w:szCs w:val="16"/>
              </w:rPr>
            </w:pPr>
            <w:r w:rsidRPr="00ED172B">
              <w:rPr>
                <w:rFonts w:cs="Arial"/>
                <w:color w:val="000000" w:themeColor="text1"/>
                <w:szCs w:val="16"/>
              </w:rPr>
              <w:t>84.83%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811E938" w14:textId="20C0F99C" w:rsidR="007F3393" w:rsidRPr="00ED172B" w:rsidRDefault="00860830" w:rsidP="00186420">
            <w:pPr>
              <w:jc w:val="center"/>
              <w:rPr>
                <w:rFonts w:cs="Arial"/>
                <w:color w:val="000000" w:themeColor="text1"/>
                <w:szCs w:val="16"/>
              </w:rPr>
            </w:pPr>
            <w:r w:rsidRPr="00ED172B">
              <w:rPr>
                <w:rFonts w:cs="Arial"/>
                <w:color w:val="000000" w:themeColor="text1"/>
                <w:szCs w:val="16"/>
              </w:rPr>
              <w:t>85.29%</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81006C1" w14:textId="4D74CF50" w:rsidR="007F3393" w:rsidRPr="00ED172B" w:rsidRDefault="00860830" w:rsidP="00186420">
            <w:pPr>
              <w:jc w:val="center"/>
              <w:rPr>
                <w:rFonts w:cs="Arial"/>
                <w:color w:val="000000" w:themeColor="text1"/>
                <w:szCs w:val="16"/>
              </w:rPr>
            </w:pPr>
            <w:r w:rsidRPr="00ED172B">
              <w:rPr>
                <w:rFonts w:cs="Arial"/>
                <w:color w:val="000000" w:themeColor="text1"/>
                <w:szCs w:val="16"/>
              </w:rPr>
              <w:t>85.92%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BBED2AE" w14:textId="246E12F8" w:rsidR="007F3393" w:rsidRPr="00ED172B" w:rsidRDefault="00860830" w:rsidP="00186420">
            <w:pPr>
              <w:jc w:val="center"/>
              <w:rPr>
                <w:rFonts w:cs="Arial"/>
                <w:color w:val="000000" w:themeColor="text1"/>
                <w:szCs w:val="16"/>
              </w:rPr>
            </w:pPr>
            <w:r w:rsidRPr="00ED172B">
              <w:rPr>
                <w:rFonts w:cs="Arial"/>
                <w:color w:val="000000" w:themeColor="text1"/>
                <w:szCs w:val="16"/>
              </w:rPr>
              <w:t>87.84%</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03D1F0DB" w14:textId="2F1A59D5" w:rsidR="007F3393" w:rsidRPr="00ED172B" w:rsidRDefault="00860830" w:rsidP="00186420">
            <w:pPr>
              <w:jc w:val="center"/>
              <w:rPr>
                <w:rFonts w:cs="Arial"/>
                <w:color w:val="000000" w:themeColor="text1"/>
                <w:szCs w:val="16"/>
              </w:rPr>
            </w:pPr>
            <w:r w:rsidRPr="00ED172B">
              <w:rPr>
                <w:rFonts w:cs="Arial"/>
                <w:color w:val="000000" w:themeColor="text1"/>
                <w:szCs w:val="16"/>
              </w:rPr>
              <w:t>85.90%</w:t>
            </w:r>
          </w:p>
        </w:tc>
      </w:tr>
      <w:tr w:rsidR="00ED172B" w:rsidRPr="00ED172B" w14:paraId="71BE68E0" w14:textId="2811C55F" w:rsidTr="00A40EE1">
        <w:trPr>
          <w:trHeight w:val="70"/>
        </w:trPr>
        <w:tc>
          <w:tcPr>
            <w:tcW w:w="500" w:type="pct"/>
            <w:tcBorders>
              <w:top w:val="single" w:sz="4" w:space="0" w:color="auto"/>
              <w:left w:val="single" w:sz="4" w:space="0" w:color="auto"/>
              <w:right w:val="single" w:sz="4" w:space="0" w:color="auto"/>
            </w:tcBorders>
            <w:shd w:val="clear" w:color="auto" w:fill="auto"/>
            <w:vAlign w:val="center"/>
          </w:tcPr>
          <w:p w14:paraId="10ADF870"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A2</w:t>
            </w:r>
          </w:p>
        </w:tc>
        <w:tc>
          <w:tcPr>
            <w:tcW w:w="500" w:type="pct"/>
            <w:tcBorders>
              <w:top w:val="single" w:sz="4" w:space="0" w:color="auto"/>
              <w:left w:val="single" w:sz="4" w:space="0" w:color="auto"/>
              <w:right w:val="single" w:sz="4" w:space="0" w:color="auto"/>
            </w:tcBorders>
            <w:shd w:val="clear" w:color="auto" w:fill="auto"/>
          </w:tcPr>
          <w:p w14:paraId="43DACE92" w14:textId="5AD4B854" w:rsidR="007F3393" w:rsidRPr="00ED172B" w:rsidRDefault="001E39E3" w:rsidP="001E39E3">
            <w:pPr>
              <w:jc w:val="center"/>
              <w:rPr>
                <w:color w:val="000000" w:themeColor="text1"/>
              </w:rPr>
            </w:pPr>
            <w:r w:rsidRPr="00ED172B">
              <w:rPr>
                <w:color w:val="000000" w:themeColor="text1"/>
              </w:rPr>
              <w:t>2015</w:t>
            </w: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14:paraId="6587C4F0" w14:textId="27288A29"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B88FF7F" w14:textId="5949042F" w:rsidR="007F3393" w:rsidRPr="00ED172B" w:rsidRDefault="00860830" w:rsidP="00186420">
            <w:pPr>
              <w:jc w:val="center"/>
              <w:rPr>
                <w:rFonts w:cs="Arial"/>
                <w:color w:val="000000" w:themeColor="text1"/>
                <w:szCs w:val="16"/>
              </w:rPr>
            </w:pPr>
            <w:r w:rsidRPr="00ED172B">
              <w:rPr>
                <w:rFonts w:cs="Arial"/>
                <w:color w:val="000000" w:themeColor="text1"/>
                <w:szCs w:val="16"/>
              </w:rPr>
              <w:t>42.30%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48549B7" w14:textId="61326F3D" w:rsidR="007F3393" w:rsidRPr="00ED172B" w:rsidRDefault="00860830" w:rsidP="00186420">
            <w:pPr>
              <w:jc w:val="center"/>
              <w:rPr>
                <w:rFonts w:cs="Arial"/>
                <w:color w:val="000000" w:themeColor="text1"/>
                <w:szCs w:val="16"/>
              </w:rPr>
            </w:pPr>
            <w:r w:rsidRPr="00ED172B">
              <w:rPr>
                <w:rFonts w:cs="Arial"/>
                <w:color w:val="000000" w:themeColor="text1"/>
                <w:szCs w:val="16"/>
              </w:rPr>
              <w:t>42.30%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5C35A5C" w14:textId="66E27423" w:rsidR="007F3393" w:rsidRPr="00ED172B" w:rsidRDefault="00860830" w:rsidP="00186420">
            <w:pPr>
              <w:jc w:val="center"/>
              <w:rPr>
                <w:rFonts w:cs="Arial"/>
                <w:color w:val="000000" w:themeColor="text1"/>
                <w:szCs w:val="16"/>
              </w:rPr>
            </w:pPr>
            <w:r w:rsidRPr="00ED172B">
              <w:rPr>
                <w:rFonts w:cs="Arial"/>
                <w:color w:val="000000" w:themeColor="text1"/>
                <w:szCs w:val="16"/>
              </w:rPr>
              <w:t>42.30%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37ACAB9" w14:textId="188E6205" w:rsidR="007F3393" w:rsidRPr="00ED172B" w:rsidRDefault="00860830" w:rsidP="00186420">
            <w:pPr>
              <w:jc w:val="center"/>
              <w:rPr>
                <w:rFonts w:cs="Arial"/>
                <w:color w:val="000000" w:themeColor="text1"/>
                <w:szCs w:val="16"/>
              </w:rPr>
            </w:pPr>
            <w:r w:rsidRPr="00ED172B">
              <w:rPr>
                <w:rFonts w:cs="Arial"/>
                <w:color w:val="000000" w:themeColor="text1"/>
                <w:szCs w:val="16"/>
              </w:rPr>
              <w:t>42.30%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4CCD8FBF" w14:textId="29532499" w:rsidR="007F3393" w:rsidRPr="00ED172B" w:rsidRDefault="00860830" w:rsidP="00186420">
            <w:pPr>
              <w:jc w:val="center"/>
              <w:rPr>
                <w:rFonts w:cs="Arial"/>
                <w:color w:val="000000" w:themeColor="text1"/>
                <w:szCs w:val="16"/>
              </w:rPr>
            </w:pPr>
            <w:r w:rsidRPr="00ED172B">
              <w:rPr>
                <w:rFonts w:cs="Arial"/>
                <w:color w:val="000000" w:themeColor="text1"/>
                <w:szCs w:val="16"/>
              </w:rPr>
              <w:t>42.50%</w:t>
            </w:r>
          </w:p>
        </w:tc>
      </w:tr>
      <w:tr w:rsidR="00ED172B" w:rsidRPr="00ED172B" w14:paraId="5FF383D1" w14:textId="0510821C" w:rsidTr="00A40EE1">
        <w:trPr>
          <w:trHeight w:val="85"/>
        </w:trPr>
        <w:tc>
          <w:tcPr>
            <w:tcW w:w="500" w:type="pct"/>
            <w:tcBorders>
              <w:left w:val="single" w:sz="4" w:space="0" w:color="auto"/>
              <w:right w:val="single" w:sz="4" w:space="0" w:color="auto"/>
            </w:tcBorders>
            <w:shd w:val="clear" w:color="auto" w:fill="auto"/>
            <w:vAlign w:val="center"/>
          </w:tcPr>
          <w:p w14:paraId="30CA4CFE" w14:textId="0ACEEEEE" w:rsidR="007F3393" w:rsidRPr="00ED172B" w:rsidRDefault="006935F4" w:rsidP="00186420">
            <w:pPr>
              <w:jc w:val="center"/>
              <w:rPr>
                <w:rFonts w:cs="Arial"/>
                <w:b/>
                <w:color w:val="000000" w:themeColor="text1"/>
                <w:szCs w:val="16"/>
              </w:rPr>
            </w:pPr>
            <w:r w:rsidRPr="00ED172B">
              <w:rPr>
                <w:rFonts w:cs="Arial"/>
                <w:b/>
                <w:color w:val="000000" w:themeColor="text1"/>
                <w:szCs w:val="16"/>
              </w:rPr>
              <w:t>A2</w:t>
            </w:r>
          </w:p>
        </w:tc>
        <w:tc>
          <w:tcPr>
            <w:tcW w:w="500" w:type="pct"/>
            <w:tcBorders>
              <w:left w:val="single" w:sz="4" w:space="0" w:color="auto"/>
              <w:right w:val="single" w:sz="4" w:space="0" w:color="auto"/>
            </w:tcBorders>
            <w:shd w:val="clear" w:color="auto" w:fill="auto"/>
          </w:tcPr>
          <w:p w14:paraId="1FF3C8CD" w14:textId="714FC585" w:rsidR="007F3393" w:rsidRPr="00ED172B" w:rsidRDefault="001E39E3" w:rsidP="001E39E3">
            <w:pPr>
              <w:jc w:val="center"/>
              <w:rPr>
                <w:color w:val="000000" w:themeColor="text1"/>
              </w:rPr>
            </w:pPr>
            <w:r w:rsidRPr="00ED172B">
              <w:rPr>
                <w:color w:val="000000" w:themeColor="text1"/>
              </w:rPr>
              <w:t>41.00%</w:t>
            </w: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14:paraId="64108850" w14:textId="3C3387F6"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4E9C5EF4" w14:textId="5AC20942" w:rsidR="007F3393" w:rsidRPr="00ED172B" w:rsidRDefault="00860830" w:rsidP="00186420">
            <w:pPr>
              <w:jc w:val="center"/>
              <w:rPr>
                <w:rFonts w:cs="Arial"/>
                <w:color w:val="000000" w:themeColor="text1"/>
                <w:szCs w:val="16"/>
              </w:rPr>
            </w:pPr>
            <w:r w:rsidRPr="00ED172B">
              <w:rPr>
                <w:rFonts w:cs="Arial"/>
                <w:color w:val="000000" w:themeColor="text1"/>
                <w:szCs w:val="16"/>
              </w:rPr>
              <w:t>42.11%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71C8240" w14:textId="0FC7F794" w:rsidR="007F3393" w:rsidRPr="00ED172B" w:rsidRDefault="00860830" w:rsidP="00186420">
            <w:pPr>
              <w:jc w:val="center"/>
              <w:rPr>
                <w:rFonts w:cs="Arial"/>
                <w:color w:val="000000" w:themeColor="text1"/>
                <w:szCs w:val="16"/>
              </w:rPr>
            </w:pPr>
            <w:r w:rsidRPr="00ED172B">
              <w:rPr>
                <w:rFonts w:cs="Arial"/>
                <w:color w:val="000000" w:themeColor="text1"/>
                <w:szCs w:val="16"/>
              </w:rPr>
              <w:t>41.21%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72A6DD1" w14:textId="74D9AD4B" w:rsidR="007F3393" w:rsidRPr="00ED172B" w:rsidRDefault="00860830" w:rsidP="00186420">
            <w:pPr>
              <w:jc w:val="center"/>
              <w:rPr>
                <w:rFonts w:cs="Arial"/>
                <w:color w:val="000000" w:themeColor="text1"/>
                <w:szCs w:val="16"/>
              </w:rPr>
            </w:pPr>
            <w:r w:rsidRPr="00ED172B">
              <w:rPr>
                <w:rFonts w:cs="Arial"/>
                <w:color w:val="000000" w:themeColor="text1"/>
                <w:szCs w:val="16"/>
              </w:rPr>
              <w:t>38.54%</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14399EF" w14:textId="1090E311" w:rsidR="007F3393" w:rsidRPr="00ED172B" w:rsidRDefault="00860830" w:rsidP="00186420">
            <w:pPr>
              <w:jc w:val="center"/>
              <w:rPr>
                <w:rFonts w:cs="Arial"/>
                <w:color w:val="000000" w:themeColor="text1"/>
                <w:szCs w:val="16"/>
              </w:rPr>
            </w:pPr>
            <w:r w:rsidRPr="00ED172B">
              <w:rPr>
                <w:rFonts w:cs="Arial"/>
                <w:color w:val="000000" w:themeColor="text1"/>
                <w:szCs w:val="16"/>
              </w:rPr>
              <w:t>43.74%</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55C18FA" w14:textId="07C7E8D6" w:rsidR="007F3393" w:rsidRPr="00ED172B" w:rsidRDefault="00860830" w:rsidP="00186420">
            <w:pPr>
              <w:jc w:val="center"/>
              <w:rPr>
                <w:rFonts w:cs="Arial"/>
                <w:color w:val="000000" w:themeColor="text1"/>
                <w:szCs w:val="16"/>
              </w:rPr>
            </w:pPr>
            <w:r w:rsidRPr="00ED172B">
              <w:rPr>
                <w:rFonts w:cs="Arial"/>
                <w:color w:val="000000" w:themeColor="text1"/>
                <w:szCs w:val="16"/>
              </w:rPr>
              <w:t>43.07%</w:t>
            </w:r>
          </w:p>
        </w:tc>
      </w:tr>
      <w:tr w:rsidR="00ED172B" w:rsidRPr="00ED172B" w14:paraId="2AA87AA8" w14:textId="1937207D" w:rsidTr="00A40EE1">
        <w:trPr>
          <w:trHeight w:val="85"/>
        </w:trPr>
        <w:tc>
          <w:tcPr>
            <w:tcW w:w="500" w:type="pct"/>
            <w:tcBorders>
              <w:left w:val="single" w:sz="4" w:space="0" w:color="auto"/>
              <w:right w:val="single" w:sz="4" w:space="0" w:color="auto"/>
            </w:tcBorders>
            <w:shd w:val="clear" w:color="auto" w:fill="auto"/>
            <w:vAlign w:val="center"/>
          </w:tcPr>
          <w:p w14:paraId="1C14C637"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B1</w:t>
            </w:r>
          </w:p>
        </w:tc>
        <w:tc>
          <w:tcPr>
            <w:tcW w:w="500" w:type="pct"/>
            <w:tcBorders>
              <w:left w:val="single" w:sz="4" w:space="0" w:color="auto"/>
              <w:right w:val="single" w:sz="4" w:space="0" w:color="auto"/>
            </w:tcBorders>
            <w:shd w:val="clear" w:color="auto" w:fill="auto"/>
          </w:tcPr>
          <w:p w14:paraId="39588FDE" w14:textId="696ED364" w:rsidR="007F3393" w:rsidRPr="00ED172B" w:rsidRDefault="001E39E3" w:rsidP="001E39E3">
            <w:pPr>
              <w:jc w:val="center"/>
              <w:rPr>
                <w:color w:val="000000" w:themeColor="text1"/>
              </w:rPr>
            </w:pPr>
            <w:r w:rsidRPr="00ED172B">
              <w:rPr>
                <w:color w:val="000000" w:themeColor="text1"/>
              </w:rPr>
              <w:t>2015</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2ACF33BD" w14:textId="75AFBFB2"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B55EE6B" w14:textId="7259FFC1" w:rsidR="007F3393" w:rsidRPr="00ED172B" w:rsidRDefault="00860830" w:rsidP="00186420">
            <w:pPr>
              <w:jc w:val="center"/>
              <w:rPr>
                <w:rFonts w:cs="Arial"/>
                <w:color w:val="000000" w:themeColor="text1"/>
                <w:szCs w:val="16"/>
              </w:rPr>
            </w:pPr>
            <w:r w:rsidRPr="00ED172B">
              <w:rPr>
                <w:rFonts w:cs="Arial"/>
                <w:color w:val="000000" w:themeColor="text1"/>
                <w:szCs w:val="16"/>
              </w:rPr>
              <w:t>66.70%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C51D3EF" w14:textId="01B58521" w:rsidR="007F3393" w:rsidRPr="00ED172B" w:rsidRDefault="00860830" w:rsidP="00186420">
            <w:pPr>
              <w:jc w:val="center"/>
              <w:rPr>
                <w:rFonts w:cs="Arial"/>
                <w:color w:val="000000" w:themeColor="text1"/>
                <w:szCs w:val="16"/>
              </w:rPr>
            </w:pPr>
            <w:r w:rsidRPr="00ED172B">
              <w:rPr>
                <w:rFonts w:cs="Arial"/>
                <w:color w:val="000000" w:themeColor="text1"/>
                <w:szCs w:val="16"/>
              </w:rPr>
              <w:t>66.70%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90FA9BB" w14:textId="2BC0F9C3" w:rsidR="007F3393" w:rsidRPr="00ED172B" w:rsidRDefault="00860830" w:rsidP="00186420">
            <w:pPr>
              <w:jc w:val="center"/>
              <w:rPr>
                <w:rFonts w:cs="Arial"/>
                <w:color w:val="000000" w:themeColor="text1"/>
                <w:szCs w:val="16"/>
              </w:rPr>
            </w:pPr>
            <w:r w:rsidRPr="00ED172B">
              <w:rPr>
                <w:rFonts w:cs="Arial"/>
                <w:color w:val="000000" w:themeColor="text1"/>
                <w:szCs w:val="16"/>
              </w:rPr>
              <w:t>66.70%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5D32E6D0" w14:textId="253A7F37" w:rsidR="007F3393" w:rsidRPr="00ED172B" w:rsidRDefault="00860830" w:rsidP="00186420">
            <w:pPr>
              <w:jc w:val="center"/>
              <w:rPr>
                <w:rFonts w:cs="Arial"/>
                <w:color w:val="000000" w:themeColor="text1"/>
                <w:szCs w:val="16"/>
              </w:rPr>
            </w:pPr>
            <w:r w:rsidRPr="00ED172B">
              <w:rPr>
                <w:rFonts w:cs="Arial"/>
                <w:color w:val="000000" w:themeColor="text1"/>
                <w:szCs w:val="16"/>
              </w:rPr>
              <w:t>66.70%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2E623F0" w14:textId="502F3580" w:rsidR="007F3393" w:rsidRPr="00ED172B" w:rsidRDefault="00860830" w:rsidP="00186420">
            <w:pPr>
              <w:jc w:val="center"/>
              <w:rPr>
                <w:rFonts w:cs="Arial"/>
                <w:color w:val="000000" w:themeColor="text1"/>
                <w:szCs w:val="16"/>
              </w:rPr>
            </w:pPr>
            <w:r w:rsidRPr="00ED172B">
              <w:rPr>
                <w:rFonts w:cs="Arial"/>
                <w:color w:val="000000" w:themeColor="text1"/>
                <w:szCs w:val="16"/>
              </w:rPr>
              <w:t>67.90%</w:t>
            </w:r>
          </w:p>
        </w:tc>
      </w:tr>
      <w:tr w:rsidR="00ED172B" w:rsidRPr="00ED172B" w14:paraId="4C672FEA" w14:textId="01FDA7CD" w:rsidTr="00A40EE1">
        <w:trPr>
          <w:trHeight w:val="85"/>
        </w:trPr>
        <w:tc>
          <w:tcPr>
            <w:tcW w:w="500" w:type="pct"/>
            <w:tcBorders>
              <w:left w:val="single" w:sz="4" w:space="0" w:color="auto"/>
              <w:right w:val="single" w:sz="4" w:space="0" w:color="auto"/>
            </w:tcBorders>
            <w:shd w:val="clear" w:color="auto" w:fill="auto"/>
            <w:vAlign w:val="center"/>
          </w:tcPr>
          <w:p w14:paraId="1C7640BF" w14:textId="7D0D37E0" w:rsidR="007F3393" w:rsidRPr="00ED172B" w:rsidRDefault="006935F4" w:rsidP="00186420">
            <w:pPr>
              <w:jc w:val="center"/>
              <w:rPr>
                <w:rFonts w:cs="Arial"/>
                <w:b/>
                <w:color w:val="000000" w:themeColor="text1"/>
                <w:szCs w:val="16"/>
              </w:rPr>
            </w:pPr>
            <w:r w:rsidRPr="00ED172B">
              <w:rPr>
                <w:rFonts w:cs="Arial"/>
                <w:b/>
                <w:color w:val="000000" w:themeColor="text1"/>
                <w:szCs w:val="16"/>
              </w:rPr>
              <w:t>B1</w:t>
            </w:r>
          </w:p>
        </w:tc>
        <w:tc>
          <w:tcPr>
            <w:tcW w:w="500" w:type="pct"/>
            <w:tcBorders>
              <w:left w:val="single" w:sz="4" w:space="0" w:color="auto"/>
              <w:right w:val="single" w:sz="4" w:space="0" w:color="auto"/>
            </w:tcBorders>
            <w:shd w:val="clear" w:color="auto" w:fill="auto"/>
          </w:tcPr>
          <w:p w14:paraId="69E33770" w14:textId="01EC7630" w:rsidR="007F3393" w:rsidRPr="00ED172B" w:rsidRDefault="001E39E3" w:rsidP="001E39E3">
            <w:pPr>
              <w:jc w:val="center"/>
              <w:rPr>
                <w:color w:val="000000" w:themeColor="text1"/>
              </w:rPr>
            </w:pPr>
            <w:r w:rsidRPr="00ED172B">
              <w:rPr>
                <w:color w:val="000000" w:themeColor="text1"/>
              </w:rPr>
              <w:t>66.42%</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032CC62D" w14:textId="1594007B"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0DCA9B4" w14:textId="6EA13EC7" w:rsidR="007F3393" w:rsidRPr="00ED172B" w:rsidRDefault="00860830" w:rsidP="00186420">
            <w:pPr>
              <w:jc w:val="center"/>
              <w:rPr>
                <w:rFonts w:cs="Arial"/>
                <w:color w:val="000000" w:themeColor="text1"/>
                <w:szCs w:val="16"/>
              </w:rPr>
            </w:pPr>
            <w:r w:rsidRPr="00ED172B">
              <w:rPr>
                <w:rFonts w:cs="Arial"/>
                <w:color w:val="000000" w:themeColor="text1"/>
                <w:szCs w:val="16"/>
              </w:rPr>
              <w:t>61.85%</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517B1B9" w14:textId="7C2329EF" w:rsidR="007F3393" w:rsidRPr="00ED172B" w:rsidRDefault="00860830" w:rsidP="00186420">
            <w:pPr>
              <w:jc w:val="center"/>
              <w:rPr>
                <w:rFonts w:cs="Arial"/>
                <w:color w:val="000000" w:themeColor="text1"/>
                <w:szCs w:val="16"/>
              </w:rPr>
            </w:pPr>
            <w:r w:rsidRPr="00ED172B">
              <w:rPr>
                <w:rFonts w:cs="Arial"/>
                <w:color w:val="000000" w:themeColor="text1"/>
                <w:szCs w:val="16"/>
              </w:rPr>
              <w:t>61.40%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57435A57" w14:textId="3F8D5242" w:rsidR="007F3393" w:rsidRPr="00ED172B" w:rsidRDefault="00860830" w:rsidP="00186420">
            <w:pPr>
              <w:jc w:val="center"/>
              <w:rPr>
                <w:rFonts w:cs="Arial"/>
                <w:color w:val="000000" w:themeColor="text1"/>
                <w:szCs w:val="16"/>
              </w:rPr>
            </w:pPr>
            <w:r w:rsidRPr="00ED172B">
              <w:rPr>
                <w:rFonts w:cs="Arial"/>
                <w:color w:val="000000" w:themeColor="text1"/>
                <w:szCs w:val="16"/>
              </w:rPr>
              <w:t>61.98%</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259B183" w14:textId="3A5E4139" w:rsidR="007F3393" w:rsidRPr="00ED172B" w:rsidRDefault="00860830" w:rsidP="00186420">
            <w:pPr>
              <w:jc w:val="center"/>
              <w:rPr>
                <w:rFonts w:cs="Arial"/>
                <w:color w:val="000000" w:themeColor="text1"/>
                <w:szCs w:val="16"/>
              </w:rPr>
            </w:pPr>
            <w:r w:rsidRPr="00ED172B">
              <w:rPr>
                <w:rFonts w:cs="Arial"/>
                <w:color w:val="000000" w:themeColor="text1"/>
                <w:szCs w:val="16"/>
              </w:rPr>
              <w:t>61.58%</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B1B0F74" w14:textId="049E0D7D" w:rsidR="007F3393" w:rsidRPr="00ED172B" w:rsidRDefault="00860830" w:rsidP="00186420">
            <w:pPr>
              <w:jc w:val="center"/>
              <w:rPr>
                <w:rFonts w:cs="Arial"/>
                <w:color w:val="000000" w:themeColor="text1"/>
                <w:szCs w:val="16"/>
              </w:rPr>
            </w:pPr>
            <w:r w:rsidRPr="00ED172B">
              <w:rPr>
                <w:rFonts w:cs="Arial"/>
                <w:color w:val="000000" w:themeColor="text1"/>
                <w:szCs w:val="16"/>
              </w:rPr>
              <w:t>60.34%</w:t>
            </w:r>
          </w:p>
        </w:tc>
      </w:tr>
      <w:tr w:rsidR="00ED172B" w:rsidRPr="00ED172B" w14:paraId="0CF579FA" w14:textId="582CC6E2" w:rsidTr="00A40EE1">
        <w:trPr>
          <w:trHeight w:val="85"/>
        </w:trPr>
        <w:tc>
          <w:tcPr>
            <w:tcW w:w="500" w:type="pct"/>
            <w:tcBorders>
              <w:left w:val="single" w:sz="4" w:space="0" w:color="auto"/>
              <w:right w:val="single" w:sz="4" w:space="0" w:color="auto"/>
            </w:tcBorders>
            <w:shd w:val="clear" w:color="auto" w:fill="auto"/>
            <w:vAlign w:val="center"/>
          </w:tcPr>
          <w:p w14:paraId="2DA5EF76"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B2</w:t>
            </w:r>
          </w:p>
        </w:tc>
        <w:tc>
          <w:tcPr>
            <w:tcW w:w="500" w:type="pct"/>
            <w:tcBorders>
              <w:left w:val="single" w:sz="4" w:space="0" w:color="auto"/>
              <w:right w:val="single" w:sz="4" w:space="0" w:color="auto"/>
            </w:tcBorders>
            <w:shd w:val="clear" w:color="auto" w:fill="auto"/>
          </w:tcPr>
          <w:p w14:paraId="49171D03" w14:textId="1C5F6C63" w:rsidR="007F3393" w:rsidRPr="00ED172B" w:rsidRDefault="001E39E3" w:rsidP="001E39E3">
            <w:pPr>
              <w:jc w:val="center"/>
              <w:rPr>
                <w:color w:val="000000" w:themeColor="text1"/>
              </w:rPr>
            </w:pPr>
            <w:r w:rsidRPr="00ED172B">
              <w:rPr>
                <w:color w:val="000000" w:themeColor="text1"/>
              </w:rPr>
              <w:t>2015</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26A9A63F" w14:textId="3E244525"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16F7C03" w14:textId="107D6786" w:rsidR="007F3393" w:rsidRPr="00ED172B" w:rsidRDefault="00860830" w:rsidP="00186420">
            <w:pPr>
              <w:jc w:val="center"/>
              <w:rPr>
                <w:rFonts w:cs="Arial"/>
                <w:color w:val="000000" w:themeColor="text1"/>
                <w:szCs w:val="16"/>
              </w:rPr>
            </w:pPr>
            <w:r w:rsidRPr="00ED172B">
              <w:rPr>
                <w:rFonts w:cs="Arial"/>
                <w:color w:val="000000" w:themeColor="text1"/>
                <w:szCs w:val="16"/>
              </w:rPr>
              <w:t>36.00%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3A375D4" w14:textId="35F9334E" w:rsidR="007F3393" w:rsidRPr="00ED172B" w:rsidRDefault="00860830" w:rsidP="00186420">
            <w:pPr>
              <w:jc w:val="center"/>
              <w:rPr>
                <w:rFonts w:cs="Arial"/>
                <w:color w:val="000000" w:themeColor="text1"/>
                <w:szCs w:val="16"/>
              </w:rPr>
            </w:pPr>
            <w:r w:rsidRPr="00ED172B">
              <w:rPr>
                <w:rFonts w:cs="Arial"/>
                <w:color w:val="000000" w:themeColor="text1"/>
                <w:szCs w:val="16"/>
              </w:rPr>
              <w:t>36.00%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C17F268" w14:textId="343216F2" w:rsidR="007F3393" w:rsidRPr="00ED172B" w:rsidRDefault="00860830" w:rsidP="00186420">
            <w:pPr>
              <w:jc w:val="center"/>
              <w:rPr>
                <w:rFonts w:cs="Arial"/>
                <w:color w:val="000000" w:themeColor="text1"/>
                <w:szCs w:val="16"/>
              </w:rPr>
            </w:pPr>
            <w:r w:rsidRPr="00ED172B">
              <w:rPr>
                <w:rFonts w:cs="Arial"/>
                <w:color w:val="000000" w:themeColor="text1"/>
                <w:szCs w:val="16"/>
              </w:rPr>
              <w:t>36.00%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4B0ACA2E" w14:textId="00A71311" w:rsidR="007F3393" w:rsidRPr="00ED172B" w:rsidRDefault="00860830" w:rsidP="00186420">
            <w:pPr>
              <w:jc w:val="center"/>
              <w:rPr>
                <w:rFonts w:cs="Arial"/>
                <w:color w:val="000000" w:themeColor="text1"/>
                <w:szCs w:val="16"/>
              </w:rPr>
            </w:pPr>
            <w:r w:rsidRPr="00ED172B">
              <w:rPr>
                <w:rFonts w:cs="Arial"/>
                <w:color w:val="000000" w:themeColor="text1"/>
                <w:szCs w:val="16"/>
              </w:rPr>
              <w:t>36.00%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48D6B2AE" w14:textId="24931BCA" w:rsidR="007F3393" w:rsidRPr="00ED172B" w:rsidRDefault="00860830" w:rsidP="00186420">
            <w:pPr>
              <w:jc w:val="center"/>
              <w:rPr>
                <w:rFonts w:cs="Arial"/>
                <w:color w:val="000000" w:themeColor="text1"/>
                <w:szCs w:val="16"/>
              </w:rPr>
            </w:pPr>
            <w:r w:rsidRPr="00ED172B">
              <w:rPr>
                <w:rFonts w:cs="Arial"/>
                <w:color w:val="000000" w:themeColor="text1"/>
                <w:szCs w:val="16"/>
              </w:rPr>
              <w:t>36.20%</w:t>
            </w:r>
          </w:p>
        </w:tc>
      </w:tr>
      <w:tr w:rsidR="00ED172B" w:rsidRPr="00ED172B" w14:paraId="0819AD9E" w14:textId="6F918A3C" w:rsidTr="00A40EE1">
        <w:trPr>
          <w:trHeight w:val="85"/>
        </w:trPr>
        <w:tc>
          <w:tcPr>
            <w:tcW w:w="500" w:type="pct"/>
            <w:tcBorders>
              <w:left w:val="single" w:sz="4" w:space="0" w:color="auto"/>
              <w:right w:val="single" w:sz="4" w:space="0" w:color="auto"/>
            </w:tcBorders>
            <w:shd w:val="clear" w:color="auto" w:fill="auto"/>
            <w:vAlign w:val="center"/>
          </w:tcPr>
          <w:p w14:paraId="40551B1A" w14:textId="5C8972CA" w:rsidR="007F3393" w:rsidRPr="00ED172B" w:rsidRDefault="006935F4" w:rsidP="00186420">
            <w:pPr>
              <w:jc w:val="center"/>
              <w:rPr>
                <w:rFonts w:cs="Arial"/>
                <w:b/>
                <w:color w:val="000000" w:themeColor="text1"/>
                <w:szCs w:val="16"/>
              </w:rPr>
            </w:pPr>
            <w:r w:rsidRPr="00ED172B">
              <w:rPr>
                <w:rFonts w:cs="Arial"/>
                <w:b/>
                <w:color w:val="000000" w:themeColor="text1"/>
                <w:szCs w:val="16"/>
              </w:rPr>
              <w:t>B2</w:t>
            </w:r>
          </w:p>
        </w:tc>
        <w:tc>
          <w:tcPr>
            <w:tcW w:w="500" w:type="pct"/>
            <w:tcBorders>
              <w:left w:val="single" w:sz="4" w:space="0" w:color="auto"/>
              <w:right w:val="single" w:sz="4" w:space="0" w:color="auto"/>
            </w:tcBorders>
            <w:shd w:val="clear" w:color="auto" w:fill="auto"/>
          </w:tcPr>
          <w:p w14:paraId="01909DF8" w14:textId="793CE1CD" w:rsidR="007F3393" w:rsidRPr="00ED172B" w:rsidRDefault="001E39E3" w:rsidP="001E39E3">
            <w:pPr>
              <w:jc w:val="center"/>
              <w:rPr>
                <w:color w:val="000000" w:themeColor="text1"/>
              </w:rPr>
            </w:pPr>
            <w:r w:rsidRPr="00ED172B">
              <w:rPr>
                <w:color w:val="000000" w:themeColor="text1"/>
              </w:rPr>
              <w:t>35.69%</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671211AB" w14:textId="16C0E7FD"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E993F2E" w14:textId="7B3662A2" w:rsidR="007F3393" w:rsidRPr="00ED172B" w:rsidRDefault="00860830" w:rsidP="00186420">
            <w:pPr>
              <w:jc w:val="center"/>
              <w:rPr>
                <w:rFonts w:cs="Arial"/>
                <w:color w:val="000000" w:themeColor="text1"/>
                <w:szCs w:val="16"/>
              </w:rPr>
            </w:pPr>
            <w:r w:rsidRPr="00ED172B">
              <w:rPr>
                <w:rFonts w:cs="Arial"/>
                <w:color w:val="000000" w:themeColor="text1"/>
                <w:szCs w:val="16"/>
              </w:rPr>
              <w:t>34.39%</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03A1E9C9" w14:textId="02A0C2DE" w:rsidR="007F3393" w:rsidRPr="00ED172B" w:rsidRDefault="00860830" w:rsidP="00186420">
            <w:pPr>
              <w:jc w:val="center"/>
              <w:rPr>
                <w:rFonts w:cs="Arial"/>
                <w:color w:val="000000" w:themeColor="text1"/>
                <w:szCs w:val="16"/>
              </w:rPr>
            </w:pPr>
            <w:r w:rsidRPr="00ED172B">
              <w:rPr>
                <w:rFonts w:cs="Arial"/>
                <w:color w:val="000000" w:themeColor="text1"/>
                <w:szCs w:val="16"/>
              </w:rPr>
              <w:t>34.50%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AF85751" w14:textId="4BF87C6F" w:rsidR="007F3393" w:rsidRPr="00ED172B" w:rsidRDefault="00860830" w:rsidP="00186420">
            <w:pPr>
              <w:jc w:val="center"/>
              <w:rPr>
                <w:rFonts w:cs="Arial"/>
                <w:color w:val="000000" w:themeColor="text1"/>
                <w:szCs w:val="16"/>
              </w:rPr>
            </w:pPr>
            <w:r w:rsidRPr="00ED172B">
              <w:rPr>
                <w:rFonts w:cs="Arial"/>
                <w:color w:val="000000" w:themeColor="text1"/>
                <w:szCs w:val="16"/>
              </w:rPr>
              <w:t>31.72%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78159E0" w14:textId="76181F6C" w:rsidR="007F3393" w:rsidRPr="00ED172B" w:rsidRDefault="00860830" w:rsidP="00186420">
            <w:pPr>
              <w:jc w:val="center"/>
              <w:rPr>
                <w:rFonts w:cs="Arial"/>
                <w:color w:val="000000" w:themeColor="text1"/>
                <w:szCs w:val="16"/>
              </w:rPr>
            </w:pPr>
            <w:r w:rsidRPr="00ED172B">
              <w:rPr>
                <w:rFonts w:cs="Arial"/>
                <w:color w:val="000000" w:themeColor="text1"/>
                <w:szCs w:val="16"/>
              </w:rPr>
              <w:t>34.24%</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D711582" w14:textId="71938F4C" w:rsidR="007F3393" w:rsidRPr="00ED172B" w:rsidRDefault="00860830" w:rsidP="00186420">
            <w:pPr>
              <w:jc w:val="center"/>
              <w:rPr>
                <w:rFonts w:cs="Arial"/>
                <w:color w:val="000000" w:themeColor="text1"/>
                <w:szCs w:val="16"/>
              </w:rPr>
            </w:pPr>
            <w:r w:rsidRPr="00ED172B">
              <w:rPr>
                <w:rFonts w:cs="Arial"/>
                <w:color w:val="000000" w:themeColor="text1"/>
                <w:szCs w:val="16"/>
              </w:rPr>
              <w:t>33.65%</w:t>
            </w:r>
          </w:p>
        </w:tc>
      </w:tr>
      <w:tr w:rsidR="00ED172B" w:rsidRPr="00ED172B" w14:paraId="2558149F" w14:textId="365303DA" w:rsidTr="00A40EE1">
        <w:trPr>
          <w:trHeight w:val="85"/>
        </w:trPr>
        <w:tc>
          <w:tcPr>
            <w:tcW w:w="500" w:type="pct"/>
            <w:tcBorders>
              <w:left w:val="single" w:sz="4" w:space="0" w:color="auto"/>
              <w:right w:val="single" w:sz="4" w:space="0" w:color="auto"/>
            </w:tcBorders>
            <w:shd w:val="clear" w:color="auto" w:fill="auto"/>
            <w:vAlign w:val="center"/>
          </w:tcPr>
          <w:p w14:paraId="5C263B12"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C1</w:t>
            </w:r>
          </w:p>
        </w:tc>
        <w:tc>
          <w:tcPr>
            <w:tcW w:w="500" w:type="pct"/>
            <w:tcBorders>
              <w:left w:val="single" w:sz="4" w:space="0" w:color="auto"/>
              <w:right w:val="single" w:sz="4" w:space="0" w:color="auto"/>
            </w:tcBorders>
            <w:shd w:val="clear" w:color="auto" w:fill="auto"/>
          </w:tcPr>
          <w:p w14:paraId="0514DA1F" w14:textId="742A8474" w:rsidR="007F3393" w:rsidRPr="00ED172B" w:rsidRDefault="005C14C2" w:rsidP="005C14C2">
            <w:pPr>
              <w:jc w:val="center"/>
              <w:rPr>
                <w:color w:val="000000" w:themeColor="text1"/>
              </w:rPr>
            </w:pPr>
            <w:r w:rsidRPr="00ED172B">
              <w:rPr>
                <w:color w:val="000000" w:themeColor="text1"/>
              </w:rPr>
              <w:t>2015</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5B18FC00" w14:textId="3A9DD918"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34EE947" w14:textId="549E4259" w:rsidR="007F3393" w:rsidRPr="00ED172B" w:rsidRDefault="00860830" w:rsidP="00186420">
            <w:pPr>
              <w:jc w:val="center"/>
              <w:rPr>
                <w:rFonts w:cs="Arial"/>
                <w:color w:val="000000" w:themeColor="text1"/>
                <w:szCs w:val="16"/>
              </w:rPr>
            </w:pPr>
            <w:r w:rsidRPr="00ED172B">
              <w:rPr>
                <w:rFonts w:cs="Arial"/>
                <w:color w:val="000000" w:themeColor="text1"/>
                <w:szCs w:val="16"/>
              </w:rPr>
              <w:t>77.80%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41A22466" w14:textId="56644392" w:rsidR="007F3393" w:rsidRPr="00ED172B" w:rsidRDefault="00860830" w:rsidP="00186420">
            <w:pPr>
              <w:jc w:val="center"/>
              <w:rPr>
                <w:rFonts w:cs="Arial"/>
                <w:color w:val="000000" w:themeColor="text1"/>
                <w:szCs w:val="16"/>
              </w:rPr>
            </w:pPr>
            <w:r w:rsidRPr="00ED172B">
              <w:rPr>
                <w:rFonts w:cs="Arial"/>
                <w:color w:val="000000" w:themeColor="text1"/>
                <w:szCs w:val="16"/>
              </w:rPr>
              <w:t>77.80%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42B6B08" w14:textId="5F811FD0" w:rsidR="007F3393" w:rsidRPr="00ED172B" w:rsidRDefault="00860830" w:rsidP="00186420">
            <w:pPr>
              <w:jc w:val="center"/>
              <w:rPr>
                <w:rFonts w:cs="Arial"/>
                <w:color w:val="000000" w:themeColor="text1"/>
                <w:szCs w:val="16"/>
              </w:rPr>
            </w:pPr>
            <w:r w:rsidRPr="00ED172B">
              <w:rPr>
                <w:rFonts w:cs="Arial"/>
                <w:color w:val="000000" w:themeColor="text1"/>
                <w:szCs w:val="16"/>
              </w:rPr>
              <w:t>77.80%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DA11B7B" w14:textId="77AE5E5A" w:rsidR="007F3393" w:rsidRPr="00ED172B" w:rsidRDefault="00860830" w:rsidP="00186420">
            <w:pPr>
              <w:jc w:val="center"/>
              <w:rPr>
                <w:rFonts w:cs="Arial"/>
                <w:color w:val="000000" w:themeColor="text1"/>
                <w:szCs w:val="16"/>
              </w:rPr>
            </w:pPr>
            <w:r w:rsidRPr="00ED172B">
              <w:rPr>
                <w:rFonts w:cs="Arial"/>
                <w:color w:val="000000" w:themeColor="text1"/>
                <w:szCs w:val="16"/>
              </w:rPr>
              <w:t>77.80%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9C7A40E" w14:textId="7766A332" w:rsidR="007F3393" w:rsidRPr="00ED172B" w:rsidRDefault="00860830" w:rsidP="00186420">
            <w:pPr>
              <w:jc w:val="center"/>
              <w:rPr>
                <w:rFonts w:cs="Arial"/>
                <w:color w:val="000000" w:themeColor="text1"/>
                <w:szCs w:val="16"/>
              </w:rPr>
            </w:pPr>
            <w:r w:rsidRPr="00ED172B">
              <w:rPr>
                <w:rFonts w:cs="Arial"/>
                <w:color w:val="000000" w:themeColor="text1"/>
                <w:szCs w:val="16"/>
              </w:rPr>
              <w:t>78.00%</w:t>
            </w:r>
          </w:p>
        </w:tc>
      </w:tr>
      <w:tr w:rsidR="00ED172B" w:rsidRPr="00ED172B" w14:paraId="7E8097AB" w14:textId="6AED691A" w:rsidTr="00A40EE1">
        <w:trPr>
          <w:trHeight w:val="85"/>
        </w:trPr>
        <w:tc>
          <w:tcPr>
            <w:tcW w:w="500" w:type="pct"/>
            <w:tcBorders>
              <w:left w:val="single" w:sz="4" w:space="0" w:color="auto"/>
              <w:right w:val="single" w:sz="4" w:space="0" w:color="auto"/>
            </w:tcBorders>
            <w:shd w:val="clear" w:color="auto" w:fill="auto"/>
            <w:vAlign w:val="center"/>
          </w:tcPr>
          <w:p w14:paraId="3F1BEAB5" w14:textId="12597FC2" w:rsidR="007F3393" w:rsidRPr="00ED172B" w:rsidRDefault="006935F4" w:rsidP="00186420">
            <w:pPr>
              <w:jc w:val="center"/>
              <w:rPr>
                <w:rFonts w:cs="Arial"/>
                <w:b/>
                <w:color w:val="000000" w:themeColor="text1"/>
                <w:szCs w:val="16"/>
              </w:rPr>
            </w:pPr>
            <w:r w:rsidRPr="00ED172B">
              <w:rPr>
                <w:rFonts w:cs="Arial"/>
                <w:b/>
                <w:color w:val="000000" w:themeColor="text1"/>
                <w:szCs w:val="16"/>
              </w:rPr>
              <w:t>C1</w:t>
            </w:r>
          </w:p>
        </w:tc>
        <w:tc>
          <w:tcPr>
            <w:tcW w:w="500" w:type="pct"/>
            <w:tcBorders>
              <w:left w:val="single" w:sz="4" w:space="0" w:color="auto"/>
              <w:right w:val="single" w:sz="4" w:space="0" w:color="auto"/>
            </w:tcBorders>
            <w:shd w:val="clear" w:color="auto" w:fill="auto"/>
          </w:tcPr>
          <w:p w14:paraId="0ABF02F2" w14:textId="643EB7D5" w:rsidR="007F3393" w:rsidRPr="00ED172B" w:rsidRDefault="005C14C2" w:rsidP="005C14C2">
            <w:pPr>
              <w:jc w:val="center"/>
              <w:rPr>
                <w:color w:val="000000" w:themeColor="text1"/>
              </w:rPr>
            </w:pPr>
            <w:r w:rsidRPr="00ED172B">
              <w:rPr>
                <w:color w:val="000000" w:themeColor="text1"/>
              </w:rPr>
              <w:t>77.28%</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26BBE2D9" w14:textId="0C00836F"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52F9C01" w14:textId="16C2CF9B" w:rsidR="007F3393" w:rsidRPr="00ED172B" w:rsidRDefault="00860830" w:rsidP="00186420">
            <w:pPr>
              <w:jc w:val="center"/>
              <w:rPr>
                <w:rFonts w:cs="Arial"/>
                <w:color w:val="000000" w:themeColor="text1"/>
                <w:szCs w:val="16"/>
              </w:rPr>
            </w:pPr>
            <w:r w:rsidRPr="00ED172B">
              <w:rPr>
                <w:rFonts w:cs="Arial"/>
                <w:color w:val="000000" w:themeColor="text1"/>
                <w:szCs w:val="16"/>
              </w:rPr>
              <w:t>75.75%</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E43FA2F" w14:textId="70AEBF5C" w:rsidR="007F3393" w:rsidRPr="00ED172B" w:rsidRDefault="00860830" w:rsidP="00186420">
            <w:pPr>
              <w:jc w:val="center"/>
              <w:rPr>
                <w:rFonts w:cs="Arial"/>
                <w:color w:val="000000" w:themeColor="text1"/>
                <w:szCs w:val="16"/>
              </w:rPr>
            </w:pPr>
            <w:r w:rsidRPr="00ED172B">
              <w:rPr>
                <w:rFonts w:cs="Arial"/>
                <w:color w:val="000000" w:themeColor="text1"/>
                <w:szCs w:val="16"/>
              </w:rPr>
              <w:t>74.62%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FAA33F8" w14:textId="6896E2C5" w:rsidR="007F3393" w:rsidRPr="00ED172B" w:rsidRDefault="00860830" w:rsidP="00186420">
            <w:pPr>
              <w:jc w:val="center"/>
              <w:rPr>
                <w:rFonts w:cs="Arial"/>
                <w:color w:val="000000" w:themeColor="text1"/>
                <w:szCs w:val="16"/>
              </w:rPr>
            </w:pPr>
            <w:r w:rsidRPr="00ED172B">
              <w:rPr>
                <w:rFonts w:cs="Arial"/>
                <w:color w:val="000000" w:themeColor="text1"/>
                <w:szCs w:val="16"/>
              </w:rPr>
              <w:t>74.85%</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24AF07B" w14:textId="67E33A4F" w:rsidR="007F3393" w:rsidRPr="00ED172B" w:rsidRDefault="00860830" w:rsidP="00186420">
            <w:pPr>
              <w:jc w:val="center"/>
              <w:rPr>
                <w:rFonts w:cs="Arial"/>
                <w:color w:val="000000" w:themeColor="text1"/>
                <w:szCs w:val="16"/>
              </w:rPr>
            </w:pPr>
            <w:r w:rsidRPr="00ED172B">
              <w:rPr>
                <w:rFonts w:cs="Arial"/>
                <w:color w:val="000000" w:themeColor="text1"/>
                <w:szCs w:val="16"/>
              </w:rPr>
              <w:t>74.22%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0E5F73E" w14:textId="3A174FE7" w:rsidR="007F3393" w:rsidRPr="00ED172B" w:rsidRDefault="00860830" w:rsidP="00186420">
            <w:pPr>
              <w:jc w:val="center"/>
              <w:rPr>
                <w:rFonts w:cs="Arial"/>
                <w:color w:val="000000" w:themeColor="text1"/>
                <w:szCs w:val="16"/>
              </w:rPr>
            </w:pPr>
            <w:r w:rsidRPr="00ED172B">
              <w:rPr>
                <w:rFonts w:cs="Arial"/>
                <w:color w:val="000000" w:themeColor="text1"/>
                <w:szCs w:val="16"/>
              </w:rPr>
              <w:t>71.66%</w:t>
            </w:r>
          </w:p>
        </w:tc>
      </w:tr>
      <w:tr w:rsidR="00ED172B" w:rsidRPr="00ED172B" w14:paraId="6FC9AE83" w14:textId="014AD57A" w:rsidTr="00A40EE1">
        <w:trPr>
          <w:trHeight w:val="85"/>
        </w:trPr>
        <w:tc>
          <w:tcPr>
            <w:tcW w:w="500" w:type="pct"/>
            <w:tcBorders>
              <w:left w:val="single" w:sz="4" w:space="0" w:color="auto"/>
              <w:right w:val="single" w:sz="4" w:space="0" w:color="auto"/>
            </w:tcBorders>
            <w:shd w:val="clear" w:color="auto" w:fill="auto"/>
            <w:vAlign w:val="center"/>
          </w:tcPr>
          <w:p w14:paraId="26477C00"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C2</w:t>
            </w:r>
          </w:p>
        </w:tc>
        <w:tc>
          <w:tcPr>
            <w:tcW w:w="500" w:type="pct"/>
            <w:tcBorders>
              <w:left w:val="single" w:sz="4" w:space="0" w:color="auto"/>
              <w:right w:val="single" w:sz="4" w:space="0" w:color="auto"/>
            </w:tcBorders>
            <w:shd w:val="clear" w:color="auto" w:fill="auto"/>
          </w:tcPr>
          <w:p w14:paraId="32CA0D86" w14:textId="7D347F75" w:rsidR="007F3393" w:rsidRPr="00ED172B" w:rsidRDefault="005C14C2" w:rsidP="005C14C2">
            <w:pPr>
              <w:jc w:val="center"/>
              <w:rPr>
                <w:color w:val="000000" w:themeColor="text1"/>
              </w:rPr>
            </w:pPr>
            <w:r w:rsidRPr="00ED172B">
              <w:rPr>
                <w:color w:val="000000" w:themeColor="text1"/>
              </w:rPr>
              <w:t>2015</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2C67610F" w14:textId="378FA2C9"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A378A83" w14:textId="1C64C8F8" w:rsidR="007F3393" w:rsidRPr="00ED172B" w:rsidRDefault="00860830" w:rsidP="00186420">
            <w:pPr>
              <w:jc w:val="center"/>
              <w:rPr>
                <w:rFonts w:cs="Arial"/>
                <w:color w:val="000000" w:themeColor="text1"/>
                <w:szCs w:val="16"/>
              </w:rPr>
            </w:pPr>
            <w:r w:rsidRPr="00ED172B">
              <w:rPr>
                <w:rFonts w:cs="Arial"/>
                <w:color w:val="000000" w:themeColor="text1"/>
                <w:szCs w:val="16"/>
              </w:rPr>
              <w:t>40.60%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409DE95A" w14:textId="617EA4AA" w:rsidR="007F3393" w:rsidRPr="00ED172B" w:rsidRDefault="00860830" w:rsidP="00186420">
            <w:pPr>
              <w:jc w:val="center"/>
              <w:rPr>
                <w:rFonts w:cs="Arial"/>
                <w:color w:val="000000" w:themeColor="text1"/>
                <w:szCs w:val="16"/>
              </w:rPr>
            </w:pPr>
            <w:r w:rsidRPr="00ED172B">
              <w:rPr>
                <w:rFonts w:cs="Arial"/>
                <w:color w:val="000000" w:themeColor="text1"/>
                <w:szCs w:val="16"/>
              </w:rPr>
              <w:t>40.60%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5D3729DD" w14:textId="527FEE0A" w:rsidR="007F3393" w:rsidRPr="00ED172B" w:rsidRDefault="00860830" w:rsidP="00186420">
            <w:pPr>
              <w:jc w:val="center"/>
              <w:rPr>
                <w:rFonts w:cs="Arial"/>
                <w:color w:val="000000" w:themeColor="text1"/>
                <w:szCs w:val="16"/>
              </w:rPr>
            </w:pPr>
            <w:r w:rsidRPr="00ED172B">
              <w:rPr>
                <w:rFonts w:cs="Arial"/>
                <w:color w:val="000000" w:themeColor="text1"/>
                <w:szCs w:val="16"/>
              </w:rPr>
              <w:t>40.60%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D67B97E" w14:textId="10DBDF23" w:rsidR="007F3393" w:rsidRPr="00ED172B" w:rsidRDefault="00860830" w:rsidP="00186420">
            <w:pPr>
              <w:jc w:val="center"/>
              <w:rPr>
                <w:rFonts w:cs="Arial"/>
                <w:color w:val="000000" w:themeColor="text1"/>
                <w:szCs w:val="16"/>
              </w:rPr>
            </w:pPr>
            <w:r w:rsidRPr="00ED172B">
              <w:rPr>
                <w:rFonts w:cs="Arial"/>
                <w:color w:val="000000" w:themeColor="text1"/>
                <w:szCs w:val="16"/>
              </w:rPr>
              <w:t>40.60%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EEC5588" w14:textId="5E0BEB99" w:rsidR="007F3393" w:rsidRPr="00ED172B" w:rsidRDefault="00860830" w:rsidP="00186420">
            <w:pPr>
              <w:jc w:val="center"/>
              <w:rPr>
                <w:rFonts w:cs="Arial"/>
                <w:color w:val="000000" w:themeColor="text1"/>
                <w:szCs w:val="16"/>
              </w:rPr>
            </w:pPr>
            <w:r w:rsidRPr="00ED172B">
              <w:rPr>
                <w:rFonts w:cs="Arial"/>
                <w:color w:val="000000" w:themeColor="text1"/>
                <w:szCs w:val="16"/>
              </w:rPr>
              <w:t>40.80%</w:t>
            </w:r>
          </w:p>
        </w:tc>
      </w:tr>
      <w:tr w:rsidR="00ED172B" w:rsidRPr="00ED172B" w14:paraId="1132C60F" w14:textId="3B99FC54" w:rsidTr="00A40EE1">
        <w:trPr>
          <w:trHeight w:val="85"/>
        </w:trPr>
        <w:tc>
          <w:tcPr>
            <w:tcW w:w="500" w:type="pct"/>
            <w:tcBorders>
              <w:left w:val="single" w:sz="4" w:space="0" w:color="auto"/>
              <w:right w:val="single" w:sz="4" w:space="0" w:color="auto"/>
            </w:tcBorders>
            <w:shd w:val="clear" w:color="auto" w:fill="auto"/>
            <w:vAlign w:val="center"/>
          </w:tcPr>
          <w:p w14:paraId="2738B926" w14:textId="68F9E66E" w:rsidR="007F3393" w:rsidRPr="00ED172B" w:rsidRDefault="006935F4" w:rsidP="00186420">
            <w:pPr>
              <w:jc w:val="center"/>
              <w:rPr>
                <w:rFonts w:cs="Arial"/>
                <w:b/>
                <w:color w:val="000000" w:themeColor="text1"/>
                <w:szCs w:val="16"/>
              </w:rPr>
            </w:pPr>
            <w:r w:rsidRPr="00ED172B">
              <w:rPr>
                <w:rFonts w:cs="Arial"/>
                <w:b/>
                <w:color w:val="000000" w:themeColor="text1"/>
                <w:szCs w:val="16"/>
              </w:rPr>
              <w:t>C2</w:t>
            </w:r>
          </w:p>
        </w:tc>
        <w:tc>
          <w:tcPr>
            <w:tcW w:w="500" w:type="pct"/>
            <w:tcBorders>
              <w:left w:val="single" w:sz="4" w:space="0" w:color="auto"/>
              <w:right w:val="single" w:sz="4" w:space="0" w:color="auto"/>
            </w:tcBorders>
            <w:shd w:val="clear" w:color="auto" w:fill="auto"/>
          </w:tcPr>
          <w:p w14:paraId="1644268A" w14:textId="682CF9A3" w:rsidR="007F3393" w:rsidRPr="00ED172B" w:rsidRDefault="005C14C2" w:rsidP="005C14C2">
            <w:pPr>
              <w:jc w:val="center"/>
              <w:rPr>
                <w:color w:val="000000" w:themeColor="text1"/>
              </w:rPr>
            </w:pPr>
            <w:r w:rsidRPr="00ED172B">
              <w:rPr>
                <w:color w:val="000000" w:themeColor="text1"/>
              </w:rPr>
              <w:t>40.33%</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61C26CB8" w14:textId="0C759790"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7B12058" w14:textId="4C62C3D2" w:rsidR="007F3393" w:rsidRPr="00ED172B" w:rsidRDefault="00860830" w:rsidP="00186420">
            <w:pPr>
              <w:jc w:val="center"/>
              <w:rPr>
                <w:rFonts w:cs="Arial"/>
                <w:color w:val="000000" w:themeColor="text1"/>
                <w:szCs w:val="16"/>
              </w:rPr>
            </w:pPr>
            <w:r w:rsidRPr="00ED172B">
              <w:rPr>
                <w:rFonts w:cs="Arial"/>
                <w:color w:val="000000" w:themeColor="text1"/>
                <w:szCs w:val="16"/>
              </w:rPr>
              <w:t>36.61%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7B2A5FF" w14:textId="701B9A2C" w:rsidR="007F3393" w:rsidRPr="00ED172B" w:rsidRDefault="00860830" w:rsidP="00186420">
            <w:pPr>
              <w:jc w:val="center"/>
              <w:rPr>
                <w:rFonts w:cs="Arial"/>
                <w:color w:val="000000" w:themeColor="text1"/>
                <w:szCs w:val="16"/>
              </w:rPr>
            </w:pPr>
            <w:r w:rsidRPr="00ED172B">
              <w:rPr>
                <w:rFonts w:cs="Arial"/>
                <w:color w:val="000000" w:themeColor="text1"/>
                <w:szCs w:val="16"/>
              </w:rPr>
              <w:t>36.38%</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83ED086" w14:textId="25E0E808" w:rsidR="007F3393" w:rsidRPr="00ED172B" w:rsidRDefault="00860830" w:rsidP="00186420">
            <w:pPr>
              <w:jc w:val="center"/>
              <w:rPr>
                <w:rFonts w:cs="Arial"/>
                <w:color w:val="000000" w:themeColor="text1"/>
                <w:szCs w:val="16"/>
              </w:rPr>
            </w:pPr>
            <w:r w:rsidRPr="00ED172B">
              <w:rPr>
                <w:rFonts w:cs="Arial"/>
                <w:color w:val="000000" w:themeColor="text1"/>
                <w:szCs w:val="16"/>
              </w:rPr>
              <w:t>33.87%</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E979001" w14:textId="633DD3D6" w:rsidR="007F3393" w:rsidRPr="00ED172B" w:rsidRDefault="00860830" w:rsidP="00186420">
            <w:pPr>
              <w:jc w:val="center"/>
              <w:rPr>
                <w:rFonts w:cs="Arial"/>
                <w:color w:val="000000" w:themeColor="text1"/>
                <w:szCs w:val="16"/>
              </w:rPr>
            </w:pPr>
            <w:r w:rsidRPr="00ED172B">
              <w:rPr>
                <w:rFonts w:cs="Arial"/>
                <w:color w:val="000000" w:themeColor="text1"/>
                <w:szCs w:val="16"/>
              </w:rPr>
              <w:t>36.36%</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D71F128" w14:textId="25D88B13" w:rsidR="007F3393" w:rsidRPr="00ED172B" w:rsidRDefault="00860830" w:rsidP="00186420">
            <w:pPr>
              <w:jc w:val="center"/>
              <w:rPr>
                <w:rFonts w:cs="Arial"/>
                <w:color w:val="000000" w:themeColor="text1"/>
                <w:szCs w:val="16"/>
              </w:rPr>
            </w:pPr>
            <w:r w:rsidRPr="00ED172B">
              <w:rPr>
                <w:rFonts w:cs="Arial"/>
                <w:color w:val="000000" w:themeColor="text1"/>
                <w:szCs w:val="16"/>
              </w:rPr>
              <w:t>35.45%</w:t>
            </w:r>
          </w:p>
        </w:tc>
      </w:tr>
    </w:tbl>
    <w:p w14:paraId="63E4EB1D" w14:textId="568C1094" w:rsidR="005F4279" w:rsidRPr="00ED172B" w:rsidRDefault="005F4279">
      <w:pPr>
        <w:rPr>
          <w:b/>
          <w:color w:val="000000" w:themeColor="text1"/>
        </w:rPr>
      </w:pPr>
      <w:r w:rsidRPr="00ED172B">
        <w:rPr>
          <w:b/>
          <w:color w:val="000000" w:themeColor="text1"/>
        </w:rPr>
        <w:t>Targets</w:t>
      </w:r>
    </w:p>
    <w:tbl>
      <w:tblPr>
        <w:tblW w:w="34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TARGETS1"/>
      </w:tblPr>
      <w:tblGrid>
        <w:gridCol w:w="753"/>
        <w:gridCol w:w="1674"/>
        <w:gridCol w:w="1675"/>
        <w:gridCol w:w="1675"/>
        <w:gridCol w:w="1672"/>
      </w:tblGrid>
      <w:tr w:rsidR="00C843AF" w:rsidRPr="00ED172B" w14:paraId="78F3A176" w14:textId="718CF8FE" w:rsidTr="00E415ED">
        <w:trPr>
          <w:trHeight w:val="350"/>
        </w:trPr>
        <w:tc>
          <w:tcPr>
            <w:tcW w:w="506" w:type="pct"/>
            <w:tcBorders>
              <w:bottom w:val="single" w:sz="4" w:space="0" w:color="auto"/>
            </w:tcBorders>
            <w:shd w:val="clear" w:color="auto" w:fill="auto"/>
            <w:vAlign w:val="center"/>
          </w:tcPr>
          <w:p w14:paraId="601CA42E" w14:textId="77777777" w:rsidR="00C843AF" w:rsidRPr="00ED172B" w:rsidRDefault="00C843AF" w:rsidP="0012497F">
            <w:pPr>
              <w:jc w:val="center"/>
              <w:rPr>
                <w:b/>
                <w:color w:val="000000" w:themeColor="text1"/>
              </w:rPr>
            </w:pPr>
            <w:r w:rsidRPr="00ED172B">
              <w:rPr>
                <w:b/>
                <w:color w:val="000000" w:themeColor="text1"/>
              </w:rPr>
              <w:t>FFY</w:t>
            </w:r>
          </w:p>
        </w:tc>
        <w:tc>
          <w:tcPr>
            <w:tcW w:w="1124" w:type="pct"/>
            <w:shd w:val="clear" w:color="auto" w:fill="auto"/>
            <w:vAlign w:val="center"/>
          </w:tcPr>
          <w:p w14:paraId="71D7C7B0" w14:textId="4132339A" w:rsidR="00C843AF" w:rsidRPr="00ED172B" w:rsidRDefault="00C843AF" w:rsidP="0012497F">
            <w:pPr>
              <w:jc w:val="center"/>
              <w:rPr>
                <w:b/>
                <w:color w:val="000000" w:themeColor="text1"/>
              </w:rPr>
            </w:pPr>
            <w:r w:rsidRPr="00ED172B">
              <w:rPr>
                <w:b/>
                <w:color w:val="000000" w:themeColor="text1"/>
              </w:rPr>
              <w:t>2022</w:t>
            </w:r>
          </w:p>
        </w:tc>
        <w:tc>
          <w:tcPr>
            <w:tcW w:w="1124" w:type="pct"/>
          </w:tcPr>
          <w:p w14:paraId="4E28D02E" w14:textId="029CFEF6" w:rsidR="00C843AF" w:rsidRPr="00ED172B" w:rsidRDefault="00C843AF" w:rsidP="0012497F">
            <w:pPr>
              <w:jc w:val="center"/>
              <w:rPr>
                <w:b/>
                <w:color w:val="000000" w:themeColor="text1"/>
              </w:rPr>
            </w:pPr>
            <w:r>
              <w:rPr>
                <w:rFonts w:cs="Arial"/>
                <w:b/>
                <w:color w:val="000000" w:themeColor="text1"/>
                <w:szCs w:val="16"/>
              </w:rPr>
              <w:t>2023</w:t>
            </w:r>
          </w:p>
        </w:tc>
        <w:tc>
          <w:tcPr>
            <w:tcW w:w="1124" w:type="pct"/>
          </w:tcPr>
          <w:p w14:paraId="0EC7622F" w14:textId="5BEDD93D" w:rsidR="00C843AF" w:rsidRPr="00ED172B" w:rsidRDefault="00C843AF" w:rsidP="0012497F">
            <w:pPr>
              <w:jc w:val="center"/>
              <w:rPr>
                <w:b/>
                <w:color w:val="000000" w:themeColor="text1"/>
              </w:rPr>
            </w:pPr>
            <w:r w:rsidRPr="005A1B4F">
              <w:rPr>
                <w:rFonts w:cs="Arial"/>
                <w:b/>
                <w:color w:val="000000" w:themeColor="text1"/>
                <w:szCs w:val="16"/>
              </w:rPr>
              <w:t>2024</w:t>
            </w:r>
          </w:p>
        </w:tc>
        <w:tc>
          <w:tcPr>
            <w:tcW w:w="1123" w:type="pct"/>
          </w:tcPr>
          <w:p w14:paraId="74DF1D04" w14:textId="4EB3EA01" w:rsidR="00C843AF" w:rsidRPr="00ED172B" w:rsidRDefault="00C843AF" w:rsidP="0012497F">
            <w:pPr>
              <w:jc w:val="center"/>
              <w:rPr>
                <w:b/>
                <w:color w:val="000000" w:themeColor="text1"/>
              </w:rPr>
            </w:pPr>
            <w:r w:rsidRPr="005A1B4F">
              <w:rPr>
                <w:rFonts w:cs="Arial"/>
                <w:b/>
                <w:color w:val="000000" w:themeColor="text1"/>
                <w:szCs w:val="16"/>
              </w:rPr>
              <w:t>2025</w:t>
            </w:r>
          </w:p>
        </w:tc>
      </w:tr>
      <w:tr w:rsidR="00C843AF" w:rsidRPr="00ED172B" w14:paraId="02D6AC53" w14:textId="4FB2AF94" w:rsidTr="00E415ED">
        <w:trPr>
          <w:trHeight w:val="357"/>
        </w:trPr>
        <w:tc>
          <w:tcPr>
            <w:tcW w:w="506" w:type="pct"/>
            <w:shd w:val="clear" w:color="auto" w:fill="auto"/>
            <w:vAlign w:val="center"/>
          </w:tcPr>
          <w:p w14:paraId="358625ED" w14:textId="2B3EF345" w:rsidR="00C843AF" w:rsidRPr="00ED172B" w:rsidRDefault="00C843AF" w:rsidP="00D21F29">
            <w:pPr>
              <w:jc w:val="center"/>
              <w:rPr>
                <w:color w:val="000000" w:themeColor="text1"/>
                <w:szCs w:val="16"/>
              </w:rPr>
            </w:pPr>
            <w:r w:rsidRPr="00ED172B">
              <w:rPr>
                <w:color w:val="000000" w:themeColor="text1"/>
                <w:szCs w:val="16"/>
              </w:rPr>
              <w:t>Target A1&gt;=</w:t>
            </w:r>
          </w:p>
        </w:tc>
        <w:tc>
          <w:tcPr>
            <w:tcW w:w="1124" w:type="pct"/>
            <w:shd w:val="clear" w:color="auto" w:fill="auto"/>
            <w:vAlign w:val="center"/>
          </w:tcPr>
          <w:p w14:paraId="6DA0DB56" w14:textId="148B9E5E" w:rsidR="00C843AF" w:rsidRPr="00ED172B" w:rsidRDefault="00C843AF" w:rsidP="002242B8">
            <w:pPr>
              <w:jc w:val="center"/>
              <w:rPr>
                <w:color w:val="000000" w:themeColor="text1"/>
              </w:rPr>
            </w:pPr>
            <w:r w:rsidRPr="00ED172B">
              <w:rPr>
                <w:color w:val="000000" w:themeColor="text1"/>
              </w:rPr>
              <w:t>85.80%</w:t>
            </w:r>
          </w:p>
        </w:tc>
        <w:tc>
          <w:tcPr>
            <w:tcW w:w="1124" w:type="pct"/>
          </w:tcPr>
          <w:p w14:paraId="7A62957C" w14:textId="59554121" w:rsidR="00C843AF" w:rsidRPr="00ED172B" w:rsidRDefault="00C843AF" w:rsidP="002242B8">
            <w:pPr>
              <w:jc w:val="center"/>
              <w:rPr>
                <w:color w:val="000000" w:themeColor="text1"/>
              </w:rPr>
            </w:pPr>
            <w:r>
              <w:rPr>
                <w:color w:val="000000" w:themeColor="text1"/>
              </w:rPr>
              <w:t>86.00%</w:t>
            </w:r>
          </w:p>
        </w:tc>
        <w:tc>
          <w:tcPr>
            <w:tcW w:w="1124" w:type="pct"/>
          </w:tcPr>
          <w:p w14:paraId="330DB307" w14:textId="4DD70DCA" w:rsidR="00C843AF" w:rsidRPr="00ED172B" w:rsidRDefault="00C843AF" w:rsidP="002242B8">
            <w:pPr>
              <w:jc w:val="center"/>
              <w:rPr>
                <w:color w:val="000000" w:themeColor="text1"/>
              </w:rPr>
            </w:pPr>
            <w:r>
              <w:rPr>
                <w:color w:val="000000" w:themeColor="text1"/>
              </w:rPr>
              <w:t>86.20%</w:t>
            </w:r>
          </w:p>
        </w:tc>
        <w:tc>
          <w:tcPr>
            <w:tcW w:w="1123" w:type="pct"/>
          </w:tcPr>
          <w:p w14:paraId="1E535134" w14:textId="174673D1" w:rsidR="00C843AF" w:rsidRPr="00ED172B" w:rsidRDefault="00C843AF" w:rsidP="002242B8">
            <w:pPr>
              <w:jc w:val="center"/>
              <w:rPr>
                <w:color w:val="000000" w:themeColor="text1"/>
              </w:rPr>
            </w:pPr>
            <w:r>
              <w:rPr>
                <w:color w:val="000000" w:themeColor="text1"/>
              </w:rPr>
              <w:t>86.40%</w:t>
            </w:r>
          </w:p>
        </w:tc>
      </w:tr>
      <w:tr w:rsidR="00C843AF" w:rsidRPr="00ED172B" w14:paraId="44891442" w14:textId="0FF36806" w:rsidTr="00E415ED">
        <w:trPr>
          <w:trHeight w:val="357"/>
        </w:trPr>
        <w:tc>
          <w:tcPr>
            <w:tcW w:w="506" w:type="pct"/>
            <w:shd w:val="clear" w:color="auto" w:fill="auto"/>
            <w:vAlign w:val="center"/>
          </w:tcPr>
          <w:p w14:paraId="009D9538" w14:textId="29076A1F" w:rsidR="00C843AF" w:rsidRPr="00ED172B" w:rsidRDefault="00C843AF" w:rsidP="00D21F29">
            <w:pPr>
              <w:jc w:val="center"/>
              <w:rPr>
                <w:color w:val="000000" w:themeColor="text1"/>
                <w:szCs w:val="16"/>
              </w:rPr>
            </w:pPr>
            <w:r w:rsidRPr="00ED172B">
              <w:rPr>
                <w:color w:val="000000" w:themeColor="text1"/>
                <w:szCs w:val="16"/>
              </w:rPr>
              <w:t>Target A2&gt;=</w:t>
            </w:r>
          </w:p>
        </w:tc>
        <w:tc>
          <w:tcPr>
            <w:tcW w:w="1124" w:type="pct"/>
            <w:shd w:val="clear" w:color="auto" w:fill="auto"/>
            <w:vAlign w:val="center"/>
          </w:tcPr>
          <w:p w14:paraId="055CB77B" w14:textId="617D01F2" w:rsidR="00C843AF" w:rsidRPr="00ED172B" w:rsidRDefault="00C843AF" w:rsidP="002242B8">
            <w:pPr>
              <w:jc w:val="center"/>
              <w:rPr>
                <w:color w:val="000000" w:themeColor="text1"/>
              </w:rPr>
            </w:pPr>
            <w:r w:rsidRPr="00ED172B">
              <w:rPr>
                <w:color w:val="000000" w:themeColor="text1"/>
              </w:rPr>
              <w:t>42.70%</w:t>
            </w:r>
          </w:p>
        </w:tc>
        <w:tc>
          <w:tcPr>
            <w:tcW w:w="1124" w:type="pct"/>
          </w:tcPr>
          <w:p w14:paraId="1DD5AC15" w14:textId="552D0AAC" w:rsidR="00C843AF" w:rsidRPr="00ED172B" w:rsidRDefault="00C843AF" w:rsidP="002242B8">
            <w:pPr>
              <w:jc w:val="center"/>
              <w:rPr>
                <w:color w:val="000000" w:themeColor="text1"/>
              </w:rPr>
            </w:pPr>
            <w:r>
              <w:rPr>
                <w:color w:val="000000" w:themeColor="text1"/>
              </w:rPr>
              <w:t>42.90%</w:t>
            </w:r>
          </w:p>
        </w:tc>
        <w:tc>
          <w:tcPr>
            <w:tcW w:w="1124" w:type="pct"/>
          </w:tcPr>
          <w:p w14:paraId="29377148" w14:textId="76F6C6ED" w:rsidR="00C843AF" w:rsidRPr="00ED172B" w:rsidRDefault="00C843AF" w:rsidP="002242B8">
            <w:pPr>
              <w:jc w:val="center"/>
              <w:rPr>
                <w:color w:val="000000" w:themeColor="text1"/>
              </w:rPr>
            </w:pPr>
            <w:r>
              <w:rPr>
                <w:color w:val="000000" w:themeColor="text1"/>
              </w:rPr>
              <w:t>43.10%</w:t>
            </w:r>
          </w:p>
        </w:tc>
        <w:tc>
          <w:tcPr>
            <w:tcW w:w="1123" w:type="pct"/>
          </w:tcPr>
          <w:p w14:paraId="3F8E8EE0" w14:textId="1AB30A36" w:rsidR="00C843AF" w:rsidRPr="00ED172B" w:rsidRDefault="00C843AF" w:rsidP="002242B8">
            <w:pPr>
              <w:jc w:val="center"/>
              <w:rPr>
                <w:color w:val="000000" w:themeColor="text1"/>
              </w:rPr>
            </w:pPr>
            <w:r>
              <w:rPr>
                <w:color w:val="000000" w:themeColor="text1"/>
              </w:rPr>
              <w:t>43.30%</w:t>
            </w:r>
          </w:p>
        </w:tc>
      </w:tr>
      <w:tr w:rsidR="00C843AF" w:rsidRPr="00ED172B" w14:paraId="2690938F" w14:textId="5C81AA5A" w:rsidTr="00E415ED">
        <w:trPr>
          <w:trHeight w:val="357"/>
        </w:trPr>
        <w:tc>
          <w:tcPr>
            <w:tcW w:w="506" w:type="pct"/>
            <w:shd w:val="clear" w:color="auto" w:fill="auto"/>
            <w:vAlign w:val="center"/>
          </w:tcPr>
          <w:p w14:paraId="59DB088F" w14:textId="1C7EE8C0" w:rsidR="00C843AF" w:rsidRPr="00ED172B" w:rsidRDefault="00C843AF" w:rsidP="00D21F29">
            <w:pPr>
              <w:jc w:val="center"/>
              <w:rPr>
                <w:color w:val="000000" w:themeColor="text1"/>
                <w:szCs w:val="16"/>
              </w:rPr>
            </w:pPr>
            <w:r w:rsidRPr="00ED172B">
              <w:rPr>
                <w:color w:val="000000" w:themeColor="text1"/>
                <w:szCs w:val="16"/>
              </w:rPr>
              <w:t>Target B1&gt;=</w:t>
            </w:r>
          </w:p>
        </w:tc>
        <w:tc>
          <w:tcPr>
            <w:tcW w:w="1124" w:type="pct"/>
            <w:shd w:val="clear" w:color="auto" w:fill="auto"/>
            <w:vAlign w:val="center"/>
          </w:tcPr>
          <w:p w14:paraId="2907988A" w14:textId="5789E173" w:rsidR="00C843AF" w:rsidRPr="00ED172B" w:rsidRDefault="00C843AF" w:rsidP="002242B8">
            <w:pPr>
              <w:jc w:val="center"/>
              <w:rPr>
                <w:color w:val="000000" w:themeColor="text1"/>
              </w:rPr>
            </w:pPr>
            <w:r w:rsidRPr="00ED172B">
              <w:rPr>
                <w:color w:val="000000" w:themeColor="text1"/>
              </w:rPr>
              <w:t>68.10%</w:t>
            </w:r>
          </w:p>
        </w:tc>
        <w:tc>
          <w:tcPr>
            <w:tcW w:w="1124" w:type="pct"/>
          </w:tcPr>
          <w:p w14:paraId="7EDAF97B" w14:textId="4B219601" w:rsidR="00C843AF" w:rsidRPr="00ED172B" w:rsidRDefault="00C843AF" w:rsidP="002242B8">
            <w:pPr>
              <w:jc w:val="center"/>
              <w:rPr>
                <w:color w:val="000000" w:themeColor="text1"/>
              </w:rPr>
            </w:pPr>
            <w:r>
              <w:rPr>
                <w:color w:val="000000" w:themeColor="text1"/>
              </w:rPr>
              <w:t>68.30%</w:t>
            </w:r>
          </w:p>
        </w:tc>
        <w:tc>
          <w:tcPr>
            <w:tcW w:w="1124" w:type="pct"/>
          </w:tcPr>
          <w:p w14:paraId="31A1D7D3" w14:textId="003191E1" w:rsidR="00C843AF" w:rsidRPr="00ED172B" w:rsidRDefault="00C843AF" w:rsidP="002242B8">
            <w:pPr>
              <w:jc w:val="center"/>
              <w:rPr>
                <w:color w:val="000000" w:themeColor="text1"/>
              </w:rPr>
            </w:pPr>
            <w:r>
              <w:rPr>
                <w:color w:val="000000" w:themeColor="text1"/>
              </w:rPr>
              <w:t>68.50%</w:t>
            </w:r>
          </w:p>
        </w:tc>
        <w:tc>
          <w:tcPr>
            <w:tcW w:w="1123" w:type="pct"/>
          </w:tcPr>
          <w:p w14:paraId="493915A7" w14:textId="24756F38" w:rsidR="00C843AF" w:rsidRPr="00ED172B" w:rsidRDefault="00C843AF" w:rsidP="002242B8">
            <w:pPr>
              <w:jc w:val="center"/>
              <w:rPr>
                <w:color w:val="000000" w:themeColor="text1"/>
              </w:rPr>
            </w:pPr>
            <w:r>
              <w:rPr>
                <w:color w:val="000000" w:themeColor="text1"/>
              </w:rPr>
              <w:t>68.70%</w:t>
            </w:r>
          </w:p>
        </w:tc>
      </w:tr>
      <w:tr w:rsidR="00C843AF" w:rsidRPr="00ED172B" w14:paraId="1E1B569B" w14:textId="4BB89901" w:rsidTr="00E415ED">
        <w:trPr>
          <w:trHeight w:val="357"/>
        </w:trPr>
        <w:tc>
          <w:tcPr>
            <w:tcW w:w="506" w:type="pct"/>
            <w:shd w:val="clear" w:color="auto" w:fill="auto"/>
            <w:vAlign w:val="center"/>
          </w:tcPr>
          <w:p w14:paraId="13799DA2" w14:textId="4BB3DE26" w:rsidR="00C843AF" w:rsidRPr="00ED172B" w:rsidRDefault="00C843AF" w:rsidP="00D21F29">
            <w:pPr>
              <w:jc w:val="center"/>
              <w:rPr>
                <w:color w:val="000000" w:themeColor="text1"/>
                <w:szCs w:val="16"/>
              </w:rPr>
            </w:pPr>
            <w:r w:rsidRPr="00ED172B">
              <w:rPr>
                <w:color w:val="000000" w:themeColor="text1"/>
                <w:szCs w:val="16"/>
              </w:rPr>
              <w:t>Target B2&gt;=</w:t>
            </w:r>
          </w:p>
        </w:tc>
        <w:tc>
          <w:tcPr>
            <w:tcW w:w="1124" w:type="pct"/>
            <w:shd w:val="clear" w:color="auto" w:fill="auto"/>
            <w:vAlign w:val="center"/>
          </w:tcPr>
          <w:p w14:paraId="3C5EA01D" w14:textId="1C391BC4" w:rsidR="00C843AF" w:rsidRPr="00ED172B" w:rsidRDefault="00C843AF" w:rsidP="002242B8">
            <w:pPr>
              <w:jc w:val="center"/>
              <w:rPr>
                <w:color w:val="000000" w:themeColor="text1"/>
              </w:rPr>
            </w:pPr>
            <w:r w:rsidRPr="00ED172B">
              <w:rPr>
                <w:color w:val="000000" w:themeColor="text1"/>
              </w:rPr>
              <w:t>36.40%</w:t>
            </w:r>
          </w:p>
        </w:tc>
        <w:tc>
          <w:tcPr>
            <w:tcW w:w="1124" w:type="pct"/>
          </w:tcPr>
          <w:p w14:paraId="5980DE18" w14:textId="10CD7859" w:rsidR="00C843AF" w:rsidRPr="00ED172B" w:rsidRDefault="00C843AF" w:rsidP="002242B8">
            <w:pPr>
              <w:jc w:val="center"/>
              <w:rPr>
                <w:color w:val="000000" w:themeColor="text1"/>
              </w:rPr>
            </w:pPr>
            <w:r>
              <w:rPr>
                <w:color w:val="000000" w:themeColor="text1"/>
              </w:rPr>
              <w:t>36.60%</w:t>
            </w:r>
          </w:p>
        </w:tc>
        <w:tc>
          <w:tcPr>
            <w:tcW w:w="1124" w:type="pct"/>
          </w:tcPr>
          <w:p w14:paraId="3FD51CD4" w14:textId="4E5875CE" w:rsidR="00C843AF" w:rsidRPr="00ED172B" w:rsidRDefault="00C843AF" w:rsidP="002242B8">
            <w:pPr>
              <w:jc w:val="center"/>
              <w:rPr>
                <w:color w:val="000000" w:themeColor="text1"/>
              </w:rPr>
            </w:pPr>
            <w:r>
              <w:rPr>
                <w:color w:val="000000" w:themeColor="text1"/>
              </w:rPr>
              <w:t>36.80%</w:t>
            </w:r>
          </w:p>
        </w:tc>
        <w:tc>
          <w:tcPr>
            <w:tcW w:w="1123" w:type="pct"/>
          </w:tcPr>
          <w:p w14:paraId="3A7274FD" w14:textId="38B9FCB4" w:rsidR="00C843AF" w:rsidRPr="00ED172B" w:rsidRDefault="00C843AF" w:rsidP="002242B8">
            <w:pPr>
              <w:jc w:val="center"/>
              <w:rPr>
                <w:color w:val="000000" w:themeColor="text1"/>
              </w:rPr>
            </w:pPr>
            <w:r>
              <w:rPr>
                <w:color w:val="000000" w:themeColor="text1"/>
              </w:rPr>
              <w:t>37.00%</w:t>
            </w:r>
          </w:p>
        </w:tc>
      </w:tr>
      <w:tr w:rsidR="00C843AF" w:rsidRPr="00ED172B" w14:paraId="6F747C45" w14:textId="78B1E7A4" w:rsidTr="00E415ED">
        <w:trPr>
          <w:trHeight w:val="357"/>
        </w:trPr>
        <w:tc>
          <w:tcPr>
            <w:tcW w:w="506" w:type="pct"/>
            <w:shd w:val="clear" w:color="auto" w:fill="auto"/>
            <w:vAlign w:val="center"/>
          </w:tcPr>
          <w:p w14:paraId="19D62A97" w14:textId="4E5E2DD2" w:rsidR="00C843AF" w:rsidRPr="00ED172B" w:rsidRDefault="00C843AF" w:rsidP="00D21F29">
            <w:pPr>
              <w:jc w:val="center"/>
              <w:rPr>
                <w:color w:val="000000" w:themeColor="text1"/>
                <w:szCs w:val="16"/>
              </w:rPr>
            </w:pPr>
            <w:r w:rsidRPr="00ED172B">
              <w:rPr>
                <w:color w:val="000000" w:themeColor="text1"/>
                <w:szCs w:val="16"/>
              </w:rPr>
              <w:t>Target C1&gt;=</w:t>
            </w:r>
          </w:p>
        </w:tc>
        <w:tc>
          <w:tcPr>
            <w:tcW w:w="1124" w:type="pct"/>
            <w:shd w:val="clear" w:color="auto" w:fill="auto"/>
            <w:vAlign w:val="center"/>
          </w:tcPr>
          <w:p w14:paraId="2F5E76E5" w14:textId="3B73537A" w:rsidR="00C843AF" w:rsidRPr="00ED172B" w:rsidRDefault="00C843AF" w:rsidP="0012497F">
            <w:pPr>
              <w:jc w:val="center"/>
              <w:rPr>
                <w:color w:val="000000" w:themeColor="text1"/>
              </w:rPr>
            </w:pPr>
            <w:r w:rsidRPr="00ED172B">
              <w:rPr>
                <w:color w:val="000000" w:themeColor="text1"/>
              </w:rPr>
              <w:t>78.20%</w:t>
            </w:r>
          </w:p>
        </w:tc>
        <w:tc>
          <w:tcPr>
            <w:tcW w:w="1124" w:type="pct"/>
          </w:tcPr>
          <w:p w14:paraId="3564984B" w14:textId="08842718" w:rsidR="00C843AF" w:rsidRPr="00ED172B" w:rsidRDefault="00C843AF" w:rsidP="0012497F">
            <w:pPr>
              <w:jc w:val="center"/>
              <w:rPr>
                <w:color w:val="000000" w:themeColor="text1"/>
              </w:rPr>
            </w:pPr>
            <w:r>
              <w:rPr>
                <w:color w:val="000000" w:themeColor="text1"/>
              </w:rPr>
              <w:t>78.40%</w:t>
            </w:r>
          </w:p>
        </w:tc>
        <w:tc>
          <w:tcPr>
            <w:tcW w:w="1124" w:type="pct"/>
          </w:tcPr>
          <w:p w14:paraId="6F334EB5" w14:textId="748BD28E" w:rsidR="00C843AF" w:rsidRPr="00ED172B" w:rsidRDefault="00C843AF" w:rsidP="0012497F">
            <w:pPr>
              <w:jc w:val="center"/>
              <w:rPr>
                <w:color w:val="000000" w:themeColor="text1"/>
              </w:rPr>
            </w:pPr>
            <w:r>
              <w:rPr>
                <w:color w:val="000000" w:themeColor="text1"/>
              </w:rPr>
              <w:t>78.60%</w:t>
            </w:r>
          </w:p>
        </w:tc>
        <w:tc>
          <w:tcPr>
            <w:tcW w:w="1123" w:type="pct"/>
          </w:tcPr>
          <w:p w14:paraId="13A1DF6C" w14:textId="36831C30" w:rsidR="00C843AF" w:rsidRPr="00ED172B" w:rsidRDefault="00C843AF" w:rsidP="0012497F">
            <w:pPr>
              <w:jc w:val="center"/>
              <w:rPr>
                <w:color w:val="000000" w:themeColor="text1"/>
              </w:rPr>
            </w:pPr>
            <w:r>
              <w:rPr>
                <w:color w:val="000000" w:themeColor="text1"/>
              </w:rPr>
              <w:t>78.80%</w:t>
            </w:r>
          </w:p>
        </w:tc>
      </w:tr>
      <w:tr w:rsidR="00C843AF" w:rsidRPr="00ED172B" w14:paraId="042194B1" w14:textId="77BD4258" w:rsidTr="00E415ED">
        <w:trPr>
          <w:trHeight w:val="357"/>
        </w:trPr>
        <w:tc>
          <w:tcPr>
            <w:tcW w:w="506" w:type="pct"/>
            <w:shd w:val="clear" w:color="auto" w:fill="auto"/>
            <w:vAlign w:val="center"/>
          </w:tcPr>
          <w:p w14:paraId="62D06703" w14:textId="0E10BF36" w:rsidR="00C843AF" w:rsidRPr="00ED172B" w:rsidRDefault="00C843AF" w:rsidP="00D21F29">
            <w:pPr>
              <w:jc w:val="center"/>
              <w:rPr>
                <w:color w:val="000000" w:themeColor="text1"/>
                <w:szCs w:val="16"/>
              </w:rPr>
            </w:pPr>
            <w:r w:rsidRPr="00ED172B">
              <w:rPr>
                <w:color w:val="000000" w:themeColor="text1"/>
                <w:szCs w:val="16"/>
              </w:rPr>
              <w:t>Target C2&gt;=</w:t>
            </w:r>
          </w:p>
        </w:tc>
        <w:tc>
          <w:tcPr>
            <w:tcW w:w="1124" w:type="pct"/>
            <w:shd w:val="clear" w:color="auto" w:fill="auto"/>
            <w:vAlign w:val="center"/>
          </w:tcPr>
          <w:p w14:paraId="763C7DAE" w14:textId="263F85F1" w:rsidR="00C843AF" w:rsidRPr="00ED172B" w:rsidRDefault="00C843AF" w:rsidP="0012497F">
            <w:pPr>
              <w:jc w:val="center"/>
              <w:rPr>
                <w:color w:val="000000" w:themeColor="text1"/>
              </w:rPr>
            </w:pPr>
            <w:r w:rsidRPr="00ED172B">
              <w:rPr>
                <w:color w:val="000000" w:themeColor="text1"/>
              </w:rPr>
              <w:t>40.80%</w:t>
            </w:r>
          </w:p>
        </w:tc>
        <w:tc>
          <w:tcPr>
            <w:tcW w:w="1124" w:type="pct"/>
          </w:tcPr>
          <w:p w14:paraId="58EBEEB4" w14:textId="68AFCCA1" w:rsidR="00C843AF" w:rsidRPr="00ED172B" w:rsidRDefault="00C843AF" w:rsidP="0012497F">
            <w:pPr>
              <w:jc w:val="center"/>
              <w:rPr>
                <w:color w:val="000000" w:themeColor="text1"/>
              </w:rPr>
            </w:pPr>
            <w:r>
              <w:rPr>
                <w:color w:val="000000" w:themeColor="text1"/>
              </w:rPr>
              <w:t>41.20%</w:t>
            </w:r>
          </w:p>
        </w:tc>
        <w:tc>
          <w:tcPr>
            <w:tcW w:w="1124" w:type="pct"/>
          </w:tcPr>
          <w:p w14:paraId="6E31560A" w14:textId="75F80FC4" w:rsidR="00C843AF" w:rsidRPr="00ED172B" w:rsidRDefault="00C843AF" w:rsidP="0012497F">
            <w:pPr>
              <w:jc w:val="center"/>
              <w:rPr>
                <w:color w:val="000000" w:themeColor="text1"/>
              </w:rPr>
            </w:pPr>
            <w:r>
              <w:rPr>
                <w:color w:val="000000" w:themeColor="text1"/>
              </w:rPr>
              <w:t>41.40%</w:t>
            </w:r>
          </w:p>
        </w:tc>
        <w:tc>
          <w:tcPr>
            <w:tcW w:w="1123" w:type="pct"/>
          </w:tcPr>
          <w:p w14:paraId="42F0DDB0" w14:textId="671196CD" w:rsidR="00C843AF" w:rsidRPr="00ED172B" w:rsidRDefault="00C843AF" w:rsidP="0012497F">
            <w:pPr>
              <w:jc w:val="center"/>
              <w:rPr>
                <w:color w:val="000000" w:themeColor="text1"/>
              </w:rPr>
            </w:pPr>
            <w:r>
              <w:rPr>
                <w:color w:val="000000" w:themeColor="text1"/>
              </w:rPr>
              <w:t>41.60%</w:t>
            </w:r>
          </w:p>
        </w:tc>
      </w:tr>
    </w:tbl>
    <w:p w14:paraId="51844E7F" w14:textId="3B3A5148" w:rsidR="001A4B29" w:rsidRPr="00ED172B" w:rsidRDefault="00F32724">
      <w:pPr>
        <w:rPr>
          <w:b/>
          <w:color w:val="000000" w:themeColor="text1"/>
        </w:rPr>
      </w:pPr>
      <w:r w:rsidRPr="00ED172B" w:rsidDel="00F32724">
        <w:rPr>
          <w:b/>
          <w:color w:val="000000" w:themeColor="text1"/>
        </w:rPr>
        <w:t xml:space="preserve"> </w:t>
      </w:r>
      <w:r w:rsidR="001A4B29" w:rsidRPr="00ED172B">
        <w:rPr>
          <w:b/>
          <w:color w:val="000000" w:themeColor="text1"/>
        </w:rPr>
        <w:t>Outcome A: Positive social-emotional skills (including social relationships)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11"/>
      </w:tblPr>
      <w:tblGrid>
        <w:gridCol w:w="7350"/>
        <w:gridCol w:w="1720"/>
        <w:gridCol w:w="1720"/>
      </w:tblGrid>
      <w:tr w:rsidR="00ED172B" w:rsidRPr="00ED172B" w14:paraId="199F40A6" w14:textId="77777777" w:rsidTr="00986B99">
        <w:trPr>
          <w:trHeight w:val="287"/>
          <w:tblHeader/>
        </w:trPr>
        <w:tc>
          <w:tcPr>
            <w:tcW w:w="3406" w:type="pct"/>
            <w:shd w:val="clear" w:color="auto" w:fill="auto"/>
            <w:vAlign w:val="center"/>
          </w:tcPr>
          <w:p w14:paraId="5BC436ED" w14:textId="7D8AC379" w:rsidR="001A4B29" w:rsidRPr="00ED172B" w:rsidRDefault="008320B5" w:rsidP="00B83404">
            <w:pPr>
              <w:rPr>
                <w:color w:val="000000" w:themeColor="text1"/>
              </w:rPr>
            </w:pPr>
            <w:r>
              <w:rPr>
                <w:rFonts w:cs="Arial"/>
                <w:b/>
                <w:color w:val="000000" w:themeColor="text1"/>
                <w:szCs w:val="16"/>
              </w:rPr>
              <w:t xml:space="preserve">Outcome A </w:t>
            </w:r>
            <w:r w:rsidRPr="001071FD">
              <w:rPr>
                <w:rFonts w:cs="Arial"/>
                <w:b/>
                <w:bCs/>
                <w:color w:val="000000" w:themeColor="text1"/>
                <w:szCs w:val="16"/>
              </w:rPr>
              <w:t xml:space="preserve">Progress </w:t>
            </w:r>
            <w:r>
              <w:rPr>
                <w:rFonts w:cs="Arial"/>
                <w:b/>
                <w:bCs/>
                <w:color w:val="000000" w:themeColor="text1"/>
                <w:szCs w:val="16"/>
              </w:rPr>
              <w:t>C</w:t>
            </w:r>
            <w:r w:rsidRPr="001071FD">
              <w:rPr>
                <w:rFonts w:cs="Arial"/>
                <w:b/>
                <w:bCs/>
                <w:color w:val="000000" w:themeColor="text1"/>
                <w:szCs w:val="16"/>
              </w:rPr>
              <w:t>ategor</w:t>
            </w:r>
            <w:r>
              <w:rPr>
                <w:rFonts w:cs="Arial"/>
                <w:b/>
                <w:bCs/>
                <w:color w:val="000000" w:themeColor="text1"/>
                <w:szCs w:val="16"/>
              </w:rPr>
              <w:t>y</w:t>
            </w:r>
          </w:p>
        </w:tc>
        <w:tc>
          <w:tcPr>
            <w:tcW w:w="797" w:type="pct"/>
            <w:shd w:val="clear" w:color="auto" w:fill="auto"/>
            <w:vAlign w:val="center"/>
          </w:tcPr>
          <w:p w14:paraId="117C054E" w14:textId="77777777" w:rsidR="001A4B29" w:rsidRPr="00ED172B" w:rsidRDefault="001A4B29" w:rsidP="00186420">
            <w:pPr>
              <w:keepNext/>
              <w:jc w:val="center"/>
              <w:rPr>
                <w:rFonts w:cs="Arial"/>
                <w:b/>
                <w:color w:val="000000" w:themeColor="text1"/>
                <w:szCs w:val="16"/>
              </w:rPr>
            </w:pPr>
            <w:r w:rsidRPr="00ED172B">
              <w:rPr>
                <w:rFonts w:cs="Arial"/>
                <w:b/>
                <w:color w:val="000000" w:themeColor="text1"/>
                <w:szCs w:val="16"/>
              </w:rPr>
              <w:t>Number of children</w:t>
            </w:r>
          </w:p>
        </w:tc>
        <w:tc>
          <w:tcPr>
            <w:tcW w:w="797" w:type="pct"/>
            <w:shd w:val="clear" w:color="auto" w:fill="auto"/>
          </w:tcPr>
          <w:p w14:paraId="5DE447B1" w14:textId="77777777" w:rsidR="001A4B29" w:rsidRPr="00ED172B" w:rsidRDefault="001A4B29" w:rsidP="00186420">
            <w:pPr>
              <w:keepNext/>
              <w:jc w:val="center"/>
              <w:rPr>
                <w:rFonts w:cs="Arial"/>
                <w:b/>
                <w:color w:val="000000" w:themeColor="text1"/>
                <w:szCs w:val="16"/>
              </w:rPr>
            </w:pPr>
            <w:r w:rsidRPr="00ED172B">
              <w:rPr>
                <w:rFonts w:cs="Arial"/>
                <w:b/>
                <w:color w:val="000000" w:themeColor="text1"/>
                <w:szCs w:val="16"/>
              </w:rPr>
              <w:t>Percentage of Total</w:t>
            </w:r>
          </w:p>
        </w:tc>
      </w:tr>
      <w:tr w:rsidR="00ED172B" w:rsidRPr="00ED172B" w14:paraId="5A737610" w14:textId="77777777" w:rsidTr="00986B99">
        <w:trPr>
          <w:trHeight w:val="361"/>
        </w:trPr>
        <w:tc>
          <w:tcPr>
            <w:tcW w:w="3406" w:type="pct"/>
            <w:shd w:val="clear" w:color="auto" w:fill="auto"/>
            <w:vAlign w:val="center"/>
          </w:tcPr>
          <w:p w14:paraId="0D7FD0A3" w14:textId="77777777" w:rsidR="001A4B29" w:rsidRPr="00ED172B" w:rsidRDefault="001A4B29" w:rsidP="001A4B29">
            <w:pPr>
              <w:rPr>
                <w:rFonts w:cs="Arial"/>
                <w:color w:val="000000" w:themeColor="text1"/>
                <w:szCs w:val="16"/>
              </w:rPr>
            </w:pPr>
            <w:r w:rsidRPr="00ED172B">
              <w:rPr>
                <w:rFonts w:cs="Arial"/>
                <w:color w:val="000000" w:themeColor="text1"/>
                <w:szCs w:val="16"/>
              </w:rPr>
              <w:t>a. Infants and toddlers who did not improve functioning</w:t>
            </w:r>
          </w:p>
        </w:tc>
        <w:tc>
          <w:tcPr>
            <w:tcW w:w="797" w:type="pct"/>
            <w:shd w:val="clear" w:color="auto" w:fill="auto"/>
            <w:vAlign w:val="center"/>
          </w:tcPr>
          <w:p w14:paraId="7B73B6C2" w14:textId="57ACFA8E" w:rsidR="001A4B29" w:rsidRPr="00ED172B" w:rsidRDefault="00860830" w:rsidP="00186420">
            <w:pPr>
              <w:jc w:val="center"/>
              <w:rPr>
                <w:rFonts w:cs="Arial"/>
                <w:color w:val="000000" w:themeColor="text1"/>
                <w:szCs w:val="16"/>
              </w:rPr>
            </w:pPr>
            <w:r w:rsidRPr="00ED172B">
              <w:rPr>
                <w:rFonts w:cs="Arial"/>
                <w:color w:val="000000" w:themeColor="text1"/>
                <w:szCs w:val="16"/>
              </w:rPr>
              <w:t>89</w:t>
            </w:r>
          </w:p>
        </w:tc>
        <w:tc>
          <w:tcPr>
            <w:tcW w:w="797" w:type="pct"/>
            <w:shd w:val="clear" w:color="auto" w:fill="auto"/>
            <w:vAlign w:val="center"/>
          </w:tcPr>
          <w:p w14:paraId="21371D80" w14:textId="187C61CB" w:rsidR="001A4B29" w:rsidRPr="00ED172B" w:rsidRDefault="00860830" w:rsidP="00186420">
            <w:pPr>
              <w:jc w:val="center"/>
              <w:rPr>
                <w:rFonts w:cs="Arial"/>
                <w:color w:val="000000" w:themeColor="text1"/>
                <w:szCs w:val="16"/>
              </w:rPr>
            </w:pPr>
            <w:r w:rsidRPr="00ED172B">
              <w:rPr>
                <w:rFonts w:cs="Arial"/>
                <w:color w:val="000000" w:themeColor="text1"/>
                <w:szCs w:val="16"/>
              </w:rPr>
              <w:t>2.75%</w:t>
            </w:r>
          </w:p>
        </w:tc>
      </w:tr>
      <w:tr w:rsidR="00ED172B" w:rsidRPr="00ED172B" w14:paraId="09D5BD6A" w14:textId="77777777" w:rsidTr="00986B99">
        <w:trPr>
          <w:trHeight w:val="361"/>
        </w:trPr>
        <w:tc>
          <w:tcPr>
            <w:tcW w:w="3406" w:type="pct"/>
            <w:shd w:val="clear" w:color="auto" w:fill="auto"/>
            <w:vAlign w:val="center"/>
          </w:tcPr>
          <w:p w14:paraId="1A85375B" w14:textId="77777777" w:rsidR="00E447C5" w:rsidRPr="00ED172B" w:rsidRDefault="00E447C5" w:rsidP="00E447C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797" w:type="pct"/>
            <w:shd w:val="clear" w:color="auto" w:fill="auto"/>
            <w:vAlign w:val="center"/>
          </w:tcPr>
          <w:p w14:paraId="03A954FC" w14:textId="5A74BEE6" w:rsidR="00E447C5" w:rsidRPr="00ED172B" w:rsidRDefault="00860830" w:rsidP="00186420">
            <w:pPr>
              <w:jc w:val="center"/>
              <w:rPr>
                <w:rFonts w:cs="Arial"/>
                <w:color w:val="000000" w:themeColor="text1"/>
                <w:szCs w:val="16"/>
              </w:rPr>
            </w:pPr>
            <w:r w:rsidRPr="00ED172B">
              <w:rPr>
                <w:rFonts w:cs="Arial"/>
                <w:color w:val="000000" w:themeColor="text1"/>
                <w:szCs w:val="16"/>
              </w:rPr>
              <w:t>316</w:t>
            </w:r>
          </w:p>
        </w:tc>
        <w:tc>
          <w:tcPr>
            <w:tcW w:w="797" w:type="pct"/>
            <w:shd w:val="clear" w:color="auto" w:fill="auto"/>
            <w:vAlign w:val="center"/>
          </w:tcPr>
          <w:p w14:paraId="122E007F" w14:textId="32E9A181" w:rsidR="00E447C5" w:rsidRPr="00ED172B" w:rsidRDefault="00860830" w:rsidP="00186420">
            <w:pPr>
              <w:jc w:val="center"/>
              <w:rPr>
                <w:rFonts w:cs="Arial"/>
                <w:color w:val="000000" w:themeColor="text1"/>
                <w:szCs w:val="16"/>
              </w:rPr>
            </w:pPr>
            <w:r w:rsidRPr="00ED172B">
              <w:rPr>
                <w:rFonts w:cs="Arial"/>
                <w:color w:val="000000" w:themeColor="text1"/>
                <w:szCs w:val="16"/>
              </w:rPr>
              <w:t>9.76%</w:t>
            </w:r>
          </w:p>
        </w:tc>
      </w:tr>
      <w:tr w:rsidR="00ED172B" w:rsidRPr="00ED172B" w14:paraId="3F82D5BB" w14:textId="77777777" w:rsidTr="00986B99">
        <w:trPr>
          <w:trHeight w:val="361"/>
        </w:trPr>
        <w:tc>
          <w:tcPr>
            <w:tcW w:w="3406" w:type="pct"/>
            <w:shd w:val="clear" w:color="auto" w:fill="auto"/>
            <w:vAlign w:val="center"/>
          </w:tcPr>
          <w:p w14:paraId="67D0449A" w14:textId="77777777" w:rsidR="00E447C5" w:rsidRPr="00ED172B" w:rsidRDefault="00E447C5" w:rsidP="00E447C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797" w:type="pct"/>
            <w:shd w:val="clear" w:color="auto" w:fill="auto"/>
            <w:vAlign w:val="center"/>
          </w:tcPr>
          <w:p w14:paraId="3BE4B185" w14:textId="4BCC54D9" w:rsidR="00E447C5" w:rsidRPr="00ED172B" w:rsidRDefault="00860830" w:rsidP="00186420">
            <w:pPr>
              <w:jc w:val="center"/>
              <w:rPr>
                <w:rFonts w:cs="Arial"/>
                <w:color w:val="000000" w:themeColor="text1"/>
                <w:szCs w:val="16"/>
              </w:rPr>
            </w:pPr>
            <w:r w:rsidRPr="00ED172B">
              <w:rPr>
                <w:rFonts w:cs="Arial"/>
                <w:color w:val="000000" w:themeColor="text1"/>
                <w:szCs w:val="16"/>
              </w:rPr>
              <w:t>1,543</w:t>
            </w:r>
          </w:p>
        </w:tc>
        <w:tc>
          <w:tcPr>
            <w:tcW w:w="797" w:type="pct"/>
            <w:shd w:val="clear" w:color="auto" w:fill="auto"/>
            <w:vAlign w:val="center"/>
          </w:tcPr>
          <w:p w14:paraId="4F7B1288" w14:textId="47E5A303" w:rsidR="00E447C5" w:rsidRPr="00ED172B" w:rsidRDefault="00860830" w:rsidP="00186420">
            <w:pPr>
              <w:jc w:val="center"/>
              <w:rPr>
                <w:rFonts w:cs="Arial"/>
                <w:color w:val="000000" w:themeColor="text1"/>
                <w:szCs w:val="16"/>
              </w:rPr>
            </w:pPr>
            <w:r w:rsidRPr="00ED172B">
              <w:rPr>
                <w:rFonts w:cs="Arial"/>
                <w:color w:val="000000" w:themeColor="text1"/>
                <w:szCs w:val="16"/>
              </w:rPr>
              <w:t>47.65%</w:t>
            </w:r>
          </w:p>
        </w:tc>
      </w:tr>
      <w:tr w:rsidR="00ED172B" w:rsidRPr="00ED172B" w14:paraId="790CC54F" w14:textId="77777777" w:rsidTr="00986B99">
        <w:trPr>
          <w:trHeight w:val="361"/>
        </w:trPr>
        <w:tc>
          <w:tcPr>
            <w:tcW w:w="3406" w:type="pct"/>
            <w:shd w:val="clear" w:color="auto" w:fill="auto"/>
            <w:vAlign w:val="center"/>
          </w:tcPr>
          <w:p w14:paraId="194E371C" w14:textId="77777777" w:rsidR="00E447C5" w:rsidRPr="00ED172B" w:rsidRDefault="00E447C5" w:rsidP="00E447C5">
            <w:pPr>
              <w:rPr>
                <w:rFonts w:cs="Arial"/>
                <w:color w:val="000000" w:themeColor="text1"/>
                <w:szCs w:val="16"/>
              </w:rPr>
            </w:pPr>
            <w:r w:rsidRPr="00ED172B">
              <w:rPr>
                <w:rFonts w:cs="Arial"/>
                <w:color w:val="000000" w:themeColor="text1"/>
                <w:szCs w:val="16"/>
              </w:rPr>
              <w:lastRenderedPageBreak/>
              <w:t>d. Infants and toddlers who improved functioning to reach a level comparable to same-aged peers</w:t>
            </w:r>
          </w:p>
        </w:tc>
        <w:tc>
          <w:tcPr>
            <w:tcW w:w="797" w:type="pct"/>
            <w:shd w:val="clear" w:color="auto" w:fill="auto"/>
            <w:vAlign w:val="center"/>
          </w:tcPr>
          <w:p w14:paraId="68A4EE48" w14:textId="78DFD3C2" w:rsidR="00E447C5" w:rsidRPr="00ED172B" w:rsidRDefault="00860830" w:rsidP="00186420">
            <w:pPr>
              <w:jc w:val="center"/>
              <w:rPr>
                <w:rFonts w:cs="Arial"/>
                <w:color w:val="000000" w:themeColor="text1"/>
                <w:szCs w:val="16"/>
              </w:rPr>
            </w:pPr>
            <w:r w:rsidRPr="00ED172B">
              <w:rPr>
                <w:rFonts w:cs="Arial"/>
                <w:color w:val="000000" w:themeColor="text1"/>
                <w:szCs w:val="16"/>
              </w:rPr>
              <w:t>923</w:t>
            </w:r>
          </w:p>
        </w:tc>
        <w:tc>
          <w:tcPr>
            <w:tcW w:w="797" w:type="pct"/>
            <w:shd w:val="clear" w:color="auto" w:fill="auto"/>
            <w:vAlign w:val="center"/>
          </w:tcPr>
          <w:p w14:paraId="1A563A71" w14:textId="4FAB7910" w:rsidR="00E447C5" w:rsidRPr="00ED172B" w:rsidRDefault="00860830" w:rsidP="00186420">
            <w:pPr>
              <w:jc w:val="center"/>
              <w:rPr>
                <w:rFonts w:cs="Arial"/>
                <w:color w:val="000000" w:themeColor="text1"/>
                <w:szCs w:val="16"/>
              </w:rPr>
            </w:pPr>
            <w:r w:rsidRPr="00ED172B">
              <w:rPr>
                <w:rFonts w:cs="Arial"/>
                <w:color w:val="000000" w:themeColor="text1"/>
                <w:szCs w:val="16"/>
              </w:rPr>
              <w:t>28.51%</w:t>
            </w:r>
          </w:p>
        </w:tc>
      </w:tr>
      <w:tr w:rsidR="00ED172B" w:rsidRPr="00ED172B" w14:paraId="36022838" w14:textId="77777777" w:rsidTr="00986B99">
        <w:trPr>
          <w:trHeight w:val="361"/>
        </w:trPr>
        <w:tc>
          <w:tcPr>
            <w:tcW w:w="3406" w:type="pct"/>
            <w:shd w:val="clear" w:color="auto" w:fill="auto"/>
            <w:vAlign w:val="center"/>
          </w:tcPr>
          <w:p w14:paraId="79FA53BE" w14:textId="77777777" w:rsidR="00E447C5" w:rsidRPr="00ED172B" w:rsidRDefault="00E447C5" w:rsidP="00E447C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797" w:type="pct"/>
            <w:shd w:val="clear" w:color="auto" w:fill="auto"/>
            <w:vAlign w:val="center"/>
          </w:tcPr>
          <w:p w14:paraId="136B9D88" w14:textId="3DCBABE4" w:rsidR="00E447C5" w:rsidRPr="00ED172B" w:rsidRDefault="00860830" w:rsidP="00186420">
            <w:pPr>
              <w:jc w:val="center"/>
              <w:rPr>
                <w:rFonts w:cs="Arial"/>
                <w:color w:val="000000" w:themeColor="text1"/>
                <w:szCs w:val="16"/>
              </w:rPr>
            </w:pPr>
            <w:r w:rsidRPr="00ED172B">
              <w:rPr>
                <w:rFonts w:cs="Arial"/>
                <w:color w:val="000000" w:themeColor="text1"/>
                <w:szCs w:val="16"/>
              </w:rPr>
              <w:t>367</w:t>
            </w:r>
          </w:p>
        </w:tc>
        <w:tc>
          <w:tcPr>
            <w:tcW w:w="797" w:type="pct"/>
            <w:shd w:val="clear" w:color="auto" w:fill="auto"/>
            <w:vAlign w:val="center"/>
          </w:tcPr>
          <w:p w14:paraId="2287277A" w14:textId="005045E4" w:rsidR="00E447C5" w:rsidRPr="00ED172B" w:rsidRDefault="00860830" w:rsidP="00186420">
            <w:pPr>
              <w:jc w:val="center"/>
              <w:rPr>
                <w:rFonts w:cs="Arial"/>
                <w:color w:val="000000" w:themeColor="text1"/>
                <w:szCs w:val="16"/>
              </w:rPr>
            </w:pPr>
            <w:r w:rsidRPr="00ED172B">
              <w:rPr>
                <w:rFonts w:cs="Arial"/>
                <w:color w:val="000000" w:themeColor="text1"/>
                <w:szCs w:val="16"/>
              </w:rPr>
              <w:t>11.33%</w:t>
            </w:r>
          </w:p>
        </w:tc>
      </w:tr>
    </w:tbl>
    <w:p w14:paraId="0BCDCF54" w14:textId="77777777" w:rsidR="001A4B29" w:rsidRPr="00ED172B" w:rsidRDefault="001A4B29" w:rsidP="001A4B29">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12"/>
      </w:tblPr>
      <w:tblGrid>
        <w:gridCol w:w="2515"/>
        <w:gridCol w:w="1080"/>
        <w:gridCol w:w="1260"/>
        <w:gridCol w:w="1349"/>
        <w:gridCol w:w="1172"/>
        <w:gridCol w:w="1260"/>
        <w:gridCol w:w="1079"/>
        <w:gridCol w:w="1075"/>
      </w:tblGrid>
      <w:tr w:rsidR="00ED172B" w:rsidRPr="00ED172B" w14:paraId="4E319C9C" w14:textId="77777777" w:rsidTr="00986B99">
        <w:trPr>
          <w:trHeight w:val="354"/>
          <w:tblHeader/>
        </w:trPr>
        <w:tc>
          <w:tcPr>
            <w:tcW w:w="1165" w:type="pct"/>
            <w:shd w:val="clear" w:color="auto" w:fill="auto"/>
            <w:vAlign w:val="bottom"/>
          </w:tcPr>
          <w:p w14:paraId="71977AF7" w14:textId="30E3DE56" w:rsidR="00037032" w:rsidRPr="00A40EE1" w:rsidRDefault="008320B5" w:rsidP="00037032">
            <w:pPr>
              <w:jc w:val="center"/>
              <w:rPr>
                <w:rFonts w:cs="Arial"/>
                <w:b/>
                <w:bCs/>
                <w:color w:val="000000" w:themeColor="text1"/>
                <w:szCs w:val="16"/>
              </w:rPr>
            </w:pPr>
            <w:r>
              <w:rPr>
                <w:rFonts w:cs="Arial"/>
                <w:b/>
                <w:bCs/>
                <w:color w:val="000000" w:themeColor="text1"/>
                <w:szCs w:val="16"/>
              </w:rPr>
              <w:t>Outcome A</w:t>
            </w:r>
          </w:p>
        </w:tc>
        <w:tc>
          <w:tcPr>
            <w:tcW w:w="500" w:type="pct"/>
            <w:shd w:val="clear" w:color="auto" w:fill="auto"/>
            <w:vAlign w:val="bottom"/>
          </w:tcPr>
          <w:p w14:paraId="5B555170" w14:textId="77777777" w:rsidR="00037032" w:rsidRPr="00ED172B" w:rsidRDefault="00037032" w:rsidP="00037032">
            <w:pPr>
              <w:jc w:val="center"/>
              <w:rPr>
                <w:rFonts w:cs="Arial"/>
                <w:b/>
                <w:color w:val="000000" w:themeColor="text1"/>
                <w:szCs w:val="16"/>
              </w:rPr>
            </w:pPr>
            <w:r w:rsidRPr="00ED172B">
              <w:rPr>
                <w:rFonts w:cs="Arial"/>
                <w:b/>
                <w:color w:val="000000" w:themeColor="text1"/>
                <w:szCs w:val="16"/>
              </w:rPr>
              <w:t>Numerator</w:t>
            </w:r>
          </w:p>
        </w:tc>
        <w:tc>
          <w:tcPr>
            <w:tcW w:w="584" w:type="pct"/>
            <w:shd w:val="clear" w:color="auto" w:fill="auto"/>
            <w:vAlign w:val="bottom"/>
          </w:tcPr>
          <w:p w14:paraId="73220B54" w14:textId="77777777" w:rsidR="00037032" w:rsidRPr="00ED172B" w:rsidRDefault="00037032" w:rsidP="00037032">
            <w:pPr>
              <w:jc w:val="center"/>
              <w:rPr>
                <w:rFonts w:cs="Arial"/>
                <w:b/>
                <w:color w:val="000000" w:themeColor="text1"/>
                <w:szCs w:val="16"/>
              </w:rPr>
            </w:pPr>
            <w:r w:rsidRPr="00ED172B">
              <w:rPr>
                <w:rFonts w:cs="Arial"/>
                <w:b/>
                <w:color w:val="000000" w:themeColor="text1"/>
                <w:szCs w:val="16"/>
              </w:rPr>
              <w:t>Denominator</w:t>
            </w:r>
          </w:p>
        </w:tc>
        <w:tc>
          <w:tcPr>
            <w:tcW w:w="625" w:type="pct"/>
            <w:shd w:val="clear" w:color="auto" w:fill="auto"/>
            <w:vAlign w:val="bottom"/>
          </w:tcPr>
          <w:p w14:paraId="7C1986F4" w14:textId="555D950E" w:rsidR="00037032" w:rsidRPr="00ED172B" w:rsidRDefault="00CD74B5" w:rsidP="00037032">
            <w:pPr>
              <w:jc w:val="center"/>
              <w:rPr>
                <w:rFonts w:cs="Arial"/>
                <w:b/>
                <w:color w:val="000000" w:themeColor="text1"/>
                <w:szCs w:val="16"/>
              </w:rPr>
            </w:pPr>
            <w:r>
              <w:rPr>
                <w:rFonts w:cs="Arial"/>
                <w:b/>
                <w:color w:val="000000" w:themeColor="text1"/>
                <w:szCs w:val="16"/>
              </w:rPr>
              <w:t>FFY 2021 Data</w:t>
            </w:r>
          </w:p>
        </w:tc>
        <w:tc>
          <w:tcPr>
            <w:tcW w:w="543" w:type="pct"/>
            <w:shd w:val="clear" w:color="auto" w:fill="auto"/>
            <w:vAlign w:val="bottom"/>
          </w:tcPr>
          <w:p w14:paraId="7A5B3F24" w14:textId="022C1281" w:rsidR="00037032" w:rsidRPr="00ED172B" w:rsidRDefault="00F22D09" w:rsidP="00037032">
            <w:pPr>
              <w:jc w:val="center"/>
              <w:rPr>
                <w:rFonts w:cs="Arial"/>
                <w:b/>
                <w:color w:val="000000" w:themeColor="text1"/>
                <w:szCs w:val="16"/>
              </w:rPr>
            </w:pPr>
            <w:r>
              <w:rPr>
                <w:rFonts w:cs="Arial"/>
                <w:b/>
                <w:color w:val="000000" w:themeColor="text1"/>
                <w:szCs w:val="16"/>
              </w:rPr>
              <w:t>FFY 2022 Target</w:t>
            </w:r>
          </w:p>
        </w:tc>
        <w:tc>
          <w:tcPr>
            <w:tcW w:w="584" w:type="pct"/>
            <w:shd w:val="clear" w:color="auto" w:fill="auto"/>
            <w:vAlign w:val="bottom"/>
          </w:tcPr>
          <w:p w14:paraId="199235B3" w14:textId="6FCE9F39" w:rsidR="00037032" w:rsidRPr="00ED172B" w:rsidRDefault="00F22D09" w:rsidP="00037032">
            <w:pPr>
              <w:jc w:val="center"/>
              <w:rPr>
                <w:rFonts w:cs="Arial"/>
                <w:b/>
                <w:color w:val="000000" w:themeColor="text1"/>
                <w:szCs w:val="16"/>
              </w:rPr>
            </w:pPr>
            <w:r>
              <w:rPr>
                <w:rFonts w:cs="Arial"/>
                <w:b/>
                <w:color w:val="000000" w:themeColor="text1"/>
                <w:szCs w:val="16"/>
              </w:rPr>
              <w:t>FFY 2022 Data</w:t>
            </w:r>
          </w:p>
        </w:tc>
        <w:tc>
          <w:tcPr>
            <w:tcW w:w="500" w:type="pct"/>
            <w:shd w:val="clear" w:color="auto" w:fill="auto"/>
            <w:vAlign w:val="bottom"/>
          </w:tcPr>
          <w:p w14:paraId="1922E3FB" w14:textId="77777777" w:rsidR="00037032" w:rsidRPr="00ED172B" w:rsidRDefault="00037032" w:rsidP="00037032">
            <w:pPr>
              <w:jc w:val="center"/>
              <w:rPr>
                <w:rFonts w:cs="Arial"/>
                <w:b/>
                <w:color w:val="000000" w:themeColor="text1"/>
                <w:szCs w:val="16"/>
              </w:rPr>
            </w:pPr>
            <w:r w:rsidRPr="00ED172B">
              <w:rPr>
                <w:rFonts w:cs="Arial"/>
                <w:b/>
                <w:color w:val="000000" w:themeColor="text1"/>
                <w:szCs w:val="16"/>
              </w:rPr>
              <w:t>Status</w:t>
            </w:r>
          </w:p>
        </w:tc>
        <w:tc>
          <w:tcPr>
            <w:tcW w:w="498" w:type="pct"/>
            <w:shd w:val="clear" w:color="auto" w:fill="auto"/>
            <w:vAlign w:val="bottom"/>
          </w:tcPr>
          <w:p w14:paraId="6A90C064" w14:textId="77777777" w:rsidR="00037032" w:rsidRPr="00ED172B" w:rsidRDefault="00037032" w:rsidP="00037032">
            <w:pPr>
              <w:jc w:val="center"/>
              <w:rPr>
                <w:rFonts w:cs="Arial"/>
                <w:b/>
                <w:color w:val="000000" w:themeColor="text1"/>
                <w:szCs w:val="16"/>
              </w:rPr>
            </w:pPr>
            <w:r w:rsidRPr="00ED172B">
              <w:rPr>
                <w:rFonts w:cs="Arial"/>
                <w:b/>
                <w:color w:val="000000" w:themeColor="text1"/>
                <w:szCs w:val="16"/>
              </w:rPr>
              <w:t>Slippage</w:t>
            </w:r>
          </w:p>
        </w:tc>
      </w:tr>
      <w:tr w:rsidR="00ED172B" w:rsidRPr="00ED172B" w14:paraId="5AB2DCE8" w14:textId="77777777" w:rsidTr="00986B99">
        <w:trPr>
          <w:trHeight w:val="361"/>
        </w:trPr>
        <w:tc>
          <w:tcPr>
            <w:tcW w:w="1165" w:type="pct"/>
            <w:shd w:val="clear" w:color="auto" w:fill="auto"/>
          </w:tcPr>
          <w:p w14:paraId="435DC63C" w14:textId="0E8ABD28" w:rsidR="000F1858" w:rsidRPr="00ED172B" w:rsidRDefault="000F1858" w:rsidP="000F1858">
            <w:pPr>
              <w:rPr>
                <w:rFonts w:cs="Arial"/>
                <w:color w:val="000000" w:themeColor="text1"/>
                <w:szCs w:val="16"/>
              </w:rPr>
            </w:pPr>
            <w:r w:rsidRPr="00ED172B">
              <w:rPr>
                <w:rFonts w:cs="Arial"/>
                <w:color w:val="000000" w:themeColor="text1"/>
                <w:szCs w:val="16"/>
              </w:rPr>
              <w:t>A1. Of those children who entered or exited the program below age expectations in Outcome A, the percent who substantially increased their rate of growth by the time they turned 3 years of age or exited the program</w:t>
            </w:r>
          </w:p>
        </w:tc>
        <w:tc>
          <w:tcPr>
            <w:tcW w:w="500" w:type="pct"/>
            <w:shd w:val="clear" w:color="auto" w:fill="auto"/>
            <w:vAlign w:val="center"/>
          </w:tcPr>
          <w:p w14:paraId="7F8AB3E0" w14:textId="3F102292" w:rsidR="000F1858" w:rsidRPr="00ED172B" w:rsidRDefault="00860830" w:rsidP="000F1858">
            <w:pPr>
              <w:pStyle w:val="Explain"/>
              <w:jc w:val="center"/>
              <w:rPr>
                <w:rFonts w:cs="Arial"/>
                <w:color w:val="000000" w:themeColor="text1"/>
                <w:szCs w:val="16"/>
              </w:rPr>
            </w:pPr>
            <w:r w:rsidRPr="00ED172B">
              <w:rPr>
                <w:rFonts w:cs="Arial"/>
                <w:color w:val="000000" w:themeColor="text1"/>
                <w:szCs w:val="16"/>
              </w:rPr>
              <w:t>2,466</w:t>
            </w:r>
          </w:p>
        </w:tc>
        <w:tc>
          <w:tcPr>
            <w:tcW w:w="584" w:type="pct"/>
            <w:shd w:val="clear" w:color="auto" w:fill="auto"/>
            <w:vAlign w:val="center"/>
          </w:tcPr>
          <w:p w14:paraId="07238E8A" w14:textId="69664AD2" w:rsidR="000F1858" w:rsidRPr="00ED172B" w:rsidRDefault="00860830" w:rsidP="000F1858">
            <w:pPr>
              <w:pStyle w:val="Explain"/>
              <w:jc w:val="center"/>
              <w:rPr>
                <w:rFonts w:cs="Arial"/>
                <w:color w:val="000000" w:themeColor="text1"/>
                <w:szCs w:val="16"/>
              </w:rPr>
            </w:pPr>
            <w:r w:rsidRPr="00ED172B">
              <w:rPr>
                <w:rFonts w:cs="Arial"/>
                <w:color w:val="000000" w:themeColor="text1"/>
                <w:szCs w:val="16"/>
              </w:rPr>
              <w:t>2,871</w:t>
            </w:r>
          </w:p>
        </w:tc>
        <w:tc>
          <w:tcPr>
            <w:tcW w:w="625" w:type="pct"/>
            <w:shd w:val="clear" w:color="auto" w:fill="auto"/>
            <w:vAlign w:val="center"/>
          </w:tcPr>
          <w:p w14:paraId="7A2008D7" w14:textId="0F1DB00E" w:rsidR="000F1858" w:rsidRPr="00ED172B" w:rsidRDefault="00860830" w:rsidP="000F1858">
            <w:pPr>
              <w:jc w:val="center"/>
              <w:rPr>
                <w:rFonts w:cs="Arial"/>
                <w:color w:val="000000" w:themeColor="text1"/>
                <w:szCs w:val="16"/>
              </w:rPr>
            </w:pPr>
            <w:r w:rsidRPr="00ED172B">
              <w:rPr>
                <w:rFonts w:cs="Arial"/>
                <w:color w:val="000000" w:themeColor="text1"/>
                <w:szCs w:val="16"/>
              </w:rPr>
              <w:t>85.90%</w:t>
            </w:r>
          </w:p>
        </w:tc>
        <w:tc>
          <w:tcPr>
            <w:tcW w:w="543" w:type="pct"/>
            <w:shd w:val="clear" w:color="auto" w:fill="auto"/>
            <w:vAlign w:val="center"/>
          </w:tcPr>
          <w:p w14:paraId="3A000F99" w14:textId="456E911B" w:rsidR="000F1858" w:rsidRPr="00ED172B" w:rsidRDefault="0054124F" w:rsidP="00027F39">
            <w:pPr>
              <w:jc w:val="center"/>
              <w:rPr>
                <w:color w:val="000000" w:themeColor="text1"/>
              </w:rPr>
            </w:pPr>
            <w:r w:rsidRPr="00ED172B">
              <w:rPr>
                <w:color w:val="000000" w:themeColor="text1"/>
              </w:rPr>
              <w:t>85.80%</w:t>
            </w:r>
          </w:p>
        </w:tc>
        <w:tc>
          <w:tcPr>
            <w:tcW w:w="584" w:type="pct"/>
            <w:shd w:val="clear" w:color="auto" w:fill="auto"/>
            <w:vAlign w:val="center"/>
          </w:tcPr>
          <w:p w14:paraId="2F634536" w14:textId="3A03E0CA" w:rsidR="000F1858" w:rsidRPr="00ED172B" w:rsidRDefault="00860830" w:rsidP="000F1858">
            <w:pPr>
              <w:jc w:val="center"/>
              <w:rPr>
                <w:rFonts w:cs="Arial"/>
                <w:color w:val="000000" w:themeColor="text1"/>
                <w:szCs w:val="16"/>
              </w:rPr>
            </w:pPr>
            <w:r w:rsidRPr="00ED172B">
              <w:rPr>
                <w:rFonts w:cs="Arial"/>
                <w:color w:val="000000" w:themeColor="text1"/>
                <w:szCs w:val="16"/>
              </w:rPr>
              <w:t>85.89%</w:t>
            </w:r>
          </w:p>
        </w:tc>
        <w:tc>
          <w:tcPr>
            <w:tcW w:w="500" w:type="pct"/>
            <w:shd w:val="clear" w:color="auto" w:fill="auto"/>
            <w:vAlign w:val="center"/>
          </w:tcPr>
          <w:p w14:paraId="0E630049" w14:textId="69996151" w:rsidR="000F1858" w:rsidRPr="00ED172B" w:rsidRDefault="00860830" w:rsidP="000F1858">
            <w:pPr>
              <w:jc w:val="center"/>
              <w:rPr>
                <w:rFonts w:cs="Arial"/>
                <w:color w:val="000000" w:themeColor="text1"/>
                <w:szCs w:val="16"/>
              </w:rPr>
            </w:pPr>
            <w:r w:rsidRPr="00ED172B">
              <w:rPr>
                <w:rFonts w:cs="Arial"/>
                <w:color w:val="000000" w:themeColor="text1"/>
                <w:szCs w:val="16"/>
              </w:rPr>
              <w:t>Met target</w:t>
            </w:r>
          </w:p>
        </w:tc>
        <w:tc>
          <w:tcPr>
            <w:tcW w:w="498" w:type="pct"/>
            <w:shd w:val="clear" w:color="auto" w:fill="auto"/>
            <w:vAlign w:val="center"/>
          </w:tcPr>
          <w:p w14:paraId="070EB7EE" w14:textId="31358CAC" w:rsidR="000F1858" w:rsidRPr="00ED172B" w:rsidRDefault="00860830" w:rsidP="000F1858">
            <w:pPr>
              <w:jc w:val="center"/>
              <w:rPr>
                <w:rFonts w:cs="Arial"/>
                <w:color w:val="000000" w:themeColor="text1"/>
                <w:szCs w:val="16"/>
              </w:rPr>
            </w:pPr>
            <w:r w:rsidRPr="00ED172B">
              <w:rPr>
                <w:rFonts w:cs="Arial"/>
                <w:color w:val="000000" w:themeColor="text1"/>
                <w:szCs w:val="16"/>
              </w:rPr>
              <w:t>No Slippage</w:t>
            </w:r>
          </w:p>
        </w:tc>
      </w:tr>
      <w:tr w:rsidR="00ED172B" w:rsidRPr="00ED172B" w14:paraId="4B2322B3" w14:textId="77777777" w:rsidTr="00986B99">
        <w:trPr>
          <w:trHeight w:val="361"/>
        </w:trPr>
        <w:tc>
          <w:tcPr>
            <w:tcW w:w="1165" w:type="pct"/>
            <w:shd w:val="clear" w:color="auto" w:fill="auto"/>
          </w:tcPr>
          <w:p w14:paraId="760DFD83" w14:textId="224FEBBB" w:rsidR="00A52D95" w:rsidRPr="00ED172B" w:rsidRDefault="00A52D95" w:rsidP="00A52D95">
            <w:pPr>
              <w:rPr>
                <w:rFonts w:cs="Arial"/>
                <w:color w:val="000000" w:themeColor="text1"/>
                <w:szCs w:val="16"/>
              </w:rPr>
            </w:pPr>
            <w:r w:rsidRPr="00ED172B">
              <w:rPr>
                <w:rFonts w:cs="Arial"/>
                <w:color w:val="000000" w:themeColor="text1"/>
                <w:szCs w:val="16"/>
              </w:rPr>
              <w:t>A2. The percent of infants and toddlers who were functioning within age expectations in Outcome A by the time they turned 3 years of age or exited the program</w:t>
            </w:r>
          </w:p>
        </w:tc>
        <w:tc>
          <w:tcPr>
            <w:tcW w:w="500" w:type="pct"/>
            <w:shd w:val="clear" w:color="auto" w:fill="auto"/>
            <w:vAlign w:val="center"/>
          </w:tcPr>
          <w:p w14:paraId="11C3930A" w14:textId="5356AD2D" w:rsidR="00A52D95" w:rsidRPr="00ED172B" w:rsidRDefault="00860830" w:rsidP="00A52D95">
            <w:pPr>
              <w:pStyle w:val="Explain"/>
              <w:jc w:val="center"/>
              <w:rPr>
                <w:rFonts w:cs="Arial"/>
                <w:color w:val="000000" w:themeColor="text1"/>
                <w:szCs w:val="16"/>
              </w:rPr>
            </w:pPr>
            <w:r w:rsidRPr="00ED172B">
              <w:rPr>
                <w:rFonts w:cs="Arial"/>
                <w:color w:val="000000" w:themeColor="text1"/>
                <w:szCs w:val="16"/>
              </w:rPr>
              <w:t>1,290</w:t>
            </w:r>
          </w:p>
        </w:tc>
        <w:tc>
          <w:tcPr>
            <w:tcW w:w="584" w:type="pct"/>
            <w:shd w:val="clear" w:color="auto" w:fill="auto"/>
            <w:vAlign w:val="center"/>
          </w:tcPr>
          <w:p w14:paraId="16EC9145" w14:textId="5C23F21B" w:rsidR="00A52D95" w:rsidRPr="00ED172B" w:rsidRDefault="00860830" w:rsidP="00A52D95">
            <w:pPr>
              <w:pStyle w:val="Explain"/>
              <w:jc w:val="center"/>
              <w:rPr>
                <w:rFonts w:cs="Arial"/>
                <w:color w:val="000000" w:themeColor="text1"/>
                <w:szCs w:val="16"/>
              </w:rPr>
            </w:pPr>
            <w:r w:rsidRPr="00ED172B">
              <w:rPr>
                <w:rFonts w:cs="Arial"/>
                <w:color w:val="000000" w:themeColor="text1"/>
                <w:szCs w:val="16"/>
              </w:rPr>
              <w:t>3,238</w:t>
            </w:r>
          </w:p>
        </w:tc>
        <w:tc>
          <w:tcPr>
            <w:tcW w:w="625" w:type="pct"/>
            <w:shd w:val="clear" w:color="auto" w:fill="auto"/>
            <w:vAlign w:val="center"/>
          </w:tcPr>
          <w:p w14:paraId="0C8DC51C" w14:textId="628BA094" w:rsidR="00A52D95" w:rsidRPr="00ED172B" w:rsidRDefault="00860830" w:rsidP="00A52D95">
            <w:pPr>
              <w:jc w:val="center"/>
              <w:rPr>
                <w:rFonts w:cs="Arial"/>
                <w:color w:val="000000" w:themeColor="text1"/>
                <w:szCs w:val="16"/>
              </w:rPr>
            </w:pPr>
            <w:r w:rsidRPr="00ED172B">
              <w:rPr>
                <w:rFonts w:cs="Arial"/>
                <w:color w:val="000000" w:themeColor="text1"/>
                <w:szCs w:val="16"/>
              </w:rPr>
              <w:t>43.07%</w:t>
            </w:r>
          </w:p>
        </w:tc>
        <w:tc>
          <w:tcPr>
            <w:tcW w:w="543" w:type="pct"/>
            <w:shd w:val="clear" w:color="auto" w:fill="auto"/>
            <w:vAlign w:val="center"/>
          </w:tcPr>
          <w:p w14:paraId="35CF69C3" w14:textId="01F07FF3" w:rsidR="00A52D95" w:rsidRPr="00ED172B" w:rsidRDefault="002332D6">
            <w:pPr>
              <w:jc w:val="center"/>
              <w:rPr>
                <w:color w:val="000000" w:themeColor="text1"/>
              </w:rPr>
            </w:pPr>
            <w:r w:rsidRPr="00ED172B">
              <w:rPr>
                <w:color w:val="000000" w:themeColor="text1"/>
              </w:rPr>
              <w:t>42.70%</w:t>
            </w:r>
          </w:p>
        </w:tc>
        <w:tc>
          <w:tcPr>
            <w:tcW w:w="584" w:type="pct"/>
            <w:shd w:val="clear" w:color="auto" w:fill="auto"/>
            <w:vAlign w:val="center"/>
          </w:tcPr>
          <w:p w14:paraId="71192638" w14:textId="1D31FC82" w:rsidR="00A52D95" w:rsidRPr="00ED172B" w:rsidRDefault="00860830" w:rsidP="00A52D95">
            <w:pPr>
              <w:jc w:val="center"/>
              <w:rPr>
                <w:rFonts w:cs="Arial"/>
                <w:color w:val="000000" w:themeColor="text1"/>
                <w:szCs w:val="16"/>
              </w:rPr>
            </w:pPr>
            <w:r w:rsidRPr="00ED172B">
              <w:rPr>
                <w:rFonts w:cs="Arial"/>
                <w:color w:val="000000" w:themeColor="text1"/>
                <w:szCs w:val="16"/>
              </w:rPr>
              <w:t>39.84%</w:t>
            </w:r>
          </w:p>
        </w:tc>
        <w:tc>
          <w:tcPr>
            <w:tcW w:w="500" w:type="pct"/>
            <w:shd w:val="clear" w:color="auto" w:fill="auto"/>
            <w:vAlign w:val="center"/>
          </w:tcPr>
          <w:p w14:paraId="6CDC1E03" w14:textId="14CAA38F" w:rsidR="00A52D95" w:rsidRPr="00ED172B" w:rsidRDefault="00860830" w:rsidP="00A52D95">
            <w:pPr>
              <w:jc w:val="center"/>
              <w:rPr>
                <w:rFonts w:cs="Arial"/>
                <w:color w:val="000000" w:themeColor="text1"/>
                <w:szCs w:val="16"/>
              </w:rPr>
            </w:pPr>
            <w:r w:rsidRPr="00ED172B">
              <w:rPr>
                <w:rFonts w:cs="Arial"/>
                <w:color w:val="000000" w:themeColor="text1"/>
                <w:szCs w:val="16"/>
              </w:rPr>
              <w:t>Did not meet target</w:t>
            </w:r>
          </w:p>
        </w:tc>
        <w:tc>
          <w:tcPr>
            <w:tcW w:w="498" w:type="pct"/>
            <w:shd w:val="clear" w:color="auto" w:fill="auto"/>
            <w:vAlign w:val="center"/>
          </w:tcPr>
          <w:p w14:paraId="53785A0A" w14:textId="15428806" w:rsidR="00A52D95" w:rsidRPr="00ED172B" w:rsidRDefault="00860830" w:rsidP="00A52D95">
            <w:pPr>
              <w:jc w:val="center"/>
              <w:rPr>
                <w:rFonts w:cs="Arial"/>
                <w:color w:val="000000" w:themeColor="text1"/>
                <w:szCs w:val="16"/>
              </w:rPr>
            </w:pPr>
            <w:r w:rsidRPr="00ED172B">
              <w:rPr>
                <w:rFonts w:cs="Arial"/>
                <w:color w:val="000000" w:themeColor="text1"/>
                <w:szCs w:val="16"/>
              </w:rPr>
              <w:t>Slippage</w:t>
            </w:r>
          </w:p>
        </w:tc>
      </w:tr>
    </w:tbl>
    <w:p w14:paraId="6D47C23C" w14:textId="4FEF2F28" w:rsidR="00814758" w:rsidRPr="00ED172B" w:rsidRDefault="00814758" w:rsidP="00814758">
      <w:pPr>
        <w:rPr>
          <w:rFonts w:cs="Arial"/>
          <w:b/>
          <w:i/>
          <w:color w:val="000000" w:themeColor="text1"/>
          <w:szCs w:val="16"/>
        </w:rPr>
      </w:pPr>
      <w:r w:rsidRPr="00ED172B">
        <w:rPr>
          <w:rFonts w:cs="Arial"/>
          <w:b/>
          <w:color w:val="000000" w:themeColor="text1"/>
          <w:szCs w:val="16"/>
        </w:rPr>
        <w:t xml:space="preserve">Provide reasons for A2 slippage, if applicable </w:t>
      </w:r>
    </w:p>
    <w:p w14:paraId="74F37393" w14:textId="6858F2AD" w:rsidR="00814758" w:rsidRDefault="001E39E3" w:rsidP="001E39E3">
      <w:pPr>
        <w:rPr>
          <w:color w:val="000000" w:themeColor="text1"/>
        </w:rPr>
      </w:pPr>
      <w:proofErr w:type="spellStart"/>
      <w:r w:rsidRPr="00ED172B">
        <w:rPr>
          <w:color w:val="000000" w:themeColor="text1"/>
        </w:rPr>
        <w:t>AAfter</w:t>
      </w:r>
      <w:proofErr w:type="spellEnd"/>
      <w:r w:rsidRPr="00ED172B">
        <w:rPr>
          <w:color w:val="000000" w:themeColor="text1"/>
        </w:rPr>
        <w:t xml:space="preserve"> review and engagement with regional service providers, there are residual impacts from COVID that have led to slippage. These include staff turnover, lack of systemic offering of TA to address child outcomes in infants and toddlers, and limited intervention opportunities to impact exit scores (i.e., the length of time receiving services is shorter due to lost time during COVID).</w:t>
      </w:r>
      <w:r w:rsidRPr="00ED172B">
        <w:rPr>
          <w:color w:val="000000" w:themeColor="text1"/>
        </w:rPr>
        <w:br/>
      </w:r>
      <w:r w:rsidRPr="00ED172B">
        <w:rPr>
          <w:color w:val="000000" w:themeColor="text1"/>
        </w:rPr>
        <w:br/>
        <w:t>To address these impacts and understand better the needs of regional service providers, targeted training and TA for EI home visitors and leadership has been addressed in the SSIP, a workgroup was assembled to adopt updated measures and data quality tools for the AEPS, and we have prioritized attention to recruitment and retention in the Comprehensive System of Professional Development Plan.</w:t>
      </w:r>
    </w:p>
    <w:p w14:paraId="688F26F1" w14:textId="77777777" w:rsidR="001A4B29" w:rsidRPr="00ED172B" w:rsidRDefault="001A4B29">
      <w:pPr>
        <w:rPr>
          <w:b/>
          <w:color w:val="000000" w:themeColor="text1"/>
        </w:rPr>
      </w:pPr>
      <w:r w:rsidRPr="00ED172B">
        <w:rPr>
          <w:b/>
          <w:color w:val="000000" w:themeColor="text1"/>
        </w:rPr>
        <w:t>Outcome B: Acquisition and use of knowledge and skills (including early language/communication)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13"/>
      </w:tblPr>
      <w:tblGrid>
        <w:gridCol w:w="7094"/>
        <w:gridCol w:w="1683"/>
        <w:gridCol w:w="2013"/>
      </w:tblGrid>
      <w:tr w:rsidR="008320B5" w:rsidRPr="00ED172B" w14:paraId="38ECA25F" w14:textId="77777777" w:rsidTr="00A40EE1">
        <w:trPr>
          <w:trHeight w:val="361"/>
          <w:tblHeader/>
        </w:trPr>
        <w:tc>
          <w:tcPr>
            <w:tcW w:w="3287" w:type="pct"/>
            <w:shd w:val="clear" w:color="auto" w:fill="auto"/>
            <w:vAlign w:val="bottom"/>
          </w:tcPr>
          <w:p w14:paraId="56D5DB7E" w14:textId="0F55E0EC" w:rsidR="008320B5" w:rsidRPr="00ED172B" w:rsidRDefault="008320B5" w:rsidP="008320B5">
            <w:pPr>
              <w:rPr>
                <w:rFonts w:cs="Arial"/>
                <w:color w:val="000000" w:themeColor="text1"/>
                <w:szCs w:val="16"/>
              </w:rPr>
            </w:pPr>
            <w:r>
              <w:rPr>
                <w:rFonts w:cs="Arial"/>
                <w:b/>
                <w:color w:val="000000" w:themeColor="text1"/>
                <w:szCs w:val="16"/>
              </w:rPr>
              <w:t xml:space="preserve">Outcome B </w:t>
            </w:r>
            <w:r w:rsidRPr="00227D4B">
              <w:rPr>
                <w:rFonts w:cs="Arial"/>
                <w:b/>
                <w:bCs/>
                <w:color w:val="000000" w:themeColor="text1"/>
                <w:szCs w:val="16"/>
              </w:rPr>
              <w:t xml:space="preserve">Progress </w:t>
            </w:r>
            <w:r>
              <w:rPr>
                <w:rFonts w:cs="Arial"/>
                <w:b/>
                <w:bCs/>
                <w:color w:val="000000" w:themeColor="text1"/>
                <w:szCs w:val="16"/>
              </w:rPr>
              <w:t>C</w:t>
            </w:r>
            <w:r w:rsidRPr="00227D4B">
              <w:rPr>
                <w:rFonts w:cs="Arial"/>
                <w:b/>
                <w:bCs/>
                <w:color w:val="000000" w:themeColor="text1"/>
                <w:szCs w:val="16"/>
              </w:rPr>
              <w:t>ategor</w:t>
            </w:r>
            <w:r>
              <w:rPr>
                <w:rFonts w:cs="Arial"/>
                <w:b/>
                <w:bCs/>
                <w:color w:val="000000" w:themeColor="text1"/>
                <w:szCs w:val="16"/>
              </w:rPr>
              <w:t>y</w:t>
            </w:r>
          </w:p>
        </w:tc>
        <w:tc>
          <w:tcPr>
            <w:tcW w:w="780" w:type="pct"/>
            <w:shd w:val="clear" w:color="auto" w:fill="auto"/>
            <w:vAlign w:val="center"/>
          </w:tcPr>
          <w:p w14:paraId="655258D9" w14:textId="77777777" w:rsidR="008320B5" w:rsidRPr="00ED172B" w:rsidRDefault="008320B5" w:rsidP="008320B5">
            <w:pPr>
              <w:jc w:val="center"/>
              <w:rPr>
                <w:rFonts w:cs="Arial"/>
                <w:b/>
                <w:color w:val="000000" w:themeColor="text1"/>
                <w:szCs w:val="16"/>
              </w:rPr>
            </w:pPr>
            <w:r w:rsidRPr="00ED172B">
              <w:rPr>
                <w:rFonts w:cs="Arial"/>
                <w:b/>
                <w:color w:val="000000" w:themeColor="text1"/>
                <w:szCs w:val="16"/>
              </w:rPr>
              <w:t>Number of Children</w:t>
            </w:r>
          </w:p>
        </w:tc>
        <w:tc>
          <w:tcPr>
            <w:tcW w:w="933" w:type="pct"/>
            <w:shd w:val="clear" w:color="auto" w:fill="auto"/>
          </w:tcPr>
          <w:p w14:paraId="23276223" w14:textId="77777777" w:rsidR="008320B5" w:rsidRPr="00ED172B" w:rsidRDefault="008320B5" w:rsidP="008320B5">
            <w:pPr>
              <w:jc w:val="center"/>
              <w:rPr>
                <w:rFonts w:cs="Arial"/>
                <w:b/>
                <w:color w:val="000000" w:themeColor="text1"/>
                <w:szCs w:val="16"/>
              </w:rPr>
            </w:pPr>
            <w:r w:rsidRPr="00ED172B">
              <w:rPr>
                <w:rFonts w:cs="Arial"/>
                <w:b/>
                <w:color w:val="000000" w:themeColor="text1"/>
                <w:szCs w:val="16"/>
              </w:rPr>
              <w:t>Percentage of Total</w:t>
            </w:r>
          </w:p>
        </w:tc>
      </w:tr>
      <w:tr w:rsidR="008320B5" w:rsidRPr="00ED172B" w14:paraId="26737EED" w14:textId="77777777" w:rsidTr="008320B5">
        <w:trPr>
          <w:trHeight w:val="361"/>
        </w:trPr>
        <w:tc>
          <w:tcPr>
            <w:tcW w:w="3287" w:type="pct"/>
            <w:shd w:val="clear" w:color="auto" w:fill="auto"/>
            <w:vAlign w:val="center"/>
          </w:tcPr>
          <w:p w14:paraId="691DDF31" w14:textId="77777777" w:rsidR="008320B5" w:rsidRPr="00ED172B" w:rsidRDefault="008320B5" w:rsidP="008320B5">
            <w:pPr>
              <w:rPr>
                <w:rFonts w:cs="Arial"/>
                <w:color w:val="000000" w:themeColor="text1"/>
                <w:szCs w:val="16"/>
              </w:rPr>
            </w:pPr>
            <w:r w:rsidRPr="00ED172B">
              <w:rPr>
                <w:rFonts w:cs="Arial"/>
                <w:color w:val="000000" w:themeColor="text1"/>
                <w:szCs w:val="16"/>
              </w:rPr>
              <w:t>a. Infants and toddlers who did not improve functioning</w:t>
            </w:r>
          </w:p>
        </w:tc>
        <w:tc>
          <w:tcPr>
            <w:tcW w:w="780" w:type="pct"/>
            <w:shd w:val="clear" w:color="auto" w:fill="auto"/>
            <w:vAlign w:val="center"/>
          </w:tcPr>
          <w:p w14:paraId="3A083BFC" w14:textId="1868720F" w:rsidR="008320B5" w:rsidRPr="00ED172B" w:rsidRDefault="008320B5" w:rsidP="008320B5">
            <w:pPr>
              <w:jc w:val="center"/>
              <w:rPr>
                <w:rFonts w:cs="Arial"/>
                <w:color w:val="000000" w:themeColor="text1"/>
                <w:szCs w:val="16"/>
              </w:rPr>
            </w:pPr>
            <w:r w:rsidRPr="00ED172B">
              <w:rPr>
                <w:rFonts w:cs="Arial"/>
                <w:color w:val="000000" w:themeColor="text1"/>
                <w:szCs w:val="16"/>
              </w:rPr>
              <w:t>51</w:t>
            </w:r>
          </w:p>
        </w:tc>
        <w:tc>
          <w:tcPr>
            <w:tcW w:w="933" w:type="pct"/>
            <w:shd w:val="clear" w:color="auto" w:fill="auto"/>
            <w:vAlign w:val="center"/>
          </w:tcPr>
          <w:p w14:paraId="68F1FC93" w14:textId="7D762D97" w:rsidR="008320B5" w:rsidRPr="00ED172B" w:rsidRDefault="008320B5" w:rsidP="008320B5">
            <w:pPr>
              <w:jc w:val="center"/>
              <w:rPr>
                <w:rFonts w:cs="Arial"/>
                <w:color w:val="000000" w:themeColor="text1"/>
                <w:szCs w:val="16"/>
              </w:rPr>
            </w:pPr>
            <w:r w:rsidRPr="00ED172B">
              <w:rPr>
                <w:rFonts w:cs="Arial"/>
                <w:color w:val="000000" w:themeColor="text1"/>
                <w:szCs w:val="16"/>
              </w:rPr>
              <w:t>1.58%</w:t>
            </w:r>
          </w:p>
        </w:tc>
      </w:tr>
      <w:tr w:rsidR="008320B5" w:rsidRPr="00ED172B" w14:paraId="288AFB66" w14:textId="77777777" w:rsidTr="008320B5">
        <w:trPr>
          <w:trHeight w:val="361"/>
        </w:trPr>
        <w:tc>
          <w:tcPr>
            <w:tcW w:w="3287" w:type="pct"/>
            <w:shd w:val="clear" w:color="auto" w:fill="auto"/>
            <w:vAlign w:val="center"/>
          </w:tcPr>
          <w:p w14:paraId="37D916AD" w14:textId="77777777" w:rsidR="008320B5" w:rsidRPr="00ED172B" w:rsidRDefault="008320B5" w:rsidP="008320B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780" w:type="pct"/>
            <w:shd w:val="clear" w:color="auto" w:fill="auto"/>
            <w:vAlign w:val="center"/>
          </w:tcPr>
          <w:p w14:paraId="1E47B6C1" w14:textId="25F0DF4F" w:rsidR="008320B5" w:rsidRPr="00ED172B" w:rsidRDefault="008320B5" w:rsidP="008320B5">
            <w:pPr>
              <w:jc w:val="center"/>
              <w:rPr>
                <w:rFonts w:cs="Arial"/>
                <w:color w:val="000000" w:themeColor="text1"/>
                <w:szCs w:val="16"/>
              </w:rPr>
            </w:pPr>
            <w:r w:rsidRPr="00ED172B">
              <w:rPr>
                <w:rFonts w:cs="Arial"/>
                <w:color w:val="000000" w:themeColor="text1"/>
                <w:szCs w:val="16"/>
              </w:rPr>
              <w:t>968</w:t>
            </w:r>
          </w:p>
        </w:tc>
        <w:tc>
          <w:tcPr>
            <w:tcW w:w="933" w:type="pct"/>
            <w:shd w:val="clear" w:color="auto" w:fill="auto"/>
            <w:vAlign w:val="center"/>
          </w:tcPr>
          <w:p w14:paraId="403ABDAA" w14:textId="14B26DF7" w:rsidR="008320B5" w:rsidRPr="00ED172B" w:rsidRDefault="008320B5" w:rsidP="008320B5">
            <w:pPr>
              <w:jc w:val="center"/>
              <w:rPr>
                <w:rFonts w:cs="Arial"/>
                <w:color w:val="000000" w:themeColor="text1"/>
                <w:szCs w:val="16"/>
              </w:rPr>
            </w:pPr>
            <w:r w:rsidRPr="00ED172B">
              <w:rPr>
                <w:rFonts w:cs="Arial"/>
                <w:color w:val="000000" w:themeColor="text1"/>
                <w:szCs w:val="16"/>
              </w:rPr>
              <w:t>29.89%</w:t>
            </w:r>
          </w:p>
        </w:tc>
      </w:tr>
      <w:tr w:rsidR="008320B5" w:rsidRPr="00ED172B" w14:paraId="73038092" w14:textId="77777777" w:rsidTr="008320B5">
        <w:trPr>
          <w:trHeight w:val="361"/>
        </w:trPr>
        <w:tc>
          <w:tcPr>
            <w:tcW w:w="3287" w:type="pct"/>
            <w:shd w:val="clear" w:color="auto" w:fill="auto"/>
            <w:vAlign w:val="center"/>
          </w:tcPr>
          <w:p w14:paraId="76DB4D52" w14:textId="77777777" w:rsidR="008320B5" w:rsidRPr="00ED172B" w:rsidRDefault="008320B5" w:rsidP="008320B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780" w:type="pct"/>
            <w:shd w:val="clear" w:color="auto" w:fill="auto"/>
            <w:vAlign w:val="center"/>
          </w:tcPr>
          <w:p w14:paraId="563237C0" w14:textId="24B3A202" w:rsidR="008320B5" w:rsidRPr="00ED172B" w:rsidRDefault="008320B5" w:rsidP="008320B5">
            <w:pPr>
              <w:jc w:val="center"/>
              <w:rPr>
                <w:rFonts w:cs="Arial"/>
                <w:color w:val="000000" w:themeColor="text1"/>
                <w:szCs w:val="16"/>
              </w:rPr>
            </w:pPr>
            <w:r w:rsidRPr="00ED172B">
              <w:rPr>
                <w:rFonts w:cs="Arial"/>
                <w:color w:val="000000" w:themeColor="text1"/>
                <w:szCs w:val="16"/>
              </w:rPr>
              <w:t>1,193</w:t>
            </w:r>
          </w:p>
        </w:tc>
        <w:tc>
          <w:tcPr>
            <w:tcW w:w="933" w:type="pct"/>
            <w:shd w:val="clear" w:color="auto" w:fill="auto"/>
            <w:vAlign w:val="center"/>
          </w:tcPr>
          <w:p w14:paraId="5F91AF6B" w14:textId="1C315B00" w:rsidR="008320B5" w:rsidRPr="00ED172B" w:rsidRDefault="008320B5" w:rsidP="008320B5">
            <w:pPr>
              <w:jc w:val="center"/>
              <w:rPr>
                <w:rFonts w:cs="Arial"/>
                <w:color w:val="000000" w:themeColor="text1"/>
                <w:szCs w:val="16"/>
              </w:rPr>
            </w:pPr>
            <w:r w:rsidRPr="00ED172B">
              <w:rPr>
                <w:rFonts w:cs="Arial"/>
                <w:color w:val="000000" w:themeColor="text1"/>
                <w:szCs w:val="16"/>
              </w:rPr>
              <w:t>36.84%</w:t>
            </w:r>
          </w:p>
        </w:tc>
      </w:tr>
      <w:tr w:rsidR="008320B5" w:rsidRPr="00ED172B" w14:paraId="3BA408AE" w14:textId="77777777" w:rsidTr="008320B5">
        <w:trPr>
          <w:trHeight w:val="361"/>
        </w:trPr>
        <w:tc>
          <w:tcPr>
            <w:tcW w:w="3287" w:type="pct"/>
            <w:shd w:val="clear" w:color="auto" w:fill="auto"/>
            <w:vAlign w:val="center"/>
          </w:tcPr>
          <w:p w14:paraId="68686609" w14:textId="77777777" w:rsidR="008320B5" w:rsidRPr="00ED172B" w:rsidRDefault="008320B5" w:rsidP="008320B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780" w:type="pct"/>
            <w:shd w:val="clear" w:color="auto" w:fill="auto"/>
            <w:vAlign w:val="center"/>
          </w:tcPr>
          <w:p w14:paraId="081F50FF" w14:textId="1A5AE512" w:rsidR="008320B5" w:rsidRPr="00ED172B" w:rsidRDefault="008320B5" w:rsidP="008320B5">
            <w:pPr>
              <w:jc w:val="center"/>
              <w:rPr>
                <w:rFonts w:cs="Arial"/>
                <w:color w:val="000000" w:themeColor="text1"/>
                <w:szCs w:val="16"/>
              </w:rPr>
            </w:pPr>
            <w:r w:rsidRPr="00ED172B">
              <w:rPr>
                <w:rFonts w:cs="Arial"/>
                <w:color w:val="000000" w:themeColor="text1"/>
                <w:szCs w:val="16"/>
              </w:rPr>
              <w:t>564</w:t>
            </w:r>
          </w:p>
        </w:tc>
        <w:tc>
          <w:tcPr>
            <w:tcW w:w="933" w:type="pct"/>
            <w:shd w:val="clear" w:color="auto" w:fill="auto"/>
            <w:vAlign w:val="center"/>
          </w:tcPr>
          <w:p w14:paraId="3473056D" w14:textId="2C7CC04E" w:rsidR="008320B5" w:rsidRPr="00ED172B" w:rsidRDefault="008320B5" w:rsidP="008320B5">
            <w:pPr>
              <w:jc w:val="center"/>
              <w:rPr>
                <w:rFonts w:cs="Arial"/>
                <w:color w:val="000000" w:themeColor="text1"/>
                <w:szCs w:val="16"/>
              </w:rPr>
            </w:pPr>
            <w:r w:rsidRPr="00ED172B">
              <w:rPr>
                <w:rFonts w:cs="Arial"/>
                <w:color w:val="000000" w:themeColor="text1"/>
                <w:szCs w:val="16"/>
              </w:rPr>
              <w:t>17.42%</w:t>
            </w:r>
          </w:p>
        </w:tc>
      </w:tr>
      <w:tr w:rsidR="008320B5" w:rsidRPr="00ED172B" w14:paraId="6C8244B9" w14:textId="77777777" w:rsidTr="008320B5">
        <w:trPr>
          <w:trHeight w:val="361"/>
        </w:trPr>
        <w:tc>
          <w:tcPr>
            <w:tcW w:w="3287" w:type="pct"/>
            <w:shd w:val="clear" w:color="auto" w:fill="auto"/>
            <w:vAlign w:val="center"/>
          </w:tcPr>
          <w:p w14:paraId="1EEDCC23" w14:textId="77777777" w:rsidR="008320B5" w:rsidRPr="00ED172B" w:rsidRDefault="008320B5" w:rsidP="008320B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780" w:type="pct"/>
            <w:shd w:val="clear" w:color="auto" w:fill="auto"/>
            <w:vAlign w:val="center"/>
          </w:tcPr>
          <w:p w14:paraId="23BD14C9" w14:textId="2C129BD0" w:rsidR="008320B5" w:rsidRPr="00ED172B" w:rsidRDefault="008320B5" w:rsidP="008320B5">
            <w:pPr>
              <w:jc w:val="center"/>
              <w:rPr>
                <w:rFonts w:cs="Arial"/>
                <w:color w:val="000000" w:themeColor="text1"/>
                <w:szCs w:val="16"/>
              </w:rPr>
            </w:pPr>
            <w:r w:rsidRPr="00ED172B">
              <w:rPr>
                <w:rFonts w:cs="Arial"/>
                <w:color w:val="000000" w:themeColor="text1"/>
                <w:szCs w:val="16"/>
              </w:rPr>
              <w:t>462</w:t>
            </w:r>
          </w:p>
        </w:tc>
        <w:tc>
          <w:tcPr>
            <w:tcW w:w="933" w:type="pct"/>
            <w:shd w:val="clear" w:color="auto" w:fill="auto"/>
            <w:vAlign w:val="center"/>
          </w:tcPr>
          <w:p w14:paraId="27D33418" w14:textId="48EA37BE" w:rsidR="008320B5" w:rsidRPr="00ED172B" w:rsidRDefault="008320B5" w:rsidP="008320B5">
            <w:pPr>
              <w:jc w:val="center"/>
              <w:rPr>
                <w:rFonts w:cs="Arial"/>
                <w:color w:val="000000" w:themeColor="text1"/>
                <w:szCs w:val="16"/>
              </w:rPr>
            </w:pPr>
            <w:r w:rsidRPr="00ED172B">
              <w:rPr>
                <w:rFonts w:cs="Arial"/>
                <w:color w:val="000000" w:themeColor="text1"/>
                <w:szCs w:val="16"/>
              </w:rPr>
              <w:t>14.27%</w:t>
            </w:r>
          </w:p>
        </w:tc>
      </w:tr>
    </w:tbl>
    <w:p w14:paraId="5C935C66" w14:textId="77777777" w:rsidR="001A4B29" w:rsidRPr="00ED172B" w:rsidRDefault="001A4B29" w:rsidP="00834FB7">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14"/>
      </w:tblPr>
      <w:tblGrid>
        <w:gridCol w:w="2425"/>
        <w:gridCol w:w="1170"/>
        <w:gridCol w:w="1260"/>
        <w:gridCol w:w="1350"/>
        <w:gridCol w:w="1440"/>
        <w:gridCol w:w="1260"/>
        <w:gridCol w:w="990"/>
        <w:gridCol w:w="895"/>
      </w:tblGrid>
      <w:tr w:rsidR="00ED172B" w:rsidRPr="00ED172B" w14:paraId="426DC907" w14:textId="77777777" w:rsidTr="00986B99">
        <w:trPr>
          <w:tblHeader/>
        </w:trPr>
        <w:tc>
          <w:tcPr>
            <w:tcW w:w="2425" w:type="dxa"/>
            <w:shd w:val="clear" w:color="auto" w:fill="auto"/>
            <w:vAlign w:val="bottom"/>
          </w:tcPr>
          <w:p w14:paraId="1C4CA42D" w14:textId="2558B442" w:rsidR="00037032" w:rsidRPr="00A40EE1" w:rsidRDefault="008320B5" w:rsidP="00B83404">
            <w:pPr>
              <w:rPr>
                <w:b/>
                <w:bCs/>
                <w:color w:val="000000" w:themeColor="text1"/>
              </w:rPr>
            </w:pPr>
            <w:r w:rsidRPr="00A40EE1">
              <w:rPr>
                <w:b/>
                <w:bCs/>
                <w:color w:val="000000" w:themeColor="text1"/>
              </w:rPr>
              <w:t>Outcome B</w:t>
            </w:r>
          </w:p>
        </w:tc>
        <w:tc>
          <w:tcPr>
            <w:tcW w:w="1170" w:type="dxa"/>
            <w:shd w:val="clear" w:color="auto" w:fill="auto"/>
            <w:vAlign w:val="bottom"/>
          </w:tcPr>
          <w:p w14:paraId="43431423" w14:textId="77777777" w:rsidR="00037032" w:rsidRPr="00ED172B" w:rsidRDefault="00037032" w:rsidP="00037032">
            <w:pPr>
              <w:keepNext/>
              <w:jc w:val="center"/>
              <w:rPr>
                <w:b/>
                <w:color w:val="000000" w:themeColor="text1"/>
                <w:szCs w:val="16"/>
              </w:rPr>
            </w:pPr>
            <w:r w:rsidRPr="00ED172B">
              <w:rPr>
                <w:b/>
                <w:color w:val="000000" w:themeColor="text1"/>
                <w:szCs w:val="16"/>
              </w:rPr>
              <w:t>Numerator</w:t>
            </w:r>
          </w:p>
        </w:tc>
        <w:tc>
          <w:tcPr>
            <w:tcW w:w="1260" w:type="dxa"/>
            <w:shd w:val="clear" w:color="auto" w:fill="auto"/>
            <w:vAlign w:val="bottom"/>
          </w:tcPr>
          <w:p w14:paraId="7F68489F" w14:textId="77777777" w:rsidR="00037032" w:rsidRPr="00ED172B" w:rsidRDefault="00037032" w:rsidP="00037032">
            <w:pPr>
              <w:keepNext/>
              <w:jc w:val="center"/>
              <w:rPr>
                <w:b/>
                <w:color w:val="000000" w:themeColor="text1"/>
                <w:szCs w:val="16"/>
              </w:rPr>
            </w:pPr>
            <w:r w:rsidRPr="00ED172B">
              <w:rPr>
                <w:b/>
                <w:color w:val="000000" w:themeColor="text1"/>
                <w:szCs w:val="16"/>
              </w:rPr>
              <w:t>Denominator</w:t>
            </w:r>
          </w:p>
        </w:tc>
        <w:tc>
          <w:tcPr>
            <w:tcW w:w="1350" w:type="dxa"/>
            <w:shd w:val="clear" w:color="auto" w:fill="auto"/>
            <w:vAlign w:val="bottom"/>
          </w:tcPr>
          <w:p w14:paraId="5EB6E7A8" w14:textId="64BF4F09" w:rsidR="00037032" w:rsidRPr="00ED172B" w:rsidRDefault="00CD74B5" w:rsidP="00037032">
            <w:pPr>
              <w:keepNext/>
              <w:jc w:val="center"/>
              <w:rPr>
                <w:b/>
                <w:color w:val="000000" w:themeColor="text1"/>
                <w:szCs w:val="16"/>
              </w:rPr>
            </w:pPr>
            <w:r>
              <w:rPr>
                <w:rFonts w:cs="Arial"/>
                <w:b/>
                <w:color w:val="000000" w:themeColor="text1"/>
                <w:szCs w:val="16"/>
              </w:rPr>
              <w:t>FFY 2021 Data</w:t>
            </w:r>
          </w:p>
        </w:tc>
        <w:tc>
          <w:tcPr>
            <w:tcW w:w="1440" w:type="dxa"/>
            <w:shd w:val="clear" w:color="auto" w:fill="auto"/>
            <w:vAlign w:val="bottom"/>
          </w:tcPr>
          <w:p w14:paraId="29E20774" w14:textId="1A47EA75" w:rsidR="00037032" w:rsidRPr="00ED172B" w:rsidRDefault="00F22D09" w:rsidP="00037032">
            <w:pPr>
              <w:keepNext/>
              <w:jc w:val="center"/>
              <w:rPr>
                <w:b/>
                <w:color w:val="000000" w:themeColor="text1"/>
                <w:szCs w:val="16"/>
              </w:rPr>
            </w:pPr>
            <w:r>
              <w:rPr>
                <w:rFonts w:cs="Arial"/>
                <w:b/>
                <w:color w:val="000000" w:themeColor="text1"/>
                <w:szCs w:val="16"/>
              </w:rPr>
              <w:t>FFY 2022 Target</w:t>
            </w:r>
          </w:p>
        </w:tc>
        <w:tc>
          <w:tcPr>
            <w:tcW w:w="1260" w:type="dxa"/>
            <w:shd w:val="clear" w:color="auto" w:fill="auto"/>
            <w:vAlign w:val="bottom"/>
          </w:tcPr>
          <w:p w14:paraId="5F44A470" w14:textId="53FA4A58" w:rsidR="00037032" w:rsidRPr="00ED172B" w:rsidRDefault="00F22D09" w:rsidP="00037032">
            <w:pPr>
              <w:keepNext/>
              <w:jc w:val="center"/>
              <w:rPr>
                <w:b/>
                <w:color w:val="000000" w:themeColor="text1"/>
                <w:szCs w:val="16"/>
              </w:rPr>
            </w:pPr>
            <w:r>
              <w:rPr>
                <w:rFonts w:cs="Arial"/>
                <w:b/>
                <w:color w:val="000000" w:themeColor="text1"/>
                <w:szCs w:val="16"/>
              </w:rPr>
              <w:t>FFY 2022 Data</w:t>
            </w:r>
          </w:p>
        </w:tc>
        <w:tc>
          <w:tcPr>
            <w:tcW w:w="990" w:type="dxa"/>
            <w:shd w:val="clear" w:color="auto" w:fill="auto"/>
            <w:vAlign w:val="bottom"/>
          </w:tcPr>
          <w:p w14:paraId="67653879" w14:textId="77777777" w:rsidR="00037032" w:rsidRPr="00ED172B" w:rsidRDefault="00037032" w:rsidP="00037032">
            <w:pPr>
              <w:keepNext/>
              <w:jc w:val="center"/>
              <w:rPr>
                <w:b/>
                <w:color w:val="000000" w:themeColor="text1"/>
                <w:szCs w:val="16"/>
              </w:rPr>
            </w:pPr>
            <w:r w:rsidRPr="00ED172B">
              <w:rPr>
                <w:b/>
                <w:color w:val="000000" w:themeColor="text1"/>
                <w:szCs w:val="16"/>
              </w:rPr>
              <w:t>Status</w:t>
            </w:r>
          </w:p>
        </w:tc>
        <w:tc>
          <w:tcPr>
            <w:tcW w:w="895" w:type="dxa"/>
            <w:shd w:val="clear" w:color="auto" w:fill="auto"/>
            <w:vAlign w:val="bottom"/>
          </w:tcPr>
          <w:p w14:paraId="3134675B" w14:textId="77777777" w:rsidR="00037032" w:rsidRPr="00ED172B" w:rsidRDefault="00037032" w:rsidP="00037032">
            <w:pPr>
              <w:keepNext/>
              <w:jc w:val="center"/>
              <w:rPr>
                <w:b/>
                <w:color w:val="000000" w:themeColor="text1"/>
                <w:szCs w:val="16"/>
              </w:rPr>
            </w:pPr>
            <w:r w:rsidRPr="00ED172B">
              <w:rPr>
                <w:b/>
                <w:color w:val="000000" w:themeColor="text1"/>
                <w:szCs w:val="16"/>
              </w:rPr>
              <w:t>Slippage</w:t>
            </w:r>
          </w:p>
        </w:tc>
      </w:tr>
      <w:tr w:rsidR="00ED172B" w:rsidRPr="00ED172B" w14:paraId="72C37BA4" w14:textId="77777777" w:rsidTr="00986B99">
        <w:tc>
          <w:tcPr>
            <w:tcW w:w="2425" w:type="dxa"/>
            <w:shd w:val="clear" w:color="auto" w:fill="auto"/>
          </w:tcPr>
          <w:p w14:paraId="2B9C0382" w14:textId="75222183" w:rsidR="0025243E" w:rsidRPr="00ED172B" w:rsidRDefault="0025243E" w:rsidP="0025243E">
            <w:pPr>
              <w:rPr>
                <w:color w:val="000000" w:themeColor="text1"/>
                <w:szCs w:val="16"/>
              </w:rPr>
            </w:pPr>
            <w:r w:rsidRPr="00ED172B">
              <w:rPr>
                <w:color w:val="000000" w:themeColor="text1"/>
                <w:szCs w:val="16"/>
              </w:rPr>
              <w:t>B1. Of those children who entered or exited the program below age expectations in Outcome B, the percent who substantially increased their rate of growth by the time they turned 3 years of age or exited the program</w:t>
            </w:r>
          </w:p>
        </w:tc>
        <w:tc>
          <w:tcPr>
            <w:tcW w:w="1170" w:type="dxa"/>
            <w:shd w:val="clear" w:color="auto" w:fill="auto"/>
            <w:vAlign w:val="center"/>
          </w:tcPr>
          <w:p w14:paraId="1B3F5F8E" w14:textId="16D7DA0C" w:rsidR="0025243E" w:rsidRPr="00ED172B" w:rsidRDefault="00860830" w:rsidP="0025243E">
            <w:pPr>
              <w:pStyle w:val="Explain"/>
              <w:jc w:val="center"/>
              <w:rPr>
                <w:color w:val="000000" w:themeColor="text1"/>
                <w:szCs w:val="16"/>
              </w:rPr>
            </w:pPr>
            <w:r w:rsidRPr="00ED172B">
              <w:rPr>
                <w:rFonts w:cs="Arial"/>
                <w:color w:val="000000" w:themeColor="text1"/>
                <w:szCs w:val="16"/>
              </w:rPr>
              <w:t>1,757</w:t>
            </w:r>
          </w:p>
        </w:tc>
        <w:tc>
          <w:tcPr>
            <w:tcW w:w="1260" w:type="dxa"/>
            <w:shd w:val="clear" w:color="auto" w:fill="auto"/>
            <w:vAlign w:val="center"/>
          </w:tcPr>
          <w:p w14:paraId="69418F71" w14:textId="0A3DF352" w:rsidR="0025243E" w:rsidRPr="00ED172B" w:rsidRDefault="00860830" w:rsidP="0025243E">
            <w:pPr>
              <w:pStyle w:val="Explain"/>
              <w:jc w:val="center"/>
              <w:rPr>
                <w:color w:val="000000" w:themeColor="text1"/>
                <w:szCs w:val="16"/>
              </w:rPr>
            </w:pPr>
            <w:r w:rsidRPr="00ED172B">
              <w:rPr>
                <w:rFonts w:cs="Arial"/>
                <w:color w:val="000000" w:themeColor="text1"/>
                <w:szCs w:val="16"/>
              </w:rPr>
              <w:t>2,776</w:t>
            </w:r>
          </w:p>
        </w:tc>
        <w:tc>
          <w:tcPr>
            <w:tcW w:w="1350" w:type="dxa"/>
            <w:shd w:val="clear" w:color="auto" w:fill="auto"/>
            <w:vAlign w:val="center"/>
          </w:tcPr>
          <w:p w14:paraId="1328DF7C" w14:textId="3BBB4246" w:rsidR="0025243E" w:rsidRPr="00ED172B" w:rsidRDefault="00860830" w:rsidP="0025243E">
            <w:pPr>
              <w:jc w:val="center"/>
              <w:rPr>
                <w:color w:val="000000" w:themeColor="text1"/>
                <w:szCs w:val="16"/>
              </w:rPr>
            </w:pPr>
            <w:r w:rsidRPr="00ED172B">
              <w:rPr>
                <w:rFonts w:cs="Arial"/>
                <w:color w:val="000000" w:themeColor="text1"/>
                <w:szCs w:val="16"/>
              </w:rPr>
              <w:t>60.34%</w:t>
            </w:r>
          </w:p>
        </w:tc>
        <w:tc>
          <w:tcPr>
            <w:tcW w:w="1440" w:type="dxa"/>
            <w:shd w:val="clear" w:color="auto" w:fill="auto"/>
            <w:vAlign w:val="center"/>
          </w:tcPr>
          <w:p w14:paraId="22124E13" w14:textId="0EE25560" w:rsidR="0025243E" w:rsidRPr="00ED172B" w:rsidRDefault="001E39E3" w:rsidP="001E39E3">
            <w:pPr>
              <w:jc w:val="center"/>
              <w:rPr>
                <w:color w:val="000000" w:themeColor="text1"/>
              </w:rPr>
            </w:pPr>
            <w:r w:rsidRPr="00ED172B">
              <w:rPr>
                <w:color w:val="000000" w:themeColor="text1"/>
              </w:rPr>
              <w:t>68.10%</w:t>
            </w:r>
          </w:p>
        </w:tc>
        <w:tc>
          <w:tcPr>
            <w:tcW w:w="1260" w:type="dxa"/>
            <w:shd w:val="clear" w:color="auto" w:fill="auto"/>
            <w:vAlign w:val="center"/>
          </w:tcPr>
          <w:p w14:paraId="3349E0F5" w14:textId="45710C91" w:rsidR="0025243E" w:rsidRPr="00ED172B" w:rsidRDefault="00860830" w:rsidP="0025243E">
            <w:pPr>
              <w:jc w:val="center"/>
              <w:rPr>
                <w:color w:val="000000" w:themeColor="text1"/>
                <w:szCs w:val="16"/>
              </w:rPr>
            </w:pPr>
            <w:r w:rsidRPr="00ED172B">
              <w:rPr>
                <w:rFonts w:cs="Arial"/>
                <w:color w:val="000000" w:themeColor="text1"/>
                <w:szCs w:val="16"/>
              </w:rPr>
              <w:t>63.29%</w:t>
            </w:r>
          </w:p>
        </w:tc>
        <w:tc>
          <w:tcPr>
            <w:tcW w:w="990" w:type="dxa"/>
            <w:shd w:val="clear" w:color="auto" w:fill="auto"/>
            <w:vAlign w:val="center"/>
          </w:tcPr>
          <w:p w14:paraId="3447D75E" w14:textId="06809E10" w:rsidR="0025243E" w:rsidRPr="00ED172B" w:rsidRDefault="00860830" w:rsidP="0025243E">
            <w:pPr>
              <w:jc w:val="center"/>
              <w:rPr>
                <w:color w:val="000000" w:themeColor="text1"/>
                <w:szCs w:val="16"/>
              </w:rPr>
            </w:pPr>
            <w:r w:rsidRPr="00ED172B">
              <w:rPr>
                <w:rFonts w:cs="Arial"/>
                <w:color w:val="000000" w:themeColor="text1"/>
                <w:szCs w:val="16"/>
              </w:rPr>
              <w:t>Did not meet target</w:t>
            </w:r>
          </w:p>
        </w:tc>
        <w:tc>
          <w:tcPr>
            <w:tcW w:w="895" w:type="dxa"/>
            <w:shd w:val="clear" w:color="auto" w:fill="auto"/>
            <w:vAlign w:val="center"/>
          </w:tcPr>
          <w:p w14:paraId="431E0C1D" w14:textId="1EB28E25" w:rsidR="0025243E" w:rsidRPr="00ED172B" w:rsidRDefault="00860830" w:rsidP="0025243E">
            <w:pPr>
              <w:jc w:val="center"/>
              <w:rPr>
                <w:color w:val="000000" w:themeColor="text1"/>
                <w:szCs w:val="16"/>
              </w:rPr>
            </w:pPr>
            <w:r w:rsidRPr="00ED172B">
              <w:rPr>
                <w:rFonts w:cs="Arial"/>
                <w:color w:val="000000" w:themeColor="text1"/>
                <w:szCs w:val="16"/>
              </w:rPr>
              <w:t>No Slippage</w:t>
            </w:r>
          </w:p>
        </w:tc>
      </w:tr>
      <w:tr w:rsidR="00ED172B" w:rsidRPr="00ED172B" w14:paraId="2CC355D5" w14:textId="77777777" w:rsidTr="00986B99">
        <w:tc>
          <w:tcPr>
            <w:tcW w:w="2425" w:type="dxa"/>
            <w:shd w:val="clear" w:color="auto" w:fill="auto"/>
          </w:tcPr>
          <w:p w14:paraId="3A58CD95" w14:textId="662FCD97" w:rsidR="0025243E" w:rsidRPr="00ED172B" w:rsidRDefault="0025243E" w:rsidP="0025243E">
            <w:pPr>
              <w:rPr>
                <w:color w:val="000000" w:themeColor="text1"/>
                <w:szCs w:val="16"/>
              </w:rPr>
            </w:pPr>
            <w:r w:rsidRPr="00ED172B">
              <w:rPr>
                <w:color w:val="000000" w:themeColor="text1"/>
                <w:szCs w:val="16"/>
              </w:rPr>
              <w:t>B2. The percent of infants and toddlers who were functioning within age expectations in Outcome B by the time they turned 3 years of age or exited the program</w:t>
            </w:r>
          </w:p>
        </w:tc>
        <w:tc>
          <w:tcPr>
            <w:tcW w:w="1170" w:type="dxa"/>
            <w:shd w:val="clear" w:color="auto" w:fill="auto"/>
            <w:vAlign w:val="center"/>
          </w:tcPr>
          <w:p w14:paraId="7BD3B0C8" w14:textId="05D543FE" w:rsidR="0025243E" w:rsidRPr="00ED172B" w:rsidRDefault="00860830" w:rsidP="0025243E">
            <w:pPr>
              <w:pStyle w:val="Explain"/>
              <w:jc w:val="center"/>
              <w:rPr>
                <w:color w:val="000000" w:themeColor="text1"/>
                <w:szCs w:val="16"/>
              </w:rPr>
            </w:pPr>
            <w:r w:rsidRPr="00ED172B">
              <w:rPr>
                <w:rFonts w:cs="Arial"/>
                <w:color w:val="000000" w:themeColor="text1"/>
                <w:szCs w:val="16"/>
              </w:rPr>
              <w:t>1,026</w:t>
            </w:r>
          </w:p>
        </w:tc>
        <w:tc>
          <w:tcPr>
            <w:tcW w:w="1260" w:type="dxa"/>
            <w:shd w:val="clear" w:color="auto" w:fill="auto"/>
            <w:vAlign w:val="center"/>
          </w:tcPr>
          <w:p w14:paraId="0331D8D4" w14:textId="0C26EA63" w:rsidR="0025243E" w:rsidRPr="00ED172B" w:rsidRDefault="00860830" w:rsidP="0025243E">
            <w:pPr>
              <w:pStyle w:val="Explain"/>
              <w:jc w:val="center"/>
              <w:rPr>
                <w:color w:val="000000" w:themeColor="text1"/>
                <w:szCs w:val="16"/>
              </w:rPr>
            </w:pPr>
            <w:r w:rsidRPr="00ED172B">
              <w:rPr>
                <w:rFonts w:cs="Arial"/>
                <w:color w:val="000000" w:themeColor="text1"/>
                <w:szCs w:val="16"/>
              </w:rPr>
              <w:t>3,238</w:t>
            </w:r>
          </w:p>
        </w:tc>
        <w:tc>
          <w:tcPr>
            <w:tcW w:w="1350" w:type="dxa"/>
            <w:shd w:val="clear" w:color="auto" w:fill="auto"/>
            <w:vAlign w:val="center"/>
          </w:tcPr>
          <w:p w14:paraId="2A57ED59" w14:textId="66F4F203" w:rsidR="0025243E" w:rsidRPr="00ED172B" w:rsidRDefault="00860830" w:rsidP="0025243E">
            <w:pPr>
              <w:jc w:val="center"/>
              <w:rPr>
                <w:color w:val="000000" w:themeColor="text1"/>
                <w:szCs w:val="16"/>
              </w:rPr>
            </w:pPr>
            <w:r w:rsidRPr="00ED172B">
              <w:rPr>
                <w:rFonts w:cs="Arial"/>
                <w:color w:val="000000" w:themeColor="text1"/>
                <w:szCs w:val="16"/>
              </w:rPr>
              <w:t>33.65%</w:t>
            </w:r>
          </w:p>
        </w:tc>
        <w:tc>
          <w:tcPr>
            <w:tcW w:w="1440" w:type="dxa"/>
            <w:shd w:val="clear" w:color="auto" w:fill="auto"/>
            <w:vAlign w:val="center"/>
          </w:tcPr>
          <w:p w14:paraId="0A3928E2" w14:textId="4D437C60" w:rsidR="0025243E" w:rsidRPr="00ED172B" w:rsidRDefault="001E39E3" w:rsidP="001E39E3">
            <w:pPr>
              <w:jc w:val="center"/>
              <w:rPr>
                <w:color w:val="000000" w:themeColor="text1"/>
              </w:rPr>
            </w:pPr>
            <w:r w:rsidRPr="00ED172B">
              <w:rPr>
                <w:color w:val="000000" w:themeColor="text1"/>
              </w:rPr>
              <w:t>36.40%</w:t>
            </w:r>
          </w:p>
        </w:tc>
        <w:tc>
          <w:tcPr>
            <w:tcW w:w="1260" w:type="dxa"/>
            <w:shd w:val="clear" w:color="auto" w:fill="auto"/>
            <w:vAlign w:val="center"/>
          </w:tcPr>
          <w:p w14:paraId="4DE21D66" w14:textId="24DBBCB4" w:rsidR="0025243E" w:rsidRPr="00ED172B" w:rsidRDefault="00860830" w:rsidP="0025243E">
            <w:pPr>
              <w:jc w:val="center"/>
              <w:rPr>
                <w:color w:val="000000" w:themeColor="text1"/>
                <w:szCs w:val="16"/>
              </w:rPr>
            </w:pPr>
            <w:r w:rsidRPr="00ED172B">
              <w:rPr>
                <w:rFonts w:cs="Arial"/>
                <w:color w:val="000000" w:themeColor="text1"/>
                <w:szCs w:val="16"/>
              </w:rPr>
              <w:t>31.69%</w:t>
            </w:r>
          </w:p>
        </w:tc>
        <w:tc>
          <w:tcPr>
            <w:tcW w:w="990" w:type="dxa"/>
            <w:shd w:val="clear" w:color="auto" w:fill="auto"/>
            <w:vAlign w:val="center"/>
          </w:tcPr>
          <w:p w14:paraId="768EADD7" w14:textId="4C831686" w:rsidR="0025243E" w:rsidRPr="00ED172B" w:rsidRDefault="00860830" w:rsidP="0025243E">
            <w:pPr>
              <w:jc w:val="center"/>
              <w:rPr>
                <w:color w:val="000000" w:themeColor="text1"/>
                <w:szCs w:val="16"/>
              </w:rPr>
            </w:pPr>
            <w:r w:rsidRPr="00ED172B">
              <w:rPr>
                <w:rFonts w:cs="Arial"/>
                <w:color w:val="000000" w:themeColor="text1"/>
                <w:szCs w:val="16"/>
              </w:rPr>
              <w:t>Did not meet target</w:t>
            </w:r>
          </w:p>
        </w:tc>
        <w:tc>
          <w:tcPr>
            <w:tcW w:w="895" w:type="dxa"/>
            <w:shd w:val="clear" w:color="auto" w:fill="auto"/>
            <w:vAlign w:val="center"/>
          </w:tcPr>
          <w:p w14:paraId="5AAFFE80" w14:textId="1EDD2D3F" w:rsidR="0025243E" w:rsidRPr="00ED172B" w:rsidRDefault="00860830" w:rsidP="0025243E">
            <w:pPr>
              <w:jc w:val="center"/>
              <w:rPr>
                <w:color w:val="000000" w:themeColor="text1"/>
                <w:szCs w:val="16"/>
              </w:rPr>
            </w:pPr>
            <w:r w:rsidRPr="00ED172B">
              <w:rPr>
                <w:rFonts w:cs="Arial"/>
                <w:color w:val="000000" w:themeColor="text1"/>
                <w:szCs w:val="16"/>
              </w:rPr>
              <w:t>Slippage</w:t>
            </w:r>
          </w:p>
        </w:tc>
      </w:tr>
    </w:tbl>
    <w:p w14:paraId="23380375" w14:textId="5FE29863" w:rsidR="0025243E" w:rsidRPr="00ED172B" w:rsidRDefault="0025243E" w:rsidP="0025243E">
      <w:pPr>
        <w:rPr>
          <w:rFonts w:cs="Arial"/>
          <w:b/>
          <w:i/>
          <w:color w:val="000000" w:themeColor="text1"/>
          <w:szCs w:val="16"/>
        </w:rPr>
      </w:pPr>
      <w:r w:rsidRPr="00ED172B">
        <w:rPr>
          <w:rFonts w:cs="Arial"/>
          <w:b/>
          <w:color w:val="000000" w:themeColor="text1"/>
          <w:szCs w:val="16"/>
        </w:rPr>
        <w:t xml:space="preserve">Provide reasons for B2 slippage, if applicable </w:t>
      </w:r>
    </w:p>
    <w:p w14:paraId="36E975F9" w14:textId="38D3082C" w:rsidR="0025243E" w:rsidRDefault="001E39E3" w:rsidP="001E39E3">
      <w:pPr>
        <w:rPr>
          <w:color w:val="000000" w:themeColor="text1"/>
        </w:rPr>
      </w:pPr>
      <w:r w:rsidRPr="00ED172B">
        <w:rPr>
          <w:color w:val="000000" w:themeColor="text1"/>
        </w:rPr>
        <w:t>After review and engagement with regional service providers, there are residual impacts from COVID that have led to practices affecting data quality. These include staff turnover, lack of systemic offering of TA to address child outcomes in infants and toddlers, and limited intervention opportunities to impact exit scores (i.e., the length of time receiving services is shorter due to lost time during COVID).</w:t>
      </w:r>
      <w:r w:rsidRPr="00ED172B">
        <w:rPr>
          <w:color w:val="000000" w:themeColor="text1"/>
        </w:rPr>
        <w:br/>
      </w:r>
      <w:r w:rsidRPr="00ED172B">
        <w:rPr>
          <w:color w:val="000000" w:themeColor="text1"/>
        </w:rPr>
        <w:br/>
      </w:r>
      <w:r w:rsidRPr="00ED172B">
        <w:rPr>
          <w:color w:val="000000" w:themeColor="text1"/>
        </w:rPr>
        <w:lastRenderedPageBreak/>
        <w:t>To address these impacts and understand better the needs of regional service providers, targeted training and TA for EI home visitors and leadership has been addressed in the SSIP, a workgroup was assembled to adopt updated measures and data quality tools for the AEPS, and we have prioritized attention to recruitment and retention in the Comprehensive System of Professional Development Plan.</w:t>
      </w:r>
    </w:p>
    <w:p w14:paraId="59C78231" w14:textId="77777777" w:rsidR="001A4B29" w:rsidRPr="00ED172B" w:rsidRDefault="001A4B29">
      <w:pPr>
        <w:rPr>
          <w:b/>
          <w:color w:val="000000" w:themeColor="text1"/>
        </w:rPr>
      </w:pPr>
      <w:r w:rsidRPr="00ED172B">
        <w:rPr>
          <w:b/>
          <w:color w:val="000000" w:themeColor="text1"/>
        </w:rPr>
        <w:t>Outcome C: Use of appropriate behaviors to meet their needs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15"/>
      </w:tblPr>
      <w:tblGrid>
        <w:gridCol w:w="7227"/>
        <w:gridCol w:w="1783"/>
        <w:gridCol w:w="1780"/>
      </w:tblGrid>
      <w:tr w:rsidR="00ED172B" w:rsidRPr="00ED172B" w14:paraId="0670BD1B" w14:textId="77777777" w:rsidTr="00986B99">
        <w:trPr>
          <w:trHeight w:val="361"/>
          <w:tblHeader/>
        </w:trPr>
        <w:tc>
          <w:tcPr>
            <w:tcW w:w="3349" w:type="pct"/>
            <w:shd w:val="clear" w:color="auto" w:fill="auto"/>
          </w:tcPr>
          <w:p w14:paraId="55DA6E56" w14:textId="69857475" w:rsidR="001A4B29" w:rsidRPr="00ED172B" w:rsidRDefault="008320B5" w:rsidP="00834FB7">
            <w:pPr>
              <w:rPr>
                <w:color w:val="000000" w:themeColor="text1"/>
                <w:szCs w:val="16"/>
              </w:rPr>
            </w:pPr>
            <w:r>
              <w:rPr>
                <w:rFonts w:cs="Arial"/>
                <w:b/>
                <w:color w:val="000000" w:themeColor="text1"/>
                <w:szCs w:val="16"/>
              </w:rPr>
              <w:t xml:space="preserve">Outcome C </w:t>
            </w:r>
            <w:r w:rsidRPr="00227D4B">
              <w:rPr>
                <w:rFonts w:cs="Arial"/>
                <w:b/>
                <w:bCs/>
                <w:color w:val="000000" w:themeColor="text1"/>
                <w:szCs w:val="16"/>
              </w:rPr>
              <w:t xml:space="preserve">Progress </w:t>
            </w:r>
            <w:r>
              <w:rPr>
                <w:rFonts w:cs="Arial"/>
                <w:b/>
                <w:bCs/>
                <w:color w:val="000000" w:themeColor="text1"/>
                <w:szCs w:val="16"/>
              </w:rPr>
              <w:t>C</w:t>
            </w:r>
            <w:r w:rsidRPr="00227D4B">
              <w:rPr>
                <w:rFonts w:cs="Arial"/>
                <w:b/>
                <w:bCs/>
                <w:color w:val="000000" w:themeColor="text1"/>
                <w:szCs w:val="16"/>
              </w:rPr>
              <w:t>ategor</w:t>
            </w:r>
            <w:r>
              <w:rPr>
                <w:rFonts w:cs="Arial"/>
                <w:b/>
                <w:bCs/>
                <w:color w:val="000000" w:themeColor="text1"/>
                <w:szCs w:val="16"/>
              </w:rPr>
              <w:t>y</w:t>
            </w:r>
          </w:p>
        </w:tc>
        <w:tc>
          <w:tcPr>
            <w:tcW w:w="826" w:type="pct"/>
            <w:shd w:val="clear" w:color="auto" w:fill="auto"/>
            <w:vAlign w:val="center"/>
          </w:tcPr>
          <w:p w14:paraId="37C7BF98" w14:textId="77777777" w:rsidR="001A4B29" w:rsidRPr="00ED172B" w:rsidRDefault="001A4B29" w:rsidP="00186420">
            <w:pPr>
              <w:jc w:val="center"/>
              <w:rPr>
                <w:b/>
                <w:color w:val="000000" w:themeColor="text1"/>
                <w:szCs w:val="16"/>
              </w:rPr>
            </w:pPr>
            <w:r w:rsidRPr="00ED172B">
              <w:rPr>
                <w:b/>
                <w:color w:val="000000" w:themeColor="text1"/>
                <w:szCs w:val="16"/>
              </w:rPr>
              <w:t>Number of Children</w:t>
            </w:r>
          </w:p>
        </w:tc>
        <w:tc>
          <w:tcPr>
            <w:tcW w:w="825" w:type="pct"/>
            <w:shd w:val="clear" w:color="auto" w:fill="auto"/>
          </w:tcPr>
          <w:p w14:paraId="050E08B5" w14:textId="77777777" w:rsidR="001A4B29" w:rsidRPr="00ED172B" w:rsidRDefault="001A4B29" w:rsidP="00186420">
            <w:pPr>
              <w:jc w:val="center"/>
              <w:rPr>
                <w:b/>
                <w:color w:val="000000" w:themeColor="text1"/>
                <w:szCs w:val="16"/>
              </w:rPr>
            </w:pPr>
            <w:r w:rsidRPr="00ED172B">
              <w:rPr>
                <w:b/>
                <w:color w:val="000000" w:themeColor="text1"/>
                <w:szCs w:val="16"/>
              </w:rPr>
              <w:t>Percentage of Total</w:t>
            </w:r>
          </w:p>
        </w:tc>
      </w:tr>
      <w:tr w:rsidR="00ED172B" w:rsidRPr="00ED172B" w14:paraId="7046EF17" w14:textId="77777777" w:rsidTr="00986B99">
        <w:trPr>
          <w:trHeight w:val="361"/>
        </w:trPr>
        <w:tc>
          <w:tcPr>
            <w:tcW w:w="3349" w:type="pct"/>
            <w:shd w:val="clear" w:color="auto" w:fill="auto"/>
            <w:vAlign w:val="center"/>
          </w:tcPr>
          <w:p w14:paraId="2E1374E0" w14:textId="77777777" w:rsidR="0025243E" w:rsidRPr="00ED172B" w:rsidRDefault="0025243E" w:rsidP="0025243E">
            <w:pPr>
              <w:rPr>
                <w:color w:val="000000" w:themeColor="text1"/>
                <w:szCs w:val="16"/>
              </w:rPr>
            </w:pPr>
            <w:r w:rsidRPr="00ED172B">
              <w:rPr>
                <w:color w:val="000000" w:themeColor="text1"/>
                <w:szCs w:val="16"/>
              </w:rPr>
              <w:t>a. Infants and toddlers who did not improve functioning</w:t>
            </w:r>
          </w:p>
        </w:tc>
        <w:tc>
          <w:tcPr>
            <w:tcW w:w="826" w:type="pct"/>
            <w:shd w:val="clear" w:color="auto" w:fill="auto"/>
            <w:vAlign w:val="center"/>
          </w:tcPr>
          <w:p w14:paraId="3B777477" w14:textId="18BAA08D" w:rsidR="0025243E" w:rsidRPr="00ED172B" w:rsidRDefault="00860830" w:rsidP="00186420">
            <w:pPr>
              <w:jc w:val="center"/>
              <w:rPr>
                <w:color w:val="000000" w:themeColor="text1"/>
                <w:szCs w:val="16"/>
              </w:rPr>
            </w:pPr>
            <w:r w:rsidRPr="00ED172B">
              <w:rPr>
                <w:rFonts w:cs="Arial"/>
                <w:color w:val="000000" w:themeColor="text1"/>
                <w:szCs w:val="16"/>
              </w:rPr>
              <w:t>36</w:t>
            </w:r>
          </w:p>
        </w:tc>
        <w:tc>
          <w:tcPr>
            <w:tcW w:w="825" w:type="pct"/>
            <w:shd w:val="clear" w:color="auto" w:fill="auto"/>
            <w:vAlign w:val="center"/>
          </w:tcPr>
          <w:p w14:paraId="70BBD0D2" w14:textId="12CFD7D1" w:rsidR="0025243E" w:rsidRPr="00ED172B" w:rsidRDefault="00860830" w:rsidP="00186420">
            <w:pPr>
              <w:jc w:val="center"/>
              <w:rPr>
                <w:color w:val="000000" w:themeColor="text1"/>
                <w:szCs w:val="16"/>
              </w:rPr>
            </w:pPr>
            <w:r w:rsidRPr="00ED172B">
              <w:rPr>
                <w:rFonts w:cs="Arial"/>
                <w:color w:val="000000" w:themeColor="text1"/>
                <w:szCs w:val="16"/>
              </w:rPr>
              <w:t>1.11%</w:t>
            </w:r>
          </w:p>
        </w:tc>
      </w:tr>
      <w:tr w:rsidR="00ED172B" w:rsidRPr="00ED172B" w14:paraId="24C9073D" w14:textId="77777777" w:rsidTr="00986B99">
        <w:trPr>
          <w:trHeight w:val="361"/>
        </w:trPr>
        <w:tc>
          <w:tcPr>
            <w:tcW w:w="3349" w:type="pct"/>
            <w:shd w:val="clear" w:color="auto" w:fill="auto"/>
            <w:vAlign w:val="center"/>
          </w:tcPr>
          <w:p w14:paraId="6C4F2749" w14:textId="77777777" w:rsidR="0025243E" w:rsidRPr="00ED172B" w:rsidRDefault="0025243E" w:rsidP="0025243E">
            <w:pPr>
              <w:rPr>
                <w:color w:val="000000" w:themeColor="text1"/>
                <w:szCs w:val="16"/>
              </w:rPr>
            </w:pPr>
            <w:r w:rsidRPr="00ED172B">
              <w:rPr>
                <w:color w:val="000000" w:themeColor="text1"/>
                <w:szCs w:val="16"/>
              </w:rPr>
              <w:t>b. Infants and toddlers who improved functioning but not sufficient to move nearer to functioning comparable to same-aged peers</w:t>
            </w:r>
          </w:p>
        </w:tc>
        <w:tc>
          <w:tcPr>
            <w:tcW w:w="826" w:type="pct"/>
            <w:shd w:val="clear" w:color="auto" w:fill="auto"/>
            <w:vAlign w:val="center"/>
          </w:tcPr>
          <w:p w14:paraId="33A304F2" w14:textId="12FCFEE3" w:rsidR="0025243E" w:rsidRPr="00ED172B" w:rsidRDefault="00860830" w:rsidP="00186420">
            <w:pPr>
              <w:jc w:val="center"/>
              <w:rPr>
                <w:color w:val="000000" w:themeColor="text1"/>
                <w:szCs w:val="16"/>
              </w:rPr>
            </w:pPr>
            <w:r w:rsidRPr="00ED172B">
              <w:rPr>
                <w:rFonts w:cs="Arial"/>
                <w:color w:val="000000" w:themeColor="text1"/>
                <w:szCs w:val="16"/>
              </w:rPr>
              <w:t>812</w:t>
            </w:r>
          </w:p>
        </w:tc>
        <w:tc>
          <w:tcPr>
            <w:tcW w:w="825" w:type="pct"/>
            <w:shd w:val="clear" w:color="auto" w:fill="auto"/>
            <w:vAlign w:val="center"/>
          </w:tcPr>
          <w:p w14:paraId="10018146" w14:textId="60B7FF05" w:rsidR="0025243E" w:rsidRPr="00ED172B" w:rsidRDefault="00860830" w:rsidP="00186420">
            <w:pPr>
              <w:jc w:val="center"/>
              <w:rPr>
                <w:color w:val="000000" w:themeColor="text1"/>
                <w:szCs w:val="16"/>
              </w:rPr>
            </w:pPr>
            <w:r w:rsidRPr="00ED172B">
              <w:rPr>
                <w:rFonts w:cs="Arial"/>
                <w:color w:val="000000" w:themeColor="text1"/>
                <w:szCs w:val="16"/>
              </w:rPr>
              <w:t>25.08%</w:t>
            </w:r>
          </w:p>
        </w:tc>
      </w:tr>
      <w:tr w:rsidR="00ED172B" w:rsidRPr="00ED172B" w14:paraId="30262144" w14:textId="77777777" w:rsidTr="00986B99">
        <w:trPr>
          <w:trHeight w:val="395"/>
        </w:trPr>
        <w:tc>
          <w:tcPr>
            <w:tcW w:w="3349" w:type="pct"/>
            <w:shd w:val="clear" w:color="auto" w:fill="auto"/>
            <w:vAlign w:val="center"/>
          </w:tcPr>
          <w:p w14:paraId="4F277A76" w14:textId="77777777" w:rsidR="0025243E" w:rsidRPr="00ED172B" w:rsidRDefault="0025243E" w:rsidP="0025243E">
            <w:pPr>
              <w:rPr>
                <w:color w:val="000000" w:themeColor="text1"/>
                <w:szCs w:val="16"/>
              </w:rPr>
            </w:pPr>
            <w:r w:rsidRPr="00ED172B">
              <w:rPr>
                <w:color w:val="000000" w:themeColor="text1"/>
                <w:szCs w:val="16"/>
              </w:rPr>
              <w:t>c. Infants and toddlers who improved functioning to a level nearer to same-aged peers but did not reach it</w:t>
            </w:r>
          </w:p>
        </w:tc>
        <w:tc>
          <w:tcPr>
            <w:tcW w:w="826" w:type="pct"/>
            <w:shd w:val="clear" w:color="auto" w:fill="auto"/>
            <w:vAlign w:val="center"/>
          </w:tcPr>
          <w:p w14:paraId="3891EFC3" w14:textId="0ECAF3AE" w:rsidR="0025243E" w:rsidRPr="00ED172B" w:rsidRDefault="00860830" w:rsidP="00186420">
            <w:pPr>
              <w:jc w:val="center"/>
              <w:rPr>
                <w:color w:val="000000" w:themeColor="text1"/>
                <w:szCs w:val="16"/>
              </w:rPr>
            </w:pPr>
            <w:r w:rsidRPr="00ED172B">
              <w:rPr>
                <w:rFonts w:cs="Arial"/>
                <w:color w:val="000000" w:themeColor="text1"/>
                <w:szCs w:val="16"/>
              </w:rPr>
              <w:t>1,311</w:t>
            </w:r>
          </w:p>
        </w:tc>
        <w:tc>
          <w:tcPr>
            <w:tcW w:w="825" w:type="pct"/>
            <w:shd w:val="clear" w:color="auto" w:fill="auto"/>
            <w:vAlign w:val="center"/>
          </w:tcPr>
          <w:p w14:paraId="51A7DF16" w14:textId="0DBF5071" w:rsidR="0025243E" w:rsidRPr="00ED172B" w:rsidRDefault="00860830" w:rsidP="00186420">
            <w:pPr>
              <w:jc w:val="center"/>
              <w:rPr>
                <w:color w:val="000000" w:themeColor="text1"/>
                <w:szCs w:val="16"/>
              </w:rPr>
            </w:pPr>
            <w:r w:rsidRPr="00ED172B">
              <w:rPr>
                <w:rFonts w:cs="Arial"/>
                <w:color w:val="000000" w:themeColor="text1"/>
                <w:szCs w:val="16"/>
              </w:rPr>
              <w:t>40.49%</w:t>
            </w:r>
          </w:p>
        </w:tc>
      </w:tr>
      <w:tr w:rsidR="00ED172B" w:rsidRPr="00ED172B" w14:paraId="29945F67" w14:textId="77777777" w:rsidTr="00986B99">
        <w:trPr>
          <w:trHeight w:val="361"/>
        </w:trPr>
        <w:tc>
          <w:tcPr>
            <w:tcW w:w="3349" w:type="pct"/>
            <w:shd w:val="clear" w:color="auto" w:fill="auto"/>
            <w:vAlign w:val="center"/>
          </w:tcPr>
          <w:p w14:paraId="41D6F21D" w14:textId="77777777" w:rsidR="0025243E" w:rsidRPr="00ED172B" w:rsidRDefault="0025243E" w:rsidP="0025243E">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826" w:type="pct"/>
            <w:shd w:val="clear" w:color="auto" w:fill="auto"/>
            <w:vAlign w:val="center"/>
          </w:tcPr>
          <w:p w14:paraId="6E131627" w14:textId="1AF309F1" w:rsidR="0025243E" w:rsidRPr="00ED172B" w:rsidRDefault="00860830" w:rsidP="00186420">
            <w:pPr>
              <w:jc w:val="center"/>
              <w:rPr>
                <w:rFonts w:cs="Arial"/>
                <w:color w:val="000000" w:themeColor="text1"/>
                <w:szCs w:val="16"/>
              </w:rPr>
            </w:pPr>
            <w:r w:rsidRPr="00ED172B">
              <w:rPr>
                <w:rFonts w:cs="Arial"/>
                <w:color w:val="000000" w:themeColor="text1"/>
                <w:szCs w:val="16"/>
              </w:rPr>
              <w:t>744</w:t>
            </w:r>
          </w:p>
        </w:tc>
        <w:tc>
          <w:tcPr>
            <w:tcW w:w="825" w:type="pct"/>
            <w:shd w:val="clear" w:color="auto" w:fill="auto"/>
            <w:vAlign w:val="center"/>
          </w:tcPr>
          <w:p w14:paraId="6D45CB47" w14:textId="7F7DA88F" w:rsidR="0025243E" w:rsidRPr="00ED172B" w:rsidRDefault="00860830" w:rsidP="00186420">
            <w:pPr>
              <w:jc w:val="center"/>
              <w:rPr>
                <w:rFonts w:cs="Arial"/>
                <w:color w:val="000000" w:themeColor="text1"/>
                <w:szCs w:val="16"/>
              </w:rPr>
            </w:pPr>
            <w:r w:rsidRPr="00ED172B">
              <w:rPr>
                <w:rFonts w:cs="Arial"/>
                <w:color w:val="000000" w:themeColor="text1"/>
                <w:szCs w:val="16"/>
              </w:rPr>
              <w:t>22.98%</w:t>
            </w:r>
          </w:p>
        </w:tc>
      </w:tr>
      <w:tr w:rsidR="00ED172B" w:rsidRPr="00ED172B" w14:paraId="52D1A85F" w14:textId="77777777" w:rsidTr="00986B99">
        <w:trPr>
          <w:trHeight w:val="361"/>
        </w:trPr>
        <w:tc>
          <w:tcPr>
            <w:tcW w:w="3349" w:type="pct"/>
            <w:shd w:val="clear" w:color="auto" w:fill="auto"/>
            <w:vAlign w:val="center"/>
          </w:tcPr>
          <w:p w14:paraId="3C1CA897" w14:textId="77777777" w:rsidR="0025243E" w:rsidRPr="00ED172B" w:rsidRDefault="0025243E" w:rsidP="0025243E">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826" w:type="pct"/>
            <w:shd w:val="clear" w:color="auto" w:fill="auto"/>
            <w:vAlign w:val="center"/>
          </w:tcPr>
          <w:p w14:paraId="327C8F35" w14:textId="78D13113" w:rsidR="0025243E" w:rsidRPr="00ED172B" w:rsidRDefault="00860830" w:rsidP="00186420">
            <w:pPr>
              <w:jc w:val="center"/>
              <w:rPr>
                <w:rFonts w:cs="Arial"/>
                <w:color w:val="000000" w:themeColor="text1"/>
                <w:szCs w:val="16"/>
              </w:rPr>
            </w:pPr>
            <w:r w:rsidRPr="00ED172B">
              <w:rPr>
                <w:rFonts w:cs="Arial"/>
                <w:color w:val="000000" w:themeColor="text1"/>
                <w:szCs w:val="16"/>
              </w:rPr>
              <w:t>335</w:t>
            </w:r>
          </w:p>
        </w:tc>
        <w:tc>
          <w:tcPr>
            <w:tcW w:w="825" w:type="pct"/>
            <w:shd w:val="clear" w:color="auto" w:fill="auto"/>
            <w:vAlign w:val="center"/>
          </w:tcPr>
          <w:p w14:paraId="6F8EC2BC" w14:textId="12B867EB" w:rsidR="0025243E" w:rsidRPr="00ED172B" w:rsidRDefault="00860830" w:rsidP="00186420">
            <w:pPr>
              <w:jc w:val="center"/>
              <w:rPr>
                <w:rFonts w:cs="Arial"/>
                <w:color w:val="000000" w:themeColor="text1"/>
                <w:szCs w:val="16"/>
              </w:rPr>
            </w:pPr>
            <w:r w:rsidRPr="00ED172B">
              <w:rPr>
                <w:rFonts w:cs="Arial"/>
                <w:color w:val="000000" w:themeColor="text1"/>
                <w:szCs w:val="16"/>
              </w:rPr>
              <w:t>10.35%</w:t>
            </w:r>
          </w:p>
        </w:tc>
      </w:tr>
    </w:tbl>
    <w:p w14:paraId="50352AF0" w14:textId="77777777" w:rsidR="001A4B29" w:rsidRPr="00ED172B" w:rsidRDefault="001A4B29" w:rsidP="001A4B29">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16"/>
      </w:tblPr>
      <w:tblGrid>
        <w:gridCol w:w="2425"/>
        <w:gridCol w:w="1170"/>
        <w:gridCol w:w="1260"/>
        <w:gridCol w:w="1350"/>
        <w:gridCol w:w="1350"/>
        <w:gridCol w:w="1260"/>
        <w:gridCol w:w="990"/>
        <w:gridCol w:w="985"/>
      </w:tblGrid>
      <w:tr w:rsidR="00ED172B" w:rsidRPr="00ED172B" w14:paraId="05AFC67E" w14:textId="77777777" w:rsidTr="00986B99">
        <w:trPr>
          <w:tblHeader/>
        </w:trPr>
        <w:tc>
          <w:tcPr>
            <w:tcW w:w="2425" w:type="dxa"/>
            <w:shd w:val="clear" w:color="auto" w:fill="auto"/>
            <w:vAlign w:val="bottom"/>
          </w:tcPr>
          <w:p w14:paraId="22BD1EA4" w14:textId="0F370FDF" w:rsidR="00037032" w:rsidRPr="00A40EE1" w:rsidRDefault="008320B5" w:rsidP="00B83404">
            <w:pPr>
              <w:rPr>
                <w:b/>
                <w:bCs/>
                <w:color w:val="000000" w:themeColor="text1"/>
              </w:rPr>
            </w:pPr>
            <w:r>
              <w:rPr>
                <w:b/>
                <w:bCs/>
                <w:color w:val="000000" w:themeColor="text1"/>
              </w:rPr>
              <w:t>Outcome C</w:t>
            </w:r>
          </w:p>
        </w:tc>
        <w:tc>
          <w:tcPr>
            <w:tcW w:w="1170" w:type="dxa"/>
            <w:shd w:val="clear" w:color="auto" w:fill="auto"/>
            <w:vAlign w:val="bottom"/>
          </w:tcPr>
          <w:p w14:paraId="4C4D512B" w14:textId="77777777" w:rsidR="00037032" w:rsidRPr="00ED172B" w:rsidRDefault="00037032" w:rsidP="00037032">
            <w:pPr>
              <w:keepNext/>
              <w:jc w:val="center"/>
              <w:rPr>
                <w:rFonts w:cs="Arial"/>
                <w:b/>
                <w:color w:val="000000" w:themeColor="text1"/>
                <w:szCs w:val="16"/>
              </w:rPr>
            </w:pPr>
            <w:r w:rsidRPr="00ED172B">
              <w:rPr>
                <w:rFonts w:cs="Arial"/>
                <w:b/>
                <w:color w:val="000000" w:themeColor="text1"/>
                <w:szCs w:val="16"/>
              </w:rPr>
              <w:t>Numerator</w:t>
            </w:r>
          </w:p>
        </w:tc>
        <w:tc>
          <w:tcPr>
            <w:tcW w:w="1260" w:type="dxa"/>
            <w:shd w:val="clear" w:color="auto" w:fill="auto"/>
            <w:vAlign w:val="bottom"/>
          </w:tcPr>
          <w:p w14:paraId="4D2FC56C" w14:textId="77777777" w:rsidR="00037032" w:rsidRPr="00ED172B" w:rsidRDefault="00037032" w:rsidP="00037032">
            <w:pPr>
              <w:keepNext/>
              <w:jc w:val="center"/>
              <w:rPr>
                <w:rFonts w:cs="Arial"/>
                <w:b/>
                <w:color w:val="000000" w:themeColor="text1"/>
                <w:szCs w:val="16"/>
              </w:rPr>
            </w:pPr>
            <w:r w:rsidRPr="00ED172B">
              <w:rPr>
                <w:rFonts w:cs="Arial"/>
                <w:b/>
                <w:color w:val="000000" w:themeColor="text1"/>
                <w:szCs w:val="16"/>
              </w:rPr>
              <w:t>Denominator</w:t>
            </w:r>
          </w:p>
        </w:tc>
        <w:tc>
          <w:tcPr>
            <w:tcW w:w="1350" w:type="dxa"/>
            <w:shd w:val="clear" w:color="auto" w:fill="auto"/>
            <w:vAlign w:val="bottom"/>
          </w:tcPr>
          <w:p w14:paraId="3CB5A22B" w14:textId="4402E284" w:rsidR="00037032" w:rsidRPr="00ED172B" w:rsidRDefault="00CD74B5" w:rsidP="00037032">
            <w:pPr>
              <w:keepNext/>
              <w:jc w:val="center"/>
              <w:rPr>
                <w:rFonts w:cs="Arial"/>
                <w:b/>
                <w:color w:val="000000" w:themeColor="text1"/>
                <w:szCs w:val="16"/>
              </w:rPr>
            </w:pPr>
            <w:r>
              <w:rPr>
                <w:rFonts w:cs="Arial"/>
                <w:b/>
                <w:color w:val="000000" w:themeColor="text1"/>
                <w:szCs w:val="16"/>
              </w:rPr>
              <w:t>FFY 2021 Data</w:t>
            </w:r>
          </w:p>
        </w:tc>
        <w:tc>
          <w:tcPr>
            <w:tcW w:w="1350" w:type="dxa"/>
            <w:shd w:val="clear" w:color="auto" w:fill="auto"/>
            <w:vAlign w:val="bottom"/>
          </w:tcPr>
          <w:p w14:paraId="1F1B0E9C" w14:textId="3DB8C5E8" w:rsidR="00037032" w:rsidRPr="00ED172B" w:rsidRDefault="00F22D09" w:rsidP="00037032">
            <w:pPr>
              <w:keepNext/>
              <w:jc w:val="center"/>
              <w:rPr>
                <w:rFonts w:cs="Arial"/>
                <w:b/>
                <w:color w:val="000000" w:themeColor="text1"/>
                <w:szCs w:val="16"/>
              </w:rPr>
            </w:pPr>
            <w:r>
              <w:rPr>
                <w:rFonts w:cs="Arial"/>
                <w:b/>
                <w:color w:val="000000" w:themeColor="text1"/>
                <w:szCs w:val="16"/>
              </w:rPr>
              <w:t>FFY 2022 Target</w:t>
            </w:r>
          </w:p>
        </w:tc>
        <w:tc>
          <w:tcPr>
            <w:tcW w:w="1260" w:type="dxa"/>
            <w:shd w:val="clear" w:color="auto" w:fill="auto"/>
            <w:vAlign w:val="bottom"/>
          </w:tcPr>
          <w:p w14:paraId="6C0C38FB" w14:textId="748D3AF5" w:rsidR="00037032" w:rsidRPr="00ED172B" w:rsidRDefault="00F22D09" w:rsidP="00037032">
            <w:pPr>
              <w:keepNext/>
              <w:jc w:val="center"/>
              <w:rPr>
                <w:rFonts w:cs="Arial"/>
                <w:b/>
                <w:color w:val="000000" w:themeColor="text1"/>
                <w:szCs w:val="16"/>
              </w:rPr>
            </w:pPr>
            <w:r>
              <w:rPr>
                <w:rFonts w:cs="Arial"/>
                <w:b/>
                <w:color w:val="000000" w:themeColor="text1"/>
                <w:szCs w:val="16"/>
              </w:rPr>
              <w:t>FFY 2022 Data</w:t>
            </w:r>
          </w:p>
        </w:tc>
        <w:tc>
          <w:tcPr>
            <w:tcW w:w="990" w:type="dxa"/>
            <w:shd w:val="clear" w:color="auto" w:fill="auto"/>
            <w:vAlign w:val="bottom"/>
          </w:tcPr>
          <w:p w14:paraId="2BF2EBDF" w14:textId="77777777" w:rsidR="00037032" w:rsidRPr="00ED172B" w:rsidRDefault="00037032" w:rsidP="00037032">
            <w:pPr>
              <w:keepNext/>
              <w:jc w:val="center"/>
              <w:rPr>
                <w:rFonts w:cs="Arial"/>
                <w:b/>
                <w:color w:val="000000" w:themeColor="text1"/>
                <w:szCs w:val="16"/>
              </w:rPr>
            </w:pPr>
            <w:r w:rsidRPr="00ED172B">
              <w:rPr>
                <w:rFonts w:cs="Arial"/>
                <w:b/>
                <w:color w:val="000000" w:themeColor="text1"/>
                <w:szCs w:val="16"/>
              </w:rPr>
              <w:t>Status</w:t>
            </w:r>
          </w:p>
        </w:tc>
        <w:tc>
          <w:tcPr>
            <w:tcW w:w="985" w:type="dxa"/>
            <w:shd w:val="clear" w:color="auto" w:fill="auto"/>
            <w:vAlign w:val="bottom"/>
          </w:tcPr>
          <w:p w14:paraId="214F9910" w14:textId="77777777" w:rsidR="00037032" w:rsidRPr="00ED172B" w:rsidRDefault="00037032" w:rsidP="00037032">
            <w:pPr>
              <w:keepNext/>
              <w:jc w:val="center"/>
              <w:rPr>
                <w:rFonts w:cs="Arial"/>
                <w:b/>
                <w:color w:val="000000" w:themeColor="text1"/>
                <w:szCs w:val="16"/>
              </w:rPr>
            </w:pPr>
            <w:r w:rsidRPr="00ED172B">
              <w:rPr>
                <w:rFonts w:cs="Arial"/>
                <w:b/>
                <w:color w:val="000000" w:themeColor="text1"/>
                <w:szCs w:val="16"/>
              </w:rPr>
              <w:t>Slippage</w:t>
            </w:r>
          </w:p>
        </w:tc>
      </w:tr>
      <w:tr w:rsidR="00ED172B" w:rsidRPr="00ED172B" w14:paraId="5CA7D7FC" w14:textId="77777777" w:rsidTr="00986B99">
        <w:tc>
          <w:tcPr>
            <w:tcW w:w="2425" w:type="dxa"/>
            <w:shd w:val="clear" w:color="auto" w:fill="auto"/>
          </w:tcPr>
          <w:p w14:paraId="1E7EA1A9" w14:textId="54DAFCC3" w:rsidR="008320B5" w:rsidRPr="00ED172B" w:rsidRDefault="0025243E" w:rsidP="0025243E">
            <w:pPr>
              <w:rPr>
                <w:rFonts w:cs="Arial"/>
                <w:color w:val="000000" w:themeColor="text1"/>
                <w:szCs w:val="16"/>
              </w:rPr>
            </w:pPr>
            <w:r w:rsidRPr="00ED172B">
              <w:rPr>
                <w:rFonts w:cs="Arial"/>
                <w:color w:val="000000" w:themeColor="text1"/>
                <w:szCs w:val="16"/>
              </w:rPr>
              <w:t>C1. Of those children who entered or exited the program below age expectations in Outcome C, the percent who substantially increased their rate of growth by the time they turned 3 years of age or exited the program</w:t>
            </w:r>
          </w:p>
        </w:tc>
        <w:tc>
          <w:tcPr>
            <w:tcW w:w="1170" w:type="dxa"/>
            <w:shd w:val="clear" w:color="auto" w:fill="auto"/>
            <w:vAlign w:val="center"/>
          </w:tcPr>
          <w:p w14:paraId="7B0CA489" w14:textId="0E345F1D" w:rsidR="0025243E" w:rsidRPr="00ED172B" w:rsidRDefault="00860830" w:rsidP="0025243E">
            <w:pPr>
              <w:pStyle w:val="Explain"/>
              <w:jc w:val="center"/>
              <w:rPr>
                <w:rFonts w:cs="Arial"/>
                <w:color w:val="000000" w:themeColor="text1"/>
                <w:szCs w:val="16"/>
              </w:rPr>
            </w:pPr>
            <w:r w:rsidRPr="00ED172B">
              <w:rPr>
                <w:rFonts w:cs="Arial"/>
                <w:color w:val="000000" w:themeColor="text1"/>
                <w:szCs w:val="16"/>
              </w:rPr>
              <w:t>2,055</w:t>
            </w:r>
          </w:p>
        </w:tc>
        <w:tc>
          <w:tcPr>
            <w:tcW w:w="1260" w:type="dxa"/>
            <w:shd w:val="clear" w:color="auto" w:fill="auto"/>
            <w:vAlign w:val="center"/>
          </w:tcPr>
          <w:p w14:paraId="2F111B4D" w14:textId="2C47E0BE" w:rsidR="0025243E" w:rsidRPr="00ED172B" w:rsidRDefault="00860830" w:rsidP="0025243E">
            <w:pPr>
              <w:pStyle w:val="Explain"/>
              <w:jc w:val="center"/>
              <w:rPr>
                <w:rFonts w:cs="Arial"/>
                <w:color w:val="000000" w:themeColor="text1"/>
                <w:szCs w:val="16"/>
              </w:rPr>
            </w:pPr>
            <w:r w:rsidRPr="00ED172B">
              <w:rPr>
                <w:rFonts w:cs="Arial"/>
                <w:color w:val="000000" w:themeColor="text1"/>
                <w:szCs w:val="16"/>
              </w:rPr>
              <w:t>2,903</w:t>
            </w:r>
          </w:p>
        </w:tc>
        <w:tc>
          <w:tcPr>
            <w:tcW w:w="1350" w:type="dxa"/>
            <w:shd w:val="clear" w:color="auto" w:fill="auto"/>
            <w:vAlign w:val="center"/>
          </w:tcPr>
          <w:p w14:paraId="3E511271" w14:textId="0F6822C1" w:rsidR="0025243E" w:rsidRPr="00ED172B" w:rsidRDefault="00860830" w:rsidP="0025243E">
            <w:pPr>
              <w:jc w:val="center"/>
              <w:rPr>
                <w:rFonts w:cs="Arial"/>
                <w:color w:val="000000" w:themeColor="text1"/>
                <w:szCs w:val="16"/>
              </w:rPr>
            </w:pPr>
            <w:r w:rsidRPr="00ED172B">
              <w:rPr>
                <w:rFonts w:cs="Arial"/>
                <w:color w:val="000000" w:themeColor="text1"/>
                <w:szCs w:val="16"/>
              </w:rPr>
              <w:t>71.66%</w:t>
            </w:r>
          </w:p>
        </w:tc>
        <w:tc>
          <w:tcPr>
            <w:tcW w:w="1350" w:type="dxa"/>
            <w:shd w:val="clear" w:color="auto" w:fill="auto"/>
            <w:vAlign w:val="center"/>
          </w:tcPr>
          <w:p w14:paraId="473D5F1A" w14:textId="175ED4B5" w:rsidR="0025243E" w:rsidRPr="00ED172B" w:rsidRDefault="005C14C2" w:rsidP="00027F39">
            <w:pPr>
              <w:jc w:val="center"/>
              <w:rPr>
                <w:color w:val="000000" w:themeColor="text1"/>
              </w:rPr>
            </w:pPr>
            <w:r w:rsidRPr="00ED172B">
              <w:rPr>
                <w:color w:val="000000" w:themeColor="text1"/>
              </w:rPr>
              <w:t>78.20%</w:t>
            </w:r>
          </w:p>
        </w:tc>
        <w:tc>
          <w:tcPr>
            <w:tcW w:w="1260" w:type="dxa"/>
            <w:shd w:val="clear" w:color="auto" w:fill="auto"/>
            <w:vAlign w:val="center"/>
          </w:tcPr>
          <w:p w14:paraId="1876516C" w14:textId="288911F8" w:rsidR="0025243E" w:rsidRPr="00ED172B" w:rsidRDefault="00860830" w:rsidP="0025243E">
            <w:pPr>
              <w:jc w:val="center"/>
              <w:rPr>
                <w:rFonts w:cs="Arial"/>
                <w:color w:val="000000" w:themeColor="text1"/>
                <w:szCs w:val="16"/>
              </w:rPr>
            </w:pPr>
            <w:r w:rsidRPr="00ED172B">
              <w:rPr>
                <w:rFonts w:cs="Arial"/>
                <w:color w:val="000000" w:themeColor="text1"/>
                <w:szCs w:val="16"/>
              </w:rPr>
              <w:t>70.79%</w:t>
            </w:r>
          </w:p>
        </w:tc>
        <w:tc>
          <w:tcPr>
            <w:tcW w:w="990" w:type="dxa"/>
            <w:shd w:val="clear" w:color="auto" w:fill="auto"/>
            <w:vAlign w:val="center"/>
          </w:tcPr>
          <w:p w14:paraId="0E1E6212" w14:textId="189804F0" w:rsidR="0025243E" w:rsidRPr="00ED172B" w:rsidRDefault="00860830" w:rsidP="0025243E">
            <w:pPr>
              <w:jc w:val="center"/>
              <w:rPr>
                <w:rFonts w:cs="Arial"/>
                <w:color w:val="000000" w:themeColor="text1"/>
                <w:szCs w:val="16"/>
              </w:rPr>
            </w:pPr>
            <w:r w:rsidRPr="00ED172B">
              <w:rPr>
                <w:rFonts w:cs="Arial"/>
                <w:color w:val="000000" w:themeColor="text1"/>
                <w:szCs w:val="16"/>
              </w:rPr>
              <w:t>Did not meet target</w:t>
            </w:r>
          </w:p>
        </w:tc>
        <w:tc>
          <w:tcPr>
            <w:tcW w:w="985" w:type="dxa"/>
            <w:shd w:val="clear" w:color="auto" w:fill="auto"/>
            <w:vAlign w:val="center"/>
          </w:tcPr>
          <w:p w14:paraId="3EA50B1B" w14:textId="3AB2B931" w:rsidR="0025243E" w:rsidRPr="00ED172B" w:rsidRDefault="00860830" w:rsidP="0025243E">
            <w:pPr>
              <w:jc w:val="center"/>
              <w:rPr>
                <w:rFonts w:cs="Arial"/>
                <w:color w:val="000000" w:themeColor="text1"/>
                <w:szCs w:val="16"/>
              </w:rPr>
            </w:pPr>
            <w:r w:rsidRPr="00ED172B">
              <w:rPr>
                <w:rFonts w:cs="Arial"/>
                <w:color w:val="000000" w:themeColor="text1"/>
                <w:szCs w:val="16"/>
              </w:rPr>
              <w:t>No Slippage</w:t>
            </w:r>
          </w:p>
        </w:tc>
      </w:tr>
      <w:tr w:rsidR="00ED172B" w:rsidRPr="00ED172B" w14:paraId="357A4CC7" w14:textId="77777777" w:rsidTr="00986B99">
        <w:tc>
          <w:tcPr>
            <w:tcW w:w="2425" w:type="dxa"/>
            <w:shd w:val="clear" w:color="auto" w:fill="auto"/>
          </w:tcPr>
          <w:p w14:paraId="12D3B9B1" w14:textId="701FB8C0" w:rsidR="008320B5" w:rsidRPr="00ED172B" w:rsidRDefault="0025243E" w:rsidP="0025243E">
            <w:pPr>
              <w:rPr>
                <w:rFonts w:cs="Arial"/>
                <w:color w:val="000000" w:themeColor="text1"/>
                <w:szCs w:val="16"/>
              </w:rPr>
            </w:pPr>
            <w:r w:rsidRPr="00ED172B">
              <w:rPr>
                <w:rFonts w:cs="Arial"/>
                <w:color w:val="000000" w:themeColor="text1"/>
                <w:szCs w:val="16"/>
              </w:rPr>
              <w:t>C2. The percent of infants and toddlers who were functioning within age expectations in Outcome C by the time they turned 3 years of age or exited the program</w:t>
            </w:r>
          </w:p>
        </w:tc>
        <w:tc>
          <w:tcPr>
            <w:tcW w:w="1170" w:type="dxa"/>
            <w:shd w:val="clear" w:color="auto" w:fill="auto"/>
            <w:vAlign w:val="center"/>
          </w:tcPr>
          <w:p w14:paraId="5F877093" w14:textId="7D67D8C0" w:rsidR="0025243E" w:rsidRPr="00ED172B" w:rsidRDefault="00860830" w:rsidP="0025243E">
            <w:pPr>
              <w:pStyle w:val="Explain"/>
              <w:jc w:val="center"/>
              <w:rPr>
                <w:rFonts w:cs="Arial"/>
                <w:color w:val="000000" w:themeColor="text1"/>
                <w:szCs w:val="16"/>
              </w:rPr>
            </w:pPr>
            <w:r w:rsidRPr="00ED172B">
              <w:rPr>
                <w:rFonts w:cs="Arial"/>
                <w:color w:val="000000" w:themeColor="text1"/>
                <w:szCs w:val="16"/>
              </w:rPr>
              <w:t>1,079</w:t>
            </w:r>
          </w:p>
        </w:tc>
        <w:tc>
          <w:tcPr>
            <w:tcW w:w="1260" w:type="dxa"/>
            <w:shd w:val="clear" w:color="auto" w:fill="auto"/>
            <w:vAlign w:val="center"/>
          </w:tcPr>
          <w:p w14:paraId="69F696DC" w14:textId="766B8213" w:rsidR="0025243E" w:rsidRPr="00ED172B" w:rsidRDefault="00860830" w:rsidP="0025243E">
            <w:pPr>
              <w:pStyle w:val="Explain"/>
              <w:jc w:val="center"/>
              <w:rPr>
                <w:rFonts w:cs="Arial"/>
                <w:color w:val="000000" w:themeColor="text1"/>
                <w:szCs w:val="16"/>
              </w:rPr>
            </w:pPr>
            <w:r w:rsidRPr="00ED172B">
              <w:rPr>
                <w:rFonts w:cs="Arial"/>
                <w:color w:val="000000" w:themeColor="text1"/>
                <w:szCs w:val="16"/>
              </w:rPr>
              <w:t>3,238</w:t>
            </w:r>
          </w:p>
        </w:tc>
        <w:tc>
          <w:tcPr>
            <w:tcW w:w="1350" w:type="dxa"/>
            <w:shd w:val="clear" w:color="auto" w:fill="auto"/>
            <w:vAlign w:val="center"/>
          </w:tcPr>
          <w:p w14:paraId="34065F7F" w14:textId="1E2D0A02" w:rsidR="0025243E" w:rsidRPr="00ED172B" w:rsidRDefault="00860830" w:rsidP="0025243E">
            <w:pPr>
              <w:jc w:val="center"/>
              <w:rPr>
                <w:rFonts w:cs="Arial"/>
                <w:color w:val="000000" w:themeColor="text1"/>
                <w:szCs w:val="16"/>
              </w:rPr>
            </w:pPr>
            <w:r w:rsidRPr="00ED172B">
              <w:rPr>
                <w:rFonts w:cs="Arial"/>
                <w:color w:val="000000" w:themeColor="text1"/>
                <w:szCs w:val="16"/>
              </w:rPr>
              <w:t>35.45%</w:t>
            </w:r>
          </w:p>
        </w:tc>
        <w:tc>
          <w:tcPr>
            <w:tcW w:w="1350" w:type="dxa"/>
            <w:shd w:val="clear" w:color="auto" w:fill="auto"/>
            <w:vAlign w:val="center"/>
          </w:tcPr>
          <w:p w14:paraId="738A625A" w14:textId="1B3A2509" w:rsidR="0025243E" w:rsidRPr="00ED172B" w:rsidRDefault="005C14C2" w:rsidP="005C14C2">
            <w:pPr>
              <w:jc w:val="center"/>
              <w:rPr>
                <w:color w:val="000000" w:themeColor="text1"/>
              </w:rPr>
            </w:pPr>
            <w:r w:rsidRPr="00ED172B">
              <w:rPr>
                <w:color w:val="000000" w:themeColor="text1"/>
              </w:rPr>
              <w:t>40.80%</w:t>
            </w:r>
          </w:p>
        </w:tc>
        <w:tc>
          <w:tcPr>
            <w:tcW w:w="1260" w:type="dxa"/>
            <w:shd w:val="clear" w:color="auto" w:fill="auto"/>
            <w:vAlign w:val="center"/>
          </w:tcPr>
          <w:p w14:paraId="1EEC0105" w14:textId="3FC19FC7" w:rsidR="0025243E" w:rsidRPr="00ED172B" w:rsidRDefault="00860830" w:rsidP="0025243E">
            <w:pPr>
              <w:jc w:val="center"/>
              <w:rPr>
                <w:rFonts w:cs="Arial"/>
                <w:color w:val="000000" w:themeColor="text1"/>
                <w:szCs w:val="16"/>
              </w:rPr>
            </w:pPr>
            <w:r w:rsidRPr="00ED172B">
              <w:rPr>
                <w:rFonts w:cs="Arial"/>
                <w:color w:val="000000" w:themeColor="text1"/>
                <w:szCs w:val="16"/>
              </w:rPr>
              <w:t>33.32%</w:t>
            </w:r>
          </w:p>
        </w:tc>
        <w:tc>
          <w:tcPr>
            <w:tcW w:w="990" w:type="dxa"/>
            <w:shd w:val="clear" w:color="auto" w:fill="auto"/>
            <w:vAlign w:val="center"/>
          </w:tcPr>
          <w:p w14:paraId="5EEFED10" w14:textId="71805D26" w:rsidR="0025243E" w:rsidRPr="00ED172B" w:rsidRDefault="00860830" w:rsidP="0025243E">
            <w:pPr>
              <w:jc w:val="center"/>
              <w:rPr>
                <w:rFonts w:cs="Arial"/>
                <w:color w:val="000000" w:themeColor="text1"/>
                <w:szCs w:val="16"/>
              </w:rPr>
            </w:pPr>
            <w:r w:rsidRPr="00ED172B">
              <w:rPr>
                <w:rFonts w:cs="Arial"/>
                <w:color w:val="000000" w:themeColor="text1"/>
                <w:szCs w:val="16"/>
              </w:rPr>
              <w:t>Did not meet target</w:t>
            </w:r>
          </w:p>
        </w:tc>
        <w:tc>
          <w:tcPr>
            <w:tcW w:w="985" w:type="dxa"/>
            <w:shd w:val="clear" w:color="auto" w:fill="auto"/>
            <w:vAlign w:val="center"/>
          </w:tcPr>
          <w:p w14:paraId="35666D42" w14:textId="7D42BE23" w:rsidR="0025243E" w:rsidRPr="00ED172B" w:rsidRDefault="00860830" w:rsidP="0025243E">
            <w:pPr>
              <w:jc w:val="center"/>
              <w:rPr>
                <w:rFonts w:cs="Arial"/>
                <w:color w:val="000000" w:themeColor="text1"/>
                <w:szCs w:val="16"/>
              </w:rPr>
            </w:pPr>
            <w:r w:rsidRPr="00ED172B">
              <w:rPr>
                <w:rFonts w:cs="Arial"/>
                <w:color w:val="000000" w:themeColor="text1"/>
                <w:szCs w:val="16"/>
              </w:rPr>
              <w:t>Slippage</w:t>
            </w:r>
          </w:p>
        </w:tc>
      </w:tr>
    </w:tbl>
    <w:p w14:paraId="5395C5BA" w14:textId="74DACA6C" w:rsidR="0025243E" w:rsidRPr="00ED172B" w:rsidRDefault="0025243E" w:rsidP="0025243E">
      <w:pPr>
        <w:rPr>
          <w:rFonts w:cs="Arial"/>
          <w:b/>
          <w:i/>
          <w:color w:val="000000" w:themeColor="text1"/>
          <w:szCs w:val="16"/>
        </w:rPr>
      </w:pPr>
      <w:r w:rsidRPr="00ED172B">
        <w:rPr>
          <w:rFonts w:cs="Arial"/>
          <w:b/>
          <w:color w:val="000000" w:themeColor="text1"/>
          <w:szCs w:val="16"/>
        </w:rPr>
        <w:t xml:space="preserve">Provide reasons for C2 slippage, if applicable </w:t>
      </w:r>
    </w:p>
    <w:p w14:paraId="33CF58F2" w14:textId="3AEFB1DD" w:rsidR="0025243E" w:rsidRDefault="005C14C2" w:rsidP="005C14C2">
      <w:pPr>
        <w:rPr>
          <w:color w:val="000000" w:themeColor="text1"/>
        </w:rPr>
      </w:pPr>
      <w:r w:rsidRPr="00ED172B">
        <w:rPr>
          <w:color w:val="000000" w:themeColor="text1"/>
        </w:rPr>
        <w:t>After review and engagement with regional service providers, there are residual impacts from COVID that have led to practices affecting data quality. These include staff turnover, lack of systemic offering of TA to address child outcomes in infants and toddlers, and limited intervention opportunities to impact exit scores (i.e., the length of time receiving services is shorter due to lost time during COVID).</w:t>
      </w:r>
      <w:r w:rsidRPr="00ED172B">
        <w:rPr>
          <w:color w:val="000000" w:themeColor="text1"/>
        </w:rPr>
        <w:br/>
      </w:r>
      <w:r w:rsidRPr="00ED172B">
        <w:rPr>
          <w:color w:val="000000" w:themeColor="text1"/>
        </w:rPr>
        <w:br/>
        <w:t>To address these impacts and understand better the needs of regional service providers, targeted training and TA for EI home visitors and leadership has been addressed in the SSIP, a workgroup was assembled to adopt updated measures and data quality tools for the AEPS, and we have prioritized attention to recruitment and retention in the Comprehensive System of Professional Development Plan.</w:t>
      </w:r>
    </w:p>
    <w:p w14:paraId="0ADB8903" w14:textId="77777777" w:rsidR="000E5D05" w:rsidRPr="00ED172B" w:rsidRDefault="000E5D05" w:rsidP="00986B99">
      <w:pPr>
        <w:rPr>
          <w:rFonts w:cs="Arial"/>
          <w:color w:val="000000" w:themeColor="text1"/>
          <w:szCs w:val="16"/>
        </w:rPr>
      </w:pPr>
    </w:p>
    <w:p w14:paraId="7E6A154B" w14:textId="77777777" w:rsidR="000E5D05" w:rsidRPr="000E5D05" w:rsidRDefault="000E5D05" w:rsidP="000E5D05">
      <w:pPr>
        <w:rPr>
          <w:b/>
          <w:color w:val="000000" w:themeColor="text1"/>
        </w:rPr>
      </w:pPr>
      <w:r w:rsidRPr="000E5D05" w:rsidDel="00F32724">
        <w:rPr>
          <w:b/>
          <w:color w:val="000000" w:themeColor="text1"/>
        </w:rPr>
        <w:t>FFY 2022 SPP/APR Data</w:t>
      </w:r>
    </w:p>
    <w:p w14:paraId="46BFE185" w14:textId="77777777" w:rsidR="000E5D05" w:rsidRPr="000E5D05" w:rsidRDefault="000E5D05" w:rsidP="000E5D05">
      <w:pPr>
        <w:rPr>
          <w:rFonts w:cs="Arial"/>
          <w:color w:val="000000" w:themeColor="text1"/>
          <w:szCs w:val="16"/>
        </w:rPr>
      </w:pPr>
      <w:r w:rsidRPr="000E5D05">
        <w:rPr>
          <w:rFonts w:cs="Arial"/>
          <w:b/>
          <w:color w:val="000000" w:themeColor="text1"/>
          <w:szCs w:val="16"/>
        </w:rPr>
        <w:t>The number of infants and toddlers who did not receive early intervention services for at least six months before exiting the Part C program</w:t>
      </w:r>
      <w:r w:rsidRPr="000E5D05">
        <w:rPr>
          <w:rFonts w:cs="Arial"/>
          <w:color w:val="000000" w:themeColor="text1"/>
          <w:szCs w:val="16"/>
        </w:rPr>
        <w:t>.</w:t>
      </w:r>
    </w:p>
    <w:tbl>
      <w:tblPr>
        <w:tblStyle w:val="TableGrid"/>
        <w:tblW w:w="0" w:type="auto"/>
        <w:tblLook w:val="04A0" w:firstRow="1" w:lastRow="0" w:firstColumn="1" w:lastColumn="0" w:noHBand="0" w:noVBand="1"/>
        <w:tblCaption w:val="C03INTDDIDNOT"/>
      </w:tblPr>
      <w:tblGrid>
        <w:gridCol w:w="9175"/>
        <w:gridCol w:w="1615"/>
      </w:tblGrid>
      <w:tr w:rsidR="000E5D05" w:rsidRPr="000E5D05" w14:paraId="61B84428" w14:textId="77777777" w:rsidTr="006B424E">
        <w:trPr>
          <w:tblHeader/>
        </w:trPr>
        <w:tc>
          <w:tcPr>
            <w:tcW w:w="9175" w:type="dxa"/>
          </w:tcPr>
          <w:p w14:paraId="4A3B8E26" w14:textId="77777777" w:rsidR="000E5D05" w:rsidRPr="000E5D05" w:rsidRDefault="000E5D05" w:rsidP="006B424E">
            <w:pPr>
              <w:rPr>
                <w:rFonts w:cs="Arial"/>
                <w:b/>
                <w:bCs/>
                <w:color w:val="000000" w:themeColor="text1"/>
                <w:szCs w:val="16"/>
              </w:rPr>
            </w:pPr>
            <w:r w:rsidRPr="000E5D05">
              <w:rPr>
                <w:rFonts w:cs="Arial"/>
                <w:b/>
                <w:bCs/>
                <w:color w:val="000000" w:themeColor="text1"/>
                <w:szCs w:val="16"/>
              </w:rPr>
              <w:t>Question</w:t>
            </w:r>
          </w:p>
        </w:tc>
        <w:tc>
          <w:tcPr>
            <w:tcW w:w="1615" w:type="dxa"/>
            <w:shd w:val="clear" w:color="auto" w:fill="auto"/>
          </w:tcPr>
          <w:p w14:paraId="69C911AF" w14:textId="77777777" w:rsidR="000E5D05" w:rsidRPr="000E5D05" w:rsidRDefault="000E5D05" w:rsidP="006B424E">
            <w:pPr>
              <w:jc w:val="center"/>
              <w:rPr>
                <w:rFonts w:cs="Arial"/>
                <w:b/>
                <w:bCs/>
                <w:color w:val="000000" w:themeColor="text1"/>
                <w:szCs w:val="16"/>
              </w:rPr>
            </w:pPr>
            <w:r w:rsidRPr="000E5D05">
              <w:rPr>
                <w:rFonts w:cs="Arial"/>
                <w:b/>
                <w:bCs/>
                <w:color w:val="000000" w:themeColor="text1"/>
                <w:szCs w:val="16"/>
              </w:rPr>
              <w:t>Number</w:t>
            </w:r>
          </w:p>
        </w:tc>
      </w:tr>
      <w:tr w:rsidR="000E5D05" w:rsidRPr="000E5D05" w14:paraId="655EF7E2" w14:textId="77777777" w:rsidTr="006B424E">
        <w:tc>
          <w:tcPr>
            <w:tcW w:w="9175" w:type="dxa"/>
          </w:tcPr>
          <w:p w14:paraId="751BADB6" w14:textId="77777777" w:rsidR="000E5D05" w:rsidRPr="000E5D05" w:rsidRDefault="000E5D05" w:rsidP="006B424E">
            <w:pPr>
              <w:rPr>
                <w:rFonts w:cs="Arial"/>
                <w:color w:val="000000" w:themeColor="text1"/>
                <w:szCs w:val="16"/>
              </w:rPr>
            </w:pPr>
            <w:r w:rsidRPr="000E5D05">
              <w:rPr>
                <w:rFonts w:cs="Arial"/>
                <w:color w:val="000000" w:themeColor="text1"/>
                <w:szCs w:val="16"/>
              </w:rPr>
              <w:t>The number of infants and toddlers who exited the Part C program during the reporting period, as reported in the State’s Part C exiting 618 data</w:t>
            </w:r>
          </w:p>
        </w:tc>
        <w:tc>
          <w:tcPr>
            <w:tcW w:w="1615" w:type="dxa"/>
            <w:shd w:val="clear" w:color="auto" w:fill="auto"/>
          </w:tcPr>
          <w:p w14:paraId="41E410A2" w14:textId="77777777" w:rsidR="000E5D05" w:rsidRPr="000E5D05" w:rsidRDefault="000E5D05" w:rsidP="006B424E">
            <w:pPr>
              <w:jc w:val="center"/>
              <w:rPr>
                <w:rFonts w:cs="Arial"/>
                <w:color w:val="000000" w:themeColor="text1"/>
                <w:szCs w:val="16"/>
              </w:rPr>
            </w:pPr>
            <w:r w:rsidRPr="000E5D05">
              <w:rPr>
                <w:rFonts w:cs="Arial"/>
                <w:color w:val="000000" w:themeColor="text1"/>
                <w:szCs w:val="16"/>
              </w:rPr>
              <w:t>3,562</w:t>
            </w:r>
          </w:p>
        </w:tc>
      </w:tr>
      <w:tr w:rsidR="000E5D05" w:rsidRPr="000E5D05" w14:paraId="67934A85" w14:textId="77777777" w:rsidTr="006B424E">
        <w:tc>
          <w:tcPr>
            <w:tcW w:w="9175" w:type="dxa"/>
          </w:tcPr>
          <w:p w14:paraId="07587B90" w14:textId="77777777" w:rsidR="000E5D05" w:rsidRPr="000E5D05" w:rsidRDefault="000E5D05" w:rsidP="006B424E">
            <w:pPr>
              <w:rPr>
                <w:rFonts w:cs="Arial"/>
                <w:color w:val="000000" w:themeColor="text1"/>
                <w:szCs w:val="16"/>
              </w:rPr>
            </w:pPr>
            <w:r w:rsidRPr="000E5D05">
              <w:rPr>
                <w:rFonts w:cs="Arial"/>
                <w:color w:val="000000" w:themeColor="text1"/>
                <w:szCs w:val="16"/>
              </w:rPr>
              <w:t>The number of those infants and toddlers who did not receive early intervention services for at least six months before exiting the Part C program.</w:t>
            </w:r>
          </w:p>
        </w:tc>
        <w:tc>
          <w:tcPr>
            <w:tcW w:w="1615" w:type="dxa"/>
          </w:tcPr>
          <w:p w14:paraId="6888EA59" w14:textId="77777777" w:rsidR="000E5D05" w:rsidRPr="000E5D05" w:rsidRDefault="000E5D05" w:rsidP="006B424E">
            <w:pPr>
              <w:jc w:val="center"/>
              <w:rPr>
                <w:rFonts w:cs="Arial"/>
                <w:color w:val="000000" w:themeColor="text1"/>
                <w:szCs w:val="16"/>
              </w:rPr>
            </w:pPr>
            <w:r w:rsidRPr="000E5D05">
              <w:rPr>
                <w:rFonts w:cs="Arial"/>
                <w:color w:val="000000" w:themeColor="text1"/>
                <w:szCs w:val="16"/>
              </w:rPr>
              <w:t>1,142</w:t>
            </w:r>
          </w:p>
        </w:tc>
      </w:tr>
      <w:tr w:rsidR="000E5D05" w:rsidRPr="00ED172B" w14:paraId="7565685B" w14:textId="77777777" w:rsidTr="006B424E">
        <w:tc>
          <w:tcPr>
            <w:tcW w:w="9175" w:type="dxa"/>
          </w:tcPr>
          <w:p w14:paraId="189EC9A1" w14:textId="77777777" w:rsidR="000E5D05" w:rsidRPr="000E5D05" w:rsidRDefault="000E5D05" w:rsidP="006B424E">
            <w:pPr>
              <w:rPr>
                <w:rFonts w:cs="Arial"/>
                <w:color w:val="000000" w:themeColor="text1"/>
                <w:szCs w:val="16"/>
              </w:rPr>
            </w:pPr>
            <w:r w:rsidRPr="000E5D05">
              <w:rPr>
                <w:rFonts w:cs="Arial"/>
                <w:bCs/>
                <w:color w:val="000000" w:themeColor="text1"/>
                <w:szCs w:val="16"/>
              </w:rPr>
              <w:t>Number of infants and toddlers with IFSPs assessed</w:t>
            </w:r>
          </w:p>
        </w:tc>
        <w:tc>
          <w:tcPr>
            <w:tcW w:w="1615" w:type="dxa"/>
          </w:tcPr>
          <w:p w14:paraId="1EA9DBE3" w14:textId="77777777" w:rsidR="000E5D05" w:rsidRPr="006B424E" w:rsidRDefault="000E5D05" w:rsidP="006B424E">
            <w:pPr>
              <w:rPr>
                <w:b/>
                <w:color w:val="000000" w:themeColor="text1"/>
              </w:rPr>
            </w:pPr>
            <w:r w:rsidRPr="000E5D05">
              <w:rPr>
                <w:color w:val="000000" w:themeColor="text1"/>
              </w:rPr>
              <w:t>3,238</w:t>
            </w:r>
          </w:p>
        </w:tc>
      </w:tr>
    </w:tbl>
    <w:p w14:paraId="72E78A43" w14:textId="658DEFD0" w:rsidR="001A171A" w:rsidRDefault="001A171A" w:rsidP="005F4279">
      <w:pPr>
        <w:rPr>
          <w:rFonts w:cs="Arial"/>
          <w:color w:val="000000" w:themeColor="text1"/>
          <w:szCs w:val="16"/>
        </w:rPr>
      </w:pPr>
    </w:p>
    <w:tbl>
      <w:tblPr>
        <w:tblStyle w:val="TableGrid"/>
        <w:tblW w:w="5000" w:type="pct"/>
        <w:tblCellMar>
          <w:left w:w="115" w:type="dxa"/>
          <w:right w:w="115" w:type="dxa"/>
        </w:tblCellMar>
        <w:tblLook w:val="04A0" w:firstRow="1" w:lastRow="0" w:firstColumn="1" w:lastColumn="0" w:noHBand="0" w:noVBand="1"/>
        <w:tblCaption w:val="C03SAMPLEUSED"/>
      </w:tblPr>
      <w:tblGrid>
        <w:gridCol w:w="8310"/>
        <w:gridCol w:w="2480"/>
      </w:tblGrid>
      <w:tr w:rsidR="00ED172B" w:rsidRPr="00ED172B" w14:paraId="5CDC992D" w14:textId="77777777" w:rsidTr="00A40EE1">
        <w:trPr>
          <w:tblHeader/>
        </w:trPr>
        <w:tc>
          <w:tcPr>
            <w:tcW w:w="3851" w:type="pct"/>
            <w:tcBorders>
              <w:top w:val="single" w:sz="4" w:space="0" w:color="auto"/>
              <w:left w:val="single" w:sz="4" w:space="0" w:color="auto"/>
            </w:tcBorders>
          </w:tcPr>
          <w:p w14:paraId="50D8D3CA" w14:textId="2FF2BABA" w:rsidR="00F20E73" w:rsidRPr="00A40EE1" w:rsidRDefault="00164FFE" w:rsidP="00781A26">
            <w:pPr>
              <w:rPr>
                <w:rFonts w:cs="Arial"/>
                <w:b/>
                <w:bCs/>
                <w:color w:val="000000" w:themeColor="text1"/>
                <w:szCs w:val="16"/>
              </w:rPr>
            </w:pPr>
            <w:r>
              <w:rPr>
                <w:rFonts w:cs="Arial"/>
                <w:b/>
                <w:bCs/>
                <w:color w:val="000000" w:themeColor="text1"/>
                <w:szCs w:val="16"/>
              </w:rPr>
              <w:t>Sampling Question</w:t>
            </w:r>
          </w:p>
        </w:tc>
        <w:tc>
          <w:tcPr>
            <w:tcW w:w="1149" w:type="pct"/>
            <w:tcBorders>
              <w:top w:val="single" w:sz="4" w:space="0" w:color="auto"/>
            </w:tcBorders>
          </w:tcPr>
          <w:p w14:paraId="2941D030" w14:textId="77777777" w:rsidR="00F20E73" w:rsidRPr="00ED172B" w:rsidRDefault="00F20E73" w:rsidP="00781A26">
            <w:pPr>
              <w:jc w:val="center"/>
              <w:rPr>
                <w:rFonts w:cs="Arial"/>
                <w:b/>
                <w:color w:val="000000" w:themeColor="text1"/>
                <w:szCs w:val="16"/>
              </w:rPr>
            </w:pPr>
            <w:r w:rsidRPr="00ED172B">
              <w:rPr>
                <w:rFonts w:cs="Arial"/>
                <w:b/>
                <w:color w:val="000000" w:themeColor="text1"/>
                <w:szCs w:val="16"/>
              </w:rPr>
              <w:t>Yes / No</w:t>
            </w:r>
          </w:p>
        </w:tc>
      </w:tr>
      <w:tr w:rsidR="00ED172B" w:rsidRPr="00ED172B" w14:paraId="72F7F64E" w14:textId="77777777" w:rsidTr="000D7858">
        <w:tc>
          <w:tcPr>
            <w:tcW w:w="3851" w:type="pct"/>
          </w:tcPr>
          <w:p w14:paraId="15ED4817" w14:textId="77777777" w:rsidR="00F20E73" w:rsidRPr="00ED172B" w:rsidRDefault="00F20E73" w:rsidP="00781A26">
            <w:pPr>
              <w:rPr>
                <w:rFonts w:cs="Arial"/>
                <w:color w:val="000000" w:themeColor="text1"/>
                <w:szCs w:val="16"/>
              </w:rPr>
            </w:pPr>
            <w:r w:rsidRPr="00ED172B">
              <w:rPr>
                <w:rFonts w:cs="Arial"/>
                <w:color w:val="000000" w:themeColor="text1"/>
                <w:szCs w:val="16"/>
              </w:rPr>
              <w:t xml:space="preserve">Was sampling used? </w:t>
            </w:r>
          </w:p>
        </w:tc>
        <w:tc>
          <w:tcPr>
            <w:tcW w:w="1149" w:type="pct"/>
          </w:tcPr>
          <w:p w14:paraId="4AF34DAE" w14:textId="4C1FA1B9" w:rsidR="00F20E73" w:rsidRPr="00ED172B" w:rsidRDefault="00860830" w:rsidP="004050E0">
            <w:pPr>
              <w:rPr>
                <w:rFonts w:cs="Arial"/>
                <w:color w:val="000000" w:themeColor="text1"/>
                <w:szCs w:val="16"/>
              </w:rPr>
            </w:pPr>
            <w:r w:rsidRPr="00ED172B">
              <w:rPr>
                <w:rFonts w:cs="Arial"/>
                <w:color w:val="000000" w:themeColor="text1"/>
                <w:szCs w:val="16"/>
              </w:rPr>
              <w:t>NO</w:t>
            </w:r>
          </w:p>
        </w:tc>
      </w:tr>
    </w:tbl>
    <w:p w14:paraId="047486DE" w14:textId="2F12AD13" w:rsidR="002451A6" w:rsidRPr="00ED172B" w:rsidRDefault="002451A6" w:rsidP="00F20E73">
      <w:pPr>
        <w:rPr>
          <w:rFonts w:cs="Arial"/>
          <w:b/>
          <w:color w:val="000000" w:themeColor="text1"/>
          <w:szCs w:val="16"/>
        </w:rPr>
      </w:pPr>
      <w:r w:rsidRPr="00ED172B">
        <w:rPr>
          <w:rFonts w:cs="Arial"/>
          <w:b/>
          <w:color w:val="000000" w:themeColor="text1"/>
          <w:szCs w:val="16"/>
        </w:rPr>
        <w:t>Did you use the Early Childhood Outcomes Center (ECO) Child Outcomes Summary (COS) process? (yes/no)</w:t>
      </w:r>
    </w:p>
    <w:p w14:paraId="44D4D8D3" w14:textId="4AE06461" w:rsidR="002451A6" w:rsidRDefault="005C14C2" w:rsidP="005C14C2">
      <w:pPr>
        <w:rPr>
          <w:color w:val="000000" w:themeColor="text1"/>
        </w:rPr>
      </w:pPr>
      <w:r w:rsidRPr="00ED172B">
        <w:rPr>
          <w:color w:val="000000" w:themeColor="text1"/>
        </w:rPr>
        <w:t>NO</w:t>
      </w:r>
    </w:p>
    <w:p w14:paraId="5721B8E5" w14:textId="796E7895" w:rsidR="00F20E73" w:rsidRPr="00ED172B" w:rsidRDefault="00F20E73" w:rsidP="00F20E73">
      <w:pPr>
        <w:rPr>
          <w:rFonts w:cs="Arial"/>
          <w:b/>
          <w:color w:val="000000" w:themeColor="text1"/>
          <w:szCs w:val="16"/>
        </w:rPr>
      </w:pPr>
      <w:r w:rsidRPr="00ED172B">
        <w:rPr>
          <w:b/>
          <w:color w:val="000000" w:themeColor="text1"/>
        </w:rPr>
        <w:t>Provide the criteria for defining “comparable to same-aged peers.”</w:t>
      </w:r>
    </w:p>
    <w:p w14:paraId="43BEFADD" w14:textId="7C17EB70" w:rsidR="00F20E73" w:rsidRDefault="00860830" w:rsidP="00F20E73">
      <w:pPr>
        <w:rPr>
          <w:rFonts w:cs="Arial"/>
          <w:color w:val="000000" w:themeColor="text1"/>
          <w:szCs w:val="16"/>
        </w:rPr>
      </w:pPr>
      <w:r w:rsidRPr="00ED172B">
        <w:rPr>
          <w:rFonts w:cs="Arial"/>
          <w:color w:val="000000" w:themeColor="text1"/>
          <w:szCs w:val="16"/>
        </w:rPr>
        <w:t xml:space="preserve">IIn 2015, using a national AEPS data set from typically developing children, a review team considered 90%, 85% and 80% percentile cut offs against the national data results to decide the cut off level that best reflected the State’s children in EI programs. The review team, comprised of State staff, the EI/ECSE Contractors and the EI/ECSE stakeholder group were all asked to analyze the percentile cut offs and determine the cut off level that the State should use for reporting to the EI child outcomes. The consensus was to use the 80% cut off level. This most closely represents the children who are eligible for Early Intervention programs and receive services in Oregon. </w:t>
      </w:r>
      <w:r w:rsidRPr="00ED172B">
        <w:rPr>
          <w:rFonts w:cs="Arial"/>
          <w:color w:val="000000" w:themeColor="text1"/>
          <w:szCs w:val="16"/>
        </w:rPr>
        <w:br/>
      </w:r>
      <w:r w:rsidRPr="00ED172B">
        <w:rPr>
          <w:rFonts w:cs="Arial"/>
          <w:color w:val="000000" w:themeColor="text1"/>
          <w:szCs w:val="16"/>
        </w:rPr>
        <w:br/>
        <w:t xml:space="preserve">Child progress is measured using the following rubric: </w:t>
      </w:r>
      <w:r w:rsidRPr="00ED172B">
        <w:rPr>
          <w:rFonts w:cs="Arial"/>
          <w:color w:val="000000" w:themeColor="text1"/>
          <w:szCs w:val="16"/>
        </w:rPr>
        <w:br/>
      </w:r>
      <w:r w:rsidRPr="00ED172B">
        <w:rPr>
          <w:rFonts w:cs="Arial"/>
          <w:color w:val="000000" w:themeColor="text1"/>
          <w:szCs w:val="16"/>
        </w:rPr>
        <w:lastRenderedPageBreak/>
        <w:br/>
        <w:t xml:space="preserve">If a child enters with a score below the normal range and stays the same or regresses at the next test administration, the child is categorized as (a) does not improve functioning. If the child makes progress and the ratio of how far below the normal level of development increases between test administrations, the child is categorized as (b) improved functioning but not sufficient to move nearer to functioning comparable to same-aged peers. If the child makes progress but the ratio of how far below the normal level of development decreases between test administrations, the child is categorized as (c) improved functioning to a level nearer to the functioning of same-aged peers but did not reach it. If a child enters with a score below the normal range and increases to reach or exceed the normal range at the next test administration, the child is categorized as (d) improved functioning sufficient to reach a level comparable to same-aged peers. </w:t>
      </w:r>
      <w:r w:rsidRPr="00ED172B">
        <w:rPr>
          <w:rFonts w:cs="Arial"/>
          <w:color w:val="000000" w:themeColor="text1"/>
          <w:szCs w:val="16"/>
        </w:rPr>
        <w:br/>
      </w:r>
      <w:r w:rsidRPr="00ED172B">
        <w:rPr>
          <w:rFonts w:cs="Arial"/>
          <w:color w:val="000000" w:themeColor="text1"/>
          <w:szCs w:val="16"/>
        </w:rPr>
        <w:br/>
        <w:t>If a child enters with a score at or above the normal range and maintains their score at or above the normal range at the next test administration, the child is categorized as (e) maintains functioning at or above same age peers.</w:t>
      </w:r>
    </w:p>
    <w:p w14:paraId="10AAC9AE" w14:textId="77777777" w:rsidR="00F20E73" w:rsidRPr="00ED172B" w:rsidRDefault="00F20E73" w:rsidP="00F20E73">
      <w:pPr>
        <w:rPr>
          <w:rFonts w:cs="Arial"/>
          <w:b/>
          <w:color w:val="000000" w:themeColor="text1"/>
          <w:szCs w:val="16"/>
        </w:rPr>
      </w:pPr>
      <w:r w:rsidRPr="00ED172B">
        <w:rPr>
          <w:rFonts w:cs="Arial"/>
          <w:b/>
          <w:color w:val="000000" w:themeColor="text1"/>
          <w:szCs w:val="16"/>
        </w:rPr>
        <w:t>List the instruments and procedures used to gather data for this indicator.</w:t>
      </w:r>
    </w:p>
    <w:p w14:paraId="0307C014" w14:textId="58F2A742" w:rsidR="00F20E73" w:rsidRPr="00ED172B" w:rsidRDefault="00860830" w:rsidP="00F20E73">
      <w:pPr>
        <w:rPr>
          <w:rFonts w:cs="Arial"/>
          <w:color w:val="000000" w:themeColor="text1"/>
          <w:szCs w:val="16"/>
        </w:rPr>
      </w:pPr>
      <w:r w:rsidRPr="00ED172B">
        <w:rPr>
          <w:rFonts w:cs="Arial"/>
          <w:color w:val="000000" w:themeColor="text1"/>
          <w:szCs w:val="16"/>
        </w:rPr>
        <w:t>As of 2008, the State required all EI/ECSE programs in the State to enter individual child assessment results from the Assessment, Evaluation, and Programming System (AEPS) into the Early Childhood Web (ecWeb). The State used the aggregate results for reporting on this indicator.</w:t>
      </w:r>
    </w:p>
    <w:p w14:paraId="7C7F4032" w14:textId="3B8DC8B2" w:rsidR="003A3693" w:rsidRPr="00ED172B" w:rsidRDefault="003A3693" w:rsidP="006935F4">
      <w:pPr>
        <w:rPr>
          <w:b/>
          <w:color w:val="000000" w:themeColor="text1"/>
        </w:rPr>
      </w:pPr>
      <w:bookmarkStart w:id="15" w:name="_Toc382082362"/>
      <w:bookmarkStart w:id="16" w:name="_Toc392159270"/>
      <w:r w:rsidRPr="00ED172B">
        <w:rPr>
          <w:b/>
          <w:color w:val="000000" w:themeColor="text1"/>
        </w:rPr>
        <w:t>Provide additional information about this indicator (optional).</w:t>
      </w:r>
    </w:p>
    <w:p w14:paraId="38CEA5CA" w14:textId="6B633C85" w:rsidR="003A3693" w:rsidRPr="00ED172B" w:rsidRDefault="003A3693" w:rsidP="003A3693">
      <w:pPr>
        <w:rPr>
          <w:rFonts w:cs="Arial"/>
          <w:color w:val="000000" w:themeColor="text1"/>
          <w:szCs w:val="16"/>
        </w:rPr>
      </w:pPr>
    </w:p>
    <w:p w14:paraId="2F0F2ABA" w14:textId="15FC50CD" w:rsidR="00DC0682" w:rsidRPr="00A40EE1" w:rsidRDefault="000D0117" w:rsidP="005C3FFD">
      <w:pPr>
        <w:pStyle w:val="Heading2"/>
      </w:pPr>
      <w:r w:rsidRPr="00A40EE1">
        <w:t xml:space="preserve">3 - </w:t>
      </w:r>
      <w:r w:rsidR="00DC0682" w:rsidRPr="00A40EE1">
        <w:t>Prior FFY Required Actions</w:t>
      </w:r>
    </w:p>
    <w:p w14:paraId="21A4A58D" w14:textId="7734B581" w:rsidR="004C1CEE" w:rsidRPr="00ED172B" w:rsidRDefault="00291EA9" w:rsidP="00291EA9">
      <w:pPr>
        <w:rPr>
          <w:color w:val="000000" w:themeColor="text1"/>
        </w:rPr>
      </w:pPr>
      <w:r w:rsidRPr="00ED172B">
        <w:rPr>
          <w:color w:val="000000" w:themeColor="text1"/>
        </w:rPr>
        <w:t>None</w:t>
      </w:r>
    </w:p>
    <w:p w14:paraId="043E739C" w14:textId="77777777" w:rsidR="004C1CEE" w:rsidRPr="00ED172B" w:rsidRDefault="004C1CEE" w:rsidP="00DC0682">
      <w:pPr>
        <w:rPr>
          <w:rFonts w:cs="Arial"/>
          <w:color w:val="000000" w:themeColor="text1"/>
          <w:szCs w:val="16"/>
        </w:rPr>
      </w:pPr>
    </w:p>
    <w:p w14:paraId="0981E26C" w14:textId="77777777" w:rsidR="004C1CEE" w:rsidRPr="00ED172B" w:rsidRDefault="004C1CEE" w:rsidP="00DC0682">
      <w:pPr>
        <w:rPr>
          <w:rFonts w:cs="Arial"/>
          <w:color w:val="000000" w:themeColor="text1"/>
          <w:szCs w:val="16"/>
        </w:rPr>
      </w:pPr>
    </w:p>
    <w:p w14:paraId="49B20761" w14:textId="442F28BB" w:rsidR="00DC0682" w:rsidRPr="00A40EE1" w:rsidRDefault="000D0117" w:rsidP="005C3FFD">
      <w:pPr>
        <w:pStyle w:val="Heading2"/>
      </w:pPr>
      <w:r w:rsidRPr="00A40EE1">
        <w:t xml:space="preserve">3 - </w:t>
      </w:r>
      <w:r w:rsidR="00DC0682" w:rsidRPr="00A40EE1">
        <w:t>OSEP Response</w:t>
      </w:r>
    </w:p>
    <w:p w14:paraId="4DD1F618" w14:textId="23270F7D" w:rsidR="00DC0682" w:rsidRPr="00ED172B" w:rsidRDefault="00DC0682" w:rsidP="005C14C2">
      <w:pPr>
        <w:rPr>
          <w:color w:val="000000" w:themeColor="text1"/>
        </w:rPr>
      </w:pPr>
    </w:p>
    <w:p w14:paraId="0ADAD91A" w14:textId="60D27E93" w:rsidR="00DC0682" w:rsidRPr="00A40EE1" w:rsidRDefault="000D0117" w:rsidP="005C3FFD">
      <w:pPr>
        <w:pStyle w:val="Heading2"/>
      </w:pPr>
      <w:r w:rsidRPr="00A40EE1">
        <w:t xml:space="preserve">3 - </w:t>
      </w:r>
      <w:r w:rsidR="00DC0682" w:rsidRPr="00A40EE1">
        <w:t>Required Actions</w:t>
      </w:r>
    </w:p>
    <w:p w14:paraId="08C780E2" w14:textId="562AD34F" w:rsidR="00DC0682" w:rsidRPr="00ED172B" w:rsidRDefault="00DC0682" w:rsidP="005C14C2">
      <w:pPr>
        <w:rPr>
          <w:color w:val="000000" w:themeColor="text1"/>
        </w:rPr>
      </w:pPr>
    </w:p>
    <w:p w14:paraId="7E16CF72" w14:textId="77777777" w:rsidR="006935F4" w:rsidRPr="00ED172B" w:rsidRDefault="006935F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08D67223" w14:textId="06797F57" w:rsidR="009D378C" w:rsidRPr="00ED172B" w:rsidRDefault="009D378C" w:rsidP="0077063D">
      <w:pPr>
        <w:pStyle w:val="Heading1"/>
        <w:rPr>
          <w:color w:val="000000" w:themeColor="text1"/>
        </w:rPr>
      </w:pPr>
      <w:r w:rsidRPr="00ED172B">
        <w:rPr>
          <w:color w:val="000000" w:themeColor="text1"/>
        </w:rPr>
        <w:lastRenderedPageBreak/>
        <w:t xml:space="preserve">Indicator </w:t>
      </w:r>
      <w:bookmarkEnd w:id="15"/>
      <w:bookmarkEnd w:id="16"/>
      <w:r w:rsidR="001F545F" w:rsidRPr="00ED172B">
        <w:rPr>
          <w:color w:val="000000" w:themeColor="text1"/>
        </w:rPr>
        <w:t>4: Family Involvement</w:t>
      </w:r>
    </w:p>
    <w:p w14:paraId="569B227F" w14:textId="77777777" w:rsidR="000C5918" w:rsidRPr="00ED172B" w:rsidRDefault="000C5918" w:rsidP="00186420">
      <w:pPr>
        <w:rPr>
          <w:color w:val="000000" w:themeColor="text1"/>
          <w:szCs w:val="20"/>
        </w:rPr>
      </w:pPr>
      <w:bookmarkStart w:id="17" w:name="_Toc392159271"/>
      <w:r w:rsidRPr="00ED172B">
        <w:rPr>
          <w:b/>
          <w:color w:val="000000" w:themeColor="text1"/>
          <w:sz w:val="20"/>
          <w:szCs w:val="20"/>
        </w:rPr>
        <w:t>Instructions and Measurement</w:t>
      </w:r>
    </w:p>
    <w:p w14:paraId="25E565A2" w14:textId="77777777" w:rsidR="001F545F" w:rsidRPr="00ED172B" w:rsidRDefault="001F545F">
      <w:pPr>
        <w:rPr>
          <w:b/>
          <w:color w:val="000000" w:themeColor="text1"/>
        </w:rPr>
      </w:pPr>
      <w:r w:rsidRPr="00ED172B">
        <w:rPr>
          <w:b/>
          <w:color w:val="000000" w:themeColor="text1"/>
        </w:rPr>
        <w:t xml:space="preserve">Monitoring Priority: </w:t>
      </w:r>
      <w:r w:rsidRPr="00ED172B">
        <w:rPr>
          <w:color w:val="000000" w:themeColor="text1"/>
        </w:rPr>
        <w:t xml:space="preserve">Early Intervention Services </w:t>
      </w:r>
      <w:proofErr w:type="gramStart"/>
      <w:r w:rsidRPr="00ED172B">
        <w:rPr>
          <w:color w:val="000000" w:themeColor="text1"/>
        </w:rPr>
        <w:t>In</w:t>
      </w:r>
      <w:proofErr w:type="gramEnd"/>
      <w:r w:rsidRPr="00ED172B">
        <w:rPr>
          <w:color w:val="000000" w:themeColor="text1"/>
        </w:rPr>
        <w:t xml:space="preserve"> Natural Environments</w:t>
      </w:r>
    </w:p>
    <w:p w14:paraId="6C78C52D" w14:textId="77777777" w:rsidR="001F545F" w:rsidRPr="00ED172B" w:rsidRDefault="001F545F" w:rsidP="001F545F">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families participating in Part C who report that early intervention services have helped the family:</w:t>
      </w:r>
    </w:p>
    <w:p w14:paraId="70313A91" w14:textId="1354A97B" w:rsidR="001F545F" w:rsidRPr="00ED172B" w:rsidRDefault="007F55E8" w:rsidP="00ED172B">
      <w:pPr>
        <w:ind w:firstLine="360"/>
        <w:rPr>
          <w:color w:val="000000" w:themeColor="text1"/>
          <w:szCs w:val="16"/>
        </w:rPr>
      </w:pPr>
      <w:r w:rsidRPr="00ED172B">
        <w:rPr>
          <w:color w:val="000000" w:themeColor="text1"/>
          <w:szCs w:val="16"/>
        </w:rPr>
        <w:t>A. Know their rights;</w:t>
      </w:r>
    </w:p>
    <w:p w14:paraId="2BA0CA2F" w14:textId="5F98EB64" w:rsidR="001F545F" w:rsidRPr="00ED172B" w:rsidRDefault="007F55E8" w:rsidP="00ED172B">
      <w:pPr>
        <w:ind w:firstLine="360"/>
        <w:rPr>
          <w:color w:val="000000" w:themeColor="text1"/>
          <w:szCs w:val="16"/>
        </w:rPr>
      </w:pPr>
      <w:r w:rsidRPr="00ED172B">
        <w:rPr>
          <w:color w:val="000000" w:themeColor="text1"/>
          <w:szCs w:val="16"/>
        </w:rPr>
        <w:t>B. Effectively communicate their children's needs; and</w:t>
      </w:r>
    </w:p>
    <w:p w14:paraId="52792A24" w14:textId="3C691166" w:rsidR="001F545F" w:rsidRPr="00ED172B" w:rsidRDefault="007F55E8" w:rsidP="00ED172B">
      <w:pPr>
        <w:ind w:firstLine="360"/>
        <w:rPr>
          <w:color w:val="000000" w:themeColor="text1"/>
          <w:szCs w:val="16"/>
        </w:rPr>
      </w:pPr>
      <w:r w:rsidRPr="00ED172B">
        <w:rPr>
          <w:color w:val="000000" w:themeColor="text1"/>
          <w:szCs w:val="16"/>
        </w:rPr>
        <w:t>C. Help their children develop and learn.</w:t>
      </w:r>
    </w:p>
    <w:p w14:paraId="0D528258" w14:textId="77777777" w:rsidR="001F545F" w:rsidRPr="00ED172B" w:rsidRDefault="001F545F" w:rsidP="001F545F">
      <w:pPr>
        <w:rPr>
          <w:color w:val="000000" w:themeColor="text1"/>
          <w:szCs w:val="16"/>
        </w:rPr>
      </w:pPr>
      <w:r w:rsidRPr="00ED172B">
        <w:rPr>
          <w:color w:val="000000" w:themeColor="text1"/>
          <w:szCs w:val="16"/>
        </w:rPr>
        <w:t>(20 U.S.C. 1416(a)(3)(A) and 1442)</w:t>
      </w:r>
    </w:p>
    <w:p w14:paraId="5D9AB3DB" w14:textId="77777777" w:rsidR="00A9742C" w:rsidRPr="00ED172B" w:rsidRDefault="00A9742C">
      <w:pPr>
        <w:rPr>
          <w:b/>
          <w:color w:val="000000" w:themeColor="text1"/>
        </w:rPr>
      </w:pPr>
      <w:bookmarkStart w:id="18" w:name="_Toc392159272"/>
      <w:bookmarkEnd w:id="17"/>
      <w:r w:rsidRPr="00ED172B">
        <w:rPr>
          <w:b/>
          <w:color w:val="000000" w:themeColor="text1"/>
        </w:rPr>
        <w:t>Data Source</w:t>
      </w:r>
    </w:p>
    <w:p w14:paraId="12F2BF23" w14:textId="4B91A41A" w:rsidR="00A9742C" w:rsidRPr="00ED172B" w:rsidRDefault="00A9742C" w:rsidP="004D140B">
      <w:pPr>
        <w:rPr>
          <w:color w:val="000000" w:themeColor="text1"/>
          <w:szCs w:val="16"/>
        </w:rPr>
      </w:pPr>
      <w:r w:rsidRPr="00ED172B">
        <w:rPr>
          <w:color w:val="000000" w:themeColor="text1"/>
          <w:szCs w:val="16"/>
        </w:rPr>
        <w:t xml:space="preserve">State </w:t>
      </w:r>
      <w:r w:rsidRPr="00ED172B">
        <w:rPr>
          <w:color w:val="000000" w:themeColor="text1"/>
          <w:szCs w:val="16"/>
          <w:shd w:val="clear" w:color="auto" w:fill="FFFFFF"/>
        </w:rPr>
        <w:t>selected data source. State must describe the data source in the SPP/APR.</w:t>
      </w:r>
    </w:p>
    <w:p w14:paraId="059B6EBF" w14:textId="77777777" w:rsidR="00A9742C" w:rsidRPr="00ED172B" w:rsidRDefault="00A9742C">
      <w:pPr>
        <w:rPr>
          <w:b/>
          <w:color w:val="000000" w:themeColor="text1"/>
        </w:rPr>
      </w:pPr>
      <w:r w:rsidRPr="00ED172B">
        <w:rPr>
          <w:b/>
          <w:color w:val="000000" w:themeColor="text1"/>
        </w:rPr>
        <w:t>Measurement</w:t>
      </w:r>
    </w:p>
    <w:p w14:paraId="36F43E60" w14:textId="3A283807" w:rsidR="00A9742C" w:rsidRPr="00ED172B" w:rsidRDefault="007F55E8" w:rsidP="00ED172B">
      <w:pPr>
        <w:ind w:left="360"/>
        <w:rPr>
          <w:color w:val="000000" w:themeColor="text1"/>
          <w:szCs w:val="16"/>
        </w:rPr>
      </w:pPr>
      <w:r w:rsidRPr="00ED172B">
        <w:rPr>
          <w:color w:val="000000" w:themeColor="text1"/>
          <w:szCs w:val="16"/>
        </w:rPr>
        <w:t>A. Percent = [(# of respondent families participating in Part C who report that early intervention services have helped the family know their rights) divided by the (# of respondent families participating in Part C)] times 100.</w:t>
      </w:r>
    </w:p>
    <w:p w14:paraId="5309AA10" w14:textId="0C64B7DB" w:rsidR="00A9742C" w:rsidRPr="00ED172B" w:rsidRDefault="007F55E8" w:rsidP="00ED172B">
      <w:pPr>
        <w:ind w:left="360"/>
        <w:rPr>
          <w:color w:val="000000" w:themeColor="text1"/>
          <w:szCs w:val="16"/>
        </w:rPr>
      </w:pPr>
      <w:r w:rsidRPr="00ED172B">
        <w:rPr>
          <w:color w:val="000000" w:themeColor="text1"/>
          <w:szCs w:val="16"/>
        </w:rPr>
        <w:t>B. Percent = [(# of respondent families participating in Part C who report that early intervention services have helped the family effectively communicate their children’s needs) divided by the (# of respondent families participating in Part C)] times 100.</w:t>
      </w:r>
    </w:p>
    <w:p w14:paraId="726B1C20" w14:textId="4EE8BBFF" w:rsidR="00A9742C" w:rsidRPr="00ED172B" w:rsidRDefault="007F55E8" w:rsidP="00ED172B">
      <w:pPr>
        <w:ind w:left="360"/>
        <w:rPr>
          <w:color w:val="000000" w:themeColor="text1"/>
          <w:szCs w:val="16"/>
        </w:rPr>
      </w:pPr>
      <w:r w:rsidRPr="00ED172B">
        <w:rPr>
          <w:color w:val="000000" w:themeColor="text1"/>
          <w:szCs w:val="16"/>
        </w:rPr>
        <w:t>C. Percent = [(# of respondent families participating in Part C who report that early intervention services have helped the family help their children develop and learn) divided by the (# of respondent families participating in Part C)] times 100.</w:t>
      </w:r>
    </w:p>
    <w:p w14:paraId="5E4A7387" w14:textId="13FBB6E1" w:rsidR="00A9742C" w:rsidRPr="00ED172B" w:rsidRDefault="00A9742C">
      <w:pPr>
        <w:rPr>
          <w:b/>
          <w:color w:val="000000" w:themeColor="text1"/>
        </w:rPr>
      </w:pPr>
      <w:r w:rsidRPr="00ED172B">
        <w:rPr>
          <w:b/>
          <w:color w:val="000000" w:themeColor="text1"/>
        </w:rPr>
        <w:t>Instructions</w:t>
      </w:r>
    </w:p>
    <w:p w14:paraId="34B66C9E" w14:textId="77777777" w:rsidR="00A9742C" w:rsidRPr="00ED172B" w:rsidRDefault="00A9742C" w:rsidP="004D140B">
      <w:pPr>
        <w:rPr>
          <w:color w:val="000000" w:themeColor="text1"/>
          <w:szCs w:val="16"/>
        </w:rPr>
      </w:pPr>
      <w:r w:rsidRPr="00D974E1">
        <w:rPr>
          <w:i/>
          <w:iCs/>
          <w:color w:val="000000" w:themeColor="text1"/>
          <w:szCs w:val="16"/>
        </w:rPr>
        <w:t>Sampling of </w:t>
      </w:r>
      <w:r w:rsidRPr="00D974E1">
        <w:rPr>
          <w:b/>
          <w:bCs/>
          <w:i/>
          <w:iCs/>
          <w:color w:val="000000" w:themeColor="text1"/>
          <w:szCs w:val="16"/>
        </w:rPr>
        <w:t>families participating in Part C</w:t>
      </w:r>
      <w:r w:rsidRPr="00D974E1">
        <w:rPr>
          <w:i/>
          <w:iCs/>
          <w:color w:val="000000" w:themeColor="text1"/>
          <w:szCs w:val="16"/>
        </w:rPr>
        <w:t> is allowed.</w:t>
      </w:r>
      <w:r w:rsidRPr="00ED172B">
        <w:rPr>
          <w:color w:val="000000" w:themeColor="text1"/>
          <w:szCs w:val="16"/>
        </w:rPr>
        <w:t xml:space="preserve"> </w:t>
      </w:r>
      <w:r w:rsidRPr="00D974E1">
        <w:rPr>
          <w:i/>
          <w:iCs/>
          <w:color w:val="000000" w:themeColor="text1"/>
          <w:szCs w:val="16"/>
        </w:rPr>
        <w:t>When sampling is used, submit a description of the sampling methodology outlining how the design will yield valid and reliable estimates. (See </w:t>
      </w:r>
      <w:r w:rsidRPr="00D974E1">
        <w:rPr>
          <w:i/>
          <w:iCs/>
          <w:color w:val="000000" w:themeColor="text1"/>
          <w:szCs w:val="16"/>
          <w:u w:val="single"/>
        </w:rPr>
        <w:t>General Instructions</w:t>
      </w:r>
      <w:r w:rsidRPr="00D974E1">
        <w:rPr>
          <w:i/>
          <w:iCs/>
          <w:color w:val="000000" w:themeColor="text1"/>
          <w:szCs w:val="16"/>
        </w:rPr>
        <w:t> page 2 for additional instructions on sampling.)</w:t>
      </w:r>
    </w:p>
    <w:p w14:paraId="5571A7F6" w14:textId="77777777" w:rsidR="00A9742C" w:rsidRPr="00ED172B" w:rsidRDefault="00A9742C" w:rsidP="004D140B">
      <w:pPr>
        <w:rPr>
          <w:color w:val="000000" w:themeColor="text1"/>
          <w:szCs w:val="16"/>
        </w:rPr>
      </w:pPr>
      <w:r w:rsidRPr="00ED172B">
        <w:rPr>
          <w:color w:val="000000" w:themeColor="text1"/>
          <w:szCs w:val="16"/>
        </w:rPr>
        <w:t>Provide the actual numbers used in the calculation.</w:t>
      </w:r>
    </w:p>
    <w:p w14:paraId="04457BE9" w14:textId="77777777" w:rsidR="00A9742C" w:rsidRPr="00ED172B" w:rsidRDefault="00A9742C" w:rsidP="004D140B">
      <w:pPr>
        <w:rPr>
          <w:color w:val="000000" w:themeColor="text1"/>
          <w:szCs w:val="16"/>
        </w:rPr>
      </w:pPr>
      <w:r w:rsidRPr="00ED172B">
        <w:rPr>
          <w:color w:val="000000" w:themeColor="text1"/>
          <w:szCs w:val="16"/>
        </w:rPr>
        <w:t>Describe the results of the calculations and compare the results to the target.</w:t>
      </w:r>
    </w:p>
    <w:p w14:paraId="78AF5090" w14:textId="77777777" w:rsidR="00A9742C" w:rsidRPr="00ED172B" w:rsidRDefault="00A9742C" w:rsidP="004D140B">
      <w:pPr>
        <w:rPr>
          <w:color w:val="000000" w:themeColor="text1"/>
          <w:szCs w:val="16"/>
        </w:rPr>
      </w:pPr>
      <w:r w:rsidRPr="00ED172B">
        <w:rPr>
          <w:color w:val="000000" w:themeColor="text1"/>
          <w:szCs w:val="16"/>
        </w:rPr>
        <w:t>While a survey is not required for this indicator, a State using a survey must submit a copy of any new or revised survey with its SPP/APR.</w:t>
      </w:r>
    </w:p>
    <w:p w14:paraId="1964A814" w14:textId="77777777" w:rsidR="00AD10DA" w:rsidRDefault="00A9742C" w:rsidP="00AD10DA">
      <w:pPr>
        <w:rPr>
          <w:szCs w:val="16"/>
        </w:rPr>
      </w:pPr>
      <w:r w:rsidRPr="00ED172B">
        <w:rPr>
          <w:color w:val="000000" w:themeColor="text1"/>
          <w:szCs w:val="16"/>
        </w:rPr>
        <w:t xml:space="preserve">Report the number of families to whom the surveys were distributed </w:t>
      </w:r>
      <w:r w:rsidR="00AD10DA" w:rsidRPr="003D3ED1">
        <w:t xml:space="preserve">and the </w:t>
      </w:r>
      <w:r w:rsidR="00AD10DA" w:rsidRPr="00007285">
        <w:t xml:space="preserve">number of respondent families participating in Part C. </w:t>
      </w:r>
      <w:r w:rsidR="00AD10DA" w:rsidRPr="00D974E1">
        <w:t>The survey response rate is auto calculated using the submitted data.</w:t>
      </w:r>
    </w:p>
    <w:p w14:paraId="4590CA07" w14:textId="77777777" w:rsidR="00AD10DA" w:rsidRPr="003D3ED1" w:rsidRDefault="00AD10DA" w:rsidP="00AD10DA">
      <w:pPr>
        <w:pStyle w:val="Subhed"/>
        <w:rPr>
          <w:rFonts w:cstheme="minorBidi"/>
          <w:b w:val="0"/>
        </w:rPr>
      </w:pPr>
      <w:r w:rsidRPr="003D3ED1">
        <w:rPr>
          <w:rFonts w:cstheme="minorBidi"/>
          <w:b w:val="0"/>
        </w:rPr>
        <w:t xml:space="preserve">States will be required to </w:t>
      </w:r>
      <w:bookmarkStart w:id="19" w:name="_Hlk78829878"/>
      <w:r w:rsidRPr="003D3ED1">
        <w:rPr>
          <w:rFonts w:cstheme="minorBidi"/>
          <w:b w:val="0"/>
        </w:rPr>
        <w:t>compare the current year’s response rate to the previous year(s) response rate(s</w:t>
      </w:r>
      <w:proofErr w:type="gramStart"/>
      <w:r w:rsidRPr="003D3ED1">
        <w:rPr>
          <w:rFonts w:cstheme="minorBidi"/>
          <w:b w:val="0"/>
        </w:rPr>
        <w:t>), and</w:t>
      </w:r>
      <w:proofErr w:type="gramEnd"/>
      <w:r w:rsidRPr="003D3ED1">
        <w:rPr>
          <w:rFonts w:cstheme="minorBidi"/>
          <w:b w:val="0"/>
        </w:rPr>
        <w:t xml:space="preserve"> describe strategies that will be implemented which are expected to increase the response rate year over year, particularly for those groups that are underrepresented</w:t>
      </w:r>
      <w:bookmarkEnd w:id="19"/>
      <w:r w:rsidRPr="003D3ED1">
        <w:rPr>
          <w:rFonts w:cstheme="minorBidi"/>
          <w:b w:val="0"/>
        </w:rPr>
        <w:t>.</w:t>
      </w:r>
    </w:p>
    <w:p w14:paraId="78B2A9FB" w14:textId="42D47853" w:rsidR="00A9742C" w:rsidRPr="00D974E1" w:rsidRDefault="00AD10DA" w:rsidP="00D974E1">
      <w:pPr>
        <w:pStyle w:val="Subhed"/>
      </w:pPr>
      <w:r w:rsidRPr="003D3ED1">
        <w:rPr>
          <w:rFonts w:cstheme="minorBidi"/>
          <w:b w:val="0"/>
        </w:rPr>
        <w:t>The State must also analyze the response rate to identify potential nonresponse bias and take steps to reduce any identified bias and promote response from a broad cross section of families that received Part C services.</w:t>
      </w:r>
    </w:p>
    <w:p w14:paraId="7930042E" w14:textId="119D756E" w:rsidR="00A9742C" w:rsidRPr="00ED172B" w:rsidRDefault="00A9742C" w:rsidP="004D140B">
      <w:pPr>
        <w:rPr>
          <w:color w:val="000000" w:themeColor="text1"/>
          <w:szCs w:val="16"/>
        </w:rPr>
      </w:pPr>
      <w:r w:rsidRPr="00ED172B">
        <w:rPr>
          <w:color w:val="000000" w:themeColor="text1"/>
          <w:szCs w:val="16"/>
        </w:rPr>
        <w:t xml:space="preserve">Include the State’s analysis of the extent to which the demographics of the </w:t>
      </w:r>
      <w:bookmarkStart w:id="20" w:name="_Hlk80187466"/>
      <w:r w:rsidR="00D45F98" w:rsidRPr="003D3ED1">
        <w:t>infants or toddlers for whom</w:t>
      </w:r>
      <w:bookmarkEnd w:id="20"/>
      <w:r w:rsidR="00D45F98">
        <w:t xml:space="preserve"> </w:t>
      </w:r>
      <w:r w:rsidR="003C2961">
        <w:t xml:space="preserve">families </w:t>
      </w:r>
      <w:r w:rsidR="00D45F98">
        <w:t>responded</w:t>
      </w:r>
      <w:r w:rsidRPr="00ED172B">
        <w:rPr>
          <w:color w:val="000000" w:themeColor="text1"/>
          <w:szCs w:val="16"/>
        </w:rPr>
        <w:t xml:space="preserve"> are representative of the demographics of infants and toddlers </w:t>
      </w:r>
      <w:bookmarkStart w:id="21" w:name="_Hlk80187529"/>
      <w:r w:rsidR="00D45F98" w:rsidRPr="003D3ED1">
        <w:t>receiving services</w:t>
      </w:r>
      <w:bookmarkEnd w:id="21"/>
      <w:r w:rsidRPr="00ED172B">
        <w:rPr>
          <w:color w:val="000000" w:themeColor="text1"/>
          <w:szCs w:val="16"/>
        </w:rPr>
        <w:t xml:space="preserve"> in the Part C program. </w:t>
      </w:r>
      <w:r w:rsidR="00D57298">
        <w:t xml:space="preserve">States should consider categories such as race/ethnicity, age of infant or toddler, and geographic location in the State. </w:t>
      </w:r>
    </w:p>
    <w:p w14:paraId="0E673AC0" w14:textId="3FA5EAA2" w:rsidR="00DB61F6" w:rsidRDefault="00DB61F6" w:rsidP="004D140B">
      <w:pPr>
        <w:rPr>
          <w:color w:val="000000" w:themeColor="text1"/>
          <w:szCs w:val="16"/>
        </w:rPr>
      </w:pPr>
      <w:r w:rsidRPr="003D3ED1">
        <w:t>States must describe the metric used to determine representativeness (e.g., +/- 3% discrepancy</w:t>
      </w:r>
      <w:r w:rsidRPr="00524F62">
        <w:rPr>
          <w:szCs w:val="16"/>
        </w:rPr>
        <w:t xml:space="preserve"> in the</w:t>
      </w:r>
      <w:r>
        <w:rPr>
          <w:szCs w:val="16"/>
        </w:rPr>
        <w:t xml:space="preserve"> </w:t>
      </w:r>
      <w:r w:rsidRPr="003D3ED1">
        <w:t>proportion of responders compared to target group)</w:t>
      </w:r>
    </w:p>
    <w:p w14:paraId="421D5E9C" w14:textId="02970881" w:rsidR="00A9742C" w:rsidRPr="00ED172B" w:rsidRDefault="00A9742C" w:rsidP="004D140B">
      <w:pPr>
        <w:rPr>
          <w:color w:val="000000" w:themeColor="text1"/>
          <w:szCs w:val="16"/>
        </w:rPr>
      </w:pPr>
      <w:r w:rsidRPr="00ED172B">
        <w:rPr>
          <w:color w:val="000000" w:themeColor="text1"/>
          <w:szCs w:val="16"/>
        </w:rPr>
        <w:t xml:space="preserve">If the analysis shows that the demographics of the </w:t>
      </w:r>
      <w:bookmarkStart w:id="22" w:name="_Hlk80196581"/>
      <w:r w:rsidR="00D57F7D" w:rsidRPr="003D3ED1">
        <w:t>infants or toddlers for whom</w:t>
      </w:r>
      <w:bookmarkEnd w:id="22"/>
      <w:r w:rsidRPr="00ED172B">
        <w:rPr>
          <w:color w:val="000000" w:themeColor="text1"/>
          <w:szCs w:val="16"/>
        </w:rPr>
        <w:t xml:space="preserve"> families responded are not representative of the demographics of infants and toddlers </w:t>
      </w:r>
      <w:r w:rsidR="00D57F7D">
        <w:rPr>
          <w:szCs w:val="16"/>
        </w:rPr>
        <w:t>receiving services</w:t>
      </w:r>
      <w:r w:rsidR="00D57F7D" w:rsidRPr="003D3ED1" w:rsidDel="00D57F7D">
        <w:t xml:space="preserve"> </w:t>
      </w:r>
      <w:r w:rsidRPr="00ED172B">
        <w:rPr>
          <w:color w:val="000000" w:themeColor="text1"/>
          <w:szCs w:val="16"/>
        </w:rPr>
        <w:t>in the Part C program, describe the strategies that the State will use to ensure that in the future the response data are representative of those demographics. In identifying such strategies, the State should consider factors such as how the State distributed the survey to families (e.g., by mail, by e-mail, on-line, by telephone, in-person), if a survey was used, and how responses were collected.</w:t>
      </w:r>
    </w:p>
    <w:p w14:paraId="0049F622" w14:textId="4AB4F5DF" w:rsidR="00DB61F6" w:rsidRPr="00E6031E" w:rsidRDefault="00DB61F6" w:rsidP="00DB61F6">
      <w:pPr>
        <w:pStyle w:val="Subhed"/>
        <w:rPr>
          <w:rFonts w:cstheme="minorBidi"/>
          <w:b w:val="0"/>
        </w:rPr>
      </w:pPr>
      <w:r w:rsidRPr="004720EA">
        <w:rPr>
          <w:rFonts w:cstheme="minorBidi"/>
          <w:bCs/>
        </w:rPr>
        <w:t>Beginning with the FFY 2022 SPP/APR, due February 1, 2024</w:t>
      </w:r>
      <w:r w:rsidRPr="003D3ED1">
        <w:rPr>
          <w:rFonts w:cstheme="minorBidi"/>
          <w:b w:val="0"/>
        </w:rPr>
        <w:t>, when reporting the extent to which the demographics of the infants or toddlers for whom families responded are representative of the demographics of infants and toddlers enrolled in the Part C program, States must include race</w:t>
      </w:r>
      <w:r w:rsidR="00651137">
        <w:rPr>
          <w:rFonts w:cstheme="minorBidi"/>
          <w:b w:val="0"/>
        </w:rPr>
        <w:t>/</w:t>
      </w:r>
      <w:r w:rsidRPr="003D3ED1">
        <w:rPr>
          <w:rFonts w:cstheme="minorBidi"/>
          <w:b w:val="0"/>
        </w:rPr>
        <w:t>ethnicity in its analysis. In addition, the State’s analysis must also include at least one of the following demographics: socioeconomic status, parents or guardians whose primary language is other than English and who have limited English proficiency, maternal education, geographic location, and/or another demographic category approved through the stakeholder input process.</w:t>
      </w:r>
    </w:p>
    <w:p w14:paraId="7BC350EC" w14:textId="1993A77F" w:rsidR="00A9742C" w:rsidRPr="00ED172B" w:rsidRDefault="00A9742C" w:rsidP="004D140B">
      <w:pPr>
        <w:rPr>
          <w:color w:val="000000" w:themeColor="text1"/>
          <w:szCs w:val="16"/>
        </w:rPr>
      </w:pPr>
      <w:r w:rsidRPr="00ED172B">
        <w:rPr>
          <w:color w:val="000000" w:themeColor="text1"/>
          <w:szCs w:val="16"/>
        </w:rPr>
        <w:t>States are encouraged to work in collaboration with their OSEP-funded parent centers in collecting data.</w:t>
      </w:r>
    </w:p>
    <w:bookmarkEnd w:id="18"/>
    <w:p w14:paraId="2A58204F" w14:textId="77EA3B41" w:rsidR="00ED272C" w:rsidRPr="00A40EE1" w:rsidRDefault="000D0117" w:rsidP="005C3FFD">
      <w:pPr>
        <w:pStyle w:val="Heading2"/>
      </w:pPr>
      <w:r w:rsidRPr="00A40EE1">
        <w:t xml:space="preserve">4 - </w:t>
      </w:r>
      <w:r w:rsidR="004D140B" w:rsidRPr="00A40EE1">
        <w:t>Indicator Data</w:t>
      </w:r>
    </w:p>
    <w:p w14:paraId="11DC4C0C" w14:textId="77777777" w:rsidR="001F545F" w:rsidRPr="00ED172B" w:rsidRDefault="001F545F">
      <w:pPr>
        <w:rPr>
          <w:b/>
          <w:color w:val="000000" w:themeColor="text1"/>
        </w:rPr>
      </w:pPr>
      <w:bookmarkStart w:id="23" w:name="_Toc392159273"/>
      <w:r w:rsidRPr="00ED172B">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04HISTDATA"/>
      </w:tblPr>
      <w:tblGrid>
        <w:gridCol w:w="895"/>
        <w:gridCol w:w="716"/>
        <w:gridCol w:w="807"/>
        <w:gridCol w:w="1675"/>
        <w:gridCol w:w="1675"/>
        <w:gridCol w:w="1675"/>
        <w:gridCol w:w="1675"/>
        <w:gridCol w:w="1672"/>
      </w:tblGrid>
      <w:tr w:rsidR="00ED172B" w:rsidRPr="00ED172B" w14:paraId="01D32715" w14:textId="48A04098" w:rsidTr="00A40EE1">
        <w:trPr>
          <w:trHeight w:val="350"/>
        </w:trPr>
        <w:tc>
          <w:tcPr>
            <w:tcW w:w="415" w:type="pct"/>
            <w:tcBorders>
              <w:top w:val="single" w:sz="4" w:space="0" w:color="auto"/>
              <w:left w:val="single" w:sz="4" w:space="0" w:color="auto"/>
              <w:bottom w:val="single" w:sz="4" w:space="0" w:color="auto"/>
              <w:right w:val="single" w:sz="4" w:space="0" w:color="auto"/>
            </w:tcBorders>
            <w:shd w:val="clear" w:color="auto" w:fill="auto"/>
            <w:vAlign w:val="bottom"/>
          </w:tcPr>
          <w:p w14:paraId="2101ED61" w14:textId="05381D06" w:rsidR="00013004" w:rsidRPr="00ED172B" w:rsidRDefault="00164FFE" w:rsidP="00013004">
            <w:pPr>
              <w:jc w:val="center"/>
              <w:rPr>
                <w:rFonts w:cs="Arial"/>
                <w:b/>
                <w:color w:val="000000" w:themeColor="text1"/>
                <w:szCs w:val="16"/>
              </w:rPr>
            </w:pPr>
            <w:r>
              <w:rPr>
                <w:rFonts w:cs="Arial"/>
                <w:b/>
                <w:color w:val="000000" w:themeColor="text1"/>
                <w:szCs w:val="16"/>
              </w:rPr>
              <w:t>Measure</w:t>
            </w:r>
          </w:p>
        </w:tc>
        <w:tc>
          <w:tcPr>
            <w:tcW w:w="332" w:type="pct"/>
            <w:tcBorders>
              <w:top w:val="single" w:sz="4" w:space="0" w:color="auto"/>
              <w:left w:val="single" w:sz="4" w:space="0" w:color="auto"/>
              <w:bottom w:val="single" w:sz="4" w:space="0" w:color="auto"/>
              <w:right w:val="single" w:sz="4" w:space="0" w:color="auto"/>
            </w:tcBorders>
            <w:shd w:val="clear" w:color="auto" w:fill="auto"/>
            <w:vAlign w:val="bottom"/>
          </w:tcPr>
          <w:p w14:paraId="73BAD9C8" w14:textId="392ADEA2" w:rsidR="00013004" w:rsidRPr="00ED172B" w:rsidRDefault="00013004" w:rsidP="00013004">
            <w:pPr>
              <w:jc w:val="center"/>
              <w:rPr>
                <w:rFonts w:cs="Arial"/>
                <w:b/>
                <w:color w:val="000000" w:themeColor="text1"/>
                <w:szCs w:val="16"/>
              </w:rPr>
            </w:pPr>
            <w:r w:rsidRPr="00ED172B">
              <w:rPr>
                <w:rFonts w:cs="Arial"/>
                <w:b/>
                <w:color w:val="000000" w:themeColor="text1"/>
                <w:szCs w:val="16"/>
              </w:rPr>
              <w:t xml:space="preserve">Baseline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bottom"/>
          </w:tcPr>
          <w:p w14:paraId="6241D221" w14:textId="253742DF" w:rsidR="00013004" w:rsidRPr="00ED172B" w:rsidRDefault="00013004" w:rsidP="00013004">
            <w:pPr>
              <w:jc w:val="center"/>
              <w:rPr>
                <w:rFonts w:cs="Arial"/>
                <w:b/>
                <w:color w:val="000000" w:themeColor="text1"/>
                <w:szCs w:val="16"/>
              </w:rPr>
            </w:pPr>
            <w:r w:rsidRPr="00ED172B">
              <w:rPr>
                <w:rFonts w:cs="Arial"/>
                <w:b/>
                <w:color w:val="000000" w:themeColor="text1"/>
                <w:szCs w:val="16"/>
              </w:rPr>
              <w:t>FFY</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E356793" w14:textId="44775E23" w:rsidR="00013004" w:rsidRPr="00ED172B" w:rsidRDefault="002163F2" w:rsidP="00013004">
            <w:pPr>
              <w:jc w:val="center"/>
              <w:rPr>
                <w:rFonts w:cs="Arial"/>
                <w:b/>
                <w:color w:val="000000" w:themeColor="text1"/>
                <w:szCs w:val="16"/>
              </w:rPr>
            </w:pPr>
            <w:r w:rsidRPr="00ED172B">
              <w:rPr>
                <w:rFonts w:cs="Arial"/>
                <w:b/>
                <w:color w:val="000000" w:themeColor="text1"/>
                <w:szCs w:val="16"/>
              </w:rPr>
              <w:t>2017</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C082B81" w14:textId="46A4EA50" w:rsidR="00013004" w:rsidRPr="00ED172B" w:rsidRDefault="002163F2" w:rsidP="00013004">
            <w:pPr>
              <w:jc w:val="center"/>
              <w:rPr>
                <w:rFonts w:cs="Arial"/>
                <w:b/>
                <w:color w:val="000000" w:themeColor="text1"/>
                <w:szCs w:val="16"/>
              </w:rPr>
            </w:pPr>
            <w:r w:rsidRPr="00ED172B">
              <w:rPr>
                <w:rFonts w:cs="Arial"/>
                <w:b/>
                <w:color w:val="000000" w:themeColor="text1"/>
                <w:szCs w:val="16"/>
              </w:rPr>
              <w:t>2018</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FD5D2C2" w14:textId="0835E9F5" w:rsidR="00013004" w:rsidRPr="00ED172B" w:rsidRDefault="002163F2" w:rsidP="00013004">
            <w:pPr>
              <w:jc w:val="center"/>
              <w:rPr>
                <w:rFonts w:cs="Arial"/>
                <w:b/>
                <w:color w:val="000000" w:themeColor="text1"/>
                <w:szCs w:val="16"/>
              </w:rPr>
            </w:pPr>
            <w:r w:rsidRPr="00ED172B">
              <w:rPr>
                <w:rFonts w:cs="Arial"/>
                <w:b/>
                <w:color w:val="000000" w:themeColor="text1"/>
                <w:szCs w:val="16"/>
              </w:rPr>
              <w:t>2019</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BFF5ACF" w14:textId="6368BFE5" w:rsidR="00013004" w:rsidRPr="00ED172B" w:rsidRDefault="002163F2" w:rsidP="00013004">
            <w:pPr>
              <w:jc w:val="center"/>
              <w:rPr>
                <w:rFonts w:cs="Arial"/>
                <w:b/>
                <w:color w:val="000000" w:themeColor="text1"/>
                <w:szCs w:val="16"/>
              </w:rPr>
            </w:pPr>
            <w:r w:rsidRPr="00ED172B">
              <w:rPr>
                <w:rFonts w:cs="Arial"/>
                <w:b/>
                <w:color w:val="000000" w:themeColor="text1"/>
                <w:szCs w:val="16"/>
              </w:rPr>
              <w:t>2020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6DAE1E2" w14:textId="496BE430" w:rsidR="00013004" w:rsidRPr="00ED172B" w:rsidRDefault="006D43D3" w:rsidP="00013004">
            <w:pPr>
              <w:jc w:val="center"/>
              <w:rPr>
                <w:rFonts w:cs="Arial"/>
                <w:b/>
                <w:color w:val="000000" w:themeColor="text1"/>
                <w:szCs w:val="16"/>
              </w:rPr>
            </w:pPr>
            <w:r w:rsidRPr="00ED172B">
              <w:rPr>
                <w:rFonts w:cs="Arial"/>
                <w:b/>
                <w:color w:val="000000" w:themeColor="text1"/>
                <w:szCs w:val="16"/>
              </w:rPr>
              <w:t>2021</w:t>
            </w:r>
          </w:p>
        </w:tc>
      </w:tr>
      <w:tr w:rsidR="00ED172B" w:rsidRPr="00ED172B" w14:paraId="52661D1F" w14:textId="56186CB3" w:rsidTr="00A40EE1">
        <w:trPr>
          <w:trHeight w:val="70"/>
        </w:trPr>
        <w:tc>
          <w:tcPr>
            <w:tcW w:w="415" w:type="pct"/>
            <w:tcBorders>
              <w:top w:val="single" w:sz="4" w:space="0" w:color="auto"/>
              <w:left w:val="single" w:sz="4" w:space="0" w:color="auto"/>
              <w:right w:val="single" w:sz="4" w:space="0" w:color="auto"/>
            </w:tcBorders>
            <w:shd w:val="clear" w:color="auto" w:fill="auto"/>
            <w:vAlign w:val="center"/>
          </w:tcPr>
          <w:p w14:paraId="1C8EF858"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A</w:t>
            </w:r>
          </w:p>
        </w:tc>
        <w:tc>
          <w:tcPr>
            <w:tcW w:w="332" w:type="pct"/>
            <w:tcBorders>
              <w:top w:val="single" w:sz="4" w:space="0" w:color="auto"/>
              <w:left w:val="single" w:sz="4" w:space="0" w:color="auto"/>
              <w:right w:val="single" w:sz="4" w:space="0" w:color="auto"/>
            </w:tcBorders>
            <w:shd w:val="clear" w:color="auto" w:fill="auto"/>
          </w:tcPr>
          <w:p w14:paraId="33DA05CA" w14:textId="47A2DCDE" w:rsidR="00013004" w:rsidRPr="00ED172B" w:rsidRDefault="00291EA9" w:rsidP="00ED172B">
            <w:pPr>
              <w:jc w:val="center"/>
              <w:rPr>
                <w:color w:val="000000" w:themeColor="text1"/>
              </w:rPr>
            </w:pPr>
            <w:r w:rsidRPr="00ED172B">
              <w:rPr>
                <w:color w:val="000000" w:themeColor="text1"/>
              </w:rPr>
              <w:t>2014</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4E1CDB3E" w14:textId="4B1DF262" w:rsidR="00013004" w:rsidRPr="00ED172B" w:rsidRDefault="00013004" w:rsidP="00D21F29">
            <w:pPr>
              <w:jc w:val="center"/>
              <w:rPr>
                <w:rFonts w:cs="Arial"/>
                <w:color w:val="000000" w:themeColor="text1"/>
                <w:szCs w:val="16"/>
              </w:rPr>
            </w:pPr>
            <w:r w:rsidRPr="00ED172B">
              <w:rPr>
                <w:rFonts w:cs="Arial"/>
                <w:color w:val="000000" w:themeColor="text1"/>
                <w:szCs w:val="16"/>
              </w:rPr>
              <w:t>Target&gt;=</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282E3B2" w14:textId="56E8777C" w:rsidR="00013004" w:rsidRPr="00ED172B" w:rsidRDefault="00860830" w:rsidP="00ED172B">
            <w:pPr>
              <w:jc w:val="center"/>
              <w:rPr>
                <w:rFonts w:cs="Arial"/>
                <w:color w:val="000000" w:themeColor="text1"/>
                <w:szCs w:val="16"/>
              </w:rPr>
            </w:pPr>
            <w:r w:rsidRPr="00ED172B">
              <w:rPr>
                <w:rFonts w:cs="Arial"/>
                <w:color w:val="000000" w:themeColor="text1"/>
                <w:szCs w:val="16"/>
              </w:rPr>
              <w:t>90.00%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156D8CD" w14:textId="2F3CC0BE" w:rsidR="00013004" w:rsidRPr="00ED172B" w:rsidRDefault="00860830" w:rsidP="00ED172B">
            <w:pPr>
              <w:jc w:val="center"/>
              <w:rPr>
                <w:rFonts w:cs="Arial"/>
                <w:color w:val="000000" w:themeColor="text1"/>
                <w:szCs w:val="16"/>
              </w:rPr>
            </w:pPr>
            <w:r w:rsidRPr="00ED172B">
              <w:rPr>
                <w:rFonts w:cs="Arial"/>
                <w:color w:val="000000" w:themeColor="text1"/>
                <w:szCs w:val="16"/>
              </w:rPr>
              <w:t>91.00%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7F550C8" w14:textId="48BAF3B1" w:rsidR="00013004" w:rsidRPr="00ED172B" w:rsidRDefault="00860830" w:rsidP="00ED172B">
            <w:pPr>
              <w:jc w:val="center"/>
              <w:rPr>
                <w:rFonts w:cs="Arial"/>
                <w:color w:val="000000" w:themeColor="text1"/>
                <w:szCs w:val="16"/>
              </w:rPr>
            </w:pPr>
            <w:r w:rsidRPr="00ED172B">
              <w:rPr>
                <w:rFonts w:cs="Arial"/>
                <w:color w:val="000000" w:themeColor="text1"/>
                <w:szCs w:val="16"/>
              </w:rPr>
              <w:t>91.00%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63E44D3" w14:textId="4723AFC2" w:rsidR="00013004" w:rsidRPr="00ED172B" w:rsidRDefault="00860830" w:rsidP="00ED172B">
            <w:pPr>
              <w:jc w:val="center"/>
              <w:rPr>
                <w:rFonts w:cs="Arial"/>
                <w:color w:val="000000" w:themeColor="text1"/>
                <w:szCs w:val="16"/>
              </w:rPr>
            </w:pPr>
            <w:r w:rsidRPr="00ED172B">
              <w:rPr>
                <w:rFonts w:cs="Arial"/>
                <w:color w:val="000000" w:themeColor="text1"/>
                <w:szCs w:val="16"/>
              </w:rPr>
              <w:t>89.52%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20EE174" w14:textId="3F1A72E1" w:rsidR="00013004" w:rsidRPr="00ED172B" w:rsidRDefault="00860830" w:rsidP="00ED172B">
            <w:pPr>
              <w:jc w:val="center"/>
              <w:rPr>
                <w:rFonts w:cs="Arial"/>
                <w:color w:val="000000" w:themeColor="text1"/>
                <w:szCs w:val="16"/>
              </w:rPr>
            </w:pPr>
            <w:r w:rsidRPr="00ED172B">
              <w:rPr>
                <w:rFonts w:cs="Arial"/>
                <w:color w:val="000000" w:themeColor="text1"/>
                <w:szCs w:val="16"/>
              </w:rPr>
              <w:t>89.92%</w:t>
            </w:r>
          </w:p>
        </w:tc>
      </w:tr>
      <w:tr w:rsidR="00ED172B" w:rsidRPr="00ED172B" w14:paraId="5726E534" w14:textId="0FEBCB20" w:rsidTr="00A40EE1">
        <w:trPr>
          <w:trHeight w:val="85"/>
        </w:trPr>
        <w:tc>
          <w:tcPr>
            <w:tcW w:w="415" w:type="pct"/>
            <w:tcBorders>
              <w:left w:val="single" w:sz="4" w:space="0" w:color="auto"/>
              <w:right w:val="single" w:sz="4" w:space="0" w:color="auto"/>
            </w:tcBorders>
            <w:shd w:val="clear" w:color="auto" w:fill="auto"/>
            <w:vAlign w:val="center"/>
          </w:tcPr>
          <w:p w14:paraId="327818F6" w14:textId="7DE1C4D2" w:rsidR="00013004" w:rsidRPr="00ED172B" w:rsidRDefault="004B755C" w:rsidP="00D21F29">
            <w:pPr>
              <w:jc w:val="center"/>
              <w:rPr>
                <w:rFonts w:cs="Arial"/>
                <w:color w:val="000000" w:themeColor="text1"/>
                <w:szCs w:val="16"/>
              </w:rPr>
            </w:pPr>
            <w:r w:rsidRPr="00ED172B">
              <w:rPr>
                <w:rFonts w:cs="Arial"/>
                <w:color w:val="000000" w:themeColor="text1"/>
                <w:szCs w:val="16"/>
              </w:rPr>
              <w:t>A</w:t>
            </w:r>
          </w:p>
        </w:tc>
        <w:tc>
          <w:tcPr>
            <w:tcW w:w="332" w:type="pct"/>
            <w:tcBorders>
              <w:left w:val="single" w:sz="4" w:space="0" w:color="auto"/>
              <w:right w:val="single" w:sz="4" w:space="0" w:color="auto"/>
            </w:tcBorders>
            <w:shd w:val="clear" w:color="auto" w:fill="auto"/>
          </w:tcPr>
          <w:p w14:paraId="44626205" w14:textId="5FE5D1F3" w:rsidR="00013004" w:rsidRPr="00ED172B" w:rsidRDefault="00291EA9" w:rsidP="00ED172B">
            <w:pPr>
              <w:jc w:val="center"/>
              <w:rPr>
                <w:color w:val="000000" w:themeColor="text1"/>
              </w:rPr>
            </w:pPr>
            <w:r w:rsidRPr="00ED172B">
              <w:rPr>
                <w:color w:val="000000" w:themeColor="text1"/>
              </w:rPr>
              <w:t>89.63%</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0D572CB1" w14:textId="457533E8" w:rsidR="00013004" w:rsidRPr="00ED172B" w:rsidRDefault="00013004" w:rsidP="00D21F29">
            <w:pPr>
              <w:jc w:val="center"/>
              <w:rPr>
                <w:rFonts w:cs="Arial"/>
                <w:color w:val="000000" w:themeColor="text1"/>
                <w:szCs w:val="16"/>
              </w:rPr>
            </w:pPr>
            <w:r w:rsidRPr="00ED172B">
              <w:rPr>
                <w:rFonts w:cs="Arial"/>
                <w:color w:val="000000" w:themeColor="text1"/>
                <w:szCs w:val="16"/>
              </w:rPr>
              <w:t>Data</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503A03B" w14:textId="25800DDF" w:rsidR="00013004" w:rsidRPr="00ED172B" w:rsidRDefault="00860830" w:rsidP="00ED172B">
            <w:pPr>
              <w:jc w:val="center"/>
              <w:rPr>
                <w:rFonts w:cs="Arial"/>
                <w:color w:val="000000" w:themeColor="text1"/>
                <w:szCs w:val="16"/>
              </w:rPr>
            </w:pPr>
            <w:r w:rsidRPr="00ED172B">
              <w:rPr>
                <w:rFonts w:cs="Arial"/>
                <w:color w:val="000000" w:themeColor="text1"/>
                <w:szCs w:val="16"/>
              </w:rPr>
              <w:t>89.69%</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05DEB05" w14:textId="040FAA36" w:rsidR="00013004" w:rsidRPr="00ED172B" w:rsidRDefault="00860830" w:rsidP="00ED172B">
            <w:pPr>
              <w:jc w:val="center"/>
              <w:rPr>
                <w:rFonts w:cs="Arial"/>
                <w:color w:val="000000" w:themeColor="text1"/>
                <w:szCs w:val="16"/>
              </w:rPr>
            </w:pPr>
            <w:r w:rsidRPr="00ED172B">
              <w:rPr>
                <w:rFonts w:cs="Arial"/>
                <w:color w:val="000000" w:themeColor="text1"/>
                <w:szCs w:val="16"/>
              </w:rPr>
              <w:t>94.09%</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3ADA9B6" w14:textId="1F8E77E2" w:rsidR="00013004" w:rsidRPr="00ED172B" w:rsidRDefault="00860830" w:rsidP="00ED172B">
            <w:pPr>
              <w:jc w:val="center"/>
              <w:rPr>
                <w:rFonts w:cs="Arial"/>
                <w:color w:val="000000" w:themeColor="text1"/>
                <w:szCs w:val="16"/>
              </w:rPr>
            </w:pPr>
            <w:r w:rsidRPr="00ED172B">
              <w:rPr>
                <w:rFonts w:cs="Arial"/>
                <w:color w:val="000000" w:themeColor="text1"/>
                <w:szCs w:val="16"/>
              </w:rPr>
              <w:t>89.44%</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3F1789D" w14:textId="24BF9F1E" w:rsidR="00013004" w:rsidRPr="00ED172B" w:rsidRDefault="00860830" w:rsidP="00ED172B">
            <w:pPr>
              <w:jc w:val="center"/>
              <w:rPr>
                <w:rFonts w:cs="Arial"/>
                <w:color w:val="000000" w:themeColor="text1"/>
                <w:szCs w:val="16"/>
              </w:rPr>
            </w:pPr>
            <w:r w:rsidRPr="00ED172B">
              <w:rPr>
                <w:rFonts w:cs="Arial"/>
                <w:color w:val="000000" w:themeColor="text1"/>
                <w:szCs w:val="16"/>
              </w:rPr>
              <w:t>90.63%</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3DC5601" w14:textId="744676E5" w:rsidR="00013004" w:rsidRPr="00ED172B" w:rsidRDefault="00860830" w:rsidP="00ED172B">
            <w:pPr>
              <w:jc w:val="center"/>
              <w:rPr>
                <w:rFonts w:cs="Arial"/>
                <w:color w:val="000000" w:themeColor="text1"/>
                <w:szCs w:val="16"/>
              </w:rPr>
            </w:pPr>
            <w:r w:rsidRPr="00ED172B">
              <w:rPr>
                <w:rFonts w:cs="Arial"/>
                <w:color w:val="000000" w:themeColor="text1"/>
                <w:szCs w:val="16"/>
              </w:rPr>
              <w:t>86.41%</w:t>
            </w:r>
          </w:p>
        </w:tc>
      </w:tr>
      <w:tr w:rsidR="00ED172B" w:rsidRPr="00ED172B" w14:paraId="34C86E67" w14:textId="16DC4ADE" w:rsidTr="00A40EE1">
        <w:trPr>
          <w:trHeight w:val="357"/>
        </w:trPr>
        <w:tc>
          <w:tcPr>
            <w:tcW w:w="415" w:type="pct"/>
            <w:tcBorders>
              <w:top w:val="single" w:sz="4" w:space="0" w:color="auto"/>
              <w:left w:val="single" w:sz="4" w:space="0" w:color="auto"/>
              <w:right w:val="single" w:sz="4" w:space="0" w:color="auto"/>
            </w:tcBorders>
            <w:shd w:val="clear" w:color="auto" w:fill="auto"/>
            <w:vAlign w:val="center"/>
          </w:tcPr>
          <w:p w14:paraId="0A33D9B4"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B</w:t>
            </w:r>
          </w:p>
        </w:tc>
        <w:tc>
          <w:tcPr>
            <w:tcW w:w="332" w:type="pct"/>
            <w:tcBorders>
              <w:left w:val="single" w:sz="4" w:space="0" w:color="auto"/>
              <w:right w:val="single" w:sz="4" w:space="0" w:color="auto"/>
            </w:tcBorders>
            <w:shd w:val="clear" w:color="auto" w:fill="auto"/>
          </w:tcPr>
          <w:p w14:paraId="023391C1" w14:textId="31C75DD5" w:rsidR="00013004" w:rsidRPr="00ED172B" w:rsidRDefault="00291EA9" w:rsidP="00ED172B">
            <w:pPr>
              <w:jc w:val="center"/>
              <w:rPr>
                <w:color w:val="000000" w:themeColor="text1"/>
              </w:rPr>
            </w:pPr>
            <w:r w:rsidRPr="00ED172B">
              <w:rPr>
                <w:color w:val="000000" w:themeColor="text1"/>
              </w:rPr>
              <w:t>2014</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0F6B57E8" w14:textId="74B5ED90" w:rsidR="00013004" w:rsidRPr="00ED172B" w:rsidRDefault="00013004" w:rsidP="00D21F29">
            <w:pPr>
              <w:jc w:val="center"/>
              <w:rPr>
                <w:rFonts w:cs="Arial"/>
                <w:color w:val="000000" w:themeColor="text1"/>
                <w:szCs w:val="16"/>
              </w:rPr>
            </w:pPr>
            <w:r w:rsidRPr="00ED172B">
              <w:rPr>
                <w:rFonts w:cs="Arial"/>
                <w:color w:val="000000" w:themeColor="text1"/>
                <w:szCs w:val="16"/>
              </w:rPr>
              <w:t>Target&gt;=</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DFE6DD5" w14:textId="0267A6A0" w:rsidR="00013004" w:rsidRPr="00ED172B" w:rsidRDefault="00860830" w:rsidP="00ED172B">
            <w:pPr>
              <w:jc w:val="center"/>
              <w:rPr>
                <w:rFonts w:cs="Arial"/>
                <w:color w:val="000000" w:themeColor="text1"/>
                <w:szCs w:val="16"/>
              </w:rPr>
            </w:pPr>
            <w:r w:rsidRPr="00ED172B">
              <w:rPr>
                <w:rFonts w:cs="Arial"/>
                <w:color w:val="000000" w:themeColor="text1"/>
                <w:szCs w:val="16"/>
              </w:rPr>
              <w:t>90.00%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C5FDD98" w14:textId="5D6FFE99" w:rsidR="00013004" w:rsidRPr="00ED172B" w:rsidRDefault="00860830" w:rsidP="00ED172B">
            <w:pPr>
              <w:jc w:val="center"/>
              <w:rPr>
                <w:rFonts w:cs="Arial"/>
                <w:color w:val="000000" w:themeColor="text1"/>
                <w:szCs w:val="16"/>
              </w:rPr>
            </w:pPr>
            <w:r w:rsidRPr="00ED172B">
              <w:rPr>
                <w:rFonts w:cs="Arial"/>
                <w:color w:val="000000" w:themeColor="text1"/>
                <w:szCs w:val="16"/>
              </w:rPr>
              <w:t>91.00%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EE51451" w14:textId="2C870F73" w:rsidR="00013004" w:rsidRPr="00ED172B" w:rsidRDefault="00860830" w:rsidP="00ED172B">
            <w:pPr>
              <w:jc w:val="center"/>
              <w:rPr>
                <w:rFonts w:cs="Arial"/>
                <w:color w:val="000000" w:themeColor="text1"/>
                <w:szCs w:val="16"/>
              </w:rPr>
            </w:pPr>
            <w:r w:rsidRPr="00ED172B">
              <w:rPr>
                <w:rFonts w:cs="Arial"/>
                <w:color w:val="000000" w:themeColor="text1"/>
                <w:szCs w:val="16"/>
              </w:rPr>
              <w:t>91.00%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0A41FC6" w14:textId="54686D6B" w:rsidR="00013004" w:rsidRPr="00ED172B" w:rsidRDefault="00860830" w:rsidP="00ED172B">
            <w:pPr>
              <w:jc w:val="center"/>
              <w:rPr>
                <w:rFonts w:cs="Arial"/>
                <w:color w:val="000000" w:themeColor="text1"/>
                <w:szCs w:val="16"/>
              </w:rPr>
            </w:pPr>
            <w:r w:rsidRPr="00ED172B">
              <w:rPr>
                <w:rFonts w:cs="Arial"/>
                <w:color w:val="000000" w:themeColor="text1"/>
                <w:szCs w:val="16"/>
              </w:rPr>
              <w:t>91.29%</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C30ECB5" w14:textId="453A7604" w:rsidR="00013004" w:rsidRPr="00ED172B" w:rsidRDefault="00860830" w:rsidP="00ED172B">
            <w:pPr>
              <w:jc w:val="center"/>
              <w:rPr>
                <w:rFonts w:cs="Arial"/>
                <w:color w:val="000000" w:themeColor="text1"/>
                <w:szCs w:val="16"/>
              </w:rPr>
            </w:pPr>
            <w:r w:rsidRPr="00ED172B">
              <w:rPr>
                <w:rFonts w:cs="Arial"/>
                <w:color w:val="000000" w:themeColor="text1"/>
                <w:szCs w:val="16"/>
              </w:rPr>
              <w:t>91.63%</w:t>
            </w:r>
          </w:p>
        </w:tc>
      </w:tr>
      <w:tr w:rsidR="00ED172B" w:rsidRPr="00ED172B" w14:paraId="48448318" w14:textId="1BF5AF3A" w:rsidTr="00A40EE1">
        <w:trPr>
          <w:trHeight w:val="85"/>
        </w:trPr>
        <w:tc>
          <w:tcPr>
            <w:tcW w:w="415" w:type="pct"/>
            <w:tcBorders>
              <w:left w:val="single" w:sz="4" w:space="0" w:color="auto"/>
              <w:right w:val="single" w:sz="4" w:space="0" w:color="auto"/>
            </w:tcBorders>
            <w:shd w:val="clear" w:color="auto" w:fill="auto"/>
            <w:vAlign w:val="center"/>
          </w:tcPr>
          <w:p w14:paraId="08404016" w14:textId="59489EEE" w:rsidR="00013004" w:rsidRPr="00ED172B" w:rsidRDefault="004B755C" w:rsidP="00D21F29">
            <w:pPr>
              <w:jc w:val="center"/>
              <w:rPr>
                <w:rFonts w:cs="Arial"/>
                <w:color w:val="000000" w:themeColor="text1"/>
                <w:szCs w:val="16"/>
              </w:rPr>
            </w:pPr>
            <w:r w:rsidRPr="00ED172B">
              <w:rPr>
                <w:rFonts w:cs="Arial"/>
                <w:color w:val="000000" w:themeColor="text1"/>
                <w:szCs w:val="16"/>
              </w:rPr>
              <w:t>B</w:t>
            </w:r>
          </w:p>
        </w:tc>
        <w:tc>
          <w:tcPr>
            <w:tcW w:w="332" w:type="pct"/>
            <w:tcBorders>
              <w:left w:val="single" w:sz="4" w:space="0" w:color="auto"/>
              <w:right w:val="single" w:sz="4" w:space="0" w:color="auto"/>
            </w:tcBorders>
            <w:shd w:val="clear" w:color="auto" w:fill="auto"/>
          </w:tcPr>
          <w:p w14:paraId="23E7373A" w14:textId="433300C8" w:rsidR="00013004" w:rsidRPr="00ED172B" w:rsidRDefault="00291EA9" w:rsidP="00ED172B">
            <w:pPr>
              <w:jc w:val="center"/>
              <w:rPr>
                <w:color w:val="000000" w:themeColor="text1"/>
              </w:rPr>
            </w:pPr>
            <w:r w:rsidRPr="00ED172B">
              <w:rPr>
                <w:color w:val="000000" w:themeColor="text1"/>
              </w:rPr>
              <w:t>89.50%</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783E7E7D" w14:textId="4EA3BF01" w:rsidR="00013004" w:rsidRPr="00ED172B" w:rsidRDefault="00013004" w:rsidP="00D21F29">
            <w:pPr>
              <w:jc w:val="center"/>
              <w:rPr>
                <w:rFonts w:cs="Arial"/>
                <w:color w:val="000000" w:themeColor="text1"/>
                <w:szCs w:val="16"/>
              </w:rPr>
            </w:pPr>
            <w:r w:rsidRPr="00ED172B">
              <w:rPr>
                <w:rFonts w:cs="Arial"/>
                <w:color w:val="000000" w:themeColor="text1"/>
                <w:szCs w:val="16"/>
              </w:rPr>
              <w:t>Data</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83DDC99" w14:textId="1EDA8D8D" w:rsidR="00013004" w:rsidRPr="00ED172B" w:rsidRDefault="00860830" w:rsidP="00ED172B">
            <w:pPr>
              <w:jc w:val="center"/>
              <w:rPr>
                <w:rFonts w:cs="Arial"/>
                <w:color w:val="000000" w:themeColor="text1"/>
                <w:szCs w:val="16"/>
              </w:rPr>
            </w:pPr>
            <w:r w:rsidRPr="00ED172B">
              <w:rPr>
                <w:rFonts w:cs="Arial"/>
                <w:color w:val="000000" w:themeColor="text1"/>
                <w:szCs w:val="16"/>
              </w:rPr>
              <w:t>92.07%</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AA296DF" w14:textId="44DA43D6" w:rsidR="00013004" w:rsidRPr="00ED172B" w:rsidRDefault="00860830" w:rsidP="00ED172B">
            <w:pPr>
              <w:jc w:val="center"/>
              <w:rPr>
                <w:rFonts w:cs="Arial"/>
                <w:color w:val="000000" w:themeColor="text1"/>
                <w:szCs w:val="16"/>
              </w:rPr>
            </w:pPr>
            <w:r w:rsidRPr="00ED172B">
              <w:rPr>
                <w:rFonts w:cs="Arial"/>
                <w:color w:val="000000" w:themeColor="text1"/>
                <w:szCs w:val="16"/>
              </w:rPr>
              <w:t>91.40%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9F983E6" w14:textId="525200A6" w:rsidR="00013004" w:rsidRPr="00ED172B" w:rsidRDefault="00860830" w:rsidP="00ED172B">
            <w:pPr>
              <w:jc w:val="center"/>
              <w:rPr>
                <w:rFonts w:cs="Arial"/>
                <w:color w:val="000000" w:themeColor="text1"/>
                <w:szCs w:val="16"/>
              </w:rPr>
            </w:pPr>
            <w:r w:rsidRPr="00ED172B">
              <w:rPr>
                <w:rFonts w:cs="Arial"/>
                <w:color w:val="000000" w:themeColor="text1"/>
                <w:szCs w:val="16"/>
              </w:rPr>
              <w:t>91.30%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8F41E63" w14:textId="3F575D02" w:rsidR="00013004" w:rsidRPr="00ED172B" w:rsidRDefault="00860830" w:rsidP="00ED172B">
            <w:pPr>
              <w:jc w:val="center"/>
              <w:rPr>
                <w:rFonts w:cs="Arial"/>
                <w:color w:val="000000" w:themeColor="text1"/>
                <w:szCs w:val="16"/>
              </w:rPr>
            </w:pPr>
            <w:r w:rsidRPr="00ED172B">
              <w:rPr>
                <w:rFonts w:cs="Arial"/>
                <w:color w:val="000000" w:themeColor="text1"/>
                <w:szCs w:val="16"/>
              </w:rPr>
              <w:t>93.75%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B5004E2" w14:textId="0083A2B7" w:rsidR="00013004" w:rsidRPr="00ED172B" w:rsidRDefault="00860830" w:rsidP="00ED172B">
            <w:pPr>
              <w:jc w:val="center"/>
              <w:rPr>
                <w:rFonts w:cs="Arial"/>
                <w:color w:val="000000" w:themeColor="text1"/>
                <w:szCs w:val="16"/>
              </w:rPr>
            </w:pPr>
            <w:r w:rsidRPr="00ED172B">
              <w:rPr>
                <w:rFonts w:cs="Arial"/>
                <w:color w:val="000000" w:themeColor="text1"/>
                <w:szCs w:val="16"/>
              </w:rPr>
              <w:t>92.23%</w:t>
            </w:r>
          </w:p>
        </w:tc>
      </w:tr>
      <w:tr w:rsidR="00ED172B" w:rsidRPr="00ED172B" w14:paraId="77FFCFE4" w14:textId="07D83084" w:rsidTr="00A40EE1">
        <w:trPr>
          <w:trHeight w:val="357"/>
        </w:trPr>
        <w:tc>
          <w:tcPr>
            <w:tcW w:w="415" w:type="pct"/>
            <w:tcBorders>
              <w:top w:val="single" w:sz="4" w:space="0" w:color="auto"/>
              <w:left w:val="single" w:sz="4" w:space="0" w:color="auto"/>
              <w:right w:val="single" w:sz="4" w:space="0" w:color="auto"/>
            </w:tcBorders>
            <w:shd w:val="clear" w:color="auto" w:fill="auto"/>
            <w:vAlign w:val="center"/>
          </w:tcPr>
          <w:p w14:paraId="07661252"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C</w:t>
            </w:r>
          </w:p>
        </w:tc>
        <w:tc>
          <w:tcPr>
            <w:tcW w:w="332" w:type="pct"/>
            <w:tcBorders>
              <w:left w:val="single" w:sz="4" w:space="0" w:color="auto"/>
              <w:right w:val="single" w:sz="4" w:space="0" w:color="auto"/>
            </w:tcBorders>
            <w:shd w:val="clear" w:color="auto" w:fill="auto"/>
          </w:tcPr>
          <w:p w14:paraId="71D9797A" w14:textId="3DD6EFF7" w:rsidR="00013004" w:rsidRPr="00ED172B" w:rsidRDefault="00291EA9" w:rsidP="00ED172B">
            <w:pPr>
              <w:jc w:val="center"/>
              <w:rPr>
                <w:color w:val="000000" w:themeColor="text1"/>
              </w:rPr>
            </w:pPr>
            <w:r w:rsidRPr="00ED172B">
              <w:rPr>
                <w:color w:val="000000" w:themeColor="text1"/>
              </w:rPr>
              <w:t>2014</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3F16252C" w14:textId="6ECE509E" w:rsidR="00013004" w:rsidRPr="00ED172B" w:rsidRDefault="00013004" w:rsidP="00D21F29">
            <w:pPr>
              <w:jc w:val="center"/>
              <w:rPr>
                <w:rFonts w:cs="Arial"/>
                <w:color w:val="000000" w:themeColor="text1"/>
                <w:szCs w:val="16"/>
              </w:rPr>
            </w:pPr>
            <w:r w:rsidRPr="00ED172B">
              <w:rPr>
                <w:rFonts w:cs="Arial"/>
                <w:color w:val="000000" w:themeColor="text1"/>
                <w:szCs w:val="16"/>
              </w:rPr>
              <w:t>Target&gt;=</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C86BCA5" w14:textId="7BF79D14" w:rsidR="00013004" w:rsidRPr="00ED172B" w:rsidRDefault="00860830" w:rsidP="00ED172B">
            <w:pPr>
              <w:jc w:val="center"/>
              <w:rPr>
                <w:rFonts w:cs="Arial"/>
                <w:color w:val="000000" w:themeColor="text1"/>
                <w:szCs w:val="16"/>
              </w:rPr>
            </w:pPr>
            <w:r w:rsidRPr="00ED172B">
              <w:rPr>
                <w:rFonts w:cs="Arial"/>
                <w:color w:val="000000" w:themeColor="text1"/>
                <w:szCs w:val="16"/>
              </w:rPr>
              <w:t>92.59%</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473A866" w14:textId="655206D1" w:rsidR="00013004" w:rsidRPr="00ED172B" w:rsidRDefault="00860830" w:rsidP="00ED172B">
            <w:pPr>
              <w:jc w:val="center"/>
              <w:rPr>
                <w:rFonts w:cs="Arial"/>
                <w:color w:val="000000" w:themeColor="text1"/>
                <w:szCs w:val="16"/>
              </w:rPr>
            </w:pPr>
            <w:r w:rsidRPr="00ED172B">
              <w:rPr>
                <w:rFonts w:cs="Arial"/>
                <w:color w:val="000000" w:themeColor="text1"/>
                <w:szCs w:val="16"/>
              </w:rPr>
              <w:t>93.09%</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E7C7EA4" w14:textId="16DC7830" w:rsidR="00013004" w:rsidRPr="00ED172B" w:rsidRDefault="00860830" w:rsidP="00ED172B">
            <w:pPr>
              <w:jc w:val="center"/>
              <w:rPr>
                <w:rFonts w:cs="Arial"/>
                <w:color w:val="000000" w:themeColor="text1"/>
                <w:szCs w:val="16"/>
              </w:rPr>
            </w:pPr>
            <w:r w:rsidRPr="00ED172B">
              <w:rPr>
                <w:rFonts w:cs="Arial"/>
                <w:color w:val="000000" w:themeColor="text1"/>
                <w:szCs w:val="16"/>
              </w:rPr>
              <w:t>93.09%</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810A2F4" w14:textId="22FB915F" w:rsidR="00013004" w:rsidRPr="00ED172B" w:rsidRDefault="00860830" w:rsidP="00ED172B">
            <w:pPr>
              <w:jc w:val="center"/>
              <w:rPr>
                <w:rFonts w:cs="Arial"/>
                <w:color w:val="000000" w:themeColor="text1"/>
                <w:szCs w:val="16"/>
              </w:rPr>
            </w:pPr>
            <w:r w:rsidRPr="00ED172B">
              <w:rPr>
                <w:rFonts w:cs="Arial"/>
                <w:color w:val="000000" w:themeColor="text1"/>
                <w:szCs w:val="16"/>
              </w:rPr>
              <w:t>91.27%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BC9E656" w14:textId="2804AB60" w:rsidR="00013004" w:rsidRPr="00ED172B" w:rsidRDefault="00860830" w:rsidP="00ED172B">
            <w:pPr>
              <w:jc w:val="center"/>
              <w:rPr>
                <w:rFonts w:cs="Arial"/>
                <w:color w:val="000000" w:themeColor="text1"/>
                <w:szCs w:val="16"/>
              </w:rPr>
            </w:pPr>
            <w:r w:rsidRPr="00ED172B">
              <w:rPr>
                <w:rFonts w:cs="Arial"/>
                <w:color w:val="000000" w:themeColor="text1"/>
                <w:szCs w:val="16"/>
              </w:rPr>
              <w:t>91.72%</w:t>
            </w:r>
          </w:p>
        </w:tc>
      </w:tr>
      <w:tr w:rsidR="00ED172B" w:rsidRPr="00ED172B" w14:paraId="1584FE47" w14:textId="5B96356D" w:rsidTr="00A40EE1">
        <w:trPr>
          <w:trHeight w:val="85"/>
        </w:trPr>
        <w:tc>
          <w:tcPr>
            <w:tcW w:w="415" w:type="pct"/>
            <w:tcBorders>
              <w:left w:val="single" w:sz="4" w:space="0" w:color="auto"/>
              <w:right w:val="single" w:sz="4" w:space="0" w:color="auto"/>
            </w:tcBorders>
            <w:shd w:val="clear" w:color="auto" w:fill="auto"/>
            <w:vAlign w:val="center"/>
          </w:tcPr>
          <w:p w14:paraId="2BD768BF" w14:textId="5205E701" w:rsidR="00013004" w:rsidRPr="00ED172B" w:rsidRDefault="004B755C" w:rsidP="00D21F29">
            <w:pPr>
              <w:jc w:val="center"/>
              <w:rPr>
                <w:rFonts w:cs="Arial"/>
                <w:color w:val="000000" w:themeColor="text1"/>
                <w:szCs w:val="16"/>
              </w:rPr>
            </w:pPr>
            <w:r w:rsidRPr="00ED172B">
              <w:rPr>
                <w:rFonts w:cs="Arial"/>
                <w:color w:val="000000" w:themeColor="text1"/>
                <w:szCs w:val="16"/>
              </w:rPr>
              <w:t>C</w:t>
            </w:r>
          </w:p>
        </w:tc>
        <w:tc>
          <w:tcPr>
            <w:tcW w:w="332" w:type="pct"/>
            <w:tcBorders>
              <w:left w:val="single" w:sz="4" w:space="0" w:color="auto"/>
              <w:right w:val="single" w:sz="4" w:space="0" w:color="auto"/>
            </w:tcBorders>
            <w:shd w:val="clear" w:color="auto" w:fill="auto"/>
          </w:tcPr>
          <w:p w14:paraId="01DA383D" w14:textId="70C11D05" w:rsidR="00013004" w:rsidRPr="00ED172B" w:rsidRDefault="00291EA9" w:rsidP="00ED172B">
            <w:pPr>
              <w:jc w:val="center"/>
              <w:rPr>
                <w:color w:val="000000" w:themeColor="text1"/>
              </w:rPr>
            </w:pPr>
            <w:r w:rsidRPr="00ED172B">
              <w:rPr>
                <w:color w:val="000000" w:themeColor="text1"/>
              </w:rPr>
              <w:t>92.09%</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2BAC2F43" w14:textId="4BB05AAA" w:rsidR="00013004" w:rsidRPr="00ED172B" w:rsidRDefault="00013004" w:rsidP="00D21F29">
            <w:pPr>
              <w:jc w:val="center"/>
              <w:rPr>
                <w:rFonts w:cs="Arial"/>
                <w:color w:val="000000" w:themeColor="text1"/>
                <w:szCs w:val="16"/>
              </w:rPr>
            </w:pPr>
            <w:r w:rsidRPr="00ED172B">
              <w:rPr>
                <w:rFonts w:cs="Arial"/>
                <w:color w:val="000000" w:themeColor="text1"/>
                <w:szCs w:val="16"/>
              </w:rPr>
              <w:t>Data</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8A96497" w14:textId="2E678B5B" w:rsidR="00013004" w:rsidRPr="00ED172B" w:rsidRDefault="00860830" w:rsidP="00ED172B">
            <w:pPr>
              <w:jc w:val="center"/>
              <w:rPr>
                <w:rFonts w:cs="Arial"/>
                <w:color w:val="000000" w:themeColor="text1"/>
                <w:szCs w:val="16"/>
              </w:rPr>
            </w:pPr>
            <w:r w:rsidRPr="00ED172B">
              <w:rPr>
                <w:rFonts w:cs="Arial"/>
                <w:color w:val="000000" w:themeColor="text1"/>
                <w:szCs w:val="16"/>
              </w:rPr>
              <w:t>90.25%</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6B0FAFB" w14:textId="773E6271" w:rsidR="00013004" w:rsidRPr="00ED172B" w:rsidRDefault="00860830" w:rsidP="00ED172B">
            <w:pPr>
              <w:jc w:val="center"/>
              <w:rPr>
                <w:rFonts w:cs="Arial"/>
                <w:color w:val="000000" w:themeColor="text1"/>
                <w:szCs w:val="16"/>
              </w:rPr>
            </w:pPr>
            <w:r w:rsidRPr="00ED172B">
              <w:rPr>
                <w:rFonts w:cs="Arial"/>
                <w:color w:val="000000" w:themeColor="text1"/>
                <w:szCs w:val="16"/>
              </w:rPr>
              <w:t>90.32%</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8FB49FA" w14:textId="2FC0173A" w:rsidR="00013004" w:rsidRPr="00ED172B" w:rsidRDefault="00860830" w:rsidP="00ED172B">
            <w:pPr>
              <w:jc w:val="center"/>
              <w:rPr>
                <w:rFonts w:cs="Arial"/>
                <w:color w:val="000000" w:themeColor="text1"/>
                <w:szCs w:val="16"/>
              </w:rPr>
            </w:pPr>
            <w:r w:rsidRPr="00ED172B">
              <w:rPr>
                <w:rFonts w:cs="Arial"/>
                <w:color w:val="000000" w:themeColor="text1"/>
                <w:szCs w:val="16"/>
              </w:rPr>
              <w:t>91.25%</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88FA15C" w14:textId="17F93F1C" w:rsidR="00013004" w:rsidRPr="00ED172B" w:rsidRDefault="00860830" w:rsidP="00ED172B">
            <w:pPr>
              <w:jc w:val="center"/>
              <w:rPr>
                <w:rFonts w:cs="Arial"/>
                <w:color w:val="000000" w:themeColor="text1"/>
                <w:szCs w:val="16"/>
              </w:rPr>
            </w:pPr>
            <w:r w:rsidRPr="00ED172B">
              <w:rPr>
                <w:rFonts w:cs="Arial"/>
                <w:color w:val="000000" w:themeColor="text1"/>
                <w:szCs w:val="16"/>
              </w:rPr>
              <w:t>90.63%</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2C8C7BAD" w14:textId="4B7C02F5" w:rsidR="00013004" w:rsidRPr="00ED172B" w:rsidRDefault="00860830" w:rsidP="00ED172B">
            <w:pPr>
              <w:jc w:val="center"/>
              <w:rPr>
                <w:rFonts w:cs="Arial"/>
                <w:color w:val="000000" w:themeColor="text1"/>
                <w:szCs w:val="16"/>
              </w:rPr>
            </w:pPr>
            <w:r w:rsidRPr="00ED172B">
              <w:rPr>
                <w:rFonts w:cs="Arial"/>
                <w:color w:val="000000" w:themeColor="text1"/>
                <w:szCs w:val="16"/>
              </w:rPr>
              <w:t>90.29%</w:t>
            </w:r>
          </w:p>
        </w:tc>
      </w:tr>
    </w:tbl>
    <w:p w14:paraId="2A1BA25E" w14:textId="124175C6" w:rsidR="001F545F" w:rsidRPr="00ED172B" w:rsidRDefault="005918D1">
      <w:pPr>
        <w:rPr>
          <w:b/>
          <w:color w:val="000000" w:themeColor="text1"/>
        </w:rPr>
      </w:pPr>
      <w:r w:rsidRPr="00ED172B">
        <w:rPr>
          <w:b/>
          <w:color w:val="000000" w:themeColor="text1"/>
        </w:rPr>
        <w:lastRenderedPageBreak/>
        <w:t>Targets</w:t>
      </w:r>
    </w:p>
    <w:tbl>
      <w:tblPr>
        <w:tblW w:w="34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4TARGETS"/>
      </w:tblPr>
      <w:tblGrid>
        <w:gridCol w:w="727"/>
        <w:gridCol w:w="1681"/>
        <w:gridCol w:w="1677"/>
        <w:gridCol w:w="1677"/>
        <w:gridCol w:w="1677"/>
      </w:tblGrid>
      <w:tr w:rsidR="00C843AF" w:rsidRPr="00ED172B" w14:paraId="6C023CDC" w14:textId="05C08FAC" w:rsidTr="00E415ED">
        <w:trPr>
          <w:trHeight w:val="350"/>
        </w:trPr>
        <w:tc>
          <w:tcPr>
            <w:tcW w:w="488" w:type="pct"/>
            <w:tcBorders>
              <w:bottom w:val="single" w:sz="4" w:space="0" w:color="auto"/>
            </w:tcBorders>
            <w:shd w:val="clear" w:color="auto" w:fill="auto"/>
            <w:vAlign w:val="bottom"/>
          </w:tcPr>
          <w:p w14:paraId="0130A8F3" w14:textId="77777777" w:rsidR="00C843AF" w:rsidRPr="00ED172B" w:rsidRDefault="00C843AF" w:rsidP="008654C9">
            <w:pPr>
              <w:jc w:val="center"/>
              <w:rPr>
                <w:rFonts w:cs="Arial"/>
                <w:b/>
                <w:color w:val="000000" w:themeColor="text1"/>
                <w:szCs w:val="16"/>
              </w:rPr>
            </w:pPr>
            <w:r w:rsidRPr="00ED172B">
              <w:rPr>
                <w:rFonts w:cs="Arial"/>
                <w:b/>
                <w:color w:val="000000" w:themeColor="text1"/>
                <w:szCs w:val="16"/>
              </w:rPr>
              <w:t>FFY</w:t>
            </w:r>
          </w:p>
        </w:tc>
        <w:tc>
          <w:tcPr>
            <w:tcW w:w="1130" w:type="pct"/>
            <w:shd w:val="clear" w:color="auto" w:fill="auto"/>
            <w:vAlign w:val="center"/>
          </w:tcPr>
          <w:p w14:paraId="4732CBBC" w14:textId="72AD1B78" w:rsidR="00C843AF" w:rsidRPr="00ED172B" w:rsidRDefault="00C843AF" w:rsidP="008654C9">
            <w:pPr>
              <w:jc w:val="center"/>
              <w:rPr>
                <w:rFonts w:cs="Arial"/>
                <w:b/>
                <w:color w:val="000000" w:themeColor="text1"/>
                <w:szCs w:val="16"/>
              </w:rPr>
            </w:pPr>
            <w:r w:rsidRPr="00ED172B">
              <w:rPr>
                <w:rFonts w:cs="Arial"/>
                <w:b/>
                <w:color w:val="000000" w:themeColor="text1"/>
                <w:szCs w:val="16"/>
              </w:rPr>
              <w:t>2022</w:t>
            </w:r>
          </w:p>
        </w:tc>
        <w:tc>
          <w:tcPr>
            <w:tcW w:w="1127" w:type="pct"/>
          </w:tcPr>
          <w:p w14:paraId="4A6AC503" w14:textId="202CF51F" w:rsidR="00C843AF" w:rsidRPr="00ED172B" w:rsidRDefault="00C843AF" w:rsidP="008654C9">
            <w:pPr>
              <w:jc w:val="center"/>
              <w:rPr>
                <w:rFonts w:cs="Arial"/>
                <w:b/>
                <w:color w:val="000000" w:themeColor="text1"/>
                <w:szCs w:val="16"/>
              </w:rPr>
            </w:pPr>
            <w:r>
              <w:rPr>
                <w:rFonts w:cs="Arial"/>
                <w:b/>
                <w:color w:val="000000" w:themeColor="text1"/>
                <w:szCs w:val="16"/>
              </w:rPr>
              <w:t>2023</w:t>
            </w:r>
          </w:p>
        </w:tc>
        <w:tc>
          <w:tcPr>
            <w:tcW w:w="1127" w:type="pct"/>
          </w:tcPr>
          <w:p w14:paraId="7D14D156" w14:textId="77C45ED4" w:rsidR="00C843AF" w:rsidRPr="00ED172B" w:rsidRDefault="00C843AF" w:rsidP="008654C9">
            <w:pPr>
              <w:jc w:val="center"/>
              <w:rPr>
                <w:rFonts w:cs="Arial"/>
                <w:b/>
                <w:color w:val="000000" w:themeColor="text1"/>
                <w:szCs w:val="16"/>
              </w:rPr>
            </w:pPr>
            <w:r w:rsidRPr="005A1B4F">
              <w:rPr>
                <w:rFonts w:cs="Arial"/>
                <w:b/>
                <w:color w:val="000000" w:themeColor="text1"/>
                <w:szCs w:val="16"/>
              </w:rPr>
              <w:t>2024</w:t>
            </w:r>
          </w:p>
        </w:tc>
        <w:tc>
          <w:tcPr>
            <w:tcW w:w="1127" w:type="pct"/>
          </w:tcPr>
          <w:p w14:paraId="54C6D3CA" w14:textId="4376F08A" w:rsidR="00C843AF" w:rsidRPr="00ED172B" w:rsidRDefault="00C843AF" w:rsidP="008654C9">
            <w:pPr>
              <w:jc w:val="center"/>
              <w:rPr>
                <w:rFonts w:cs="Arial"/>
                <w:b/>
                <w:color w:val="000000" w:themeColor="text1"/>
                <w:szCs w:val="16"/>
              </w:rPr>
            </w:pPr>
            <w:r w:rsidRPr="005A1B4F">
              <w:rPr>
                <w:rFonts w:cs="Arial"/>
                <w:b/>
                <w:color w:val="000000" w:themeColor="text1"/>
                <w:szCs w:val="16"/>
              </w:rPr>
              <w:t>2025</w:t>
            </w:r>
          </w:p>
        </w:tc>
      </w:tr>
      <w:tr w:rsidR="00C843AF" w:rsidRPr="00ED172B" w14:paraId="737B1FB1" w14:textId="0E9417A5" w:rsidTr="00E415ED">
        <w:trPr>
          <w:trHeight w:val="357"/>
        </w:trPr>
        <w:tc>
          <w:tcPr>
            <w:tcW w:w="488" w:type="pct"/>
            <w:shd w:val="clear" w:color="auto" w:fill="auto"/>
          </w:tcPr>
          <w:p w14:paraId="2CE5A688" w14:textId="4C4E1C28" w:rsidR="00C843AF" w:rsidRPr="00ED172B" w:rsidRDefault="00C843AF" w:rsidP="00D21F29">
            <w:pPr>
              <w:jc w:val="center"/>
              <w:rPr>
                <w:rFonts w:cs="Arial"/>
                <w:color w:val="000000" w:themeColor="text1"/>
                <w:szCs w:val="16"/>
              </w:rPr>
            </w:pPr>
            <w:r w:rsidRPr="00ED172B">
              <w:rPr>
                <w:rFonts w:cs="Arial"/>
                <w:color w:val="000000" w:themeColor="text1"/>
                <w:szCs w:val="16"/>
              </w:rPr>
              <w:t>Target A&gt;=</w:t>
            </w:r>
          </w:p>
        </w:tc>
        <w:tc>
          <w:tcPr>
            <w:tcW w:w="1130" w:type="pct"/>
            <w:shd w:val="clear" w:color="auto" w:fill="auto"/>
            <w:vAlign w:val="center"/>
          </w:tcPr>
          <w:p w14:paraId="0B768807" w14:textId="2DC3CAE1" w:rsidR="00C843AF" w:rsidRPr="00ED172B" w:rsidRDefault="00C843AF" w:rsidP="002F2336">
            <w:pPr>
              <w:jc w:val="center"/>
              <w:rPr>
                <w:color w:val="000000" w:themeColor="text1"/>
              </w:rPr>
            </w:pPr>
            <w:r w:rsidRPr="00ED172B">
              <w:rPr>
                <w:color w:val="000000" w:themeColor="text1"/>
              </w:rPr>
              <w:t>90.31%</w:t>
            </w:r>
          </w:p>
        </w:tc>
        <w:tc>
          <w:tcPr>
            <w:tcW w:w="1127" w:type="pct"/>
            <w:vAlign w:val="center"/>
          </w:tcPr>
          <w:p w14:paraId="4F6C0542" w14:textId="15CB8941" w:rsidR="00C843AF" w:rsidRPr="00794BA1" w:rsidRDefault="00C843AF" w:rsidP="002F2336">
            <w:pPr>
              <w:jc w:val="center"/>
              <w:rPr>
                <w:color w:val="000000" w:themeColor="text1"/>
              </w:rPr>
            </w:pPr>
            <w:r w:rsidRPr="00794BA1">
              <w:rPr>
                <w:color w:val="000000" w:themeColor="text1"/>
              </w:rPr>
              <w:t>90.71%</w:t>
            </w:r>
          </w:p>
        </w:tc>
        <w:tc>
          <w:tcPr>
            <w:tcW w:w="1127" w:type="pct"/>
            <w:vAlign w:val="center"/>
          </w:tcPr>
          <w:p w14:paraId="7E129EEC" w14:textId="3C5D3830" w:rsidR="00C843AF" w:rsidRPr="00794BA1" w:rsidRDefault="00C843AF" w:rsidP="002F2336">
            <w:pPr>
              <w:jc w:val="center"/>
              <w:rPr>
                <w:color w:val="000000" w:themeColor="text1"/>
              </w:rPr>
            </w:pPr>
            <w:r w:rsidRPr="00794BA1">
              <w:rPr>
                <w:color w:val="000000" w:themeColor="text1"/>
              </w:rPr>
              <w:t>91.10%</w:t>
            </w:r>
          </w:p>
        </w:tc>
        <w:tc>
          <w:tcPr>
            <w:tcW w:w="1127" w:type="pct"/>
            <w:vAlign w:val="center"/>
          </w:tcPr>
          <w:p w14:paraId="1603BA2D" w14:textId="5F415E68" w:rsidR="00C843AF" w:rsidRPr="00794BA1" w:rsidRDefault="00C843AF" w:rsidP="002F2336">
            <w:pPr>
              <w:jc w:val="center"/>
              <w:rPr>
                <w:color w:val="000000" w:themeColor="text1"/>
              </w:rPr>
            </w:pPr>
            <w:r w:rsidRPr="00794BA1">
              <w:rPr>
                <w:color w:val="000000" w:themeColor="text1"/>
              </w:rPr>
              <w:t>91.50%</w:t>
            </w:r>
          </w:p>
        </w:tc>
      </w:tr>
      <w:tr w:rsidR="00C843AF" w:rsidRPr="00ED172B" w14:paraId="710D542D" w14:textId="756C8AD1" w:rsidTr="00E415ED">
        <w:trPr>
          <w:trHeight w:val="357"/>
        </w:trPr>
        <w:tc>
          <w:tcPr>
            <w:tcW w:w="488" w:type="pct"/>
            <w:shd w:val="clear" w:color="auto" w:fill="auto"/>
          </w:tcPr>
          <w:p w14:paraId="557BCF0C" w14:textId="6B9B0AD0" w:rsidR="00C843AF" w:rsidRPr="00ED172B" w:rsidRDefault="00C843AF" w:rsidP="00D21F29">
            <w:pPr>
              <w:jc w:val="center"/>
              <w:rPr>
                <w:rFonts w:cs="Arial"/>
                <w:color w:val="000000" w:themeColor="text1"/>
                <w:szCs w:val="16"/>
              </w:rPr>
            </w:pPr>
            <w:r w:rsidRPr="00ED172B">
              <w:rPr>
                <w:rFonts w:cs="Arial"/>
                <w:color w:val="000000" w:themeColor="text1"/>
                <w:szCs w:val="16"/>
              </w:rPr>
              <w:t>Target B&gt;=</w:t>
            </w:r>
          </w:p>
        </w:tc>
        <w:tc>
          <w:tcPr>
            <w:tcW w:w="1130" w:type="pct"/>
            <w:shd w:val="clear" w:color="auto" w:fill="auto"/>
            <w:vAlign w:val="center"/>
          </w:tcPr>
          <w:p w14:paraId="2EE14986" w14:textId="19D08E1A" w:rsidR="00C843AF" w:rsidRPr="00ED172B" w:rsidRDefault="00C843AF" w:rsidP="002F2336">
            <w:pPr>
              <w:jc w:val="center"/>
              <w:rPr>
                <w:color w:val="000000" w:themeColor="text1"/>
              </w:rPr>
            </w:pPr>
            <w:r w:rsidRPr="00ED172B">
              <w:rPr>
                <w:color w:val="000000" w:themeColor="text1"/>
              </w:rPr>
              <w:t>91.97%</w:t>
            </w:r>
          </w:p>
        </w:tc>
        <w:tc>
          <w:tcPr>
            <w:tcW w:w="1127" w:type="pct"/>
            <w:vAlign w:val="center"/>
          </w:tcPr>
          <w:p w14:paraId="45E8EA8A" w14:textId="192846CF" w:rsidR="00C843AF" w:rsidRPr="00794BA1" w:rsidRDefault="00C843AF" w:rsidP="002F2336">
            <w:pPr>
              <w:jc w:val="center"/>
              <w:rPr>
                <w:color w:val="000000" w:themeColor="text1"/>
              </w:rPr>
            </w:pPr>
            <w:r w:rsidRPr="00794BA1">
              <w:rPr>
                <w:color w:val="000000" w:themeColor="text1"/>
              </w:rPr>
              <w:t>92.32%</w:t>
            </w:r>
          </w:p>
        </w:tc>
        <w:tc>
          <w:tcPr>
            <w:tcW w:w="1127" w:type="pct"/>
            <w:vAlign w:val="center"/>
          </w:tcPr>
          <w:p w14:paraId="137A8927" w14:textId="39313DAE" w:rsidR="00C843AF" w:rsidRPr="00794BA1" w:rsidRDefault="00C843AF" w:rsidP="002F2336">
            <w:pPr>
              <w:jc w:val="center"/>
              <w:rPr>
                <w:color w:val="000000" w:themeColor="text1"/>
              </w:rPr>
            </w:pPr>
            <w:r w:rsidRPr="00794BA1">
              <w:rPr>
                <w:color w:val="000000" w:themeColor="text1"/>
              </w:rPr>
              <w:t>92.66%</w:t>
            </w:r>
          </w:p>
        </w:tc>
        <w:tc>
          <w:tcPr>
            <w:tcW w:w="1127" w:type="pct"/>
            <w:vAlign w:val="center"/>
          </w:tcPr>
          <w:p w14:paraId="4F3E4B3B" w14:textId="311804D1" w:rsidR="00C843AF" w:rsidRPr="00794BA1" w:rsidRDefault="00C843AF" w:rsidP="002F2336">
            <w:pPr>
              <w:jc w:val="center"/>
              <w:rPr>
                <w:color w:val="000000" w:themeColor="text1"/>
              </w:rPr>
            </w:pPr>
            <w:r w:rsidRPr="00794BA1">
              <w:rPr>
                <w:color w:val="000000" w:themeColor="text1"/>
              </w:rPr>
              <w:t>93.00%</w:t>
            </w:r>
          </w:p>
        </w:tc>
      </w:tr>
      <w:tr w:rsidR="00C843AF" w:rsidRPr="00ED172B" w14:paraId="6BF95698" w14:textId="57A8B0C9" w:rsidTr="00E415ED">
        <w:trPr>
          <w:trHeight w:val="357"/>
        </w:trPr>
        <w:tc>
          <w:tcPr>
            <w:tcW w:w="488" w:type="pct"/>
            <w:shd w:val="clear" w:color="auto" w:fill="auto"/>
          </w:tcPr>
          <w:p w14:paraId="27634074" w14:textId="35FAB710" w:rsidR="00C843AF" w:rsidRPr="00ED172B" w:rsidRDefault="00C843AF" w:rsidP="00D21F29">
            <w:pPr>
              <w:jc w:val="center"/>
              <w:rPr>
                <w:rFonts w:cs="Arial"/>
                <w:color w:val="000000" w:themeColor="text1"/>
                <w:szCs w:val="16"/>
              </w:rPr>
            </w:pPr>
            <w:r w:rsidRPr="00ED172B">
              <w:rPr>
                <w:rFonts w:cs="Arial"/>
                <w:color w:val="000000" w:themeColor="text1"/>
                <w:szCs w:val="16"/>
              </w:rPr>
              <w:t>Target C&gt;=</w:t>
            </w:r>
          </w:p>
        </w:tc>
        <w:tc>
          <w:tcPr>
            <w:tcW w:w="1130" w:type="pct"/>
            <w:shd w:val="clear" w:color="auto" w:fill="auto"/>
            <w:vAlign w:val="center"/>
          </w:tcPr>
          <w:p w14:paraId="51F920AE" w14:textId="186AEDBE" w:rsidR="00C843AF" w:rsidRPr="00ED172B" w:rsidRDefault="00C843AF" w:rsidP="002F2336">
            <w:pPr>
              <w:jc w:val="center"/>
              <w:rPr>
                <w:color w:val="000000" w:themeColor="text1"/>
              </w:rPr>
            </w:pPr>
            <w:r w:rsidRPr="00ED172B">
              <w:rPr>
                <w:color w:val="000000" w:themeColor="text1"/>
              </w:rPr>
              <w:t>92.16%</w:t>
            </w:r>
          </w:p>
        </w:tc>
        <w:tc>
          <w:tcPr>
            <w:tcW w:w="1127" w:type="pct"/>
            <w:vAlign w:val="center"/>
          </w:tcPr>
          <w:p w14:paraId="29A82995" w14:textId="6F06C337" w:rsidR="00C843AF" w:rsidRPr="00794BA1" w:rsidRDefault="00C843AF" w:rsidP="002F2336">
            <w:pPr>
              <w:jc w:val="center"/>
              <w:rPr>
                <w:color w:val="000000" w:themeColor="text1"/>
              </w:rPr>
            </w:pPr>
            <w:r w:rsidRPr="00794BA1">
              <w:rPr>
                <w:color w:val="000000" w:themeColor="text1"/>
              </w:rPr>
              <w:t>92.61%</w:t>
            </w:r>
          </w:p>
        </w:tc>
        <w:tc>
          <w:tcPr>
            <w:tcW w:w="1127" w:type="pct"/>
            <w:vAlign w:val="center"/>
          </w:tcPr>
          <w:p w14:paraId="3350033C" w14:textId="717C16E7" w:rsidR="00C843AF" w:rsidRPr="00794BA1" w:rsidRDefault="00C843AF" w:rsidP="002F2336">
            <w:pPr>
              <w:jc w:val="center"/>
              <w:rPr>
                <w:color w:val="000000" w:themeColor="text1"/>
              </w:rPr>
            </w:pPr>
            <w:r w:rsidRPr="00794BA1">
              <w:rPr>
                <w:color w:val="000000" w:themeColor="text1"/>
              </w:rPr>
              <w:t>93.05%</w:t>
            </w:r>
          </w:p>
        </w:tc>
        <w:tc>
          <w:tcPr>
            <w:tcW w:w="1127" w:type="pct"/>
            <w:vAlign w:val="center"/>
          </w:tcPr>
          <w:p w14:paraId="5AA59638" w14:textId="40879AEC" w:rsidR="00C843AF" w:rsidRPr="00794BA1" w:rsidRDefault="00C843AF" w:rsidP="002F2336">
            <w:pPr>
              <w:jc w:val="center"/>
              <w:rPr>
                <w:color w:val="000000" w:themeColor="text1"/>
              </w:rPr>
            </w:pPr>
            <w:r w:rsidRPr="00794BA1">
              <w:rPr>
                <w:color w:val="000000" w:themeColor="text1"/>
              </w:rPr>
              <w:t>93.50%</w:t>
            </w:r>
          </w:p>
        </w:tc>
      </w:tr>
    </w:tbl>
    <w:bookmarkEnd w:id="23"/>
    <w:p w14:paraId="270AB339" w14:textId="11E04D22" w:rsidR="00F80C9C" w:rsidRDefault="00F80C9C" w:rsidP="00B83404">
      <w:pPr>
        <w:rPr>
          <w:b/>
          <w:color w:val="000000" w:themeColor="text1"/>
        </w:rPr>
      </w:pPr>
      <w:r w:rsidRPr="00ED172B">
        <w:rPr>
          <w:b/>
          <w:color w:val="000000" w:themeColor="text1"/>
        </w:rPr>
        <w:t xml:space="preserve">Targets: Description of Stakeholder Input </w:t>
      </w:r>
    </w:p>
    <w:p w14:paraId="778B16FF" w14:textId="110BF975" w:rsidR="00C57F17" w:rsidRDefault="00CF03E0" w:rsidP="00CF03E0">
      <w:pPr>
        <w:rPr>
          <w:color w:val="000000" w:themeColor="text1"/>
        </w:rPr>
      </w:pPr>
      <w:r w:rsidRPr="00ED172B">
        <w:rPr>
          <w:color w:val="000000" w:themeColor="text1"/>
        </w:rPr>
        <w:t xml:space="preserve">The State engaged in broad stakeholder input on new targets established for FFY 2020-2025, reported in the 2021 submission. The State did not revise targets during this reporting period. Ongoing engagement included regular reports from the director and Agency staff to the State Interagency Coordinating Council, Regional Inclusive Services, and State Advisory Council on Special Education. Targeted engagement on personnel standards, the state systemic improvement plan and activities, strategies for improving access to inclusive early learning environments for children with disabilities, and updated guidance on discipline occurred throughout the reporting period. This included presentations during conferences, meetings, and advisory groups, updates to the Agency web pages, leveraging newsletters for Oregon Early Childhood Inclusion, webinars, and memorandums to district leadership and superintendents.  </w:t>
      </w:r>
      <w:r w:rsidRPr="00ED172B">
        <w:rPr>
          <w:color w:val="000000" w:themeColor="text1"/>
        </w:rPr>
        <w:br/>
        <w:t xml:space="preserve">The State engaged with various stakeholder groups to gather feedback on the revision of the EI/ECSE personnel standards. Multiple stakeholder engagement sessions were held with EI/ECSE practitioners, community partners, and families. The State partnered with a parent information and training center, Family and Community Together (FACT) Oregon, to host a feedback session with families of children receiving EI/ECSE services. Materials were made available in Spanish and Spanish translation was provided at the family feedback session.  </w:t>
      </w:r>
    </w:p>
    <w:p w14:paraId="7519933C" w14:textId="63B27792" w:rsidR="006902F0" w:rsidRPr="00ED172B" w:rsidRDefault="006902F0" w:rsidP="00B83404">
      <w:pPr>
        <w:rPr>
          <w:color w:val="000000" w:themeColor="text1"/>
        </w:rPr>
      </w:pPr>
    </w:p>
    <w:p w14:paraId="3FB4EB9B" w14:textId="77777777" w:rsidR="007011EC" w:rsidRPr="00ED172B" w:rsidRDefault="007011EC" w:rsidP="00F80C9C">
      <w:pPr>
        <w:rPr>
          <w:rFonts w:cs="Arial"/>
          <w:color w:val="000000" w:themeColor="text1"/>
          <w:szCs w:val="16"/>
        </w:rPr>
      </w:pPr>
    </w:p>
    <w:p w14:paraId="03DEBF84" w14:textId="2382E008" w:rsidR="004D140B" w:rsidRPr="00ED172B" w:rsidRDefault="00F22D09">
      <w:pPr>
        <w:rPr>
          <w:b/>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4FFYAPRDATA"/>
      </w:tblPr>
      <w:tblGrid>
        <w:gridCol w:w="9355"/>
        <w:gridCol w:w="1435"/>
      </w:tblGrid>
      <w:tr w:rsidR="00ED172B" w:rsidRPr="00ED172B" w14:paraId="7CF5FFDA" w14:textId="77777777" w:rsidTr="00186420">
        <w:trPr>
          <w:trHeight w:val="20"/>
        </w:trPr>
        <w:tc>
          <w:tcPr>
            <w:tcW w:w="4335" w:type="pct"/>
            <w:vAlign w:val="center"/>
          </w:tcPr>
          <w:p w14:paraId="50E8DD0E" w14:textId="73F06C36" w:rsidR="00FB7AE9" w:rsidRPr="00ED172B" w:rsidRDefault="004E1A9D" w:rsidP="00FB7AE9">
            <w:pPr>
              <w:rPr>
                <w:rFonts w:cs="Arial"/>
                <w:color w:val="000000" w:themeColor="text1"/>
                <w:szCs w:val="16"/>
              </w:rPr>
            </w:pPr>
            <w:bookmarkStart w:id="24" w:name="_Toc392159275"/>
            <w:bookmarkStart w:id="25" w:name="_Toc382082367"/>
            <w:bookmarkStart w:id="26" w:name="_Toc392159276"/>
            <w:r w:rsidRPr="00ED172B">
              <w:rPr>
                <w:rFonts w:cs="Arial"/>
                <w:color w:val="000000" w:themeColor="text1"/>
                <w:szCs w:val="16"/>
              </w:rPr>
              <w:t>The number of families to whom surveys were distributed</w:t>
            </w:r>
          </w:p>
        </w:tc>
        <w:tc>
          <w:tcPr>
            <w:tcW w:w="665" w:type="pct"/>
            <w:shd w:val="clear" w:color="auto" w:fill="auto"/>
            <w:vAlign w:val="center"/>
          </w:tcPr>
          <w:p w14:paraId="10753EC7" w14:textId="6340230F" w:rsidR="00FB7AE9" w:rsidRPr="00ED172B" w:rsidRDefault="00860830" w:rsidP="00FB7AE9">
            <w:pPr>
              <w:jc w:val="center"/>
              <w:rPr>
                <w:rFonts w:cs="Arial"/>
                <w:color w:val="000000" w:themeColor="text1"/>
                <w:szCs w:val="16"/>
              </w:rPr>
            </w:pPr>
            <w:r w:rsidRPr="00ED172B">
              <w:rPr>
                <w:rFonts w:cs="Arial"/>
                <w:color w:val="000000" w:themeColor="text1"/>
                <w:szCs w:val="16"/>
              </w:rPr>
              <w:t>1,473</w:t>
            </w:r>
          </w:p>
        </w:tc>
      </w:tr>
      <w:tr w:rsidR="00ED172B" w:rsidRPr="00ED172B" w14:paraId="7D7B5A24" w14:textId="77777777" w:rsidTr="00186420">
        <w:trPr>
          <w:trHeight w:val="20"/>
        </w:trPr>
        <w:tc>
          <w:tcPr>
            <w:tcW w:w="4335" w:type="pct"/>
            <w:vAlign w:val="center"/>
          </w:tcPr>
          <w:p w14:paraId="6757BA20" w14:textId="250306C2" w:rsidR="004E1A9D" w:rsidRPr="00ED172B" w:rsidRDefault="004E1A9D" w:rsidP="00014550">
            <w:pPr>
              <w:rPr>
                <w:rFonts w:cs="Arial"/>
                <w:color w:val="000000" w:themeColor="text1"/>
                <w:szCs w:val="16"/>
              </w:rPr>
            </w:pPr>
            <w:r w:rsidRPr="00ED172B">
              <w:rPr>
                <w:rFonts w:cs="Arial"/>
                <w:color w:val="000000" w:themeColor="text1"/>
                <w:szCs w:val="16"/>
              </w:rPr>
              <w:t xml:space="preserve">Number of respondent families participating in Part C </w:t>
            </w:r>
          </w:p>
        </w:tc>
        <w:tc>
          <w:tcPr>
            <w:tcW w:w="665" w:type="pct"/>
            <w:shd w:val="clear" w:color="auto" w:fill="auto"/>
            <w:vAlign w:val="center"/>
          </w:tcPr>
          <w:p w14:paraId="41A54CAD" w14:textId="13D81D66" w:rsidR="004E1A9D" w:rsidRPr="00ED172B" w:rsidRDefault="00860830" w:rsidP="00014550">
            <w:pPr>
              <w:jc w:val="center"/>
              <w:rPr>
                <w:rFonts w:cs="Arial"/>
                <w:color w:val="000000" w:themeColor="text1"/>
                <w:szCs w:val="16"/>
              </w:rPr>
            </w:pPr>
            <w:r w:rsidRPr="00ED172B">
              <w:rPr>
                <w:rFonts w:cs="Arial"/>
                <w:color w:val="000000" w:themeColor="text1"/>
                <w:szCs w:val="16"/>
              </w:rPr>
              <w:t>286</w:t>
            </w:r>
          </w:p>
        </w:tc>
      </w:tr>
      <w:tr w:rsidR="001B1139" w:rsidRPr="00ED172B" w14:paraId="69355969" w14:textId="77777777" w:rsidTr="00186420">
        <w:trPr>
          <w:trHeight w:val="20"/>
        </w:trPr>
        <w:tc>
          <w:tcPr>
            <w:tcW w:w="4335" w:type="pct"/>
            <w:vAlign w:val="center"/>
          </w:tcPr>
          <w:p w14:paraId="658CA13E" w14:textId="32786A97" w:rsidR="001B1139" w:rsidRPr="00ED172B" w:rsidRDefault="001B1139">
            <w:pPr>
              <w:rPr>
                <w:rFonts w:cs="Arial"/>
                <w:color w:val="000000" w:themeColor="text1"/>
                <w:szCs w:val="16"/>
              </w:rPr>
            </w:pPr>
            <w:r>
              <w:rPr>
                <w:rFonts w:cs="Arial"/>
                <w:color w:val="000000" w:themeColor="text1"/>
                <w:szCs w:val="16"/>
              </w:rPr>
              <w:t>Survey Response Rate</w:t>
            </w:r>
          </w:p>
        </w:tc>
        <w:tc>
          <w:tcPr>
            <w:tcW w:w="665" w:type="pct"/>
            <w:shd w:val="clear" w:color="auto" w:fill="auto"/>
            <w:vAlign w:val="center"/>
          </w:tcPr>
          <w:p w14:paraId="5F12A448" w14:textId="772DE88B" w:rsidR="001B1139" w:rsidRPr="00ED172B" w:rsidRDefault="001B1139">
            <w:pPr>
              <w:jc w:val="center"/>
              <w:rPr>
                <w:rFonts w:cs="Arial"/>
                <w:color w:val="000000" w:themeColor="text1"/>
                <w:szCs w:val="16"/>
              </w:rPr>
            </w:pPr>
            <w:r w:rsidRPr="00ED172B">
              <w:rPr>
                <w:rFonts w:cs="Arial"/>
                <w:color w:val="000000" w:themeColor="text1"/>
                <w:szCs w:val="16"/>
              </w:rPr>
              <w:t>19.42%</w:t>
            </w:r>
          </w:p>
        </w:tc>
      </w:tr>
      <w:tr w:rsidR="00ED172B" w:rsidRPr="00ED172B" w14:paraId="63296E14" w14:textId="77777777" w:rsidTr="00186420">
        <w:trPr>
          <w:trHeight w:val="20"/>
        </w:trPr>
        <w:tc>
          <w:tcPr>
            <w:tcW w:w="4335" w:type="pct"/>
            <w:vAlign w:val="center"/>
          </w:tcPr>
          <w:p w14:paraId="04654ACE" w14:textId="77777777" w:rsidR="003020A9" w:rsidRPr="00ED172B" w:rsidRDefault="003020A9">
            <w:pPr>
              <w:rPr>
                <w:rFonts w:cs="Arial"/>
                <w:color w:val="000000" w:themeColor="text1"/>
                <w:szCs w:val="16"/>
              </w:rPr>
            </w:pPr>
            <w:r w:rsidRPr="00ED172B">
              <w:rPr>
                <w:rFonts w:cs="Arial"/>
                <w:color w:val="000000" w:themeColor="text1"/>
                <w:szCs w:val="16"/>
              </w:rPr>
              <w:t>A1. Number of respondent families participating in Part C who report that early intervention services have helped the family know their rights</w:t>
            </w:r>
          </w:p>
        </w:tc>
        <w:tc>
          <w:tcPr>
            <w:tcW w:w="665" w:type="pct"/>
            <w:shd w:val="clear" w:color="auto" w:fill="auto"/>
            <w:vAlign w:val="center"/>
          </w:tcPr>
          <w:p w14:paraId="3CF37702" w14:textId="6343E7A0" w:rsidR="003020A9" w:rsidRPr="00ED172B" w:rsidRDefault="00860830">
            <w:pPr>
              <w:jc w:val="center"/>
              <w:rPr>
                <w:rFonts w:cs="Arial"/>
                <w:color w:val="000000" w:themeColor="text1"/>
                <w:szCs w:val="16"/>
              </w:rPr>
            </w:pPr>
            <w:r w:rsidRPr="00ED172B">
              <w:rPr>
                <w:rFonts w:cs="Arial"/>
                <w:color w:val="000000" w:themeColor="text1"/>
                <w:szCs w:val="16"/>
              </w:rPr>
              <w:t>261</w:t>
            </w:r>
          </w:p>
        </w:tc>
      </w:tr>
      <w:tr w:rsidR="00ED172B" w:rsidRPr="00ED172B" w14:paraId="7780BD4B" w14:textId="77777777" w:rsidTr="00186420">
        <w:trPr>
          <w:trHeight w:val="20"/>
        </w:trPr>
        <w:tc>
          <w:tcPr>
            <w:tcW w:w="4335" w:type="pct"/>
            <w:vAlign w:val="center"/>
          </w:tcPr>
          <w:p w14:paraId="4770D3C0" w14:textId="77777777" w:rsidR="003020A9" w:rsidRPr="00ED172B" w:rsidRDefault="003020A9">
            <w:pPr>
              <w:rPr>
                <w:rFonts w:cs="Arial"/>
                <w:color w:val="000000" w:themeColor="text1"/>
                <w:szCs w:val="16"/>
              </w:rPr>
            </w:pPr>
            <w:r w:rsidRPr="00ED172B">
              <w:rPr>
                <w:rFonts w:cs="Arial"/>
                <w:color w:val="000000" w:themeColor="text1"/>
                <w:szCs w:val="16"/>
              </w:rPr>
              <w:t>A2. Number of responses to the question of whether early intervention services have helped the family know their rights</w:t>
            </w:r>
          </w:p>
        </w:tc>
        <w:tc>
          <w:tcPr>
            <w:tcW w:w="665" w:type="pct"/>
            <w:shd w:val="clear" w:color="auto" w:fill="auto"/>
            <w:vAlign w:val="center"/>
          </w:tcPr>
          <w:p w14:paraId="4E784876" w14:textId="5BCB03DD" w:rsidR="003020A9" w:rsidRPr="00ED172B" w:rsidRDefault="00860830">
            <w:pPr>
              <w:jc w:val="center"/>
              <w:rPr>
                <w:rFonts w:cs="Arial"/>
                <w:color w:val="000000" w:themeColor="text1"/>
                <w:szCs w:val="16"/>
              </w:rPr>
            </w:pPr>
            <w:r w:rsidRPr="00ED172B">
              <w:rPr>
                <w:rFonts w:cs="Arial"/>
                <w:color w:val="000000" w:themeColor="text1"/>
                <w:szCs w:val="16"/>
              </w:rPr>
              <w:t>286</w:t>
            </w:r>
          </w:p>
        </w:tc>
      </w:tr>
      <w:tr w:rsidR="00ED172B" w:rsidRPr="00ED172B" w14:paraId="010778F2" w14:textId="77777777" w:rsidTr="00186420">
        <w:trPr>
          <w:trHeight w:val="20"/>
        </w:trPr>
        <w:tc>
          <w:tcPr>
            <w:tcW w:w="4335" w:type="pct"/>
            <w:vAlign w:val="center"/>
          </w:tcPr>
          <w:p w14:paraId="20EACBB4" w14:textId="77777777" w:rsidR="003020A9" w:rsidRPr="00ED172B" w:rsidRDefault="003020A9">
            <w:pPr>
              <w:rPr>
                <w:rFonts w:cs="Arial"/>
                <w:color w:val="000000" w:themeColor="text1"/>
                <w:szCs w:val="16"/>
              </w:rPr>
            </w:pPr>
            <w:r w:rsidRPr="00ED172B">
              <w:rPr>
                <w:rFonts w:cs="Arial"/>
                <w:color w:val="000000" w:themeColor="text1"/>
                <w:szCs w:val="16"/>
              </w:rPr>
              <w:t>B1. Number of respondent families participating in Part C who report that early intervention services have helped the family effectively communicate their children's needs</w:t>
            </w:r>
          </w:p>
        </w:tc>
        <w:tc>
          <w:tcPr>
            <w:tcW w:w="665" w:type="pct"/>
            <w:shd w:val="clear" w:color="auto" w:fill="auto"/>
            <w:vAlign w:val="center"/>
          </w:tcPr>
          <w:p w14:paraId="6A9569C4" w14:textId="00B4F355" w:rsidR="003020A9" w:rsidRPr="00ED172B" w:rsidRDefault="00860830">
            <w:pPr>
              <w:jc w:val="center"/>
              <w:rPr>
                <w:rFonts w:cs="Arial"/>
                <w:color w:val="000000" w:themeColor="text1"/>
                <w:szCs w:val="16"/>
              </w:rPr>
            </w:pPr>
            <w:r w:rsidRPr="00ED172B">
              <w:rPr>
                <w:rFonts w:cs="Arial"/>
                <w:color w:val="000000" w:themeColor="text1"/>
                <w:szCs w:val="16"/>
              </w:rPr>
              <w:t>264</w:t>
            </w:r>
          </w:p>
        </w:tc>
      </w:tr>
      <w:tr w:rsidR="00ED172B" w:rsidRPr="00ED172B" w14:paraId="43E02E1C" w14:textId="77777777" w:rsidTr="00186420">
        <w:trPr>
          <w:trHeight w:val="20"/>
        </w:trPr>
        <w:tc>
          <w:tcPr>
            <w:tcW w:w="4335" w:type="pct"/>
            <w:vAlign w:val="center"/>
          </w:tcPr>
          <w:p w14:paraId="16B78F3E" w14:textId="77777777" w:rsidR="003020A9" w:rsidRPr="00ED172B" w:rsidRDefault="003020A9">
            <w:pPr>
              <w:rPr>
                <w:rFonts w:cs="Arial"/>
                <w:color w:val="000000" w:themeColor="text1"/>
                <w:szCs w:val="16"/>
              </w:rPr>
            </w:pPr>
            <w:r w:rsidRPr="00ED172B">
              <w:rPr>
                <w:rFonts w:cs="Arial"/>
                <w:color w:val="000000" w:themeColor="text1"/>
                <w:szCs w:val="16"/>
              </w:rPr>
              <w:t>B2. Number of responses to the question of whether early intervention services have helped the family effectively communicate their children's needs</w:t>
            </w:r>
          </w:p>
        </w:tc>
        <w:tc>
          <w:tcPr>
            <w:tcW w:w="665" w:type="pct"/>
            <w:shd w:val="clear" w:color="auto" w:fill="auto"/>
            <w:vAlign w:val="center"/>
          </w:tcPr>
          <w:p w14:paraId="1AFF0143" w14:textId="2C04B4A6" w:rsidR="003020A9" w:rsidRPr="00ED172B" w:rsidRDefault="00860830">
            <w:pPr>
              <w:jc w:val="center"/>
              <w:rPr>
                <w:rFonts w:cs="Arial"/>
                <w:color w:val="000000" w:themeColor="text1"/>
                <w:szCs w:val="16"/>
              </w:rPr>
            </w:pPr>
            <w:r w:rsidRPr="00ED172B">
              <w:rPr>
                <w:rFonts w:cs="Arial"/>
                <w:color w:val="000000" w:themeColor="text1"/>
                <w:szCs w:val="16"/>
              </w:rPr>
              <w:t>286</w:t>
            </w:r>
          </w:p>
        </w:tc>
      </w:tr>
      <w:tr w:rsidR="00ED172B" w:rsidRPr="00ED172B" w14:paraId="360545F6" w14:textId="77777777" w:rsidTr="00186420">
        <w:trPr>
          <w:trHeight w:val="20"/>
        </w:trPr>
        <w:tc>
          <w:tcPr>
            <w:tcW w:w="4335" w:type="pct"/>
            <w:vAlign w:val="center"/>
          </w:tcPr>
          <w:p w14:paraId="0A55C44D" w14:textId="77777777" w:rsidR="003020A9" w:rsidRPr="00ED172B" w:rsidRDefault="003020A9">
            <w:pPr>
              <w:rPr>
                <w:rFonts w:cs="Arial"/>
                <w:color w:val="000000" w:themeColor="text1"/>
                <w:szCs w:val="16"/>
              </w:rPr>
            </w:pPr>
            <w:r w:rsidRPr="00ED172B">
              <w:rPr>
                <w:rFonts w:cs="Arial"/>
                <w:color w:val="000000" w:themeColor="text1"/>
                <w:szCs w:val="16"/>
              </w:rPr>
              <w:t>C1. Number of respondent families participating in Part C who report that early intervention services have helped the family help their children develop and learn</w:t>
            </w:r>
          </w:p>
        </w:tc>
        <w:tc>
          <w:tcPr>
            <w:tcW w:w="665" w:type="pct"/>
            <w:shd w:val="clear" w:color="auto" w:fill="auto"/>
            <w:vAlign w:val="center"/>
          </w:tcPr>
          <w:p w14:paraId="17586AC8" w14:textId="6257CCE2" w:rsidR="003020A9" w:rsidRPr="00ED172B" w:rsidRDefault="00860830">
            <w:pPr>
              <w:jc w:val="center"/>
              <w:rPr>
                <w:rFonts w:cs="Arial"/>
                <w:color w:val="000000" w:themeColor="text1"/>
                <w:szCs w:val="16"/>
              </w:rPr>
            </w:pPr>
            <w:r w:rsidRPr="00ED172B">
              <w:rPr>
                <w:rFonts w:cs="Arial"/>
                <w:color w:val="000000" w:themeColor="text1"/>
                <w:szCs w:val="16"/>
              </w:rPr>
              <w:t>259</w:t>
            </w:r>
          </w:p>
        </w:tc>
      </w:tr>
      <w:tr w:rsidR="003020A9" w:rsidRPr="00ED172B" w14:paraId="272352BF" w14:textId="77777777" w:rsidTr="00186420">
        <w:trPr>
          <w:trHeight w:val="20"/>
        </w:trPr>
        <w:tc>
          <w:tcPr>
            <w:tcW w:w="4335" w:type="pct"/>
            <w:vAlign w:val="center"/>
          </w:tcPr>
          <w:p w14:paraId="0359B6E7" w14:textId="77777777" w:rsidR="003020A9" w:rsidRPr="00ED172B" w:rsidRDefault="003020A9">
            <w:pPr>
              <w:rPr>
                <w:rFonts w:cs="Arial"/>
                <w:color w:val="000000" w:themeColor="text1"/>
                <w:szCs w:val="16"/>
              </w:rPr>
            </w:pPr>
            <w:r w:rsidRPr="00ED172B">
              <w:rPr>
                <w:rFonts w:cs="Arial"/>
                <w:color w:val="000000" w:themeColor="text1"/>
                <w:szCs w:val="16"/>
              </w:rPr>
              <w:t>C2. Number of responses to the question of whether early intervention services have helped the family help their children develop and learn</w:t>
            </w:r>
          </w:p>
        </w:tc>
        <w:tc>
          <w:tcPr>
            <w:tcW w:w="665" w:type="pct"/>
            <w:shd w:val="clear" w:color="auto" w:fill="auto"/>
            <w:vAlign w:val="center"/>
          </w:tcPr>
          <w:p w14:paraId="23CA68CD" w14:textId="2ACF88D5" w:rsidR="003020A9" w:rsidRPr="00ED172B" w:rsidRDefault="00860830">
            <w:pPr>
              <w:jc w:val="center"/>
              <w:rPr>
                <w:rFonts w:cs="Arial"/>
                <w:color w:val="000000" w:themeColor="text1"/>
                <w:szCs w:val="16"/>
              </w:rPr>
            </w:pPr>
            <w:r w:rsidRPr="00ED172B">
              <w:rPr>
                <w:rFonts w:cs="Arial"/>
                <w:color w:val="000000" w:themeColor="text1"/>
                <w:szCs w:val="16"/>
              </w:rPr>
              <w:t>286</w:t>
            </w:r>
          </w:p>
        </w:tc>
      </w:tr>
    </w:tbl>
    <w:p w14:paraId="112A2DCD" w14:textId="77777777" w:rsidR="00FB7AE9" w:rsidRPr="00ED172B" w:rsidRDefault="00FB7AE9" w:rsidP="00FB7AE9">
      <w:pPr>
        <w:pStyle w:val="Header"/>
        <w:tabs>
          <w:tab w:val="clear" w:pos="4320"/>
          <w:tab w:val="clear" w:pos="8640"/>
        </w:tabs>
        <w:spacing w:before="0"/>
        <w:rPr>
          <w:rFonts w:ascii="Arial" w:hAnsi="Arial" w:cs="Arial"/>
          <w:b/>
          <w:color w:val="000000" w:themeColor="text1"/>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4FFYAPRDATA1"/>
      </w:tblPr>
      <w:tblGrid>
        <w:gridCol w:w="4404"/>
        <w:gridCol w:w="1351"/>
        <w:gridCol w:w="1351"/>
        <w:gridCol w:w="1439"/>
        <w:gridCol w:w="1170"/>
        <w:gridCol w:w="1075"/>
      </w:tblGrid>
      <w:tr w:rsidR="00ED172B" w:rsidRPr="00ED172B" w14:paraId="221241BE" w14:textId="35E47FC2" w:rsidTr="00986B99">
        <w:trPr>
          <w:trHeight w:val="354"/>
          <w:tblHeader/>
        </w:trPr>
        <w:tc>
          <w:tcPr>
            <w:tcW w:w="2041" w:type="pct"/>
            <w:shd w:val="clear" w:color="auto" w:fill="auto"/>
            <w:vAlign w:val="bottom"/>
          </w:tcPr>
          <w:p w14:paraId="1A2BBEBB" w14:textId="10BECCDD" w:rsidR="004B755C" w:rsidRPr="004B3BC6" w:rsidRDefault="00164FFE" w:rsidP="00A40EE1">
            <w:pPr>
              <w:rPr>
                <w:rFonts w:cs="Arial"/>
                <w:b/>
                <w:bCs/>
                <w:color w:val="000000" w:themeColor="text1"/>
                <w:szCs w:val="16"/>
              </w:rPr>
            </w:pPr>
            <w:r w:rsidRPr="004B3BC6">
              <w:rPr>
                <w:rFonts w:cs="Arial"/>
                <w:b/>
                <w:bCs/>
                <w:color w:val="000000" w:themeColor="text1"/>
                <w:szCs w:val="16"/>
              </w:rPr>
              <w:t>Measure</w:t>
            </w:r>
          </w:p>
        </w:tc>
        <w:tc>
          <w:tcPr>
            <w:tcW w:w="626" w:type="pct"/>
            <w:shd w:val="clear" w:color="auto" w:fill="auto"/>
            <w:vAlign w:val="bottom"/>
          </w:tcPr>
          <w:p w14:paraId="1B40DAB0" w14:textId="146FD13D" w:rsidR="004B755C" w:rsidRPr="00ED172B" w:rsidRDefault="00CD74B5" w:rsidP="004B755C">
            <w:pPr>
              <w:jc w:val="center"/>
              <w:rPr>
                <w:rFonts w:cs="Arial"/>
                <w:b/>
                <w:color w:val="000000" w:themeColor="text1"/>
                <w:szCs w:val="16"/>
              </w:rPr>
            </w:pPr>
            <w:r>
              <w:rPr>
                <w:rFonts w:cs="Arial"/>
                <w:b/>
                <w:color w:val="000000" w:themeColor="text1"/>
                <w:szCs w:val="16"/>
              </w:rPr>
              <w:t>FFY 2021 Data</w:t>
            </w:r>
          </w:p>
        </w:tc>
        <w:tc>
          <w:tcPr>
            <w:tcW w:w="626" w:type="pct"/>
            <w:shd w:val="clear" w:color="auto" w:fill="auto"/>
            <w:vAlign w:val="bottom"/>
          </w:tcPr>
          <w:p w14:paraId="68283261" w14:textId="20BAD02D" w:rsidR="004B755C" w:rsidRPr="00ED172B" w:rsidRDefault="00F22D09" w:rsidP="004B755C">
            <w:pPr>
              <w:jc w:val="center"/>
              <w:rPr>
                <w:rFonts w:cs="Arial"/>
                <w:b/>
                <w:color w:val="000000" w:themeColor="text1"/>
                <w:szCs w:val="16"/>
              </w:rPr>
            </w:pPr>
            <w:r>
              <w:rPr>
                <w:rFonts w:cs="Arial"/>
                <w:b/>
                <w:color w:val="000000" w:themeColor="text1"/>
                <w:szCs w:val="16"/>
              </w:rPr>
              <w:t>FFY 2022 Target</w:t>
            </w:r>
          </w:p>
        </w:tc>
        <w:tc>
          <w:tcPr>
            <w:tcW w:w="667" w:type="pct"/>
            <w:shd w:val="clear" w:color="auto" w:fill="auto"/>
            <w:vAlign w:val="bottom"/>
          </w:tcPr>
          <w:p w14:paraId="7105063D" w14:textId="39D11EF9" w:rsidR="004B755C" w:rsidRPr="00ED172B" w:rsidRDefault="00F22D09" w:rsidP="004B755C">
            <w:pPr>
              <w:jc w:val="center"/>
              <w:rPr>
                <w:rFonts w:cs="Arial"/>
                <w:b/>
                <w:color w:val="000000" w:themeColor="text1"/>
                <w:szCs w:val="16"/>
              </w:rPr>
            </w:pPr>
            <w:r>
              <w:rPr>
                <w:rFonts w:cs="Arial"/>
                <w:b/>
                <w:color w:val="000000" w:themeColor="text1"/>
                <w:szCs w:val="16"/>
              </w:rPr>
              <w:t>FFY 2022 Data</w:t>
            </w:r>
          </w:p>
        </w:tc>
        <w:tc>
          <w:tcPr>
            <w:tcW w:w="542" w:type="pct"/>
            <w:shd w:val="clear" w:color="auto" w:fill="auto"/>
            <w:vAlign w:val="bottom"/>
          </w:tcPr>
          <w:p w14:paraId="2138E26E" w14:textId="0BC58DF1" w:rsidR="004B755C" w:rsidRPr="00ED172B" w:rsidRDefault="004B755C" w:rsidP="004B755C">
            <w:pPr>
              <w:jc w:val="center"/>
              <w:rPr>
                <w:rFonts w:cs="Arial"/>
                <w:b/>
                <w:color w:val="000000" w:themeColor="text1"/>
                <w:szCs w:val="16"/>
              </w:rPr>
            </w:pPr>
            <w:r w:rsidRPr="00ED172B">
              <w:rPr>
                <w:rFonts w:cs="Arial"/>
                <w:b/>
                <w:color w:val="000000" w:themeColor="text1"/>
                <w:szCs w:val="16"/>
              </w:rPr>
              <w:t>Status</w:t>
            </w:r>
          </w:p>
        </w:tc>
        <w:tc>
          <w:tcPr>
            <w:tcW w:w="498" w:type="pct"/>
            <w:shd w:val="clear" w:color="auto" w:fill="auto"/>
            <w:vAlign w:val="bottom"/>
          </w:tcPr>
          <w:p w14:paraId="1A05F8D7" w14:textId="0EA325C7" w:rsidR="004B755C" w:rsidRPr="00ED172B" w:rsidRDefault="004B755C" w:rsidP="004B755C">
            <w:pPr>
              <w:jc w:val="center"/>
              <w:rPr>
                <w:rFonts w:cs="Arial"/>
                <w:b/>
                <w:color w:val="000000" w:themeColor="text1"/>
                <w:szCs w:val="16"/>
              </w:rPr>
            </w:pPr>
            <w:r w:rsidRPr="00ED172B">
              <w:rPr>
                <w:rFonts w:cs="Arial"/>
                <w:b/>
                <w:color w:val="000000" w:themeColor="text1"/>
                <w:szCs w:val="16"/>
              </w:rPr>
              <w:t>Slippage</w:t>
            </w:r>
          </w:p>
        </w:tc>
      </w:tr>
      <w:tr w:rsidR="00ED172B" w:rsidRPr="00ED172B" w14:paraId="58A36728" w14:textId="72280EE5" w:rsidTr="00986B99">
        <w:trPr>
          <w:trHeight w:val="361"/>
        </w:trPr>
        <w:tc>
          <w:tcPr>
            <w:tcW w:w="2041" w:type="pct"/>
            <w:shd w:val="clear" w:color="auto" w:fill="auto"/>
            <w:vAlign w:val="center"/>
          </w:tcPr>
          <w:p w14:paraId="54080A75" w14:textId="7A21D0D2" w:rsidR="00D20529" w:rsidRPr="00ED172B" w:rsidRDefault="00D20529" w:rsidP="00186420">
            <w:pPr>
              <w:rPr>
                <w:rFonts w:cs="Arial"/>
                <w:color w:val="000000" w:themeColor="text1"/>
                <w:szCs w:val="16"/>
              </w:rPr>
            </w:pPr>
            <w:r w:rsidRPr="00ED172B">
              <w:rPr>
                <w:rFonts w:cs="Arial"/>
                <w:color w:val="000000" w:themeColor="text1"/>
                <w:szCs w:val="16"/>
              </w:rPr>
              <w:t>A. Percent of families participating in Part C who report that early intervention services have helped the family know their rights (A1 divided by A2)</w:t>
            </w:r>
          </w:p>
        </w:tc>
        <w:tc>
          <w:tcPr>
            <w:tcW w:w="626" w:type="pct"/>
            <w:shd w:val="clear" w:color="auto" w:fill="auto"/>
            <w:vAlign w:val="center"/>
          </w:tcPr>
          <w:p w14:paraId="53860CBC" w14:textId="67D19E7A" w:rsidR="00D20529" w:rsidRPr="00ED172B" w:rsidRDefault="00860830" w:rsidP="00D20529">
            <w:pPr>
              <w:jc w:val="center"/>
              <w:rPr>
                <w:rFonts w:cs="Arial"/>
                <w:color w:val="000000" w:themeColor="text1"/>
                <w:szCs w:val="16"/>
              </w:rPr>
            </w:pPr>
            <w:r w:rsidRPr="00ED172B">
              <w:rPr>
                <w:rFonts w:cs="Arial"/>
                <w:color w:val="000000" w:themeColor="text1"/>
                <w:szCs w:val="16"/>
              </w:rPr>
              <w:t>86.41%</w:t>
            </w:r>
          </w:p>
        </w:tc>
        <w:tc>
          <w:tcPr>
            <w:tcW w:w="626" w:type="pct"/>
            <w:shd w:val="clear" w:color="auto" w:fill="auto"/>
            <w:vAlign w:val="center"/>
          </w:tcPr>
          <w:p w14:paraId="4A24E7CC" w14:textId="4BA3C3ED" w:rsidR="00D20529" w:rsidRPr="00ED172B" w:rsidRDefault="00291EA9" w:rsidP="00291EA9">
            <w:pPr>
              <w:jc w:val="center"/>
              <w:rPr>
                <w:color w:val="000000" w:themeColor="text1"/>
              </w:rPr>
            </w:pPr>
            <w:r w:rsidRPr="00ED172B">
              <w:rPr>
                <w:color w:val="000000" w:themeColor="text1"/>
              </w:rPr>
              <w:t>90.31%</w:t>
            </w:r>
          </w:p>
        </w:tc>
        <w:tc>
          <w:tcPr>
            <w:tcW w:w="667" w:type="pct"/>
            <w:shd w:val="clear" w:color="auto" w:fill="auto"/>
            <w:vAlign w:val="center"/>
          </w:tcPr>
          <w:p w14:paraId="246273A0" w14:textId="58301721" w:rsidR="00D20529" w:rsidRPr="00ED172B" w:rsidRDefault="00860830" w:rsidP="00D20529">
            <w:pPr>
              <w:jc w:val="center"/>
              <w:rPr>
                <w:rFonts w:cs="Arial"/>
                <w:color w:val="000000" w:themeColor="text1"/>
                <w:szCs w:val="16"/>
              </w:rPr>
            </w:pPr>
            <w:r w:rsidRPr="00ED172B">
              <w:rPr>
                <w:rFonts w:cs="Arial"/>
                <w:color w:val="000000" w:themeColor="text1"/>
                <w:szCs w:val="16"/>
              </w:rPr>
              <w:t>91.26%</w:t>
            </w:r>
          </w:p>
        </w:tc>
        <w:tc>
          <w:tcPr>
            <w:tcW w:w="542" w:type="pct"/>
            <w:shd w:val="clear" w:color="auto" w:fill="auto"/>
            <w:vAlign w:val="center"/>
          </w:tcPr>
          <w:p w14:paraId="00FDA845" w14:textId="7C432787" w:rsidR="00D20529" w:rsidRPr="00ED172B" w:rsidRDefault="00860830" w:rsidP="00D20529">
            <w:pPr>
              <w:jc w:val="center"/>
              <w:rPr>
                <w:rFonts w:cs="Arial"/>
                <w:color w:val="000000" w:themeColor="text1"/>
                <w:szCs w:val="16"/>
              </w:rPr>
            </w:pPr>
            <w:r w:rsidRPr="00ED172B">
              <w:rPr>
                <w:rFonts w:cs="Arial"/>
                <w:color w:val="000000" w:themeColor="text1"/>
                <w:szCs w:val="16"/>
              </w:rPr>
              <w:t>Met target</w:t>
            </w:r>
          </w:p>
        </w:tc>
        <w:tc>
          <w:tcPr>
            <w:tcW w:w="498" w:type="pct"/>
            <w:shd w:val="clear" w:color="auto" w:fill="auto"/>
            <w:vAlign w:val="center"/>
          </w:tcPr>
          <w:p w14:paraId="05D04947" w14:textId="2474B95B" w:rsidR="00D20529" w:rsidRPr="00ED172B" w:rsidRDefault="00860830" w:rsidP="00D20529">
            <w:pPr>
              <w:jc w:val="center"/>
              <w:rPr>
                <w:rFonts w:cs="Arial"/>
                <w:color w:val="000000" w:themeColor="text1"/>
                <w:szCs w:val="16"/>
              </w:rPr>
            </w:pPr>
            <w:r w:rsidRPr="00ED172B">
              <w:rPr>
                <w:rFonts w:cs="Arial"/>
                <w:color w:val="000000" w:themeColor="text1"/>
                <w:szCs w:val="16"/>
              </w:rPr>
              <w:t>No Slippage</w:t>
            </w:r>
          </w:p>
        </w:tc>
      </w:tr>
      <w:tr w:rsidR="00ED172B" w:rsidRPr="00ED172B" w14:paraId="142BDFFF" w14:textId="2297D36E" w:rsidTr="00986B99">
        <w:trPr>
          <w:trHeight w:val="361"/>
        </w:trPr>
        <w:tc>
          <w:tcPr>
            <w:tcW w:w="2041" w:type="pct"/>
            <w:shd w:val="clear" w:color="auto" w:fill="auto"/>
            <w:vAlign w:val="center"/>
          </w:tcPr>
          <w:p w14:paraId="511B2807" w14:textId="76AC785B" w:rsidR="00D20529" w:rsidRPr="00ED172B" w:rsidRDefault="00D20529" w:rsidP="00186420">
            <w:pPr>
              <w:rPr>
                <w:rFonts w:cs="Arial"/>
                <w:color w:val="000000" w:themeColor="text1"/>
                <w:szCs w:val="16"/>
              </w:rPr>
            </w:pPr>
            <w:r w:rsidRPr="00ED172B">
              <w:rPr>
                <w:rFonts w:cs="Arial"/>
                <w:color w:val="000000" w:themeColor="text1"/>
                <w:szCs w:val="16"/>
              </w:rPr>
              <w:t>B. Percent of families participating in Part C who report that early intervention services have helped the family effectively communicate their children's needs (B1 divided by B2)</w:t>
            </w:r>
          </w:p>
        </w:tc>
        <w:tc>
          <w:tcPr>
            <w:tcW w:w="626" w:type="pct"/>
            <w:shd w:val="clear" w:color="auto" w:fill="auto"/>
            <w:vAlign w:val="center"/>
          </w:tcPr>
          <w:p w14:paraId="19DB7BDF" w14:textId="347C4138" w:rsidR="00D20529" w:rsidRPr="00ED172B" w:rsidRDefault="00860830" w:rsidP="00D20529">
            <w:pPr>
              <w:jc w:val="center"/>
              <w:rPr>
                <w:rFonts w:cs="Arial"/>
                <w:color w:val="000000" w:themeColor="text1"/>
                <w:szCs w:val="16"/>
              </w:rPr>
            </w:pPr>
            <w:r w:rsidRPr="00ED172B">
              <w:rPr>
                <w:rFonts w:cs="Arial"/>
                <w:color w:val="000000" w:themeColor="text1"/>
                <w:szCs w:val="16"/>
              </w:rPr>
              <w:t>92.23%</w:t>
            </w:r>
          </w:p>
        </w:tc>
        <w:tc>
          <w:tcPr>
            <w:tcW w:w="626" w:type="pct"/>
            <w:shd w:val="clear" w:color="auto" w:fill="auto"/>
            <w:vAlign w:val="center"/>
          </w:tcPr>
          <w:p w14:paraId="383B5286" w14:textId="71CDE4D7" w:rsidR="00D20529" w:rsidRPr="00ED172B" w:rsidRDefault="00291EA9" w:rsidP="00291EA9">
            <w:pPr>
              <w:jc w:val="center"/>
              <w:rPr>
                <w:color w:val="000000" w:themeColor="text1"/>
              </w:rPr>
            </w:pPr>
            <w:r w:rsidRPr="00ED172B">
              <w:rPr>
                <w:color w:val="000000" w:themeColor="text1"/>
              </w:rPr>
              <w:t>91.97%</w:t>
            </w:r>
          </w:p>
        </w:tc>
        <w:tc>
          <w:tcPr>
            <w:tcW w:w="667" w:type="pct"/>
            <w:shd w:val="clear" w:color="auto" w:fill="auto"/>
            <w:vAlign w:val="center"/>
          </w:tcPr>
          <w:p w14:paraId="790CCA72" w14:textId="2BB057E3" w:rsidR="00D20529" w:rsidRPr="00ED172B" w:rsidRDefault="00860830" w:rsidP="00D20529">
            <w:pPr>
              <w:jc w:val="center"/>
              <w:rPr>
                <w:rFonts w:cs="Arial"/>
                <w:color w:val="000000" w:themeColor="text1"/>
                <w:szCs w:val="16"/>
              </w:rPr>
            </w:pPr>
            <w:r w:rsidRPr="00ED172B">
              <w:rPr>
                <w:rFonts w:cs="Arial"/>
                <w:color w:val="000000" w:themeColor="text1"/>
                <w:szCs w:val="16"/>
              </w:rPr>
              <w:t>92.31%</w:t>
            </w:r>
          </w:p>
        </w:tc>
        <w:tc>
          <w:tcPr>
            <w:tcW w:w="542" w:type="pct"/>
            <w:shd w:val="clear" w:color="auto" w:fill="auto"/>
            <w:vAlign w:val="center"/>
          </w:tcPr>
          <w:p w14:paraId="437AA12B" w14:textId="56F354CF" w:rsidR="00D20529" w:rsidRPr="00ED172B" w:rsidRDefault="00860830" w:rsidP="00D20529">
            <w:pPr>
              <w:jc w:val="center"/>
              <w:rPr>
                <w:rFonts w:cs="Arial"/>
                <w:color w:val="000000" w:themeColor="text1"/>
                <w:szCs w:val="16"/>
              </w:rPr>
            </w:pPr>
            <w:r w:rsidRPr="00ED172B">
              <w:rPr>
                <w:rFonts w:cs="Arial"/>
                <w:color w:val="000000" w:themeColor="text1"/>
                <w:szCs w:val="16"/>
              </w:rPr>
              <w:t>Met target</w:t>
            </w:r>
          </w:p>
        </w:tc>
        <w:tc>
          <w:tcPr>
            <w:tcW w:w="498" w:type="pct"/>
            <w:shd w:val="clear" w:color="auto" w:fill="auto"/>
            <w:vAlign w:val="center"/>
          </w:tcPr>
          <w:p w14:paraId="3596E400" w14:textId="1417DD93" w:rsidR="00D20529" w:rsidRPr="00ED172B" w:rsidRDefault="00860830" w:rsidP="00D20529">
            <w:pPr>
              <w:jc w:val="center"/>
              <w:rPr>
                <w:rFonts w:cs="Arial"/>
                <w:color w:val="000000" w:themeColor="text1"/>
                <w:szCs w:val="16"/>
              </w:rPr>
            </w:pPr>
            <w:r w:rsidRPr="00ED172B">
              <w:rPr>
                <w:rFonts w:cs="Arial"/>
                <w:color w:val="000000" w:themeColor="text1"/>
                <w:szCs w:val="16"/>
              </w:rPr>
              <w:t>No Slippage</w:t>
            </w:r>
          </w:p>
        </w:tc>
      </w:tr>
      <w:tr w:rsidR="00ED172B" w:rsidRPr="00ED172B" w14:paraId="431428E4" w14:textId="78B5A0F3" w:rsidTr="00986B99">
        <w:trPr>
          <w:trHeight w:val="361"/>
        </w:trPr>
        <w:tc>
          <w:tcPr>
            <w:tcW w:w="2041" w:type="pct"/>
            <w:shd w:val="clear" w:color="auto" w:fill="auto"/>
            <w:vAlign w:val="center"/>
          </w:tcPr>
          <w:p w14:paraId="2A215804" w14:textId="2429D2CD" w:rsidR="00D20529" w:rsidRPr="00ED172B" w:rsidRDefault="00D20529" w:rsidP="00186420">
            <w:pPr>
              <w:rPr>
                <w:rFonts w:cs="Arial"/>
                <w:color w:val="000000" w:themeColor="text1"/>
                <w:szCs w:val="16"/>
              </w:rPr>
            </w:pPr>
            <w:r w:rsidRPr="00ED172B">
              <w:rPr>
                <w:rFonts w:cs="Arial"/>
                <w:color w:val="000000" w:themeColor="text1"/>
                <w:szCs w:val="16"/>
              </w:rPr>
              <w:t>C. Percent of families participating in Part C who report that early intervention services have helped the family help their children develop and learn (C1 divided by C2)</w:t>
            </w:r>
          </w:p>
        </w:tc>
        <w:tc>
          <w:tcPr>
            <w:tcW w:w="626" w:type="pct"/>
            <w:shd w:val="clear" w:color="auto" w:fill="auto"/>
            <w:vAlign w:val="center"/>
          </w:tcPr>
          <w:p w14:paraId="5C3A4920" w14:textId="66B7FB9F" w:rsidR="00D20529" w:rsidRPr="00ED172B" w:rsidRDefault="00860830" w:rsidP="00D20529">
            <w:pPr>
              <w:jc w:val="center"/>
              <w:rPr>
                <w:rFonts w:cs="Arial"/>
                <w:color w:val="000000" w:themeColor="text1"/>
                <w:szCs w:val="16"/>
              </w:rPr>
            </w:pPr>
            <w:r w:rsidRPr="00ED172B">
              <w:rPr>
                <w:rFonts w:cs="Arial"/>
                <w:color w:val="000000" w:themeColor="text1"/>
                <w:szCs w:val="16"/>
              </w:rPr>
              <w:t>90.29%</w:t>
            </w:r>
          </w:p>
        </w:tc>
        <w:tc>
          <w:tcPr>
            <w:tcW w:w="626" w:type="pct"/>
            <w:shd w:val="clear" w:color="auto" w:fill="auto"/>
            <w:vAlign w:val="center"/>
          </w:tcPr>
          <w:p w14:paraId="76133FD1" w14:textId="24F530F0" w:rsidR="00D20529" w:rsidRPr="00ED172B" w:rsidRDefault="00291EA9" w:rsidP="00291EA9">
            <w:pPr>
              <w:jc w:val="center"/>
              <w:rPr>
                <w:color w:val="000000" w:themeColor="text1"/>
              </w:rPr>
            </w:pPr>
            <w:r w:rsidRPr="00ED172B">
              <w:rPr>
                <w:color w:val="000000" w:themeColor="text1"/>
              </w:rPr>
              <w:t>92.16%</w:t>
            </w:r>
          </w:p>
        </w:tc>
        <w:tc>
          <w:tcPr>
            <w:tcW w:w="667" w:type="pct"/>
            <w:shd w:val="clear" w:color="auto" w:fill="auto"/>
            <w:vAlign w:val="center"/>
          </w:tcPr>
          <w:p w14:paraId="1EF2336C" w14:textId="48A6C40C" w:rsidR="00D20529" w:rsidRPr="00ED172B" w:rsidRDefault="00860830" w:rsidP="00D20529">
            <w:pPr>
              <w:jc w:val="center"/>
              <w:rPr>
                <w:rFonts w:cs="Arial"/>
                <w:color w:val="000000" w:themeColor="text1"/>
                <w:szCs w:val="16"/>
              </w:rPr>
            </w:pPr>
            <w:r w:rsidRPr="00ED172B">
              <w:rPr>
                <w:rFonts w:cs="Arial"/>
                <w:color w:val="000000" w:themeColor="text1"/>
                <w:szCs w:val="16"/>
              </w:rPr>
              <w:t>90.56%</w:t>
            </w:r>
          </w:p>
        </w:tc>
        <w:tc>
          <w:tcPr>
            <w:tcW w:w="542" w:type="pct"/>
            <w:shd w:val="clear" w:color="auto" w:fill="auto"/>
            <w:vAlign w:val="center"/>
          </w:tcPr>
          <w:p w14:paraId="7069C405" w14:textId="01192EEE" w:rsidR="00D20529" w:rsidRPr="00ED172B" w:rsidRDefault="00860830" w:rsidP="00D20529">
            <w:pPr>
              <w:jc w:val="center"/>
              <w:rPr>
                <w:rFonts w:cs="Arial"/>
                <w:color w:val="000000" w:themeColor="text1"/>
                <w:szCs w:val="16"/>
              </w:rPr>
            </w:pPr>
            <w:r w:rsidRPr="00ED172B">
              <w:rPr>
                <w:rFonts w:cs="Arial"/>
                <w:color w:val="000000" w:themeColor="text1"/>
                <w:szCs w:val="16"/>
              </w:rPr>
              <w:t>Did not meet target</w:t>
            </w:r>
          </w:p>
        </w:tc>
        <w:tc>
          <w:tcPr>
            <w:tcW w:w="498" w:type="pct"/>
            <w:shd w:val="clear" w:color="auto" w:fill="auto"/>
            <w:vAlign w:val="center"/>
          </w:tcPr>
          <w:p w14:paraId="6AEC7905" w14:textId="6CD90C0D" w:rsidR="00D20529" w:rsidRPr="00ED172B" w:rsidRDefault="00860830" w:rsidP="00D20529">
            <w:pPr>
              <w:jc w:val="center"/>
              <w:rPr>
                <w:rFonts w:cs="Arial"/>
                <w:color w:val="000000" w:themeColor="text1"/>
                <w:szCs w:val="16"/>
              </w:rPr>
            </w:pPr>
            <w:r w:rsidRPr="00ED172B">
              <w:rPr>
                <w:rFonts w:cs="Arial"/>
                <w:color w:val="000000" w:themeColor="text1"/>
                <w:szCs w:val="16"/>
              </w:rPr>
              <w:t>No Slippage</w:t>
            </w:r>
          </w:p>
        </w:tc>
      </w:tr>
    </w:tbl>
    <w:p w14:paraId="13393E53" w14:textId="1618BFA9" w:rsidR="00470774" w:rsidRDefault="00470774" w:rsidP="00291EA9">
      <w:pPr>
        <w:rPr>
          <w:color w:val="000000" w:themeColor="text1"/>
        </w:rPr>
      </w:pPr>
    </w:p>
    <w:tbl>
      <w:tblPr>
        <w:tblStyle w:val="TableGrid"/>
        <w:tblW w:w="5000" w:type="pct"/>
        <w:tblLayout w:type="fixed"/>
        <w:tblCellMar>
          <w:left w:w="115" w:type="dxa"/>
          <w:right w:w="115" w:type="dxa"/>
        </w:tblCellMar>
        <w:tblLook w:val="04A0" w:firstRow="1" w:lastRow="0" w:firstColumn="1" w:lastColumn="0" w:noHBand="0" w:noVBand="1"/>
        <w:tblCaption w:val="C04SAMPLEUSED"/>
      </w:tblPr>
      <w:tblGrid>
        <w:gridCol w:w="8546"/>
        <w:gridCol w:w="2244"/>
      </w:tblGrid>
      <w:tr w:rsidR="00ED172B" w:rsidRPr="00ED172B" w14:paraId="3AF576FA" w14:textId="77777777" w:rsidTr="00A40EE1">
        <w:trPr>
          <w:tblHeader/>
        </w:trPr>
        <w:tc>
          <w:tcPr>
            <w:tcW w:w="3960" w:type="pct"/>
            <w:tcBorders>
              <w:top w:val="single" w:sz="4" w:space="0" w:color="auto"/>
              <w:left w:val="single" w:sz="4" w:space="0" w:color="auto"/>
            </w:tcBorders>
          </w:tcPr>
          <w:p w14:paraId="6B578191" w14:textId="350EDC3C" w:rsidR="00013004" w:rsidRPr="00A40EE1" w:rsidRDefault="00164FFE" w:rsidP="00781A26">
            <w:pPr>
              <w:rPr>
                <w:rFonts w:cs="Arial"/>
                <w:b/>
                <w:bCs/>
                <w:color w:val="000000" w:themeColor="text1"/>
                <w:szCs w:val="16"/>
              </w:rPr>
            </w:pPr>
            <w:r>
              <w:rPr>
                <w:rFonts w:cs="Arial"/>
                <w:b/>
                <w:bCs/>
                <w:color w:val="000000" w:themeColor="text1"/>
                <w:szCs w:val="16"/>
              </w:rPr>
              <w:t>Sampling Question</w:t>
            </w:r>
          </w:p>
        </w:tc>
        <w:tc>
          <w:tcPr>
            <w:tcW w:w="1040" w:type="pct"/>
            <w:tcBorders>
              <w:top w:val="single" w:sz="4" w:space="0" w:color="auto"/>
            </w:tcBorders>
          </w:tcPr>
          <w:p w14:paraId="17127A95" w14:textId="77777777" w:rsidR="00013004" w:rsidRPr="00ED172B" w:rsidRDefault="00013004" w:rsidP="00781A26">
            <w:pPr>
              <w:jc w:val="center"/>
              <w:rPr>
                <w:rFonts w:cs="Arial"/>
                <w:b/>
                <w:color w:val="000000" w:themeColor="text1"/>
                <w:szCs w:val="16"/>
              </w:rPr>
            </w:pPr>
            <w:r w:rsidRPr="00ED172B">
              <w:rPr>
                <w:rFonts w:cs="Arial"/>
                <w:b/>
                <w:color w:val="000000" w:themeColor="text1"/>
                <w:szCs w:val="16"/>
              </w:rPr>
              <w:t>Yes / No</w:t>
            </w:r>
          </w:p>
        </w:tc>
      </w:tr>
      <w:tr w:rsidR="00ED172B" w:rsidRPr="00ED172B" w14:paraId="5694E330" w14:textId="77777777" w:rsidTr="00186420">
        <w:tc>
          <w:tcPr>
            <w:tcW w:w="3960" w:type="pct"/>
          </w:tcPr>
          <w:p w14:paraId="75E22E48" w14:textId="77777777" w:rsidR="00013004" w:rsidRPr="00ED172B" w:rsidRDefault="00013004" w:rsidP="00781A26">
            <w:pPr>
              <w:rPr>
                <w:rFonts w:cs="Arial"/>
                <w:color w:val="000000" w:themeColor="text1"/>
                <w:szCs w:val="16"/>
              </w:rPr>
            </w:pPr>
            <w:r w:rsidRPr="00ED172B">
              <w:rPr>
                <w:rFonts w:cs="Arial"/>
                <w:color w:val="000000" w:themeColor="text1"/>
                <w:szCs w:val="16"/>
              </w:rPr>
              <w:t xml:space="preserve">Was sampling used? </w:t>
            </w:r>
          </w:p>
        </w:tc>
        <w:tc>
          <w:tcPr>
            <w:tcW w:w="1040" w:type="pct"/>
          </w:tcPr>
          <w:p w14:paraId="01167BB8" w14:textId="1702CA76" w:rsidR="00013004" w:rsidRPr="00ED172B" w:rsidRDefault="00860830" w:rsidP="009B2EB4">
            <w:pPr>
              <w:rPr>
                <w:rFonts w:cs="Arial"/>
                <w:color w:val="000000" w:themeColor="text1"/>
                <w:szCs w:val="16"/>
              </w:rPr>
            </w:pPr>
            <w:r w:rsidRPr="00ED172B">
              <w:rPr>
                <w:rFonts w:cs="Arial"/>
                <w:color w:val="000000" w:themeColor="text1"/>
                <w:szCs w:val="16"/>
              </w:rPr>
              <w:t>YES</w:t>
            </w:r>
          </w:p>
        </w:tc>
      </w:tr>
      <w:tr w:rsidR="00ED172B" w:rsidRPr="00ED172B" w14:paraId="54E81158" w14:textId="77777777" w:rsidTr="00186420">
        <w:tc>
          <w:tcPr>
            <w:tcW w:w="3960" w:type="pct"/>
          </w:tcPr>
          <w:p w14:paraId="28DC7BC3" w14:textId="65D9E6DA" w:rsidR="00013004" w:rsidRPr="00ED172B" w:rsidRDefault="001C5219" w:rsidP="00781A26">
            <w:pPr>
              <w:rPr>
                <w:rFonts w:cs="Arial"/>
                <w:color w:val="000000" w:themeColor="text1"/>
                <w:szCs w:val="16"/>
              </w:rPr>
            </w:pPr>
            <w:r w:rsidRPr="00ED172B">
              <w:rPr>
                <w:rFonts w:cs="Arial"/>
                <w:color w:val="000000" w:themeColor="text1"/>
                <w:szCs w:val="16"/>
              </w:rPr>
              <w:t xml:space="preserve">If yes, has your previously approved sampling plan changed? </w:t>
            </w:r>
          </w:p>
        </w:tc>
        <w:tc>
          <w:tcPr>
            <w:tcW w:w="1040" w:type="pct"/>
          </w:tcPr>
          <w:p w14:paraId="2D84A62E" w14:textId="505AFA9C" w:rsidR="00013004" w:rsidRPr="00ED172B" w:rsidRDefault="00860830" w:rsidP="009B2EB4">
            <w:pPr>
              <w:rPr>
                <w:rFonts w:cs="Arial"/>
                <w:color w:val="000000" w:themeColor="text1"/>
                <w:szCs w:val="16"/>
              </w:rPr>
            </w:pPr>
            <w:r w:rsidRPr="00ED172B">
              <w:rPr>
                <w:rFonts w:cs="Arial"/>
                <w:color w:val="000000" w:themeColor="text1"/>
                <w:szCs w:val="16"/>
              </w:rPr>
              <w:t>NO</w:t>
            </w:r>
          </w:p>
        </w:tc>
      </w:tr>
    </w:tbl>
    <w:p w14:paraId="0729206F" w14:textId="40A2118D" w:rsidR="00013004" w:rsidRPr="00ED172B" w:rsidRDefault="00013004" w:rsidP="00013004">
      <w:pPr>
        <w:rPr>
          <w:rFonts w:cs="Arial"/>
          <w:b/>
          <w:color w:val="000000" w:themeColor="text1"/>
          <w:szCs w:val="16"/>
        </w:rPr>
      </w:pPr>
      <w:r w:rsidRPr="00ED172B">
        <w:rPr>
          <w:rFonts w:cs="Arial"/>
          <w:b/>
          <w:color w:val="000000" w:themeColor="text1"/>
          <w:szCs w:val="16"/>
        </w:rPr>
        <w:t xml:space="preserve">Describe the sampling methodology outlining how the design will yield valid and reliable estimates. </w:t>
      </w:r>
    </w:p>
    <w:p w14:paraId="4FCDE50E" w14:textId="4304FCDE" w:rsidR="00013004" w:rsidRDefault="00860830" w:rsidP="00013004">
      <w:pPr>
        <w:rPr>
          <w:rFonts w:cs="Arial"/>
          <w:color w:val="000000" w:themeColor="text1"/>
          <w:szCs w:val="16"/>
        </w:rPr>
      </w:pPr>
      <w:r w:rsidRPr="00ED172B">
        <w:rPr>
          <w:rFonts w:cs="Arial"/>
          <w:color w:val="000000" w:themeColor="text1"/>
          <w:szCs w:val="16"/>
        </w:rPr>
        <w:t>The sampling methodology is designed to choose a representative set of counties each year that is reflective of the State’s population as a whole. Within counties, the population is stratified by school, grade, race/ethnicity, primary disability, and gender in order to ensure the representativeness of the sample.</w:t>
      </w:r>
    </w:p>
    <w:p w14:paraId="629F5F4F" w14:textId="77777777" w:rsidR="00470774" w:rsidRPr="00470774" w:rsidRDefault="00470774" w:rsidP="00470774">
      <w:pPr>
        <w:rPr>
          <w:rFonts w:cs="Arial"/>
          <w:color w:val="000000" w:themeColor="text1"/>
          <w:szCs w:val="16"/>
        </w:rPr>
      </w:pPr>
    </w:p>
    <w:tbl>
      <w:tblPr>
        <w:tblStyle w:val="TableGrid"/>
        <w:tblW w:w="5000" w:type="pct"/>
        <w:tblCellMar>
          <w:left w:w="115" w:type="dxa"/>
          <w:right w:w="115" w:type="dxa"/>
        </w:tblCellMar>
        <w:tblLook w:val="04A0" w:firstRow="1" w:lastRow="0" w:firstColumn="1" w:lastColumn="0" w:noHBand="0" w:noVBand="1"/>
        <w:tblCaption w:val="C04COLLECTIONTOOLUSED"/>
      </w:tblPr>
      <w:tblGrid>
        <w:gridCol w:w="8524"/>
        <w:gridCol w:w="2266"/>
      </w:tblGrid>
      <w:tr w:rsidR="00ED172B" w:rsidRPr="00ED172B" w14:paraId="0407055E" w14:textId="77777777" w:rsidTr="00A40EE1">
        <w:trPr>
          <w:tblHeader/>
        </w:trPr>
        <w:tc>
          <w:tcPr>
            <w:tcW w:w="3950" w:type="pct"/>
            <w:tcBorders>
              <w:top w:val="single" w:sz="4" w:space="0" w:color="auto"/>
              <w:left w:val="single" w:sz="4" w:space="0" w:color="auto"/>
            </w:tcBorders>
          </w:tcPr>
          <w:p w14:paraId="0DF5722B" w14:textId="55461DDB" w:rsidR="00013004" w:rsidRPr="00A40EE1" w:rsidRDefault="00164FFE" w:rsidP="00781A26">
            <w:pPr>
              <w:rPr>
                <w:rFonts w:cs="Arial"/>
                <w:b/>
                <w:bCs/>
                <w:color w:val="000000" w:themeColor="text1"/>
                <w:szCs w:val="16"/>
              </w:rPr>
            </w:pPr>
            <w:r w:rsidRPr="00A40EE1">
              <w:rPr>
                <w:rFonts w:cs="Arial"/>
                <w:b/>
                <w:bCs/>
                <w:color w:val="000000" w:themeColor="text1"/>
                <w:szCs w:val="16"/>
              </w:rPr>
              <w:t>Question</w:t>
            </w:r>
          </w:p>
        </w:tc>
        <w:tc>
          <w:tcPr>
            <w:tcW w:w="1050" w:type="pct"/>
            <w:tcBorders>
              <w:top w:val="single" w:sz="4" w:space="0" w:color="auto"/>
            </w:tcBorders>
          </w:tcPr>
          <w:p w14:paraId="1C29A0B5" w14:textId="77777777" w:rsidR="00013004" w:rsidRPr="00ED172B" w:rsidRDefault="00013004" w:rsidP="00781A26">
            <w:pPr>
              <w:jc w:val="center"/>
              <w:rPr>
                <w:rFonts w:cs="Arial"/>
                <w:b/>
                <w:color w:val="000000" w:themeColor="text1"/>
                <w:szCs w:val="16"/>
              </w:rPr>
            </w:pPr>
            <w:r w:rsidRPr="00ED172B">
              <w:rPr>
                <w:rFonts w:cs="Arial"/>
                <w:b/>
                <w:color w:val="000000" w:themeColor="text1"/>
                <w:szCs w:val="16"/>
              </w:rPr>
              <w:t>Yes / No</w:t>
            </w:r>
          </w:p>
        </w:tc>
      </w:tr>
      <w:tr w:rsidR="00ED172B" w:rsidRPr="00ED172B" w14:paraId="341AE4D3" w14:textId="77777777" w:rsidTr="00470774">
        <w:tc>
          <w:tcPr>
            <w:tcW w:w="3950" w:type="pct"/>
          </w:tcPr>
          <w:p w14:paraId="1C6590D0" w14:textId="2D5007A0" w:rsidR="00013004" w:rsidRPr="00ED172B" w:rsidRDefault="00013004" w:rsidP="00781A26">
            <w:pPr>
              <w:rPr>
                <w:rFonts w:cs="Arial"/>
                <w:color w:val="000000" w:themeColor="text1"/>
                <w:szCs w:val="16"/>
              </w:rPr>
            </w:pPr>
            <w:r w:rsidRPr="00ED172B">
              <w:rPr>
                <w:rFonts w:cs="Arial"/>
                <w:color w:val="000000" w:themeColor="text1"/>
                <w:szCs w:val="16"/>
              </w:rPr>
              <w:t>Was a collection tool used?</w:t>
            </w:r>
          </w:p>
        </w:tc>
        <w:tc>
          <w:tcPr>
            <w:tcW w:w="1050" w:type="pct"/>
          </w:tcPr>
          <w:p w14:paraId="7F712EBC" w14:textId="0CC49D8E" w:rsidR="00013004" w:rsidRPr="00ED172B" w:rsidRDefault="00860830" w:rsidP="009B2EB4">
            <w:pPr>
              <w:rPr>
                <w:rFonts w:cs="Arial"/>
                <w:color w:val="000000" w:themeColor="text1"/>
                <w:szCs w:val="16"/>
              </w:rPr>
            </w:pPr>
            <w:r w:rsidRPr="00ED172B">
              <w:rPr>
                <w:rFonts w:cs="Arial"/>
                <w:color w:val="000000" w:themeColor="text1"/>
                <w:szCs w:val="16"/>
              </w:rPr>
              <w:t>YES</w:t>
            </w:r>
          </w:p>
        </w:tc>
      </w:tr>
      <w:tr w:rsidR="00ED172B" w:rsidRPr="00ED172B" w14:paraId="4DF2322B" w14:textId="77777777" w:rsidTr="00470774">
        <w:tc>
          <w:tcPr>
            <w:tcW w:w="3950" w:type="pct"/>
          </w:tcPr>
          <w:p w14:paraId="06C93651" w14:textId="7F869A0C" w:rsidR="00013004" w:rsidRPr="00ED172B" w:rsidRDefault="00013004" w:rsidP="00781A26">
            <w:pPr>
              <w:rPr>
                <w:rFonts w:cs="Arial"/>
                <w:color w:val="000000" w:themeColor="text1"/>
                <w:szCs w:val="16"/>
              </w:rPr>
            </w:pPr>
            <w:r w:rsidRPr="00ED172B">
              <w:rPr>
                <w:rFonts w:cs="Arial"/>
                <w:color w:val="000000" w:themeColor="text1"/>
                <w:szCs w:val="16"/>
              </w:rPr>
              <w:t xml:space="preserve">If yes, is it a new or revised collection tool? </w:t>
            </w:r>
          </w:p>
        </w:tc>
        <w:tc>
          <w:tcPr>
            <w:tcW w:w="1050" w:type="pct"/>
          </w:tcPr>
          <w:p w14:paraId="703575B9" w14:textId="567842E0" w:rsidR="00013004" w:rsidRPr="00ED172B" w:rsidRDefault="00860830" w:rsidP="009B2EB4">
            <w:pPr>
              <w:rPr>
                <w:rFonts w:cs="Arial"/>
                <w:color w:val="000000" w:themeColor="text1"/>
                <w:szCs w:val="16"/>
              </w:rPr>
            </w:pPr>
            <w:r w:rsidRPr="00ED172B">
              <w:rPr>
                <w:rFonts w:cs="Arial"/>
                <w:color w:val="000000" w:themeColor="text1"/>
                <w:szCs w:val="16"/>
              </w:rPr>
              <w:t>NO</w:t>
            </w:r>
          </w:p>
        </w:tc>
      </w:tr>
      <w:tr w:rsidR="00ED172B" w:rsidRPr="00ED172B" w14:paraId="30DE3B0A" w14:textId="77777777" w:rsidTr="00470774">
        <w:tc>
          <w:tcPr>
            <w:tcW w:w="3950" w:type="pct"/>
          </w:tcPr>
          <w:p w14:paraId="68829E9A" w14:textId="1B49470D" w:rsidR="00013004" w:rsidRPr="00ED172B" w:rsidRDefault="00013004" w:rsidP="00781A26">
            <w:pPr>
              <w:rPr>
                <w:rFonts w:cs="Arial"/>
                <w:color w:val="000000" w:themeColor="text1"/>
                <w:szCs w:val="16"/>
              </w:rPr>
            </w:pPr>
          </w:p>
        </w:tc>
        <w:tc>
          <w:tcPr>
            <w:tcW w:w="1050" w:type="pct"/>
          </w:tcPr>
          <w:p w14:paraId="760B76EC" w14:textId="65378BCC" w:rsidR="00013004" w:rsidRPr="00ED172B" w:rsidRDefault="00013004" w:rsidP="009B2EB4">
            <w:pPr>
              <w:rPr>
                <w:rFonts w:cs="Arial"/>
                <w:color w:val="000000" w:themeColor="text1"/>
                <w:szCs w:val="16"/>
              </w:rPr>
            </w:pPr>
          </w:p>
        </w:tc>
      </w:tr>
    </w:tbl>
    <w:p w14:paraId="1EC7965B" w14:textId="77777777" w:rsidR="00437F97" w:rsidRDefault="00437F97" w:rsidP="00437F97">
      <w:pPr>
        <w:rPr>
          <w:rFonts w:cs="Arial"/>
          <w:b/>
          <w:color w:val="000000" w:themeColor="text1"/>
          <w:szCs w:val="16"/>
        </w:rPr>
      </w:pPr>
    </w:p>
    <w:p w14:paraId="13E7C533" w14:textId="7A868FC9" w:rsidR="00BD192E" w:rsidRPr="00E310A4" w:rsidRDefault="00BD192E" w:rsidP="00BD192E">
      <w:pPr>
        <w:rPr>
          <w:rFonts w:cs="Arial"/>
          <w:b/>
          <w:bCs/>
          <w:szCs w:val="16"/>
        </w:rPr>
      </w:pPr>
      <w:r w:rsidRPr="00E310A4">
        <w:rPr>
          <w:rFonts w:cs="Arial"/>
          <w:b/>
          <w:bCs/>
          <w:szCs w:val="16"/>
        </w:rPr>
        <w:t>Response Rate</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4CFFYSVYRESPRATE"/>
      </w:tblPr>
      <w:tblGrid>
        <w:gridCol w:w="1918"/>
        <w:gridCol w:w="4438"/>
        <w:gridCol w:w="4438"/>
      </w:tblGrid>
      <w:tr w:rsidR="00550FC1" w:rsidRPr="00ED172B" w14:paraId="4B7EC210" w14:textId="77777777" w:rsidTr="0055373D">
        <w:trPr>
          <w:trHeight w:val="350"/>
        </w:trPr>
        <w:tc>
          <w:tcPr>
            <w:tcW w:w="888" w:type="pct"/>
            <w:tcBorders>
              <w:bottom w:val="single" w:sz="4" w:space="0" w:color="auto"/>
            </w:tcBorders>
            <w:shd w:val="clear" w:color="auto" w:fill="auto"/>
            <w:vAlign w:val="bottom"/>
          </w:tcPr>
          <w:p w14:paraId="166627DF" w14:textId="77777777" w:rsidR="00550FC1" w:rsidRPr="00ED172B" w:rsidRDefault="00550FC1" w:rsidP="00B073DB">
            <w:pPr>
              <w:jc w:val="center"/>
              <w:rPr>
                <w:rFonts w:cs="Arial"/>
                <w:b/>
                <w:color w:val="000000" w:themeColor="text1"/>
                <w:szCs w:val="16"/>
              </w:rPr>
            </w:pPr>
            <w:r w:rsidRPr="00ED172B">
              <w:rPr>
                <w:rFonts w:cs="Arial"/>
                <w:b/>
                <w:color w:val="000000" w:themeColor="text1"/>
                <w:szCs w:val="16"/>
              </w:rPr>
              <w:t>FFY</w:t>
            </w:r>
          </w:p>
        </w:tc>
        <w:tc>
          <w:tcPr>
            <w:tcW w:w="2056" w:type="pct"/>
            <w:shd w:val="clear" w:color="auto" w:fill="auto"/>
            <w:vAlign w:val="center"/>
          </w:tcPr>
          <w:p w14:paraId="681441EB" w14:textId="1756F53D" w:rsidR="00550FC1" w:rsidRPr="00ED172B" w:rsidRDefault="00550FC1" w:rsidP="00B073DB">
            <w:pPr>
              <w:jc w:val="center"/>
              <w:rPr>
                <w:rFonts w:cs="Arial"/>
                <w:b/>
                <w:color w:val="000000" w:themeColor="text1"/>
                <w:szCs w:val="16"/>
              </w:rPr>
            </w:pPr>
            <w:r w:rsidRPr="00ED172B">
              <w:rPr>
                <w:rFonts w:cs="Arial"/>
                <w:b/>
                <w:color w:val="000000" w:themeColor="text1"/>
                <w:szCs w:val="16"/>
              </w:rPr>
              <w:t>2021</w:t>
            </w:r>
          </w:p>
        </w:tc>
        <w:tc>
          <w:tcPr>
            <w:tcW w:w="2056" w:type="pct"/>
          </w:tcPr>
          <w:p w14:paraId="6C31BF24" w14:textId="58D9F852" w:rsidR="00550FC1" w:rsidRPr="00ED172B" w:rsidRDefault="00550FC1" w:rsidP="00B073DB">
            <w:pPr>
              <w:jc w:val="center"/>
              <w:rPr>
                <w:rFonts w:cs="Arial"/>
                <w:b/>
                <w:color w:val="000000" w:themeColor="text1"/>
                <w:szCs w:val="16"/>
              </w:rPr>
            </w:pPr>
            <w:r>
              <w:rPr>
                <w:rFonts w:cs="Arial"/>
                <w:b/>
                <w:color w:val="000000" w:themeColor="text1"/>
                <w:szCs w:val="16"/>
              </w:rPr>
              <w:t>2022</w:t>
            </w:r>
          </w:p>
        </w:tc>
      </w:tr>
      <w:tr w:rsidR="00550FC1" w:rsidRPr="00794BA1" w14:paraId="0C44F5DB" w14:textId="77777777" w:rsidTr="0055373D">
        <w:trPr>
          <w:trHeight w:val="357"/>
        </w:trPr>
        <w:tc>
          <w:tcPr>
            <w:tcW w:w="888" w:type="pct"/>
            <w:shd w:val="clear" w:color="auto" w:fill="auto"/>
          </w:tcPr>
          <w:p w14:paraId="58E7AE90" w14:textId="63CAE467" w:rsidR="00550FC1" w:rsidRPr="00ED172B" w:rsidRDefault="00550FC1" w:rsidP="00D21F29">
            <w:pPr>
              <w:jc w:val="center"/>
              <w:rPr>
                <w:rFonts w:cs="Arial"/>
                <w:color w:val="000000" w:themeColor="text1"/>
                <w:szCs w:val="16"/>
              </w:rPr>
            </w:pPr>
            <w:r>
              <w:rPr>
                <w:rFonts w:cs="Arial"/>
                <w:szCs w:val="16"/>
              </w:rPr>
              <w:t>Survey Response Rate</w:t>
            </w:r>
          </w:p>
        </w:tc>
        <w:tc>
          <w:tcPr>
            <w:tcW w:w="2056" w:type="pct"/>
            <w:shd w:val="clear" w:color="auto" w:fill="auto"/>
            <w:vAlign w:val="center"/>
          </w:tcPr>
          <w:p w14:paraId="4B20A07B" w14:textId="0AA48EA3" w:rsidR="00550FC1" w:rsidRPr="00ED172B" w:rsidRDefault="00550FC1" w:rsidP="00B073DB">
            <w:pPr>
              <w:jc w:val="center"/>
              <w:rPr>
                <w:color w:val="000000" w:themeColor="text1"/>
              </w:rPr>
            </w:pPr>
            <w:r w:rsidRPr="00ED172B">
              <w:rPr>
                <w:color w:val="000000" w:themeColor="text1"/>
              </w:rPr>
              <w:t>8.84%</w:t>
            </w:r>
          </w:p>
        </w:tc>
        <w:tc>
          <w:tcPr>
            <w:tcW w:w="2056" w:type="pct"/>
            <w:vAlign w:val="center"/>
          </w:tcPr>
          <w:p w14:paraId="3DB9642D" w14:textId="6600A861" w:rsidR="00550FC1" w:rsidRPr="00794BA1" w:rsidRDefault="00550FC1" w:rsidP="00B073DB">
            <w:pPr>
              <w:jc w:val="center"/>
              <w:rPr>
                <w:color w:val="000000" w:themeColor="text1"/>
              </w:rPr>
            </w:pPr>
            <w:r w:rsidRPr="00794BA1">
              <w:rPr>
                <w:color w:val="000000" w:themeColor="text1"/>
              </w:rPr>
              <w:t>19.42%</w:t>
            </w:r>
          </w:p>
        </w:tc>
      </w:tr>
    </w:tbl>
    <w:p w14:paraId="751565F3" w14:textId="77777777" w:rsidR="00BD192E" w:rsidRDefault="00BD192E" w:rsidP="00437F97">
      <w:pPr>
        <w:rPr>
          <w:rFonts w:cs="Arial"/>
          <w:b/>
          <w:color w:val="000000" w:themeColor="text1"/>
          <w:szCs w:val="16"/>
        </w:rPr>
      </w:pPr>
    </w:p>
    <w:p w14:paraId="620CE314" w14:textId="145F157A" w:rsidR="00437F97" w:rsidRPr="005E75A0" w:rsidRDefault="00437F97" w:rsidP="00437F97">
      <w:pPr>
        <w:rPr>
          <w:rFonts w:cs="Arial"/>
          <w:b/>
          <w:color w:val="000000" w:themeColor="text1"/>
          <w:szCs w:val="16"/>
        </w:rPr>
      </w:pPr>
      <w:r w:rsidRPr="005E75A0">
        <w:rPr>
          <w:rFonts w:cs="Arial"/>
          <w:b/>
          <w:color w:val="000000" w:themeColor="text1"/>
          <w:szCs w:val="16"/>
        </w:rPr>
        <w:t>Describe the metric used to determine representativeness (e.g., +/- 3% discrepancy, age of the infant or toddler, and geographic location in the proportion of responders compared to target group).</w:t>
      </w:r>
    </w:p>
    <w:p w14:paraId="406DCC06" w14:textId="77777777" w:rsidR="00437F97" w:rsidRPr="00F85A5B" w:rsidRDefault="00437F97" w:rsidP="00437F97">
      <w:pPr>
        <w:rPr>
          <w:rFonts w:cs="Arial"/>
          <w:color w:val="000000" w:themeColor="text1"/>
          <w:szCs w:val="16"/>
        </w:rPr>
      </w:pPr>
      <w:r w:rsidRPr="00ED172B">
        <w:rPr>
          <w:rFonts w:cs="Arial"/>
          <w:color w:val="000000" w:themeColor="text1"/>
          <w:szCs w:val="16"/>
        </w:rPr>
        <w:t>+/-3% discrepancy in the proportion of responders compared to target group was used.</w:t>
      </w:r>
    </w:p>
    <w:p w14:paraId="487053D7" w14:textId="77777777" w:rsidR="0084778F" w:rsidRDefault="0084778F" w:rsidP="00013004">
      <w:pPr>
        <w:rPr>
          <w:rFonts w:cs="Arial"/>
          <w:b/>
          <w:color w:val="000000" w:themeColor="text1"/>
          <w:szCs w:val="16"/>
        </w:rPr>
      </w:pPr>
    </w:p>
    <w:p w14:paraId="5A646F67" w14:textId="77777777" w:rsidR="00437F97" w:rsidRPr="005E75A0" w:rsidRDefault="00437F97" w:rsidP="00437F97">
      <w:pPr>
        <w:rPr>
          <w:b/>
          <w:color w:val="000000" w:themeColor="text1"/>
        </w:rPr>
      </w:pPr>
      <w:r w:rsidRPr="005E75A0">
        <w:rPr>
          <w:rFonts w:cs="Arial"/>
          <w:b/>
          <w:color w:val="000000" w:themeColor="text1"/>
          <w:szCs w:val="16"/>
        </w:rPr>
        <w:t>Include the State’s analysis of the extent to which the demographics of the infants or toddlers for whom families responded are representative of the demographics of infants and toddlers enrolled in the Part C program. States should consider categories such as race/ethnicity, age of infant or toddler, and geographic location in the State. States must include race/ethnicity in their analysis. In addition, the State’s analysis must include at least one of the following demographics: socioeconomic status, parents or guardians whose primary language is other than English and who have limited English proficiency, maternal education, geographic location, and/or another category approved through the stakeholder input process</w:t>
      </w:r>
      <w:r w:rsidRPr="005E75A0">
        <w:rPr>
          <w:b/>
          <w:color w:val="000000" w:themeColor="text1"/>
        </w:rPr>
        <w:t>.</w:t>
      </w:r>
    </w:p>
    <w:p w14:paraId="1C32899A" w14:textId="545EF832" w:rsidR="00437F97" w:rsidRPr="00437F97" w:rsidRDefault="00437F97" w:rsidP="00437F97">
      <w:pPr>
        <w:rPr>
          <w:b/>
          <w:color w:val="000000" w:themeColor="text1"/>
        </w:rPr>
      </w:pPr>
      <w:r w:rsidRPr="00437F97">
        <w:rPr>
          <w:rFonts w:cs="Arial"/>
          <w:bCs/>
          <w:color w:val="000000" w:themeColor="text1"/>
          <w:szCs w:val="16"/>
        </w:rPr>
        <w:t xml:space="preserve">Nonresponse bias happens when those who don’t respond to the survey are different than those who do. For example, maybe people who don’t respond are more positive about their schools than those who do respond; or conversely, maybe people who don’t respond are more negative about their schools than those who do respond. Non-response bias analysis attempts to determine if this occurred. </w:t>
      </w:r>
      <w:r w:rsidRPr="00437F97">
        <w:rPr>
          <w:rFonts w:cs="Arial"/>
          <w:bCs/>
          <w:color w:val="000000" w:themeColor="text1"/>
          <w:szCs w:val="16"/>
        </w:rPr>
        <w:br/>
      </w:r>
      <w:r w:rsidRPr="00437F97">
        <w:rPr>
          <w:rFonts w:cs="Arial"/>
          <w:bCs/>
          <w:color w:val="000000" w:themeColor="text1"/>
          <w:szCs w:val="16"/>
        </w:rPr>
        <w:br/>
        <w:t>For non-response bias, we look at three things:</w:t>
      </w:r>
      <w:r w:rsidRPr="00437F97">
        <w:rPr>
          <w:rFonts w:cs="Arial"/>
          <w:bCs/>
          <w:color w:val="000000" w:themeColor="text1"/>
          <w:szCs w:val="16"/>
        </w:rPr>
        <w:br/>
        <w:t>1.</w:t>
      </w:r>
      <w:r w:rsidRPr="00437F97">
        <w:rPr>
          <w:rFonts w:cs="Arial"/>
          <w:bCs/>
          <w:color w:val="000000" w:themeColor="text1"/>
          <w:szCs w:val="16"/>
        </w:rPr>
        <w:tab/>
        <w:t xml:space="preserve">Response rate – in general the higher the response rate, the less likely for non-response bias. </w:t>
      </w:r>
      <w:r w:rsidRPr="00437F97">
        <w:rPr>
          <w:rFonts w:cs="Arial"/>
          <w:bCs/>
          <w:color w:val="000000" w:themeColor="text1"/>
          <w:szCs w:val="16"/>
        </w:rPr>
        <w:br/>
        <w:t>2.</w:t>
      </w:r>
      <w:r w:rsidRPr="00437F97">
        <w:rPr>
          <w:rFonts w:cs="Arial"/>
          <w:bCs/>
          <w:color w:val="000000" w:themeColor="text1"/>
          <w:szCs w:val="16"/>
        </w:rPr>
        <w:tab/>
        <w:t xml:space="preserve">Representativeness – in general, the more representative the respondents are of the population, the less likely for non-response bias. Also, if different groups of respondents by the representativeness categories do not have different responses in terms of positivity, then this it is less likely you have non-response bias. </w:t>
      </w:r>
      <w:r w:rsidRPr="00437F97">
        <w:rPr>
          <w:rFonts w:cs="Arial"/>
          <w:bCs/>
          <w:color w:val="000000" w:themeColor="text1"/>
          <w:szCs w:val="16"/>
        </w:rPr>
        <w:br/>
        <w:t>3. Date of response – in general, if a comparison of responses of early respondents to late respondents how no difference in responses, then you are less likely to have non-response bias. (This is considered one of the best methods for determining non-response bias.)</w:t>
      </w:r>
      <w:r w:rsidRPr="00437F97">
        <w:rPr>
          <w:rFonts w:cs="Arial"/>
          <w:bCs/>
          <w:color w:val="000000" w:themeColor="text1"/>
          <w:szCs w:val="16"/>
        </w:rPr>
        <w:br/>
        <w:t>These are the things we explained in the write-up below (see italicized text). If OSEP wants to see the exact numbers for how we determined representativeness by race/ethnicity and by disability:</w:t>
      </w:r>
      <w:r w:rsidRPr="00437F97">
        <w:rPr>
          <w:rFonts w:cs="Arial"/>
          <w:bCs/>
          <w:color w:val="000000" w:themeColor="text1"/>
          <w:szCs w:val="16"/>
        </w:rPr>
        <w:br/>
        <w:t>• African-American or Black:</w:t>
      </w:r>
      <w:r w:rsidRPr="00437F97">
        <w:rPr>
          <w:rFonts w:cs="Arial"/>
          <w:bCs/>
          <w:color w:val="000000" w:themeColor="text1"/>
          <w:szCs w:val="16"/>
        </w:rPr>
        <w:br/>
        <w:t>o % of Population: 4.15%</w:t>
      </w:r>
      <w:r w:rsidRPr="00437F97">
        <w:rPr>
          <w:rFonts w:cs="Arial"/>
          <w:bCs/>
          <w:color w:val="000000" w:themeColor="text1"/>
          <w:szCs w:val="16"/>
        </w:rPr>
        <w:br/>
        <w:t>o % of Respondents: 2.85%</w:t>
      </w:r>
      <w:r w:rsidRPr="00437F97">
        <w:rPr>
          <w:rFonts w:cs="Arial"/>
          <w:bCs/>
          <w:color w:val="000000" w:themeColor="text1"/>
          <w:szCs w:val="16"/>
        </w:rPr>
        <w:br/>
      </w:r>
      <w:proofErr w:type="spellStart"/>
      <w:r w:rsidRPr="00437F97">
        <w:rPr>
          <w:rFonts w:cs="Arial"/>
          <w:bCs/>
          <w:color w:val="000000" w:themeColor="text1"/>
          <w:szCs w:val="16"/>
        </w:rPr>
        <w:t>o</w:t>
      </w:r>
      <w:proofErr w:type="spellEnd"/>
      <w:r w:rsidRPr="00437F97">
        <w:rPr>
          <w:rFonts w:cs="Arial"/>
          <w:bCs/>
          <w:color w:val="000000" w:themeColor="text1"/>
          <w:szCs w:val="16"/>
        </w:rPr>
        <w:t xml:space="preserve"> Difference:  1.30%</w:t>
      </w:r>
      <w:r w:rsidRPr="00437F97">
        <w:rPr>
          <w:rFonts w:cs="Arial"/>
          <w:bCs/>
          <w:color w:val="000000" w:themeColor="text1"/>
          <w:szCs w:val="16"/>
        </w:rPr>
        <w:br/>
      </w:r>
      <w:r w:rsidRPr="00437F97">
        <w:rPr>
          <w:rFonts w:cs="Arial"/>
          <w:bCs/>
          <w:color w:val="000000" w:themeColor="text1"/>
          <w:szCs w:val="16"/>
        </w:rPr>
        <w:br/>
        <w:t>• American Indian/Alaskan Native:</w:t>
      </w:r>
      <w:r w:rsidRPr="00437F97">
        <w:rPr>
          <w:rFonts w:cs="Arial"/>
          <w:bCs/>
          <w:color w:val="000000" w:themeColor="text1"/>
          <w:szCs w:val="16"/>
        </w:rPr>
        <w:br/>
        <w:t>o % of Population: 0.96%</w:t>
      </w:r>
      <w:r w:rsidRPr="00437F97">
        <w:rPr>
          <w:rFonts w:cs="Arial"/>
          <w:bCs/>
          <w:color w:val="000000" w:themeColor="text1"/>
          <w:szCs w:val="16"/>
        </w:rPr>
        <w:br/>
        <w:t>o % of Respondents: 0.54%</w:t>
      </w:r>
      <w:r w:rsidRPr="00437F97">
        <w:rPr>
          <w:rFonts w:cs="Arial"/>
          <w:bCs/>
          <w:color w:val="000000" w:themeColor="text1"/>
          <w:szCs w:val="16"/>
        </w:rPr>
        <w:br/>
      </w:r>
      <w:proofErr w:type="spellStart"/>
      <w:r w:rsidRPr="00437F97">
        <w:rPr>
          <w:rFonts w:cs="Arial"/>
          <w:bCs/>
          <w:color w:val="000000" w:themeColor="text1"/>
          <w:szCs w:val="16"/>
        </w:rPr>
        <w:t>o</w:t>
      </w:r>
      <w:proofErr w:type="spellEnd"/>
      <w:r w:rsidRPr="00437F97">
        <w:rPr>
          <w:rFonts w:cs="Arial"/>
          <w:bCs/>
          <w:color w:val="000000" w:themeColor="text1"/>
          <w:szCs w:val="16"/>
        </w:rPr>
        <w:t xml:space="preserve"> Difference:  0.42%</w:t>
      </w:r>
      <w:r w:rsidRPr="00437F97">
        <w:rPr>
          <w:rFonts w:cs="Arial"/>
          <w:bCs/>
          <w:color w:val="000000" w:themeColor="text1"/>
          <w:szCs w:val="16"/>
        </w:rPr>
        <w:br/>
      </w:r>
      <w:r w:rsidRPr="00437F97">
        <w:rPr>
          <w:rFonts w:cs="Arial"/>
          <w:bCs/>
          <w:color w:val="000000" w:themeColor="text1"/>
          <w:szCs w:val="16"/>
        </w:rPr>
        <w:br/>
        <w:t>• Asian:</w:t>
      </w:r>
      <w:r w:rsidRPr="00437F97">
        <w:rPr>
          <w:rFonts w:cs="Arial"/>
          <w:bCs/>
          <w:color w:val="000000" w:themeColor="text1"/>
          <w:szCs w:val="16"/>
        </w:rPr>
        <w:br/>
        <w:t>o % of Population: 2.73%</w:t>
      </w:r>
      <w:r w:rsidRPr="00437F97">
        <w:rPr>
          <w:rFonts w:cs="Arial"/>
          <w:bCs/>
          <w:color w:val="000000" w:themeColor="text1"/>
          <w:szCs w:val="16"/>
        </w:rPr>
        <w:br/>
        <w:t>o % of Respondents: 3.02%</w:t>
      </w:r>
      <w:r w:rsidRPr="00437F97">
        <w:rPr>
          <w:rFonts w:cs="Arial"/>
          <w:bCs/>
          <w:color w:val="000000" w:themeColor="text1"/>
          <w:szCs w:val="16"/>
        </w:rPr>
        <w:br/>
      </w:r>
      <w:proofErr w:type="spellStart"/>
      <w:r w:rsidRPr="00437F97">
        <w:rPr>
          <w:rFonts w:cs="Arial"/>
          <w:bCs/>
          <w:color w:val="000000" w:themeColor="text1"/>
          <w:szCs w:val="16"/>
        </w:rPr>
        <w:t>o</w:t>
      </w:r>
      <w:proofErr w:type="spellEnd"/>
      <w:r w:rsidRPr="00437F97">
        <w:rPr>
          <w:rFonts w:cs="Arial"/>
          <w:bCs/>
          <w:color w:val="000000" w:themeColor="text1"/>
          <w:szCs w:val="16"/>
        </w:rPr>
        <w:t xml:space="preserve"> Difference:  -0.29%</w:t>
      </w:r>
      <w:r w:rsidRPr="00437F97">
        <w:rPr>
          <w:rFonts w:cs="Arial"/>
          <w:bCs/>
          <w:color w:val="000000" w:themeColor="text1"/>
          <w:szCs w:val="16"/>
        </w:rPr>
        <w:br/>
      </w:r>
      <w:r w:rsidRPr="00437F97">
        <w:rPr>
          <w:rFonts w:cs="Arial"/>
          <w:bCs/>
          <w:color w:val="000000" w:themeColor="text1"/>
          <w:szCs w:val="16"/>
        </w:rPr>
        <w:br/>
        <w:t>• Hispanic/Latino:</w:t>
      </w:r>
      <w:r w:rsidRPr="00437F97">
        <w:rPr>
          <w:rFonts w:cs="Arial"/>
          <w:bCs/>
          <w:color w:val="000000" w:themeColor="text1"/>
          <w:szCs w:val="16"/>
        </w:rPr>
        <w:br/>
        <w:t>o % of Population: 23.52%</w:t>
      </w:r>
      <w:r w:rsidRPr="00437F97">
        <w:rPr>
          <w:rFonts w:cs="Arial"/>
          <w:bCs/>
          <w:color w:val="000000" w:themeColor="text1"/>
          <w:szCs w:val="16"/>
        </w:rPr>
        <w:br/>
        <w:t>o % of Respondents: 24.83%</w:t>
      </w:r>
      <w:r w:rsidRPr="00437F97">
        <w:rPr>
          <w:rFonts w:cs="Arial"/>
          <w:bCs/>
          <w:color w:val="000000" w:themeColor="text1"/>
          <w:szCs w:val="16"/>
        </w:rPr>
        <w:br/>
      </w:r>
      <w:proofErr w:type="spellStart"/>
      <w:r w:rsidRPr="00437F97">
        <w:rPr>
          <w:rFonts w:cs="Arial"/>
          <w:bCs/>
          <w:color w:val="000000" w:themeColor="text1"/>
          <w:szCs w:val="16"/>
        </w:rPr>
        <w:t>o</w:t>
      </w:r>
      <w:proofErr w:type="spellEnd"/>
      <w:r w:rsidRPr="00437F97">
        <w:rPr>
          <w:rFonts w:cs="Arial"/>
          <w:bCs/>
          <w:color w:val="000000" w:themeColor="text1"/>
          <w:szCs w:val="16"/>
        </w:rPr>
        <w:t xml:space="preserve"> Difference:  -1.31%</w:t>
      </w:r>
      <w:r w:rsidRPr="00437F97">
        <w:rPr>
          <w:rFonts w:cs="Arial"/>
          <w:bCs/>
          <w:color w:val="000000" w:themeColor="text1"/>
          <w:szCs w:val="16"/>
        </w:rPr>
        <w:br/>
      </w:r>
      <w:r w:rsidRPr="00437F97">
        <w:rPr>
          <w:rFonts w:cs="Arial"/>
          <w:bCs/>
          <w:color w:val="000000" w:themeColor="text1"/>
          <w:szCs w:val="16"/>
        </w:rPr>
        <w:br/>
        <w:t>• Hawaiian/Pacific Islander:</w:t>
      </w:r>
      <w:r w:rsidRPr="00437F97">
        <w:rPr>
          <w:rFonts w:cs="Arial"/>
          <w:bCs/>
          <w:color w:val="000000" w:themeColor="text1"/>
          <w:szCs w:val="16"/>
        </w:rPr>
        <w:br/>
        <w:t>o % of Population: 0.59%</w:t>
      </w:r>
      <w:r w:rsidRPr="00437F97">
        <w:rPr>
          <w:rFonts w:cs="Arial"/>
          <w:bCs/>
          <w:color w:val="000000" w:themeColor="text1"/>
          <w:szCs w:val="16"/>
        </w:rPr>
        <w:br/>
        <w:t>o % of Respondents: 0.88%</w:t>
      </w:r>
      <w:r w:rsidRPr="00437F97">
        <w:rPr>
          <w:rFonts w:cs="Arial"/>
          <w:bCs/>
          <w:color w:val="000000" w:themeColor="text1"/>
          <w:szCs w:val="16"/>
        </w:rPr>
        <w:br/>
      </w:r>
      <w:proofErr w:type="spellStart"/>
      <w:r w:rsidRPr="00437F97">
        <w:rPr>
          <w:rFonts w:cs="Arial"/>
          <w:bCs/>
          <w:color w:val="000000" w:themeColor="text1"/>
          <w:szCs w:val="16"/>
        </w:rPr>
        <w:t>o</w:t>
      </w:r>
      <w:proofErr w:type="spellEnd"/>
      <w:r w:rsidRPr="00437F97">
        <w:rPr>
          <w:rFonts w:cs="Arial"/>
          <w:bCs/>
          <w:color w:val="000000" w:themeColor="text1"/>
          <w:szCs w:val="16"/>
        </w:rPr>
        <w:t xml:space="preserve"> Difference:  -0.29%</w:t>
      </w:r>
      <w:r w:rsidRPr="00437F97">
        <w:rPr>
          <w:rFonts w:cs="Arial"/>
          <w:bCs/>
          <w:color w:val="000000" w:themeColor="text1"/>
          <w:szCs w:val="16"/>
        </w:rPr>
        <w:br/>
      </w:r>
      <w:r w:rsidRPr="00437F97">
        <w:rPr>
          <w:rFonts w:cs="Arial"/>
          <w:bCs/>
          <w:color w:val="000000" w:themeColor="text1"/>
          <w:szCs w:val="16"/>
        </w:rPr>
        <w:br/>
        <w:t>• Multiracial:</w:t>
      </w:r>
      <w:r w:rsidRPr="00437F97">
        <w:rPr>
          <w:rFonts w:cs="Arial"/>
          <w:bCs/>
          <w:color w:val="000000" w:themeColor="text1"/>
          <w:szCs w:val="16"/>
        </w:rPr>
        <w:br/>
        <w:t>o % of Population: 7.02%</w:t>
      </w:r>
      <w:r w:rsidRPr="00437F97">
        <w:rPr>
          <w:rFonts w:cs="Arial"/>
          <w:bCs/>
          <w:color w:val="000000" w:themeColor="text1"/>
          <w:szCs w:val="16"/>
        </w:rPr>
        <w:br/>
        <w:t>o % of Respondents: 7.1%</w:t>
      </w:r>
      <w:r w:rsidRPr="00437F97">
        <w:rPr>
          <w:rFonts w:cs="Arial"/>
          <w:bCs/>
          <w:color w:val="000000" w:themeColor="text1"/>
          <w:szCs w:val="16"/>
        </w:rPr>
        <w:br/>
      </w:r>
      <w:proofErr w:type="spellStart"/>
      <w:r w:rsidRPr="00437F97">
        <w:rPr>
          <w:rFonts w:cs="Arial"/>
          <w:bCs/>
          <w:color w:val="000000" w:themeColor="text1"/>
          <w:szCs w:val="16"/>
        </w:rPr>
        <w:t>o</w:t>
      </w:r>
      <w:proofErr w:type="spellEnd"/>
      <w:r w:rsidRPr="00437F97">
        <w:rPr>
          <w:rFonts w:cs="Arial"/>
          <w:bCs/>
          <w:color w:val="000000" w:themeColor="text1"/>
          <w:szCs w:val="16"/>
        </w:rPr>
        <w:t xml:space="preserve"> Difference:  -0.15%</w:t>
      </w:r>
      <w:r w:rsidRPr="00437F97">
        <w:rPr>
          <w:rFonts w:cs="Arial"/>
          <w:bCs/>
          <w:color w:val="000000" w:themeColor="text1"/>
          <w:szCs w:val="16"/>
        </w:rPr>
        <w:br/>
      </w:r>
      <w:r w:rsidRPr="00437F97">
        <w:rPr>
          <w:rFonts w:cs="Arial"/>
          <w:bCs/>
          <w:color w:val="000000" w:themeColor="text1"/>
          <w:szCs w:val="16"/>
        </w:rPr>
        <w:br/>
        <w:t>• White:</w:t>
      </w:r>
      <w:r w:rsidRPr="00437F97">
        <w:rPr>
          <w:rFonts w:cs="Arial"/>
          <w:bCs/>
          <w:color w:val="000000" w:themeColor="text1"/>
          <w:szCs w:val="16"/>
        </w:rPr>
        <w:br/>
        <w:t>o % of Population: 61.03%</w:t>
      </w:r>
      <w:r w:rsidRPr="00437F97">
        <w:rPr>
          <w:rFonts w:cs="Arial"/>
          <w:bCs/>
          <w:color w:val="000000" w:themeColor="text1"/>
          <w:szCs w:val="16"/>
        </w:rPr>
        <w:br/>
        <w:t>o % of Respondents: 60.71%</w:t>
      </w:r>
      <w:r w:rsidRPr="00437F97">
        <w:rPr>
          <w:rFonts w:cs="Arial"/>
          <w:bCs/>
          <w:color w:val="000000" w:themeColor="text1"/>
          <w:szCs w:val="16"/>
        </w:rPr>
        <w:br/>
      </w:r>
      <w:proofErr w:type="spellStart"/>
      <w:r w:rsidRPr="00437F97">
        <w:rPr>
          <w:rFonts w:cs="Arial"/>
          <w:bCs/>
          <w:color w:val="000000" w:themeColor="text1"/>
          <w:szCs w:val="16"/>
        </w:rPr>
        <w:t>o</w:t>
      </w:r>
      <w:proofErr w:type="spellEnd"/>
      <w:r w:rsidRPr="00437F97">
        <w:rPr>
          <w:rFonts w:cs="Arial"/>
          <w:bCs/>
          <w:color w:val="000000" w:themeColor="text1"/>
          <w:szCs w:val="16"/>
        </w:rPr>
        <w:t xml:space="preserve"> Difference:  0.32%</w:t>
      </w:r>
      <w:r w:rsidRPr="00437F97">
        <w:rPr>
          <w:rFonts w:cs="Arial"/>
          <w:bCs/>
          <w:color w:val="000000" w:themeColor="text1"/>
          <w:szCs w:val="16"/>
        </w:rPr>
        <w:br/>
      </w:r>
      <w:r w:rsidRPr="00437F97">
        <w:rPr>
          <w:rFonts w:cs="Arial"/>
          <w:bCs/>
          <w:color w:val="000000" w:themeColor="text1"/>
          <w:szCs w:val="16"/>
        </w:rPr>
        <w:br/>
        <w:t>Total % of Population/Respondents: 100.00%</w:t>
      </w:r>
      <w:r w:rsidRPr="00437F97">
        <w:rPr>
          <w:rFonts w:cs="Arial"/>
          <w:bCs/>
          <w:color w:val="000000" w:themeColor="text1"/>
          <w:szCs w:val="16"/>
        </w:rPr>
        <w:br/>
      </w:r>
      <w:r w:rsidRPr="00437F97">
        <w:rPr>
          <w:rFonts w:cs="Arial"/>
          <w:bCs/>
          <w:color w:val="000000" w:themeColor="text1"/>
          <w:szCs w:val="16"/>
        </w:rPr>
        <w:lastRenderedPageBreak/>
        <w:br/>
        <w:t>• 10 Intellectual Disability:</w:t>
      </w:r>
      <w:r w:rsidRPr="00437F97">
        <w:rPr>
          <w:rFonts w:cs="Arial"/>
          <w:bCs/>
          <w:color w:val="000000" w:themeColor="text1"/>
          <w:szCs w:val="16"/>
        </w:rPr>
        <w:br/>
        <w:t>o % of Population: 0.00%</w:t>
      </w:r>
      <w:r w:rsidRPr="00437F97">
        <w:rPr>
          <w:rFonts w:cs="Arial"/>
          <w:bCs/>
          <w:color w:val="000000" w:themeColor="text1"/>
          <w:szCs w:val="16"/>
        </w:rPr>
        <w:br/>
        <w:t>o % of Respondents: 0.00%</w:t>
      </w:r>
      <w:r w:rsidRPr="00437F97">
        <w:rPr>
          <w:rFonts w:cs="Arial"/>
          <w:bCs/>
          <w:color w:val="000000" w:themeColor="text1"/>
          <w:szCs w:val="16"/>
        </w:rPr>
        <w:br/>
      </w:r>
      <w:proofErr w:type="spellStart"/>
      <w:r w:rsidRPr="00437F97">
        <w:rPr>
          <w:rFonts w:cs="Arial"/>
          <w:bCs/>
          <w:color w:val="000000" w:themeColor="text1"/>
          <w:szCs w:val="16"/>
        </w:rPr>
        <w:t>o</w:t>
      </w:r>
      <w:proofErr w:type="spellEnd"/>
      <w:r w:rsidRPr="00437F97">
        <w:rPr>
          <w:rFonts w:cs="Arial"/>
          <w:bCs/>
          <w:color w:val="000000" w:themeColor="text1"/>
          <w:szCs w:val="16"/>
        </w:rPr>
        <w:t xml:space="preserve"> Difference:  0.00%</w:t>
      </w:r>
      <w:r w:rsidRPr="00437F97">
        <w:rPr>
          <w:rFonts w:cs="Arial"/>
          <w:bCs/>
          <w:color w:val="000000" w:themeColor="text1"/>
          <w:szCs w:val="16"/>
        </w:rPr>
        <w:br/>
      </w:r>
      <w:r w:rsidRPr="00437F97">
        <w:rPr>
          <w:rFonts w:cs="Arial"/>
          <w:bCs/>
          <w:color w:val="000000" w:themeColor="text1"/>
          <w:szCs w:val="16"/>
        </w:rPr>
        <w:br/>
        <w:t>• 20 Deaf or Hard of Hearing</w:t>
      </w:r>
      <w:r w:rsidRPr="00437F97">
        <w:rPr>
          <w:rFonts w:cs="Arial"/>
          <w:bCs/>
          <w:color w:val="000000" w:themeColor="text1"/>
          <w:szCs w:val="16"/>
        </w:rPr>
        <w:br/>
        <w:t>o % of Population: 4.42%</w:t>
      </w:r>
      <w:r w:rsidRPr="00437F97">
        <w:rPr>
          <w:rFonts w:cs="Arial"/>
          <w:bCs/>
          <w:color w:val="000000" w:themeColor="text1"/>
          <w:szCs w:val="16"/>
        </w:rPr>
        <w:br/>
        <w:t>o % of Respondents: 5.56%</w:t>
      </w:r>
      <w:r w:rsidRPr="00437F97">
        <w:rPr>
          <w:rFonts w:cs="Arial"/>
          <w:bCs/>
          <w:color w:val="000000" w:themeColor="text1"/>
          <w:szCs w:val="16"/>
        </w:rPr>
        <w:br/>
      </w:r>
      <w:proofErr w:type="spellStart"/>
      <w:r w:rsidRPr="00437F97">
        <w:rPr>
          <w:rFonts w:cs="Arial"/>
          <w:bCs/>
          <w:color w:val="000000" w:themeColor="text1"/>
          <w:szCs w:val="16"/>
        </w:rPr>
        <w:t>o</w:t>
      </w:r>
      <w:proofErr w:type="spellEnd"/>
      <w:r w:rsidRPr="00437F97">
        <w:rPr>
          <w:rFonts w:cs="Arial"/>
          <w:bCs/>
          <w:color w:val="000000" w:themeColor="text1"/>
          <w:szCs w:val="16"/>
        </w:rPr>
        <w:t xml:space="preserve"> Difference:  1.14%</w:t>
      </w:r>
      <w:r w:rsidRPr="00437F97">
        <w:rPr>
          <w:rFonts w:cs="Arial"/>
          <w:bCs/>
          <w:color w:val="000000" w:themeColor="text1"/>
          <w:szCs w:val="16"/>
        </w:rPr>
        <w:br/>
      </w:r>
      <w:r w:rsidRPr="00437F97">
        <w:rPr>
          <w:rFonts w:cs="Arial"/>
          <w:bCs/>
          <w:color w:val="000000" w:themeColor="text1"/>
          <w:szCs w:val="16"/>
        </w:rPr>
        <w:br/>
        <w:t>• 40 Vision Impairment including Blindness:</w:t>
      </w:r>
      <w:r w:rsidRPr="00437F97">
        <w:rPr>
          <w:rFonts w:cs="Arial"/>
          <w:bCs/>
          <w:color w:val="000000" w:themeColor="text1"/>
          <w:szCs w:val="16"/>
        </w:rPr>
        <w:br/>
        <w:t>o % of Population: 1.19%</w:t>
      </w:r>
      <w:r w:rsidRPr="00437F97">
        <w:rPr>
          <w:rFonts w:cs="Arial"/>
          <w:bCs/>
          <w:color w:val="000000" w:themeColor="text1"/>
          <w:szCs w:val="16"/>
        </w:rPr>
        <w:br/>
        <w:t>o % of Respondents: 1.45%</w:t>
      </w:r>
      <w:r w:rsidRPr="00437F97">
        <w:rPr>
          <w:rFonts w:cs="Arial"/>
          <w:bCs/>
          <w:color w:val="000000" w:themeColor="text1"/>
          <w:szCs w:val="16"/>
        </w:rPr>
        <w:br/>
      </w:r>
      <w:proofErr w:type="spellStart"/>
      <w:r w:rsidRPr="00437F97">
        <w:rPr>
          <w:rFonts w:cs="Arial"/>
          <w:bCs/>
          <w:color w:val="000000" w:themeColor="text1"/>
          <w:szCs w:val="16"/>
        </w:rPr>
        <w:t>o</w:t>
      </w:r>
      <w:proofErr w:type="spellEnd"/>
      <w:r w:rsidRPr="00437F97">
        <w:rPr>
          <w:rFonts w:cs="Arial"/>
          <w:bCs/>
          <w:color w:val="000000" w:themeColor="text1"/>
          <w:szCs w:val="16"/>
        </w:rPr>
        <w:t xml:space="preserve"> Difference:  0.26%</w:t>
      </w:r>
      <w:r w:rsidRPr="00437F97">
        <w:rPr>
          <w:rFonts w:cs="Arial"/>
          <w:bCs/>
          <w:color w:val="000000" w:themeColor="text1"/>
          <w:szCs w:val="16"/>
        </w:rPr>
        <w:br/>
      </w:r>
      <w:r w:rsidRPr="00437F97">
        <w:rPr>
          <w:rFonts w:cs="Arial"/>
          <w:bCs/>
          <w:color w:val="000000" w:themeColor="text1"/>
          <w:szCs w:val="16"/>
        </w:rPr>
        <w:br/>
        <w:t>• 43 Deaf-Blindness:</w:t>
      </w:r>
      <w:r w:rsidRPr="00437F97">
        <w:rPr>
          <w:rFonts w:cs="Arial"/>
          <w:bCs/>
          <w:color w:val="000000" w:themeColor="text1"/>
          <w:szCs w:val="16"/>
        </w:rPr>
        <w:br/>
        <w:t>o % of Population: 0.14%</w:t>
      </w:r>
      <w:r w:rsidRPr="00437F97">
        <w:rPr>
          <w:rFonts w:cs="Arial"/>
          <w:bCs/>
          <w:color w:val="000000" w:themeColor="text1"/>
          <w:szCs w:val="16"/>
        </w:rPr>
        <w:br/>
        <w:t>o % of Respondents: 0.00%</w:t>
      </w:r>
      <w:r w:rsidRPr="00437F97">
        <w:rPr>
          <w:rFonts w:cs="Arial"/>
          <w:bCs/>
          <w:color w:val="000000" w:themeColor="text1"/>
          <w:szCs w:val="16"/>
        </w:rPr>
        <w:br/>
      </w:r>
      <w:proofErr w:type="spellStart"/>
      <w:r w:rsidRPr="00437F97">
        <w:rPr>
          <w:rFonts w:cs="Arial"/>
          <w:bCs/>
          <w:color w:val="000000" w:themeColor="text1"/>
          <w:szCs w:val="16"/>
        </w:rPr>
        <w:t>o</w:t>
      </w:r>
      <w:proofErr w:type="spellEnd"/>
      <w:r w:rsidRPr="00437F97">
        <w:rPr>
          <w:rFonts w:cs="Arial"/>
          <w:bCs/>
          <w:color w:val="000000" w:themeColor="text1"/>
          <w:szCs w:val="16"/>
        </w:rPr>
        <w:t xml:space="preserve"> Difference:  -0.14%</w:t>
      </w:r>
      <w:r w:rsidRPr="00437F97">
        <w:rPr>
          <w:rFonts w:cs="Arial"/>
          <w:bCs/>
          <w:color w:val="000000" w:themeColor="text1"/>
          <w:szCs w:val="16"/>
        </w:rPr>
        <w:br/>
      </w:r>
      <w:r w:rsidRPr="00437F97">
        <w:rPr>
          <w:rFonts w:cs="Arial"/>
          <w:bCs/>
          <w:color w:val="000000" w:themeColor="text1"/>
          <w:szCs w:val="16"/>
        </w:rPr>
        <w:br/>
        <w:t>• 50 Speech/Language Impairment:</w:t>
      </w:r>
      <w:r w:rsidRPr="00437F97">
        <w:rPr>
          <w:rFonts w:cs="Arial"/>
          <w:bCs/>
          <w:color w:val="000000" w:themeColor="text1"/>
          <w:szCs w:val="16"/>
        </w:rPr>
        <w:br/>
        <w:t>o % of Population: 0.00%</w:t>
      </w:r>
      <w:r w:rsidRPr="00437F97">
        <w:rPr>
          <w:rFonts w:cs="Arial"/>
          <w:bCs/>
          <w:color w:val="000000" w:themeColor="text1"/>
          <w:szCs w:val="16"/>
        </w:rPr>
        <w:br/>
        <w:t>o % of Respondents: 0.00%</w:t>
      </w:r>
      <w:r w:rsidRPr="00437F97">
        <w:rPr>
          <w:rFonts w:cs="Arial"/>
          <w:bCs/>
          <w:color w:val="000000" w:themeColor="text1"/>
          <w:szCs w:val="16"/>
        </w:rPr>
        <w:br/>
      </w:r>
      <w:proofErr w:type="spellStart"/>
      <w:r w:rsidRPr="00437F97">
        <w:rPr>
          <w:rFonts w:cs="Arial"/>
          <w:bCs/>
          <w:color w:val="000000" w:themeColor="text1"/>
          <w:szCs w:val="16"/>
        </w:rPr>
        <w:t>o</w:t>
      </w:r>
      <w:proofErr w:type="spellEnd"/>
      <w:r w:rsidRPr="00437F97">
        <w:rPr>
          <w:rFonts w:cs="Arial"/>
          <w:bCs/>
          <w:color w:val="000000" w:themeColor="text1"/>
          <w:szCs w:val="16"/>
        </w:rPr>
        <w:t xml:space="preserve"> Difference:  -0.00%</w:t>
      </w:r>
      <w:r w:rsidRPr="00437F97">
        <w:rPr>
          <w:rFonts w:cs="Arial"/>
          <w:bCs/>
          <w:color w:val="000000" w:themeColor="text1"/>
          <w:szCs w:val="16"/>
        </w:rPr>
        <w:br/>
      </w:r>
      <w:r w:rsidRPr="00437F97">
        <w:rPr>
          <w:rFonts w:cs="Arial"/>
          <w:bCs/>
          <w:color w:val="000000" w:themeColor="text1"/>
          <w:szCs w:val="16"/>
        </w:rPr>
        <w:br/>
        <w:t>• 60 Emotional Behavior Disability:</w:t>
      </w:r>
      <w:r w:rsidRPr="00437F97">
        <w:rPr>
          <w:rFonts w:cs="Arial"/>
          <w:bCs/>
          <w:color w:val="000000" w:themeColor="text1"/>
          <w:szCs w:val="16"/>
        </w:rPr>
        <w:br/>
        <w:t>o % of Population: 0.00%</w:t>
      </w:r>
      <w:r w:rsidRPr="00437F97">
        <w:rPr>
          <w:rFonts w:cs="Arial"/>
          <w:bCs/>
          <w:color w:val="000000" w:themeColor="text1"/>
          <w:szCs w:val="16"/>
        </w:rPr>
        <w:br/>
        <w:t>o % of Respondents: 0.00%</w:t>
      </w:r>
      <w:r w:rsidRPr="00437F97">
        <w:rPr>
          <w:rFonts w:cs="Arial"/>
          <w:bCs/>
          <w:color w:val="000000" w:themeColor="text1"/>
          <w:szCs w:val="16"/>
        </w:rPr>
        <w:br/>
      </w:r>
      <w:proofErr w:type="spellStart"/>
      <w:r w:rsidRPr="00437F97">
        <w:rPr>
          <w:rFonts w:cs="Arial"/>
          <w:bCs/>
          <w:color w:val="000000" w:themeColor="text1"/>
          <w:szCs w:val="16"/>
        </w:rPr>
        <w:t>o</w:t>
      </w:r>
      <w:proofErr w:type="spellEnd"/>
      <w:r w:rsidRPr="00437F97">
        <w:rPr>
          <w:rFonts w:cs="Arial"/>
          <w:bCs/>
          <w:color w:val="000000" w:themeColor="text1"/>
          <w:szCs w:val="16"/>
        </w:rPr>
        <w:t xml:space="preserve"> Difference:  0.00%</w:t>
      </w:r>
      <w:r w:rsidRPr="00437F97">
        <w:rPr>
          <w:rFonts w:cs="Arial"/>
          <w:bCs/>
          <w:color w:val="000000" w:themeColor="text1"/>
          <w:szCs w:val="16"/>
        </w:rPr>
        <w:br/>
      </w:r>
      <w:r w:rsidRPr="00437F97">
        <w:rPr>
          <w:rFonts w:cs="Arial"/>
          <w:bCs/>
          <w:color w:val="000000" w:themeColor="text1"/>
          <w:szCs w:val="16"/>
        </w:rPr>
        <w:br/>
        <w:t>• 70 Orthopedic Impairment:</w:t>
      </w:r>
      <w:r w:rsidRPr="00437F97">
        <w:rPr>
          <w:rFonts w:cs="Arial"/>
          <w:bCs/>
          <w:color w:val="000000" w:themeColor="text1"/>
          <w:szCs w:val="16"/>
        </w:rPr>
        <w:br/>
        <w:t>o % of Population: 0.91%</w:t>
      </w:r>
      <w:r w:rsidRPr="00437F97">
        <w:rPr>
          <w:rFonts w:cs="Arial"/>
          <w:bCs/>
          <w:color w:val="000000" w:themeColor="text1"/>
          <w:szCs w:val="16"/>
        </w:rPr>
        <w:br/>
        <w:t>o % of Respondents: 0.95%</w:t>
      </w:r>
      <w:r w:rsidRPr="00437F97">
        <w:rPr>
          <w:rFonts w:cs="Arial"/>
          <w:bCs/>
          <w:color w:val="000000" w:themeColor="text1"/>
          <w:szCs w:val="16"/>
        </w:rPr>
        <w:br/>
      </w:r>
      <w:proofErr w:type="spellStart"/>
      <w:r w:rsidRPr="00437F97">
        <w:rPr>
          <w:rFonts w:cs="Arial"/>
          <w:bCs/>
          <w:color w:val="000000" w:themeColor="text1"/>
          <w:szCs w:val="16"/>
        </w:rPr>
        <w:t>o</w:t>
      </w:r>
      <w:proofErr w:type="spellEnd"/>
      <w:r w:rsidRPr="00437F97">
        <w:rPr>
          <w:rFonts w:cs="Arial"/>
          <w:bCs/>
          <w:color w:val="000000" w:themeColor="text1"/>
          <w:szCs w:val="16"/>
        </w:rPr>
        <w:t xml:space="preserve"> Difference:  0.04%</w:t>
      </w:r>
      <w:r w:rsidRPr="00437F97">
        <w:rPr>
          <w:rFonts w:cs="Arial"/>
          <w:bCs/>
          <w:color w:val="000000" w:themeColor="text1"/>
          <w:szCs w:val="16"/>
        </w:rPr>
        <w:br/>
      </w:r>
      <w:r w:rsidRPr="00437F97">
        <w:rPr>
          <w:rFonts w:cs="Arial"/>
          <w:bCs/>
          <w:color w:val="000000" w:themeColor="text1"/>
          <w:szCs w:val="16"/>
        </w:rPr>
        <w:br/>
        <w:t>• 74 Traumatic Brain Injury:</w:t>
      </w:r>
      <w:r w:rsidRPr="00437F97">
        <w:rPr>
          <w:rFonts w:cs="Arial"/>
          <w:bCs/>
          <w:color w:val="000000" w:themeColor="text1"/>
          <w:szCs w:val="16"/>
        </w:rPr>
        <w:br/>
        <w:t>o % of Population: 0.09%</w:t>
      </w:r>
      <w:r w:rsidRPr="00437F97">
        <w:rPr>
          <w:rFonts w:cs="Arial"/>
          <w:bCs/>
          <w:color w:val="000000" w:themeColor="text1"/>
          <w:szCs w:val="16"/>
        </w:rPr>
        <w:br/>
        <w:t>o % of Respondents: 0.00%</w:t>
      </w:r>
      <w:r w:rsidRPr="00437F97">
        <w:rPr>
          <w:rFonts w:cs="Arial"/>
          <w:bCs/>
          <w:color w:val="000000" w:themeColor="text1"/>
          <w:szCs w:val="16"/>
        </w:rPr>
        <w:br/>
      </w:r>
      <w:proofErr w:type="spellStart"/>
      <w:r w:rsidRPr="00437F97">
        <w:rPr>
          <w:rFonts w:cs="Arial"/>
          <w:bCs/>
          <w:color w:val="000000" w:themeColor="text1"/>
          <w:szCs w:val="16"/>
        </w:rPr>
        <w:t>o</w:t>
      </w:r>
      <w:proofErr w:type="spellEnd"/>
      <w:r w:rsidRPr="00437F97">
        <w:rPr>
          <w:rFonts w:cs="Arial"/>
          <w:bCs/>
          <w:color w:val="000000" w:themeColor="text1"/>
          <w:szCs w:val="16"/>
        </w:rPr>
        <w:t xml:space="preserve"> Difference:  -0.09%</w:t>
      </w:r>
      <w:r w:rsidRPr="00437F97">
        <w:rPr>
          <w:rFonts w:cs="Arial"/>
          <w:bCs/>
          <w:color w:val="000000" w:themeColor="text1"/>
          <w:szCs w:val="16"/>
        </w:rPr>
        <w:br/>
      </w:r>
      <w:r w:rsidRPr="00437F97">
        <w:rPr>
          <w:rFonts w:cs="Arial"/>
          <w:bCs/>
          <w:color w:val="000000" w:themeColor="text1"/>
          <w:szCs w:val="16"/>
        </w:rPr>
        <w:br/>
        <w:t>• 80 Other Health Impairments:</w:t>
      </w:r>
      <w:r w:rsidRPr="00437F97">
        <w:rPr>
          <w:rFonts w:cs="Arial"/>
          <w:bCs/>
          <w:color w:val="000000" w:themeColor="text1"/>
          <w:szCs w:val="16"/>
        </w:rPr>
        <w:br/>
        <w:t>o % of Population: 0.00%</w:t>
      </w:r>
      <w:r w:rsidRPr="00437F97">
        <w:rPr>
          <w:rFonts w:cs="Arial"/>
          <w:bCs/>
          <w:color w:val="000000" w:themeColor="text1"/>
          <w:szCs w:val="16"/>
        </w:rPr>
        <w:br/>
        <w:t>o % of Respondents: 0.00%</w:t>
      </w:r>
      <w:r w:rsidRPr="00437F97">
        <w:rPr>
          <w:rFonts w:cs="Arial"/>
          <w:bCs/>
          <w:color w:val="000000" w:themeColor="text1"/>
          <w:szCs w:val="16"/>
        </w:rPr>
        <w:br/>
      </w:r>
      <w:proofErr w:type="spellStart"/>
      <w:r w:rsidRPr="00437F97">
        <w:rPr>
          <w:rFonts w:cs="Arial"/>
          <w:bCs/>
          <w:color w:val="000000" w:themeColor="text1"/>
          <w:szCs w:val="16"/>
        </w:rPr>
        <w:t>o</w:t>
      </w:r>
      <w:proofErr w:type="spellEnd"/>
      <w:r w:rsidRPr="00437F97">
        <w:rPr>
          <w:rFonts w:cs="Arial"/>
          <w:bCs/>
          <w:color w:val="000000" w:themeColor="text1"/>
          <w:szCs w:val="16"/>
        </w:rPr>
        <w:t xml:space="preserve"> Difference:  0.00%</w:t>
      </w:r>
      <w:r w:rsidRPr="00437F97">
        <w:rPr>
          <w:rFonts w:cs="Arial"/>
          <w:bCs/>
          <w:color w:val="000000" w:themeColor="text1"/>
          <w:szCs w:val="16"/>
        </w:rPr>
        <w:br/>
      </w:r>
      <w:r w:rsidRPr="00437F97">
        <w:rPr>
          <w:rFonts w:cs="Arial"/>
          <w:bCs/>
          <w:color w:val="000000" w:themeColor="text1"/>
          <w:szCs w:val="16"/>
        </w:rPr>
        <w:br/>
        <w:t>• 82 Autism Spectrum Disorder:</w:t>
      </w:r>
      <w:r w:rsidRPr="00437F97">
        <w:rPr>
          <w:rFonts w:cs="Arial"/>
          <w:bCs/>
          <w:color w:val="000000" w:themeColor="text1"/>
          <w:szCs w:val="16"/>
        </w:rPr>
        <w:br/>
        <w:t>o % of Population: 0.96%</w:t>
      </w:r>
      <w:r w:rsidRPr="00437F97">
        <w:rPr>
          <w:rFonts w:cs="Arial"/>
          <w:bCs/>
          <w:color w:val="000000" w:themeColor="text1"/>
          <w:szCs w:val="16"/>
        </w:rPr>
        <w:br/>
        <w:t>o % of Respondents: 0.00%</w:t>
      </w:r>
      <w:r w:rsidRPr="00437F97">
        <w:rPr>
          <w:rFonts w:cs="Arial"/>
          <w:bCs/>
          <w:color w:val="000000" w:themeColor="text1"/>
          <w:szCs w:val="16"/>
        </w:rPr>
        <w:br/>
      </w:r>
      <w:proofErr w:type="spellStart"/>
      <w:r w:rsidRPr="00437F97">
        <w:rPr>
          <w:rFonts w:cs="Arial"/>
          <w:bCs/>
          <w:color w:val="000000" w:themeColor="text1"/>
          <w:szCs w:val="16"/>
        </w:rPr>
        <w:t>o</w:t>
      </w:r>
      <w:proofErr w:type="spellEnd"/>
      <w:r w:rsidRPr="00437F97">
        <w:rPr>
          <w:rFonts w:cs="Arial"/>
          <w:bCs/>
          <w:color w:val="000000" w:themeColor="text1"/>
          <w:szCs w:val="16"/>
        </w:rPr>
        <w:t xml:space="preserve"> Difference:  -0.96%</w:t>
      </w:r>
      <w:r w:rsidRPr="00437F97">
        <w:rPr>
          <w:rFonts w:cs="Arial"/>
          <w:bCs/>
          <w:color w:val="000000" w:themeColor="text1"/>
          <w:szCs w:val="16"/>
        </w:rPr>
        <w:br/>
      </w:r>
      <w:r w:rsidRPr="00437F97">
        <w:rPr>
          <w:rFonts w:cs="Arial"/>
          <w:bCs/>
          <w:color w:val="000000" w:themeColor="text1"/>
          <w:szCs w:val="16"/>
        </w:rPr>
        <w:br/>
        <w:t>• 90 Specific Learning Disability:</w:t>
      </w:r>
      <w:r w:rsidRPr="00437F97">
        <w:rPr>
          <w:rFonts w:cs="Arial"/>
          <w:bCs/>
          <w:color w:val="000000" w:themeColor="text1"/>
          <w:szCs w:val="16"/>
        </w:rPr>
        <w:br/>
        <w:t>o % of Population: 0.00%</w:t>
      </w:r>
      <w:r w:rsidRPr="00437F97">
        <w:rPr>
          <w:rFonts w:cs="Arial"/>
          <w:bCs/>
          <w:color w:val="000000" w:themeColor="text1"/>
          <w:szCs w:val="16"/>
        </w:rPr>
        <w:br/>
        <w:t>o % of Respondents: 0.00%</w:t>
      </w:r>
      <w:r w:rsidRPr="00437F97">
        <w:rPr>
          <w:rFonts w:cs="Arial"/>
          <w:bCs/>
          <w:color w:val="000000" w:themeColor="text1"/>
          <w:szCs w:val="16"/>
        </w:rPr>
        <w:br/>
      </w:r>
      <w:proofErr w:type="spellStart"/>
      <w:r w:rsidRPr="00437F97">
        <w:rPr>
          <w:rFonts w:cs="Arial"/>
          <w:bCs/>
          <w:color w:val="000000" w:themeColor="text1"/>
          <w:szCs w:val="16"/>
        </w:rPr>
        <w:t>o</w:t>
      </w:r>
      <w:proofErr w:type="spellEnd"/>
      <w:r w:rsidRPr="00437F97">
        <w:rPr>
          <w:rFonts w:cs="Arial"/>
          <w:bCs/>
          <w:color w:val="000000" w:themeColor="text1"/>
          <w:szCs w:val="16"/>
        </w:rPr>
        <w:t xml:space="preserve"> Difference:  0.00%</w:t>
      </w:r>
      <w:r w:rsidRPr="00437F97">
        <w:rPr>
          <w:rFonts w:cs="Arial"/>
          <w:bCs/>
          <w:color w:val="000000" w:themeColor="text1"/>
          <w:szCs w:val="16"/>
        </w:rPr>
        <w:br/>
      </w:r>
      <w:r w:rsidRPr="00437F97">
        <w:rPr>
          <w:rFonts w:cs="Arial"/>
          <w:bCs/>
          <w:color w:val="000000" w:themeColor="text1"/>
          <w:szCs w:val="16"/>
        </w:rPr>
        <w:br/>
        <w:t>• 96 Developmental Delay 0-2yr:</w:t>
      </w:r>
      <w:r w:rsidRPr="00437F97">
        <w:rPr>
          <w:rFonts w:cs="Arial"/>
          <w:bCs/>
          <w:color w:val="000000" w:themeColor="text1"/>
          <w:szCs w:val="16"/>
        </w:rPr>
        <w:br/>
        <w:t>o % of Population: 92.30%</w:t>
      </w:r>
      <w:r w:rsidRPr="00437F97">
        <w:rPr>
          <w:rFonts w:cs="Arial"/>
          <w:bCs/>
          <w:color w:val="000000" w:themeColor="text1"/>
          <w:szCs w:val="16"/>
        </w:rPr>
        <w:br/>
        <w:t>o % of Respondents: 92.05%</w:t>
      </w:r>
      <w:r w:rsidRPr="00437F97">
        <w:rPr>
          <w:rFonts w:cs="Arial"/>
          <w:bCs/>
          <w:color w:val="000000" w:themeColor="text1"/>
          <w:szCs w:val="16"/>
        </w:rPr>
        <w:br/>
      </w:r>
      <w:proofErr w:type="spellStart"/>
      <w:r w:rsidRPr="00437F97">
        <w:rPr>
          <w:rFonts w:cs="Arial"/>
          <w:bCs/>
          <w:color w:val="000000" w:themeColor="text1"/>
          <w:szCs w:val="16"/>
        </w:rPr>
        <w:t>o</w:t>
      </w:r>
      <w:proofErr w:type="spellEnd"/>
      <w:r w:rsidRPr="00437F97">
        <w:rPr>
          <w:rFonts w:cs="Arial"/>
          <w:bCs/>
          <w:color w:val="000000" w:themeColor="text1"/>
          <w:szCs w:val="16"/>
        </w:rPr>
        <w:t xml:space="preserve"> Difference:  -0.25%</w:t>
      </w:r>
      <w:r w:rsidRPr="00437F97">
        <w:rPr>
          <w:rFonts w:cs="Arial"/>
          <w:bCs/>
          <w:color w:val="000000" w:themeColor="text1"/>
          <w:szCs w:val="16"/>
        </w:rPr>
        <w:br/>
      </w:r>
      <w:r w:rsidRPr="00437F97">
        <w:rPr>
          <w:rFonts w:cs="Arial"/>
          <w:bCs/>
          <w:color w:val="000000" w:themeColor="text1"/>
          <w:szCs w:val="16"/>
        </w:rPr>
        <w:br/>
        <w:t>Total % of Population/Respondents: 100.00%</w:t>
      </w:r>
      <w:r w:rsidRPr="00437F97">
        <w:rPr>
          <w:rFonts w:cs="Arial"/>
          <w:bCs/>
          <w:color w:val="000000" w:themeColor="text1"/>
          <w:szCs w:val="16"/>
        </w:rPr>
        <w:br/>
      </w:r>
      <w:r w:rsidRPr="00437F97">
        <w:rPr>
          <w:rFonts w:cs="Arial"/>
          <w:bCs/>
          <w:color w:val="000000" w:themeColor="text1"/>
          <w:szCs w:val="16"/>
        </w:rPr>
        <w:br/>
        <w:t>Nonresponse bias measures the differences in opinions between respondents and non-respondents in meaningful ways, such as the positivity of responses. A few factors can be examined to determine nonresponse bias. One is the overall response rate. The higher the response rate, the less likely nonresponse bias will occur. The response rate is 19%, which is much higher than last year’s response rate of 9%. However, it is possible that those families who did not respond are different in some measurable way in their level of positivity from those who did respond. Therefore, the State proceeded with the next two ways for examining nonresponse bias.</w:t>
      </w:r>
      <w:r w:rsidRPr="00437F97">
        <w:rPr>
          <w:rFonts w:cs="Arial"/>
          <w:bCs/>
          <w:color w:val="000000" w:themeColor="text1"/>
          <w:szCs w:val="16"/>
        </w:rPr>
        <w:br/>
      </w:r>
      <w:r w:rsidRPr="00437F97">
        <w:rPr>
          <w:rFonts w:cs="Arial"/>
          <w:bCs/>
          <w:color w:val="000000" w:themeColor="text1"/>
          <w:szCs w:val="16"/>
        </w:rPr>
        <w:br/>
        <w:t>Second, the representativeness of the responses can be examined. No differences were found by race/ethnicity or disability. All racial/ethnic and disability groups were within 3% of the population. Furthermore, results are weighted by county to ensure that the family survey results reflect the population of families.</w:t>
      </w:r>
      <w:r w:rsidRPr="00437F97">
        <w:rPr>
          <w:rFonts w:cs="Arial"/>
          <w:bCs/>
          <w:color w:val="000000" w:themeColor="text1"/>
          <w:szCs w:val="16"/>
        </w:rPr>
        <w:br/>
      </w:r>
      <w:r w:rsidRPr="00437F97">
        <w:rPr>
          <w:rFonts w:cs="Arial"/>
          <w:bCs/>
          <w:color w:val="000000" w:themeColor="text1"/>
          <w:szCs w:val="16"/>
        </w:rPr>
        <w:br/>
        <w:t>Third, the responses of families who responded early in the process can be compared to those who responded later in the process. Possibly, those who do not immediately respond are different in some measurable way than those who respond immediately. These results showed no statistically significant differences between families who responded earlier and families who responded later. Therefore, the State concludes that nonresponse bias is not present.</w:t>
      </w:r>
    </w:p>
    <w:p w14:paraId="4CD0DA7B" w14:textId="3B7BFD0F" w:rsidR="00437F97" w:rsidRPr="000762B0" w:rsidRDefault="00846C1E" w:rsidP="00437F97">
      <w:pPr>
        <w:pStyle w:val="Subhed"/>
        <w:rPr>
          <w:bCs/>
        </w:rPr>
      </w:pPr>
      <w:r w:rsidRPr="00ED172B">
        <w:rPr>
          <w:color w:val="000000" w:themeColor="text1"/>
        </w:rPr>
        <w:lastRenderedPageBreak/>
        <w:t>The demographics of the infants or toddlers for whom families responded are representative of the demographics of infants and toddlers enrolled in the Part C program.</w:t>
      </w:r>
      <w:r w:rsidR="00F5591B">
        <w:rPr>
          <w:color w:val="000000" w:themeColor="text1"/>
        </w:rPr>
        <w:t xml:space="preserve"> </w:t>
      </w:r>
      <w:r>
        <w:rPr>
          <w:color w:val="000000" w:themeColor="text1"/>
        </w:rPr>
        <w:t>(</w:t>
      </w:r>
      <w:r w:rsidR="00437F97" w:rsidRPr="000762B0">
        <w:rPr>
          <w:bCs/>
        </w:rPr>
        <w:t>yes/no)</w:t>
      </w:r>
    </w:p>
    <w:p w14:paraId="1F122EF3" w14:textId="2DF9A7BB" w:rsidR="00F5591B" w:rsidRDefault="00846C1E" w:rsidP="00437F97">
      <w:pPr>
        <w:pStyle w:val="Subhed"/>
        <w:rPr>
          <w:b w:val="0"/>
          <w:bCs/>
          <w:color w:val="000000" w:themeColor="text1"/>
        </w:rPr>
      </w:pPr>
      <w:r w:rsidRPr="00ED172B">
        <w:rPr>
          <w:color w:val="000000" w:themeColor="text1"/>
        </w:rPr>
        <w:t>YES</w:t>
      </w:r>
      <w:r w:rsidRPr="000A2B9F" w:rsidDel="00846C1E">
        <w:rPr>
          <w:bCs/>
          <w:color w:val="000000" w:themeColor="text1"/>
        </w:rPr>
        <w:t xml:space="preserve"> </w:t>
      </w:r>
    </w:p>
    <w:p w14:paraId="0C9DACE6" w14:textId="11DE96AB" w:rsidR="00DF2F4F" w:rsidRPr="00DF2F4F" w:rsidRDefault="00DF2F4F" w:rsidP="00DF2F4F">
      <w:pPr>
        <w:rPr>
          <w:rFonts w:cs="Arial"/>
          <w:b/>
          <w:bCs/>
          <w:color w:val="000000" w:themeColor="text1"/>
          <w:szCs w:val="16"/>
        </w:rPr>
      </w:pPr>
      <w:r w:rsidRPr="00DF2F4F">
        <w:rPr>
          <w:rFonts w:cs="Arial"/>
          <w:b/>
          <w:bCs/>
          <w:color w:val="000000" w:themeColor="text1"/>
          <w:szCs w:val="16"/>
        </w:rPr>
        <w:t>Describe strategies that will be implemented which are expected to increase the response rate year over year, particularly for those groups that are underrepresented.</w:t>
      </w:r>
    </w:p>
    <w:p w14:paraId="1BDBFDFD" w14:textId="162256F1" w:rsidR="00DF2F4F" w:rsidRDefault="00DF2F4F" w:rsidP="00DF2F4F">
      <w:pPr>
        <w:rPr>
          <w:rFonts w:cs="Arial"/>
          <w:b/>
          <w:color w:val="000000" w:themeColor="text1"/>
          <w:szCs w:val="16"/>
        </w:rPr>
      </w:pPr>
      <w:r w:rsidRPr="00ED172B">
        <w:rPr>
          <w:rFonts w:cs="Arial"/>
          <w:color w:val="000000" w:themeColor="text1"/>
          <w:szCs w:val="16"/>
        </w:rPr>
        <w:t>Informed by Oregon’s participation in the Early Childhood TA Center (ECTA) &amp; the Center for IDEA Early Childhood Data Systems (DaSy) Family Outcomes CoP, the State contracted with FACT (Oregon’s PTI Center) for 2022-23. This contract assisted the State in supporting programs with collecting the following data to inform their parent involvement survey efforts:</w:t>
      </w:r>
      <w:r w:rsidRPr="00ED172B">
        <w:rPr>
          <w:rFonts w:cs="Arial"/>
          <w:color w:val="000000" w:themeColor="text1"/>
          <w:szCs w:val="16"/>
        </w:rPr>
        <w:br/>
        <w:t>1. Identify current communication and dissemination strategies programs are utilizing.</w:t>
      </w:r>
      <w:r w:rsidRPr="00ED172B">
        <w:rPr>
          <w:rFonts w:cs="Arial"/>
          <w:color w:val="000000" w:themeColor="text1"/>
          <w:szCs w:val="16"/>
        </w:rPr>
        <w:br/>
        <w:t>2. Collect program input as to why the response rate of parents of non-white students is low.</w:t>
      </w:r>
      <w:r w:rsidRPr="00ED172B">
        <w:rPr>
          <w:rFonts w:cs="Arial"/>
          <w:color w:val="000000" w:themeColor="text1"/>
          <w:szCs w:val="16"/>
        </w:rPr>
        <w:br/>
        <w:t>3. Identify additional communication and/or dissemination strategies for increasing the response rate of parents, especially for parents of non-white students.</w:t>
      </w:r>
      <w:r w:rsidRPr="00ED172B">
        <w:rPr>
          <w:rFonts w:cs="Arial"/>
          <w:color w:val="000000" w:themeColor="text1"/>
          <w:szCs w:val="16"/>
        </w:rPr>
        <w:br/>
        <w:t xml:space="preserve">4. Ask programs if there are actions that the State and/or its survey vendor could do in terms of survey design/format/administration that would increase the likelihood parents of non-white students responding to the survey. </w:t>
      </w:r>
      <w:r w:rsidRPr="00ED172B">
        <w:rPr>
          <w:rFonts w:cs="Arial"/>
          <w:color w:val="000000" w:themeColor="text1"/>
          <w:szCs w:val="16"/>
        </w:rPr>
        <w:br/>
        <w:t>5. The state is seeking input on strategies from a joint State Advisory Council for Special Education/State Interagency Coordinating Committee.</w:t>
      </w:r>
    </w:p>
    <w:p w14:paraId="26B1B986" w14:textId="0509FCCD" w:rsidR="003B21F7" w:rsidRPr="003B21F7" w:rsidRDefault="003B21F7" w:rsidP="003B21F7">
      <w:pPr>
        <w:rPr>
          <w:rFonts w:cs="Arial"/>
          <w:b/>
          <w:bCs/>
          <w:color w:val="000000" w:themeColor="text1"/>
          <w:szCs w:val="16"/>
        </w:rPr>
      </w:pPr>
      <w:r w:rsidRPr="003B21F7">
        <w:rPr>
          <w:rFonts w:cs="Arial"/>
          <w:b/>
          <w:bCs/>
          <w:color w:val="000000" w:themeColor="text1"/>
          <w:szCs w:val="16"/>
        </w:rPr>
        <w:t>Describe the analysis of the response rate including any nonresponse bias that was identified, and the steps taken to reduce any identified bias and promote response from a broad cross section of families that received Part C services.</w:t>
      </w:r>
    </w:p>
    <w:p w14:paraId="2121CE81" w14:textId="3486E3FC" w:rsidR="000F27DB" w:rsidRDefault="003B21F7" w:rsidP="000B4FD4">
      <w:pPr>
        <w:rPr>
          <w:rFonts w:cs="Arial"/>
          <w:b/>
          <w:color w:val="000000" w:themeColor="text1"/>
          <w:szCs w:val="16"/>
        </w:rPr>
      </w:pPr>
      <w:r w:rsidRPr="00ED172B">
        <w:rPr>
          <w:rFonts w:cs="Arial"/>
          <w:color w:val="000000" w:themeColor="text1"/>
          <w:szCs w:val="16"/>
        </w:rPr>
        <w:t>Nonresponse bias measures the differences in opinions between respondents and non-respondents in meaningful ways, such as the positivity of responses. A few factors can be examined to determine nonresponse bias. One is the overall response rate. The higher the response rate, the less likely nonresponse bias will occur. The response rate is 19%, which is much higher than last year’s response rate of 9%. However, it is possible that those families who did not respond are different in some measurable way in their level of positivity from those who did respond. Therefore, the State proceeded with the next two ways for examining nonresponse bias.</w:t>
      </w:r>
      <w:r w:rsidRPr="00ED172B">
        <w:rPr>
          <w:rFonts w:cs="Arial"/>
          <w:color w:val="000000" w:themeColor="text1"/>
          <w:szCs w:val="16"/>
        </w:rPr>
        <w:br/>
      </w:r>
      <w:r w:rsidRPr="00ED172B">
        <w:rPr>
          <w:rFonts w:cs="Arial"/>
          <w:color w:val="000000" w:themeColor="text1"/>
          <w:szCs w:val="16"/>
        </w:rPr>
        <w:br/>
        <w:t>Second, the representativeness of the responses can be examined. No differences were found by race/ethnicity or disability. All racial/ethnic and disability groups were within 3% of the population. Furthermore, results are weighted by county to ensure that the family survey results reflect the population of families.</w:t>
      </w:r>
      <w:r w:rsidRPr="00ED172B">
        <w:rPr>
          <w:rFonts w:cs="Arial"/>
          <w:color w:val="000000" w:themeColor="text1"/>
          <w:szCs w:val="16"/>
        </w:rPr>
        <w:br/>
        <w:t>Third, the responses of families who responded early in the process can be compared to those who responded later in the process. Possibly, those who do not immediately respond are different in some measurable way than those who respond immediately. These results showed no statistically significant differences between families who responded earlier and families who responded later. Therefore, the State concludes that nonresponse bias is not present.</w:t>
      </w:r>
    </w:p>
    <w:bookmarkEnd w:id="24"/>
    <w:p w14:paraId="38AE52A4" w14:textId="56F41423" w:rsidR="003A3693" w:rsidRPr="00ED172B" w:rsidRDefault="003A3693" w:rsidP="003A3693">
      <w:pPr>
        <w:rPr>
          <w:rFonts w:cs="Arial"/>
          <w:b/>
          <w:color w:val="000000" w:themeColor="text1"/>
          <w:szCs w:val="16"/>
        </w:rPr>
      </w:pPr>
      <w:r w:rsidRPr="00ED172B">
        <w:rPr>
          <w:rFonts w:cs="Arial"/>
          <w:b/>
          <w:color w:val="000000" w:themeColor="text1"/>
          <w:szCs w:val="16"/>
        </w:rPr>
        <w:t>Provide additional information about this indicator (optional).</w:t>
      </w:r>
    </w:p>
    <w:p w14:paraId="12A53339" w14:textId="06E1058A" w:rsidR="003A3693" w:rsidRPr="00ED172B" w:rsidRDefault="003A3693" w:rsidP="003A3693">
      <w:pPr>
        <w:rPr>
          <w:rFonts w:cs="Arial"/>
          <w:color w:val="000000" w:themeColor="text1"/>
          <w:szCs w:val="16"/>
        </w:rPr>
      </w:pPr>
    </w:p>
    <w:p w14:paraId="1A02BAFD" w14:textId="4A2D5F8A" w:rsidR="00DC0682" w:rsidRPr="00A40EE1" w:rsidRDefault="000D0117" w:rsidP="005C3FFD">
      <w:pPr>
        <w:pStyle w:val="Heading2"/>
      </w:pPr>
      <w:r w:rsidRPr="00A40EE1">
        <w:t xml:space="preserve">4 - </w:t>
      </w:r>
      <w:r w:rsidR="00DC0682" w:rsidRPr="00A40EE1">
        <w:t>Prior FFY Required Actions</w:t>
      </w:r>
    </w:p>
    <w:p w14:paraId="5D9F9B9C" w14:textId="5185C7E0" w:rsidR="004C1CEE" w:rsidRPr="00ED172B" w:rsidRDefault="00291EA9" w:rsidP="00027F39">
      <w:pPr>
        <w:rPr>
          <w:color w:val="000000" w:themeColor="text1"/>
        </w:rPr>
      </w:pPr>
      <w:r w:rsidRPr="00ED172B">
        <w:rPr>
          <w:color w:val="000000" w:themeColor="text1"/>
        </w:rPr>
        <w:t>In the FFY 2022 SPP/APR, the State must report whether its FFY 2022 response data are representative of the demographics of infants, toddlers, and families enrolled in the Part C program, and, if not, the actions the State is taking to address this issue. The State must also include its analysis of the extent to which the demographics of the families responding are representative of the population.</w:t>
      </w:r>
    </w:p>
    <w:p w14:paraId="097370A1" w14:textId="77777777" w:rsidR="004C1CEE" w:rsidRPr="00ED172B" w:rsidRDefault="004C1CEE" w:rsidP="00DC0682">
      <w:pPr>
        <w:rPr>
          <w:rFonts w:cs="Arial"/>
          <w:color w:val="000000" w:themeColor="text1"/>
          <w:szCs w:val="16"/>
        </w:rPr>
      </w:pPr>
    </w:p>
    <w:p w14:paraId="36FD66B9" w14:textId="5DCA020A" w:rsidR="00DC0682" w:rsidRPr="00ED172B" w:rsidRDefault="00DC0682" w:rsidP="00B83404">
      <w:pPr>
        <w:rPr>
          <w:color w:val="000000" w:themeColor="text1"/>
        </w:rPr>
      </w:pPr>
      <w:r w:rsidRPr="00ED172B">
        <w:rPr>
          <w:b/>
          <w:color w:val="000000" w:themeColor="text1"/>
        </w:rPr>
        <w:t>Response to actions required in FFY 2021 SPP/APR</w:t>
      </w:r>
      <w:r w:rsidR="00950382" w:rsidRPr="00ED172B">
        <w:rPr>
          <w:color w:val="000000" w:themeColor="text1"/>
        </w:rPr>
        <w:t xml:space="preserve"> </w:t>
      </w:r>
    </w:p>
    <w:p w14:paraId="517638FD" w14:textId="11CB85A2" w:rsidR="004C1CEE" w:rsidRPr="00ED172B" w:rsidRDefault="00291EA9" w:rsidP="00027F39">
      <w:pPr>
        <w:rPr>
          <w:color w:val="000000" w:themeColor="text1"/>
        </w:rPr>
      </w:pPr>
      <w:r w:rsidRPr="00ED172B">
        <w:rPr>
          <w:color w:val="000000" w:themeColor="text1"/>
        </w:rPr>
        <w:t>The FFY 2022 Response data are representative of the demographics of infants, toddlers, and families enrolled in the Part C program. The State compared the representation by race/ethnicity and primary disability in the population to the representation in the respondents using a +/- 3% criteria to identify over-or under-representativeness. Using this methodology, no differences were found by race/ethnicity or disability. All racial/ethnic and disability groups were within 3% of the population. In addition, families from a wide range of counties from across the state responded to the survey; thus, the results are representative of all racial/ethnic groups and all disability categories. Furthermore, results are weighted by county to ensure that the family survey results reflect the population of families in terms of geographic distribution.  To ensure continued representation, ODE will once again use text blasts in addition to a mailed survey to reach parents across all demographics.</w:t>
      </w:r>
    </w:p>
    <w:p w14:paraId="325A8BC5" w14:textId="5A7B90FE" w:rsidR="00DC0682" w:rsidRPr="00ED172B" w:rsidRDefault="00DC0682" w:rsidP="00DC0682">
      <w:pPr>
        <w:rPr>
          <w:rFonts w:cs="Arial"/>
          <w:color w:val="000000" w:themeColor="text1"/>
          <w:szCs w:val="16"/>
        </w:rPr>
      </w:pPr>
      <w:r w:rsidRPr="00ED172B">
        <w:rPr>
          <w:rFonts w:cs="Arial"/>
          <w:color w:val="000000" w:themeColor="text1"/>
          <w:szCs w:val="16"/>
        </w:rPr>
        <w:t xml:space="preserve"> </w:t>
      </w:r>
    </w:p>
    <w:p w14:paraId="56B0BFC2" w14:textId="317255FC" w:rsidR="00DC0682" w:rsidRPr="00A40EE1" w:rsidRDefault="000D0117" w:rsidP="005C3FFD">
      <w:pPr>
        <w:pStyle w:val="Heading2"/>
      </w:pPr>
      <w:r w:rsidRPr="00A40EE1">
        <w:t xml:space="preserve">4 - </w:t>
      </w:r>
      <w:r w:rsidR="00DC0682" w:rsidRPr="00A40EE1">
        <w:t>OSEP Response</w:t>
      </w:r>
    </w:p>
    <w:p w14:paraId="55B96259" w14:textId="37B92EE8" w:rsidR="00DC0682" w:rsidRPr="00ED172B" w:rsidRDefault="00DC0682" w:rsidP="00027F39">
      <w:pPr>
        <w:rPr>
          <w:color w:val="000000" w:themeColor="text1"/>
        </w:rPr>
      </w:pPr>
    </w:p>
    <w:p w14:paraId="43FEC740" w14:textId="22A7B19A" w:rsidR="00DC0682" w:rsidRPr="00A40EE1" w:rsidRDefault="000D0117" w:rsidP="005C3FFD">
      <w:pPr>
        <w:pStyle w:val="Heading2"/>
      </w:pPr>
      <w:r w:rsidRPr="00A40EE1">
        <w:t xml:space="preserve">4 - </w:t>
      </w:r>
      <w:r w:rsidR="00DC0682" w:rsidRPr="00A40EE1">
        <w:t>Required Actions</w:t>
      </w:r>
    </w:p>
    <w:p w14:paraId="202EB0B4" w14:textId="1EF7FA87" w:rsidR="00DC0682" w:rsidRPr="00ED172B" w:rsidRDefault="00DC0682" w:rsidP="00027F39">
      <w:pPr>
        <w:rPr>
          <w:color w:val="000000" w:themeColor="text1"/>
        </w:rPr>
      </w:pPr>
    </w:p>
    <w:p w14:paraId="11D8B7F8" w14:textId="77777777" w:rsidR="003D02CD" w:rsidRPr="00ED172B" w:rsidRDefault="003D02CD" w:rsidP="008D619C">
      <w:pPr>
        <w:rPr>
          <w:color w:val="000000" w:themeColor="text1"/>
        </w:rPr>
        <w:sectPr w:rsidR="003D02CD" w:rsidRPr="00ED172B" w:rsidSect="00BF3AB4">
          <w:pgSz w:w="12240" w:h="15840"/>
          <w:pgMar w:top="720" w:right="720" w:bottom="720" w:left="720" w:header="720" w:footer="720" w:gutter="0"/>
          <w:cols w:space="720"/>
          <w:docGrid w:linePitch="360"/>
        </w:sectPr>
      </w:pPr>
    </w:p>
    <w:p w14:paraId="4216587F" w14:textId="77777777" w:rsidR="00D03701" w:rsidRPr="00ED172B" w:rsidRDefault="00D03701" w:rsidP="0077063D">
      <w:pPr>
        <w:pStyle w:val="Heading1"/>
        <w:rPr>
          <w:color w:val="000000" w:themeColor="text1"/>
        </w:rPr>
      </w:pPr>
      <w:bookmarkStart w:id="27" w:name="_Toc384383330"/>
      <w:bookmarkStart w:id="28" w:name="_Toc392159282"/>
      <w:bookmarkStart w:id="29" w:name="_Toc382082372"/>
      <w:bookmarkEnd w:id="25"/>
      <w:bookmarkEnd w:id="26"/>
      <w:r w:rsidRPr="00ED172B">
        <w:rPr>
          <w:color w:val="000000" w:themeColor="text1"/>
        </w:rPr>
        <w:lastRenderedPageBreak/>
        <w:t xml:space="preserve">Indicator </w:t>
      </w:r>
      <w:bookmarkEnd w:id="27"/>
      <w:bookmarkEnd w:id="28"/>
      <w:r w:rsidR="00975A3C" w:rsidRPr="00ED172B">
        <w:rPr>
          <w:color w:val="000000" w:themeColor="text1"/>
        </w:rPr>
        <w:t>5: Child Find (Birth to One)</w:t>
      </w:r>
    </w:p>
    <w:p w14:paraId="18873DC7" w14:textId="77777777" w:rsidR="000C5918" w:rsidRPr="00ED172B" w:rsidRDefault="000C5918" w:rsidP="00186420">
      <w:pPr>
        <w:rPr>
          <w:color w:val="000000" w:themeColor="text1"/>
          <w:szCs w:val="20"/>
        </w:rPr>
      </w:pPr>
      <w:bookmarkStart w:id="30" w:name="_Toc384383331"/>
      <w:bookmarkStart w:id="31" w:name="_Toc392159283"/>
      <w:r w:rsidRPr="00ED172B">
        <w:rPr>
          <w:b/>
          <w:color w:val="000000" w:themeColor="text1"/>
          <w:sz w:val="20"/>
          <w:szCs w:val="20"/>
        </w:rPr>
        <w:t>Instructions and Measurement</w:t>
      </w:r>
    </w:p>
    <w:p w14:paraId="6E4DCAD6" w14:textId="77777777" w:rsidR="00975A3C" w:rsidRPr="00ED172B" w:rsidRDefault="00975A3C" w:rsidP="00815A6D">
      <w:pPr>
        <w:rPr>
          <w:rFonts w:cs="Arial"/>
          <w:b/>
          <w:color w:val="000000" w:themeColor="text1"/>
          <w:szCs w:val="16"/>
        </w:rPr>
      </w:pPr>
      <w:r w:rsidRPr="00ED172B">
        <w:rPr>
          <w:rFonts w:cs="Arial"/>
          <w:b/>
          <w:color w:val="000000" w:themeColor="text1"/>
          <w:szCs w:val="16"/>
        </w:rPr>
        <w:t xml:space="preserve">Monitoring Priority: </w:t>
      </w:r>
      <w:r w:rsidRPr="00ED172B">
        <w:rPr>
          <w:rFonts w:cs="Arial"/>
          <w:color w:val="000000" w:themeColor="text1"/>
          <w:szCs w:val="16"/>
        </w:rPr>
        <w:t>Effective General Supervision Part C / Child Find</w:t>
      </w:r>
    </w:p>
    <w:p w14:paraId="61FE9E49" w14:textId="4EDA5E34" w:rsidR="00E9116A" w:rsidRDefault="00975A3C" w:rsidP="00815A6D">
      <w:pPr>
        <w:rPr>
          <w:rFonts w:cs="Arial"/>
          <w:color w:val="000000" w:themeColor="text1"/>
          <w:szCs w:val="16"/>
        </w:rPr>
      </w:pPr>
      <w:r w:rsidRPr="00ED172B">
        <w:rPr>
          <w:rFonts w:cs="Arial"/>
          <w:b/>
          <w:color w:val="000000" w:themeColor="text1"/>
          <w:szCs w:val="16"/>
        </w:rPr>
        <w:t>Results indicator:</w:t>
      </w:r>
      <w:r w:rsidRPr="00ED172B">
        <w:rPr>
          <w:rFonts w:cs="Arial"/>
          <w:color w:val="000000" w:themeColor="text1"/>
          <w:szCs w:val="16"/>
        </w:rPr>
        <w:t xml:space="preserve"> Percent of infants and toddlers birth to 1 with IFSPs</w:t>
      </w:r>
      <w:r w:rsidR="00E9116A">
        <w:rPr>
          <w:rFonts w:cs="Arial"/>
          <w:color w:val="000000" w:themeColor="text1"/>
          <w:szCs w:val="16"/>
        </w:rPr>
        <w:t xml:space="preserve">. </w:t>
      </w:r>
    </w:p>
    <w:p w14:paraId="396B779E" w14:textId="7616C132" w:rsidR="00975A3C" w:rsidRPr="00ED172B" w:rsidRDefault="00975A3C" w:rsidP="00815A6D">
      <w:pPr>
        <w:rPr>
          <w:rFonts w:cs="Arial"/>
          <w:color w:val="000000" w:themeColor="text1"/>
          <w:szCs w:val="16"/>
        </w:rPr>
      </w:pPr>
      <w:r w:rsidRPr="00ED172B">
        <w:rPr>
          <w:rFonts w:cs="Arial"/>
          <w:color w:val="000000" w:themeColor="text1"/>
          <w:szCs w:val="16"/>
        </w:rPr>
        <w:t>(20 U.S.C. 1416(a)(3)(B) and 1442)</w:t>
      </w:r>
    </w:p>
    <w:p w14:paraId="6E08EE69" w14:textId="77777777" w:rsidR="005918D1" w:rsidRPr="00ED172B" w:rsidRDefault="005918D1">
      <w:pPr>
        <w:rPr>
          <w:b/>
          <w:color w:val="000000" w:themeColor="text1"/>
        </w:rPr>
      </w:pPr>
      <w:r w:rsidRPr="00ED172B">
        <w:rPr>
          <w:b/>
          <w:color w:val="000000" w:themeColor="text1"/>
        </w:rPr>
        <w:t>Data Source</w:t>
      </w:r>
    </w:p>
    <w:p w14:paraId="67AF22C2" w14:textId="26675CCD" w:rsidR="005918D1" w:rsidRPr="00ED172B" w:rsidRDefault="005918D1" w:rsidP="00815A6D">
      <w:pPr>
        <w:rPr>
          <w:rFonts w:cs="Arial"/>
          <w:color w:val="000000" w:themeColor="text1"/>
          <w:szCs w:val="16"/>
        </w:rPr>
      </w:pPr>
      <w:r w:rsidRPr="00ED172B">
        <w:rPr>
          <w:rFonts w:cs="Arial"/>
          <w:color w:val="000000" w:themeColor="text1"/>
          <w:szCs w:val="16"/>
        </w:rPr>
        <w:t>Data collected under section 618 of the IDEA (IDEA Part C Child Count and Settings data collection in the E</w:t>
      </w:r>
      <w:r w:rsidRPr="00F85A5B">
        <w:rPr>
          <w:rFonts w:cs="Arial"/>
          <w:i/>
          <w:color w:val="000000" w:themeColor="text1"/>
          <w:szCs w:val="16"/>
        </w:rPr>
        <w:t>DFacts</w:t>
      </w:r>
      <w:r w:rsidRPr="00ED172B">
        <w:rPr>
          <w:rFonts w:cs="Arial"/>
          <w:color w:val="000000" w:themeColor="text1"/>
          <w:szCs w:val="16"/>
        </w:rPr>
        <w:t xml:space="preserve"> Metadata and Process System (E</w:t>
      </w:r>
      <w:r w:rsidRPr="00ED172B">
        <w:rPr>
          <w:rFonts w:cs="Arial"/>
          <w:i/>
          <w:color w:val="000000" w:themeColor="text1"/>
          <w:szCs w:val="16"/>
        </w:rPr>
        <w:t>MAPS</w:t>
      </w:r>
      <w:r w:rsidRPr="00ED172B">
        <w:rPr>
          <w:rFonts w:cs="Arial"/>
          <w:color w:val="000000" w:themeColor="text1"/>
          <w:szCs w:val="16"/>
        </w:rPr>
        <w:t>)) and Census (for the denominator).</w:t>
      </w:r>
    </w:p>
    <w:p w14:paraId="44D56CFB" w14:textId="77777777" w:rsidR="005918D1" w:rsidRPr="00ED172B" w:rsidRDefault="005918D1">
      <w:pPr>
        <w:rPr>
          <w:b/>
          <w:color w:val="000000" w:themeColor="text1"/>
        </w:rPr>
      </w:pPr>
      <w:r w:rsidRPr="00ED172B">
        <w:rPr>
          <w:b/>
          <w:color w:val="000000" w:themeColor="text1"/>
        </w:rPr>
        <w:t>Measurement</w:t>
      </w:r>
    </w:p>
    <w:p w14:paraId="33DB8BD0" w14:textId="5C133B82" w:rsidR="005918D1" w:rsidRPr="00ED172B" w:rsidRDefault="005918D1" w:rsidP="00815A6D">
      <w:pPr>
        <w:rPr>
          <w:rFonts w:cs="Arial"/>
          <w:color w:val="000000" w:themeColor="text1"/>
          <w:szCs w:val="16"/>
        </w:rPr>
      </w:pPr>
      <w:r w:rsidRPr="00ED172B">
        <w:rPr>
          <w:rFonts w:cs="Arial"/>
          <w:color w:val="000000" w:themeColor="text1"/>
          <w:szCs w:val="16"/>
        </w:rPr>
        <w:t>Percent = [(# of infants and toddlers birth to 1 with IFSPs) divided by the (population of infants and toddlers birth to 1)] times 100.</w:t>
      </w:r>
    </w:p>
    <w:p w14:paraId="088F683B" w14:textId="77777777" w:rsidR="005918D1" w:rsidRPr="00ED172B" w:rsidRDefault="005918D1">
      <w:pPr>
        <w:rPr>
          <w:b/>
          <w:color w:val="000000" w:themeColor="text1"/>
        </w:rPr>
      </w:pPr>
      <w:r w:rsidRPr="00ED172B">
        <w:rPr>
          <w:b/>
          <w:color w:val="000000" w:themeColor="text1"/>
        </w:rPr>
        <w:t>Instructions</w:t>
      </w:r>
    </w:p>
    <w:p w14:paraId="269F88B6" w14:textId="77777777" w:rsidR="005918D1" w:rsidRPr="0055373D" w:rsidRDefault="005918D1" w:rsidP="00815A6D">
      <w:pPr>
        <w:rPr>
          <w:rFonts w:cs="Arial"/>
          <w:i/>
          <w:iCs/>
          <w:color w:val="000000" w:themeColor="text1"/>
          <w:szCs w:val="16"/>
        </w:rPr>
      </w:pPr>
      <w:r w:rsidRPr="0055373D">
        <w:rPr>
          <w:rFonts w:cs="Arial"/>
          <w:i/>
          <w:iCs/>
          <w:color w:val="000000" w:themeColor="text1"/>
          <w:szCs w:val="16"/>
        </w:rPr>
        <w:t>Sampling from the State’s 618 data is not allowed.</w:t>
      </w:r>
    </w:p>
    <w:p w14:paraId="3D3A7D60" w14:textId="46896635" w:rsidR="005918D1" w:rsidRPr="00ED172B" w:rsidRDefault="005918D1" w:rsidP="00815A6D">
      <w:pPr>
        <w:rPr>
          <w:rFonts w:cs="Arial"/>
          <w:color w:val="000000" w:themeColor="text1"/>
          <w:szCs w:val="16"/>
        </w:rPr>
      </w:pPr>
      <w:r w:rsidRPr="00ED172B">
        <w:rPr>
          <w:rFonts w:cs="Arial"/>
          <w:color w:val="000000" w:themeColor="text1"/>
          <w:szCs w:val="16"/>
        </w:rPr>
        <w:t xml:space="preserve">Describe the results of the </w:t>
      </w:r>
      <w:proofErr w:type="spellStart"/>
      <w:proofErr w:type="gramStart"/>
      <w:r w:rsidRPr="00ED172B">
        <w:rPr>
          <w:rFonts w:cs="Arial"/>
          <w:color w:val="000000" w:themeColor="text1"/>
          <w:szCs w:val="16"/>
        </w:rPr>
        <w:t>calculations.The</w:t>
      </w:r>
      <w:proofErr w:type="spellEnd"/>
      <w:proofErr w:type="gramEnd"/>
      <w:r w:rsidRPr="00ED172B">
        <w:rPr>
          <w:rFonts w:cs="Arial"/>
          <w:color w:val="000000" w:themeColor="text1"/>
          <w:szCs w:val="16"/>
        </w:rPr>
        <w:t xml:space="preserve"> data reported in this indicator should be consistent with the State’s reported 618 data reported in Table 1. If not, explain why.</w:t>
      </w:r>
    </w:p>
    <w:bookmarkEnd w:id="30"/>
    <w:bookmarkEnd w:id="31"/>
    <w:p w14:paraId="16D48487" w14:textId="7FC7FF4B" w:rsidR="00D03701" w:rsidRPr="00A40EE1" w:rsidRDefault="000D0117" w:rsidP="005C3FFD">
      <w:pPr>
        <w:pStyle w:val="Heading2"/>
      </w:pPr>
      <w:r w:rsidRPr="00A40EE1">
        <w:t xml:space="preserve">5 - </w:t>
      </w:r>
      <w:r w:rsidR="00815A6D" w:rsidRPr="00A40EE1">
        <w:t>Indicator Data</w:t>
      </w:r>
    </w:p>
    <w:p w14:paraId="0D19EA3C" w14:textId="064CA1B1" w:rsidR="0085799B" w:rsidRDefault="0085799B">
      <w:pPr>
        <w:rPr>
          <w:b/>
          <w:color w:val="000000" w:themeColor="text1"/>
        </w:rPr>
      </w:pPr>
      <w:bookmarkStart w:id="32" w:name="_Toc384383332"/>
      <w:bookmarkStart w:id="33" w:name="_Toc392159284"/>
      <w:r w:rsidRPr="00ED172B">
        <w:rPr>
          <w:b/>
          <w:color w:val="000000" w:themeColor="text1"/>
        </w:rPr>
        <w:t>Historical Data</w:t>
      </w:r>
    </w:p>
    <w:p w14:paraId="44E3B19B" w14:textId="6E216AE3" w:rsidR="004A7446" w:rsidRDefault="004A7446">
      <w:pPr>
        <w:rPr>
          <w:b/>
          <w:color w:val="000000" w:themeColor="text1"/>
        </w:rPr>
      </w:pPr>
    </w:p>
    <w:tbl>
      <w:tblPr>
        <w:tblW w:w="1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BASELINEDATA"/>
      </w:tblPr>
      <w:tblGrid>
        <w:gridCol w:w="1978"/>
        <w:gridCol w:w="1978"/>
      </w:tblGrid>
      <w:tr w:rsidR="00E30D86" w:rsidRPr="00ED172B" w14:paraId="56A556F1" w14:textId="77777777" w:rsidTr="00A40EE1">
        <w:trPr>
          <w:trHeight w:val="170"/>
          <w:tblHeader/>
        </w:trPr>
        <w:tc>
          <w:tcPr>
            <w:tcW w:w="2500" w:type="pct"/>
            <w:tcBorders>
              <w:bottom w:val="single" w:sz="4" w:space="0" w:color="auto"/>
            </w:tcBorders>
            <w:shd w:val="clear" w:color="auto" w:fill="auto"/>
            <w:vAlign w:val="center"/>
          </w:tcPr>
          <w:p w14:paraId="7AD92A1B" w14:textId="33FED7A9" w:rsidR="00E30D86" w:rsidRPr="00A40EE1" w:rsidRDefault="00E30D86" w:rsidP="00C15786">
            <w:pPr>
              <w:jc w:val="center"/>
              <w:rPr>
                <w:b/>
                <w:bCs/>
                <w:color w:val="000000" w:themeColor="text1"/>
              </w:rPr>
            </w:pPr>
            <w:r w:rsidRPr="00A40EE1">
              <w:rPr>
                <w:b/>
                <w:bCs/>
                <w:color w:val="000000" w:themeColor="text1"/>
              </w:rPr>
              <w:t>Baseline Year</w:t>
            </w:r>
          </w:p>
        </w:tc>
        <w:tc>
          <w:tcPr>
            <w:tcW w:w="2500" w:type="pct"/>
            <w:tcBorders>
              <w:top w:val="single" w:sz="4" w:space="0" w:color="auto"/>
              <w:right w:val="single" w:sz="4" w:space="0" w:color="auto"/>
            </w:tcBorders>
            <w:shd w:val="clear" w:color="auto" w:fill="auto"/>
            <w:vAlign w:val="center"/>
          </w:tcPr>
          <w:p w14:paraId="78314817" w14:textId="75CAA5FC" w:rsidR="00E30D86" w:rsidRPr="00A40EE1" w:rsidRDefault="00E30D86" w:rsidP="00C15786">
            <w:pPr>
              <w:jc w:val="center"/>
              <w:rPr>
                <w:b/>
                <w:bCs/>
                <w:color w:val="000000" w:themeColor="text1"/>
              </w:rPr>
            </w:pPr>
            <w:r w:rsidRPr="00A40EE1">
              <w:rPr>
                <w:b/>
                <w:bCs/>
                <w:color w:val="000000" w:themeColor="text1"/>
              </w:rPr>
              <w:t>Baseline Data</w:t>
            </w:r>
          </w:p>
        </w:tc>
      </w:tr>
      <w:tr w:rsidR="00E30D86" w:rsidRPr="00ED172B" w14:paraId="475CC706" w14:textId="77777777" w:rsidTr="00A40EE1">
        <w:trPr>
          <w:trHeight w:val="170"/>
        </w:trPr>
        <w:tc>
          <w:tcPr>
            <w:tcW w:w="2500" w:type="pct"/>
            <w:tcBorders>
              <w:bottom w:val="single" w:sz="4" w:space="0" w:color="auto"/>
            </w:tcBorders>
            <w:shd w:val="clear" w:color="auto" w:fill="auto"/>
            <w:vAlign w:val="center"/>
          </w:tcPr>
          <w:p w14:paraId="2BDEA77F" w14:textId="77777777" w:rsidR="00E30D86" w:rsidRPr="00ED172B" w:rsidRDefault="00E30D86" w:rsidP="00C15786">
            <w:pPr>
              <w:jc w:val="center"/>
              <w:rPr>
                <w:b/>
                <w:color w:val="000000" w:themeColor="text1"/>
              </w:rPr>
            </w:pPr>
            <w:r w:rsidRPr="00ED172B">
              <w:rPr>
                <w:color w:val="000000" w:themeColor="text1"/>
              </w:rPr>
              <w:t>2005</w:t>
            </w:r>
          </w:p>
        </w:tc>
        <w:tc>
          <w:tcPr>
            <w:tcW w:w="2500" w:type="pct"/>
            <w:tcBorders>
              <w:top w:val="single" w:sz="4" w:space="0" w:color="auto"/>
              <w:right w:val="single" w:sz="4" w:space="0" w:color="auto"/>
            </w:tcBorders>
            <w:shd w:val="clear" w:color="auto" w:fill="auto"/>
            <w:vAlign w:val="center"/>
          </w:tcPr>
          <w:p w14:paraId="17CC8BB4" w14:textId="77777777" w:rsidR="00E30D86" w:rsidRPr="00ED172B" w:rsidRDefault="00E30D86" w:rsidP="00C15786">
            <w:pPr>
              <w:jc w:val="center"/>
              <w:rPr>
                <w:b/>
                <w:color w:val="000000" w:themeColor="text1"/>
              </w:rPr>
            </w:pPr>
            <w:r w:rsidRPr="00ED172B">
              <w:rPr>
                <w:color w:val="000000" w:themeColor="text1"/>
              </w:rPr>
              <w:t>0.75%</w:t>
            </w:r>
          </w:p>
        </w:tc>
      </w:tr>
    </w:tbl>
    <w:p w14:paraId="130E6FAB" w14:textId="77777777" w:rsidR="004A7446" w:rsidRPr="00ED172B" w:rsidRDefault="004A7446">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HISTDATA"/>
      </w:tblPr>
      <w:tblGrid>
        <w:gridCol w:w="895"/>
        <w:gridCol w:w="2070"/>
        <w:gridCol w:w="2214"/>
        <w:gridCol w:w="1871"/>
        <w:gridCol w:w="1871"/>
        <w:gridCol w:w="1869"/>
      </w:tblGrid>
      <w:tr w:rsidR="00ED172B" w:rsidRPr="00ED172B" w14:paraId="6AA3204D" w14:textId="77777777" w:rsidTr="00986B99">
        <w:trPr>
          <w:trHeight w:val="260"/>
        </w:trPr>
        <w:tc>
          <w:tcPr>
            <w:tcW w:w="415" w:type="pct"/>
            <w:tcBorders>
              <w:bottom w:val="single" w:sz="4" w:space="0" w:color="auto"/>
            </w:tcBorders>
            <w:shd w:val="clear" w:color="auto" w:fill="auto"/>
          </w:tcPr>
          <w:p w14:paraId="765D4B8A" w14:textId="77777777" w:rsidR="0085799B" w:rsidRPr="00ED172B" w:rsidRDefault="0085799B" w:rsidP="00186420">
            <w:pPr>
              <w:jc w:val="center"/>
              <w:rPr>
                <w:b/>
                <w:color w:val="000000" w:themeColor="text1"/>
                <w:szCs w:val="16"/>
              </w:rPr>
            </w:pPr>
            <w:r w:rsidRPr="00ED172B">
              <w:rPr>
                <w:b/>
                <w:color w:val="000000" w:themeColor="text1"/>
                <w:szCs w:val="16"/>
              </w:rPr>
              <w:t>FFY</w:t>
            </w:r>
          </w:p>
        </w:tc>
        <w:tc>
          <w:tcPr>
            <w:tcW w:w="959" w:type="pct"/>
            <w:shd w:val="clear" w:color="auto" w:fill="auto"/>
            <w:vAlign w:val="center"/>
          </w:tcPr>
          <w:p w14:paraId="7427E7A3" w14:textId="0F2057B6" w:rsidR="0085799B" w:rsidRPr="00ED172B" w:rsidRDefault="002163F2" w:rsidP="00CD79C5">
            <w:pPr>
              <w:jc w:val="center"/>
              <w:rPr>
                <w:b/>
                <w:color w:val="000000" w:themeColor="text1"/>
                <w:szCs w:val="16"/>
              </w:rPr>
            </w:pPr>
            <w:r w:rsidRPr="00ED172B">
              <w:rPr>
                <w:rFonts w:cs="Arial"/>
                <w:b/>
                <w:color w:val="000000" w:themeColor="text1"/>
                <w:szCs w:val="16"/>
              </w:rPr>
              <w:t>2017</w:t>
            </w:r>
          </w:p>
        </w:tc>
        <w:tc>
          <w:tcPr>
            <w:tcW w:w="1026" w:type="pct"/>
            <w:shd w:val="clear" w:color="auto" w:fill="auto"/>
            <w:vAlign w:val="center"/>
          </w:tcPr>
          <w:p w14:paraId="39EE57D2" w14:textId="6D1974D8" w:rsidR="0085799B" w:rsidRPr="00ED172B" w:rsidRDefault="002163F2" w:rsidP="00CD79C5">
            <w:pPr>
              <w:jc w:val="center"/>
              <w:rPr>
                <w:b/>
                <w:color w:val="000000" w:themeColor="text1"/>
                <w:szCs w:val="16"/>
              </w:rPr>
            </w:pPr>
            <w:r w:rsidRPr="00ED172B">
              <w:rPr>
                <w:rFonts w:cs="Arial"/>
                <w:b/>
                <w:color w:val="000000" w:themeColor="text1"/>
                <w:szCs w:val="16"/>
              </w:rPr>
              <w:t>2018</w:t>
            </w:r>
          </w:p>
        </w:tc>
        <w:tc>
          <w:tcPr>
            <w:tcW w:w="867" w:type="pct"/>
            <w:shd w:val="clear" w:color="auto" w:fill="auto"/>
            <w:vAlign w:val="center"/>
          </w:tcPr>
          <w:p w14:paraId="07ABD3A8" w14:textId="775D53FD" w:rsidR="0085799B" w:rsidRPr="00ED172B" w:rsidRDefault="002163F2" w:rsidP="00CD79C5">
            <w:pPr>
              <w:jc w:val="center"/>
              <w:rPr>
                <w:b/>
                <w:color w:val="000000" w:themeColor="text1"/>
                <w:szCs w:val="16"/>
              </w:rPr>
            </w:pPr>
            <w:r w:rsidRPr="00ED172B">
              <w:rPr>
                <w:rFonts w:cs="Arial"/>
                <w:b/>
                <w:color w:val="000000" w:themeColor="text1"/>
                <w:szCs w:val="16"/>
              </w:rPr>
              <w:t>2019</w:t>
            </w:r>
          </w:p>
        </w:tc>
        <w:tc>
          <w:tcPr>
            <w:tcW w:w="867" w:type="pct"/>
            <w:shd w:val="clear" w:color="auto" w:fill="auto"/>
            <w:vAlign w:val="center"/>
          </w:tcPr>
          <w:p w14:paraId="65E388A1" w14:textId="63D1B2DC" w:rsidR="0085799B" w:rsidRPr="00ED172B" w:rsidRDefault="002163F2" w:rsidP="00CD79C5">
            <w:pPr>
              <w:jc w:val="center"/>
              <w:rPr>
                <w:b/>
                <w:color w:val="000000" w:themeColor="text1"/>
                <w:szCs w:val="16"/>
              </w:rPr>
            </w:pPr>
            <w:r w:rsidRPr="00ED172B">
              <w:rPr>
                <w:rFonts w:cs="Arial"/>
                <w:b/>
                <w:color w:val="000000" w:themeColor="text1"/>
                <w:szCs w:val="16"/>
              </w:rPr>
              <w:t>2020</w:t>
            </w:r>
          </w:p>
        </w:tc>
        <w:tc>
          <w:tcPr>
            <w:tcW w:w="866" w:type="pct"/>
            <w:shd w:val="clear" w:color="auto" w:fill="auto"/>
            <w:vAlign w:val="center"/>
          </w:tcPr>
          <w:p w14:paraId="64FD75F5" w14:textId="72D6F5D5" w:rsidR="0085799B" w:rsidRPr="00ED172B" w:rsidRDefault="006D43D3" w:rsidP="00CD79C5">
            <w:pPr>
              <w:jc w:val="center"/>
              <w:rPr>
                <w:b/>
                <w:color w:val="000000" w:themeColor="text1"/>
                <w:szCs w:val="16"/>
              </w:rPr>
            </w:pPr>
            <w:r w:rsidRPr="00ED172B">
              <w:rPr>
                <w:rFonts w:cs="Arial"/>
                <w:b/>
                <w:color w:val="000000" w:themeColor="text1"/>
                <w:szCs w:val="16"/>
              </w:rPr>
              <w:t>2021</w:t>
            </w:r>
          </w:p>
        </w:tc>
      </w:tr>
      <w:tr w:rsidR="00ED172B" w:rsidRPr="00ED172B" w14:paraId="06A3AA4A" w14:textId="77777777" w:rsidTr="00986B99">
        <w:trPr>
          <w:trHeight w:val="357"/>
        </w:trPr>
        <w:tc>
          <w:tcPr>
            <w:tcW w:w="415" w:type="pct"/>
            <w:shd w:val="clear" w:color="auto" w:fill="auto"/>
          </w:tcPr>
          <w:p w14:paraId="0F1B242F" w14:textId="0D1F307B" w:rsidR="0085799B" w:rsidRPr="00ED172B" w:rsidRDefault="0085799B" w:rsidP="00D21F29">
            <w:pPr>
              <w:jc w:val="center"/>
              <w:rPr>
                <w:color w:val="000000" w:themeColor="text1"/>
                <w:szCs w:val="16"/>
              </w:rPr>
            </w:pPr>
            <w:r w:rsidRPr="00ED172B">
              <w:rPr>
                <w:color w:val="000000" w:themeColor="text1"/>
                <w:szCs w:val="16"/>
              </w:rPr>
              <w:t xml:space="preserve">Target </w:t>
            </w:r>
            <w:r w:rsidR="00E03916" w:rsidRPr="00ED172B">
              <w:rPr>
                <w:rFonts w:cs="Arial"/>
                <w:color w:val="000000" w:themeColor="text1"/>
                <w:szCs w:val="16"/>
              </w:rPr>
              <w:t>&gt;</w:t>
            </w:r>
            <w:r w:rsidR="007C364C" w:rsidRPr="00ED172B">
              <w:rPr>
                <w:rFonts w:cs="Arial"/>
                <w:color w:val="000000" w:themeColor="text1"/>
                <w:szCs w:val="16"/>
              </w:rPr>
              <w:t>=</w:t>
            </w:r>
          </w:p>
        </w:tc>
        <w:tc>
          <w:tcPr>
            <w:tcW w:w="959" w:type="pct"/>
            <w:shd w:val="clear" w:color="auto" w:fill="auto"/>
            <w:vAlign w:val="center"/>
          </w:tcPr>
          <w:p w14:paraId="1F47DC5E" w14:textId="0093849A" w:rsidR="0085799B" w:rsidRPr="00ED172B" w:rsidRDefault="00860830" w:rsidP="00CD79C5">
            <w:pPr>
              <w:jc w:val="center"/>
              <w:rPr>
                <w:color w:val="000000" w:themeColor="text1"/>
                <w:szCs w:val="16"/>
              </w:rPr>
            </w:pPr>
            <w:r w:rsidRPr="00ED172B">
              <w:rPr>
                <w:rFonts w:cs="Arial"/>
                <w:color w:val="000000" w:themeColor="text1"/>
                <w:szCs w:val="16"/>
              </w:rPr>
              <w:t>0.80%</w:t>
            </w:r>
          </w:p>
        </w:tc>
        <w:tc>
          <w:tcPr>
            <w:tcW w:w="1026" w:type="pct"/>
            <w:shd w:val="clear" w:color="auto" w:fill="auto"/>
            <w:vAlign w:val="center"/>
          </w:tcPr>
          <w:p w14:paraId="22DDCBF4" w14:textId="3652B7FA" w:rsidR="0085799B" w:rsidRPr="00ED172B" w:rsidRDefault="00292265" w:rsidP="00CD79C5">
            <w:pPr>
              <w:jc w:val="center"/>
              <w:rPr>
                <w:color w:val="000000" w:themeColor="text1"/>
                <w:szCs w:val="16"/>
              </w:rPr>
            </w:pPr>
            <w:r w:rsidRPr="00ED172B">
              <w:rPr>
                <w:rFonts w:cs="Arial"/>
                <w:color w:val="000000" w:themeColor="text1"/>
                <w:szCs w:val="16"/>
              </w:rPr>
              <w:t>0.80%</w:t>
            </w:r>
          </w:p>
        </w:tc>
        <w:tc>
          <w:tcPr>
            <w:tcW w:w="867" w:type="pct"/>
            <w:shd w:val="clear" w:color="auto" w:fill="auto"/>
            <w:vAlign w:val="center"/>
          </w:tcPr>
          <w:p w14:paraId="31E62642" w14:textId="1E68B5DC" w:rsidR="0085799B" w:rsidRPr="00ED172B" w:rsidRDefault="00292265" w:rsidP="00CD79C5">
            <w:pPr>
              <w:jc w:val="center"/>
              <w:rPr>
                <w:color w:val="000000" w:themeColor="text1"/>
                <w:szCs w:val="16"/>
              </w:rPr>
            </w:pPr>
            <w:r w:rsidRPr="00ED172B">
              <w:rPr>
                <w:rFonts w:cs="Arial"/>
                <w:color w:val="000000" w:themeColor="text1"/>
                <w:szCs w:val="16"/>
              </w:rPr>
              <w:t>0.80%</w:t>
            </w:r>
          </w:p>
        </w:tc>
        <w:tc>
          <w:tcPr>
            <w:tcW w:w="867" w:type="pct"/>
            <w:shd w:val="clear" w:color="auto" w:fill="auto"/>
            <w:vAlign w:val="center"/>
          </w:tcPr>
          <w:p w14:paraId="65568AEA" w14:textId="3215752A" w:rsidR="0085799B" w:rsidRPr="00ED172B" w:rsidRDefault="00292265" w:rsidP="00CD79C5">
            <w:pPr>
              <w:jc w:val="center"/>
              <w:rPr>
                <w:color w:val="000000" w:themeColor="text1"/>
                <w:szCs w:val="16"/>
              </w:rPr>
            </w:pPr>
            <w:r w:rsidRPr="00ED172B">
              <w:rPr>
                <w:rFonts w:cs="Arial"/>
                <w:color w:val="000000" w:themeColor="text1"/>
                <w:szCs w:val="16"/>
              </w:rPr>
              <w:t>0.80%</w:t>
            </w:r>
          </w:p>
        </w:tc>
        <w:tc>
          <w:tcPr>
            <w:tcW w:w="866" w:type="pct"/>
            <w:shd w:val="clear" w:color="auto" w:fill="auto"/>
            <w:vAlign w:val="center"/>
          </w:tcPr>
          <w:p w14:paraId="441C2426" w14:textId="7C3CA798" w:rsidR="0085799B" w:rsidRPr="00ED172B" w:rsidRDefault="00292265" w:rsidP="00CD79C5">
            <w:pPr>
              <w:jc w:val="center"/>
              <w:rPr>
                <w:color w:val="000000" w:themeColor="text1"/>
                <w:szCs w:val="16"/>
              </w:rPr>
            </w:pPr>
            <w:r w:rsidRPr="00ED172B">
              <w:rPr>
                <w:rFonts w:cs="Arial"/>
                <w:color w:val="000000" w:themeColor="text1"/>
                <w:szCs w:val="16"/>
              </w:rPr>
              <w:t>0.81%</w:t>
            </w:r>
          </w:p>
        </w:tc>
      </w:tr>
      <w:tr w:rsidR="00ED172B" w:rsidRPr="00ED172B" w14:paraId="341885EA" w14:textId="77777777" w:rsidTr="00986B99">
        <w:trPr>
          <w:trHeight w:val="85"/>
        </w:trPr>
        <w:tc>
          <w:tcPr>
            <w:tcW w:w="415" w:type="pct"/>
            <w:shd w:val="clear" w:color="auto" w:fill="auto"/>
          </w:tcPr>
          <w:p w14:paraId="4FC87C40" w14:textId="77777777" w:rsidR="0085799B" w:rsidRPr="00ED172B" w:rsidRDefault="0085799B" w:rsidP="00D21F29">
            <w:pPr>
              <w:jc w:val="center"/>
              <w:rPr>
                <w:color w:val="000000" w:themeColor="text1"/>
                <w:szCs w:val="16"/>
              </w:rPr>
            </w:pPr>
            <w:r w:rsidRPr="00ED172B">
              <w:rPr>
                <w:color w:val="000000" w:themeColor="text1"/>
                <w:szCs w:val="16"/>
              </w:rPr>
              <w:t>Data</w:t>
            </w:r>
          </w:p>
        </w:tc>
        <w:tc>
          <w:tcPr>
            <w:tcW w:w="959" w:type="pct"/>
            <w:shd w:val="clear" w:color="auto" w:fill="auto"/>
            <w:vAlign w:val="center"/>
          </w:tcPr>
          <w:p w14:paraId="595372E6" w14:textId="645F6BA6" w:rsidR="0085799B" w:rsidRPr="00ED172B" w:rsidRDefault="00860830" w:rsidP="00CD79C5">
            <w:pPr>
              <w:jc w:val="center"/>
              <w:rPr>
                <w:color w:val="000000" w:themeColor="text1"/>
                <w:szCs w:val="16"/>
              </w:rPr>
            </w:pPr>
            <w:r w:rsidRPr="00ED172B">
              <w:rPr>
                <w:rFonts w:cs="Arial"/>
                <w:color w:val="000000" w:themeColor="text1"/>
                <w:szCs w:val="16"/>
              </w:rPr>
              <w:t>0.94%</w:t>
            </w:r>
          </w:p>
        </w:tc>
        <w:tc>
          <w:tcPr>
            <w:tcW w:w="1026" w:type="pct"/>
            <w:shd w:val="clear" w:color="auto" w:fill="auto"/>
            <w:vAlign w:val="center"/>
          </w:tcPr>
          <w:p w14:paraId="716BBE9D" w14:textId="282D2807" w:rsidR="0085799B" w:rsidRPr="00ED172B" w:rsidRDefault="00860830" w:rsidP="00CD79C5">
            <w:pPr>
              <w:jc w:val="center"/>
              <w:rPr>
                <w:color w:val="000000" w:themeColor="text1"/>
                <w:szCs w:val="16"/>
              </w:rPr>
            </w:pPr>
            <w:r w:rsidRPr="00ED172B">
              <w:rPr>
                <w:rFonts w:cs="Arial"/>
                <w:color w:val="000000" w:themeColor="text1"/>
                <w:szCs w:val="16"/>
              </w:rPr>
              <w:t>0.98%</w:t>
            </w:r>
          </w:p>
        </w:tc>
        <w:tc>
          <w:tcPr>
            <w:tcW w:w="867" w:type="pct"/>
            <w:tcBorders>
              <w:bottom w:val="single" w:sz="4" w:space="0" w:color="auto"/>
            </w:tcBorders>
            <w:shd w:val="clear" w:color="auto" w:fill="auto"/>
            <w:vAlign w:val="center"/>
          </w:tcPr>
          <w:p w14:paraId="4D7C7DCD" w14:textId="37099124" w:rsidR="0085799B" w:rsidRPr="00ED172B" w:rsidRDefault="00860830" w:rsidP="00CD79C5">
            <w:pPr>
              <w:jc w:val="center"/>
              <w:rPr>
                <w:color w:val="000000" w:themeColor="text1"/>
                <w:szCs w:val="16"/>
              </w:rPr>
            </w:pPr>
            <w:r w:rsidRPr="00ED172B">
              <w:rPr>
                <w:rFonts w:cs="Arial"/>
                <w:color w:val="000000" w:themeColor="text1"/>
                <w:szCs w:val="16"/>
              </w:rPr>
              <w:t>1.04%</w:t>
            </w:r>
          </w:p>
        </w:tc>
        <w:tc>
          <w:tcPr>
            <w:tcW w:w="867" w:type="pct"/>
            <w:tcBorders>
              <w:bottom w:val="single" w:sz="4" w:space="0" w:color="auto"/>
            </w:tcBorders>
            <w:shd w:val="clear" w:color="auto" w:fill="auto"/>
            <w:vAlign w:val="center"/>
          </w:tcPr>
          <w:p w14:paraId="3BF3098C" w14:textId="188C4AF7" w:rsidR="0085799B" w:rsidRPr="00ED172B" w:rsidRDefault="00860830" w:rsidP="00CD79C5">
            <w:pPr>
              <w:jc w:val="center"/>
              <w:rPr>
                <w:color w:val="000000" w:themeColor="text1"/>
                <w:szCs w:val="16"/>
              </w:rPr>
            </w:pPr>
            <w:r w:rsidRPr="00ED172B">
              <w:rPr>
                <w:rFonts w:cs="Arial"/>
                <w:color w:val="000000" w:themeColor="text1"/>
                <w:szCs w:val="16"/>
              </w:rPr>
              <w:t>0.78%</w:t>
            </w:r>
          </w:p>
        </w:tc>
        <w:tc>
          <w:tcPr>
            <w:tcW w:w="866" w:type="pct"/>
            <w:tcBorders>
              <w:bottom w:val="single" w:sz="4" w:space="0" w:color="auto"/>
            </w:tcBorders>
            <w:shd w:val="clear" w:color="auto" w:fill="auto"/>
            <w:vAlign w:val="center"/>
          </w:tcPr>
          <w:p w14:paraId="75C22529" w14:textId="6C0AD871" w:rsidR="0085799B" w:rsidRPr="00ED172B" w:rsidRDefault="00860830" w:rsidP="00CD79C5">
            <w:pPr>
              <w:jc w:val="center"/>
              <w:rPr>
                <w:color w:val="000000" w:themeColor="text1"/>
                <w:szCs w:val="16"/>
              </w:rPr>
            </w:pPr>
            <w:r w:rsidRPr="00ED172B">
              <w:rPr>
                <w:rFonts w:cs="Arial"/>
                <w:color w:val="000000" w:themeColor="text1"/>
                <w:szCs w:val="16"/>
              </w:rPr>
              <w:t>0.94%</w:t>
            </w:r>
          </w:p>
        </w:tc>
      </w:tr>
    </w:tbl>
    <w:p w14:paraId="2BD62AC4" w14:textId="77777777" w:rsidR="0085799B" w:rsidRPr="00ED172B" w:rsidRDefault="0085799B">
      <w:pPr>
        <w:rPr>
          <w:b/>
          <w:color w:val="000000" w:themeColor="text1"/>
        </w:rPr>
      </w:pPr>
      <w:r w:rsidRPr="00ED172B">
        <w:rPr>
          <w:b/>
          <w:color w:val="000000" w:themeColor="text1"/>
        </w:rPr>
        <w:t>Targets</w:t>
      </w:r>
    </w:p>
    <w:tbl>
      <w:tblPr>
        <w:tblW w:w="35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TARGETS"/>
      </w:tblPr>
      <w:tblGrid>
        <w:gridCol w:w="898"/>
        <w:gridCol w:w="2206"/>
        <w:gridCol w:w="1549"/>
        <w:gridCol w:w="1548"/>
        <w:gridCol w:w="1548"/>
      </w:tblGrid>
      <w:tr w:rsidR="00C843AF" w:rsidRPr="00ED172B" w14:paraId="74AFA9B9" w14:textId="3E825C5D" w:rsidTr="00E415ED">
        <w:trPr>
          <w:trHeight w:val="116"/>
        </w:trPr>
        <w:tc>
          <w:tcPr>
            <w:tcW w:w="579" w:type="pct"/>
            <w:tcBorders>
              <w:bottom w:val="single" w:sz="4" w:space="0" w:color="auto"/>
            </w:tcBorders>
            <w:shd w:val="clear" w:color="auto" w:fill="auto"/>
          </w:tcPr>
          <w:p w14:paraId="523362FD" w14:textId="77777777" w:rsidR="00C843AF" w:rsidRPr="00ED172B" w:rsidRDefault="00C843AF" w:rsidP="006B2FE9">
            <w:pPr>
              <w:jc w:val="center"/>
              <w:rPr>
                <w:b/>
                <w:color w:val="000000" w:themeColor="text1"/>
                <w:szCs w:val="16"/>
              </w:rPr>
            </w:pPr>
            <w:r w:rsidRPr="00ED172B">
              <w:rPr>
                <w:b/>
                <w:color w:val="000000" w:themeColor="text1"/>
                <w:szCs w:val="16"/>
              </w:rPr>
              <w:t>FFY</w:t>
            </w:r>
          </w:p>
        </w:tc>
        <w:tc>
          <w:tcPr>
            <w:tcW w:w="1423" w:type="pct"/>
            <w:shd w:val="clear" w:color="auto" w:fill="auto"/>
            <w:vAlign w:val="center"/>
          </w:tcPr>
          <w:p w14:paraId="1869702F" w14:textId="32C21C20" w:rsidR="00C843AF" w:rsidRPr="00ED172B" w:rsidRDefault="00C843AF" w:rsidP="006B2FE9">
            <w:pPr>
              <w:jc w:val="center"/>
              <w:rPr>
                <w:b/>
                <w:color w:val="000000" w:themeColor="text1"/>
                <w:szCs w:val="16"/>
              </w:rPr>
            </w:pPr>
            <w:r w:rsidRPr="00ED172B">
              <w:rPr>
                <w:rFonts w:cs="Arial"/>
                <w:b/>
                <w:color w:val="000000" w:themeColor="text1"/>
                <w:szCs w:val="16"/>
              </w:rPr>
              <w:t>2022</w:t>
            </w:r>
          </w:p>
        </w:tc>
        <w:tc>
          <w:tcPr>
            <w:tcW w:w="999" w:type="pct"/>
          </w:tcPr>
          <w:p w14:paraId="1E994EDB" w14:textId="1B6309A9" w:rsidR="00C843AF" w:rsidRPr="00ED172B" w:rsidRDefault="00C843AF" w:rsidP="006B2FE9">
            <w:pPr>
              <w:jc w:val="center"/>
              <w:rPr>
                <w:rFonts w:cs="Arial"/>
                <w:b/>
                <w:color w:val="000000" w:themeColor="text1"/>
                <w:szCs w:val="16"/>
              </w:rPr>
            </w:pPr>
            <w:r>
              <w:rPr>
                <w:rFonts w:cs="Arial"/>
                <w:b/>
                <w:color w:val="000000" w:themeColor="text1"/>
                <w:szCs w:val="16"/>
              </w:rPr>
              <w:t>2023</w:t>
            </w:r>
          </w:p>
        </w:tc>
        <w:tc>
          <w:tcPr>
            <w:tcW w:w="999" w:type="pct"/>
          </w:tcPr>
          <w:p w14:paraId="7A72E812" w14:textId="41764C05" w:rsidR="00C843AF" w:rsidRPr="00ED172B" w:rsidRDefault="00C843AF" w:rsidP="006B2FE9">
            <w:pPr>
              <w:jc w:val="center"/>
              <w:rPr>
                <w:rFonts w:cs="Arial"/>
                <w:b/>
                <w:color w:val="000000" w:themeColor="text1"/>
                <w:szCs w:val="16"/>
              </w:rPr>
            </w:pPr>
            <w:r w:rsidRPr="005A1B4F">
              <w:rPr>
                <w:rFonts w:cs="Arial"/>
                <w:b/>
                <w:color w:val="000000" w:themeColor="text1"/>
                <w:szCs w:val="16"/>
              </w:rPr>
              <w:t>2024</w:t>
            </w:r>
          </w:p>
        </w:tc>
        <w:tc>
          <w:tcPr>
            <w:tcW w:w="999" w:type="pct"/>
          </w:tcPr>
          <w:p w14:paraId="253DE371" w14:textId="724F3B6C" w:rsidR="00C843AF" w:rsidRPr="00ED172B" w:rsidRDefault="00C843AF" w:rsidP="006B2FE9">
            <w:pPr>
              <w:jc w:val="center"/>
              <w:rPr>
                <w:rFonts w:cs="Arial"/>
                <w:b/>
                <w:color w:val="000000" w:themeColor="text1"/>
                <w:szCs w:val="16"/>
              </w:rPr>
            </w:pPr>
            <w:r w:rsidRPr="005A1B4F">
              <w:rPr>
                <w:rFonts w:cs="Arial"/>
                <w:b/>
                <w:color w:val="000000" w:themeColor="text1"/>
                <w:szCs w:val="16"/>
              </w:rPr>
              <w:t>2025</w:t>
            </w:r>
          </w:p>
        </w:tc>
      </w:tr>
      <w:tr w:rsidR="00C843AF" w:rsidRPr="00ED172B" w14:paraId="0186A9C7" w14:textId="618C48DC" w:rsidTr="00E415ED">
        <w:trPr>
          <w:trHeight w:val="47"/>
        </w:trPr>
        <w:tc>
          <w:tcPr>
            <w:tcW w:w="579" w:type="pct"/>
            <w:shd w:val="clear" w:color="auto" w:fill="auto"/>
          </w:tcPr>
          <w:p w14:paraId="120F223C" w14:textId="3DF65C2B" w:rsidR="00C843AF" w:rsidRPr="00ED172B" w:rsidRDefault="00C843AF" w:rsidP="00D21F29">
            <w:pPr>
              <w:jc w:val="center"/>
              <w:rPr>
                <w:color w:val="000000" w:themeColor="text1"/>
                <w:szCs w:val="16"/>
              </w:rPr>
            </w:pPr>
            <w:r w:rsidRPr="00ED172B">
              <w:rPr>
                <w:color w:val="000000" w:themeColor="text1"/>
                <w:szCs w:val="16"/>
              </w:rPr>
              <w:t xml:space="preserve">Target </w:t>
            </w:r>
            <w:r w:rsidRPr="00ED172B">
              <w:rPr>
                <w:rFonts w:cs="Arial"/>
                <w:color w:val="000000" w:themeColor="text1"/>
                <w:szCs w:val="16"/>
              </w:rPr>
              <w:t>&gt;=</w:t>
            </w:r>
          </w:p>
        </w:tc>
        <w:tc>
          <w:tcPr>
            <w:tcW w:w="1423" w:type="pct"/>
            <w:shd w:val="clear" w:color="auto" w:fill="auto"/>
            <w:vAlign w:val="center"/>
          </w:tcPr>
          <w:p w14:paraId="69A10D5E" w14:textId="2F3AB178" w:rsidR="00C843AF" w:rsidRPr="00ED172B" w:rsidRDefault="00C843AF" w:rsidP="006B2FE9">
            <w:pPr>
              <w:jc w:val="center"/>
              <w:rPr>
                <w:color w:val="000000" w:themeColor="text1"/>
              </w:rPr>
            </w:pPr>
            <w:r w:rsidRPr="00ED172B">
              <w:rPr>
                <w:color w:val="000000" w:themeColor="text1"/>
              </w:rPr>
              <w:t>0.81%</w:t>
            </w:r>
          </w:p>
        </w:tc>
        <w:tc>
          <w:tcPr>
            <w:tcW w:w="999" w:type="pct"/>
          </w:tcPr>
          <w:p w14:paraId="712AD20E" w14:textId="70001C50" w:rsidR="00C843AF" w:rsidRPr="00ED172B" w:rsidRDefault="00C843AF" w:rsidP="006B2FE9">
            <w:pPr>
              <w:jc w:val="center"/>
              <w:rPr>
                <w:color w:val="000000" w:themeColor="text1"/>
              </w:rPr>
            </w:pPr>
            <w:r>
              <w:rPr>
                <w:rFonts w:cs="Arial"/>
                <w:color w:val="000000" w:themeColor="text1"/>
                <w:szCs w:val="16"/>
              </w:rPr>
              <w:t>0.82%</w:t>
            </w:r>
          </w:p>
        </w:tc>
        <w:tc>
          <w:tcPr>
            <w:tcW w:w="999" w:type="pct"/>
          </w:tcPr>
          <w:p w14:paraId="12C95701" w14:textId="02635F0F" w:rsidR="00C843AF" w:rsidRPr="00ED172B" w:rsidRDefault="00C843AF" w:rsidP="006B2FE9">
            <w:pPr>
              <w:jc w:val="center"/>
              <w:rPr>
                <w:color w:val="000000" w:themeColor="text1"/>
              </w:rPr>
            </w:pPr>
            <w:r w:rsidRPr="005F5F3C">
              <w:rPr>
                <w:rFonts w:cs="Arial"/>
                <w:color w:val="000000" w:themeColor="text1"/>
                <w:szCs w:val="16"/>
              </w:rPr>
              <w:t>0.82%</w:t>
            </w:r>
          </w:p>
        </w:tc>
        <w:tc>
          <w:tcPr>
            <w:tcW w:w="999" w:type="pct"/>
          </w:tcPr>
          <w:p w14:paraId="511B74D7" w14:textId="61EB56D0" w:rsidR="00C843AF" w:rsidRPr="00ED172B" w:rsidRDefault="00C843AF" w:rsidP="006B2FE9">
            <w:pPr>
              <w:jc w:val="center"/>
              <w:rPr>
                <w:color w:val="000000" w:themeColor="text1"/>
              </w:rPr>
            </w:pPr>
            <w:r w:rsidRPr="005F5F3C">
              <w:rPr>
                <w:rFonts w:cs="Arial"/>
                <w:color w:val="000000" w:themeColor="text1"/>
                <w:szCs w:val="16"/>
              </w:rPr>
              <w:t>0.83%</w:t>
            </w:r>
          </w:p>
        </w:tc>
      </w:tr>
    </w:tbl>
    <w:bookmarkEnd w:id="32"/>
    <w:bookmarkEnd w:id="33"/>
    <w:p w14:paraId="6C92A891" w14:textId="13D24163" w:rsidR="00F80C9C" w:rsidRDefault="00F80C9C" w:rsidP="00F80C9C">
      <w:pPr>
        <w:pStyle w:val="Bold"/>
        <w:rPr>
          <w:color w:val="000000" w:themeColor="text1"/>
        </w:rPr>
      </w:pPr>
      <w:r w:rsidRPr="00ED172B">
        <w:rPr>
          <w:color w:val="000000" w:themeColor="text1"/>
        </w:rPr>
        <w:t xml:space="preserve">Targets: Description of Stakeholder Input </w:t>
      </w:r>
    </w:p>
    <w:p w14:paraId="564577F9" w14:textId="64F68B2E" w:rsidR="0053197E" w:rsidRDefault="00CF03E0" w:rsidP="00ED172B">
      <w:pPr>
        <w:rPr>
          <w:color w:val="000000" w:themeColor="text1"/>
        </w:rPr>
      </w:pPr>
      <w:r w:rsidRPr="00ED172B">
        <w:rPr>
          <w:color w:val="000000" w:themeColor="text1"/>
        </w:rPr>
        <w:t xml:space="preserve">The State engaged in broad stakeholder input on new targets established for FFY 2020-2025, reported in the 2021 submission. The State did not revise targets during this reporting period. Ongoing engagement included regular reports from the director and Agency staff to the State Interagency Coordinating Council, Regional Inclusive Services, and State Advisory Council on Special Education. Targeted engagement on personnel standards, the state systemic improvement plan and activities, strategies for improving access to inclusive early learning environments for children with disabilities, and updated guidance on discipline occurred throughout the reporting period. This included presentations during conferences, meetings, and advisory groups, updates to the Agency web pages, leveraging newsletters for Oregon Early Childhood Inclusion, webinars, and memorandums to district leadership and superintendents.  </w:t>
      </w:r>
      <w:r w:rsidRPr="00ED172B">
        <w:rPr>
          <w:color w:val="000000" w:themeColor="text1"/>
        </w:rPr>
        <w:br/>
        <w:t xml:space="preserve">The State engaged with various stakeholder groups to gather feedback on the revision of the EI/ECSE personnel standards. Multiple stakeholder engagement sessions were held with EI/ECSE practitioners, community partners, and families. The State partnered with a parent information and training center, Family and Community Together (FACT) Oregon, to host a feedback session with families of children receiving EI/ECSE services. Materials were made available in Spanish and Spanish translation was provided at the family feedback session.  </w:t>
      </w:r>
    </w:p>
    <w:p w14:paraId="50D1A7E1" w14:textId="184B178A" w:rsidR="00A2772B" w:rsidRPr="00ED172B" w:rsidRDefault="00A2772B" w:rsidP="00F80C9C">
      <w:pPr>
        <w:pStyle w:val="Bold"/>
        <w:rPr>
          <w:b w:val="0"/>
          <w:color w:val="000000" w:themeColor="text1"/>
        </w:rPr>
      </w:pPr>
    </w:p>
    <w:p w14:paraId="2C3700F9" w14:textId="77777777" w:rsidR="005918D1" w:rsidRPr="00ED172B" w:rsidRDefault="005918D1">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PREPOPDATA"/>
      </w:tblPr>
      <w:tblGrid>
        <w:gridCol w:w="2874"/>
        <w:gridCol w:w="3332"/>
        <w:gridCol w:w="2879"/>
        <w:gridCol w:w="1705"/>
      </w:tblGrid>
      <w:tr w:rsidR="00ED172B" w:rsidRPr="00ED172B" w14:paraId="0B010B04" w14:textId="77777777" w:rsidTr="00986B99">
        <w:trPr>
          <w:trHeight w:val="233"/>
          <w:tblHeader/>
        </w:trPr>
        <w:tc>
          <w:tcPr>
            <w:tcW w:w="1332" w:type="pct"/>
            <w:shd w:val="clear" w:color="auto" w:fill="auto"/>
          </w:tcPr>
          <w:p w14:paraId="552D1A8F"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Source</w:t>
            </w:r>
          </w:p>
        </w:tc>
        <w:tc>
          <w:tcPr>
            <w:tcW w:w="1544" w:type="pct"/>
            <w:shd w:val="clear" w:color="auto" w:fill="auto"/>
          </w:tcPr>
          <w:p w14:paraId="3E60D271"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Date</w:t>
            </w:r>
          </w:p>
        </w:tc>
        <w:tc>
          <w:tcPr>
            <w:tcW w:w="1334" w:type="pct"/>
            <w:shd w:val="clear" w:color="auto" w:fill="auto"/>
          </w:tcPr>
          <w:p w14:paraId="23760182"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Description</w:t>
            </w:r>
          </w:p>
        </w:tc>
        <w:tc>
          <w:tcPr>
            <w:tcW w:w="791" w:type="pct"/>
            <w:shd w:val="clear" w:color="auto" w:fill="auto"/>
          </w:tcPr>
          <w:p w14:paraId="0124A482"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Data</w:t>
            </w:r>
          </w:p>
        </w:tc>
      </w:tr>
      <w:tr w:rsidR="00ED172B" w:rsidRPr="00ED172B" w14:paraId="671BDF4C" w14:textId="77777777" w:rsidTr="00986B99">
        <w:trPr>
          <w:trHeight w:val="380"/>
        </w:trPr>
        <w:tc>
          <w:tcPr>
            <w:tcW w:w="1332" w:type="pct"/>
            <w:shd w:val="clear" w:color="auto" w:fill="auto"/>
          </w:tcPr>
          <w:p w14:paraId="421054C5" w14:textId="1E915927" w:rsidR="000709B9" w:rsidRPr="00ED172B" w:rsidRDefault="00753E04" w:rsidP="000709B9">
            <w:pPr>
              <w:jc w:val="center"/>
              <w:rPr>
                <w:rFonts w:cs="Arial"/>
                <w:color w:val="000000" w:themeColor="text1"/>
                <w:szCs w:val="16"/>
              </w:rPr>
            </w:pPr>
            <w:r w:rsidRPr="00ED172B">
              <w:rPr>
                <w:rFonts w:cs="Arial"/>
                <w:color w:val="000000" w:themeColor="text1"/>
                <w:szCs w:val="16"/>
              </w:rPr>
              <w:t>SY 2022-23 EMAPS IDEA Part C Child Count and Settings Survey; Section A: Child Count and Settings by Age</w:t>
            </w:r>
          </w:p>
        </w:tc>
        <w:tc>
          <w:tcPr>
            <w:tcW w:w="1544" w:type="pct"/>
            <w:shd w:val="clear" w:color="auto" w:fill="auto"/>
          </w:tcPr>
          <w:p w14:paraId="0790EBE0" w14:textId="3F6DEC47" w:rsidR="000709B9" w:rsidRPr="00ED172B" w:rsidRDefault="00753E04" w:rsidP="000709B9">
            <w:pPr>
              <w:jc w:val="center"/>
              <w:rPr>
                <w:rFonts w:cs="Arial"/>
                <w:color w:val="000000" w:themeColor="text1"/>
                <w:szCs w:val="16"/>
              </w:rPr>
            </w:pPr>
            <w:r w:rsidRPr="00ED172B">
              <w:rPr>
                <w:rFonts w:cs="Arial"/>
                <w:color w:val="000000" w:themeColor="text1"/>
                <w:szCs w:val="16"/>
              </w:rPr>
              <w:t>08/30/2023</w:t>
            </w:r>
          </w:p>
        </w:tc>
        <w:tc>
          <w:tcPr>
            <w:tcW w:w="1334" w:type="pct"/>
            <w:shd w:val="clear" w:color="auto" w:fill="auto"/>
          </w:tcPr>
          <w:p w14:paraId="5DB5AFD6" w14:textId="50B3434B" w:rsidR="000709B9" w:rsidRPr="00ED172B" w:rsidRDefault="000709B9" w:rsidP="000709B9">
            <w:pPr>
              <w:jc w:val="center"/>
              <w:rPr>
                <w:rFonts w:cs="Arial"/>
                <w:color w:val="000000" w:themeColor="text1"/>
                <w:szCs w:val="16"/>
              </w:rPr>
            </w:pPr>
            <w:r w:rsidRPr="00ED172B">
              <w:rPr>
                <w:rFonts w:cs="Arial"/>
                <w:color w:val="000000" w:themeColor="text1"/>
                <w:szCs w:val="16"/>
              </w:rPr>
              <w:t>Number of infants and toddlers birth to 1 with IFSPs</w:t>
            </w:r>
          </w:p>
        </w:tc>
        <w:tc>
          <w:tcPr>
            <w:tcW w:w="791" w:type="pct"/>
            <w:shd w:val="clear" w:color="auto" w:fill="auto"/>
          </w:tcPr>
          <w:p w14:paraId="1E279F2D" w14:textId="0E5C0687" w:rsidR="000709B9" w:rsidRPr="00ED172B" w:rsidRDefault="00860830" w:rsidP="000709B9">
            <w:pPr>
              <w:jc w:val="center"/>
              <w:rPr>
                <w:rFonts w:cs="Arial"/>
                <w:color w:val="000000" w:themeColor="text1"/>
                <w:szCs w:val="16"/>
              </w:rPr>
            </w:pPr>
            <w:r w:rsidRPr="00ED172B">
              <w:rPr>
                <w:color w:val="000000" w:themeColor="text1"/>
                <w:szCs w:val="16"/>
              </w:rPr>
              <w:t>417</w:t>
            </w:r>
          </w:p>
        </w:tc>
      </w:tr>
      <w:tr w:rsidR="00ED172B" w:rsidRPr="00ED172B" w14:paraId="189CFC15" w14:textId="77777777" w:rsidTr="00986B99">
        <w:trPr>
          <w:trHeight w:val="380"/>
        </w:trPr>
        <w:tc>
          <w:tcPr>
            <w:tcW w:w="1332" w:type="pct"/>
            <w:shd w:val="clear" w:color="auto" w:fill="auto"/>
          </w:tcPr>
          <w:p w14:paraId="335264B7" w14:textId="790A9EE8" w:rsidR="000709B9" w:rsidRPr="00ED172B" w:rsidRDefault="00753E04" w:rsidP="000709B9">
            <w:pPr>
              <w:jc w:val="center"/>
              <w:rPr>
                <w:rFonts w:cs="Arial"/>
                <w:color w:val="000000" w:themeColor="text1"/>
                <w:szCs w:val="16"/>
              </w:rPr>
            </w:pPr>
            <w:r w:rsidRPr="00ED172B">
              <w:rPr>
                <w:rFonts w:cs="Arial"/>
                <w:color w:val="000000" w:themeColor="text1"/>
                <w:szCs w:val="16"/>
                <w:shd w:val="clear" w:color="auto" w:fill="FFFFFF"/>
              </w:rPr>
              <w:t xml:space="preserve">Annual State Resident Population Estimates for 6 Race Groups (5 Race Alone Groups and Two or More Races) by Age, Sex, and Hispanic Origin: April 1, </w:t>
            </w:r>
            <w:proofErr w:type="gramStart"/>
            <w:r w:rsidRPr="00ED172B">
              <w:rPr>
                <w:rFonts w:cs="Arial"/>
                <w:color w:val="000000" w:themeColor="text1"/>
                <w:szCs w:val="16"/>
                <w:shd w:val="clear" w:color="auto" w:fill="FFFFFF"/>
              </w:rPr>
              <w:t>2020</w:t>
            </w:r>
            <w:proofErr w:type="gramEnd"/>
            <w:r w:rsidRPr="00ED172B">
              <w:rPr>
                <w:rFonts w:cs="Arial"/>
                <w:color w:val="000000" w:themeColor="text1"/>
                <w:szCs w:val="16"/>
                <w:shd w:val="clear" w:color="auto" w:fill="FFFFFF"/>
              </w:rPr>
              <w:t xml:space="preserve"> to July 1, 2021</w:t>
            </w:r>
          </w:p>
        </w:tc>
        <w:tc>
          <w:tcPr>
            <w:tcW w:w="1544" w:type="pct"/>
            <w:shd w:val="clear" w:color="auto" w:fill="auto"/>
          </w:tcPr>
          <w:p w14:paraId="7AEE8EDA" w14:textId="424A4217" w:rsidR="000709B9" w:rsidRPr="00ED172B" w:rsidRDefault="00753E04" w:rsidP="000709B9">
            <w:pPr>
              <w:jc w:val="center"/>
              <w:rPr>
                <w:rFonts w:cs="Arial"/>
                <w:color w:val="000000" w:themeColor="text1"/>
                <w:szCs w:val="16"/>
              </w:rPr>
            </w:pPr>
            <w:r w:rsidRPr="00ED172B">
              <w:rPr>
                <w:rFonts w:cs="Arial"/>
                <w:color w:val="000000" w:themeColor="text1"/>
                <w:szCs w:val="16"/>
                <w:shd w:val="clear" w:color="auto" w:fill="FFFFFF"/>
              </w:rPr>
              <w:t>06/20/2023</w:t>
            </w:r>
          </w:p>
        </w:tc>
        <w:tc>
          <w:tcPr>
            <w:tcW w:w="1334" w:type="pct"/>
            <w:shd w:val="clear" w:color="auto" w:fill="auto"/>
          </w:tcPr>
          <w:p w14:paraId="2CEB4140" w14:textId="39C790A3" w:rsidR="000709B9" w:rsidRPr="00ED172B" w:rsidRDefault="000709B9" w:rsidP="000709B9">
            <w:pPr>
              <w:jc w:val="center"/>
              <w:rPr>
                <w:rFonts w:cs="Arial"/>
                <w:color w:val="000000" w:themeColor="text1"/>
                <w:szCs w:val="16"/>
              </w:rPr>
            </w:pPr>
            <w:r w:rsidRPr="00ED172B">
              <w:rPr>
                <w:rFonts w:cs="Arial"/>
                <w:color w:val="000000" w:themeColor="text1"/>
                <w:szCs w:val="16"/>
              </w:rPr>
              <w:t>Population of infants and toddlers birth to 1</w:t>
            </w:r>
          </w:p>
        </w:tc>
        <w:tc>
          <w:tcPr>
            <w:tcW w:w="791" w:type="pct"/>
            <w:shd w:val="clear" w:color="auto" w:fill="auto"/>
          </w:tcPr>
          <w:p w14:paraId="5832F80F" w14:textId="08624C1E" w:rsidR="000709B9" w:rsidRPr="00ED172B" w:rsidRDefault="00860830" w:rsidP="000709B9">
            <w:pPr>
              <w:jc w:val="center"/>
              <w:rPr>
                <w:rFonts w:cs="Arial"/>
                <w:color w:val="000000" w:themeColor="text1"/>
                <w:szCs w:val="16"/>
              </w:rPr>
            </w:pPr>
            <w:r w:rsidRPr="00ED172B">
              <w:rPr>
                <w:color w:val="000000" w:themeColor="text1"/>
                <w:szCs w:val="16"/>
              </w:rPr>
              <w:t>41,052</w:t>
            </w:r>
          </w:p>
        </w:tc>
      </w:tr>
    </w:tbl>
    <w:p w14:paraId="10606B16" w14:textId="29BD186B" w:rsidR="005918D1" w:rsidRPr="00ED172B" w:rsidRDefault="00F22D09">
      <w:pPr>
        <w:rPr>
          <w:b/>
          <w:color w:val="000000" w:themeColor="text1"/>
        </w:rPr>
      </w:pPr>
      <w:r>
        <w:rPr>
          <w:b/>
          <w:color w:val="000000" w:themeColor="text1"/>
        </w:rPr>
        <w:t>FFY 2022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FFYAPRDATA"/>
      </w:tblPr>
      <w:tblGrid>
        <w:gridCol w:w="2610"/>
        <w:gridCol w:w="1982"/>
        <w:gridCol w:w="1442"/>
        <w:gridCol w:w="1349"/>
        <w:gridCol w:w="1170"/>
        <w:gridCol w:w="1170"/>
        <w:gridCol w:w="1071"/>
      </w:tblGrid>
      <w:tr w:rsidR="00ED172B" w:rsidRPr="00ED172B" w14:paraId="46554450" w14:textId="77777777" w:rsidTr="00986B99">
        <w:trPr>
          <w:trHeight w:val="359"/>
          <w:tblHeader/>
        </w:trPr>
        <w:tc>
          <w:tcPr>
            <w:tcW w:w="1209" w:type="pct"/>
            <w:shd w:val="clear" w:color="auto" w:fill="auto"/>
            <w:vAlign w:val="bottom"/>
          </w:tcPr>
          <w:p w14:paraId="5DF8D6E6" w14:textId="41F8047A" w:rsidR="00967D30" w:rsidRPr="00ED172B" w:rsidRDefault="00967D30" w:rsidP="00967D30">
            <w:pPr>
              <w:jc w:val="center"/>
              <w:rPr>
                <w:rFonts w:cs="Arial"/>
                <w:b/>
                <w:color w:val="000000" w:themeColor="text1"/>
                <w:szCs w:val="16"/>
              </w:rPr>
            </w:pPr>
            <w:r w:rsidRPr="00ED172B">
              <w:rPr>
                <w:rFonts w:cs="Arial"/>
                <w:b/>
                <w:color w:val="000000" w:themeColor="text1"/>
                <w:szCs w:val="16"/>
              </w:rPr>
              <w:t>Number of infants and toddlers birth to 1 with IFSPs</w:t>
            </w:r>
          </w:p>
        </w:tc>
        <w:tc>
          <w:tcPr>
            <w:tcW w:w="918" w:type="pct"/>
            <w:shd w:val="clear" w:color="auto" w:fill="auto"/>
            <w:vAlign w:val="bottom"/>
          </w:tcPr>
          <w:p w14:paraId="2C3A0A23" w14:textId="3E5E0C91" w:rsidR="00967D30" w:rsidRPr="00ED172B" w:rsidRDefault="00967D30" w:rsidP="00967D30">
            <w:pPr>
              <w:jc w:val="center"/>
              <w:rPr>
                <w:rFonts w:cs="Arial"/>
                <w:color w:val="000000" w:themeColor="text1"/>
                <w:szCs w:val="16"/>
              </w:rPr>
            </w:pPr>
            <w:r w:rsidRPr="00ED172B">
              <w:rPr>
                <w:rFonts w:cs="Arial"/>
                <w:b/>
                <w:color w:val="000000" w:themeColor="text1"/>
                <w:szCs w:val="16"/>
              </w:rPr>
              <w:t>Population of infants and toddlers birth to 1</w:t>
            </w:r>
          </w:p>
        </w:tc>
        <w:tc>
          <w:tcPr>
            <w:tcW w:w="668" w:type="pct"/>
            <w:shd w:val="clear" w:color="auto" w:fill="auto"/>
            <w:vAlign w:val="bottom"/>
          </w:tcPr>
          <w:p w14:paraId="49A3AF77" w14:textId="565E9218" w:rsidR="00967D30" w:rsidRPr="00ED172B" w:rsidRDefault="00CD74B5" w:rsidP="00967D30">
            <w:pPr>
              <w:jc w:val="center"/>
              <w:rPr>
                <w:rFonts w:cs="Arial"/>
                <w:b/>
                <w:color w:val="000000" w:themeColor="text1"/>
                <w:szCs w:val="16"/>
              </w:rPr>
            </w:pPr>
            <w:r>
              <w:rPr>
                <w:rFonts w:cs="Arial"/>
                <w:b/>
                <w:color w:val="000000" w:themeColor="text1"/>
                <w:szCs w:val="16"/>
              </w:rPr>
              <w:t>FFY 2021 Data</w:t>
            </w:r>
          </w:p>
        </w:tc>
        <w:tc>
          <w:tcPr>
            <w:tcW w:w="625" w:type="pct"/>
            <w:shd w:val="clear" w:color="auto" w:fill="auto"/>
            <w:vAlign w:val="bottom"/>
          </w:tcPr>
          <w:p w14:paraId="278F3E66" w14:textId="051778AA" w:rsidR="00967D30" w:rsidRPr="00ED172B" w:rsidRDefault="00F22D09" w:rsidP="00967D30">
            <w:pPr>
              <w:jc w:val="center"/>
              <w:rPr>
                <w:rFonts w:cs="Arial"/>
                <w:b/>
                <w:color w:val="000000" w:themeColor="text1"/>
                <w:szCs w:val="16"/>
              </w:rPr>
            </w:pPr>
            <w:r>
              <w:rPr>
                <w:rFonts w:cs="Arial"/>
                <w:b/>
                <w:color w:val="000000" w:themeColor="text1"/>
                <w:szCs w:val="16"/>
              </w:rPr>
              <w:t>FFY 2022 Target</w:t>
            </w:r>
          </w:p>
        </w:tc>
        <w:tc>
          <w:tcPr>
            <w:tcW w:w="542" w:type="pct"/>
            <w:shd w:val="clear" w:color="auto" w:fill="auto"/>
            <w:vAlign w:val="bottom"/>
          </w:tcPr>
          <w:p w14:paraId="3D59A48C" w14:textId="707CD258" w:rsidR="00967D30" w:rsidRPr="00ED172B" w:rsidRDefault="00F22D09" w:rsidP="00967D30">
            <w:pPr>
              <w:jc w:val="center"/>
              <w:rPr>
                <w:rFonts w:cs="Arial"/>
                <w:b/>
                <w:color w:val="000000" w:themeColor="text1"/>
                <w:szCs w:val="16"/>
              </w:rPr>
            </w:pPr>
            <w:r>
              <w:rPr>
                <w:rFonts w:cs="Arial"/>
                <w:b/>
                <w:color w:val="000000" w:themeColor="text1"/>
                <w:szCs w:val="16"/>
              </w:rPr>
              <w:t>FFY 2022 Data</w:t>
            </w:r>
          </w:p>
        </w:tc>
        <w:tc>
          <w:tcPr>
            <w:tcW w:w="542" w:type="pct"/>
            <w:shd w:val="clear" w:color="auto" w:fill="auto"/>
            <w:vAlign w:val="bottom"/>
          </w:tcPr>
          <w:p w14:paraId="330A725E"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Status</w:t>
            </w:r>
          </w:p>
        </w:tc>
        <w:tc>
          <w:tcPr>
            <w:tcW w:w="496" w:type="pct"/>
            <w:shd w:val="clear" w:color="auto" w:fill="auto"/>
            <w:vAlign w:val="bottom"/>
          </w:tcPr>
          <w:p w14:paraId="32D23C04"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Slippage</w:t>
            </w:r>
          </w:p>
        </w:tc>
      </w:tr>
      <w:tr w:rsidR="00ED172B" w:rsidRPr="00ED172B" w14:paraId="0D71FF0D" w14:textId="77777777" w:rsidTr="00986B99">
        <w:trPr>
          <w:trHeight w:val="366"/>
        </w:trPr>
        <w:tc>
          <w:tcPr>
            <w:tcW w:w="1209" w:type="pct"/>
            <w:shd w:val="clear" w:color="auto" w:fill="auto"/>
            <w:vAlign w:val="center"/>
          </w:tcPr>
          <w:p w14:paraId="502A8941" w14:textId="17070B3F" w:rsidR="00D3555C" w:rsidRPr="00ED172B" w:rsidRDefault="00860830" w:rsidP="00D3555C">
            <w:pPr>
              <w:jc w:val="center"/>
              <w:rPr>
                <w:rFonts w:cs="Arial"/>
                <w:color w:val="000000" w:themeColor="text1"/>
                <w:szCs w:val="16"/>
              </w:rPr>
            </w:pPr>
            <w:r w:rsidRPr="00ED172B">
              <w:rPr>
                <w:color w:val="000000" w:themeColor="text1"/>
                <w:szCs w:val="16"/>
              </w:rPr>
              <w:t>417</w:t>
            </w:r>
          </w:p>
        </w:tc>
        <w:tc>
          <w:tcPr>
            <w:tcW w:w="918" w:type="pct"/>
            <w:shd w:val="clear" w:color="auto" w:fill="auto"/>
            <w:vAlign w:val="center"/>
          </w:tcPr>
          <w:p w14:paraId="0AE05470" w14:textId="30D6181E" w:rsidR="00D3555C" w:rsidRPr="00ED172B" w:rsidRDefault="00860830" w:rsidP="00D3555C">
            <w:pPr>
              <w:jc w:val="center"/>
              <w:rPr>
                <w:rFonts w:cs="Arial"/>
                <w:color w:val="000000" w:themeColor="text1"/>
                <w:szCs w:val="16"/>
              </w:rPr>
            </w:pPr>
            <w:r w:rsidRPr="00ED172B">
              <w:rPr>
                <w:color w:val="000000" w:themeColor="text1"/>
                <w:szCs w:val="16"/>
              </w:rPr>
              <w:t>41,052</w:t>
            </w:r>
          </w:p>
        </w:tc>
        <w:tc>
          <w:tcPr>
            <w:tcW w:w="668" w:type="pct"/>
            <w:shd w:val="clear" w:color="auto" w:fill="auto"/>
            <w:vAlign w:val="center"/>
          </w:tcPr>
          <w:p w14:paraId="5B140DA6" w14:textId="54F7435B" w:rsidR="00D3555C" w:rsidRPr="00ED172B" w:rsidRDefault="00860830" w:rsidP="00D3555C">
            <w:pPr>
              <w:jc w:val="center"/>
              <w:rPr>
                <w:rFonts w:cs="Arial"/>
                <w:color w:val="000000" w:themeColor="text1"/>
                <w:szCs w:val="16"/>
              </w:rPr>
            </w:pPr>
            <w:r w:rsidRPr="00ED172B">
              <w:rPr>
                <w:rFonts w:cs="Arial"/>
                <w:color w:val="000000" w:themeColor="text1"/>
                <w:szCs w:val="16"/>
              </w:rPr>
              <w:t>0.94%</w:t>
            </w:r>
          </w:p>
        </w:tc>
        <w:tc>
          <w:tcPr>
            <w:tcW w:w="625" w:type="pct"/>
            <w:shd w:val="clear" w:color="auto" w:fill="auto"/>
            <w:vAlign w:val="center"/>
          </w:tcPr>
          <w:p w14:paraId="2B5C85A7" w14:textId="7D699F44" w:rsidR="00D3555C" w:rsidRPr="00ED172B" w:rsidRDefault="00632DF6" w:rsidP="00632DF6">
            <w:pPr>
              <w:jc w:val="center"/>
              <w:rPr>
                <w:color w:val="000000" w:themeColor="text1"/>
              </w:rPr>
            </w:pPr>
            <w:r w:rsidRPr="00ED172B">
              <w:rPr>
                <w:color w:val="000000" w:themeColor="text1"/>
              </w:rPr>
              <w:t>0.81%</w:t>
            </w:r>
          </w:p>
        </w:tc>
        <w:tc>
          <w:tcPr>
            <w:tcW w:w="542" w:type="pct"/>
            <w:shd w:val="clear" w:color="auto" w:fill="auto"/>
            <w:vAlign w:val="center"/>
          </w:tcPr>
          <w:p w14:paraId="1780242C" w14:textId="08023FB0" w:rsidR="00D3555C" w:rsidRPr="00ED172B" w:rsidRDefault="00860830" w:rsidP="00D3555C">
            <w:pPr>
              <w:jc w:val="center"/>
              <w:rPr>
                <w:rFonts w:cs="Arial"/>
                <w:color w:val="000000" w:themeColor="text1"/>
                <w:szCs w:val="16"/>
              </w:rPr>
            </w:pPr>
            <w:r w:rsidRPr="00ED172B">
              <w:rPr>
                <w:rFonts w:cs="Arial"/>
                <w:color w:val="000000" w:themeColor="text1"/>
                <w:szCs w:val="16"/>
              </w:rPr>
              <w:t>1.02%</w:t>
            </w:r>
          </w:p>
        </w:tc>
        <w:tc>
          <w:tcPr>
            <w:tcW w:w="542" w:type="pct"/>
            <w:shd w:val="clear" w:color="auto" w:fill="auto"/>
            <w:vAlign w:val="center"/>
          </w:tcPr>
          <w:p w14:paraId="29F870EC" w14:textId="610FD0F7" w:rsidR="00D3555C" w:rsidRPr="00ED172B" w:rsidRDefault="00632DF6" w:rsidP="00632DF6">
            <w:pPr>
              <w:jc w:val="center"/>
              <w:rPr>
                <w:color w:val="000000" w:themeColor="text1"/>
              </w:rPr>
            </w:pPr>
            <w:r w:rsidRPr="00ED172B">
              <w:rPr>
                <w:color w:val="000000" w:themeColor="text1"/>
              </w:rPr>
              <w:t>Met target</w:t>
            </w:r>
          </w:p>
        </w:tc>
        <w:tc>
          <w:tcPr>
            <w:tcW w:w="496" w:type="pct"/>
            <w:shd w:val="clear" w:color="auto" w:fill="auto"/>
            <w:vAlign w:val="center"/>
          </w:tcPr>
          <w:p w14:paraId="3B10C568" w14:textId="17A3466F" w:rsidR="00D3555C" w:rsidRPr="00ED172B" w:rsidRDefault="00632DF6" w:rsidP="00632DF6">
            <w:pPr>
              <w:jc w:val="center"/>
              <w:rPr>
                <w:color w:val="000000" w:themeColor="text1"/>
              </w:rPr>
            </w:pPr>
            <w:r w:rsidRPr="00ED172B">
              <w:rPr>
                <w:color w:val="000000" w:themeColor="text1"/>
              </w:rPr>
              <w:t>No Slippage</w:t>
            </w:r>
          </w:p>
        </w:tc>
      </w:tr>
    </w:tbl>
    <w:p w14:paraId="3CBC9B31" w14:textId="2AC53FB7" w:rsidR="003A3693" w:rsidRPr="00ED172B" w:rsidRDefault="003A3693" w:rsidP="003A3693">
      <w:pPr>
        <w:rPr>
          <w:rFonts w:cs="Arial"/>
          <w:b/>
          <w:color w:val="000000" w:themeColor="text1"/>
          <w:szCs w:val="16"/>
        </w:rPr>
      </w:pPr>
      <w:r w:rsidRPr="00ED172B">
        <w:rPr>
          <w:rFonts w:cs="Arial"/>
          <w:b/>
          <w:color w:val="000000" w:themeColor="text1"/>
          <w:szCs w:val="16"/>
        </w:rPr>
        <w:lastRenderedPageBreak/>
        <w:t>Provide additional information about this indicator (optional)</w:t>
      </w:r>
    </w:p>
    <w:p w14:paraId="2A9A6EA9" w14:textId="71C8D759" w:rsidR="003A3693" w:rsidRPr="00ED172B" w:rsidRDefault="003A3693" w:rsidP="00632DF6">
      <w:pPr>
        <w:rPr>
          <w:color w:val="000000" w:themeColor="text1"/>
        </w:rPr>
      </w:pPr>
    </w:p>
    <w:p w14:paraId="570F9CF2" w14:textId="73DF43E4" w:rsidR="00DC0682" w:rsidRPr="00A40EE1" w:rsidRDefault="000D0117" w:rsidP="005C3FFD">
      <w:pPr>
        <w:pStyle w:val="Heading2"/>
      </w:pPr>
      <w:r w:rsidRPr="00A40EE1">
        <w:t xml:space="preserve">5 - </w:t>
      </w:r>
      <w:r w:rsidR="00DC0682" w:rsidRPr="00A40EE1">
        <w:t>Prior FFY Required Actions</w:t>
      </w:r>
    </w:p>
    <w:p w14:paraId="0D04CBEE" w14:textId="76942275" w:rsidR="00DC0682" w:rsidRPr="00ED172B" w:rsidRDefault="00632DF6" w:rsidP="00027F39">
      <w:pPr>
        <w:rPr>
          <w:color w:val="000000" w:themeColor="text1"/>
        </w:rPr>
      </w:pPr>
      <w:r w:rsidRPr="00ED172B">
        <w:rPr>
          <w:color w:val="000000" w:themeColor="text1"/>
        </w:rPr>
        <w:t>None</w:t>
      </w:r>
    </w:p>
    <w:p w14:paraId="72B15385" w14:textId="38429387" w:rsidR="00DC0682" w:rsidRPr="00A40EE1" w:rsidRDefault="000D0117" w:rsidP="005C3FFD">
      <w:pPr>
        <w:pStyle w:val="Heading2"/>
      </w:pPr>
      <w:r w:rsidRPr="00A40EE1">
        <w:t xml:space="preserve">5 - </w:t>
      </w:r>
      <w:r w:rsidR="00DC0682" w:rsidRPr="00A40EE1">
        <w:t>OSEP Response</w:t>
      </w:r>
    </w:p>
    <w:p w14:paraId="17DE00FE" w14:textId="160BC2C5" w:rsidR="00DC0682" w:rsidRPr="00ED172B" w:rsidRDefault="00DC0682" w:rsidP="00027F39">
      <w:pPr>
        <w:rPr>
          <w:color w:val="000000" w:themeColor="text1"/>
        </w:rPr>
      </w:pPr>
    </w:p>
    <w:p w14:paraId="3AD8C480" w14:textId="43A7321C" w:rsidR="00DC0682" w:rsidRPr="00A40EE1" w:rsidRDefault="000D0117" w:rsidP="005C3FFD">
      <w:pPr>
        <w:pStyle w:val="Heading2"/>
      </w:pPr>
      <w:r w:rsidRPr="00A40EE1">
        <w:t xml:space="preserve">5 - </w:t>
      </w:r>
      <w:r w:rsidR="00DC0682" w:rsidRPr="00A40EE1">
        <w:t>Required Actions</w:t>
      </w:r>
    </w:p>
    <w:p w14:paraId="28F72D21" w14:textId="482322D8" w:rsidR="00DC0682" w:rsidRPr="00ED172B" w:rsidRDefault="00DC0682" w:rsidP="00027F39">
      <w:pPr>
        <w:rPr>
          <w:color w:val="000000" w:themeColor="text1"/>
        </w:rPr>
      </w:pPr>
    </w:p>
    <w:p w14:paraId="4FD273CC" w14:textId="77777777" w:rsidR="00447F6D" w:rsidRPr="00ED172B" w:rsidRDefault="00447F6D" w:rsidP="00B83404">
      <w:pPr>
        <w:rPr>
          <w:color w:val="000000" w:themeColor="text1"/>
        </w:rPr>
        <w:sectPr w:rsidR="00447F6D" w:rsidRPr="00ED172B" w:rsidSect="00BF3AB4">
          <w:pgSz w:w="12240" w:h="15840"/>
          <w:pgMar w:top="720" w:right="720" w:bottom="720" w:left="720" w:header="576" w:footer="720" w:gutter="0"/>
          <w:cols w:space="720"/>
          <w:docGrid w:linePitch="360"/>
        </w:sectPr>
      </w:pPr>
    </w:p>
    <w:p w14:paraId="57B13665" w14:textId="77777777" w:rsidR="000C6015" w:rsidRPr="00ED172B" w:rsidRDefault="00D03701" w:rsidP="0077063D">
      <w:pPr>
        <w:pStyle w:val="Heading1"/>
        <w:rPr>
          <w:color w:val="000000" w:themeColor="text1"/>
        </w:rPr>
      </w:pPr>
      <w:bookmarkStart w:id="34" w:name="_Toc381956335"/>
      <w:bookmarkStart w:id="35" w:name="_Toc384383336"/>
      <w:bookmarkStart w:id="36" w:name="_Toc392159288"/>
      <w:r w:rsidRPr="00ED172B">
        <w:rPr>
          <w:color w:val="000000" w:themeColor="text1"/>
        </w:rPr>
        <w:lastRenderedPageBreak/>
        <w:t xml:space="preserve">Indicator </w:t>
      </w:r>
      <w:bookmarkEnd w:id="34"/>
      <w:bookmarkEnd w:id="35"/>
      <w:bookmarkEnd w:id="36"/>
      <w:r w:rsidR="000C6015" w:rsidRPr="00ED172B">
        <w:rPr>
          <w:color w:val="000000" w:themeColor="text1"/>
        </w:rPr>
        <w:t>6: Child Find (Birth to Three)</w:t>
      </w:r>
    </w:p>
    <w:p w14:paraId="1759B464" w14:textId="77777777" w:rsidR="000C5918" w:rsidRPr="00ED172B" w:rsidRDefault="000C5918" w:rsidP="00186420">
      <w:pPr>
        <w:rPr>
          <w:color w:val="000000" w:themeColor="text1"/>
          <w:szCs w:val="20"/>
        </w:rPr>
      </w:pPr>
      <w:r w:rsidRPr="00ED172B">
        <w:rPr>
          <w:b/>
          <w:color w:val="000000" w:themeColor="text1"/>
          <w:sz w:val="20"/>
          <w:szCs w:val="20"/>
        </w:rPr>
        <w:t>Instructions and Measurement</w:t>
      </w:r>
    </w:p>
    <w:p w14:paraId="4480A000" w14:textId="77777777" w:rsidR="000C6015" w:rsidRPr="00ED172B" w:rsidRDefault="000C6015" w:rsidP="00B609A4">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Child Find</w:t>
      </w:r>
    </w:p>
    <w:p w14:paraId="6BF01D65" w14:textId="77777777" w:rsidR="00A863D5" w:rsidRDefault="000C6015" w:rsidP="00B609A4">
      <w:pPr>
        <w:rPr>
          <w:color w:val="000000" w:themeColor="text1"/>
          <w:szCs w:val="16"/>
        </w:rPr>
      </w:pPr>
      <w:r w:rsidRPr="00ED172B">
        <w:rPr>
          <w:b/>
          <w:color w:val="000000" w:themeColor="text1"/>
          <w:szCs w:val="16"/>
        </w:rPr>
        <w:t>Results indicator:</w:t>
      </w:r>
      <w:r w:rsidRPr="00ED172B">
        <w:rPr>
          <w:color w:val="000000" w:themeColor="text1"/>
          <w:szCs w:val="16"/>
        </w:rPr>
        <w:t xml:space="preserve"> Percent of infants and toddlers birth to 3 with IFSPs</w:t>
      </w:r>
      <w:r w:rsidR="00A863D5">
        <w:rPr>
          <w:color w:val="000000" w:themeColor="text1"/>
          <w:szCs w:val="16"/>
        </w:rPr>
        <w:t>.</w:t>
      </w:r>
    </w:p>
    <w:p w14:paraId="1586FBA4" w14:textId="28ED3B8C" w:rsidR="000C6015" w:rsidRPr="00ED172B" w:rsidRDefault="000C6015" w:rsidP="00B609A4">
      <w:pPr>
        <w:rPr>
          <w:color w:val="000000" w:themeColor="text1"/>
          <w:szCs w:val="16"/>
        </w:rPr>
      </w:pPr>
      <w:r w:rsidRPr="00ED172B">
        <w:rPr>
          <w:color w:val="000000" w:themeColor="text1"/>
          <w:szCs w:val="16"/>
        </w:rPr>
        <w:t>(20 U.S.C. 1416(a)(3)(B) and 1442)</w:t>
      </w:r>
    </w:p>
    <w:p w14:paraId="189B5017" w14:textId="77777777" w:rsidR="005918D1" w:rsidRPr="00ED172B" w:rsidRDefault="005918D1">
      <w:pPr>
        <w:rPr>
          <w:b/>
          <w:color w:val="000000" w:themeColor="text1"/>
        </w:rPr>
      </w:pPr>
      <w:r w:rsidRPr="00ED172B">
        <w:rPr>
          <w:b/>
          <w:color w:val="000000" w:themeColor="text1"/>
        </w:rPr>
        <w:t>Data Source</w:t>
      </w:r>
    </w:p>
    <w:p w14:paraId="195C42B9" w14:textId="72C89367" w:rsidR="005918D1" w:rsidRPr="00ED172B" w:rsidRDefault="005918D1" w:rsidP="00B609A4">
      <w:pPr>
        <w:rPr>
          <w:color w:val="000000" w:themeColor="text1"/>
          <w:szCs w:val="16"/>
        </w:rPr>
      </w:pPr>
      <w:r w:rsidRPr="00ED172B">
        <w:rPr>
          <w:color w:val="000000" w:themeColor="text1"/>
          <w:szCs w:val="16"/>
        </w:rPr>
        <w:t>Data collected under IDEA section 618 of the IDEA (IDEA Part C Child Count and Settings data collection in the ED</w:t>
      </w:r>
      <w:r w:rsidRPr="00F85A5B">
        <w:rPr>
          <w:i/>
          <w:color w:val="000000" w:themeColor="text1"/>
          <w:szCs w:val="16"/>
        </w:rPr>
        <w:t>Facts</w:t>
      </w:r>
      <w:r w:rsidRPr="00ED172B">
        <w:rPr>
          <w:color w:val="000000" w:themeColor="text1"/>
          <w:szCs w:val="16"/>
        </w:rPr>
        <w:t xml:space="preserve"> Metadata and Process System (E</w:t>
      </w:r>
      <w:r w:rsidRPr="00ED172B">
        <w:rPr>
          <w:i/>
          <w:color w:val="000000" w:themeColor="text1"/>
          <w:szCs w:val="16"/>
        </w:rPr>
        <w:t>MAPS</w:t>
      </w:r>
      <w:r w:rsidRPr="00ED172B">
        <w:rPr>
          <w:color w:val="000000" w:themeColor="text1"/>
          <w:szCs w:val="16"/>
        </w:rPr>
        <w:t>)) and Census (for the denominator).</w:t>
      </w:r>
    </w:p>
    <w:p w14:paraId="037867D0" w14:textId="77777777" w:rsidR="005918D1" w:rsidRPr="00ED172B" w:rsidRDefault="005918D1">
      <w:pPr>
        <w:rPr>
          <w:b/>
          <w:color w:val="000000" w:themeColor="text1"/>
        </w:rPr>
      </w:pPr>
      <w:r w:rsidRPr="00ED172B">
        <w:rPr>
          <w:b/>
          <w:color w:val="000000" w:themeColor="text1"/>
        </w:rPr>
        <w:t>Measurement</w:t>
      </w:r>
    </w:p>
    <w:p w14:paraId="70DD93A2" w14:textId="778FC194" w:rsidR="005918D1" w:rsidRPr="00ED172B" w:rsidRDefault="005918D1" w:rsidP="00B609A4">
      <w:pPr>
        <w:rPr>
          <w:color w:val="000000" w:themeColor="text1"/>
          <w:szCs w:val="16"/>
        </w:rPr>
      </w:pPr>
      <w:r w:rsidRPr="00ED172B">
        <w:rPr>
          <w:color w:val="000000" w:themeColor="text1"/>
          <w:szCs w:val="16"/>
        </w:rPr>
        <w:t>Percent = [(# of infants and toddlers birth to 3 with IFSPs) divided by the (population of infants and toddlers birth to 3)] times 100.</w:t>
      </w:r>
    </w:p>
    <w:p w14:paraId="7F75A80E" w14:textId="77777777" w:rsidR="005918D1" w:rsidRPr="00ED172B" w:rsidRDefault="005918D1">
      <w:pPr>
        <w:rPr>
          <w:b/>
          <w:color w:val="000000" w:themeColor="text1"/>
        </w:rPr>
      </w:pPr>
      <w:r w:rsidRPr="00ED172B">
        <w:rPr>
          <w:b/>
          <w:color w:val="000000" w:themeColor="text1"/>
        </w:rPr>
        <w:t>Instructions</w:t>
      </w:r>
    </w:p>
    <w:p w14:paraId="464FFC3E" w14:textId="77777777" w:rsidR="001C3D0E" w:rsidRPr="0055373D" w:rsidRDefault="001C3D0E" w:rsidP="00B609A4">
      <w:pPr>
        <w:rPr>
          <w:i/>
          <w:iCs/>
          <w:color w:val="000000" w:themeColor="text1"/>
          <w:szCs w:val="16"/>
        </w:rPr>
      </w:pPr>
      <w:r w:rsidRPr="0055373D">
        <w:rPr>
          <w:i/>
          <w:iCs/>
          <w:color w:val="000000" w:themeColor="text1"/>
          <w:szCs w:val="16"/>
        </w:rPr>
        <w:t>Sampling from the State’s 618 data is not allowed.</w:t>
      </w:r>
    </w:p>
    <w:p w14:paraId="058CBEAD" w14:textId="3012401A" w:rsidR="001C3D0E" w:rsidRPr="00ED172B" w:rsidRDefault="001C3D0E" w:rsidP="00B609A4">
      <w:pPr>
        <w:rPr>
          <w:color w:val="000000" w:themeColor="text1"/>
          <w:szCs w:val="16"/>
        </w:rPr>
      </w:pPr>
      <w:r w:rsidRPr="00ED172B">
        <w:rPr>
          <w:color w:val="000000" w:themeColor="text1"/>
          <w:szCs w:val="16"/>
        </w:rPr>
        <w:t xml:space="preserve">Describe the results of the </w:t>
      </w:r>
      <w:proofErr w:type="gramStart"/>
      <w:r w:rsidRPr="00ED172B">
        <w:rPr>
          <w:color w:val="000000" w:themeColor="text1"/>
          <w:szCs w:val="16"/>
        </w:rPr>
        <w:t>calculations .</w:t>
      </w:r>
      <w:proofErr w:type="gramEnd"/>
      <w:r w:rsidRPr="00ED172B">
        <w:rPr>
          <w:color w:val="000000" w:themeColor="text1"/>
          <w:szCs w:val="16"/>
        </w:rPr>
        <w:t xml:space="preserve"> The data reported in this indicator should be consistent with the State’s reported 618 data reported in Table 1. If not, explain why.</w:t>
      </w:r>
    </w:p>
    <w:p w14:paraId="54455F0F" w14:textId="1A3E5AE7" w:rsidR="000C6015" w:rsidRPr="00A40EE1" w:rsidRDefault="000D0117" w:rsidP="005C3FFD">
      <w:pPr>
        <w:pStyle w:val="Heading2"/>
      </w:pPr>
      <w:r w:rsidRPr="00A40EE1">
        <w:t xml:space="preserve">6 - </w:t>
      </w:r>
      <w:r w:rsidR="00B609A4" w:rsidRPr="00A40EE1">
        <w:t>Indicator Data</w:t>
      </w:r>
    </w:p>
    <w:p w14:paraId="6532087D" w14:textId="4B7C8292" w:rsidR="00C779B5" w:rsidRDefault="00C779B5" w:rsidP="00C779B5"/>
    <w:tbl>
      <w:tblPr>
        <w:tblW w:w="1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BASELINEDATA"/>
      </w:tblPr>
      <w:tblGrid>
        <w:gridCol w:w="2067"/>
        <w:gridCol w:w="2068"/>
      </w:tblGrid>
      <w:tr w:rsidR="00CA65C9" w:rsidRPr="00ED172B" w14:paraId="0C3C38FE" w14:textId="77777777" w:rsidTr="00A40EE1">
        <w:trPr>
          <w:trHeight w:val="350"/>
          <w:tblHeader/>
        </w:trPr>
        <w:tc>
          <w:tcPr>
            <w:tcW w:w="2499" w:type="pct"/>
            <w:tcBorders>
              <w:bottom w:val="single" w:sz="4" w:space="0" w:color="auto"/>
            </w:tcBorders>
            <w:shd w:val="clear" w:color="auto" w:fill="auto"/>
            <w:vAlign w:val="center"/>
          </w:tcPr>
          <w:p w14:paraId="6EBB6A21" w14:textId="79F53899" w:rsidR="00CA65C9" w:rsidRPr="00A40EE1" w:rsidRDefault="00CA65C9" w:rsidP="00C15786">
            <w:pPr>
              <w:jc w:val="center"/>
              <w:rPr>
                <w:b/>
                <w:bCs/>
                <w:color w:val="000000" w:themeColor="text1"/>
              </w:rPr>
            </w:pPr>
            <w:r>
              <w:rPr>
                <w:b/>
                <w:bCs/>
                <w:color w:val="000000" w:themeColor="text1"/>
              </w:rPr>
              <w:t>Baseline Year</w:t>
            </w:r>
          </w:p>
        </w:tc>
        <w:tc>
          <w:tcPr>
            <w:tcW w:w="2501" w:type="pct"/>
            <w:tcBorders>
              <w:top w:val="single" w:sz="4" w:space="0" w:color="auto"/>
              <w:right w:val="single" w:sz="4" w:space="0" w:color="auto"/>
            </w:tcBorders>
            <w:shd w:val="clear" w:color="auto" w:fill="auto"/>
            <w:vAlign w:val="center"/>
          </w:tcPr>
          <w:p w14:paraId="26E377DD" w14:textId="65BDC4EC" w:rsidR="00CA65C9" w:rsidRPr="00A40EE1" w:rsidRDefault="00CA65C9" w:rsidP="00C15786">
            <w:pPr>
              <w:jc w:val="center"/>
              <w:rPr>
                <w:b/>
                <w:bCs/>
                <w:color w:val="000000" w:themeColor="text1"/>
              </w:rPr>
            </w:pPr>
            <w:r>
              <w:rPr>
                <w:b/>
                <w:bCs/>
                <w:color w:val="000000" w:themeColor="text1"/>
              </w:rPr>
              <w:t>Baseline Data</w:t>
            </w:r>
          </w:p>
        </w:tc>
      </w:tr>
      <w:tr w:rsidR="00CA65C9" w:rsidRPr="00ED172B" w14:paraId="24332C59" w14:textId="77777777" w:rsidTr="00A40EE1">
        <w:trPr>
          <w:trHeight w:val="350"/>
        </w:trPr>
        <w:tc>
          <w:tcPr>
            <w:tcW w:w="2499" w:type="pct"/>
            <w:tcBorders>
              <w:bottom w:val="single" w:sz="4" w:space="0" w:color="auto"/>
            </w:tcBorders>
            <w:shd w:val="clear" w:color="auto" w:fill="auto"/>
            <w:vAlign w:val="center"/>
          </w:tcPr>
          <w:p w14:paraId="2D2F048E" w14:textId="77777777" w:rsidR="00CA65C9" w:rsidRPr="00ED172B" w:rsidRDefault="00CA65C9" w:rsidP="00C15786">
            <w:pPr>
              <w:jc w:val="center"/>
              <w:rPr>
                <w:b/>
                <w:color w:val="000000" w:themeColor="text1"/>
              </w:rPr>
            </w:pPr>
            <w:r w:rsidRPr="00ED172B">
              <w:rPr>
                <w:color w:val="000000" w:themeColor="text1"/>
              </w:rPr>
              <w:t>2005</w:t>
            </w:r>
          </w:p>
        </w:tc>
        <w:tc>
          <w:tcPr>
            <w:tcW w:w="2501" w:type="pct"/>
            <w:tcBorders>
              <w:top w:val="single" w:sz="4" w:space="0" w:color="auto"/>
              <w:right w:val="single" w:sz="4" w:space="0" w:color="auto"/>
            </w:tcBorders>
            <w:shd w:val="clear" w:color="auto" w:fill="auto"/>
            <w:vAlign w:val="center"/>
          </w:tcPr>
          <w:p w14:paraId="7FCE749A" w14:textId="77777777" w:rsidR="00CA65C9" w:rsidRPr="00ED172B" w:rsidRDefault="00CA65C9" w:rsidP="00C15786">
            <w:pPr>
              <w:jc w:val="center"/>
              <w:rPr>
                <w:b/>
                <w:color w:val="000000" w:themeColor="text1"/>
              </w:rPr>
            </w:pPr>
            <w:r w:rsidRPr="00ED172B">
              <w:rPr>
                <w:color w:val="000000" w:themeColor="text1"/>
              </w:rPr>
              <w:t>1.78%</w:t>
            </w:r>
          </w:p>
        </w:tc>
      </w:tr>
    </w:tbl>
    <w:p w14:paraId="02A9E8BE" w14:textId="5A3915EB" w:rsidR="00C779B5" w:rsidRPr="00A40EE1" w:rsidRDefault="00C779B5" w:rsidP="00A40E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HISTDATA"/>
      </w:tblPr>
      <w:tblGrid>
        <w:gridCol w:w="895"/>
        <w:gridCol w:w="2070"/>
        <w:gridCol w:w="2214"/>
        <w:gridCol w:w="1871"/>
        <w:gridCol w:w="1871"/>
        <w:gridCol w:w="1869"/>
      </w:tblGrid>
      <w:tr w:rsidR="00ED172B" w:rsidRPr="00ED172B" w14:paraId="69340626" w14:textId="77777777" w:rsidTr="00986B99">
        <w:trPr>
          <w:trHeight w:val="350"/>
        </w:trPr>
        <w:tc>
          <w:tcPr>
            <w:tcW w:w="415" w:type="pct"/>
            <w:tcBorders>
              <w:bottom w:val="single" w:sz="4" w:space="0" w:color="auto"/>
            </w:tcBorders>
            <w:shd w:val="clear" w:color="auto" w:fill="auto"/>
          </w:tcPr>
          <w:p w14:paraId="5CA2C8B5" w14:textId="77777777" w:rsidR="00EF4A30" w:rsidRPr="00ED172B" w:rsidRDefault="00EF4A30" w:rsidP="00186420">
            <w:pPr>
              <w:jc w:val="center"/>
              <w:rPr>
                <w:b/>
                <w:color w:val="000000" w:themeColor="text1"/>
                <w:szCs w:val="16"/>
              </w:rPr>
            </w:pPr>
            <w:bookmarkStart w:id="37" w:name="_Toc392159294"/>
            <w:r w:rsidRPr="00ED172B">
              <w:rPr>
                <w:b/>
                <w:color w:val="000000" w:themeColor="text1"/>
                <w:szCs w:val="16"/>
              </w:rPr>
              <w:t>FFY</w:t>
            </w:r>
          </w:p>
        </w:tc>
        <w:tc>
          <w:tcPr>
            <w:tcW w:w="959" w:type="pct"/>
            <w:shd w:val="clear" w:color="auto" w:fill="auto"/>
            <w:vAlign w:val="center"/>
          </w:tcPr>
          <w:p w14:paraId="6BFA9D3F" w14:textId="277F6CE8" w:rsidR="00EF4A30" w:rsidRPr="00ED172B" w:rsidRDefault="002163F2" w:rsidP="00CD79C5">
            <w:pPr>
              <w:jc w:val="center"/>
              <w:rPr>
                <w:b/>
                <w:color w:val="000000" w:themeColor="text1"/>
                <w:szCs w:val="16"/>
              </w:rPr>
            </w:pPr>
            <w:r w:rsidRPr="00ED172B">
              <w:rPr>
                <w:rFonts w:cs="Arial"/>
                <w:b/>
                <w:color w:val="000000" w:themeColor="text1"/>
                <w:szCs w:val="16"/>
              </w:rPr>
              <w:t>2017</w:t>
            </w:r>
          </w:p>
        </w:tc>
        <w:tc>
          <w:tcPr>
            <w:tcW w:w="1026" w:type="pct"/>
            <w:shd w:val="clear" w:color="auto" w:fill="auto"/>
            <w:vAlign w:val="center"/>
          </w:tcPr>
          <w:p w14:paraId="086F5D65" w14:textId="091D460A" w:rsidR="00EF4A30" w:rsidRPr="00ED172B" w:rsidRDefault="002163F2" w:rsidP="00CD79C5">
            <w:pPr>
              <w:jc w:val="center"/>
              <w:rPr>
                <w:b/>
                <w:color w:val="000000" w:themeColor="text1"/>
                <w:szCs w:val="16"/>
              </w:rPr>
            </w:pPr>
            <w:r w:rsidRPr="00ED172B">
              <w:rPr>
                <w:rFonts w:cs="Arial"/>
                <w:b/>
                <w:color w:val="000000" w:themeColor="text1"/>
                <w:szCs w:val="16"/>
              </w:rPr>
              <w:t>2018</w:t>
            </w:r>
          </w:p>
        </w:tc>
        <w:tc>
          <w:tcPr>
            <w:tcW w:w="867" w:type="pct"/>
            <w:shd w:val="clear" w:color="auto" w:fill="auto"/>
            <w:vAlign w:val="center"/>
          </w:tcPr>
          <w:p w14:paraId="335EA78F" w14:textId="3EB70DF4" w:rsidR="00EF4A30" w:rsidRPr="00ED172B" w:rsidRDefault="002163F2" w:rsidP="00CD79C5">
            <w:pPr>
              <w:jc w:val="center"/>
              <w:rPr>
                <w:b/>
                <w:color w:val="000000" w:themeColor="text1"/>
                <w:szCs w:val="16"/>
              </w:rPr>
            </w:pPr>
            <w:r w:rsidRPr="00ED172B">
              <w:rPr>
                <w:rFonts w:cs="Arial"/>
                <w:b/>
                <w:color w:val="000000" w:themeColor="text1"/>
                <w:szCs w:val="16"/>
              </w:rPr>
              <w:t>2019</w:t>
            </w:r>
          </w:p>
        </w:tc>
        <w:tc>
          <w:tcPr>
            <w:tcW w:w="867" w:type="pct"/>
            <w:shd w:val="clear" w:color="auto" w:fill="auto"/>
            <w:vAlign w:val="center"/>
          </w:tcPr>
          <w:p w14:paraId="514EF7CF" w14:textId="005FC8E1" w:rsidR="00EF4A30" w:rsidRPr="00ED172B" w:rsidRDefault="002163F2" w:rsidP="00CD79C5">
            <w:pPr>
              <w:jc w:val="center"/>
              <w:rPr>
                <w:b/>
                <w:color w:val="000000" w:themeColor="text1"/>
                <w:szCs w:val="16"/>
              </w:rPr>
            </w:pPr>
            <w:r w:rsidRPr="00ED172B">
              <w:rPr>
                <w:rFonts w:cs="Arial"/>
                <w:b/>
                <w:color w:val="000000" w:themeColor="text1"/>
                <w:szCs w:val="16"/>
              </w:rPr>
              <w:t>2020</w:t>
            </w:r>
          </w:p>
        </w:tc>
        <w:tc>
          <w:tcPr>
            <w:tcW w:w="866" w:type="pct"/>
            <w:shd w:val="clear" w:color="auto" w:fill="auto"/>
            <w:vAlign w:val="center"/>
          </w:tcPr>
          <w:p w14:paraId="5D859863" w14:textId="10483E82" w:rsidR="00EF4A30" w:rsidRPr="00ED172B" w:rsidRDefault="006D43D3" w:rsidP="00CD79C5">
            <w:pPr>
              <w:jc w:val="center"/>
              <w:rPr>
                <w:b/>
                <w:color w:val="000000" w:themeColor="text1"/>
                <w:szCs w:val="16"/>
              </w:rPr>
            </w:pPr>
            <w:r w:rsidRPr="00ED172B">
              <w:rPr>
                <w:rFonts w:cs="Arial"/>
                <w:b/>
                <w:color w:val="000000" w:themeColor="text1"/>
                <w:szCs w:val="16"/>
              </w:rPr>
              <w:t>2021</w:t>
            </w:r>
          </w:p>
        </w:tc>
      </w:tr>
      <w:tr w:rsidR="00ED172B" w:rsidRPr="00ED172B" w14:paraId="2487552A" w14:textId="77777777" w:rsidTr="00986B99">
        <w:trPr>
          <w:trHeight w:val="357"/>
        </w:trPr>
        <w:tc>
          <w:tcPr>
            <w:tcW w:w="415" w:type="pct"/>
            <w:shd w:val="clear" w:color="auto" w:fill="auto"/>
          </w:tcPr>
          <w:p w14:paraId="0BDCC722" w14:textId="2BFAD67F" w:rsidR="00EF4A30" w:rsidRPr="00ED172B" w:rsidRDefault="00EF4A30" w:rsidP="00D21F29">
            <w:pPr>
              <w:jc w:val="center"/>
              <w:rPr>
                <w:color w:val="000000" w:themeColor="text1"/>
                <w:szCs w:val="16"/>
              </w:rPr>
            </w:pPr>
            <w:r w:rsidRPr="00ED172B">
              <w:rPr>
                <w:color w:val="000000" w:themeColor="text1"/>
                <w:szCs w:val="16"/>
              </w:rPr>
              <w:t xml:space="preserve">Target </w:t>
            </w:r>
            <w:r w:rsidR="00E03916" w:rsidRPr="00ED172B">
              <w:rPr>
                <w:rFonts w:cs="Arial"/>
                <w:color w:val="000000" w:themeColor="text1"/>
                <w:szCs w:val="16"/>
              </w:rPr>
              <w:t>&gt;</w:t>
            </w:r>
            <w:r w:rsidR="007C364C" w:rsidRPr="00ED172B">
              <w:rPr>
                <w:rFonts w:cs="Arial"/>
                <w:color w:val="000000" w:themeColor="text1"/>
                <w:szCs w:val="16"/>
              </w:rPr>
              <w:t>=</w:t>
            </w:r>
          </w:p>
        </w:tc>
        <w:tc>
          <w:tcPr>
            <w:tcW w:w="959" w:type="pct"/>
            <w:shd w:val="clear" w:color="auto" w:fill="auto"/>
            <w:vAlign w:val="center"/>
          </w:tcPr>
          <w:p w14:paraId="2FD02956" w14:textId="51038081" w:rsidR="00EF4A30" w:rsidRPr="00ED172B" w:rsidRDefault="00860830" w:rsidP="00CD79C5">
            <w:pPr>
              <w:jc w:val="center"/>
              <w:rPr>
                <w:color w:val="000000" w:themeColor="text1"/>
                <w:szCs w:val="16"/>
              </w:rPr>
            </w:pPr>
            <w:r w:rsidRPr="00ED172B">
              <w:rPr>
                <w:rFonts w:cs="Arial"/>
                <w:color w:val="000000" w:themeColor="text1"/>
                <w:szCs w:val="16"/>
              </w:rPr>
              <w:t>2.40%</w:t>
            </w:r>
          </w:p>
        </w:tc>
        <w:tc>
          <w:tcPr>
            <w:tcW w:w="1026" w:type="pct"/>
            <w:shd w:val="clear" w:color="auto" w:fill="auto"/>
            <w:vAlign w:val="center"/>
          </w:tcPr>
          <w:p w14:paraId="5FCE94BE" w14:textId="0E65C1D0" w:rsidR="00EF4A30" w:rsidRPr="00ED172B" w:rsidRDefault="00860830" w:rsidP="00CD79C5">
            <w:pPr>
              <w:jc w:val="center"/>
              <w:rPr>
                <w:color w:val="000000" w:themeColor="text1"/>
                <w:szCs w:val="16"/>
              </w:rPr>
            </w:pPr>
            <w:r w:rsidRPr="00ED172B">
              <w:rPr>
                <w:rFonts w:cs="Arial"/>
                <w:color w:val="000000" w:themeColor="text1"/>
                <w:szCs w:val="16"/>
              </w:rPr>
              <w:t>2.40%</w:t>
            </w:r>
          </w:p>
        </w:tc>
        <w:tc>
          <w:tcPr>
            <w:tcW w:w="867" w:type="pct"/>
            <w:shd w:val="clear" w:color="auto" w:fill="auto"/>
            <w:vAlign w:val="center"/>
          </w:tcPr>
          <w:p w14:paraId="132D2853" w14:textId="70C90015" w:rsidR="00EF4A30" w:rsidRPr="00ED172B" w:rsidRDefault="00860830" w:rsidP="00CD79C5">
            <w:pPr>
              <w:jc w:val="center"/>
              <w:rPr>
                <w:color w:val="000000" w:themeColor="text1"/>
                <w:szCs w:val="16"/>
              </w:rPr>
            </w:pPr>
            <w:r w:rsidRPr="00ED172B">
              <w:rPr>
                <w:rFonts w:cs="Arial"/>
                <w:color w:val="000000" w:themeColor="text1"/>
                <w:szCs w:val="16"/>
              </w:rPr>
              <w:t>2.40%</w:t>
            </w:r>
          </w:p>
        </w:tc>
        <w:tc>
          <w:tcPr>
            <w:tcW w:w="867" w:type="pct"/>
            <w:shd w:val="clear" w:color="auto" w:fill="auto"/>
            <w:vAlign w:val="center"/>
          </w:tcPr>
          <w:p w14:paraId="4670AFD3" w14:textId="6A151652" w:rsidR="00EF4A30" w:rsidRPr="00ED172B" w:rsidRDefault="00860830" w:rsidP="00CD79C5">
            <w:pPr>
              <w:jc w:val="center"/>
              <w:rPr>
                <w:color w:val="000000" w:themeColor="text1"/>
                <w:szCs w:val="16"/>
              </w:rPr>
            </w:pPr>
            <w:r w:rsidRPr="00ED172B">
              <w:rPr>
                <w:rFonts w:cs="Arial"/>
                <w:color w:val="000000" w:themeColor="text1"/>
                <w:szCs w:val="16"/>
              </w:rPr>
              <w:t>2.40%</w:t>
            </w:r>
          </w:p>
        </w:tc>
        <w:tc>
          <w:tcPr>
            <w:tcW w:w="866" w:type="pct"/>
            <w:shd w:val="clear" w:color="auto" w:fill="auto"/>
            <w:vAlign w:val="center"/>
          </w:tcPr>
          <w:p w14:paraId="6C1609EA" w14:textId="460628D2" w:rsidR="00EF4A30" w:rsidRPr="00ED172B" w:rsidRDefault="00860830" w:rsidP="00CD79C5">
            <w:pPr>
              <w:jc w:val="center"/>
              <w:rPr>
                <w:color w:val="000000" w:themeColor="text1"/>
                <w:szCs w:val="16"/>
              </w:rPr>
            </w:pPr>
            <w:r w:rsidRPr="00ED172B">
              <w:rPr>
                <w:rFonts w:cs="Arial"/>
                <w:color w:val="000000" w:themeColor="text1"/>
                <w:szCs w:val="16"/>
              </w:rPr>
              <w:t>2.50%</w:t>
            </w:r>
          </w:p>
        </w:tc>
      </w:tr>
      <w:tr w:rsidR="00ED172B" w:rsidRPr="00ED172B" w14:paraId="3DE11503" w14:textId="77777777" w:rsidTr="00986B99">
        <w:trPr>
          <w:trHeight w:val="85"/>
        </w:trPr>
        <w:tc>
          <w:tcPr>
            <w:tcW w:w="415" w:type="pct"/>
            <w:shd w:val="clear" w:color="auto" w:fill="auto"/>
          </w:tcPr>
          <w:p w14:paraId="76DAE92C" w14:textId="77777777" w:rsidR="00EF4A30" w:rsidRPr="00ED172B" w:rsidRDefault="00EF4A30" w:rsidP="00D21F29">
            <w:pPr>
              <w:jc w:val="center"/>
              <w:rPr>
                <w:color w:val="000000" w:themeColor="text1"/>
                <w:szCs w:val="16"/>
              </w:rPr>
            </w:pPr>
            <w:r w:rsidRPr="00ED172B">
              <w:rPr>
                <w:color w:val="000000" w:themeColor="text1"/>
                <w:szCs w:val="16"/>
              </w:rPr>
              <w:t>Data</w:t>
            </w:r>
          </w:p>
        </w:tc>
        <w:tc>
          <w:tcPr>
            <w:tcW w:w="959" w:type="pct"/>
            <w:shd w:val="clear" w:color="auto" w:fill="auto"/>
            <w:vAlign w:val="center"/>
          </w:tcPr>
          <w:p w14:paraId="473030AC" w14:textId="609BBA18" w:rsidR="00EF4A30" w:rsidRPr="00ED172B" w:rsidRDefault="00860830" w:rsidP="00CD79C5">
            <w:pPr>
              <w:jc w:val="center"/>
              <w:rPr>
                <w:color w:val="000000" w:themeColor="text1"/>
                <w:szCs w:val="16"/>
              </w:rPr>
            </w:pPr>
            <w:r w:rsidRPr="00ED172B">
              <w:rPr>
                <w:rFonts w:cs="Arial"/>
                <w:color w:val="000000" w:themeColor="text1"/>
                <w:szCs w:val="16"/>
              </w:rPr>
              <w:t>2.92%</w:t>
            </w:r>
          </w:p>
        </w:tc>
        <w:tc>
          <w:tcPr>
            <w:tcW w:w="1026" w:type="pct"/>
            <w:shd w:val="clear" w:color="auto" w:fill="auto"/>
            <w:vAlign w:val="center"/>
          </w:tcPr>
          <w:p w14:paraId="1EC821B6" w14:textId="7EB4D908" w:rsidR="00EF4A30" w:rsidRPr="00ED172B" w:rsidRDefault="00860830" w:rsidP="00CD79C5">
            <w:pPr>
              <w:jc w:val="center"/>
              <w:rPr>
                <w:color w:val="000000" w:themeColor="text1"/>
                <w:szCs w:val="16"/>
              </w:rPr>
            </w:pPr>
            <w:r w:rsidRPr="00ED172B">
              <w:rPr>
                <w:rFonts w:cs="Arial"/>
                <w:color w:val="000000" w:themeColor="text1"/>
                <w:szCs w:val="16"/>
              </w:rPr>
              <w:t>3.17%</w:t>
            </w:r>
          </w:p>
        </w:tc>
        <w:tc>
          <w:tcPr>
            <w:tcW w:w="867" w:type="pct"/>
            <w:tcBorders>
              <w:bottom w:val="single" w:sz="4" w:space="0" w:color="auto"/>
            </w:tcBorders>
            <w:shd w:val="clear" w:color="auto" w:fill="auto"/>
            <w:vAlign w:val="center"/>
          </w:tcPr>
          <w:p w14:paraId="7EC1F3D1" w14:textId="73DEF665" w:rsidR="00EF4A30" w:rsidRPr="00ED172B" w:rsidRDefault="00860830" w:rsidP="00CD79C5">
            <w:pPr>
              <w:jc w:val="center"/>
              <w:rPr>
                <w:color w:val="000000" w:themeColor="text1"/>
                <w:szCs w:val="16"/>
              </w:rPr>
            </w:pPr>
            <w:r w:rsidRPr="00ED172B">
              <w:rPr>
                <w:rFonts w:cs="Arial"/>
                <w:color w:val="000000" w:themeColor="text1"/>
                <w:szCs w:val="16"/>
              </w:rPr>
              <w:t>3.27%</w:t>
            </w:r>
          </w:p>
        </w:tc>
        <w:tc>
          <w:tcPr>
            <w:tcW w:w="867" w:type="pct"/>
            <w:tcBorders>
              <w:bottom w:val="single" w:sz="4" w:space="0" w:color="auto"/>
            </w:tcBorders>
            <w:shd w:val="clear" w:color="auto" w:fill="auto"/>
            <w:vAlign w:val="center"/>
          </w:tcPr>
          <w:p w14:paraId="71B39BAC" w14:textId="3DC249BD" w:rsidR="00EF4A30" w:rsidRPr="00ED172B" w:rsidRDefault="00860830" w:rsidP="00CD79C5">
            <w:pPr>
              <w:jc w:val="center"/>
              <w:rPr>
                <w:color w:val="000000" w:themeColor="text1"/>
                <w:szCs w:val="16"/>
              </w:rPr>
            </w:pPr>
            <w:r w:rsidRPr="00ED172B">
              <w:rPr>
                <w:rFonts w:cs="Arial"/>
                <w:color w:val="000000" w:themeColor="text1"/>
                <w:szCs w:val="16"/>
              </w:rPr>
              <w:t>2.58%</w:t>
            </w:r>
          </w:p>
        </w:tc>
        <w:tc>
          <w:tcPr>
            <w:tcW w:w="866" w:type="pct"/>
            <w:tcBorders>
              <w:bottom w:val="single" w:sz="4" w:space="0" w:color="auto"/>
            </w:tcBorders>
            <w:shd w:val="clear" w:color="auto" w:fill="auto"/>
            <w:vAlign w:val="center"/>
          </w:tcPr>
          <w:p w14:paraId="12681457" w14:textId="76951521" w:rsidR="00EF4A30" w:rsidRPr="00ED172B" w:rsidRDefault="00860830" w:rsidP="00CD79C5">
            <w:pPr>
              <w:jc w:val="center"/>
              <w:rPr>
                <w:color w:val="000000" w:themeColor="text1"/>
                <w:szCs w:val="16"/>
              </w:rPr>
            </w:pPr>
            <w:r w:rsidRPr="00ED172B">
              <w:rPr>
                <w:rFonts w:cs="Arial"/>
                <w:color w:val="000000" w:themeColor="text1"/>
                <w:szCs w:val="16"/>
              </w:rPr>
              <w:t>3.00%</w:t>
            </w:r>
          </w:p>
        </w:tc>
      </w:tr>
    </w:tbl>
    <w:p w14:paraId="7EEFF1E6" w14:textId="77777777" w:rsidR="00EF4A30" w:rsidRPr="00ED172B" w:rsidRDefault="00EF4A30">
      <w:pPr>
        <w:rPr>
          <w:b/>
          <w:color w:val="000000" w:themeColor="text1"/>
        </w:rPr>
      </w:pPr>
      <w:r w:rsidRPr="00ED172B">
        <w:rPr>
          <w:b/>
          <w:color w:val="000000" w:themeColor="text1"/>
        </w:rPr>
        <w:t>Targets</w:t>
      </w:r>
    </w:p>
    <w:tbl>
      <w:tblPr>
        <w:tblW w:w="35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TARGETS"/>
      </w:tblPr>
      <w:tblGrid>
        <w:gridCol w:w="1539"/>
        <w:gridCol w:w="1542"/>
        <w:gridCol w:w="1543"/>
        <w:gridCol w:w="1542"/>
        <w:gridCol w:w="1542"/>
      </w:tblGrid>
      <w:tr w:rsidR="00C843AF" w:rsidRPr="00ED172B" w14:paraId="1D435074" w14:textId="5FE636B7" w:rsidTr="00E415ED">
        <w:trPr>
          <w:trHeight w:val="277"/>
        </w:trPr>
        <w:tc>
          <w:tcPr>
            <w:tcW w:w="999" w:type="pct"/>
            <w:tcBorders>
              <w:bottom w:val="single" w:sz="4" w:space="0" w:color="auto"/>
            </w:tcBorders>
            <w:shd w:val="clear" w:color="auto" w:fill="auto"/>
          </w:tcPr>
          <w:p w14:paraId="561FEE47" w14:textId="77777777" w:rsidR="00C843AF" w:rsidRPr="00ED172B" w:rsidRDefault="00C843AF" w:rsidP="006B2FE9">
            <w:pPr>
              <w:jc w:val="center"/>
              <w:rPr>
                <w:b/>
                <w:color w:val="000000" w:themeColor="text1"/>
                <w:szCs w:val="16"/>
              </w:rPr>
            </w:pPr>
            <w:r w:rsidRPr="00ED172B">
              <w:rPr>
                <w:b/>
                <w:color w:val="000000" w:themeColor="text1"/>
                <w:szCs w:val="16"/>
              </w:rPr>
              <w:t>FFY</w:t>
            </w:r>
          </w:p>
        </w:tc>
        <w:tc>
          <w:tcPr>
            <w:tcW w:w="1000" w:type="pct"/>
            <w:shd w:val="clear" w:color="auto" w:fill="auto"/>
            <w:vAlign w:val="center"/>
          </w:tcPr>
          <w:p w14:paraId="2204FF06" w14:textId="1616FAAA" w:rsidR="00C843AF" w:rsidRPr="00ED172B" w:rsidRDefault="00C843AF" w:rsidP="006B2FE9">
            <w:pPr>
              <w:jc w:val="center"/>
              <w:rPr>
                <w:b/>
                <w:color w:val="000000" w:themeColor="text1"/>
                <w:szCs w:val="16"/>
              </w:rPr>
            </w:pPr>
            <w:r w:rsidRPr="00ED172B">
              <w:rPr>
                <w:rFonts w:cs="Arial"/>
                <w:b/>
                <w:color w:val="000000" w:themeColor="text1"/>
                <w:szCs w:val="16"/>
              </w:rPr>
              <w:t>2022</w:t>
            </w:r>
          </w:p>
        </w:tc>
        <w:tc>
          <w:tcPr>
            <w:tcW w:w="1001" w:type="pct"/>
          </w:tcPr>
          <w:p w14:paraId="1DCDE632" w14:textId="0D933CB4" w:rsidR="00C843AF" w:rsidRPr="00ED172B" w:rsidRDefault="00C843AF" w:rsidP="006B2FE9">
            <w:pPr>
              <w:jc w:val="center"/>
              <w:rPr>
                <w:rFonts w:cs="Arial"/>
                <w:b/>
                <w:color w:val="000000" w:themeColor="text1"/>
                <w:szCs w:val="16"/>
              </w:rPr>
            </w:pPr>
            <w:r>
              <w:rPr>
                <w:rFonts w:cs="Arial"/>
                <w:b/>
                <w:color w:val="000000" w:themeColor="text1"/>
                <w:szCs w:val="16"/>
              </w:rPr>
              <w:t>2023</w:t>
            </w:r>
          </w:p>
        </w:tc>
        <w:tc>
          <w:tcPr>
            <w:tcW w:w="1000" w:type="pct"/>
          </w:tcPr>
          <w:p w14:paraId="7F04CC39" w14:textId="648C9051" w:rsidR="00C843AF" w:rsidRPr="00ED172B" w:rsidRDefault="00C843AF" w:rsidP="006B2FE9">
            <w:pPr>
              <w:jc w:val="center"/>
              <w:rPr>
                <w:rFonts w:cs="Arial"/>
                <w:b/>
                <w:color w:val="000000" w:themeColor="text1"/>
                <w:szCs w:val="16"/>
              </w:rPr>
            </w:pPr>
            <w:r w:rsidRPr="005A1B4F">
              <w:rPr>
                <w:rFonts w:cs="Arial"/>
                <w:b/>
                <w:color w:val="000000" w:themeColor="text1"/>
                <w:szCs w:val="16"/>
              </w:rPr>
              <w:t>2024</w:t>
            </w:r>
          </w:p>
        </w:tc>
        <w:tc>
          <w:tcPr>
            <w:tcW w:w="1001" w:type="pct"/>
          </w:tcPr>
          <w:p w14:paraId="761BB285" w14:textId="7F8965D6" w:rsidR="00C843AF" w:rsidRPr="00ED172B" w:rsidRDefault="00C843AF" w:rsidP="006B2FE9">
            <w:pPr>
              <w:jc w:val="center"/>
              <w:rPr>
                <w:rFonts w:cs="Arial"/>
                <w:b/>
                <w:color w:val="000000" w:themeColor="text1"/>
                <w:szCs w:val="16"/>
              </w:rPr>
            </w:pPr>
            <w:r w:rsidRPr="005A1B4F">
              <w:rPr>
                <w:rFonts w:cs="Arial"/>
                <w:b/>
                <w:color w:val="000000" w:themeColor="text1"/>
                <w:szCs w:val="16"/>
              </w:rPr>
              <w:t>2025</w:t>
            </w:r>
          </w:p>
        </w:tc>
      </w:tr>
      <w:tr w:rsidR="00C843AF" w:rsidRPr="00ED172B" w14:paraId="43BE8A8B" w14:textId="18ECC93C" w:rsidTr="00E415ED">
        <w:trPr>
          <w:trHeight w:val="283"/>
        </w:trPr>
        <w:tc>
          <w:tcPr>
            <w:tcW w:w="999" w:type="pct"/>
            <w:shd w:val="clear" w:color="auto" w:fill="auto"/>
          </w:tcPr>
          <w:p w14:paraId="3A722C96" w14:textId="7558E2BE" w:rsidR="00C843AF" w:rsidRPr="00ED172B" w:rsidRDefault="00C843AF" w:rsidP="00D21F29">
            <w:pPr>
              <w:jc w:val="center"/>
              <w:rPr>
                <w:color w:val="000000" w:themeColor="text1"/>
                <w:szCs w:val="16"/>
              </w:rPr>
            </w:pPr>
            <w:r w:rsidRPr="00ED172B">
              <w:rPr>
                <w:color w:val="000000" w:themeColor="text1"/>
                <w:szCs w:val="16"/>
              </w:rPr>
              <w:t xml:space="preserve">Target </w:t>
            </w:r>
            <w:r w:rsidRPr="00ED172B">
              <w:rPr>
                <w:rFonts w:cs="Arial"/>
                <w:color w:val="000000" w:themeColor="text1"/>
                <w:szCs w:val="16"/>
              </w:rPr>
              <w:t>&gt;=</w:t>
            </w:r>
          </w:p>
        </w:tc>
        <w:tc>
          <w:tcPr>
            <w:tcW w:w="1000" w:type="pct"/>
            <w:shd w:val="clear" w:color="auto" w:fill="auto"/>
            <w:vAlign w:val="center"/>
          </w:tcPr>
          <w:p w14:paraId="4925440B" w14:textId="6DFF86C9" w:rsidR="00C843AF" w:rsidRPr="00ED172B" w:rsidRDefault="00C843AF" w:rsidP="006B2FE9">
            <w:pPr>
              <w:jc w:val="center"/>
              <w:rPr>
                <w:color w:val="000000" w:themeColor="text1"/>
              </w:rPr>
            </w:pPr>
            <w:r w:rsidRPr="00ED172B">
              <w:rPr>
                <w:color w:val="000000" w:themeColor="text1"/>
              </w:rPr>
              <w:t>2.50%</w:t>
            </w:r>
          </w:p>
        </w:tc>
        <w:tc>
          <w:tcPr>
            <w:tcW w:w="1001" w:type="pct"/>
          </w:tcPr>
          <w:p w14:paraId="4EF0C269" w14:textId="5AFCA64F" w:rsidR="00C843AF" w:rsidRPr="00ED172B" w:rsidRDefault="00C843AF" w:rsidP="006B2FE9">
            <w:pPr>
              <w:jc w:val="center"/>
              <w:rPr>
                <w:color w:val="000000" w:themeColor="text1"/>
              </w:rPr>
            </w:pPr>
            <w:r>
              <w:rPr>
                <w:rFonts w:cs="Arial"/>
                <w:color w:val="000000" w:themeColor="text1"/>
                <w:szCs w:val="16"/>
              </w:rPr>
              <w:t>2.60%</w:t>
            </w:r>
          </w:p>
        </w:tc>
        <w:tc>
          <w:tcPr>
            <w:tcW w:w="1000" w:type="pct"/>
          </w:tcPr>
          <w:p w14:paraId="055F1828" w14:textId="4AEDF7E7" w:rsidR="00C843AF" w:rsidRPr="00ED172B" w:rsidRDefault="00C843AF" w:rsidP="006B2FE9">
            <w:pPr>
              <w:jc w:val="center"/>
              <w:rPr>
                <w:color w:val="000000" w:themeColor="text1"/>
              </w:rPr>
            </w:pPr>
            <w:r w:rsidRPr="005F5F3C">
              <w:rPr>
                <w:rFonts w:cs="Arial"/>
                <w:color w:val="000000" w:themeColor="text1"/>
                <w:szCs w:val="16"/>
              </w:rPr>
              <w:t>2.60%</w:t>
            </w:r>
          </w:p>
        </w:tc>
        <w:tc>
          <w:tcPr>
            <w:tcW w:w="1001" w:type="pct"/>
          </w:tcPr>
          <w:p w14:paraId="2C2E5A20" w14:textId="44D7F271" w:rsidR="00C843AF" w:rsidRPr="00ED172B" w:rsidRDefault="00C843AF" w:rsidP="006B2FE9">
            <w:pPr>
              <w:jc w:val="center"/>
              <w:rPr>
                <w:color w:val="000000" w:themeColor="text1"/>
              </w:rPr>
            </w:pPr>
            <w:r w:rsidRPr="005F5F3C">
              <w:rPr>
                <w:rFonts w:cs="Arial"/>
                <w:color w:val="000000" w:themeColor="text1"/>
                <w:szCs w:val="16"/>
              </w:rPr>
              <w:t>2.70%</w:t>
            </w:r>
          </w:p>
        </w:tc>
      </w:tr>
    </w:tbl>
    <w:p w14:paraId="31708672" w14:textId="7691570D" w:rsidR="00F80C9C" w:rsidRDefault="00F80C9C" w:rsidP="00F80C9C">
      <w:pPr>
        <w:pStyle w:val="Bold"/>
        <w:rPr>
          <w:color w:val="000000" w:themeColor="text1"/>
        </w:rPr>
      </w:pPr>
      <w:r w:rsidRPr="00ED172B">
        <w:rPr>
          <w:color w:val="000000" w:themeColor="text1"/>
        </w:rPr>
        <w:t xml:space="preserve">Targets: Description of Stakeholder Input </w:t>
      </w:r>
    </w:p>
    <w:p w14:paraId="21FFEE67" w14:textId="4F5F7951" w:rsidR="00B91988" w:rsidRDefault="00CF03E0" w:rsidP="00ED172B">
      <w:pPr>
        <w:rPr>
          <w:color w:val="000000" w:themeColor="text1"/>
        </w:rPr>
      </w:pPr>
      <w:r w:rsidRPr="00ED172B">
        <w:rPr>
          <w:color w:val="000000" w:themeColor="text1"/>
        </w:rPr>
        <w:t xml:space="preserve">The State engaged in broad stakeholder input on new targets established for FFY 2020-2025, reported in the 2021 submission. The State did not revise targets during this reporting period. Ongoing engagement included regular reports from the director and Agency staff to the State Interagency Coordinating Council, Regional Inclusive Services, and State Advisory Council on Special Education. Targeted engagement on personnel standards, the state systemic improvement plan and activities, strategies for improving access to inclusive early learning environments for children with disabilities, and updated guidance on discipline occurred throughout the reporting period. This included presentations during conferences, meetings, and advisory groups, updates to the Agency web pages, leveraging newsletters for Oregon Early Childhood Inclusion, webinars, and memorandums to district leadership and superintendents.  </w:t>
      </w:r>
      <w:r w:rsidRPr="00ED172B">
        <w:rPr>
          <w:color w:val="000000" w:themeColor="text1"/>
        </w:rPr>
        <w:br/>
        <w:t xml:space="preserve">The State engaged with various stakeholder groups to gather feedback on the revision of the EI/ECSE personnel standards. Multiple stakeholder engagement sessions were held with EI/ECSE practitioners, community partners, and families. The State partnered with a parent information and training center, Family and Community Together (FACT) Oregon, to host a feedback session with families of children receiving EI/ECSE services. Materials were made available in Spanish and Spanish translation was provided at the family feedback session.  </w:t>
      </w:r>
    </w:p>
    <w:p w14:paraId="712D4B5A" w14:textId="60F10C46" w:rsidR="004A1179" w:rsidRPr="00ED172B" w:rsidRDefault="004A1179" w:rsidP="00F80C9C">
      <w:pPr>
        <w:pStyle w:val="Bold"/>
        <w:rPr>
          <w:b w:val="0"/>
          <w:color w:val="000000" w:themeColor="text1"/>
        </w:rPr>
      </w:pPr>
    </w:p>
    <w:p w14:paraId="06114D28" w14:textId="77777777" w:rsidR="00B609A4" w:rsidRPr="00ED172B" w:rsidRDefault="00B609A4">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PREPOPDATA"/>
      </w:tblPr>
      <w:tblGrid>
        <w:gridCol w:w="3145"/>
        <w:gridCol w:w="3420"/>
        <w:gridCol w:w="2518"/>
        <w:gridCol w:w="1707"/>
      </w:tblGrid>
      <w:tr w:rsidR="00ED172B" w:rsidRPr="00ED172B" w14:paraId="174D843E" w14:textId="77777777" w:rsidTr="00986B99">
        <w:trPr>
          <w:trHeight w:val="372"/>
          <w:tblHeader/>
        </w:trPr>
        <w:tc>
          <w:tcPr>
            <w:tcW w:w="1457" w:type="pct"/>
            <w:shd w:val="clear" w:color="auto" w:fill="auto"/>
          </w:tcPr>
          <w:p w14:paraId="60C9A5E9"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Source</w:t>
            </w:r>
          </w:p>
        </w:tc>
        <w:tc>
          <w:tcPr>
            <w:tcW w:w="1585" w:type="pct"/>
            <w:shd w:val="clear" w:color="auto" w:fill="auto"/>
          </w:tcPr>
          <w:p w14:paraId="32EEC632"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Date</w:t>
            </w:r>
          </w:p>
        </w:tc>
        <w:tc>
          <w:tcPr>
            <w:tcW w:w="1167" w:type="pct"/>
            <w:shd w:val="clear" w:color="auto" w:fill="auto"/>
          </w:tcPr>
          <w:p w14:paraId="0D362AE2"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Description</w:t>
            </w:r>
          </w:p>
        </w:tc>
        <w:tc>
          <w:tcPr>
            <w:tcW w:w="791" w:type="pct"/>
            <w:shd w:val="clear" w:color="auto" w:fill="auto"/>
          </w:tcPr>
          <w:p w14:paraId="7217D4D9"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Data</w:t>
            </w:r>
          </w:p>
        </w:tc>
      </w:tr>
      <w:tr w:rsidR="00ED172B" w:rsidRPr="00ED172B" w14:paraId="3AF48BB2" w14:textId="77777777" w:rsidTr="00986B99">
        <w:trPr>
          <w:trHeight w:val="380"/>
        </w:trPr>
        <w:tc>
          <w:tcPr>
            <w:tcW w:w="1457" w:type="pct"/>
            <w:shd w:val="clear" w:color="auto" w:fill="auto"/>
            <w:vAlign w:val="center"/>
          </w:tcPr>
          <w:p w14:paraId="13D6F84C" w14:textId="3A0EB7E5" w:rsidR="00B609A4" w:rsidRPr="00ED172B" w:rsidRDefault="00753E04" w:rsidP="00715B7C">
            <w:pPr>
              <w:jc w:val="center"/>
              <w:rPr>
                <w:rFonts w:cs="Arial"/>
                <w:color w:val="000000" w:themeColor="text1"/>
                <w:szCs w:val="16"/>
              </w:rPr>
            </w:pPr>
            <w:r w:rsidRPr="00ED172B">
              <w:rPr>
                <w:rFonts w:cs="Arial"/>
                <w:color w:val="000000" w:themeColor="text1"/>
                <w:szCs w:val="16"/>
              </w:rPr>
              <w:t>SY 2022-23 EMAPS IDEA Part C Child Count and Settings Survey; Section A: Child Count and Settings by Age</w:t>
            </w:r>
          </w:p>
        </w:tc>
        <w:tc>
          <w:tcPr>
            <w:tcW w:w="1585" w:type="pct"/>
            <w:shd w:val="clear" w:color="auto" w:fill="auto"/>
            <w:vAlign w:val="center"/>
          </w:tcPr>
          <w:p w14:paraId="390030CF" w14:textId="7871DF66" w:rsidR="00B609A4" w:rsidRPr="00ED172B" w:rsidRDefault="00753E04" w:rsidP="00715B7C">
            <w:pPr>
              <w:jc w:val="center"/>
              <w:rPr>
                <w:rFonts w:cs="Arial"/>
                <w:color w:val="000000" w:themeColor="text1"/>
                <w:szCs w:val="16"/>
              </w:rPr>
            </w:pPr>
            <w:r w:rsidRPr="00ED172B">
              <w:rPr>
                <w:rFonts w:cs="Arial"/>
                <w:color w:val="000000" w:themeColor="text1"/>
                <w:szCs w:val="16"/>
              </w:rPr>
              <w:t>08/30/2023</w:t>
            </w:r>
          </w:p>
        </w:tc>
        <w:tc>
          <w:tcPr>
            <w:tcW w:w="1167" w:type="pct"/>
            <w:shd w:val="clear" w:color="auto" w:fill="auto"/>
            <w:vAlign w:val="center"/>
          </w:tcPr>
          <w:p w14:paraId="575D4DB0" w14:textId="05264684" w:rsidR="00B609A4" w:rsidRPr="00ED172B" w:rsidRDefault="00B609A4" w:rsidP="00715B7C">
            <w:pPr>
              <w:jc w:val="center"/>
              <w:rPr>
                <w:rFonts w:cs="Arial"/>
                <w:color w:val="000000" w:themeColor="text1"/>
                <w:szCs w:val="16"/>
              </w:rPr>
            </w:pPr>
            <w:r w:rsidRPr="00ED172B">
              <w:rPr>
                <w:rFonts w:cs="Arial"/>
                <w:color w:val="000000" w:themeColor="text1"/>
                <w:szCs w:val="16"/>
              </w:rPr>
              <w:t>Number of infants and toddlers birth to 3 with IFSPs</w:t>
            </w:r>
          </w:p>
        </w:tc>
        <w:tc>
          <w:tcPr>
            <w:tcW w:w="791" w:type="pct"/>
            <w:shd w:val="clear" w:color="auto" w:fill="auto"/>
            <w:vAlign w:val="center"/>
          </w:tcPr>
          <w:p w14:paraId="317A46A2" w14:textId="2FD810F0" w:rsidR="00B609A4" w:rsidRPr="00ED172B" w:rsidRDefault="00860830" w:rsidP="00715B7C">
            <w:pPr>
              <w:jc w:val="center"/>
              <w:rPr>
                <w:rFonts w:cs="Arial"/>
                <w:color w:val="000000" w:themeColor="text1"/>
                <w:szCs w:val="16"/>
              </w:rPr>
            </w:pPr>
            <w:r w:rsidRPr="00ED172B">
              <w:rPr>
                <w:color w:val="000000" w:themeColor="text1"/>
                <w:szCs w:val="16"/>
              </w:rPr>
              <w:t>4,112</w:t>
            </w:r>
          </w:p>
        </w:tc>
      </w:tr>
      <w:tr w:rsidR="00ED172B" w:rsidRPr="00ED172B" w14:paraId="27E196B0" w14:textId="77777777" w:rsidTr="00986B99">
        <w:trPr>
          <w:trHeight w:val="380"/>
        </w:trPr>
        <w:tc>
          <w:tcPr>
            <w:tcW w:w="1457" w:type="pct"/>
            <w:shd w:val="clear" w:color="auto" w:fill="auto"/>
            <w:vAlign w:val="center"/>
          </w:tcPr>
          <w:p w14:paraId="529FF325" w14:textId="43943F85" w:rsidR="00B609A4" w:rsidRPr="00ED172B" w:rsidRDefault="00753E04" w:rsidP="00715B7C">
            <w:pPr>
              <w:jc w:val="center"/>
              <w:rPr>
                <w:rFonts w:cs="Arial"/>
                <w:color w:val="000000" w:themeColor="text1"/>
                <w:szCs w:val="16"/>
              </w:rPr>
            </w:pPr>
            <w:r w:rsidRPr="00ED172B">
              <w:rPr>
                <w:rFonts w:cs="Arial"/>
                <w:color w:val="000000" w:themeColor="text1"/>
                <w:szCs w:val="16"/>
                <w:shd w:val="clear" w:color="auto" w:fill="FFFFFF"/>
              </w:rPr>
              <w:t xml:space="preserve">Annual State Resident Population Estimates for 6 Race Groups (5 Race Alone Groups and Two or More Races) by Age, Sex, and Hispanic Origin: April 1, </w:t>
            </w:r>
            <w:proofErr w:type="gramStart"/>
            <w:r w:rsidRPr="00ED172B">
              <w:rPr>
                <w:rFonts w:cs="Arial"/>
                <w:color w:val="000000" w:themeColor="text1"/>
                <w:szCs w:val="16"/>
                <w:shd w:val="clear" w:color="auto" w:fill="FFFFFF"/>
              </w:rPr>
              <w:t>2020</w:t>
            </w:r>
            <w:proofErr w:type="gramEnd"/>
            <w:r w:rsidRPr="00ED172B">
              <w:rPr>
                <w:rFonts w:cs="Arial"/>
                <w:color w:val="000000" w:themeColor="text1"/>
                <w:szCs w:val="16"/>
                <w:shd w:val="clear" w:color="auto" w:fill="FFFFFF"/>
              </w:rPr>
              <w:t xml:space="preserve"> to July 1, 2021</w:t>
            </w:r>
          </w:p>
        </w:tc>
        <w:tc>
          <w:tcPr>
            <w:tcW w:w="1585" w:type="pct"/>
            <w:shd w:val="clear" w:color="auto" w:fill="auto"/>
            <w:vAlign w:val="center"/>
          </w:tcPr>
          <w:p w14:paraId="5D3FB738" w14:textId="5F3B6F61" w:rsidR="00B609A4" w:rsidRPr="00ED172B" w:rsidRDefault="00753E04" w:rsidP="00715B7C">
            <w:pPr>
              <w:jc w:val="center"/>
              <w:rPr>
                <w:rFonts w:cs="Arial"/>
                <w:color w:val="000000" w:themeColor="text1"/>
                <w:szCs w:val="16"/>
              </w:rPr>
            </w:pPr>
            <w:r w:rsidRPr="00ED172B">
              <w:rPr>
                <w:rFonts w:cs="Arial"/>
                <w:color w:val="000000" w:themeColor="text1"/>
                <w:szCs w:val="16"/>
                <w:shd w:val="clear" w:color="auto" w:fill="FFFFFF"/>
              </w:rPr>
              <w:t>06/20/2023</w:t>
            </w:r>
          </w:p>
        </w:tc>
        <w:tc>
          <w:tcPr>
            <w:tcW w:w="1167" w:type="pct"/>
            <w:shd w:val="clear" w:color="auto" w:fill="auto"/>
            <w:vAlign w:val="center"/>
          </w:tcPr>
          <w:p w14:paraId="7064C4F2" w14:textId="51035A52" w:rsidR="00B609A4" w:rsidRPr="00ED172B" w:rsidRDefault="00B609A4" w:rsidP="00715B7C">
            <w:pPr>
              <w:jc w:val="center"/>
              <w:rPr>
                <w:rFonts w:cs="Arial"/>
                <w:color w:val="000000" w:themeColor="text1"/>
                <w:szCs w:val="16"/>
              </w:rPr>
            </w:pPr>
            <w:r w:rsidRPr="00ED172B">
              <w:rPr>
                <w:rFonts w:cs="Arial"/>
                <w:color w:val="000000" w:themeColor="text1"/>
                <w:szCs w:val="16"/>
              </w:rPr>
              <w:t>Population of infants and toddlers birth to 3</w:t>
            </w:r>
          </w:p>
        </w:tc>
        <w:tc>
          <w:tcPr>
            <w:tcW w:w="791" w:type="pct"/>
            <w:shd w:val="clear" w:color="auto" w:fill="auto"/>
            <w:vAlign w:val="center"/>
          </w:tcPr>
          <w:p w14:paraId="64E45D71" w14:textId="721F6F55" w:rsidR="00B609A4" w:rsidRPr="00ED172B" w:rsidRDefault="00860830" w:rsidP="00715B7C">
            <w:pPr>
              <w:jc w:val="center"/>
              <w:rPr>
                <w:rFonts w:cs="Arial"/>
                <w:color w:val="000000" w:themeColor="text1"/>
                <w:szCs w:val="16"/>
              </w:rPr>
            </w:pPr>
            <w:r w:rsidRPr="00ED172B">
              <w:rPr>
                <w:color w:val="000000" w:themeColor="text1"/>
                <w:szCs w:val="16"/>
              </w:rPr>
              <w:t>121,594</w:t>
            </w:r>
          </w:p>
        </w:tc>
      </w:tr>
    </w:tbl>
    <w:p w14:paraId="145EA13A" w14:textId="7B4F17EC" w:rsidR="00B609A4" w:rsidRPr="00ED172B" w:rsidRDefault="00F22D09">
      <w:pPr>
        <w:rPr>
          <w:b/>
          <w:color w:val="000000" w:themeColor="text1"/>
        </w:rPr>
      </w:pPr>
      <w:r>
        <w:rPr>
          <w:b/>
          <w:color w:val="000000" w:themeColor="text1"/>
        </w:rPr>
        <w:t>FFY 2022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FFYAPRDATA"/>
      </w:tblPr>
      <w:tblGrid>
        <w:gridCol w:w="2430"/>
        <w:gridCol w:w="2070"/>
        <w:gridCol w:w="1349"/>
        <w:gridCol w:w="1261"/>
        <w:gridCol w:w="1259"/>
        <w:gridCol w:w="1261"/>
        <w:gridCol w:w="1164"/>
      </w:tblGrid>
      <w:tr w:rsidR="00ED172B" w:rsidRPr="00ED172B" w14:paraId="00A10F82" w14:textId="77777777" w:rsidTr="00986B99">
        <w:trPr>
          <w:trHeight w:val="359"/>
          <w:tblHeader/>
        </w:trPr>
        <w:tc>
          <w:tcPr>
            <w:tcW w:w="1126" w:type="pct"/>
            <w:shd w:val="clear" w:color="auto" w:fill="auto"/>
            <w:vAlign w:val="bottom"/>
          </w:tcPr>
          <w:p w14:paraId="0D5BE5E5" w14:textId="685BA0DE" w:rsidR="00967D30" w:rsidRPr="00ED172B" w:rsidRDefault="00967D30" w:rsidP="00967D30">
            <w:pPr>
              <w:jc w:val="center"/>
              <w:rPr>
                <w:rFonts w:cs="Arial"/>
                <w:b/>
                <w:color w:val="000000" w:themeColor="text1"/>
                <w:szCs w:val="16"/>
              </w:rPr>
            </w:pPr>
            <w:r w:rsidRPr="00ED172B">
              <w:rPr>
                <w:rFonts w:cs="Arial"/>
                <w:b/>
                <w:color w:val="000000" w:themeColor="text1"/>
                <w:szCs w:val="16"/>
              </w:rPr>
              <w:t>Number of infants and toddlers birth to 3 with IFSPs</w:t>
            </w:r>
          </w:p>
        </w:tc>
        <w:tc>
          <w:tcPr>
            <w:tcW w:w="959" w:type="pct"/>
            <w:shd w:val="clear" w:color="auto" w:fill="auto"/>
            <w:vAlign w:val="bottom"/>
          </w:tcPr>
          <w:p w14:paraId="198F4208" w14:textId="4A8CFA40" w:rsidR="00967D30" w:rsidRPr="00ED172B" w:rsidRDefault="00967D30" w:rsidP="00967D30">
            <w:pPr>
              <w:jc w:val="center"/>
              <w:rPr>
                <w:rFonts w:cs="Arial"/>
                <w:color w:val="000000" w:themeColor="text1"/>
                <w:szCs w:val="16"/>
              </w:rPr>
            </w:pPr>
            <w:r w:rsidRPr="00ED172B">
              <w:rPr>
                <w:rFonts w:cs="Arial"/>
                <w:b/>
                <w:color w:val="000000" w:themeColor="text1"/>
                <w:szCs w:val="16"/>
              </w:rPr>
              <w:t>Population of infants and toddlers birth to 3</w:t>
            </w:r>
          </w:p>
        </w:tc>
        <w:tc>
          <w:tcPr>
            <w:tcW w:w="625" w:type="pct"/>
            <w:shd w:val="clear" w:color="auto" w:fill="auto"/>
            <w:vAlign w:val="bottom"/>
          </w:tcPr>
          <w:p w14:paraId="27E4FD75" w14:textId="2455A934" w:rsidR="00967D30" w:rsidRPr="00ED172B" w:rsidRDefault="00CD74B5" w:rsidP="00967D30">
            <w:pPr>
              <w:jc w:val="center"/>
              <w:rPr>
                <w:rFonts w:cs="Arial"/>
                <w:b/>
                <w:color w:val="000000" w:themeColor="text1"/>
                <w:szCs w:val="16"/>
              </w:rPr>
            </w:pPr>
            <w:r>
              <w:rPr>
                <w:rFonts w:cs="Arial"/>
                <w:b/>
                <w:color w:val="000000" w:themeColor="text1"/>
                <w:szCs w:val="16"/>
              </w:rPr>
              <w:t>FFY 2021 Data</w:t>
            </w:r>
          </w:p>
        </w:tc>
        <w:tc>
          <w:tcPr>
            <w:tcW w:w="584" w:type="pct"/>
            <w:shd w:val="clear" w:color="auto" w:fill="auto"/>
            <w:vAlign w:val="bottom"/>
          </w:tcPr>
          <w:p w14:paraId="16DC2F19" w14:textId="0548FC19" w:rsidR="00967D30" w:rsidRPr="00ED172B" w:rsidRDefault="00F22D09" w:rsidP="00967D30">
            <w:pPr>
              <w:jc w:val="center"/>
              <w:rPr>
                <w:rFonts w:cs="Arial"/>
                <w:b/>
                <w:color w:val="000000" w:themeColor="text1"/>
                <w:szCs w:val="16"/>
              </w:rPr>
            </w:pPr>
            <w:r>
              <w:rPr>
                <w:rFonts w:cs="Arial"/>
                <w:b/>
                <w:color w:val="000000" w:themeColor="text1"/>
                <w:szCs w:val="16"/>
              </w:rPr>
              <w:t>FFY 2022 Target</w:t>
            </w:r>
          </w:p>
        </w:tc>
        <w:tc>
          <w:tcPr>
            <w:tcW w:w="583" w:type="pct"/>
            <w:shd w:val="clear" w:color="auto" w:fill="auto"/>
            <w:vAlign w:val="bottom"/>
          </w:tcPr>
          <w:p w14:paraId="18079166" w14:textId="5BFBF424" w:rsidR="00967D30" w:rsidRPr="00ED172B" w:rsidRDefault="00F22D09" w:rsidP="00967D30">
            <w:pPr>
              <w:jc w:val="center"/>
              <w:rPr>
                <w:rFonts w:cs="Arial"/>
                <w:b/>
                <w:color w:val="000000" w:themeColor="text1"/>
                <w:szCs w:val="16"/>
              </w:rPr>
            </w:pPr>
            <w:r>
              <w:rPr>
                <w:rFonts w:cs="Arial"/>
                <w:b/>
                <w:color w:val="000000" w:themeColor="text1"/>
                <w:szCs w:val="16"/>
              </w:rPr>
              <w:t>FFY 2022 Data</w:t>
            </w:r>
          </w:p>
        </w:tc>
        <w:tc>
          <w:tcPr>
            <w:tcW w:w="584" w:type="pct"/>
            <w:shd w:val="clear" w:color="auto" w:fill="auto"/>
            <w:vAlign w:val="bottom"/>
          </w:tcPr>
          <w:p w14:paraId="7561BC2F"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Status</w:t>
            </w:r>
          </w:p>
        </w:tc>
        <w:tc>
          <w:tcPr>
            <w:tcW w:w="539" w:type="pct"/>
            <w:shd w:val="clear" w:color="auto" w:fill="auto"/>
            <w:vAlign w:val="bottom"/>
          </w:tcPr>
          <w:p w14:paraId="417D57E0"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Slippage</w:t>
            </w:r>
          </w:p>
        </w:tc>
      </w:tr>
      <w:tr w:rsidR="00ED172B" w:rsidRPr="00ED172B" w14:paraId="14CA60A2" w14:textId="77777777" w:rsidTr="00986B99">
        <w:trPr>
          <w:trHeight w:val="366"/>
        </w:trPr>
        <w:tc>
          <w:tcPr>
            <w:tcW w:w="1126" w:type="pct"/>
            <w:shd w:val="clear" w:color="auto" w:fill="auto"/>
            <w:vAlign w:val="center"/>
          </w:tcPr>
          <w:p w14:paraId="3DDCAD9E" w14:textId="0620885E" w:rsidR="00897554" w:rsidRPr="00ED172B" w:rsidRDefault="00860830" w:rsidP="00897554">
            <w:pPr>
              <w:jc w:val="center"/>
              <w:rPr>
                <w:rFonts w:cs="Arial"/>
                <w:color w:val="000000" w:themeColor="text1"/>
                <w:szCs w:val="16"/>
              </w:rPr>
            </w:pPr>
            <w:r w:rsidRPr="00ED172B">
              <w:rPr>
                <w:color w:val="000000" w:themeColor="text1"/>
                <w:szCs w:val="16"/>
              </w:rPr>
              <w:t>4,112</w:t>
            </w:r>
          </w:p>
        </w:tc>
        <w:tc>
          <w:tcPr>
            <w:tcW w:w="959" w:type="pct"/>
            <w:shd w:val="clear" w:color="auto" w:fill="auto"/>
            <w:vAlign w:val="center"/>
          </w:tcPr>
          <w:p w14:paraId="55FD5380" w14:textId="291C2FAE" w:rsidR="00897554" w:rsidRPr="00ED172B" w:rsidRDefault="00860830" w:rsidP="00897554">
            <w:pPr>
              <w:jc w:val="center"/>
              <w:rPr>
                <w:rFonts w:cs="Arial"/>
                <w:color w:val="000000" w:themeColor="text1"/>
                <w:szCs w:val="16"/>
              </w:rPr>
            </w:pPr>
            <w:r w:rsidRPr="00ED172B">
              <w:rPr>
                <w:color w:val="000000" w:themeColor="text1"/>
                <w:szCs w:val="16"/>
              </w:rPr>
              <w:t>121,594</w:t>
            </w:r>
          </w:p>
        </w:tc>
        <w:tc>
          <w:tcPr>
            <w:tcW w:w="625" w:type="pct"/>
            <w:shd w:val="clear" w:color="auto" w:fill="auto"/>
            <w:vAlign w:val="center"/>
          </w:tcPr>
          <w:p w14:paraId="72793747" w14:textId="493DD05D" w:rsidR="00897554" w:rsidRPr="00ED172B" w:rsidRDefault="00860830" w:rsidP="00897554">
            <w:pPr>
              <w:jc w:val="center"/>
              <w:rPr>
                <w:rFonts w:cs="Arial"/>
                <w:color w:val="000000" w:themeColor="text1"/>
                <w:szCs w:val="16"/>
              </w:rPr>
            </w:pPr>
            <w:r w:rsidRPr="00ED172B">
              <w:rPr>
                <w:rFonts w:cs="Arial"/>
                <w:color w:val="000000" w:themeColor="text1"/>
                <w:szCs w:val="16"/>
              </w:rPr>
              <w:t>3.00%</w:t>
            </w:r>
          </w:p>
        </w:tc>
        <w:tc>
          <w:tcPr>
            <w:tcW w:w="584" w:type="pct"/>
            <w:shd w:val="clear" w:color="auto" w:fill="auto"/>
            <w:vAlign w:val="center"/>
          </w:tcPr>
          <w:p w14:paraId="2F4AA092" w14:textId="5BD12D82" w:rsidR="00897554" w:rsidRPr="00ED172B" w:rsidRDefault="00632DF6" w:rsidP="00632DF6">
            <w:pPr>
              <w:jc w:val="center"/>
              <w:rPr>
                <w:color w:val="000000" w:themeColor="text1"/>
              </w:rPr>
            </w:pPr>
            <w:r w:rsidRPr="00ED172B">
              <w:rPr>
                <w:color w:val="000000" w:themeColor="text1"/>
              </w:rPr>
              <w:t>2.50%</w:t>
            </w:r>
          </w:p>
        </w:tc>
        <w:tc>
          <w:tcPr>
            <w:tcW w:w="583" w:type="pct"/>
            <w:shd w:val="clear" w:color="auto" w:fill="auto"/>
            <w:vAlign w:val="center"/>
          </w:tcPr>
          <w:p w14:paraId="5CFECB97" w14:textId="261FA373" w:rsidR="00897554" w:rsidRPr="00ED172B" w:rsidRDefault="00860830" w:rsidP="00897554">
            <w:pPr>
              <w:jc w:val="center"/>
              <w:rPr>
                <w:rFonts w:cs="Arial"/>
                <w:color w:val="000000" w:themeColor="text1"/>
                <w:szCs w:val="16"/>
              </w:rPr>
            </w:pPr>
            <w:r w:rsidRPr="00ED172B">
              <w:rPr>
                <w:rFonts w:cs="Arial"/>
                <w:color w:val="000000" w:themeColor="text1"/>
                <w:szCs w:val="16"/>
              </w:rPr>
              <w:t>3.38%</w:t>
            </w:r>
          </w:p>
        </w:tc>
        <w:tc>
          <w:tcPr>
            <w:tcW w:w="584" w:type="pct"/>
            <w:shd w:val="clear" w:color="auto" w:fill="auto"/>
            <w:vAlign w:val="center"/>
          </w:tcPr>
          <w:p w14:paraId="35D555CB" w14:textId="444115B7" w:rsidR="00897554" w:rsidRPr="00ED172B" w:rsidRDefault="00E3423F" w:rsidP="00027F39">
            <w:pPr>
              <w:jc w:val="center"/>
              <w:rPr>
                <w:color w:val="000000" w:themeColor="text1"/>
              </w:rPr>
            </w:pPr>
            <w:r w:rsidRPr="00ED172B">
              <w:rPr>
                <w:color w:val="000000" w:themeColor="text1"/>
              </w:rPr>
              <w:t>Met target</w:t>
            </w:r>
          </w:p>
        </w:tc>
        <w:tc>
          <w:tcPr>
            <w:tcW w:w="539" w:type="pct"/>
            <w:shd w:val="clear" w:color="auto" w:fill="auto"/>
            <w:vAlign w:val="center"/>
          </w:tcPr>
          <w:p w14:paraId="544922D6" w14:textId="58EF666E" w:rsidR="00897554" w:rsidRPr="00ED172B" w:rsidRDefault="00E3423F" w:rsidP="00027F39">
            <w:pPr>
              <w:jc w:val="center"/>
              <w:rPr>
                <w:color w:val="000000" w:themeColor="text1"/>
              </w:rPr>
            </w:pPr>
            <w:r w:rsidRPr="00ED172B">
              <w:rPr>
                <w:color w:val="000000" w:themeColor="text1"/>
              </w:rPr>
              <w:t>No Slippage</w:t>
            </w:r>
          </w:p>
        </w:tc>
      </w:tr>
    </w:tbl>
    <w:p w14:paraId="6FBC07A0" w14:textId="1DA65C5E" w:rsidR="003A3693" w:rsidRPr="00ED172B" w:rsidRDefault="003A3693" w:rsidP="003A3693">
      <w:pPr>
        <w:rPr>
          <w:rFonts w:cs="Arial"/>
          <w:b/>
          <w:color w:val="000000" w:themeColor="text1"/>
          <w:szCs w:val="16"/>
        </w:rPr>
      </w:pPr>
      <w:r w:rsidRPr="00ED172B">
        <w:rPr>
          <w:rFonts w:cs="Arial"/>
          <w:b/>
          <w:color w:val="000000" w:themeColor="text1"/>
          <w:szCs w:val="16"/>
        </w:rPr>
        <w:t>Provide additional information about this indicator (optional).</w:t>
      </w:r>
    </w:p>
    <w:p w14:paraId="1B7D851B" w14:textId="10D0339D" w:rsidR="003A3693" w:rsidRPr="00ED172B" w:rsidRDefault="003A3693" w:rsidP="003A3693">
      <w:pPr>
        <w:rPr>
          <w:rFonts w:cs="Arial"/>
          <w:color w:val="000000" w:themeColor="text1"/>
          <w:szCs w:val="16"/>
        </w:rPr>
      </w:pPr>
    </w:p>
    <w:p w14:paraId="38A791C3" w14:textId="149CEBCF" w:rsidR="00DC0682" w:rsidRPr="00A40EE1" w:rsidRDefault="000D0117" w:rsidP="005C3FFD">
      <w:pPr>
        <w:pStyle w:val="Heading2"/>
      </w:pPr>
      <w:r w:rsidRPr="00A40EE1">
        <w:lastRenderedPageBreak/>
        <w:t xml:space="preserve">6 - </w:t>
      </w:r>
      <w:r w:rsidR="00DC0682" w:rsidRPr="00A40EE1">
        <w:t>Prior FFY Required Actions</w:t>
      </w:r>
    </w:p>
    <w:p w14:paraId="6DAAC622" w14:textId="42A580CC" w:rsidR="004C1CEE" w:rsidRPr="00ED172B" w:rsidRDefault="00632DF6" w:rsidP="00DC0682">
      <w:pPr>
        <w:rPr>
          <w:rFonts w:cs="Arial"/>
          <w:color w:val="000000" w:themeColor="text1"/>
          <w:szCs w:val="16"/>
        </w:rPr>
      </w:pPr>
      <w:r w:rsidRPr="00ED172B">
        <w:rPr>
          <w:color w:val="000000" w:themeColor="text1"/>
        </w:rPr>
        <w:t>None</w:t>
      </w:r>
    </w:p>
    <w:p w14:paraId="039C789A" w14:textId="6EADCD13" w:rsidR="00DC0682" w:rsidRPr="00A40EE1" w:rsidRDefault="000D0117" w:rsidP="005C3FFD">
      <w:pPr>
        <w:pStyle w:val="Heading2"/>
      </w:pPr>
      <w:r w:rsidRPr="00A40EE1">
        <w:t xml:space="preserve">6 - </w:t>
      </w:r>
      <w:r w:rsidR="00DC0682" w:rsidRPr="00A40EE1">
        <w:t>OSEP Response</w:t>
      </w:r>
    </w:p>
    <w:p w14:paraId="24CB6052" w14:textId="494BF2EE" w:rsidR="00DC0682" w:rsidRPr="00ED172B" w:rsidRDefault="00DC0682" w:rsidP="00632DF6">
      <w:pPr>
        <w:rPr>
          <w:color w:val="000000" w:themeColor="text1"/>
        </w:rPr>
      </w:pPr>
    </w:p>
    <w:p w14:paraId="293B025B" w14:textId="7FB02442" w:rsidR="00DC0682" w:rsidRPr="00A40EE1" w:rsidRDefault="000D0117" w:rsidP="005C3FFD">
      <w:pPr>
        <w:pStyle w:val="Heading2"/>
      </w:pPr>
      <w:r w:rsidRPr="00A40EE1">
        <w:t xml:space="preserve">6 - </w:t>
      </w:r>
      <w:r w:rsidR="00DC0682" w:rsidRPr="00A40EE1">
        <w:t>Required Actions</w:t>
      </w:r>
    </w:p>
    <w:p w14:paraId="4869EFE4" w14:textId="3CB6DC17" w:rsidR="00DC0682" w:rsidRPr="00ED172B" w:rsidRDefault="00DC0682" w:rsidP="00027F39">
      <w:pPr>
        <w:rPr>
          <w:rFonts w:eastAsiaTheme="majorEastAsia" w:cstheme="majorBidi"/>
          <w:b/>
          <w:bCs/>
          <w:color w:val="000000" w:themeColor="text1"/>
          <w:sz w:val="22"/>
          <w:szCs w:val="28"/>
        </w:rPr>
      </w:pPr>
      <w:r w:rsidRPr="00ED172B">
        <w:rPr>
          <w:color w:val="000000" w:themeColor="text1"/>
        </w:rPr>
        <w:br w:type="page"/>
      </w:r>
    </w:p>
    <w:p w14:paraId="42561B8C" w14:textId="77777777" w:rsidR="00D21EAA" w:rsidRPr="00ED172B" w:rsidRDefault="00D21EAA" w:rsidP="0077063D">
      <w:pPr>
        <w:pStyle w:val="Heading1"/>
        <w:rPr>
          <w:color w:val="000000" w:themeColor="text1"/>
        </w:rPr>
      </w:pPr>
      <w:r w:rsidRPr="00ED172B">
        <w:rPr>
          <w:color w:val="000000" w:themeColor="text1"/>
        </w:rPr>
        <w:lastRenderedPageBreak/>
        <w:t xml:space="preserve">Indicator </w:t>
      </w:r>
      <w:bookmarkEnd w:id="13"/>
      <w:bookmarkEnd w:id="29"/>
      <w:bookmarkEnd w:id="37"/>
      <w:r w:rsidR="00523FAA" w:rsidRPr="00ED172B">
        <w:rPr>
          <w:color w:val="000000" w:themeColor="text1"/>
        </w:rPr>
        <w:t>7: 45-</w:t>
      </w:r>
      <w:r w:rsidR="002E5124" w:rsidRPr="00ED172B">
        <w:rPr>
          <w:color w:val="000000" w:themeColor="text1"/>
        </w:rPr>
        <w:t>Day</w:t>
      </w:r>
      <w:r w:rsidR="00B40046" w:rsidRPr="00ED172B">
        <w:rPr>
          <w:color w:val="000000" w:themeColor="text1"/>
        </w:rPr>
        <w:t xml:space="preserve"> </w:t>
      </w:r>
      <w:r w:rsidR="002E5124" w:rsidRPr="00ED172B">
        <w:rPr>
          <w:color w:val="000000" w:themeColor="text1"/>
        </w:rPr>
        <w:t>T</w:t>
      </w:r>
      <w:r w:rsidR="00523FAA" w:rsidRPr="00ED172B">
        <w:rPr>
          <w:color w:val="000000" w:themeColor="text1"/>
        </w:rPr>
        <w:t>imeline</w:t>
      </w:r>
    </w:p>
    <w:p w14:paraId="676A2389" w14:textId="77777777" w:rsidR="000C5918" w:rsidRPr="00ED172B" w:rsidRDefault="000C5918" w:rsidP="00186420">
      <w:pPr>
        <w:rPr>
          <w:color w:val="000000" w:themeColor="text1"/>
          <w:szCs w:val="20"/>
        </w:rPr>
      </w:pPr>
      <w:bookmarkStart w:id="38" w:name="_Toc392159295"/>
      <w:r w:rsidRPr="00ED172B">
        <w:rPr>
          <w:b/>
          <w:color w:val="000000" w:themeColor="text1"/>
          <w:sz w:val="20"/>
          <w:szCs w:val="20"/>
        </w:rPr>
        <w:t>Instructions and Measurement</w:t>
      </w:r>
    </w:p>
    <w:p w14:paraId="7C6B9A07" w14:textId="77777777" w:rsidR="00523FAA" w:rsidRPr="00ED172B" w:rsidRDefault="00523FAA" w:rsidP="00B609A4">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Child Find</w:t>
      </w:r>
    </w:p>
    <w:p w14:paraId="47010C62" w14:textId="77777777" w:rsidR="00523FAA" w:rsidRPr="00ED172B" w:rsidRDefault="00523FAA" w:rsidP="00B609A4">
      <w:pPr>
        <w:rPr>
          <w:color w:val="000000" w:themeColor="text1"/>
          <w:szCs w:val="16"/>
        </w:rPr>
      </w:pPr>
      <w:r w:rsidRPr="00ED172B">
        <w:rPr>
          <w:b/>
          <w:color w:val="000000" w:themeColor="text1"/>
          <w:szCs w:val="16"/>
        </w:rPr>
        <w:t>Compliance indicator:</w:t>
      </w:r>
      <w:r w:rsidRPr="00ED172B">
        <w:rPr>
          <w:color w:val="000000" w:themeColor="text1"/>
          <w:szCs w:val="16"/>
        </w:rPr>
        <w:t xml:space="preserve"> Percent of eligible infants and toddlers with IFSPs for whom an initial evaluation and initial assessment and an initial IFSP meeting were conducted within Part C’s 45-day timeline.</w:t>
      </w:r>
      <w:r w:rsidR="007243C1" w:rsidRPr="00ED172B">
        <w:rPr>
          <w:color w:val="000000" w:themeColor="text1"/>
          <w:szCs w:val="16"/>
        </w:rPr>
        <w:t xml:space="preserve"> </w:t>
      </w:r>
      <w:r w:rsidRPr="00ED172B">
        <w:rPr>
          <w:color w:val="000000" w:themeColor="text1"/>
          <w:szCs w:val="16"/>
        </w:rPr>
        <w:t>(20 U.S.C. 1416(a)(3)(B) and 1442)</w:t>
      </w:r>
    </w:p>
    <w:p w14:paraId="7645D0C8" w14:textId="77777777" w:rsidR="001C3D0E" w:rsidRPr="00ED172B" w:rsidRDefault="001C3D0E">
      <w:pPr>
        <w:rPr>
          <w:b/>
          <w:color w:val="000000" w:themeColor="text1"/>
        </w:rPr>
      </w:pPr>
      <w:r w:rsidRPr="00ED172B">
        <w:rPr>
          <w:b/>
          <w:color w:val="000000" w:themeColor="text1"/>
        </w:rPr>
        <w:t>Data Source</w:t>
      </w:r>
    </w:p>
    <w:p w14:paraId="6F677680" w14:textId="5F84202A" w:rsidR="001C3D0E" w:rsidRPr="00ED172B" w:rsidRDefault="001C3D0E" w:rsidP="00B609A4">
      <w:pPr>
        <w:rPr>
          <w:color w:val="000000" w:themeColor="text1"/>
          <w:szCs w:val="16"/>
        </w:rPr>
      </w:pPr>
      <w:r w:rsidRPr="00ED172B">
        <w:rPr>
          <w:color w:val="000000" w:themeColor="text1"/>
          <w:szCs w:val="16"/>
        </w:rPr>
        <w:t>Data to be taken from monitoring or State data system and must address the timeline from point of referral to initial IFSP meeting based on actual, not an average, number of days.</w:t>
      </w:r>
    </w:p>
    <w:p w14:paraId="6F39F16D" w14:textId="77777777" w:rsidR="001C3D0E" w:rsidRPr="00ED172B" w:rsidRDefault="001C3D0E">
      <w:pPr>
        <w:rPr>
          <w:b/>
          <w:color w:val="000000" w:themeColor="text1"/>
        </w:rPr>
      </w:pPr>
      <w:r w:rsidRPr="00ED172B">
        <w:rPr>
          <w:b/>
          <w:color w:val="000000" w:themeColor="text1"/>
        </w:rPr>
        <w:t>Measurement</w:t>
      </w:r>
    </w:p>
    <w:p w14:paraId="2E800B40" w14:textId="77777777" w:rsidR="001C3D0E" w:rsidRPr="00ED172B" w:rsidRDefault="001C3D0E" w:rsidP="00B609A4">
      <w:pPr>
        <w:rPr>
          <w:color w:val="000000" w:themeColor="text1"/>
          <w:szCs w:val="16"/>
        </w:rPr>
      </w:pPr>
      <w:r w:rsidRPr="00ED172B">
        <w:rPr>
          <w:color w:val="000000" w:themeColor="text1"/>
          <w:szCs w:val="16"/>
        </w:rPr>
        <w:t>Percent = [(# of eligible infants and toddlers with IFSPs for whom an initial evaluation and initial assessment and an initial IFSP meeting were conducted within Part C’s 45-day timeline) divided by the (# of eligible infants and toddlers evaluated and assessed for whom an initial IFSP meeting was required to be conducted)] times 100.</w:t>
      </w:r>
    </w:p>
    <w:p w14:paraId="37F9B9F2" w14:textId="71197BE2" w:rsidR="001C3D0E" w:rsidRPr="00ED172B" w:rsidRDefault="001C3D0E" w:rsidP="00B609A4">
      <w:pPr>
        <w:rPr>
          <w:color w:val="000000" w:themeColor="text1"/>
          <w:szCs w:val="16"/>
        </w:rPr>
      </w:pPr>
      <w:r w:rsidRPr="00ED172B">
        <w:rPr>
          <w:color w:val="000000" w:themeColor="text1"/>
          <w:szCs w:val="16"/>
        </w:rPr>
        <w:t>Account for untimely evaluations, assessments, and initial IFSP meetings, including the reasons for delays.</w:t>
      </w:r>
    </w:p>
    <w:p w14:paraId="025F5B13" w14:textId="77777777" w:rsidR="001C3D0E" w:rsidRPr="00ED172B" w:rsidRDefault="001C3D0E">
      <w:pPr>
        <w:rPr>
          <w:b/>
          <w:color w:val="000000" w:themeColor="text1"/>
        </w:rPr>
      </w:pPr>
      <w:r w:rsidRPr="00ED172B">
        <w:rPr>
          <w:b/>
          <w:color w:val="000000" w:themeColor="text1"/>
        </w:rPr>
        <w:t>Instructions</w:t>
      </w:r>
    </w:p>
    <w:p w14:paraId="079B9C13" w14:textId="77777777" w:rsidR="001C3D0E" w:rsidRPr="0055373D" w:rsidRDefault="001C3D0E" w:rsidP="00B609A4">
      <w:pPr>
        <w:rPr>
          <w:i/>
          <w:iCs/>
          <w:color w:val="000000" w:themeColor="text1"/>
          <w:szCs w:val="16"/>
        </w:rPr>
      </w:pPr>
      <w:r w:rsidRPr="0055373D">
        <w:rPr>
          <w:i/>
          <w:iCs/>
          <w:color w:val="000000" w:themeColor="text1"/>
          <w:szCs w:val="16"/>
        </w:rPr>
        <w:t xml:space="preserve">If data are from State monitoring, describe the method used to select EIS programs for monitoring. If data are from a </w:t>
      </w:r>
      <w:proofErr w:type="gramStart"/>
      <w:r w:rsidRPr="0055373D">
        <w:rPr>
          <w:i/>
          <w:iCs/>
          <w:color w:val="000000" w:themeColor="text1"/>
          <w:szCs w:val="16"/>
        </w:rPr>
        <w:t>State</w:t>
      </w:r>
      <w:proofErr w:type="gramEnd"/>
      <w:r w:rsidRPr="0055373D">
        <w:rPr>
          <w:i/>
          <w:iCs/>
          <w:color w:val="000000" w:themeColor="text1"/>
          <w:szCs w:val="16"/>
        </w:rPr>
        <w:t xml:space="preserv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77BF3454" w14:textId="77777777" w:rsidR="001C3D0E" w:rsidRPr="00ED172B" w:rsidRDefault="001C3D0E" w:rsidP="00B609A4">
      <w:pPr>
        <w:rPr>
          <w:color w:val="000000" w:themeColor="text1"/>
          <w:szCs w:val="16"/>
        </w:rPr>
      </w:pPr>
      <w:r w:rsidRPr="00ED172B">
        <w:rPr>
          <w:color w:val="000000" w:themeColor="text1"/>
          <w:szCs w:val="16"/>
        </w:rPr>
        <w:t>Targets must be 100%.</w:t>
      </w:r>
    </w:p>
    <w:p w14:paraId="7D4779E4" w14:textId="77777777" w:rsidR="001C3D0E" w:rsidRPr="00ED172B" w:rsidRDefault="001C3D0E" w:rsidP="00B609A4">
      <w:pPr>
        <w:rPr>
          <w:color w:val="000000" w:themeColor="text1"/>
          <w:szCs w:val="16"/>
        </w:rPr>
      </w:pPr>
      <w:r w:rsidRPr="00ED172B">
        <w:rPr>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actual numbers used in the calculation.</w:t>
      </w:r>
    </w:p>
    <w:p w14:paraId="3A1C17F0" w14:textId="77777777" w:rsidR="001C3D0E" w:rsidRPr="00ED172B" w:rsidRDefault="001C3D0E" w:rsidP="00B609A4">
      <w:pPr>
        <w:rPr>
          <w:color w:val="000000" w:themeColor="text1"/>
          <w:szCs w:val="16"/>
        </w:rPr>
      </w:pPr>
      <w:r w:rsidRPr="00ED172B">
        <w:rPr>
          <w:color w:val="000000" w:themeColor="text1"/>
          <w:szCs w:val="16"/>
        </w:rPr>
        <w:t>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62CF329E" w14:textId="17D96FDF" w:rsidR="001C3D0E" w:rsidRPr="00ED172B" w:rsidRDefault="001C3D0E" w:rsidP="00B609A4">
      <w:pPr>
        <w:rPr>
          <w:color w:val="000000" w:themeColor="text1"/>
          <w:szCs w:val="16"/>
        </w:rPr>
      </w:pPr>
      <w:r w:rsidRPr="00ED172B">
        <w:rPr>
          <w:color w:val="000000" w:themeColor="text1"/>
          <w:szCs w:val="16"/>
        </w:rPr>
        <w:t xml:space="preserve">Provide detailed information about the timely correction of </w:t>
      </w:r>
      <w:r w:rsidR="00651137" w:rsidRPr="00D21F29">
        <w:rPr>
          <w:color w:val="000000" w:themeColor="text1"/>
          <w:szCs w:val="16"/>
        </w:rPr>
        <w:t>child-specific and regulatory/systemic</w:t>
      </w:r>
      <w:r w:rsidR="00651137" w:rsidRPr="00ED172B">
        <w:rPr>
          <w:color w:val="000000" w:themeColor="text1"/>
          <w:szCs w:val="16"/>
        </w:rPr>
        <w:t xml:space="preserve"> </w:t>
      </w:r>
      <w:r w:rsidRPr="00ED172B">
        <w:rPr>
          <w:color w:val="000000" w:themeColor="text1"/>
          <w:szCs w:val="16"/>
        </w:rPr>
        <w:t>noncompliance as noted in OSEP’s response</w:t>
      </w:r>
      <w:r w:rsidR="00651137">
        <w:rPr>
          <w:color w:val="000000" w:themeColor="text1"/>
          <w:szCs w:val="16"/>
        </w:rPr>
        <w:t xml:space="preserve"> </w:t>
      </w:r>
      <w:r w:rsidRPr="00ED172B">
        <w:rPr>
          <w:color w:val="000000" w:themeColor="text1"/>
          <w:szCs w:val="16"/>
        </w:rPr>
        <w:t>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09DA7EE2" w14:textId="3B28C90A" w:rsidR="001C3D0E" w:rsidRPr="00ED172B" w:rsidRDefault="001C3D0E" w:rsidP="00B609A4">
      <w:pPr>
        <w:rPr>
          <w:color w:val="000000" w:themeColor="text1"/>
          <w:szCs w:val="16"/>
        </w:rPr>
      </w:pPr>
      <w:r w:rsidRPr="00ED172B">
        <w:rPr>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bookmarkEnd w:id="38"/>
    <w:p w14:paraId="0342BBD0" w14:textId="463E7B71" w:rsidR="00805DD3" w:rsidRPr="00A40EE1" w:rsidRDefault="000D0117" w:rsidP="005C3FFD">
      <w:pPr>
        <w:pStyle w:val="Heading2"/>
      </w:pPr>
      <w:r w:rsidRPr="00A40EE1">
        <w:t xml:space="preserve">7 - </w:t>
      </w:r>
      <w:r w:rsidR="00B609A4" w:rsidRPr="00A40EE1">
        <w:t>Indicator Data</w:t>
      </w:r>
    </w:p>
    <w:p w14:paraId="6BBDBDB8" w14:textId="0A8E794E" w:rsidR="00DC0682" w:rsidRDefault="00DC0682">
      <w:pPr>
        <w:rPr>
          <w:b/>
          <w:color w:val="000000" w:themeColor="text1"/>
        </w:rPr>
      </w:pPr>
      <w:bookmarkStart w:id="39" w:name="_Toc382082375"/>
      <w:bookmarkStart w:id="40" w:name="_Toc392159298"/>
      <w:r w:rsidRPr="00ED172B">
        <w:rPr>
          <w:b/>
          <w:color w:val="000000" w:themeColor="text1"/>
        </w:rPr>
        <w:t>Historical Data</w:t>
      </w:r>
    </w:p>
    <w:p w14:paraId="16D06960" w14:textId="59F2B479" w:rsidR="00C25621" w:rsidRDefault="00C25621">
      <w:pPr>
        <w:rPr>
          <w:b/>
          <w:color w:val="000000" w:themeColor="text1"/>
        </w:rPr>
      </w:pP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7BASELINEDATA"/>
      </w:tblPr>
      <w:tblGrid>
        <w:gridCol w:w="2899"/>
        <w:gridCol w:w="875"/>
      </w:tblGrid>
      <w:tr w:rsidR="00C25621" w:rsidRPr="00ED172B" w14:paraId="416D2651" w14:textId="77777777" w:rsidTr="00A40EE1">
        <w:trPr>
          <w:trHeight w:val="350"/>
          <w:tblHeader/>
        </w:trPr>
        <w:tc>
          <w:tcPr>
            <w:tcW w:w="4285" w:type="pct"/>
            <w:tcBorders>
              <w:bottom w:val="single" w:sz="4" w:space="0" w:color="auto"/>
            </w:tcBorders>
            <w:shd w:val="clear" w:color="auto" w:fill="auto"/>
            <w:vAlign w:val="center"/>
          </w:tcPr>
          <w:p w14:paraId="21C6D109" w14:textId="37AD76B1" w:rsidR="00C25621" w:rsidRPr="00A40EE1" w:rsidRDefault="00C25621" w:rsidP="00C15786">
            <w:pPr>
              <w:jc w:val="center"/>
              <w:rPr>
                <w:b/>
                <w:bCs/>
                <w:color w:val="000000" w:themeColor="text1"/>
              </w:rPr>
            </w:pPr>
            <w:r>
              <w:rPr>
                <w:b/>
                <w:bCs/>
                <w:color w:val="000000" w:themeColor="text1"/>
              </w:rPr>
              <w:t>Baseline Year</w:t>
            </w:r>
          </w:p>
        </w:tc>
        <w:tc>
          <w:tcPr>
            <w:tcW w:w="715" w:type="pct"/>
            <w:shd w:val="clear" w:color="auto" w:fill="auto"/>
            <w:vAlign w:val="center"/>
          </w:tcPr>
          <w:p w14:paraId="634DF998" w14:textId="76BC088D" w:rsidR="00C25621" w:rsidRPr="00A40EE1" w:rsidRDefault="00C25621" w:rsidP="00C15786">
            <w:pPr>
              <w:jc w:val="center"/>
              <w:rPr>
                <w:b/>
                <w:bCs/>
                <w:color w:val="000000" w:themeColor="text1"/>
              </w:rPr>
            </w:pPr>
            <w:r w:rsidRPr="00A40EE1">
              <w:rPr>
                <w:b/>
                <w:bCs/>
                <w:color w:val="000000" w:themeColor="text1"/>
              </w:rPr>
              <w:t>Baseline Data</w:t>
            </w:r>
          </w:p>
        </w:tc>
      </w:tr>
      <w:tr w:rsidR="00C25621" w:rsidRPr="00ED172B" w14:paraId="08F7EE7A" w14:textId="77777777" w:rsidTr="00A40EE1">
        <w:trPr>
          <w:trHeight w:val="350"/>
        </w:trPr>
        <w:tc>
          <w:tcPr>
            <w:tcW w:w="4285" w:type="pct"/>
            <w:tcBorders>
              <w:bottom w:val="single" w:sz="4" w:space="0" w:color="auto"/>
            </w:tcBorders>
            <w:shd w:val="clear" w:color="auto" w:fill="auto"/>
            <w:vAlign w:val="center"/>
          </w:tcPr>
          <w:p w14:paraId="2B1EAFE4" w14:textId="77777777" w:rsidR="00C25621" w:rsidRPr="00ED172B" w:rsidRDefault="00C25621" w:rsidP="00C15786">
            <w:pPr>
              <w:jc w:val="center"/>
              <w:rPr>
                <w:b/>
                <w:color w:val="000000" w:themeColor="text1"/>
              </w:rPr>
            </w:pPr>
            <w:r w:rsidRPr="00ED172B">
              <w:rPr>
                <w:color w:val="000000" w:themeColor="text1"/>
              </w:rPr>
              <w:t>2005</w:t>
            </w:r>
          </w:p>
        </w:tc>
        <w:tc>
          <w:tcPr>
            <w:tcW w:w="715" w:type="pct"/>
            <w:shd w:val="clear" w:color="auto" w:fill="auto"/>
            <w:vAlign w:val="center"/>
          </w:tcPr>
          <w:p w14:paraId="534E96B1" w14:textId="77777777" w:rsidR="00C25621" w:rsidRPr="00ED172B" w:rsidRDefault="00C25621" w:rsidP="00C15786">
            <w:pPr>
              <w:jc w:val="center"/>
              <w:rPr>
                <w:color w:val="000000" w:themeColor="text1"/>
              </w:rPr>
            </w:pPr>
            <w:r w:rsidRPr="00ED172B">
              <w:rPr>
                <w:color w:val="000000" w:themeColor="text1"/>
              </w:rPr>
              <w:t>99.40%</w:t>
            </w:r>
          </w:p>
        </w:tc>
      </w:tr>
    </w:tbl>
    <w:p w14:paraId="4F026D0F"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7HISTDATA"/>
      </w:tblPr>
      <w:tblGrid>
        <w:gridCol w:w="705"/>
        <w:gridCol w:w="2018"/>
        <w:gridCol w:w="2018"/>
        <w:gridCol w:w="2018"/>
        <w:gridCol w:w="2018"/>
        <w:gridCol w:w="2013"/>
      </w:tblGrid>
      <w:tr w:rsidR="00ED172B" w:rsidRPr="00ED172B" w14:paraId="410B72DC" w14:textId="77777777" w:rsidTr="00A40EE1">
        <w:trPr>
          <w:trHeight w:val="350"/>
        </w:trPr>
        <w:tc>
          <w:tcPr>
            <w:tcW w:w="327" w:type="pct"/>
            <w:tcBorders>
              <w:bottom w:val="single" w:sz="4" w:space="0" w:color="auto"/>
            </w:tcBorders>
            <w:shd w:val="clear" w:color="auto" w:fill="auto"/>
          </w:tcPr>
          <w:p w14:paraId="0C21EADA"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5" w:type="pct"/>
            <w:shd w:val="clear" w:color="auto" w:fill="auto"/>
            <w:vAlign w:val="center"/>
          </w:tcPr>
          <w:p w14:paraId="0C3B5E94" w14:textId="797FA3D9" w:rsidR="00DC0682" w:rsidRPr="00ED172B" w:rsidRDefault="002163F2" w:rsidP="00CD79C5">
            <w:pPr>
              <w:jc w:val="center"/>
              <w:rPr>
                <w:b/>
                <w:color w:val="000000" w:themeColor="text1"/>
                <w:szCs w:val="16"/>
              </w:rPr>
            </w:pPr>
            <w:r w:rsidRPr="00ED172B">
              <w:rPr>
                <w:rFonts w:cs="Arial"/>
                <w:b/>
                <w:color w:val="000000" w:themeColor="text1"/>
                <w:szCs w:val="16"/>
              </w:rPr>
              <w:t>2017</w:t>
            </w:r>
          </w:p>
        </w:tc>
        <w:tc>
          <w:tcPr>
            <w:tcW w:w="935" w:type="pct"/>
            <w:shd w:val="clear" w:color="auto" w:fill="auto"/>
            <w:vAlign w:val="center"/>
          </w:tcPr>
          <w:p w14:paraId="5CA7FBC7" w14:textId="6BB3A0A2" w:rsidR="00DC0682" w:rsidRPr="00ED172B" w:rsidRDefault="002163F2" w:rsidP="00CD79C5">
            <w:pPr>
              <w:jc w:val="center"/>
              <w:rPr>
                <w:b/>
                <w:color w:val="000000" w:themeColor="text1"/>
                <w:szCs w:val="16"/>
              </w:rPr>
            </w:pPr>
            <w:r w:rsidRPr="00ED172B">
              <w:rPr>
                <w:rFonts w:cs="Arial"/>
                <w:b/>
                <w:color w:val="000000" w:themeColor="text1"/>
                <w:szCs w:val="16"/>
              </w:rPr>
              <w:t>2018</w:t>
            </w:r>
          </w:p>
        </w:tc>
        <w:tc>
          <w:tcPr>
            <w:tcW w:w="935" w:type="pct"/>
            <w:shd w:val="clear" w:color="auto" w:fill="auto"/>
            <w:vAlign w:val="center"/>
          </w:tcPr>
          <w:p w14:paraId="3372DAFC" w14:textId="50E7EDF9"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5" w:type="pct"/>
            <w:shd w:val="clear" w:color="auto" w:fill="auto"/>
            <w:vAlign w:val="center"/>
          </w:tcPr>
          <w:p w14:paraId="5847B948" w14:textId="5C4D08C6" w:rsidR="00DC0682" w:rsidRPr="00ED172B" w:rsidRDefault="002163F2" w:rsidP="00CD79C5">
            <w:pPr>
              <w:jc w:val="center"/>
              <w:rPr>
                <w:b/>
                <w:color w:val="000000" w:themeColor="text1"/>
                <w:szCs w:val="16"/>
              </w:rPr>
            </w:pPr>
            <w:r w:rsidRPr="00ED172B">
              <w:rPr>
                <w:rFonts w:cs="Arial"/>
                <w:b/>
                <w:color w:val="000000" w:themeColor="text1"/>
                <w:szCs w:val="16"/>
              </w:rPr>
              <w:t>2020</w:t>
            </w:r>
          </w:p>
        </w:tc>
        <w:tc>
          <w:tcPr>
            <w:tcW w:w="935" w:type="pct"/>
            <w:shd w:val="clear" w:color="auto" w:fill="auto"/>
            <w:vAlign w:val="center"/>
          </w:tcPr>
          <w:p w14:paraId="529BE0C9" w14:textId="54C22E9C" w:rsidR="00DC0682" w:rsidRPr="00ED172B" w:rsidRDefault="006D43D3" w:rsidP="00CD79C5">
            <w:pPr>
              <w:jc w:val="center"/>
              <w:rPr>
                <w:b/>
                <w:color w:val="000000" w:themeColor="text1"/>
                <w:szCs w:val="16"/>
              </w:rPr>
            </w:pPr>
            <w:r w:rsidRPr="00ED172B">
              <w:rPr>
                <w:rFonts w:cs="Arial"/>
                <w:b/>
                <w:color w:val="000000" w:themeColor="text1"/>
                <w:szCs w:val="16"/>
              </w:rPr>
              <w:t>2021</w:t>
            </w:r>
          </w:p>
        </w:tc>
      </w:tr>
      <w:tr w:rsidR="00ED172B" w:rsidRPr="00ED172B" w14:paraId="7519736B" w14:textId="77777777" w:rsidTr="00A40EE1">
        <w:trPr>
          <w:trHeight w:val="357"/>
        </w:trPr>
        <w:tc>
          <w:tcPr>
            <w:tcW w:w="327" w:type="pct"/>
            <w:shd w:val="clear" w:color="auto" w:fill="auto"/>
          </w:tcPr>
          <w:p w14:paraId="6F4234B7" w14:textId="2FA82786" w:rsidR="00DC0682" w:rsidRPr="00ED172B" w:rsidRDefault="00DC0682" w:rsidP="00D21F29">
            <w:pPr>
              <w:jc w:val="center"/>
              <w:rPr>
                <w:color w:val="000000" w:themeColor="text1"/>
                <w:szCs w:val="16"/>
              </w:rPr>
            </w:pPr>
            <w:r w:rsidRPr="00ED172B">
              <w:rPr>
                <w:color w:val="000000" w:themeColor="text1"/>
                <w:szCs w:val="16"/>
              </w:rPr>
              <w:t>Target</w:t>
            </w:r>
          </w:p>
        </w:tc>
        <w:tc>
          <w:tcPr>
            <w:tcW w:w="935" w:type="pct"/>
            <w:shd w:val="clear" w:color="auto" w:fill="auto"/>
          </w:tcPr>
          <w:p w14:paraId="59ED45AB" w14:textId="38830BC9"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shd w:val="clear" w:color="auto" w:fill="auto"/>
          </w:tcPr>
          <w:p w14:paraId="7E968E41" w14:textId="1667F431"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shd w:val="clear" w:color="auto" w:fill="auto"/>
          </w:tcPr>
          <w:p w14:paraId="70DC4B59" w14:textId="2D0FAAEF"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shd w:val="clear" w:color="auto" w:fill="auto"/>
          </w:tcPr>
          <w:p w14:paraId="4E43795C" w14:textId="4D1D4FF7"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shd w:val="clear" w:color="auto" w:fill="auto"/>
          </w:tcPr>
          <w:p w14:paraId="0D93AB25" w14:textId="789198F5" w:rsidR="00DC0682" w:rsidRPr="00ED172B" w:rsidRDefault="00E87790" w:rsidP="00CD79C5">
            <w:pPr>
              <w:jc w:val="center"/>
              <w:rPr>
                <w:color w:val="000000" w:themeColor="text1"/>
                <w:szCs w:val="16"/>
              </w:rPr>
            </w:pPr>
            <w:r w:rsidRPr="00ED172B">
              <w:rPr>
                <w:color w:val="000000" w:themeColor="text1"/>
                <w:szCs w:val="16"/>
              </w:rPr>
              <w:t>100%</w:t>
            </w:r>
          </w:p>
        </w:tc>
      </w:tr>
      <w:tr w:rsidR="00ED172B" w:rsidRPr="00ED172B" w14:paraId="571A5DE3" w14:textId="77777777" w:rsidTr="00A40EE1">
        <w:trPr>
          <w:trHeight w:val="85"/>
        </w:trPr>
        <w:tc>
          <w:tcPr>
            <w:tcW w:w="327" w:type="pct"/>
            <w:shd w:val="clear" w:color="auto" w:fill="auto"/>
          </w:tcPr>
          <w:p w14:paraId="6C6DCCED" w14:textId="77777777" w:rsidR="00DC0682" w:rsidRPr="00ED172B" w:rsidRDefault="00DC0682" w:rsidP="00D21F29">
            <w:pPr>
              <w:jc w:val="center"/>
              <w:rPr>
                <w:color w:val="000000" w:themeColor="text1"/>
                <w:szCs w:val="16"/>
              </w:rPr>
            </w:pPr>
            <w:r w:rsidRPr="00ED172B">
              <w:rPr>
                <w:color w:val="000000" w:themeColor="text1"/>
                <w:szCs w:val="16"/>
              </w:rPr>
              <w:t>Data</w:t>
            </w:r>
          </w:p>
        </w:tc>
        <w:tc>
          <w:tcPr>
            <w:tcW w:w="935" w:type="pct"/>
            <w:shd w:val="clear" w:color="auto" w:fill="auto"/>
            <w:vAlign w:val="center"/>
          </w:tcPr>
          <w:p w14:paraId="4B5B8015" w14:textId="29B8758A" w:rsidR="00DC0682" w:rsidRPr="00ED172B" w:rsidRDefault="00860830" w:rsidP="00CD79C5">
            <w:pPr>
              <w:jc w:val="center"/>
              <w:rPr>
                <w:color w:val="000000" w:themeColor="text1"/>
                <w:szCs w:val="16"/>
              </w:rPr>
            </w:pPr>
            <w:r w:rsidRPr="00ED172B">
              <w:rPr>
                <w:rFonts w:cs="Arial"/>
                <w:color w:val="000000" w:themeColor="text1"/>
                <w:szCs w:val="16"/>
              </w:rPr>
              <w:t>99.39%</w:t>
            </w:r>
          </w:p>
        </w:tc>
        <w:tc>
          <w:tcPr>
            <w:tcW w:w="935" w:type="pct"/>
            <w:tcBorders>
              <w:bottom w:val="single" w:sz="4" w:space="0" w:color="auto"/>
            </w:tcBorders>
            <w:shd w:val="clear" w:color="auto" w:fill="auto"/>
            <w:vAlign w:val="center"/>
          </w:tcPr>
          <w:p w14:paraId="104D7355" w14:textId="2754FB88" w:rsidR="00DC0682" w:rsidRPr="00ED172B" w:rsidRDefault="00860830" w:rsidP="00CD79C5">
            <w:pPr>
              <w:jc w:val="center"/>
              <w:rPr>
                <w:color w:val="000000" w:themeColor="text1"/>
                <w:szCs w:val="16"/>
              </w:rPr>
            </w:pPr>
            <w:r w:rsidRPr="00ED172B">
              <w:rPr>
                <w:rFonts w:cs="Arial"/>
                <w:color w:val="000000" w:themeColor="text1"/>
                <w:szCs w:val="16"/>
              </w:rPr>
              <w:t>99.45%</w:t>
            </w:r>
          </w:p>
        </w:tc>
        <w:tc>
          <w:tcPr>
            <w:tcW w:w="935" w:type="pct"/>
            <w:tcBorders>
              <w:bottom w:val="single" w:sz="4" w:space="0" w:color="auto"/>
            </w:tcBorders>
            <w:shd w:val="clear" w:color="auto" w:fill="auto"/>
            <w:vAlign w:val="center"/>
          </w:tcPr>
          <w:p w14:paraId="064E4538" w14:textId="49154302" w:rsidR="00DC0682" w:rsidRPr="00ED172B" w:rsidRDefault="00860830" w:rsidP="00CD79C5">
            <w:pPr>
              <w:jc w:val="center"/>
              <w:rPr>
                <w:color w:val="000000" w:themeColor="text1"/>
                <w:szCs w:val="16"/>
              </w:rPr>
            </w:pPr>
            <w:r w:rsidRPr="00ED172B">
              <w:rPr>
                <w:rFonts w:cs="Arial"/>
                <w:color w:val="000000" w:themeColor="text1"/>
                <w:szCs w:val="16"/>
              </w:rPr>
              <w:t>99.23%</w:t>
            </w:r>
          </w:p>
        </w:tc>
        <w:tc>
          <w:tcPr>
            <w:tcW w:w="935" w:type="pct"/>
            <w:tcBorders>
              <w:bottom w:val="single" w:sz="4" w:space="0" w:color="auto"/>
            </w:tcBorders>
            <w:shd w:val="clear" w:color="auto" w:fill="auto"/>
            <w:vAlign w:val="center"/>
          </w:tcPr>
          <w:p w14:paraId="03C237CF" w14:textId="71FB6044" w:rsidR="00DC0682" w:rsidRPr="00ED172B" w:rsidRDefault="00860830" w:rsidP="00CD79C5">
            <w:pPr>
              <w:jc w:val="center"/>
              <w:rPr>
                <w:color w:val="000000" w:themeColor="text1"/>
                <w:szCs w:val="16"/>
              </w:rPr>
            </w:pPr>
            <w:r w:rsidRPr="00ED172B">
              <w:rPr>
                <w:rFonts w:cs="Arial"/>
                <w:color w:val="000000" w:themeColor="text1"/>
                <w:szCs w:val="16"/>
              </w:rPr>
              <w:t>96.67%</w:t>
            </w:r>
          </w:p>
        </w:tc>
        <w:tc>
          <w:tcPr>
            <w:tcW w:w="935" w:type="pct"/>
            <w:tcBorders>
              <w:bottom w:val="single" w:sz="4" w:space="0" w:color="auto"/>
            </w:tcBorders>
            <w:shd w:val="clear" w:color="auto" w:fill="auto"/>
            <w:vAlign w:val="center"/>
          </w:tcPr>
          <w:p w14:paraId="4CE3B818" w14:textId="13ECB4CB" w:rsidR="00DC0682" w:rsidRPr="00ED172B" w:rsidRDefault="00860830" w:rsidP="00CD79C5">
            <w:pPr>
              <w:jc w:val="center"/>
              <w:rPr>
                <w:color w:val="000000" w:themeColor="text1"/>
                <w:szCs w:val="16"/>
              </w:rPr>
            </w:pPr>
            <w:r w:rsidRPr="00ED172B">
              <w:rPr>
                <w:rFonts w:cs="Arial"/>
                <w:color w:val="000000" w:themeColor="text1"/>
                <w:szCs w:val="16"/>
              </w:rPr>
              <w:t>96.25%</w:t>
            </w:r>
          </w:p>
        </w:tc>
      </w:tr>
    </w:tbl>
    <w:p w14:paraId="2990C042" w14:textId="77777777" w:rsidR="00DC0682" w:rsidRPr="00ED172B" w:rsidRDefault="00DC0682">
      <w:pPr>
        <w:rPr>
          <w:b/>
          <w:color w:val="000000" w:themeColor="text1"/>
        </w:rPr>
      </w:pPr>
      <w:r w:rsidRPr="00ED172B">
        <w:rPr>
          <w:b/>
          <w:color w:val="000000" w:themeColor="text1"/>
        </w:rPr>
        <w:t>Targets</w:t>
      </w:r>
    </w:p>
    <w:tbl>
      <w:tblPr>
        <w:tblW w:w="4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7TARGETS"/>
      </w:tblPr>
      <w:tblGrid>
        <w:gridCol w:w="679"/>
        <w:gridCol w:w="1908"/>
        <w:gridCol w:w="2044"/>
        <w:gridCol w:w="2044"/>
        <w:gridCol w:w="2043"/>
      </w:tblGrid>
      <w:tr w:rsidR="00C843AF" w:rsidRPr="00ED172B" w14:paraId="42B56D41" w14:textId="5E4E59B3" w:rsidTr="00E415ED">
        <w:trPr>
          <w:trHeight w:val="290"/>
        </w:trPr>
        <w:tc>
          <w:tcPr>
            <w:tcW w:w="327" w:type="pct"/>
            <w:tcBorders>
              <w:bottom w:val="single" w:sz="4" w:space="0" w:color="auto"/>
            </w:tcBorders>
            <w:shd w:val="clear" w:color="auto" w:fill="auto"/>
          </w:tcPr>
          <w:p w14:paraId="312C61F2" w14:textId="77777777" w:rsidR="00C843AF" w:rsidRPr="00ED172B" w:rsidRDefault="00C843AF" w:rsidP="006B2FE9">
            <w:pPr>
              <w:jc w:val="center"/>
              <w:rPr>
                <w:b/>
                <w:color w:val="000000" w:themeColor="text1"/>
                <w:szCs w:val="16"/>
              </w:rPr>
            </w:pPr>
            <w:r w:rsidRPr="00ED172B">
              <w:rPr>
                <w:b/>
                <w:color w:val="000000" w:themeColor="text1"/>
                <w:szCs w:val="16"/>
              </w:rPr>
              <w:t>FFY</w:t>
            </w:r>
          </w:p>
        </w:tc>
        <w:tc>
          <w:tcPr>
            <w:tcW w:w="1110" w:type="pct"/>
            <w:shd w:val="clear" w:color="auto" w:fill="auto"/>
            <w:vAlign w:val="center"/>
          </w:tcPr>
          <w:p w14:paraId="0EB63CB6" w14:textId="5BB5F4E7" w:rsidR="00C843AF" w:rsidRPr="00ED172B" w:rsidRDefault="00C843AF" w:rsidP="006B2FE9">
            <w:pPr>
              <w:jc w:val="center"/>
              <w:rPr>
                <w:b/>
                <w:color w:val="000000" w:themeColor="text1"/>
                <w:szCs w:val="16"/>
              </w:rPr>
            </w:pPr>
            <w:r w:rsidRPr="00ED172B">
              <w:rPr>
                <w:rFonts w:cs="Arial"/>
                <w:b/>
                <w:color w:val="000000" w:themeColor="text1"/>
                <w:szCs w:val="16"/>
              </w:rPr>
              <w:t>2022</w:t>
            </w:r>
          </w:p>
        </w:tc>
        <w:tc>
          <w:tcPr>
            <w:tcW w:w="1188" w:type="pct"/>
          </w:tcPr>
          <w:p w14:paraId="7ED41A5E" w14:textId="7318A542" w:rsidR="00C843AF" w:rsidRPr="00ED172B" w:rsidRDefault="00C843AF" w:rsidP="006B2FE9">
            <w:pPr>
              <w:jc w:val="center"/>
              <w:rPr>
                <w:rFonts w:cs="Arial"/>
                <w:b/>
                <w:color w:val="000000" w:themeColor="text1"/>
                <w:szCs w:val="16"/>
              </w:rPr>
            </w:pPr>
            <w:r>
              <w:rPr>
                <w:rFonts w:cs="Arial"/>
                <w:b/>
                <w:color w:val="000000" w:themeColor="text1"/>
                <w:szCs w:val="16"/>
              </w:rPr>
              <w:t>2023</w:t>
            </w:r>
          </w:p>
        </w:tc>
        <w:tc>
          <w:tcPr>
            <w:tcW w:w="1188" w:type="pct"/>
          </w:tcPr>
          <w:p w14:paraId="2A04747F" w14:textId="1388C632" w:rsidR="00C843AF" w:rsidRPr="00ED172B" w:rsidRDefault="00C843AF" w:rsidP="006B2FE9">
            <w:pPr>
              <w:jc w:val="center"/>
              <w:rPr>
                <w:rFonts w:cs="Arial"/>
                <w:b/>
                <w:color w:val="000000" w:themeColor="text1"/>
                <w:szCs w:val="16"/>
              </w:rPr>
            </w:pPr>
            <w:r w:rsidRPr="005A1B4F">
              <w:rPr>
                <w:rFonts w:cs="Arial"/>
                <w:b/>
                <w:color w:val="000000" w:themeColor="text1"/>
                <w:szCs w:val="16"/>
              </w:rPr>
              <w:t>2024</w:t>
            </w:r>
          </w:p>
        </w:tc>
        <w:tc>
          <w:tcPr>
            <w:tcW w:w="1188" w:type="pct"/>
          </w:tcPr>
          <w:p w14:paraId="07F5F8CB" w14:textId="01283154" w:rsidR="00C843AF" w:rsidRPr="00ED172B" w:rsidRDefault="00C843AF" w:rsidP="006B2FE9">
            <w:pPr>
              <w:jc w:val="center"/>
              <w:rPr>
                <w:rFonts w:cs="Arial"/>
                <w:b/>
                <w:color w:val="000000" w:themeColor="text1"/>
                <w:szCs w:val="16"/>
              </w:rPr>
            </w:pPr>
            <w:r w:rsidRPr="005A1B4F">
              <w:rPr>
                <w:rFonts w:cs="Arial"/>
                <w:b/>
                <w:color w:val="000000" w:themeColor="text1"/>
                <w:szCs w:val="16"/>
              </w:rPr>
              <w:t>2025</w:t>
            </w:r>
          </w:p>
        </w:tc>
      </w:tr>
      <w:tr w:rsidR="00C843AF" w:rsidRPr="00ED172B" w14:paraId="20F2223E" w14:textId="133D85CD" w:rsidTr="00E415ED">
        <w:trPr>
          <w:trHeight w:val="296"/>
        </w:trPr>
        <w:tc>
          <w:tcPr>
            <w:tcW w:w="327" w:type="pct"/>
            <w:shd w:val="clear" w:color="auto" w:fill="auto"/>
          </w:tcPr>
          <w:p w14:paraId="452D2810" w14:textId="77777777" w:rsidR="00C843AF" w:rsidRPr="00ED172B" w:rsidRDefault="00C843AF" w:rsidP="00D21F29">
            <w:pPr>
              <w:jc w:val="center"/>
              <w:rPr>
                <w:color w:val="000000" w:themeColor="text1"/>
                <w:szCs w:val="16"/>
              </w:rPr>
            </w:pPr>
            <w:r w:rsidRPr="00ED172B">
              <w:rPr>
                <w:color w:val="000000" w:themeColor="text1"/>
                <w:szCs w:val="16"/>
              </w:rPr>
              <w:t>Target</w:t>
            </w:r>
          </w:p>
        </w:tc>
        <w:tc>
          <w:tcPr>
            <w:tcW w:w="1110" w:type="pct"/>
            <w:shd w:val="clear" w:color="auto" w:fill="auto"/>
          </w:tcPr>
          <w:p w14:paraId="7066C0AE" w14:textId="42C4A4CE" w:rsidR="00C843AF" w:rsidRPr="00ED172B" w:rsidRDefault="00C843AF" w:rsidP="006B2FE9">
            <w:pPr>
              <w:jc w:val="center"/>
              <w:rPr>
                <w:color w:val="000000" w:themeColor="text1"/>
              </w:rPr>
            </w:pPr>
            <w:r w:rsidRPr="00ED172B">
              <w:rPr>
                <w:color w:val="000000" w:themeColor="text1"/>
              </w:rPr>
              <w:t>100%</w:t>
            </w:r>
          </w:p>
        </w:tc>
        <w:tc>
          <w:tcPr>
            <w:tcW w:w="1188" w:type="pct"/>
          </w:tcPr>
          <w:p w14:paraId="3A42CBDC" w14:textId="4C7BA2D0" w:rsidR="00C843AF" w:rsidRPr="00ED172B" w:rsidRDefault="00C843AF" w:rsidP="006B2FE9">
            <w:pPr>
              <w:jc w:val="center"/>
              <w:rPr>
                <w:color w:val="000000" w:themeColor="text1"/>
              </w:rPr>
            </w:pPr>
            <w:r>
              <w:rPr>
                <w:rFonts w:cs="Arial"/>
                <w:color w:val="000000" w:themeColor="text1"/>
                <w:szCs w:val="16"/>
              </w:rPr>
              <w:t>100%</w:t>
            </w:r>
          </w:p>
        </w:tc>
        <w:tc>
          <w:tcPr>
            <w:tcW w:w="1188" w:type="pct"/>
          </w:tcPr>
          <w:p w14:paraId="2F938E37" w14:textId="464506A5" w:rsidR="00C843AF" w:rsidRPr="00ED172B" w:rsidRDefault="00C843AF" w:rsidP="006B2FE9">
            <w:pPr>
              <w:jc w:val="center"/>
              <w:rPr>
                <w:color w:val="000000" w:themeColor="text1"/>
              </w:rPr>
            </w:pPr>
            <w:r w:rsidRPr="005F5F3C">
              <w:rPr>
                <w:rFonts w:cs="Arial"/>
                <w:color w:val="000000" w:themeColor="text1"/>
                <w:szCs w:val="16"/>
              </w:rPr>
              <w:t>100%</w:t>
            </w:r>
          </w:p>
        </w:tc>
        <w:tc>
          <w:tcPr>
            <w:tcW w:w="1188" w:type="pct"/>
          </w:tcPr>
          <w:p w14:paraId="4AC39EE9" w14:textId="73F47232" w:rsidR="00C843AF" w:rsidRPr="00ED172B" w:rsidRDefault="00C843AF" w:rsidP="006B2FE9">
            <w:pPr>
              <w:jc w:val="center"/>
              <w:rPr>
                <w:color w:val="000000" w:themeColor="text1"/>
              </w:rPr>
            </w:pPr>
            <w:r w:rsidRPr="005F5F3C">
              <w:rPr>
                <w:rFonts w:cs="Arial"/>
                <w:color w:val="000000" w:themeColor="text1"/>
                <w:szCs w:val="16"/>
              </w:rPr>
              <w:t>100%</w:t>
            </w:r>
          </w:p>
        </w:tc>
      </w:tr>
    </w:tbl>
    <w:p w14:paraId="61F72181" w14:textId="732786D6" w:rsidR="001C3D0E" w:rsidRPr="00ED172B" w:rsidRDefault="00F22D09">
      <w:pPr>
        <w:rPr>
          <w:b/>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7FFYAPRDATA"/>
      </w:tblPr>
      <w:tblGrid>
        <w:gridCol w:w="2515"/>
        <w:gridCol w:w="1890"/>
        <w:gridCol w:w="1439"/>
        <w:gridCol w:w="1351"/>
        <w:gridCol w:w="1260"/>
        <w:gridCol w:w="1260"/>
        <w:gridCol w:w="1075"/>
      </w:tblGrid>
      <w:tr w:rsidR="00ED172B" w:rsidRPr="00ED172B" w14:paraId="3BBFCFAE" w14:textId="2CBBD8D9" w:rsidTr="00986B99">
        <w:trPr>
          <w:trHeight w:val="354"/>
          <w:tblHeader/>
        </w:trPr>
        <w:tc>
          <w:tcPr>
            <w:tcW w:w="1165" w:type="pct"/>
            <w:shd w:val="clear" w:color="auto" w:fill="auto"/>
            <w:vAlign w:val="bottom"/>
          </w:tcPr>
          <w:p w14:paraId="3A35828E" w14:textId="77777777" w:rsidR="008872E7" w:rsidRPr="00ED172B" w:rsidRDefault="008872E7" w:rsidP="008872E7">
            <w:pPr>
              <w:jc w:val="center"/>
              <w:rPr>
                <w:b/>
                <w:color w:val="000000" w:themeColor="text1"/>
                <w:szCs w:val="16"/>
              </w:rPr>
            </w:pPr>
            <w:r w:rsidRPr="00ED172B">
              <w:rPr>
                <w:b/>
                <w:color w:val="000000" w:themeColor="text1"/>
                <w:szCs w:val="16"/>
              </w:rPr>
              <w:t>Number of eligible infants and toddlers with IFSPs for whom an initial evaluation and assessment and an initial IFSP meeting was conducted within Part C’s 45-day timeline</w:t>
            </w:r>
          </w:p>
        </w:tc>
        <w:tc>
          <w:tcPr>
            <w:tcW w:w="876" w:type="pct"/>
            <w:shd w:val="clear" w:color="auto" w:fill="auto"/>
            <w:vAlign w:val="bottom"/>
          </w:tcPr>
          <w:p w14:paraId="31DE48C5" w14:textId="77777777" w:rsidR="008872E7" w:rsidRPr="00ED172B" w:rsidRDefault="008872E7" w:rsidP="008872E7">
            <w:pPr>
              <w:jc w:val="center"/>
              <w:rPr>
                <w:b/>
                <w:color w:val="000000" w:themeColor="text1"/>
                <w:szCs w:val="16"/>
              </w:rPr>
            </w:pPr>
            <w:r w:rsidRPr="00ED172B">
              <w:rPr>
                <w:b/>
                <w:color w:val="000000" w:themeColor="text1"/>
                <w:szCs w:val="16"/>
              </w:rPr>
              <w:t>Number of eligible infants and toddlers evaluated and assessed for whom an initial IFSP meeting was required to be conducted</w:t>
            </w:r>
          </w:p>
        </w:tc>
        <w:tc>
          <w:tcPr>
            <w:tcW w:w="667" w:type="pct"/>
            <w:shd w:val="clear" w:color="auto" w:fill="auto"/>
            <w:vAlign w:val="bottom"/>
          </w:tcPr>
          <w:p w14:paraId="07D96066" w14:textId="4E6CB3CE" w:rsidR="008872E7" w:rsidRPr="00ED172B" w:rsidRDefault="00CD74B5" w:rsidP="008872E7">
            <w:pPr>
              <w:jc w:val="center"/>
              <w:rPr>
                <w:b/>
                <w:color w:val="000000" w:themeColor="text1"/>
                <w:szCs w:val="16"/>
              </w:rPr>
            </w:pPr>
            <w:r>
              <w:rPr>
                <w:rFonts w:cs="Arial"/>
                <w:b/>
                <w:color w:val="000000" w:themeColor="text1"/>
                <w:szCs w:val="16"/>
              </w:rPr>
              <w:t>FFY 2021 Data</w:t>
            </w:r>
          </w:p>
        </w:tc>
        <w:tc>
          <w:tcPr>
            <w:tcW w:w="626" w:type="pct"/>
            <w:shd w:val="clear" w:color="auto" w:fill="auto"/>
            <w:vAlign w:val="bottom"/>
          </w:tcPr>
          <w:p w14:paraId="02F56F6D" w14:textId="3B3ACD9D" w:rsidR="008872E7" w:rsidRPr="00ED172B" w:rsidRDefault="00F22D09" w:rsidP="008872E7">
            <w:pPr>
              <w:jc w:val="center"/>
              <w:rPr>
                <w:b/>
                <w:color w:val="000000" w:themeColor="text1"/>
                <w:szCs w:val="16"/>
              </w:rPr>
            </w:pPr>
            <w:r>
              <w:rPr>
                <w:rFonts w:cs="Arial"/>
                <w:b/>
                <w:color w:val="000000" w:themeColor="text1"/>
                <w:szCs w:val="16"/>
              </w:rPr>
              <w:t>FFY 2022 Target</w:t>
            </w:r>
          </w:p>
        </w:tc>
        <w:tc>
          <w:tcPr>
            <w:tcW w:w="584" w:type="pct"/>
            <w:shd w:val="clear" w:color="auto" w:fill="auto"/>
            <w:vAlign w:val="bottom"/>
          </w:tcPr>
          <w:p w14:paraId="43BEDF85" w14:textId="59EEC977" w:rsidR="008872E7" w:rsidRPr="00ED172B" w:rsidRDefault="00F22D09" w:rsidP="008872E7">
            <w:pPr>
              <w:jc w:val="center"/>
              <w:rPr>
                <w:b/>
                <w:color w:val="000000" w:themeColor="text1"/>
                <w:szCs w:val="16"/>
              </w:rPr>
            </w:pPr>
            <w:r>
              <w:rPr>
                <w:rFonts w:cs="Arial"/>
                <w:b/>
                <w:color w:val="000000" w:themeColor="text1"/>
                <w:szCs w:val="16"/>
              </w:rPr>
              <w:t>FFY 2022 Data</w:t>
            </w:r>
          </w:p>
        </w:tc>
        <w:tc>
          <w:tcPr>
            <w:tcW w:w="584" w:type="pct"/>
            <w:shd w:val="clear" w:color="auto" w:fill="auto"/>
            <w:vAlign w:val="bottom"/>
          </w:tcPr>
          <w:p w14:paraId="7828F710" w14:textId="2C18054F" w:rsidR="008872E7" w:rsidRPr="00ED172B" w:rsidRDefault="008872E7" w:rsidP="008872E7">
            <w:pPr>
              <w:jc w:val="center"/>
              <w:rPr>
                <w:b/>
                <w:color w:val="000000" w:themeColor="text1"/>
                <w:szCs w:val="16"/>
              </w:rPr>
            </w:pPr>
            <w:r w:rsidRPr="00ED172B">
              <w:rPr>
                <w:b/>
                <w:color w:val="000000" w:themeColor="text1"/>
                <w:szCs w:val="16"/>
              </w:rPr>
              <w:t>Status</w:t>
            </w:r>
          </w:p>
        </w:tc>
        <w:tc>
          <w:tcPr>
            <w:tcW w:w="498" w:type="pct"/>
            <w:shd w:val="clear" w:color="auto" w:fill="auto"/>
            <w:vAlign w:val="bottom"/>
          </w:tcPr>
          <w:p w14:paraId="3D7AD0D4" w14:textId="2E990CEA" w:rsidR="008872E7" w:rsidRPr="00ED172B" w:rsidRDefault="008872E7" w:rsidP="008872E7">
            <w:pPr>
              <w:jc w:val="center"/>
              <w:rPr>
                <w:b/>
                <w:color w:val="000000" w:themeColor="text1"/>
                <w:szCs w:val="16"/>
              </w:rPr>
            </w:pPr>
            <w:r w:rsidRPr="00ED172B">
              <w:rPr>
                <w:b/>
                <w:color w:val="000000" w:themeColor="text1"/>
                <w:szCs w:val="16"/>
              </w:rPr>
              <w:t>Slippage</w:t>
            </w:r>
          </w:p>
        </w:tc>
      </w:tr>
      <w:tr w:rsidR="00ED172B" w:rsidRPr="00ED172B" w14:paraId="59449F6E" w14:textId="2BAA203F" w:rsidTr="00986B99">
        <w:trPr>
          <w:trHeight w:val="287"/>
        </w:trPr>
        <w:tc>
          <w:tcPr>
            <w:tcW w:w="1165" w:type="pct"/>
            <w:shd w:val="clear" w:color="auto" w:fill="auto"/>
            <w:vAlign w:val="center"/>
          </w:tcPr>
          <w:p w14:paraId="488F2A3D" w14:textId="41AB40C1" w:rsidR="008872E7" w:rsidRPr="00ED172B" w:rsidRDefault="00860830" w:rsidP="008872E7">
            <w:pPr>
              <w:jc w:val="center"/>
              <w:rPr>
                <w:color w:val="000000" w:themeColor="text1"/>
                <w:szCs w:val="16"/>
              </w:rPr>
            </w:pPr>
            <w:r w:rsidRPr="00ED172B">
              <w:rPr>
                <w:color w:val="000000" w:themeColor="text1"/>
                <w:szCs w:val="16"/>
              </w:rPr>
              <w:t>2,763</w:t>
            </w:r>
          </w:p>
        </w:tc>
        <w:tc>
          <w:tcPr>
            <w:tcW w:w="876" w:type="pct"/>
            <w:shd w:val="clear" w:color="auto" w:fill="auto"/>
            <w:vAlign w:val="center"/>
          </w:tcPr>
          <w:p w14:paraId="375452CF" w14:textId="61DFFCF6" w:rsidR="008872E7" w:rsidRPr="00ED172B" w:rsidRDefault="00860830" w:rsidP="008872E7">
            <w:pPr>
              <w:jc w:val="center"/>
              <w:rPr>
                <w:color w:val="000000" w:themeColor="text1"/>
                <w:szCs w:val="16"/>
              </w:rPr>
            </w:pPr>
            <w:r w:rsidRPr="00ED172B">
              <w:rPr>
                <w:color w:val="000000" w:themeColor="text1"/>
                <w:szCs w:val="16"/>
              </w:rPr>
              <w:t>4,041</w:t>
            </w:r>
          </w:p>
        </w:tc>
        <w:tc>
          <w:tcPr>
            <w:tcW w:w="667" w:type="pct"/>
            <w:shd w:val="clear" w:color="auto" w:fill="auto"/>
          </w:tcPr>
          <w:p w14:paraId="6436FCEF" w14:textId="7552BB51" w:rsidR="008872E7" w:rsidRPr="00ED172B" w:rsidRDefault="00860830" w:rsidP="008872E7">
            <w:pPr>
              <w:jc w:val="center"/>
              <w:rPr>
                <w:color w:val="000000" w:themeColor="text1"/>
                <w:szCs w:val="16"/>
              </w:rPr>
            </w:pPr>
            <w:r w:rsidRPr="00ED172B">
              <w:rPr>
                <w:rFonts w:cs="Arial"/>
                <w:color w:val="000000" w:themeColor="text1"/>
                <w:szCs w:val="16"/>
              </w:rPr>
              <w:t>96.25%</w:t>
            </w:r>
          </w:p>
        </w:tc>
        <w:tc>
          <w:tcPr>
            <w:tcW w:w="626" w:type="pct"/>
            <w:shd w:val="clear" w:color="auto" w:fill="auto"/>
          </w:tcPr>
          <w:p w14:paraId="18FB2934" w14:textId="00EB9169" w:rsidR="008872E7" w:rsidRPr="00ED172B" w:rsidRDefault="00E87790" w:rsidP="008872E7">
            <w:pPr>
              <w:jc w:val="center"/>
              <w:rPr>
                <w:color w:val="000000" w:themeColor="text1"/>
                <w:szCs w:val="16"/>
              </w:rPr>
            </w:pPr>
            <w:r w:rsidRPr="00ED172B">
              <w:rPr>
                <w:color w:val="000000" w:themeColor="text1"/>
                <w:szCs w:val="16"/>
              </w:rPr>
              <w:t>100%</w:t>
            </w:r>
          </w:p>
        </w:tc>
        <w:tc>
          <w:tcPr>
            <w:tcW w:w="584" w:type="pct"/>
            <w:shd w:val="clear" w:color="auto" w:fill="auto"/>
          </w:tcPr>
          <w:p w14:paraId="4D572FCB" w14:textId="45E9B10C" w:rsidR="008872E7" w:rsidRPr="00ED172B" w:rsidRDefault="00860830" w:rsidP="008872E7">
            <w:pPr>
              <w:jc w:val="center"/>
              <w:rPr>
                <w:color w:val="000000" w:themeColor="text1"/>
                <w:szCs w:val="16"/>
              </w:rPr>
            </w:pPr>
            <w:r w:rsidRPr="00ED172B">
              <w:rPr>
                <w:rFonts w:cs="Arial"/>
                <w:color w:val="000000" w:themeColor="text1"/>
                <w:szCs w:val="16"/>
              </w:rPr>
              <w:t>95.03%</w:t>
            </w:r>
          </w:p>
        </w:tc>
        <w:tc>
          <w:tcPr>
            <w:tcW w:w="584" w:type="pct"/>
            <w:shd w:val="clear" w:color="auto" w:fill="auto"/>
          </w:tcPr>
          <w:p w14:paraId="1648FF7B" w14:textId="4177CD65" w:rsidR="008872E7" w:rsidRPr="00ED172B" w:rsidRDefault="00027F39" w:rsidP="00027F39">
            <w:pPr>
              <w:jc w:val="center"/>
              <w:rPr>
                <w:color w:val="000000" w:themeColor="text1"/>
              </w:rPr>
            </w:pPr>
            <w:r w:rsidRPr="00ED172B">
              <w:rPr>
                <w:color w:val="000000" w:themeColor="text1"/>
              </w:rPr>
              <w:t>Did not meet target</w:t>
            </w:r>
          </w:p>
        </w:tc>
        <w:tc>
          <w:tcPr>
            <w:tcW w:w="498" w:type="pct"/>
            <w:shd w:val="clear" w:color="auto" w:fill="auto"/>
          </w:tcPr>
          <w:p w14:paraId="38A3D273" w14:textId="3D8308F3" w:rsidR="008872E7" w:rsidRPr="00ED172B" w:rsidRDefault="00632DF6" w:rsidP="00027F39">
            <w:pPr>
              <w:jc w:val="center"/>
              <w:rPr>
                <w:color w:val="000000" w:themeColor="text1"/>
              </w:rPr>
            </w:pPr>
            <w:r w:rsidRPr="00ED172B">
              <w:rPr>
                <w:color w:val="000000" w:themeColor="text1"/>
              </w:rPr>
              <w:t>Slippage</w:t>
            </w:r>
          </w:p>
        </w:tc>
      </w:tr>
    </w:tbl>
    <w:p w14:paraId="771364E0" w14:textId="01412A72" w:rsidR="005A1CA1" w:rsidRPr="00ED172B" w:rsidRDefault="00F77D8B" w:rsidP="005A1CA1">
      <w:pPr>
        <w:rPr>
          <w:rFonts w:cs="Arial"/>
          <w:b/>
          <w:i/>
          <w:color w:val="000000" w:themeColor="text1"/>
          <w:szCs w:val="16"/>
        </w:rPr>
      </w:pPr>
      <w:r w:rsidRPr="00ED172B">
        <w:rPr>
          <w:rFonts w:cs="Arial"/>
          <w:b/>
          <w:color w:val="000000" w:themeColor="text1"/>
          <w:szCs w:val="16"/>
        </w:rPr>
        <w:t xml:space="preserve">Provide reasons for slippage, if applicable. </w:t>
      </w:r>
    </w:p>
    <w:p w14:paraId="3E11E248" w14:textId="5735AD58" w:rsidR="005A1CA1" w:rsidRDefault="00632DF6" w:rsidP="00632DF6">
      <w:pPr>
        <w:rPr>
          <w:color w:val="000000" w:themeColor="text1"/>
        </w:rPr>
      </w:pPr>
      <w:r w:rsidRPr="00ED172B">
        <w:rPr>
          <w:color w:val="000000" w:themeColor="text1"/>
        </w:rPr>
        <w:t>Two of the State’s larger programs account for the majority of the program delays. Both programs had a change in administration and leadership structure in 2022-23 and are dealing with a shortage of evaluation and intake staff. Technical assistance and improvement planning has supported recent decreases in program noncompliance. Programs have also hired additional evaluation staff and reorganized the method of parent contact after initial referral.</w:t>
      </w:r>
    </w:p>
    <w:p w14:paraId="23726145" w14:textId="77777777" w:rsidR="00293B59" w:rsidRPr="00ED172B" w:rsidRDefault="00293B59" w:rsidP="00293B59">
      <w:pPr>
        <w:rPr>
          <w:color w:val="000000" w:themeColor="text1"/>
          <w:szCs w:val="16"/>
        </w:rPr>
      </w:pPr>
      <w:r w:rsidRPr="00ED172B">
        <w:rPr>
          <w:b/>
          <w:color w:val="000000" w:themeColor="text1"/>
          <w:szCs w:val="16"/>
        </w:rPr>
        <w:lastRenderedPageBreak/>
        <w:t>Number of documented delays attributable to exceptional family circumstances</w:t>
      </w:r>
    </w:p>
    <w:p w14:paraId="6108A36C" w14:textId="5D3CC1AC" w:rsidR="00293B59" w:rsidRPr="00ED172B" w:rsidRDefault="00293B59" w:rsidP="00293B59">
      <w:pPr>
        <w:rPr>
          <w:b/>
          <w:color w:val="000000" w:themeColor="text1"/>
          <w:szCs w:val="16"/>
        </w:rPr>
      </w:pPr>
      <w:r w:rsidRPr="00ED172B">
        <w:rPr>
          <w:b/>
          <w:color w:val="000000" w:themeColor="text1"/>
          <w:szCs w:val="16"/>
        </w:rPr>
        <w:t>This number will be added to the "Number of eligible infants and toddlers with IFSPs for whom an initial evaluation and assessment and an initial IFSP meeting was conducted within Part C's 45-day timeline" field above to calculate the numerator for this indicator.</w:t>
      </w:r>
    </w:p>
    <w:p w14:paraId="7EDEC3EA" w14:textId="6715968D" w:rsidR="00293B59" w:rsidRDefault="00293B59" w:rsidP="00293B59">
      <w:pPr>
        <w:rPr>
          <w:color w:val="000000" w:themeColor="text1"/>
          <w:szCs w:val="16"/>
        </w:rPr>
      </w:pPr>
      <w:r w:rsidRPr="00ED172B">
        <w:rPr>
          <w:color w:val="000000" w:themeColor="text1"/>
          <w:szCs w:val="16"/>
        </w:rPr>
        <w:t>1,077</w:t>
      </w:r>
    </w:p>
    <w:p w14:paraId="4CC17C51" w14:textId="77777777" w:rsidR="003739C5" w:rsidRDefault="003739C5" w:rsidP="003739C5">
      <w:pPr>
        <w:rPr>
          <w:rFonts w:cs="Arial"/>
          <w:b/>
          <w:color w:val="000000" w:themeColor="text1"/>
          <w:szCs w:val="16"/>
        </w:rPr>
      </w:pPr>
      <w:r w:rsidRPr="003739C5">
        <w:rPr>
          <w:rFonts w:cs="Arial"/>
          <w:b/>
          <w:color w:val="000000" w:themeColor="text1"/>
          <w:szCs w:val="16"/>
        </w:rPr>
        <w:t>Provide reasons for delay, if applicable.</w:t>
      </w:r>
    </w:p>
    <w:p w14:paraId="35CB1EC5" w14:textId="07FB7420" w:rsidR="003739C5" w:rsidRPr="00ED172B" w:rsidRDefault="003739C5" w:rsidP="003739C5">
      <w:pPr>
        <w:rPr>
          <w:rFonts w:cs="Arial"/>
          <w:color w:val="000000" w:themeColor="text1"/>
          <w:szCs w:val="16"/>
        </w:rPr>
      </w:pPr>
      <w:r w:rsidRPr="00ED172B">
        <w:rPr>
          <w:color w:val="000000" w:themeColor="text1"/>
          <w:szCs w:val="16"/>
        </w:rPr>
        <w:t xml:space="preserve">For FFY 2022, 1278 incidents of delay of services occurred. The reasons for delay for 1077 incidents were attributable to exceptional family circumstances and have been reported accordingly online. The reasons for the remaining 201 delays are listed below: </w:t>
      </w:r>
      <w:r w:rsidRPr="00ED172B">
        <w:rPr>
          <w:color w:val="000000" w:themeColor="text1"/>
          <w:szCs w:val="16"/>
        </w:rPr>
        <w:br/>
        <w:t>• 4 incidents due to staff communication problems</w:t>
      </w:r>
      <w:r w:rsidRPr="00ED172B">
        <w:rPr>
          <w:color w:val="000000" w:themeColor="text1"/>
          <w:szCs w:val="16"/>
        </w:rPr>
        <w:br/>
        <w:t>• 10 incidents due to staff illness</w:t>
      </w:r>
      <w:r w:rsidRPr="00ED172B">
        <w:rPr>
          <w:color w:val="000000" w:themeColor="text1"/>
          <w:szCs w:val="16"/>
        </w:rPr>
        <w:br/>
        <w:t>• 104 incidents due to full evaluation schedule due to staff shortage</w:t>
      </w:r>
      <w:r w:rsidRPr="00ED172B">
        <w:rPr>
          <w:color w:val="000000" w:themeColor="text1"/>
          <w:szCs w:val="16"/>
        </w:rPr>
        <w:br/>
        <w:t>• 10 incidents due to data entry/clerical errors</w:t>
      </w:r>
      <w:r w:rsidRPr="00ED172B">
        <w:rPr>
          <w:color w:val="000000" w:themeColor="text1"/>
          <w:szCs w:val="16"/>
        </w:rPr>
        <w:br/>
        <w:t>•</w:t>
      </w:r>
      <w:r w:rsidRPr="00ED172B">
        <w:rPr>
          <w:color w:val="000000" w:themeColor="text1"/>
          <w:szCs w:val="16"/>
        </w:rPr>
        <w:tab/>
        <w:t xml:space="preserve">11 incidents due to staff training issues  </w:t>
      </w:r>
      <w:r w:rsidRPr="00ED172B">
        <w:rPr>
          <w:color w:val="000000" w:themeColor="text1"/>
          <w:szCs w:val="16"/>
        </w:rPr>
        <w:br/>
        <w:t>•</w:t>
      </w:r>
      <w:r w:rsidRPr="00ED172B">
        <w:rPr>
          <w:color w:val="000000" w:themeColor="text1"/>
          <w:szCs w:val="16"/>
        </w:rPr>
        <w:tab/>
        <w:t xml:space="preserve">9 incidents due to staff unavailability </w:t>
      </w:r>
      <w:r w:rsidRPr="00ED172B">
        <w:rPr>
          <w:color w:val="000000" w:themeColor="text1"/>
          <w:szCs w:val="16"/>
        </w:rPr>
        <w:br/>
        <w:t>• 48 incidents due to program delay in contacting family due to staff shortage</w:t>
      </w:r>
      <w:r w:rsidRPr="00ED172B">
        <w:rPr>
          <w:color w:val="000000" w:themeColor="text1"/>
          <w:szCs w:val="16"/>
        </w:rPr>
        <w:br/>
        <w:t>• 2 incidents due to staff emergency</w:t>
      </w:r>
      <w:r w:rsidRPr="00ED172B">
        <w:rPr>
          <w:color w:val="000000" w:themeColor="text1"/>
          <w:szCs w:val="16"/>
        </w:rPr>
        <w:br/>
        <w:t>• 3 incidents due to delay from out of state or district providers</w:t>
      </w:r>
    </w:p>
    <w:p w14:paraId="36270560" w14:textId="77777777" w:rsidR="00293B59" w:rsidRPr="00ED172B" w:rsidRDefault="000709B9" w:rsidP="00B83404">
      <w:pPr>
        <w:rPr>
          <w:b/>
          <w:color w:val="000000" w:themeColor="text1"/>
        </w:rPr>
      </w:pPr>
      <w:r w:rsidRPr="00ED172B">
        <w:rPr>
          <w:b/>
          <w:color w:val="000000" w:themeColor="text1"/>
        </w:rPr>
        <w:t xml:space="preserve">What is the source of the data provided for this indicator? </w:t>
      </w:r>
    </w:p>
    <w:p w14:paraId="36EA61F7" w14:textId="049D1D3B" w:rsidR="000709B9" w:rsidRDefault="00860830" w:rsidP="00B83404">
      <w:pPr>
        <w:rPr>
          <w:color w:val="000000" w:themeColor="text1"/>
        </w:rPr>
      </w:pPr>
      <w:r w:rsidRPr="00ED172B">
        <w:rPr>
          <w:color w:val="000000" w:themeColor="text1"/>
        </w:rPr>
        <w:t>State database</w:t>
      </w:r>
    </w:p>
    <w:p w14:paraId="0535AD27" w14:textId="352FAEAA" w:rsidR="00423BCE" w:rsidRPr="00ED172B" w:rsidRDefault="000709B9">
      <w:pPr>
        <w:rPr>
          <w:b/>
          <w:color w:val="000000" w:themeColor="text1"/>
        </w:rPr>
      </w:pPr>
      <w:r w:rsidRPr="00ED172B">
        <w:rPr>
          <w:b/>
          <w:color w:val="000000" w:themeColor="text1"/>
        </w:rPr>
        <w:t xml:space="preserve">Provide the time period in which the data were collected (e.g., September through December, fourth quarter, selection from the full reporting period). </w:t>
      </w:r>
    </w:p>
    <w:p w14:paraId="6EEFB1FE" w14:textId="545986D5" w:rsidR="000709B9" w:rsidRPr="00ED172B" w:rsidRDefault="00860830" w:rsidP="000709B9">
      <w:pPr>
        <w:rPr>
          <w:color w:val="000000" w:themeColor="text1"/>
        </w:rPr>
      </w:pPr>
      <w:r w:rsidRPr="00ED172B">
        <w:rPr>
          <w:color w:val="000000" w:themeColor="text1"/>
        </w:rPr>
        <w:t>July 2022 - June 2023</w:t>
      </w:r>
    </w:p>
    <w:p w14:paraId="3464F3BB" w14:textId="014C8734" w:rsidR="000709B9" w:rsidRPr="00ED172B" w:rsidRDefault="000709B9">
      <w:pPr>
        <w:rPr>
          <w:b/>
          <w:color w:val="000000" w:themeColor="text1"/>
        </w:rPr>
      </w:pPr>
      <w:r w:rsidRPr="00ED172B">
        <w:rPr>
          <w:b/>
          <w:color w:val="000000" w:themeColor="text1"/>
        </w:rPr>
        <w:t xml:space="preserve">Describe how the data accurately reflect data for infants and toddlers with IFSPs for the full reporting period. </w:t>
      </w:r>
    </w:p>
    <w:p w14:paraId="3163EA0C" w14:textId="3A5ADAE9" w:rsidR="000709B9" w:rsidRDefault="00860830" w:rsidP="000709B9">
      <w:pPr>
        <w:rPr>
          <w:rFonts w:cs="Arial"/>
          <w:color w:val="000000" w:themeColor="text1"/>
          <w:szCs w:val="16"/>
        </w:rPr>
      </w:pPr>
      <w:r w:rsidRPr="00ED172B">
        <w:rPr>
          <w:rFonts w:cs="Arial"/>
          <w:color w:val="000000" w:themeColor="text1"/>
          <w:szCs w:val="16"/>
        </w:rPr>
        <w:t>The data accurately reflects data for infants and toddlers with IFSPs for the full reporting period. The State calculated the percentage using aggregated data collected monthly from all EI/ECSE programs in the state. Each monthly data report represents all children in the EI referral process from the second day of the previous month to the first day of the current month. Programs submit data completion status of EI evaluations, eligibility, and initial IFSP meeting each month. Of those children, programs must document: (1) how many completed the process within 45 days of referral; (2) how many completed the process but not within 45 days of referral (these programs must submit a corrective action plan); (3) how many have not completed the process; and (4) how many discontinued the process and why.</w:t>
      </w:r>
    </w:p>
    <w:p w14:paraId="239AE944" w14:textId="7F02781E" w:rsidR="003A3693" w:rsidRPr="00ED172B" w:rsidRDefault="003A3693" w:rsidP="003A3693">
      <w:pPr>
        <w:rPr>
          <w:rFonts w:cs="Arial"/>
          <w:b/>
          <w:color w:val="000000" w:themeColor="text1"/>
          <w:szCs w:val="16"/>
        </w:rPr>
      </w:pPr>
      <w:bookmarkStart w:id="41" w:name="_Toc386209666"/>
      <w:bookmarkStart w:id="42" w:name="_Toc392159299"/>
      <w:bookmarkEnd w:id="39"/>
      <w:bookmarkEnd w:id="40"/>
      <w:r w:rsidRPr="00ED172B">
        <w:rPr>
          <w:rFonts w:cs="Arial"/>
          <w:b/>
          <w:color w:val="000000" w:themeColor="text1"/>
          <w:szCs w:val="16"/>
        </w:rPr>
        <w:t>Provide additional information about this indicator (optional).</w:t>
      </w:r>
    </w:p>
    <w:p w14:paraId="08F3AB46" w14:textId="3AE7E453" w:rsidR="003A3693" w:rsidRPr="00ED172B" w:rsidRDefault="00860830" w:rsidP="003A3693">
      <w:pPr>
        <w:rPr>
          <w:rFonts w:cs="Arial"/>
          <w:color w:val="000000" w:themeColor="text1"/>
          <w:szCs w:val="16"/>
        </w:rPr>
      </w:pPr>
      <w:r w:rsidRPr="00ED172B">
        <w:rPr>
          <w:rFonts w:cs="Arial"/>
          <w:color w:val="000000" w:themeColor="text1"/>
          <w:szCs w:val="16"/>
        </w:rPr>
        <w:t xml:space="preserve">All programs submitted their monthly data and corrective action plans (CAPs) to the State on time for the entire data collection period (July 2022-June 2023). </w:t>
      </w:r>
      <w:r w:rsidRPr="00ED172B">
        <w:rPr>
          <w:rFonts w:cs="Arial"/>
          <w:color w:val="000000" w:themeColor="text1"/>
          <w:szCs w:val="16"/>
        </w:rPr>
        <w:br/>
      </w:r>
      <w:r w:rsidRPr="00ED172B">
        <w:rPr>
          <w:rFonts w:cs="Arial"/>
          <w:color w:val="000000" w:themeColor="text1"/>
          <w:szCs w:val="16"/>
        </w:rPr>
        <w:br/>
        <w:t>The State created a CAP template for April 2020 – June 2023 data for programs to document delays due to COVID. The delay was coded “Exceptional Family Circumstances due to COVID-19.” These cases were included in this report with the “Number of documented delays attributable to exceptional family circumstances.”</w:t>
      </w:r>
    </w:p>
    <w:p w14:paraId="78CA7AEE" w14:textId="38B3B45F" w:rsidR="008203B4" w:rsidRPr="00ED172B" w:rsidRDefault="008203B4" w:rsidP="00B83404">
      <w:pPr>
        <w:rPr>
          <w:color w:val="000000" w:themeColor="text1"/>
        </w:rPr>
      </w:pPr>
      <w:r w:rsidRPr="00ED172B">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C07PFFYNCFINDINGS"/>
      </w:tblPr>
      <w:tblGrid>
        <w:gridCol w:w="2647"/>
        <w:gridCol w:w="2776"/>
        <w:gridCol w:w="2652"/>
        <w:gridCol w:w="2715"/>
      </w:tblGrid>
      <w:tr w:rsidR="00ED172B" w:rsidRPr="00ED172B" w14:paraId="662BE12F" w14:textId="77777777" w:rsidTr="00986B99">
        <w:trPr>
          <w:trHeight w:val="389"/>
          <w:tblHeader/>
        </w:trPr>
        <w:tc>
          <w:tcPr>
            <w:tcW w:w="1226" w:type="pct"/>
            <w:shd w:val="clear" w:color="auto" w:fill="auto"/>
            <w:vAlign w:val="bottom"/>
          </w:tcPr>
          <w:p w14:paraId="0ADB00CA"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86" w:type="pct"/>
            <w:shd w:val="clear" w:color="auto" w:fill="auto"/>
            <w:vAlign w:val="bottom"/>
          </w:tcPr>
          <w:p w14:paraId="0EB9F078"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29" w:type="pct"/>
            <w:shd w:val="clear" w:color="auto" w:fill="auto"/>
            <w:vAlign w:val="bottom"/>
          </w:tcPr>
          <w:p w14:paraId="0E4AF015"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258" w:type="pct"/>
            <w:shd w:val="clear" w:color="auto" w:fill="auto"/>
            <w:vAlign w:val="bottom"/>
          </w:tcPr>
          <w:p w14:paraId="6BE909DA"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1AD15D6E" w14:textId="77777777" w:rsidTr="00986B99">
        <w:tc>
          <w:tcPr>
            <w:tcW w:w="1226" w:type="pct"/>
            <w:shd w:val="clear" w:color="auto" w:fill="auto"/>
          </w:tcPr>
          <w:p w14:paraId="3C6AC4FB" w14:textId="4FB8B8DC" w:rsidR="008203B4" w:rsidRPr="00ED172B" w:rsidRDefault="00860830" w:rsidP="00186420">
            <w:pPr>
              <w:jc w:val="center"/>
              <w:rPr>
                <w:rFonts w:cs="Arial"/>
                <w:color w:val="000000" w:themeColor="text1"/>
                <w:szCs w:val="16"/>
              </w:rPr>
            </w:pPr>
            <w:r w:rsidRPr="00ED172B">
              <w:rPr>
                <w:rFonts w:cs="Arial"/>
                <w:color w:val="000000" w:themeColor="text1"/>
                <w:szCs w:val="16"/>
              </w:rPr>
              <w:t>135</w:t>
            </w:r>
          </w:p>
        </w:tc>
        <w:tc>
          <w:tcPr>
            <w:tcW w:w="1286" w:type="pct"/>
            <w:shd w:val="clear" w:color="auto" w:fill="auto"/>
          </w:tcPr>
          <w:p w14:paraId="6713A327" w14:textId="087EB1ED" w:rsidR="008203B4" w:rsidRPr="00ED172B" w:rsidRDefault="00860830" w:rsidP="00186420">
            <w:pPr>
              <w:jc w:val="center"/>
              <w:rPr>
                <w:rFonts w:cs="Arial"/>
                <w:color w:val="000000" w:themeColor="text1"/>
                <w:szCs w:val="16"/>
              </w:rPr>
            </w:pPr>
            <w:r w:rsidRPr="00ED172B">
              <w:rPr>
                <w:rFonts w:cs="Arial"/>
                <w:color w:val="000000" w:themeColor="text1"/>
                <w:szCs w:val="16"/>
              </w:rPr>
              <w:t>135</w:t>
            </w:r>
          </w:p>
        </w:tc>
        <w:tc>
          <w:tcPr>
            <w:tcW w:w="1229" w:type="pct"/>
            <w:shd w:val="clear" w:color="auto" w:fill="auto"/>
          </w:tcPr>
          <w:p w14:paraId="7767046D" w14:textId="6877FBBE" w:rsidR="008203B4"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58" w:type="pct"/>
            <w:shd w:val="clear" w:color="auto" w:fill="auto"/>
          </w:tcPr>
          <w:p w14:paraId="4621D411" w14:textId="7E49A5A3" w:rsidR="008203B4" w:rsidRPr="00ED172B" w:rsidRDefault="00860830" w:rsidP="00186420">
            <w:pPr>
              <w:jc w:val="center"/>
              <w:rPr>
                <w:rFonts w:cs="Arial"/>
                <w:color w:val="000000" w:themeColor="text1"/>
                <w:szCs w:val="16"/>
              </w:rPr>
            </w:pPr>
            <w:r w:rsidRPr="00ED172B">
              <w:rPr>
                <w:rFonts w:cs="Arial"/>
                <w:color w:val="000000" w:themeColor="text1"/>
                <w:szCs w:val="16"/>
              </w:rPr>
              <w:t>0</w:t>
            </w:r>
          </w:p>
        </w:tc>
      </w:tr>
    </w:tbl>
    <w:p w14:paraId="4E4C4062" w14:textId="611B67B1" w:rsidR="008203B4" w:rsidRPr="00ED172B" w:rsidRDefault="00CD74B5" w:rsidP="00B83404">
      <w:pPr>
        <w:rPr>
          <w:color w:val="000000" w:themeColor="text1"/>
        </w:rPr>
      </w:pPr>
      <w:r>
        <w:rPr>
          <w:b/>
          <w:color w:val="000000" w:themeColor="text1"/>
        </w:rPr>
        <w:t>FFY 2021 Findings of Noncompliance Verified as Corrected</w:t>
      </w:r>
    </w:p>
    <w:p w14:paraId="5E4ECBB0" w14:textId="1CC718D4" w:rsidR="008203B4" w:rsidRPr="00ED172B" w:rsidRDefault="008203B4" w:rsidP="008203B4">
      <w:pPr>
        <w:rPr>
          <w:rFonts w:cs="Arial"/>
          <w:b/>
          <w:color w:val="000000" w:themeColor="text1"/>
          <w:szCs w:val="16"/>
        </w:rPr>
      </w:pPr>
      <w:r w:rsidRPr="00ED172B">
        <w:rPr>
          <w:rFonts w:cs="Arial"/>
          <w:b/>
          <w:color w:val="000000" w:themeColor="text1"/>
          <w:szCs w:val="16"/>
        </w:rPr>
        <w:t xml:space="preserve">Describe how the State verified that the source of noncompliance is correctly implementing the </w:t>
      </w:r>
      <w:r w:rsidR="0031099B" w:rsidRPr="00ED172B">
        <w:rPr>
          <w:rFonts w:cs="Arial"/>
          <w:b/>
          <w:i/>
          <w:color w:val="000000" w:themeColor="text1"/>
          <w:szCs w:val="16"/>
        </w:rPr>
        <w:t>regulatory requirements</w:t>
      </w:r>
      <w:r w:rsidR="002959B0">
        <w:rPr>
          <w:rFonts w:cs="Arial"/>
          <w:b/>
          <w:i/>
          <w:color w:val="000000" w:themeColor="text1"/>
          <w:szCs w:val="16"/>
        </w:rPr>
        <w:t>.</w:t>
      </w:r>
    </w:p>
    <w:p w14:paraId="0FE901D9" w14:textId="490B580D" w:rsidR="008203B4" w:rsidRPr="00ED172B" w:rsidRDefault="00860830" w:rsidP="008203B4">
      <w:pPr>
        <w:rPr>
          <w:rFonts w:cs="Arial"/>
          <w:color w:val="000000" w:themeColor="text1"/>
          <w:szCs w:val="16"/>
        </w:rPr>
      </w:pPr>
      <w:r w:rsidRPr="00ED172B">
        <w:rPr>
          <w:rFonts w:cs="Arial"/>
          <w:color w:val="000000" w:themeColor="text1"/>
          <w:szCs w:val="16"/>
        </w:rPr>
        <w:t xml:space="preserve">For FFY 2021, the State verified that EI/ECSE programs were correctly implementing the regulatory requirements by having the programs continue to submit monthly corrective action plans (CAPs) to the State for any child for whom the 45-day timeline was not met. Included in the CAP that programs submitted: 1) the number of days needed to complete the referral, eligibility and initial IFSP meeting; 2) the child’s initials and birth date; 3) the specific reasons for not meeting the 45-day timeline (parent delay or program delay); 4) the corrective actions based on an analysis of the problem(s); and 5) the activities planned to address each problem identified. </w:t>
      </w:r>
      <w:r w:rsidRPr="00ED172B">
        <w:rPr>
          <w:rFonts w:cs="Arial"/>
          <w:color w:val="000000" w:themeColor="text1"/>
          <w:szCs w:val="16"/>
        </w:rPr>
        <w:br/>
      </w:r>
      <w:r w:rsidRPr="00ED172B">
        <w:rPr>
          <w:rFonts w:cs="Arial"/>
          <w:color w:val="000000" w:themeColor="text1"/>
          <w:szCs w:val="16"/>
        </w:rPr>
        <w:br/>
        <w:t xml:space="preserve">The programs with noncompliance developed and implemented CAPs detailing solutions for 100% (135/135) correction of noncompliance and submitted these to the State for review and approval. The CAPs included staff training, development of alternative plans when staff became ill, and working with school districts to hire additional evaluators. The State reviewed and approved all CAPs submitted. </w:t>
      </w:r>
      <w:r w:rsidRPr="00ED172B">
        <w:rPr>
          <w:rFonts w:cs="Arial"/>
          <w:color w:val="000000" w:themeColor="text1"/>
          <w:szCs w:val="16"/>
        </w:rPr>
        <w:br/>
      </w:r>
      <w:r w:rsidRPr="00ED172B">
        <w:rPr>
          <w:rFonts w:cs="Arial"/>
          <w:color w:val="000000" w:themeColor="text1"/>
          <w:szCs w:val="16"/>
        </w:rPr>
        <w:br/>
        <w:t xml:space="preserve">The State verified as per OSEP QA 23-01 that all programs with past noncompliance were correctly implementing the regulatory requirements of 34 CFR §§303.310(a) and 303.342(a) based on updated monthly 45-day timeline data from each program. The state summarized continued new monthly CAP data for each program detailing no new cases over the 45-day timeline or only CAPs with parent delays. Subsequent evaluations were also reviewed by the State in ecWeb, the State IFSP database, and confirmed subsequent timely evaluations. </w:t>
      </w:r>
    </w:p>
    <w:p w14:paraId="78F88C50" w14:textId="1D102F4C" w:rsidR="008203B4" w:rsidRPr="00ED172B" w:rsidRDefault="008203B4" w:rsidP="008203B4">
      <w:pPr>
        <w:rPr>
          <w:rFonts w:cs="Arial"/>
          <w:b/>
          <w:color w:val="000000" w:themeColor="text1"/>
          <w:szCs w:val="16"/>
        </w:rPr>
      </w:pPr>
      <w:r w:rsidRPr="00ED172B">
        <w:rPr>
          <w:rFonts w:cs="Arial"/>
          <w:b/>
          <w:color w:val="000000" w:themeColor="text1"/>
          <w:szCs w:val="16"/>
        </w:rPr>
        <w:t xml:space="preserve">Describe how the State verified that each </w:t>
      </w:r>
      <w:r w:rsidR="0031099B" w:rsidRPr="00ED172B">
        <w:rPr>
          <w:rFonts w:cs="Arial"/>
          <w:b/>
          <w:i/>
          <w:color w:val="000000" w:themeColor="text1"/>
          <w:szCs w:val="16"/>
        </w:rPr>
        <w:t>individual case</w:t>
      </w:r>
      <w:r w:rsidRPr="00ED172B">
        <w:rPr>
          <w:rFonts w:cs="Arial"/>
          <w:b/>
          <w:color w:val="000000" w:themeColor="text1"/>
          <w:szCs w:val="16"/>
        </w:rPr>
        <w:t xml:space="preserve"> of noncompliance was corrected</w:t>
      </w:r>
      <w:r w:rsidR="002959B0">
        <w:rPr>
          <w:rFonts w:cs="Arial"/>
          <w:b/>
          <w:color w:val="000000" w:themeColor="text1"/>
          <w:szCs w:val="16"/>
        </w:rPr>
        <w:t>.</w:t>
      </w:r>
    </w:p>
    <w:p w14:paraId="722BD8E3" w14:textId="23E43957" w:rsidR="008203B4" w:rsidRDefault="00860830" w:rsidP="008203B4">
      <w:pPr>
        <w:rPr>
          <w:rFonts w:cs="Arial"/>
          <w:color w:val="000000" w:themeColor="text1"/>
          <w:szCs w:val="16"/>
        </w:rPr>
      </w:pPr>
      <w:r w:rsidRPr="00ED172B">
        <w:rPr>
          <w:rFonts w:cs="Arial"/>
          <w:color w:val="000000" w:themeColor="text1"/>
          <w:szCs w:val="16"/>
        </w:rPr>
        <w:t>The State verified that 100% (135/135) of the incidents of noncompliance in FFY 2021 were corrected within one year. All programs with noncompliance conducted the initial evaluation, assessment, and IFSP meeting, although late, for each individual child for whom the 45-day timeline was not met based on a monthly State review and approved submitted Corrective Action Plans (CAPs) documenting each of the 135 cases of noncompliance were corrected to 100% (consistent with OSEP QA 23-01).</w:t>
      </w:r>
      <w:r w:rsidRPr="00ED172B">
        <w:rPr>
          <w:rFonts w:cs="Arial"/>
          <w:color w:val="000000" w:themeColor="text1"/>
          <w:szCs w:val="16"/>
        </w:rPr>
        <w:br/>
      </w:r>
      <w:r w:rsidRPr="00ED172B">
        <w:rPr>
          <w:rFonts w:cs="Arial"/>
          <w:color w:val="000000" w:themeColor="text1"/>
          <w:szCs w:val="16"/>
        </w:rPr>
        <w:br/>
        <w:t>The programs with noncompliance developed and implemented CAPs detailing solutions for 100% (135/135) correction of noncompliance and submitted these to the State for review and approval. The CAPs included staff training, development of alternative plans when staff became ill, and working with school districts to hire additional evaluators. The State reviewed and approved all CAPs submitted.</w:t>
      </w:r>
      <w:r w:rsidRPr="00ED172B">
        <w:rPr>
          <w:rFonts w:cs="Arial"/>
          <w:color w:val="000000" w:themeColor="text1"/>
          <w:szCs w:val="16"/>
        </w:rPr>
        <w:br/>
      </w:r>
      <w:r w:rsidRPr="00ED172B">
        <w:rPr>
          <w:rFonts w:cs="Arial"/>
          <w:color w:val="000000" w:themeColor="text1"/>
          <w:szCs w:val="16"/>
        </w:rPr>
        <w:br/>
        <w:t>The State verified as per OSEP QA 23-01 that all programs with past noncompliance were correctly implementing the regulatory requirements of 34 CFR §§303.310(a) and 303.342(a) based on updated monthly 45-day timeline data from each program. The State summarized continued new monthly CAP data for each program detailing no new cases over the 45-day timeline or only CAPs with parent delays. Subsequent evaluations were also reviewed by the State in ecWeb, the State IFSP database, and confirmed subsequent timely evaluations.</w:t>
      </w:r>
    </w:p>
    <w:p w14:paraId="32FC1C4C" w14:textId="266510C4" w:rsidR="008203B4" w:rsidRPr="00ED172B" w:rsidRDefault="008203B4" w:rsidP="00B83404">
      <w:pPr>
        <w:rPr>
          <w:color w:val="000000" w:themeColor="text1"/>
        </w:rPr>
      </w:pPr>
      <w:r w:rsidRPr="00ED172B">
        <w:rPr>
          <w:b/>
          <w:color w:val="000000" w:themeColor="text1"/>
        </w:rPr>
        <w:lastRenderedPageBreak/>
        <w:t>Correction of Findings of Noncompliance Identified Prior to FFY 2021</w:t>
      </w:r>
    </w:p>
    <w:tbl>
      <w:tblPr>
        <w:tblStyle w:val="TableGrid"/>
        <w:tblW w:w="5000" w:type="pct"/>
        <w:tblLook w:val="04A0" w:firstRow="1" w:lastRow="0" w:firstColumn="1" w:lastColumn="0" w:noHBand="0" w:noVBand="1"/>
        <w:tblCaption w:val="C07PPFFYNCFINDINGS"/>
      </w:tblPr>
      <w:tblGrid>
        <w:gridCol w:w="1941"/>
        <w:gridCol w:w="3020"/>
        <w:gridCol w:w="3008"/>
        <w:gridCol w:w="2821"/>
      </w:tblGrid>
      <w:tr w:rsidR="00ED172B" w:rsidRPr="00ED172B" w14:paraId="4E93AE14" w14:textId="77777777" w:rsidTr="00986B99">
        <w:trPr>
          <w:tblHeader/>
        </w:trPr>
        <w:tc>
          <w:tcPr>
            <w:tcW w:w="899" w:type="pct"/>
            <w:shd w:val="clear" w:color="auto" w:fill="auto"/>
            <w:vAlign w:val="bottom"/>
          </w:tcPr>
          <w:p w14:paraId="0CD65E96"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99" w:type="pct"/>
            <w:shd w:val="clear" w:color="auto" w:fill="auto"/>
            <w:vAlign w:val="bottom"/>
          </w:tcPr>
          <w:p w14:paraId="16F76534" w14:textId="0E40ECDF"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2021 APR</w:t>
            </w:r>
          </w:p>
        </w:tc>
        <w:tc>
          <w:tcPr>
            <w:tcW w:w="1394" w:type="pct"/>
            <w:shd w:val="clear" w:color="auto" w:fill="auto"/>
            <w:vAlign w:val="bottom"/>
          </w:tcPr>
          <w:p w14:paraId="2BF24506"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7" w:type="pct"/>
            <w:shd w:val="clear" w:color="auto" w:fill="auto"/>
            <w:vAlign w:val="bottom"/>
          </w:tcPr>
          <w:p w14:paraId="084EB573"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2B1E48E5" w14:textId="77777777" w:rsidTr="00986B99">
        <w:tc>
          <w:tcPr>
            <w:tcW w:w="899" w:type="pct"/>
            <w:shd w:val="clear" w:color="auto" w:fill="auto"/>
          </w:tcPr>
          <w:p w14:paraId="128A230A" w14:textId="50E2AC27" w:rsidR="008203B4" w:rsidRPr="00ED172B" w:rsidRDefault="00860830" w:rsidP="00D21F29">
            <w:pPr>
              <w:jc w:val="center"/>
              <w:rPr>
                <w:rFonts w:cs="Arial"/>
                <w:color w:val="000000" w:themeColor="text1"/>
                <w:szCs w:val="16"/>
              </w:rPr>
            </w:pPr>
            <w:r w:rsidRPr="00ED172B">
              <w:rPr>
                <w:rFonts w:cs="Arial"/>
                <w:color w:val="000000" w:themeColor="text1"/>
                <w:szCs w:val="16"/>
              </w:rPr>
              <w:t>FFY 2020</w:t>
            </w:r>
          </w:p>
        </w:tc>
        <w:tc>
          <w:tcPr>
            <w:tcW w:w="1399" w:type="pct"/>
            <w:shd w:val="clear" w:color="auto" w:fill="auto"/>
          </w:tcPr>
          <w:p w14:paraId="586EEE14" w14:textId="68B417D1" w:rsidR="008203B4" w:rsidRPr="00ED172B" w:rsidRDefault="00860830" w:rsidP="00CD79C5">
            <w:pPr>
              <w:jc w:val="center"/>
              <w:rPr>
                <w:rFonts w:cs="Arial"/>
                <w:noProof/>
                <w:color w:val="000000" w:themeColor="text1"/>
                <w:szCs w:val="16"/>
              </w:rPr>
            </w:pPr>
            <w:r w:rsidRPr="00ED172B">
              <w:rPr>
                <w:rFonts w:cs="Arial"/>
                <w:color w:val="000000" w:themeColor="text1"/>
                <w:szCs w:val="16"/>
              </w:rPr>
              <w:t>104</w:t>
            </w:r>
          </w:p>
        </w:tc>
        <w:tc>
          <w:tcPr>
            <w:tcW w:w="1394" w:type="pct"/>
            <w:shd w:val="clear" w:color="auto" w:fill="auto"/>
          </w:tcPr>
          <w:p w14:paraId="32B05EFE" w14:textId="5D65EE73" w:rsidR="008203B4" w:rsidRPr="00ED172B" w:rsidRDefault="00860830" w:rsidP="00CD79C5">
            <w:pPr>
              <w:jc w:val="center"/>
              <w:rPr>
                <w:rFonts w:cs="Arial"/>
                <w:noProof/>
                <w:color w:val="000000" w:themeColor="text1"/>
                <w:szCs w:val="16"/>
              </w:rPr>
            </w:pPr>
            <w:r w:rsidRPr="00ED172B">
              <w:rPr>
                <w:rFonts w:cs="Arial"/>
                <w:color w:val="000000" w:themeColor="text1"/>
                <w:szCs w:val="16"/>
              </w:rPr>
              <w:t>104</w:t>
            </w:r>
          </w:p>
        </w:tc>
        <w:tc>
          <w:tcPr>
            <w:tcW w:w="1307" w:type="pct"/>
            <w:shd w:val="clear" w:color="auto" w:fill="auto"/>
          </w:tcPr>
          <w:p w14:paraId="3338F511" w14:textId="15EAC72F" w:rsidR="008203B4" w:rsidRPr="00ED172B" w:rsidRDefault="00860830" w:rsidP="00CD79C5">
            <w:pPr>
              <w:jc w:val="center"/>
              <w:rPr>
                <w:rFonts w:cs="Arial"/>
                <w:noProof/>
                <w:color w:val="000000" w:themeColor="text1"/>
                <w:szCs w:val="16"/>
              </w:rPr>
            </w:pPr>
            <w:r w:rsidRPr="00ED172B">
              <w:rPr>
                <w:rFonts w:cs="Arial"/>
                <w:color w:val="000000" w:themeColor="text1"/>
                <w:szCs w:val="16"/>
              </w:rPr>
              <w:t>0</w:t>
            </w:r>
          </w:p>
        </w:tc>
      </w:tr>
      <w:tr w:rsidR="00ED172B" w:rsidRPr="00ED172B" w14:paraId="744B3351" w14:textId="77777777" w:rsidTr="00986B99">
        <w:tc>
          <w:tcPr>
            <w:tcW w:w="899" w:type="pct"/>
            <w:shd w:val="clear" w:color="auto" w:fill="auto"/>
          </w:tcPr>
          <w:p w14:paraId="43DF4A1D" w14:textId="629DD993" w:rsidR="008203B4" w:rsidRPr="00ED172B" w:rsidRDefault="008203B4" w:rsidP="00D21F29">
            <w:pPr>
              <w:jc w:val="center"/>
              <w:rPr>
                <w:rFonts w:cs="Arial"/>
                <w:color w:val="000000" w:themeColor="text1"/>
                <w:szCs w:val="16"/>
              </w:rPr>
            </w:pPr>
          </w:p>
        </w:tc>
        <w:tc>
          <w:tcPr>
            <w:tcW w:w="1399" w:type="pct"/>
            <w:shd w:val="clear" w:color="auto" w:fill="auto"/>
          </w:tcPr>
          <w:p w14:paraId="682B1AF7" w14:textId="04856098" w:rsidR="008203B4" w:rsidRPr="00ED172B" w:rsidRDefault="008203B4" w:rsidP="00CD79C5">
            <w:pPr>
              <w:jc w:val="center"/>
              <w:rPr>
                <w:rFonts w:cs="Arial"/>
                <w:noProof/>
                <w:color w:val="000000" w:themeColor="text1"/>
                <w:szCs w:val="16"/>
              </w:rPr>
            </w:pPr>
          </w:p>
        </w:tc>
        <w:tc>
          <w:tcPr>
            <w:tcW w:w="1394" w:type="pct"/>
            <w:shd w:val="clear" w:color="auto" w:fill="auto"/>
          </w:tcPr>
          <w:p w14:paraId="58B66D2A" w14:textId="5E2142F5" w:rsidR="008203B4" w:rsidRPr="00ED172B" w:rsidRDefault="008203B4" w:rsidP="00CD79C5">
            <w:pPr>
              <w:jc w:val="center"/>
              <w:rPr>
                <w:rFonts w:cs="Arial"/>
                <w:noProof/>
                <w:color w:val="000000" w:themeColor="text1"/>
                <w:szCs w:val="16"/>
              </w:rPr>
            </w:pPr>
          </w:p>
        </w:tc>
        <w:tc>
          <w:tcPr>
            <w:tcW w:w="1307" w:type="pct"/>
            <w:shd w:val="clear" w:color="auto" w:fill="auto"/>
          </w:tcPr>
          <w:p w14:paraId="6986D2A0" w14:textId="0E05F3E2" w:rsidR="008203B4" w:rsidRPr="00ED172B" w:rsidRDefault="008203B4" w:rsidP="00CD79C5">
            <w:pPr>
              <w:jc w:val="center"/>
              <w:rPr>
                <w:rFonts w:cs="Arial"/>
                <w:noProof/>
                <w:color w:val="000000" w:themeColor="text1"/>
                <w:szCs w:val="16"/>
              </w:rPr>
            </w:pPr>
          </w:p>
        </w:tc>
      </w:tr>
      <w:tr w:rsidR="00ED172B" w:rsidRPr="00ED172B" w14:paraId="62EEE336" w14:textId="77777777" w:rsidTr="00986B99">
        <w:tc>
          <w:tcPr>
            <w:tcW w:w="899" w:type="pct"/>
            <w:shd w:val="clear" w:color="auto" w:fill="auto"/>
          </w:tcPr>
          <w:p w14:paraId="03FC998C" w14:textId="17CC0145" w:rsidR="008203B4" w:rsidRPr="00ED172B" w:rsidRDefault="008203B4" w:rsidP="00D21F29">
            <w:pPr>
              <w:jc w:val="center"/>
              <w:rPr>
                <w:rFonts w:cs="Arial"/>
                <w:color w:val="000000" w:themeColor="text1"/>
                <w:szCs w:val="16"/>
              </w:rPr>
            </w:pPr>
          </w:p>
        </w:tc>
        <w:tc>
          <w:tcPr>
            <w:tcW w:w="1399" w:type="pct"/>
            <w:shd w:val="clear" w:color="auto" w:fill="auto"/>
          </w:tcPr>
          <w:p w14:paraId="0C9B51BA" w14:textId="69C64714" w:rsidR="008203B4" w:rsidRPr="00ED172B" w:rsidRDefault="008203B4" w:rsidP="00CD79C5">
            <w:pPr>
              <w:jc w:val="center"/>
              <w:rPr>
                <w:rFonts w:cs="Arial"/>
                <w:noProof/>
                <w:color w:val="000000" w:themeColor="text1"/>
                <w:szCs w:val="16"/>
              </w:rPr>
            </w:pPr>
          </w:p>
        </w:tc>
        <w:tc>
          <w:tcPr>
            <w:tcW w:w="1394" w:type="pct"/>
            <w:shd w:val="clear" w:color="auto" w:fill="auto"/>
          </w:tcPr>
          <w:p w14:paraId="3D9AF315" w14:textId="35A24922" w:rsidR="008203B4" w:rsidRPr="00ED172B" w:rsidRDefault="008203B4" w:rsidP="00CD79C5">
            <w:pPr>
              <w:jc w:val="center"/>
              <w:rPr>
                <w:rFonts w:cs="Arial"/>
                <w:noProof/>
                <w:color w:val="000000" w:themeColor="text1"/>
                <w:szCs w:val="16"/>
              </w:rPr>
            </w:pPr>
          </w:p>
        </w:tc>
        <w:tc>
          <w:tcPr>
            <w:tcW w:w="1307" w:type="pct"/>
            <w:shd w:val="clear" w:color="auto" w:fill="auto"/>
          </w:tcPr>
          <w:p w14:paraId="7C6C5467" w14:textId="7AD30721" w:rsidR="008203B4" w:rsidRPr="00ED172B" w:rsidRDefault="008203B4" w:rsidP="00CD79C5">
            <w:pPr>
              <w:jc w:val="center"/>
              <w:rPr>
                <w:rFonts w:cs="Arial"/>
                <w:noProof/>
                <w:color w:val="000000" w:themeColor="text1"/>
                <w:szCs w:val="16"/>
              </w:rPr>
            </w:pPr>
          </w:p>
        </w:tc>
      </w:tr>
      <w:tr w:rsidR="00DE328D" w:rsidRPr="00ED172B" w14:paraId="37EAC70D" w14:textId="77777777" w:rsidTr="00986B99">
        <w:tc>
          <w:tcPr>
            <w:tcW w:w="899" w:type="pct"/>
            <w:shd w:val="clear" w:color="auto" w:fill="auto"/>
          </w:tcPr>
          <w:p w14:paraId="6C4A41C4" w14:textId="01E82ED5" w:rsidR="00DE328D" w:rsidRPr="00ED172B" w:rsidRDefault="00DE328D" w:rsidP="00D21F29">
            <w:pPr>
              <w:jc w:val="center"/>
              <w:rPr>
                <w:rFonts w:cs="Arial"/>
                <w:color w:val="000000" w:themeColor="text1"/>
                <w:szCs w:val="16"/>
              </w:rPr>
            </w:pPr>
          </w:p>
        </w:tc>
        <w:tc>
          <w:tcPr>
            <w:tcW w:w="1399" w:type="pct"/>
            <w:shd w:val="clear" w:color="auto" w:fill="auto"/>
          </w:tcPr>
          <w:p w14:paraId="77C9F595" w14:textId="34715600" w:rsidR="00DE328D" w:rsidRPr="00ED172B" w:rsidRDefault="00DE328D" w:rsidP="00DE328D">
            <w:pPr>
              <w:jc w:val="center"/>
              <w:rPr>
                <w:rFonts w:cs="Arial"/>
                <w:color w:val="000000" w:themeColor="text1"/>
                <w:szCs w:val="16"/>
              </w:rPr>
            </w:pPr>
          </w:p>
        </w:tc>
        <w:tc>
          <w:tcPr>
            <w:tcW w:w="1394" w:type="pct"/>
            <w:shd w:val="clear" w:color="auto" w:fill="auto"/>
          </w:tcPr>
          <w:p w14:paraId="19DF5F39" w14:textId="56F991D4" w:rsidR="00DE328D" w:rsidRPr="00ED172B" w:rsidRDefault="00DE328D" w:rsidP="00DE328D">
            <w:pPr>
              <w:jc w:val="center"/>
              <w:rPr>
                <w:rFonts w:cs="Arial"/>
                <w:color w:val="000000" w:themeColor="text1"/>
                <w:szCs w:val="16"/>
              </w:rPr>
            </w:pPr>
          </w:p>
        </w:tc>
        <w:tc>
          <w:tcPr>
            <w:tcW w:w="1307" w:type="pct"/>
            <w:shd w:val="clear" w:color="auto" w:fill="auto"/>
          </w:tcPr>
          <w:p w14:paraId="2954DE8E" w14:textId="1B7BB7AE" w:rsidR="00DE328D" w:rsidRPr="00ED172B" w:rsidRDefault="00DE328D" w:rsidP="00DE328D">
            <w:pPr>
              <w:jc w:val="center"/>
              <w:rPr>
                <w:rFonts w:cs="Arial"/>
                <w:color w:val="000000" w:themeColor="text1"/>
                <w:szCs w:val="16"/>
              </w:rPr>
            </w:pPr>
          </w:p>
        </w:tc>
      </w:tr>
      <w:tr w:rsidR="00DE328D" w:rsidRPr="00ED172B" w14:paraId="3205E0F1" w14:textId="77777777" w:rsidTr="00986B99">
        <w:tc>
          <w:tcPr>
            <w:tcW w:w="899" w:type="pct"/>
            <w:shd w:val="clear" w:color="auto" w:fill="auto"/>
          </w:tcPr>
          <w:p w14:paraId="304EA88F" w14:textId="5291E613" w:rsidR="00DE328D" w:rsidRPr="00ED172B" w:rsidRDefault="00DE328D" w:rsidP="00D21F29">
            <w:pPr>
              <w:jc w:val="center"/>
              <w:rPr>
                <w:rFonts w:cs="Arial"/>
                <w:color w:val="000000" w:themeColor="text1"/>
                <w:szCs w:val="16"/>
              </w:rPr>
            </w:pPr>
          </w:p>
        </w:tc>
        <w:tc>
          <w:tcPr>
            <w:tcW w:w="1399" w:type="pct"/>
            <w:shd w:val="clear" w:color="auto" w:fill="auto"/>
          </w:tcPr>
          <w:p w14:paraId="54A53497" w14:textId="232A2A7D" w:rsidR="00DE328D" w:rsidRPr="00ED172B" w:rsidRDefault="00DE328D" w:rsidP="00DE328D">
            <w:pPr>
              <w:jc w:val="center"/>
              <w:rPr>
                <w:rFonts w:cs="Arial"/>
                <w:color w:val="000000" w:themeColor="text1"/>
                <w:szCs w:val="16"/>
              </w:rPr>
            </w:pPr>
          </w:p>
        </w:tc>
        <w:tc>
          <w:tcPr>
            <w:tcW w:w="1394" w:type="pct"/>
            <w:shd w:val="clear" w:color="auto" w:fill="auto"/>
          </w:tcPr>
          <w:p w14:paraId="60DF5900" w14:textId="7E0E7098" w:rsidR="00DE328D" w:rsidRPr="00ED172B" w:rsidRDefault="00DE328D" w:rsidP="00DE328D">
            <w:pPr>
              <w:jc w:val="center"/>
              <w:rPr>
                <w:rFonts w:cs="Arial"/>
                <w:color w:val="000000" w:themeColor="text1"/>
                <w:szCs w:val="16"/>
              </w:rPr>
            </w:pPr>
          </w:p>
        </w:tc>
        <w:tc>
          <w:tcPr>
            <w:tcW w:w="1307" w:type="pct"/>
            <w:shd w:val="clear" w:color="auto" w:fill="auto"/>
          </w:tcPr>
          <w:p w14:paraId="73662E29" w14:textId="2A7774EF" w:rsidR="00DE328D" w:rsidRPr="00ED172B" w:rsidRDefault="00DE328D" w:rsidP="00DE328D">
            <w:pPr>
              <w:jc w:val="center"/>
              <w:rPr>
                <w:rFonts w:cs="Arial"/>
                <w:color w:val="000000" w:themeColor="text1"/>
                <w:szCs w:val="16"/>
              </w:rPr>
            </w:pPr>
          </w:p>
        </w:tc>
      </w:tr>
    </w:tbl>
    <w:p w14:paraId="7D044851" w14:textId="4FA37089" w:rsidR="00B5154D" w:rsidRPr="00ED172B" w:rsidRDefault="00B5154D" w:rsidP="00B83404">
      <w:pPr>
        <w:rPr>
          <w:rFonts w:cs="Arial"/>
          <w:b/>
          <w:bCs/>
          <w:color w:val="000000" w:themeColor="text1"/>
          <w:szCs w:val="16"/>
        </w:rPr>
      </w:pPr>
      <w:r w:rsidRPr="00ED172B">
        <w:rPr>
          <w:rFonts w:cs="Arial"/>
          <w:b/>
          <w:bCs/>
          <w:color w:val="000000" w:themeColor="text1"/>
          <w:szCs w:val="16"/>
        </w:rPr>
        <w:t>FFY 2020</w:t>
      </w:r>
    </w:p>
    <w:p w14:paraId="018F68C3" w14:textId="0CC574A7" w:rsidR="008203B4" w:rsidRPr="00ED172B" w:rsidRDefault="008203B4" w:rsidP="00B83404">
      <w:pPr>
        <w:rPr>
          <w:color w:val="000000" w:themeColor="text1"/>
        </w:rPr>
      </w:pPr>
      <w:r w:rsidRPr="00ED172B">
        <w:rPr>
          <w:b/>
          <w:color w:val="000000" w:themeColor="text1"/>
        </w:rPr>
        <w:t>Findings of Noncompliance Verified as Corrected</w:t>
      </w:r>
    </w:p>
    <w:p w14:paraId="75B2A1A8" w14:textId="10F32585" w:rsidR="008203B4" w:rsidRPr="00ED172B" w:rsidRDefault="008203B4">
      <w:pPr>
        <w:rPr>
          <w:b/>
          <w:color w:val="000000" w:themeColor="text1"/>
        </w:rPr>
      </w:pPr>
      <w:r w:rsidRPr="00ED172B">
        <w:rPr>
          <w:b/>
          <w:color w:val="000000" w:themeColor="text1"/>
        </w:rPr>
        <w:t xml:space="preserve">Describe how the State verified that the source of noncompliance is correctly implementing the </w:t>
      </w:r>
      <w:r w:rsidR="0031099B" w:rsidRPr="00ED172B">
        <w:rPr>
          <w:b/>
          <w:i/>
          <w:color w:val="000000" w:themeColor="text1"/>
        </w:rPr>
        <w:t>regulatory requirements</w:t>
      </w:r>
      <w:r w:rsidR="002959B0">
        <w:rPr>
          <w:b/>
          <w:i/>
          <w:color w:val="000000" w:themeColor="text1"/>
        </w:rPr>
        <w:t>.</w:t>
      </w:r>
    </w:p>
    <w:p w14:paraId="60F0994D" w14:textId="0E18E14B" w:rsidR="008203B4" w:rsidRPr="00ED172B" w:rsidRDefault="00860830">
      <w:pPr>
        <w:rPr>
          <w:color w:val="000000" w:themeColor="text1"/>
        </w:rPr>
      </w:pPr>
      <w:r w:rsidRPr="00ED172B">
        <w:rPr>
          <w:color w:val="000000" w:themeColor="text1"/>
        </w:rPr>
        <w:t xml:space="preserve">For FFY 2020, the State verified the EI/ECSE programs were correctly implementing the regulatory requirements by having the programs continue to submit monthly corrective action plans (CAPs) for any child for whom the 45-day timeline was not met. Included in the CAP: 1) the number of days needed to complete the referral, eligibility and initial IFSP meeting; 2) the child’s initials and birth date; 3) the specific reasons for not meeting the 45-day timeline (parent delay or program delay); 4) the corrective actions based on an analysis of the problem(s); and 5) the activities planned to address each problem identified. </w:t>
      </w:r>
      <w:r w:rsidRPr="00ED172B">
        <w:rPr>
          <w:color w:val="000000" w:themeColor="text1"/>
        </w:rPr>
        <w:br/>
      </w:r>
      <w:r w:rsidRPr="00ED172B">
        <w:rPr>
          <w:color w:val="000000" w:themeColor="text1"/>
        </w:rPr>
        <w:br/>
        <w:t>The programs with noncompliance developed and implemented CAPs detailing solutions for 100% (104/104) correction of noncompliance and submitted these to the State for review and approval. The CAPs included staff training, development of alternative plans when staff became ill, and working with school districts to hire additional evaluators. The State reviewed and approved all CAPs.</w:t>
      </w:r>
      <w:r w:rsidRPr="00ED172B">
        <w:rPr>
          <w:color w:val="000000" w:themeColor="text1"/>
        </w:rPr>
        <w:br/>
      </w:r>
      <w:r w:rsidRPr="00ED172B">
        <w:rPr>
          <w:color w:val="000000" w:themeColor="text1"/>
        </w:rPr>
        <w:br/>
        <w:t>The State verified as per OSEP QA 23-01 that all programs with past noncompliance were correctly implementing the regulatory requirements of 34 CFR §§303.310(a) and 303.342(a) based on updated monthly 45 day timeline data from each program. The State summarized continued new monthly CAP data for each program detailing no new cases over the 45-day timeline or only CAPs with parent delays. Subsequent evaluations were reviewed by the State in ecWeb, the State IFSP database, and confirmed subsequent timely evaluations.</w:t>
      </w:r>
    </w:p>
    <w:p w14:paraId="0935FA50" w14:textId="5AF3078D" w:rsidR="008203B4" w:rsidRPr="00ED172B" w:rsidRDefault="008203B4">
      <w:pPr>
        <w:rPr>
          <w:b/>
          <w:color w:val="000000" w:themeColor="text1"/>
        </w:rPr>
      </w:pPr>
      <w:r w:rsidRPr="00ED172B">
        <w:rPr>
          <w:b/>
          <w:color w:val="000000" w:themeColor="text1"/>
        </w:rPr>
        <w:t xml:space="preserve">Describe how the State verified that each </w:t>
      </w:r>
      <w:r w:rsidR="0031099B" w:rsidRPr="00ED172B">
        <w:rPr>
          <w:b/>
          <w:i/>
          <w:color w:val="000000" w:themeColor="text1"/>
        </w:rPr>
        <w:t>individual case</w:t>
      </w:r>
      <w:r w:rsidRPr="00ED172B">
        <w:rPr>
          <w:b/>
          <w:color w:val="000000" w:themeColor="text1"/>
        </w:rPr>
        <w:t xml:space="preserve"> of noncompliance was corrected</w:t>
      </w:r>
      <w:r w:rsidR="002959B0">
        <w:rPr>
          <w:b/>
          <w:color w:val="000000" w:themeColor="text1"/>
        </w:rPr>
        <w:t>.</w:t>
      </w:r>
    </w:p>
    <w:p w14:paraId="76D092A5" w14:textId="320BC94C" w:rsidR="008203B4" w:rsidRDefault="00860830">
      <w:pPr>
        <w:rPr>
          <w:color w:val="000000" w:themeColor="text1"/>
        </w:rPr>
      </w:pPr>
      <w:r w:rsidRPr="00ED172B">
        <w:rPr>
          <w:color w:val="000000" w:themeColor="text1"/>
        </w:rPr>
        <w:t>The State verified that 100% (104/104) of the incidents of noncompliance in FFY 2020 were corrected within one year. All programs with noncompliance conducted the initial evaluation, assessment, and IFSP meeting, although late, for each individual child for whom the 45-day timeline was not met based on a monthly State review and approved submitted individual Corrective Action Plans (CAPs) documenting each of the 104 cases of noncompliance were corrected to 100% (104/104) (consistent with OSEP QA 23-01).</w:t>
      </w:r>
      <w:r w:rsidRPr="00ED172B">
        <w:rPr>
          <w:color w:val="000000" w:themeColor="text1"/>
        </w:rPr>
        <w:br/>
        <w:t>The programs with noncompliance developed and implemented CAPs detailing solutions for 100% (104/104) correction of compliance and submitted these to the State for review and approval. The CAPs included staff training, development of alternative plans when staff became ill, and working with school districts to hire additional evaluators. The State reviewed and approved all CAPs.</w:t>
      </w:r>
      <w:r w:rsidRPr="00ED172B">
        <w:rPr>
          <w:color w:val="000000" w:themeColor="text1"/>
        </w:rPr>
        <w:br/>
      </w:r>
      <w:r w:rsidRPr="00ED172B">
        <w:rPr>
          <w:color w:val="000000" w:themeColor="text1"/>
        </w:rPr>
        <w:br/>
        <w:t>The State verified as per OSEP QA 23-01 that all programs with past noncompliance were correctly implementing the regulatory requirements of 34 CFR §§303.310(a) and 303.342(a) based on updated monthly 45-day timeline data from each program. The state summarized continued new monthly CAP data for each program detailing no new cases over the 45-day timeline or only CAPs with parent delays. Subsequent evaluations were reviewed by the State in ecWeb, the State IFSP database, to confirm timely evaluations.</w:t>
      </w:r>
    </w:p>
    <w:p w14:paraId="0F22F40D" w14:textId="77777777" w:rsidR="00DE328D" w:rsidRPr="00ED172B" w:rsidRDefault="00DE328D">
      <w:pPr>
        <w:rPr>
          <w:color w:val="000000" w:themeColor="text1"/>
        </w:rPr>
      </w:pPr>
    </w:p>
    <w:p w14:paraId="009A31E4" w14:textId="2D49F173" w:rsidR="008203B4" w:rsidRPr="00A40EE1" w:rsidRDefault="000D0117" w:rsidP="005C3FFD">
      <w:pPr>
        <w:pStyle w:val="Heading2"/>
      </w:pPr>
      <w:r w:rsidRPr="00A40EE1">
        <w:t xml:space="preserve">7 - </w:t>
      </w:r>
      <w:r w:rsidR="008203B4" w:rsidRPr="00A40EE1">
        <w:t>Prior FFY Required Actions</w:t>
      </w:r>
    </w:p>
    <w:p w14:paraId="19C31DCF" w14:textId="2A828330" w:rsidR="004C1CEE" w:rsidRPr="00ED172B" w:rsidRDefault="00320806" w:rsidP="003977D8">
      <w:pPr>
        <w:rPr>
          <w:rFonts w:cs="Arial"/>
          <w:i/>
          <w:color w:val="000000" w:themeColor="text1"/>
          <w:szCs w:val="16"/>
        </w:rPr>
      </w:pPr>
      <w:r w:rsidRPr="00ED172B">
        <w:rPr>
          <w:color w:val="000000" w:themeColor="text1"/>
        </w:rPr>
        <w:t>Because the State reported less than 100% compliance for FFY 2021, the State must report on the status of correction of noncompliance identified in FFY 2021 for this indicator. In addition, the State must demonstrate, in the FFY 2022 SPP/APR, that the remaining 104 uncorrected findings of noncompliance identified in FFY 2020 were corrected. When reporting on the correction of noncompliance, the State must report, in the FFY 2022 SPP/APR, that it has verified that each EIS program or provider with findings of noncompliance identified in FFY 2021 and each EIS program or provider with remaining noncompliance identified in FFY 2020: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2022 SPP/APR, the State must describe the specific actions that were taken to verify the correction.</w:t>
      </w:r>
      <w:r w:rsidRPr="00ED172B">
        <w:rPr>
          <w:color w:val="000000" w:themeColor="text1"/>
        </w:rPr>
        <w:br/>
      </w:r>
      <w:r w:rsidRPr="00ED172B">
        <w:rPr>
          <w:color w:val="000000" w:themeColor="text1"/>
        </w:rPr>
        <w:br/>
        <w:t>If the State did not identify any findings of noncompliance in FFY 2021, although its FFY 2021 data reflect less than 100% compliance, provide an explanation of why the State did not identify any findings of noncompliance in FFY 2021.</w:t>
      </w:r>
    </w:p>
    <w:p w14:paraId="4F1F97B2" w14:textId="6BCBED4B" w:rsidR="008203B4" w:rsidRPr="00ED172B" w:rsidRDefault="008203B4" w:rsidP="00B83404">
      <w:pPr>
        <w:rPr>
          <w:color w:val="000000" w:themeColor="text1"/>
        </w:rPr>
      </w:pPr>
      <w:r w:rsidRPr="00ED172B">
        <w:rPr>
          <w:b/>
          <w:color w:val="000000" w:themeColor="text1"/>
        </w:rPr>
        <w:t>Response to actions required in FFY 2021 SPP/APR</w:t>
      </w:r>
    </w:p>
    <w:p w14:paraId="6341AF1F" w14:textId="0B05114A" w:rsidR="004C1CEE" w:rsidRPr="00ED172B" w:rsidRDefault="00027F39" w:rsidP="00027F39">
      <w:pPr>
        <w:rPr>
          <w:color w:val="000000" w:themeColor="text1"/>
        </w:rPr>
      </w:pPr>
      <w:r w:rsidRPr="00ED172B">
        <w:rPr>
          <w:color w:val="000000" w:themeColor="text1"/>
        </w:rPr>
        <w:t>FFY 2020:</w:t>
      </w:r>
      <w:r w:rsidRPr="00ED172B">
        <w:rPr>
          <w:color w:val="000000" w:themeColor="text1"/>
        </w:rPr>
        <w:br/>
        <w:t>Describe how the State verified that the source of noncompliance is correctly implementing the regulatory requirements.</w:t>
      </w:r>
      <w:r w:rsidRPr="00ED172B">
        <w:rPr>
          <w:color w:val="000000" w:themeColor="text1"/>
        </w:rPr>
        <w:br/>
      </w:r>
      <w:r w:rsidRPr="00ED172B">
        <w:rPr>
          <w:color w:val="000000" w:themeColor="text1"/>
        </w:rPr>
        <w:br/>
        <w:t xml:space="preserve">For FFY 2020, EI/ECSE programs submitted a corrective action plan (CAP) for any child for whom the 45-day timeline was not met. Included in the CAP: 1) the number of days needed to complete the referral, eligibility and initial IFSP meeting; 2) the child’s initials and birth date; 3) the specific reasons for not meeting the 45-day timeline; 4) the corrective actions based on an analysis of the problem(s); and 5) the activities planned to address each problem identified. </w:t>
      </w:r>
      <w:r w:rsidRPr="00ED172B">
        <w:rPr>
          <w:color w:val="000000" w:themeColor="text1"/>
        </w:rPr>
        <w:br/>
      </w:r>
      <w:r w:rsidRPr="00ED172B">
        <w:rPr>
          <w:color w:val="000000" w:themeColor="text1"/>
        </w:rPr>
        <w:br/>
        <w:t>The programs with noncompliance developed and implemented CAPs detailing solutions for 100% (104/104) correction of noncompliance and submitted these to the State for review and approval. The CAPs included staff training, development of alternative plans when staff became ill, and working with school districts to hire additional evaluators. The State reviewed and approved all CAPs.</w:t>
      </w:r>
      <w:r w:rsidRPr="00ED172B">
        <w:rPr>
          <w:color w:val="000000" w:themeColor="text1"/>
        </w:rPr>
        <w:br/>
      </w:r>
      <w:r w:rsidRPr="00ED172B">
        <w:rPr>
          <w:color w:val="000000" w:themeColor="text1"/>
        </w:rPr>
        <w:br/>
        <w:t xml:space="preserve">The State verified as per OSEP QA 23-01 that all programs with noncompliance correctly implemented the regulatory requirements of 34 CFR §§303.310(a) and 303.342(a) and achieved 100% (104/104) correction of noncompliance based on a review of CAPs detailing the noncompliance, correction, and review of subsequent monthly CAP plans for the program. Subsequent evaluations were reviewed by the State in ecWeb, the State IFSP </w:t>
      </w:r>
      <w:r w:rsidRPr="00ED172B">
        <w:rPr>
          <w:color w:val="000000" w:themeColor="text1"/>
        </w:rPr>
        <w:lastRenderedPageBreak/>
        <w:t>database, and confirmed subsequent timely evaluations.</w:t>
      </w:r>
      <w:r w:rsidRPr="00ED172B">
        <w:rPr>
          <w:color w:val="000000" w:themeColor="text1"/>
        </w:rPr>
        <w:br/>
      </w:r>
      <w:r w:rsidRPr="00ED172B">
        <w:rPr>
          <w:color w:val="000000" w:themeColor="text1"/>
        </w:rPr>
        <w:br/>
        <w:t>Describe how the State verified that each individual case of noncompliance was corrected.</w:t>
      </w:r>
      <w:r w:rsidRPr="00ED172B">
        <w:rPr>
          <w:color w:val="000000" w:themeColor="text1"/>
        </w:rPr>
        <w:br/>
        <w:t>The State verified that 100% (104/104) of the incidents of noncompliance in FFY 2020 were corrected within one year. All programs with noncompliance conducted the initial evaluation, assessment, and IFSP meeting, although late, for each individual child for whom the 45-day timeline was not met based on a monthly State review and approved submitted individual Corrective Action Plans (CAPs) documenting each of the 104 cases of noncompliance were corrected to 100% (104/104) (consistent with OSEP QA 23-01).</w:t>
      </w:r>
      <w:r w:rsidRPr="00ED172B">
        <w:rPr>
          <w:color w:val="000000" w:themeColor="text1"/>
        </w:rPr>
        <w:br/>
      </w:r>
      <w:r w:rsidRPr="00ED172B">
        <w:rPr>
          <w:color w:val="000000" w:themeColor="text1"/>
        </w:rPr>
        <w:br/>
        <w:t>FFY 2021:</w:t>
      </w:r>
      <w:r w:rsidRPr="00ED172B">
        <w:rPr>
          <w:color w:val="000000" w:themeColor="text1"/>
        </w:rPr>
        <w:br/>
        <w:t>Describe how the State verified that the source of noncompliance is correctly implementing the regulatory requirements.</w:t>
      </w:r>
      <w:r w:rsidRPr="00ED172B">
        <w:rPr>
          <w:color w:val="000000" w:themeColor="text1"/>
        </w:rPr>
        <w:br/>
      </w:r>
      <w:r w:rsidRPr="00ED172B">
        <w:rPr>
          <w:color w:val="000000" w:themeColor="text1"/>
        </w:rPr>
        <w:br/>
        <w:t xml:space="preserve">The State verified that EI/ECSE programs are correctly implementing the regulatory requirements by having the programs submit a corrective action plan (CAP) to the State for any child for whom the 45-day timeline was not met. Included in the CAP that programs submitted: 1) the number of days needed to complete the referral, eligibility and initial IFSP meeting; 2) the child’s initials and birth date; 3) the specific reasons for not meeting the 45-day timeline; 4) the corrective actions based on an analysis of the problem(s); and 5) the activities planned to address each problem identified. </w:t>
      </w:r>
      <w:r w:rsidRPr="00ED172B">
        <w:rPr>
          <w:color w:val="000000" w:themeColor="text1"/>
        </w:rPr>
        <w:br/>
      </w:r>
      <w:r w:rsidRPr="00ED172B">
        <w:rPr>
          <w:color w:val="000000" w:themeColor="text1"/>
        </w:rPr>
        <w:br/>
        <w:t>The programs with noncompliance developed and implemented CAPs detailing solutions for 100% (135/135) correction of compliance and submitted these to the State for review and approval. The CAPs included staff training, development of alternative plans when staff became ill, and working with school districts to hire additional evaluators. The State reviewed and approved all CAPs.</w:t>
      </w:r>
      <w:r w:rsidRPr="00ED172B">
        <w:rPr>
          <w:color w:val="000000" w:themeColor="text1"/>
        </w:rPr>
        <w:br/>
      </w:r>
      <w:r w:rsidRPr="00ED172B">
        <w:rPr>
          <w:color w:val="000000" w:themeColor="text1"/>
        </w:rPr>
        <w:br/>
        <w:t>The State verified as per OSEP QA 23-01 that all programs with noncompliance correctly implemented the regulatory requirements of 34 CFR §§303.310(a) and 303.342(a) and achieved 100% (135/135) compliance based on a review of CAPs detailing the noncompliance, correction, and review of subsequent monthly CAP plans for the program. Subsequent evaluations were reviewed by the State in ecWeb, the State IFSP database, and confirmed subsequent timely evaluations.</w:t>
      </w:r>
      <w:r w:rsidRPr="00ED172B">
        <w:rPr>
          <w:color w:val="000000" w:themeColor="text1"/>
        </w:rPr>
        <w:br/>
      </w:r>
      <w:r w:rsidRPr="00ED172B">
        <w:rPr>
          <w:color w:val="000000" w:themeColor="text1"/>
        </w:rPr>
        <w:br/>
        <w:t>Describe how the State verified that each individual case of noncompliance was corrected.</w:t>
      </w:r>
      <w:r w:rsidRPr="00ED172B">
        <w:rPr>
          <w:color w:val="000000" w:themeColor="text1"/>
        </w:rPr>
        <w:br/>
      </w:r>
      <w:r w:rsidRPr="00ED172B">
        <w:rPr>
          <w:color w:val="000000" w:themeColor="text1"/>
        </w:rPr>
        <w:br/>
        <w:t>The State verified that 100% (135/135) of the incidents of noncompliance in FFY 2021 were corrected within one year. All programs with noncompliance conducted the initial evaluation, assessment, and IFSP meeting, although late, for each individual child for whom the 45-day timeline was not met based on a monthly State review and approved submitted Corrective Action Plans (CAPs) documenting each of the 135 cases of noncompliance were corrected to 100% (consistent with OSEP QA 23-01).</w:t>
      </w:r>
      <w:r w:rsidRPr="00ED172B">
        <w:rPr>
          <w:color w:val="000000" w:themeColor="text1"/>
        </w:rPr>
        <w:br/>
      </w:r>
      <w:r w:rsidRPr="00ED172B">
        <w:rPr>
          <w:color w:val="000000" w:themeColor="text1"/>
        </w:rPr>
        <w:br/>
        <w:t>The programs with noncompliance developed and implemented CAPs detailing solutions for 100% (135/135) correction of noncompliance and submitted these to the State for review and approval. The CAPs included staff training, development of alternative plans when staff became ill, and working with school districts to hire additional evaluators. The State reviewed and approved all CAPs.</w:t>
      </w:r>
      <w:r w:rsidRPr="00ED172B">
        <w:rPr>
          <w:color w:val="000000" w:themeColor="text1"/>
        </w:rPr>
        <w:br/>
      </w:r>
      <w:r w:rsidRPr="00ED172B">
        <w:rPr>
          <w:color w:val="000000" w:themeColor="text1"/>
        </w:rPr>
        <w:br/>
        <w:t>The State verified as per OSEP QA 23-01 that all programs with noncompliance correctly implemented the regulatory requirements of 34 CFR §§303.310(a) and 303.342(a) and achieved 100% (135/135) correction of compliance based on a review of CAPs detailing the noncompliance, correction, and review of subsequent monthly CAP plans for the program. Subsequent evaluations were reviewed by the State in ecWeb, the State IFSP database, and confirmed subsequent timely evaluations.</w:t>
      </w:r>
    </w:p>
    <w:p w14:paraId="74D5DEEF" w14:textId="33CC54A6" w:rsidR="008203B4" w:rsidRPr="00A40EE1" w:rsidRDefault="000D0117" w:rsidP="005C3FFD">
      <w:pPr>
        <w:pStyle w:val="Heading2"/>
      </w:pPr>
      <w:r w:rsidRPr="00A40EE1">
        <w:t xml:space="preserve">7 - </w:t>
      </w:r>
      <w:r w:rsidR="008203B4" w:rsidRPr="00A40EE1">
        <w:t>OSEP Response</w:t>
      </w:r>
    </w:p>
    <w:p w14:paraId="4BD66737" w14:textId="31855B94" w:rsidR="008203B4" w:rsidRPr="00ED172B" w:rsidRDefault="008203B4" w:rsidP="00320806">
      <w:pPr>
        <w:rPr>
          <w:color w:val="000000" w:themeColor="text1"/>
        </w:rPr>
      </w:pPr>
    </w:p>
    <w:p w14:paraId="7B429480" w14:textId="6D8920D4" w:rsidR="008203B4" w:rsidRPr="00A40EE1" w:rsidRDefault="000D0117" w:rsidP="005C3FFD">
      <w:pPr>
        <w:pStyle w:val="Heading2"/>
      </w:pPr>
      <w:r w:rsidRPr="00A40EE1">
        <w:t xml:space="preserve">7 - </w:t>
      </w:r>
      <w:r w:rsidR="008203B4" w:rsidRPr="00A40EE1">
        <w:t>Required Actions</w:t>
      </w:r>
    </w:p>
    <w:p w14:paraId="4447E571" w14:textId="48263EDF" w:rsidR="008203B4" w:rsidRPr="00ED172B" w:rsidRDefault="00320806" w:rsidP="00320806">
      <w:pPr>
        <w:rPr>
          <w:color w:val="000000" w:themeColor="text1"/>
        </w:rPr>
      </w:pPr>
      <w:r w:rsidRPr="00ED172B">
        <w:rPr>
          <w:color w:val="000000" w:themeColor="text1"/>
        </w:rPr>
        <w:t>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EIS program or provider with noncompliance identified in FFY 2022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QA 23-01. In the FFY 2023 SPP/APR, the State must describe the specific actions that were taken to verify the correction. If the State did not identify any findings of noncompliance in FFY 2022, although its FFY 2022 data reflect less than 100% compliance, provide an explanation of why the State did not identify any findings of noncompliance in FFY 2022.</w:t>
      </w:r>
    </w:p>
    <w:p w14:paraId="6A23894B" w14:textId="77777777" w:rsidR="008203B4" w:rsidRPr="00ED172B" w:rsidRDefault="008203B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2F86C696" w14:textId="1539EC1B" w:rsidR="00260ED7" w:rsidRPr="00ED172B" w:rsidRDefault="00260ED7" w:rsidP="0077063D">
      <w:pPr>
        <w:pStyle w:val="Heading1"/>
        <w:rPr>
          <w:color w:val="000000" w:themeColor="text1"/>
        </w:rPr>
      </w:pPr>
      <w:r w:rsidRPr="00ED172B">
        <w:rPr>
          <w:color w:val="000000" w:themeColor="text1"/>
        </w:rPr>
        <w:lastRenderedPageBreak/>
        <w:t>Indicator 8A: Early Childhood Transition</w:t>
      </w:r>
      <w:bookmarkEnd w:id="41"/>
    </w:p>
    <w:p w14:paraId="530F89E6" w14:textId="77777777" w:rsidR="00F51610" w:rsidRPr="00ED172B" w:rsidRDefault="00F51610" w:rsidP="00186420">
      <w:pPr>
        <w:rPr>
          <w:color w:val="000000" w:themeColor="text1"/>
          <w:szCs w:val="20"/>
        </w:rPr>
      </w:pPr>
      <w:bookmarkStart w:id="43" w:name="_Toc386209667"/>
      <w:r w:rsidRPr="00ED172B">
        <w:rPr>
          <w:b/>
          <w:color w:val="000000" w:themeColor="text1"/>
          <w:sz w:val="20"/>
          <w:szCs w:val="20"/>
        </w:rPr>
        <w:t>Instructions and Measurement</w:t>
      </w:r>
    </w:p>
    <w:p w14:paraId="607D4062" w14:textId="52EB845E" w:rsidR="00260ED7" w:rsidRPr="00ED172B" w:rsidRDefault="00260ED7" w:rsidP="00260ED7">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bookmarkStart w:id="44" w:name="_Hlk25310256"/>
      <w:r w:rsidR="00616172" w:rsidRPr="00ED172B">
        <w:rPr>
          <w:color w:val="000000" w:themeColor="text1"/>
          <w:szCs w:val="16"/>
        </w:rPr>
        <w:t>Effective Transition</w:t>
      </w:r>
      <w:bookmarkEnd w:id="44"/>
    </w:p>
    <w:p w14:paraId="401BCBEA" w14:textId="77777777" w:rsidR="00260ED7" w:rsidRPr="00ED172B" w:rsidRDefault="00260ED7" w:rsidP="00260ED7">
      <w:pPr>
        <w:rPr>
          <w:color w:val="000000" w:themeColor="text1"/>
          <w:szCs w:val="16"/>
        </w:rPr>
      </w:pPr>
      <w:r w:rsidRPr="00ED172B">
        <w:rPr>
          <w:b/>
          <w:color w:val="000000" w:themeColor="text1"/>
          <w:szCs w:val="16"/>
        </w:rPr>
        <w:t xml:space="preserve">Compliance indicator: </w:t>
      </w:r>
      <w:r w:rsidRPr="00ED172B">
        <w:rPr>
          <w:color w:val="000000" w:themeColor="text1"/>
          <w:szCs w:val="16"/>
        </w:rPr>
        <w:t>The percentage of toddlers with disabilities exiting Part C with timely transition planning for whom the Lead Agency has:</w:t>
      </w:r>
    </w:p>
    <w:p w14:paraId="056AA175" w14:textId="5751E41D" w:rsidR="00260ED7" w:rsidRPr="00ED172B" w:rsidRDefault="007F55E8" w:rsidP="00ED172B">
      <w:pPr>
        <w:ind w:left="360"/>
        <w:rPr>
          <w:color w:val="000000" w:themeColor="text1"/>
          <w:szCs w:val="16"/>
        </w:rPr>
      </w:pPr>
      <w:r w:rsidRPr="00ED172B">
        <w:rPr>
          <w:color w:val="000000" w:themeColor="text1"/>
          <w:szCs w:val="16"/>
        </w:rPr>
        <w:t>A. Developed an IFSP with transition steps and services at least 90 days, and at the discretion of all parties, not more than nine months, prior to the toddler’s third birthday;</w:t>
      </w:r>
    </w:p>
    <w:p w14:paraId="66C0C9FC" w14:textId="13F3777D" w:rsidR="00260ED7" w:rsidRPr="00ED172B" w:rsidRDefault="007F55E8" w:rsidP="00ED172B">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00CD1148" w:rsidRPr="00524F62">
        <w:rPr>
          <w:szCs w:val="16"/>
        </w:rPr>
        <w:t xml:space="preserve"> </w:t>
      </w:r>
      <w:r w:rsidR="00CD1148">
        <w:rPr>
          <w:szCs w:val="16"/>
        </w:rPr>
        <w:t>(</w:t>
      </w:r>
      <w:r w:rsidRPr="00ED172B">
        <w:rPr>
          <w:color w:val="000000" w:themeColor="text1"/>
          <w:szCs w:val="16"/>
        </w:rPr>
        <w:t>SEA</w:t>
      </w:r>
      <w:r w:rsidR="00CD1148">
        <w:rPr>
          <w:color w:val="000000" w:themeColor="text1"/>
          <w:szCs w:val="16"/>
        </w:rPr>
        <w:t>)</w:t>
      </w:r>
      <w:r w:rsidRPr="00ED172B">
        <w:rPr>
          <w:color w:val="000000" w:themeColor="text1"/>
          <w:szCs w:val="16"/>
        </w:rPr>
        <w:t xml:space="preserve"> and the</w:t>
      </w:r>
      <w:r w:rsidR="00CD1148">
        <w:rPr>
          <w:color w:val="000000" w:themeColor="text1"/>
          <w:szCs w:val="16"/>
        </w:rPr>
        <w:t xml:space="preserve"> </w:t>
      </w:r>
      <w:r w:rsidR="00CD1148">
        <w:rPr>
          <w:szCs w:val="16"/>
        </w:rPr>
        <w:t>local educational agency</w:t>
      </w:r>
      <w:r w:rsidRPr="00ED172B">
        <w:rPr>
          <w:color w:val="000000" w:themeColor="text1"/>
          <w:szCs w:val="16"/>
        </w:rPr>
        <w:t xml:space="preserve"> </w:t>
      </w:r>
      <w:r w:rsidR="00CD1148">
        <w:rPr>
          <w:color w:val="000000" w:themeColor="text1"/>
          <w:szCs w:val="16"/>
        </w:rPr>
        <w:t>(</w:t>
      </w:r>
      <w:r w:rsidRPr="00ED172B">
        <w:rPr>
          <w:color w:val="000000" w:themeColor="text1"/>
          <w:szCs w:val="16"/>
        </w:rPr>
        <w:t>LEA</w:t>
      </w:r>
      <w:r w:rsidR="00CD1148">
        <w:rPr>
          <w:color w:val="000000" w:themeColor="text1"/>
          <w:szCs w:val="16"/>
        </w:rPr>
        <w:t>)</w:t>
      </w:r>
      <w:r w:rsidRPr="00ED172B">
        <w:rPr>
          <w:color w:val="000000" w:themeColor="text1"/>
          <w:szCs w:val="16"/>
        </w:rPr>
        <w:t xml:space="preserve"> where the toddler resides at least 90 days prior to the toddler’s third birthday for toddlers potentially eligible for Part B preschool services; and</w:t>
      </w:r>
    </w:p>
    <w:p w14:paraId="0D11C980" w14:textId="1AB6056E" w:rsidR="00260ED7" w:rsidRPr="00ED172B" w:rsidRDefault="007F55E8" w:rsidP="00ED172B">
      <w:pPr>
        <w:ind w:left="360"/>
        <w:rPr>
          <w:color w:val="000000" w:themeColor="text1"/>
          <w:szCs w:val="16"/>
        </w:rPr>
      </w:pPr>
      <w:r w:rsidRPr="00ED172B">
        <w:rPr>
          <w:color w:val="000000" w:themeColor="text1"/>
          <w:szCs w:val="16"/>
        </w:rPr>
        <w:t>C. Conducted the transition conference held with the approval of the family at least 90 days, and at the discretion of all parties, not more than nine months, prior to the toddler’s third birthday for toddlers potentially eligible for Part B preschool services.</w:t>
      </w:r>
    </w:p>
    <w:p w14:paraId="7E6BFE20" w14:textId="77777777" w:rsidR="00260ED7" w:rsidRPr="00ED172B" w:rsidRDefault="00260ED7" w:rsidP="00260ED7">
      <w:pPr>
        <w:rPr>
          <w:color w:val="000000" w:themeColor="text1"/>
          <w:szCs w:val="16"/>
        </w:rPr>
      </w:pPr>
      <w:r w:rsidRPr="00ED172B">
        <w:rPr>
          <w:color w:val="000000" w:themeColor="text1"/>
          <w:szCs w:val="16"/>
        </w:rPr>
        <w:t>(20 U.S.C. 1416(a)(3)(B) and 1442)</w:t>
      </w:r>
    </w:p>
    <w:p w14:paraId="35A9BE52" w14:textId="77777777" w:rsidR="00AD77EF" w:rsidRPr="00ED172B" w:rsidRDefault="00AD77EF">
      <w:pPr>
        <w:rPr>
          <w:b/>
          <w:color w:val="000000" w:themeColor="text1"/>
        </w:rPr>
      </w:pPr>
      <w:r w:rsidRPr="00ED172B">
        <w:rPr>
          <w:b/>
          <w:color w:val="000000" w:themeColor="text1"/>
        </w:rPr>
        <w:t>Data Source</w:t>
      </w:r>
    </w:p>
    <w:p w14:paraId="4BF71240" w14:textId="15C60540" w:rsidR="00AD77EF" w:rsidRPr="00ED172B" w:rsidRDefault="00AD77EF" w:rsidP="008E7B96">
      <w:pPr>
        <w:rPr>
          <w:color w:val="000000" w:themeColor="text1"/>
          <w:szCs w:val="16"/>
        </w:rPr>
      </w:pPr>
      <w:r w:rsidRPr="00ED172B">
        <w:rPr>
          <w:color w:val="000000" w:themeColor="text1"/>
          <w:szCs w:val="16"/>
        </w:rPr>
        <w:t>Data to be taken from monitoring or State data system.</w:t>
      </w:r>
    </w:p>
    <w:p w14:paraId="6083FF82" w14:textId="77777777" w:rsidR="00AD77EF" w:rsidRPr="00ED172B" w:rsidRDefault="00AD77EF">
      <w:pPr>
        <w:rPr>
          <w:b/>
          <w:color w:val="000000" w:themeColor="text1"/>
        </w:rPr>
      </w:pPr>
      <w:r w:rsidRPr="00ED172B">
        <w:rPr>
          <w:b/>
          <w:color w:val="000000" w:themeColor="text1"/>
        </w:rPr>
        <w:t>Measurement</w:t>
      </w:r>
    </w:p>
    <w:p w14:paraId="67942FAA" w14:textId="15228B56" w:rsidR="00AD77EF" w:rsidRPr="00ED172B" w:rsidRDefault="007F55E8" w:rsidP="00ED172B">
      <w:pPr>
        <w:ind w:left="360"/>
        <w:rPr>
          <w:color w:val="000000" w:themeColor="text1"/>
          <w:szCs w:val="16"/>
        </w:rPr>
      </w:pPr>
      <w:r w:rsidRPr="00ED172B">
        <w:rPr>
          <w:color w:val="000000" w:themeColor="text1"/>
          <w:szCs w:val="16"/>
        </w:rPr>
        <w:t>A. Percent = [(# of toddlers with disabilities exiting Part C who have an IFSP with transition steps and services at least 90 days, and at the discretion of all parties not more than nine months, prior to their third birthday) divided by the (# of toddlers with disabilities exiting Part C)] times 100.</w:t>
      </w:r>
    </w:p>
    <w:p w14:paraId="1B1465EF" w14:textId="3AA5887A" w:rsidR="00AD77EF" w:rsidRPr="00ED172B" w:rsidRDefault="007F55E8" w:rsidP="00ED172B">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14:paraId="6227A759" w14:textId="6917CD4A" w:rsidR="00AD77EF" w:rsidRPr="00ED172B" w:rsidRDefault="007F55E8" w:rsidP="00ED172B">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14:paraId="42EE0B66" w14:textId="48CD6584" w:rsidR="00AD77EF" w:rsidRPr="00ED172B" w:rsidRDefault="00AD77EF" w:rsidP="008E7B96">
      <w:pPr>
        <w:rPr>
          <w:color w:val="000000" w:themeColor="text1"/>
          <w:szCs w:val="16"/>
        </w:rPr>
      </w:pPr>
      <w:r w:rsidRPr="00ED172B">
        <w:rPr>
          <w:color w:val="000000" w:themeColor="text1"/>
          <w:szCs w:val="16"/>
        </w:rPr>
        <w:t>Account for untimely transition planning under 8A, 8B, and 8C, including the reasons for delays.</w:t>
      </w:r>
    </w:p>
    <w:p w14:paraId="4138147B" w14:textId="77777777" w:rsidR="00AD77EF" w:rsidRPr="00ED172B" w:rsidRDefault="00AD77EF">
      <w:pPr>
        <w:rPr>
          <w:b/>
          <w:color w:val="000000" w:themeColor="text1"/>
        </w:rPr>
      </w:pPr>
      <w:r w:rsidRPr="00ED172B">
        <w:rPr>
          <w:b/>
          <w:color w:val="000000" w:themeColor="text1"/>
        </w:rPr>
        <w:t>Instructions</w:t>
      </w:r>
    </w:p>
    <w:p w14:paraId="5DBEA140" w14:textId="77777777" w:rsidR="00AD77EF" w:rsidRPr="00ED172B" w:rsidRDefault="00AD77EF" w:rsidP="008E7B96">
      <w:pPr>
        <w:rPr>
          <w:color w:val="000000" w:themeColor="text1"/>
          <w:szCs w:val="16"/>
        </w:rPr>
      </w:pPr>
      <w:r w:rsidRPr="00ED172B">
        <w:rPr>
          <w:color w:val="000000" w:themeColor="text1"/>
          <w:szCs w:val="16"/>
        </w:rPr>
        <w:t>Indicators 8A, 8B, and 8C: Targets must be 100%.</w:t>
      </w:r>
    </w:p>
    <w:p w14:paraId="753D05EA" w14:textId="77777777" w:rsidR="00AD77EF" w:rsidRPr="00ED172B" w:rsidRDefault="00AD77EF" w:rsidP="008E7B96">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14:paraId="4118D0E7" w14:textId="77777777" w:rsidR="00AD77EF" w:rsidRPr="00ED172B" w:rsidRDefault="00AD77EF" w:rsidP="008E7B96">
      <w:pPr>
        <w:rPr>
          <w:color w:val="000000" w:themeColor="text1"/>
          <w:szCs w:val="16"/>
        </w:rPr>
      </w:pPr>
      <w:r w:rsidRPr="00ED172B">
        <w:rPr>
          <w:color w:val="000000" w:themeColor="text1"/>
          <w:szCs w:val="16"/>
        </w:rPr>
        <w:t xml:space="preserve">Indicators 8A and 8C: If data are from the State’s monitoring, describe the procedures used to collect these data. If data are from State monitoring, also describe the method used to select EIS programs for monitoring. If data are from a </w:t>
      </w:r>
      <w:proofErr w:type="gramStart"/>
      <w:r w:rsidRPr="00ED172B">
        <w:rPr>
          <w:color w:val="000000" w:themeColor="text1"/>
          <w:szCs w:val="16"/>
        </w:rPr>
        <w:t>State</w:t>
      </w:r>
      <w:proofErr w:type="gramEnd"/>
      <w:r w:rsidRPr="00ED172B">
        <w:rPr>
          <w:color w:val="000000" w:themeColor="text1"/>
          <w:szCs w:val="16"/>
        </w:rPr>
        <w:t xml:space="preserv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70130129" w14:textId="77777777" w:rsidR="00AD77EF" w:rsidRPr="00ED172B" w:rsidRDefault="00AD77EF" w:rsidP="008E7B96">
      <w:pPr>
        <w:rPr>
          <w:color w:val="000000" w:themeColor="text1"/>
          <w:szCs w:val="16"/>
        </w:rPr>
      </w:pPr>
      <w:r w:rsidRPr="00ED172B">
        <w:rPr>
          <w:color w:val="000000" w:themeColor="text1"/>
          <w:szCs w:val="16"/>
        </w:rPr>
        <w:t>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24207A88" w14:textId="77777777" w:rsidR="00AD77EF" w:rsidRPr="00ED172B" w:rsidRDefault="00AD77EF" w:rsidP="008E7B96">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14:paraId="0D0977F8" w14:textId="77777777" w:rsidR="00AD77EF" w:rsidRPr="00ED172B" w:rsidRDefault="00AD77EF" w:rsidP="008E7B96">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and, as such, only children between 2 years 3 months and age 3 should be included in the denominator.</w:t>
      </w:r>
    </w:p>
    <w:p w14:paraId="3F4C204A" w14:textId="77777777" w:rsidR="00AD77EF" w:rsidRPr="00ED172B" w:rsidRDefault="00AD77EF" w:rsidP="008E7B96">
      <w:pPr>
        <w:rPr>
          <w:color w:val="000000" w:themeColor="text1"/>
          <w:szCs w:val="16"/>
        </w:rPr>
      </w:pPr>
      <w:r w:rsidRPr="00ED172B">
        <w:rPr>
          <w:color w:val="000000" w:themeColor="text1"/>
          <w:szCs w:val="16"/>
        </w:rPr>
        <w:t xml:space="preserve">Indicator 8C: Do not include in the </w:t>
      </w:r>
      <w:proofErr w:type="gramStart"/>
      <w:r w:rsidRPr="00ED172B">
        <w:rPr>
          <w:color w:val="000000" w:themeColor="text1"/>
          <w:szCs w:val="16"/>
        </w:rPr>
        <w:t>calculation, but</w:t>
      </w:r>
      <w:proofErr w:type="gramEnd"/>
      <w:r w:rsidRPr="00ED172B">
        <w:rPr>
          <w:color w:val="000000" w:themeColor="text1"/>
          <w:szCs w:val="16"/>
        </w:rPr>
        <w:t xml:space="preserve"> provide a separate number for those toddlers for whom the parent did not provide approval for the transition conference.</w:t>
      </w:r>
    </w:p>
    <w:p w14:paraId="667F7D63" w14:textId="242885CC" w:rsidR="00AD77EF" w:rsidRPr="00ED172B" w:rsidRDefault="00AD77EF" w:rsidP="008E7B96">
      <w:pPr>
        <w:rPr>
          <w:color w:val="000000" w:themeColor="text1"/>
          <w:szCs w:val="16"/>
        </w:rPr>
      </w:pPr>
      <w:r w:rsidRPr="00ED172B">
        <w:rPr>
          <w:color w:val="000000" w:themeColor="text1"/>
          <w:szCs w:val="16"/>
        </w:rPr>
        <w:t xml:space="preserve">Indicators 8A, 8B, and 8C: Provide detailed information about the timely correction of </w:t>
      </w:r>
      <w:r w:rsidR="00CF4EC7" w:rsidRPr="00D21F29">
        <w:rPr>
          <w:color w:val="000000" w:themeColor="text1"/>
          <w:szCs w:val="16"/>
        </w:rPr>
        <w:t>child-specific and regulatory/systemic</w:t>
      </w:r>
      <w:r w:rsidR="00CF4EC7" w:rsidRPr="00ED172B">
        <w:rPr>
          <w:color w:val="000000" w:themeColor="text1"/>
          <w:szCs w:val="16"/>
        </w:rPr>
        <w:t xml:space="preserve"> </w:t>
      </w:r>
      <w:r w:rsidRPr="00ED172B">
        <w:rPr>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10010E89" w14:textId="0C7E34A7" w:rsidR="00A639B7" w:rsidRPr="00ED172B" w:rsidRDefault="00AD77EF" w:rsidP="008E7B96">
      <w:pPr>
        <w:rPr>
          <w:color w:val="000000" w:themeColor="text1"/>
          <w:szCs w:val="16"/>
        </w:rPr>
      </w:pPr>
      <w:r w:rsidRPr="00ED172B">
        <w:rPr>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217D72C9" w14:textId="61BA321B" w:rsidR="00D30AF1" w:rsidRPr="00A40EE1" w:rsidRDefault="000D0117" w:rsidP="007B0787">
      <w:pPr>
        <w:pStyle w:val="Heading2"/>
      </w:pPr>
      <w:bookmarkStart w:id="45" w:name="_Toc386209669"/>
      <w:bookmarkEnd w:id="43"/>
      <w:r w:rsidRPr="00A40EE1">
        <w:t xml:space="preserve">8A - </w:t>
      </w:r>
      <w:r w:rsidR="00D30AF1" w:rsidRPr="00A40EE1">
        <w:t>Indicator</w:t>
      </w:r>
      <w:r w:rsidR="000C5918" w:rsidRPr="00A40EE1">
        <w:t xml:space="preserve"> Data</w:t>
      </w:r>
    </w:p>
    <w:bookmarkEnd w:id="45"/>
    <w:p w14:paraId="63758498" w14:textId="154B667C" w:rsidR="00DC0682" w:rsidRDefault="00DC0682">
      <w:pPr>
        <w:rPr>
          <w:b/>
          <w:color w:val="000000" w:themeColor="text1"/>
        </w:rPr>
      </w:pPr>
      <w:r w:rsidRPr="00ED172B">
        <w:rPr>
          <w:b/>
          <w:color w:val="000000" w:themeColor="text1"/>
        </w:rPr>
        <w:t>Historical Data</w:t>
      </w:r>
    </w:p>
    <w:tbl>
      <w:tblPr>
        <w:tblW w:w="1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ABASELINEDATA"/>
      </w:tblPr>
      <w:tblGrid>
        <w:gridCol w:w="2990"/>
        <w:gridCol w:w="875"/>
      </w:tblGrid>
      <w:tr w:rsidR="00C25621" w:rsidRPr="00ED172B" w14:paraId="01FC8539" w14:textId="77777777" w:rsidTr="00A40EE1">
        <w:trPr>
          <w:trHeight w:val="350"/>
          <w:tblHeader/>
        </w:trPr>
        <w:tc>
          <w:tcPr>
            <w:tcW w:w="4185" w:type="pct"/>
            <w:tcBorders>
              <w:bottom w:val="single" w:sz="4" w:space="0" w:color="auto"/>
            </w:tcBorders>
            <w:shd w:val="clear" w:color="auto" w:fill="auto"/>
            <w:vAlign w:val="center"/>
          </w:tcPr>
          <w:p w14:paraId="73003560" w14:textId="77777777" w:rsidR="00C25621" w:rsidRPr="001071FD" w:rsidRDefault="00C25621" w:rsidP="00C15786">
            <w:pPr>
              <w:jc w:val="center"/>
              <w:rPr>
                <w:b/>
                <w:bCs/>
                <w:color w:val="000000" w:themeColor="text1"/>
              </w:rPr>
            </w:pPr>
            <w:r>
              <w:rPr>
                <w:b/>
                <w:bCs/>
                <w:color w:val="000000" w:themeColor="text1"/>
              </w:rPr>
              <w:t>Baseline Year</w:t>
            </w:r>
          </w:p>
        </w:tc>
        <w:tc>
          <w:tcPr>
            <w:tcW w:w="815" w:type="pct"/>
            <w:shd w:val="clear" w:color="auto" w:fill="auto"/>
            <w:vAlign w:val="center"/>
          </w:tcPr>
          <w:p w14:paraId="6A0CA400" w14:textId="77777777" w:rsidR="00C25621" w:rsidRPr="001071FD" w:rsidRDefault="00C25621" w:rsidP="00C15786">
            <w:pPr>
              <w:jc w:val="center"/>
              <w:rPr>
                <w:b/>
                <w:bCs/>
                <w:color w:val="000000" w:themeColor="text1"/>
              </w:rPr>
            </w:pPr>
            <w:r w:rsidRPr="001071FD">
              <w:rPr>
                <w:b/>
                <w:bCs/>
                <w:color w:val="000000" w:themeColor="text1"/>
              </w:rPr>
              <w:t>Baseline Data</w:t>
            </w:r>
          </w:p>
        </w:tc>
      </w:tr>
      <w:tr w:rsidR="00C25621" w:rsidRPr="00ED172B" w14:paraId="37222F11" w14:textId="77777777" w:rsidTr="00A40EE1">
        <w:trPr>
          <w:trHeight w:val="350"/>
        </w:trPr>
        <w:tc>
          <w:tcPr>
            <w:tcW w:w="4185" w:type="pct"/>
            <w:tcBorders>
              <w:bottom w:val="single" w:sz="4" w:space="0" w:color="auto"/>
            </w:tcBorders>
            <w:shd w:val="clear" w:color="auto" w:fill="auto"/>
            <w:vAlign w:val="center"/>
          </w:tcPr>
          <w:p w14:paraId="4F8F7A6D" w14:textId="339D9015" w:rsidR="00C25621" w:rsidRPr="00ED172B" w:rsidRDefault="00C25621" w:rsidP="00C15786">
            <w:pPr>
              <w:jc w:val="center"/>
              <w:rPr>
                <w:b/>
                <w:color w:val="000000" w:themeColor="text1"/>
              </w:rPr>
            </w:pPr>
            <w:r w:rsidRPr="00ED172B">
              <w:rPr>
                <w:color w:val="000000" w:themeColor="text1"/>
              </w:rPr>
              <w:t>2005</w:t>
            </w:r>
          </w:p>
        </w:tc>
        <w:tc>
          <w:tcPr>
            <w:tcW w:w="815" w:type="pct"/>
            <w:shd w:val="clear" w:color="auto" w:fill="auto"/>
            <w:vAlign w:val="center"/>
          </w:tcPr>
          <w:p w14:paraId="4E589392" w14:textId="3D95CEBC" w:rsidR="00C25621" w:rsidRPr="00ED172B" w:rsidRDefault="00C25621" w:rsidP="00C15786">
            <w:pPr>
              <w:jc w:val="center"/>
              <w:rPr>
                <w:color w:val="000000" w:themeColor="text1"/>
              </w:rPr>
            </w:pPr>
            <w:r w:rsidRPr="00ED172B">
              <w:rPr>
                <w:color w:val="000000" w:themeColor="text1"/>
              </w:rPr>
              <w:t>94.00%</w:t>
            </w:r>
          </w:p>
        </w:tc>
      </w:tr>
    </w:tbl>
    <w:p w14:paraId="08A765BD"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AHISTDATA"/>
      </w:tblPr>
      <w:tblGrid>
        <w:gridCol w:w="684"/>
        <w:gridCol w:w="2022"/>
        <w:gridCol w:w="2022"/>
        <w:gridCol w:w="2022"/>
        <w:gridCol w:w="2022"/>
        <w:gridCol w:w="2018"/>
      </w:tblGrid>
      <w:tr w:rsidR="00ED172B" w:rsidRPr="00ED172B" w14:paraId="49BAF88D" w14:textId="77777777" w:rsidTr="00A40EE1">
        <w:trPr>
          <w:trHeight w:val="350"/>
        </w:trPr>
        <w:tc>
          <w:tcPr>
            <w:tcW w:w="317" w:type="pct"/>
            <w:tcBorders>
              <w:bottom w:val="single" w:sz="4" w:space="0" w:color="auto"/>
            </w:tcBorders>
            <w:shd w:val="clear" w:color="auto" w:fill="auto"/>
          </w:tcPr>
          <w:p w14:paraId="04EC0F35"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7" w:type="pct"/>
            <w:shd w:val="clear" w:color="auto" w:fill="auto"/>
            <w:vAlign w:val="center"/>
          </w:tcPr>
          <w:p w14:paraId="6F101EEC" w14:textId="64B403ED" w:rsidR="00DC0682" w:rsidRPr="00ED172B" w:rsidRDefault="002163F2" w:rsidP="00CD79C5">
            <w:pPr>
              <w:jc w:val="center"/>
              <w:rPr>
                <w:b/>
                <w:color w:val="000000" w:themeColor="text1"/>
                <w:szCs w:val="16"/>
              </w:rPr>
            </w:pPr>
            <w:r w:rsidRPr="00ED172B">
              <w:rPr>
                <w:rFonts w:cs="Arial"/>
                <w:b/>
                <w:color w:val="000000" w:themeColor="text1"/>
                <w:szCs w:val="16"/>
              </w:rPr>
              <w:t>2017</w:t>
            </w:r>
          </w:p>
        </w:tc>
        <w:tc>
          <w:tcPr>
            <w:tcW w:w="937" w:type="pct"/>
            <w:shd w:val="clear" w:color="auto" w:fill="auto"/>
            <w:vAlign w:val="center"/>
          </w:tcPr>
          <w:p w14:paraId="587F2630" w14:textId="078A73AB" w:rsidR="00DC0682" w:rsidRPr="00ED172B" w:rsidRDefault="002163F2" w:rsidP="00CD79C5">
            <w:pPr>
              <w:jc w:val="center"/>
              <w:rPr>
                <w:b/>
                <w:color w:val="000000" w:themeColor="text1"/>
                <w:szCs w:val="16"/>
              </w:rPr>
            </w:pPr>
            <w:r w:rsidRPr="00ED172B">
              <w:rPr>
                <w:rFonts w:cs="Arial"/>
                <w:b/>
                <w:color w:val="000000" w:themeColor="text1"/>
                <w:szCs w:val="16"/>
              </w:rPr>
              <w:t>2018</w:t>
            </w:r>
          </w:p>
        </w:tc>
        <w:tc>
          <w:tcPr>
            <w:tcW w:w="937" w:type="pct"/>
            <w:shd w:val="clear" w:color="auto" w:fill="auto"/>
            <w:vAlign w:val="center"/>
          </w:tcPr>
          <w:p w14:paraId="20E8F35B" w14:textId="7D5B36AA"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7" w:type="pct"/>
            <w:shd w:val="clear" w:color="auto" w:fill="auto"/>
            <w:vAlign w:val="center"/>
          </w:tcPr>
          <w:p w14:paraId="23CC9D76" w14:textId="55B26B34" w:rsidR="00DC0682" w:rsidRPr="00ED172B" w:rsidRDefault="002163F2" w:rsidP="00CD79C5">
            <w:pPr>
              <w:jc w:val="center"/>
              <w:rPr>
                <w:b/>
                <w:color w:val="000000" w:themeColor="text1"/>
                <w:szCs w:val="16"/>
              </w:rPr>
            </w:pPr>
            <w:r w:rsidRPr="00ED172B">
              <w:rPr>
                <w:rFonts w:cs="Arial"/>
                <w:b/>
                <w:color w:val="000000" w:themeColor="text1"/>
                <w:szCs w:val="16"/>
              </w:rPr>
              <w:t>2020</w:t>
            </w:r>
          </w:p>
        </w:tc>
        <w:tc>
          <w:tcPr>
            <w:tcW w:w="937" w:type="pct"/>
            <w:shd w:val="clear" w:color="auto" w:fill="auto"/>
            <w:vAlign w:val="center"/>
          </w:tcPr>
          <w:p w14:paraId="7BC18291" w14:textId="0CCCC63B" w:rsidR="00DC0682" w:rsidRPr="00ED172B" w:rsidRDefault="006D43D3" w:rsidP="00CD79C5">
            <w:pPr>
              <w:jc w:val="center"/>
              <w:rPr>
                <w:b/>
                <w:color w:val="000000" w:themeColor="text1"/>
                <w:szCs w:val="16"/>
              </w:rPr>
            </w:pPr>
            <w:r w:rsidRPr="00ED172B">
              <w:rPr>
                <w:rFonts w:cs="Arial"/>
                <w:b/>
                <w:color w:val="000000" w:themeColor="text1"/>
                <w:szCs w:val="16"/>
              </w:rPr>
              <w:t>2021</w:t>
            </w:r>
          </w:p>
        </w:tc>
      </w:tr>
      <w:tr w:rsidR="00ED172B" w:rsidRPr="00ED172B" w14:paraId="72A41C4C" w14:textId="77777777" w:rsidTr="00A40EE1">
        <w:trPr>
          <w:trHeight w:val="357"/>
        </w:trPr>
        <w:tc>
          <w:tcPr>
            <w:tcW w:w="317" w:type="pct"/>
            <w:shd w:val="clear" w:color="auto" w:fill="auto"/>
          </w:tcPr>
          <w:p w14:paraId="24DE0713" w14:textId="6F5CD266" w:rsidR="00DC0682" w:rsidRPr="00ED172B" w:rsidRDefault="00DC0682" w:rsidP="00D21F29">
            <w:pPr>
              <w:jc w:val="center"/>
              <w:rPr>
                <w:color w:val="000000" w:themeColor="text1"/>
                <w:szCs w:val="16"/>
              </w:rPr>
            </w:pPr>
            <w:r w:rsidRPr="00ED172B">
              <w:rPr>
                <w:color w:val="000000" w:themeColor="text1"/>
                <w:szCs w:val="16"/>
              </w:rPr>
              <w:t>Target</w:t>
            </w:r>
          </w:p>
        </w:tc>
        <w:tc>
          <w:tcPr>
            <w:tcW w:w="937" w:type="pct"/>
            <w:shd w:val="clear" w:color="auto" w:fill="auto"/>
          </w:tcPr>
          <w:p w14:paraId="74C2332C" w14:textId="19157896"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shd w:val="clear" w:color="auto" w:fill="auto"/>
          </w:tcPr>
          <w:p w14:paraId="593225EE" w14:textId="67BFDA6C"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shd w:val="clear" w:color="auto" w:fill="auto"/>
          </w:tcPr>
          <w:p w14:paraId="73E5FA8B" w14:textId="462B4976"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shd w:val="clear" w:color="auto" w:fill="auto"/>
          </w:tcPr>
          <w:p w14:paraId="58C99397" w14:textId="05AE00BF"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shd w:val="clear" w:color="auto" w:fill="auto"/>
          </w:tcPr>
          <w:p w14:paraId="482FF3AD" w14:textId="7F5F60CC" w:rsidR="00DC0682" w:rsidRPr="00ED172B" w:rsidRDefault="004952E2" w:rsidP="00CD79C5">
            <w:pPr>
              <w:jc w:val="center"/>
              <w:rPr>
                <w:color w:val="000000" w:themeColor="text1"/>
                <w:szCs w:val="16"/>
              </w:rPr>
            </w:pPr>
            <w:r w:rsidRPr="00ED172B">
              <w:rPr>
                <w:color w:val="000000" w:themeColor="text1"/>
                <w:szCs w:val="16"/>
              </w:rPr>
              <w:t>100%</w:t>
            </w:r>
          </w:p>
        </w:tc>
      </w:tr>
      <w:tr w:rsidR="00ED172B" w:rsidRPr="00ED172B" w14:paraId="5EF597C1" w14:textId="77777777" w:rsidTr="00A40EE1">
        <w:trPr>
          <w:trHeight w:val="85"/>
        </w:trPr>
        <w:tc>
          <w:tcPr>
            <w:tcW w:w="317" w:type="pct"/>
            <w:shd w:val="clear" w:color="auto" w:fill="auto"/>
          </w:tcPr>
          <w:p w14:paraId="1CDE7165" w14:textId="77777777" w:rsidR="00DC0682" w:rsidRPr="00ED172B" w:rsidRDefault="00DC0682" w:rsidP="00D21F29">
            <w:pPr>
              <w:jc w:val="center"/>
              <w:rPr>
                <w:color w:val="000000" w:themeColor="text1"/>
                <w:szCs w:val="16"/>
              </w:rPr>
            </w:pPr>
            <w:r w:rsidRPr="00ED172B">
              <w:rPr>
                <w:color w:val="000000" w:themeColor="text1"/>
                <w:szCs w:val="16"/>
              </w:rPr>
              <w:t>Data</w:t>
            </w:r>
          </w:p>
        </w:tc>
        <w:tc>
          <w:tcPr>
            <w:tcW w:w="937" w:type="pct"/>
            <w:shd w:val="clear" w:color="auto" w:fill="auto"/>
            <w:vAlign w:val="center"/>
          </w:tcPr>
          <w:p w14:paraId="1CB0E4D1" w14:textId="5EF011CA" w:rsidR="00DC0682" w:rsidRPr="00ED172B" w:rsidRDefault="00860830" w:rsidP="00CD79C5">
            <w:pPr>
              <w:jc w:val="center"/>
              <w:rPr>
                <w:color w:val="000000" w:themeColor="text1"/>
                <w:szCs w:val="16"/>
              </w:rPr>
            </w:pPr>
            <w:r w:rsidRPr="00ED172B">
              <w:rPr>
                <w:rFonts w:cs="Arial"/>
                <w:color w:val="000000" w:themeColor="text1"/>
                <w:szCs w:val="16"/>
              </w:rPr>
              <w:t>94.63%</w:t>
            </w:r>
          </w:p>
        </w:tc>
        <w:tc>
          <w:tcPr>
            <w:tcW w:w="937" w:type="pct"/>
            <w:tcBorders>
              <w:bottom w:val="single" w:sz="4" w:space="0" w:color="auto"/>
            </w:tcBorders>
            <w:shd w:val="clear" w:color="auto" w:fill="auto"/>
            <w:vAlign w:val="center"/>
          </w:tcPr>
          <w:p w14:paraId="4946F773" w14:textId="57B7291E" w:rsidR="00DC0682" w:rsidRPr="00ED172B" w:rsidRDefault="00860830" w:rsidP="00CD79C5">
            <w:pPr>
              <w:jc w:val="center"/>
              <w:rPr>
                <w:color w:val="000000" w:themeColor="text1"/>
                <w:szCs w:val="16"/>
              </w:rPr>
            </w:pPr>
            <w:r w:rsidRPr="00ED172B">
              <w:rPr>
                <w:rFonts w:cs="Arial"/>
                <w:color w:val="000000" w:themeColor="text1"/>
                <w:szCs w:val="16"/>
              </w:rPr>
              <w:t>86.84%</w:t>
            </w:r>
          </w:p>
        </w:tc>
        <w:tc>
          <w:tcPr>
            <w:tcW w:w="937" w:type="pct"/>
            <w:tcBorders>
              <w:bottom w:val="single" w:sz="4" w:space="0" w:color="auto"/>
            </w:tcBorders>
            <w:shd w:val="clear" w:color="auto" w:fill="auto"/>
            <w:vAlign w:val="center"/>
          </w:tcPr>
          <w:p w14:paraId="428FC23B" w14:textId="346638A4" w:rsidR="00DC0682" w:rsidRPr="00ED172B" w:rsidRDefault="00860830" w:rsidP="00CD79C5">
            <w:pPr>
              <w:jc w:val="center"/>
              <w:rPr>
                <w:color w:val="000000" w:themeColor="text1"/>
                <w:szCs w:val="16"/>
              </w:rPr>
            </w:pPr>
            <w:r w:rsidRPr="00ED172B">
              <w:rPr>
                <w:rFonts w:cs="Arial"/>
                <w:color w:val="000000" w:themeColor="text1"/>
                <w:szCs w:val="16"/>
              </w:rPr>
              <w:t>88.24%</w:t>
            </w:r>
          </w:p>
        </w:tc>
        <w:tc>
          <w:tcPr>
            <w:tcW w:w="937" w:type="pct"/>
            <w:tcBorders>
              <w:bottom w:val="single" w:sz="4" w:space="0" w:color="auto"/>
            </w:tcBorders>
            <w:shd w:val="clear" w:color="auto" w:fill="auto"/>
            <w:vAlign w:val="center"/>
          </w:tcPr>
          <w:p w14:paraId="201B27E7" w14:textId="685838BB" w:rsidR="00DC0682" w:rsidRPr="00ED172B" w:rsidRDefault="00860830" w:rsidP="00CD79C5">
            <w:pPr>
              <w:jc w:val="center"/>
              <w:rPr>
                <w:color w:val="000000" w:themeColor="text1"/>
                <w:szCs w:val="16"/>
              </w:rPr>
            </w:pPr>
            <w:r w:rsidRPr="00ED172B">
              <w:rPr>
                <w:rFonts w:cs="Arial"/>
                <w:color w:val="000000" w:themeColor="text1"/>
                <w:szCs w:val="16"/>
              </w:rPr>
              <w:t>92.31%</w:t>
            </w:r>
          </w:p>
        </w:tc>
        <w:tc>
          <w:tcPr>
            <w:tcW w:w="937" w:type="pct"/>
            <w:tcBorders>
              <w:bottom w:val="single" w:sz="4" w:space="0" w:color="auto"/>
            </w:tcBorders>
            <w:shd w:val="clear" w:color="auto" w:fill="auto"/>
            <w:vAlign w:val="center"/>
          </w:tcPr>
          <w:p w14:paraId="4CD693EC" w14:textId="6628BA01" w:rsidR="00DC0682" w:rsidRPr="00ED172B" w:rsidRDefault="00860830" w:rsidP="00CD79C5">
            <w:pPr>
              <w:jc w:val="center"/>
              <w:rPr>
                <w:color w:val="000000" w:themeColor="text1"/>
                <w:szCs w:val="16"/>
              </w:rPr>
            </w:pPr>
            <w:r w:rsidRPr="00ED172B">
              <w:rPr>
                <w:rFonts w:cs="Arial"/>
                <w:color w:val="000000" w:themeColor="text1"/>
                <w:szCs w:val="16"/>
              </w:rPr>
              <w:t>87.50%</w:t>
            </w:r>
          </w:p>
        </w:tc>
      </w:tr>
    </w:tbl>
    <w:p w14:paraId="52279886" w14:textId="77777777" w:rsidR="008A4FF2" w:rsidRPr="00ED172B" w:rsidRDefault="008A4FF2">
      <w:pPr>
        <w:rPr>
          <w:b/>
          <w:color w:val="000000" w:themeColor="text1"/>
        </w:rPr>
      </w:pPr>
    </w:p>
    <w:p w14:paraId="0ECBAAD9" w14:textId="58BA1CEB" w:rsidR="00DC0682" w:rsidRPr="00ED172B" w:rsidRDefault="00DC0682">
      <w:pPr>
        <w:rPr>
          <w:b/>
          <w:color w:val="000000" w:themeColor="text1"/>
        </w:rPr>
      </w:pPr>
      <w:r w:rsidRPr="00ED172B">
        <w:rPr>
          <w:b/>
          <w:color w:val="000000" w:themeColor="text1"/>
        </w:rPr>
        <w:t>Targets</w:t>
      </w:r>
    </w:p>
    <w:tbl>
      <w:tblPr>
        <w:tblW w:w="4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ATARGETS"/>
      </w:tblPr>
      <w:tblGrid>
        <w:gridCol w:w="679"/>
        <w:gridCol w:w="1911"/>
        <w:gridCol w:w="2042"/>
        <w:gridCol w:w="2042"/>
        <w:gridCol w:w="2042"/>
      </w:tblGrid>
      <w:tr w:rsidR="00C843AF" w:rsidRPr="00ED172B" w14:paraId="05C3EE9D" w14:textId="0A135A6E" w:rsidTr="00E415ED">
        <w:trPr>
          <w:trHeight w:val="259"/>
        </w:trPr>
        <w:tc>
          <w:tcPr>
            <w:tcW w:w="318" w:type="pct"/>
            <w:tcBorders>
              <w:bottom w:val="single" w:sz="4" w:space="0" w:color="auto"/>
            </w:tcBorders>
            <w:shd w:val="clear" w:color="auto" w:fill="auto"/>
          </w:tcPr>
          <w:p w14:paraId="3665F13E" w14:textId="77777777" w:rsidR="00C843AF" w:rsidRPr="00ED172B" w:rsidRDefault="00C843AF" w:rsidP="00B268B5">
            <w:pPr>
              <w:jc w:val="center"/>
              <w:rPr>
                <w:b/>
                <w:color w:val="000000" w:themeColor="text1"/>
                <w:szCs w:val="16"/>
              </w:rPr>
            </w:pPr>
            <w:r w:rsidRPr="00ED172B">
              <w:rPr>
                <w:b/>
                <w:color w:val="000000" w:themeColor="text1"/>
                <w:szCs w:val="16"/>
              </w:rPr>
              <w:t>FFY</w:t>
            </w:r>
          </w:p>
        </w:tc>
        <w:tc>
          <w:tcPr>
            <w:tcW w:w="1114" w:type="pct"/>
            <w:shd w:val="clear" w:color="auto" w:fill="auto"/>
            <w:vAlign w:val="center"/>
          </w:tcPr>
          <w:p w14:paraId="7FE4AA04" w14:textId="595FC7A1" w:rsidR="00C843AF" w:rsidRPr="00ED172B" w:rsidRDefault="00C843AF" w:rsidP="00B268B5">
            <w:pPr>
              <w:jc w:val="center"/>
              <w:rPr>
                <w:b/>
                <w:color w:val="000000" w:themeColor="text1"/>
                <w:szCs w:val="16"/>
              </w:rPr>
            </w:pPr>
            <w:r w:rsidRPr="00ED172B">
              <w:rPr>
                <w:rFonts w:cs="Arial"/>
                <w:b/>
                <w:color w:val="000000" w:themeColor="text1"/>
                <w:szCs w:val="16"/>
              </w:rPr>
              <w:t>2022</w:t>
            </w:r>
          </w:p>
        </w:tc>
        <w:tc>
          <w:tcPr>
            <w:tcW w:w="1189" w:type="pct"/>
          </w:tcPr>
          <w:p w14:paraId="2380F080" w14:textId="41CA4895" w:rsidR="00C843AF" w:rsidRPr="00ED172B" w:rsidRDefault="00C843AF" w:rsidP="00B268B5">
            <w:pPr>
              <w:jc w:val="center"/>
              <w:rPr>
                <w:rFonts w:cs="Arial"/>
                <w:b/>
                <w:color w:val="000000" w:themeColor="text1"/>
                <w:szCs w:val="16"/>
              </w:rPr>
            </w:pPr>
            <w:r>
              <w:rPr>
                <w:rFonts w:cs="Arial"/>
                <w:b/>
                <w:color w:val="000000" w:themeColor="text1"/>
                <w:szCs w:val="16"/>
              </w:rPr>
              <w:t>2023</w:t>
            </w:r>
          </w:p>
        </w:tc>
        <w:tc>
          <w:tcPr>
            <w:tcW w:w="1189" w:type="pct"/>
          </w:tcPr>
          <w:p w14:paraId="24971D5E" w14:textId="084F5872" w:rsidR="00C843AF" w:rsidRPr="00ED172B" w:rsidRDefault="00C843AF" w:rsidP="00B268B5">
            <w:pPr>
              <w:jc w:val="center"/>
              <w:rPr>
                <w:rFonts w:cs="Arial"/>
                <w:b/>
                <w:color w:val="000000" w:themeColor="text1"/>
                <w:szCs w:val="16"/>
              </w:rPr>
            </w:pPr>
            <w:r w:rsidRPr="005A1B4F">
              <w:rPr>
                <w:rFonts w:cs="Arial"/>
                <w:b/>
                <w:color w:val="000000" w:themeColor="text1"/>
                <w:szCs w:val="16"/>
              </w:rPr>
              <w:t>2024</w:t>
            </w:r>
          </w:p>
        </w:tc>
        <w:tc>
          <w:tcPr>
            <w:tcW w:w="1189" w:type="pct"/>
          </w:tcPr>
          <w:p w14:paraId="544E61D5" w14:textId="6700B87F" w:rsidR="00C843AF" w:rsidRPr="00ED172B" w:rsidRDefault="00C843AF" w:rsidP="00B268B5">
            <w:pPr>
              <w:jc w:val="center"/>
              <w:rPr>
                <w:rFonts w:cs="Arial"/>
                <w:b/>
                <w:color w:val="000000" w:themeColor="text1"/>
                <w:szCs w:val="16"/>
              </w:rPr>
            </w:pPr>
            <w:r w:rsidRPr="005A1B4F">
              <w:rPr>
                <w:rFonts w:cs="Arial"/>
                <w:b/>
                <w:color w:val="000000" w:themeColor="text1"/>
                <w:szCs w:val="16"/>
              </w:rPr>
              <w:t>2025</w:t>
            </w:r>
          </w:p>
        </w:tc>
      </w:tr>
      <w:tr w:rsidR="00C843AF" w:rsidRPr="00ED172B" w14:paraId="4D4A7670" w14:textId="63A571E3" w:rsidTr="00E415ED">
        <w:trPr>
          <w:trHeight w:val="264"/>
        </w:trPr>
        <w:tc>
          <w:tcPr>
            <w:tcW w:w="318" w:type="pct"/>
            <w:shd w:val="clear" w:color="auto" w:fill="auto"/>
          </w:tcPr>
          <w:p w14:paraId="48A5A68C" w14:textId="77777777" w:rsidR="00C843AF" w:rsidRPr="00ED172B" w:rsidRDefault="00C843AF" w:rsidP="00D21F29">
            <w:pPr>
              <w:jc w:val="center"/>
              <w:rPr>
                <w:color w:val="000000" w:themeColor="text1"/>
                <w:szCs w:val="16"/>
              </w:rPr>
            </w:pPr>
            <w:r w:rsidRPr="00ED172B">
              <w:rPr>
                <w:color w:val="000000" w:themeColor="text1"/>
                <w:szCs w:val="16"/>
              </w:rPr>
              <w:t>Target</w:t>
            </w:r>
          </w:p>
        </w:tc>
        <w:tc>
          <w:tcPr>
            <w:tcW w:w="1114" w:type="pct"/>
            <w:shd w:val="clear" w:color="auto" w:fill="auto"/>
          </w:tcPr>
          <w:p w14:paraId="15F32B75" w14:textId="1AD070A4" w:rsidR="00C843AF" w:rsidRPr="00ED172B" w:rsidRDefault="00C843AF" w:rsidP="00B268B5">
            <w:pPr>
              <w:jc w:val="center"/>
              <w:rPr>
                <w:color w:val="000000" w:themeColor="text1"/>
                <w:szCs w:val="16"/>
              </w:rPr>
            </w:pPr>
            <w:r w:rsidRPr="00ED172B">
              <w:rPr>
                <w:color w:val="000000" w:themeColor="text1"/>
                <w:szCs w:val="16"/>
              </w:rPr>
              <w:t>100%</w:t>
            </w:r>
          </w:p>
        </w:tc>
        <w:tc>
          <w:tcPr>
            <w:tcW w:w="1189" w:type="pct"/>
          </w:tcPr>
          <w:p w14:paraId="5D0EEB3A" w14:textId="61EE92E1" w:rsidR="00C843AF" w:rsidRPr="00ED172B" w:rsidRDefault="00C843AF" w:rsidP="00B268B5">
            <w:pPr>
              <w:jc w:val="center"/>
              <w:rPr>
                <w:color w:val="000000" w:themeColor="text1"/>
                <w:szCs w:val="16"/>
              </w:rPr>
            </w:pPr>
            <w:r>
              <w:rPr>
                <w:rFonts w:cs="Arial"/>
                <w:color w:val="000000" w:themeColor="text1"/>
                <w:szCs w:val="16"/>
              </w:rPr>
              <w:t>100%</w:t>
            </w:r>
          </w:p>
        </w:tc>
        <w:tc>
          <w:tcPr>
            <w:tcW w:w="1189" w:type="pct"/>
          </w:tcPr>
          <w:p w14:paraId="20630124" w14:textId="5FC6C8E6" w:rsidR="00C843AF" w:rsidRPr="00ED172B" w:rsidRDefault="00C843AF" w:rsidP="00B268B5">
            <w:pPr>
              <w:jc w:val="center"/>
              <w:rPr>
                <w:color w:val="000000" w:themeColor="text1"/>
                <w:szCs w:val="16"/>
              </w:rPr>
            </w:pPr>
            <w:r w:rsidRPr="005F5F3C">
              <w:rPr>
                <w:rFonts w:cs="Arial"/>
                <w:color w:val="000000" w:themeColor="text1"/>
                <w:szCs w:val="16"/>
              </w:rPr>
              <w:t>100%</w:t>
            </w:r>
          </w:p>
        </w:tc>
        <w:tc>
          <w:tcPr>
            <w:tcW w:w="1189" w:type="pct"/>
          </w:tcPr>
          <w:p w14:paraId="112F793B" w14:textId="19608CCF" w:rsidR="00C843AF" w:rsidRPr="00B268B5" w:rsidRDefault="00C843AF" w:rsidP="00B268B5">
            <w:pPr>
              <w:jc w:val="center"/>
              <w:rPr>
                <w:rFonts w:cs="Arial"/>
                <w:color w:val="000000" w:themeColor="text1"/>
                <w:szCs w:val="16"/>
              </w:rPr>
            </w:pPr>
            <w:r w:rsidRPr="005F5F3C">
              <w:rPr>
                <w:rFonts w:cs="Arial"/>
                <w:color w:val="000000" w:themeColor="text1"/>
                <w:szCs w:val="16"/>
              </w:rPr>
              <w:t>100%</w:t>
            </w:r>
          </w:p>
        </w:tc>
      </w:tr>
    </w:tbl>
    <w:p w14:paraId="31F20CDA" w14:textId="60B6AACE" w:rsidR="008E7B96" w:rsidRPr="00ED172B" w:rsidRDefault="00F22D09">
      <w:pPr>
        <w:rPr>
          <w:b/>
          <w:color w:val="000000" w:themeColor="text1"/>
        </w:rPr>
      </w:pPr>
      <w:r>
        <w:rPr>
          <w:b/>
          <w:color w:val="000000" w:themeColor="text1"/>
        </w:rPr>
        <w:t>FFY 2022 SPP/APR Data</w:t>
      </w:r>
    </w:p>
    <w:p w14:paraId="063239BF" w14:textId="1264AE65" w:rsidR="00E440C8" w:rsidRPr="00ED172B" w:rsidRDefault="00E440C8">
      <w:pPr>
        <w:rPr>
          <w:rFonts w:cs="Arial"/>
          <w:b/>
          <w:color w:val="000000" w:themeColor="text1"/>
          <w:szCs w:val="16"/>
        </w:rPr>
      </w:pPr>
      <w:r w:rsidRPr="00ED172B">
        <w:rPr>
          <w:rFonts w:cs="Arial"/>
          <w:b/>
          <w:color w:val="000000" w:themeColor="text1"/>
          <w:szCs w:val="16"/>
        </w:rPr>
        <w:t>Data include only those toddlers with disabilities exiting Part C with timely transition planning for whom the Lead Agency has developed an IFSP with transition steps and services at least 90 days, and at the discretion of all parties, not more than nine months, prior to the toddler’s third birthday. (yes/no)</w:t>
      </w:r>
    </w:p>
    <w:p w14:paraId="3B8310E3" w14:textId="5559EF71" w:rsidR="001F1489" w:rsidRDefault="001F1489">
      <w:pPr>
        <w:rPr>
          <w:color w:val="000000" w:themeColor="text1"/>
          <w:szCs w:val="16"/>
        </w:rPr>
      </w:pPr>
      <w:r w:rsidRPr="00ED172B">
        <w:rPr>
          <w:color w:val="000000" w:themeColor="text1"/>
          <w:szCs w:val="16"/>
        </w:rPr>
        <w:t>YES</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8AFFYAPRDATA"/>
      </w:tblPr>
      <w:tblGrid>
        <w:gridCol w:w="2790"/>
        <w:gridCol w:w="1890"/>
        <w:gridCol w:w="1349"/>
        <w:gridCol w:w="1170"/>
        <w:gridCol w:w="1261"/>
        <w:gridCol w:w="1170"/>
        <w:gridCol w:w="1164"/>
      </w:tblGrid>
      <w:tr w:rsidR="00ED172B" w:rsidRPr="00ED172B" w14:paraId="39A170D1" w14:textId="77777777" w:rsidTr="00986B99">
        <w:trPr>
          <w:trHeight w:val="359"/>
          <w:tblHeader/>
        </w:trPr>
        <w:tc>
          <w:tcPr>
            <w:tcW w:w="1292" w:type="pct"/>
            <w:shd w:val="clear" w:color="auto" w:fill="auto"/>
            <w:vAlign w:val="bottom"/>
          </w:tcPr>
          <w:p w14:paraId="50FB1EE6" w14:textId="0D658CA5" w:rsidR="00F939F8" w:rsidRPr="00ED172B" w:rsidRDefault="00F939F8" w:rsidP="00F939F8">
            <w:pPr>
              <w:jc w:val="center"/>
              <w:rPr>
                <w:rFonts w:cs="Arial"/>
                <w:b/>
                <w:color w:val="000000" w:themeColor="text1"/>
                <w:szCs w:val="16"/>
              </w:rPr>
            </w:pPr>
            <w:r w:rsidRPr="00ED172B">
              <w:rPr>
                <w:rFonts w:cs="Arial"/>
                <w:b/>
                <w:color w:val="000000" w:themeColor="text1"/>
                <w:szCs w:val="16"/>
              </w:rPr>
              <w:t>Number of children exiting Part C who have an IFSP with transition steps and services</w:t>
            </w:r>
          </w:p>
        </w:tc>
        <w:tc>
          <w:tcPr>
            <w:tcW w:w="875" w:type="pct"/>
            <w:shd w:val="clear" w:color="auto" w:fill="auto"/>
            <w:vAlign w:val="bottom"/>
          </w:tcPr>
          <w:p w14:paraId="5DF08BDF" w14:textId="4B728C11" w:rsidR="00F939F8" w:rsidRPr="00ED172B" w:rsidRDefault="00F939F8" w:rsidP="00F939F8">
            <w:pPr>
              <w:jc w:val="center"/>
              <w:rPr>
                <w:rFonts w:cs="Arial"/>
                <w:b/>
                <w:color w:val="000000" w:themeColor="text1"/>
                <w:szCs w:val="16"/>
              </w:rPr>
            </w:pPr>
            <w:r w:rsidRPr="00ED172B">
              <w:rPr>
                <w:rFonts w:cs="Arial"/>
                <w:b/>
                <w:color w:val="000000" w:themeColor="text1"/>
                <w:szCs w:val="16"/>
              </w:rPr>
              <w:t>Number of toddlers with disabilities exiting Part C</w:t>
            </w:r>
          </w:p>
        </w:tc>
        <w:tc>
          <w:tcPr>
            <w:tcW w:w="625" w:type="pct"/>
            <w:shd w:val="clear" w:color="auto" w:fill="auto"/>
            <w:vAlign w:val="bottom"/>
          </w:tcPr>
          <w:p w14:paraId="7032C738" w14:textId="5AC38D42" w:rsidR="00F939F8" w:rsidRPr="00ED172B" w:rsidRDefault="00CD74B5" w:rsidP="00F939F8">
            <w:pPr>
              <w:jc w:val="center"/>
              <w:rPr>
                <w:rFonts w:cs="Arial"/>
                <w:b/>
                <w:color w:val="000000" w:themeColor="text1"/>
                <w:szCs w:val="16"/>
              </w:rPr>
            </w:pPr>
            <w:r>
              <w:rPr>
                <w:rFonts w:cs="Arial"/>
                <w:b/>
                <w:color w:val="000000" w:themeColor="text1"/>
                <w:szCs w:val="16"/>
              </w:rPr>
              <w:t>FFY 2021 Data</w:t>
            </w:r>
          </w:p>
        </w:tc>
        <w:tc>
          <w:tcPr>
            <w:tcW w:w="542" w:type="pct"/>
            <w:shd w:val="clear" w:color="auto" w:fill="auto"/>
            <w:vAlign w:val="bottom"/>
          </w:tcPr>
          <w:p w14:paraId="6711AE0C" w14:textId="1B0EF073" w:rsidR="00F939F8" w:rsidRPr="00ED172B" w:rsidRDefault="00F22D09" w:rsidP="00F939F8">
            <w:pPr>
              <w:jc w:val="center"/>
              <w:rPr>
                <w:rFonts w:cs="Arial"/>
                <w:b/>
                <w:color w:val="000000" w:themeColor="text1"/>
                <w:szCs w:val="16"/>
              </w:rPr>
            </w:pPr>
            <w:r>
              <w:rPr>
                <w:rFonts w:cs="Arial"/>
                <w:b/>
                <w:color w:val="000000" w:themeColor="text1"/>
                <w:szCs w:val="16"/>
              </w:rPr>
              <w:t>FFY 2022 Target</w:t>
            </w:r>
          </w:p>
        </w:tc>
        <w:tc>
          <w:tcPr>
            <w:tcW w:w="584" w:type="pct"/>
            <w:shd w:val="clear" w:color="auto" w:fill="auto"/>
            <w:vAlign w:val="bottom"/>
          </w:tcPr>
          <w:p w14:paraId="2C4EE232" w14:textId="272B2C98" w:rsidR="00F939F8" w:rsidRPr="00ED172B" w:rsidRDefault="00F22D09" w:rsidP="00F939F8">
            <w:pPr>
              <w:jc w:val="center"/>
              <w:rPr>
                <w:rFonts w:cs="Arial"/>
                <w:b/>
                <w:color w:val="000000" w:themeColor="text1"/>
                <w:szCs w:val="16"/>
              </w:rPr>
            </w:pPr>
            <w:r>
              <w:rPr>
                <w:rFonts w:cs="Arial"/>
                <w:b/>
                <w:color w:val="000000" w:themeColor="text1"/>
                <w:szCs w:val="16"/>
              </w:rPr>
              <w:t>FFY 2022 Data</w:t>
            </w:r>
          </w:p>
        </w:tc>
        <w:tc>
          <w:tcPr>
            <w:tcW w:w="542" w:type="pct"/>
            <w:shd w:val="clear" w:color="auto" w:fill="auto"/>
            <w:vAlign w:val="bottom"/>
          </w:tcPr>
          <w:p w14:paraId="694857DA" w14:textId="09E6CAFD" w:rsidR="00F939F8" w:rsidRPr="00ED172B" w:rsidRDefault="00F939F8" w:rsidP="00F939F8">
            <w:pPr>
              <w:jc w:val="center"/>
              <w:rPr>
                <w:rFonts w:cs="Arial"/>
                <w:b/>
                <w:color w:val="000000" w:themeColor="text1"/>
                <w:szCs w:val="16"/>
              </w:rPr>
            </w:pPr>
            <w:r w:rsidRPr="00ED172B">
              <w:rPr>
                <w:b/>
                <w:color w:val="000000" w:themeColor="text1"/>
                <w:szCs w:val="16"/>
              </w:rPr>
              <w:t>Status</w:t>
            </w:r>
          </w:p>
        </w:tc>
        <w:tc>
          <w:tcPr>
            <w:tcW w:w="539" w:type="pct"/>
            <w:shd w:val="clear" w:color="auto" w:fill="auto"/>
            <w:vAlign w:val="bottom"/>
          </w:tcPr>
          <w:p w14:paraId="175F2F2C" w14:textId="62340754" w:rsidR="00F939F8" w:rsidRPr="00ED172B" w:rsidRDefault="00F939F8" w:rsidP="00F939F8">
            <w:pPr>
              <w:jc w:val="center"/>
              <w:rPr>
                <w:rFonts w:cs="Arial"/>
                <w:b/>
                <w:color w:val="000000" w:themeColor="text1"/>
                <w:szCs w:val="16"/>
              </w:rPr>
            </w:pPr>
            <w:r w:rsidRPr="00ED172B">
              <w:rPr>
                <w:b/>
                <w:color w:val="000000" w:themeColor="text1"/>
                <w:szCs w:val="16"/>
              </w:rPr>
              <w:t>Slippage</w:t>
            </w:r>
          </w:p>
        </w:tc>
      </w:tr>
      <w:tr w:rsidR="00ED172B" w:rsidRPr="00ED172B" w14:paraId="3F99CC5B" w14:textId="77777777" w:rsidTr="00986B99">
        <w:trPr>
          <w:trHeight w:val="366"/>
        </w:trPr>
        <w:tc>
          <w:tcPr>
            <w:tcW w:w="1292" w:type="pct"/>
            <w:shd w:val="clear" w:color="auto" w:fill="auto"/>
            <w:vAlign w:val="center"/>
          </w:tcPr>
          <w:p w14:paraId="0171E6DC" w14:textId="3334C64E" w:rsidR="00F939F8" w:rsidRPr="00ED172B" w:rsidRDefault="00860830" w:rsidP="00F939F8">
            <w:pPr>
              <w:jc w:val="center"/>
              <w:rPr>
                <w:rFonts w:cs="Arial"/>
                <w:color w:val="000000" w:themeColor="text1"/>
                <w:szCs w:val="16"/>
              </w:rPr>
            </w:pPr>
            <w:r w:rsidRPr="00ED172B">
              <w:rPr>
                <w:rFonts w:cs="Arial"/>
                <w:color w:val="000000" w:themeColor="text1"/>
                <w:szCs w:val="16"/>
              </w:rPr>
              <w:t>139</w:t>
            </w:r>
          </w:p>
        </w:tc>
        <w:tc>
          <w:tcPr>
            <w:tcW w:w="875" w:type="pct"/>
            <w:shd w:val="clear" w:color="auto" w:fill="auto"/>
            <w:vAlign w:val="center"/>
          </w:tcPr>
          <w:p w14:paraId="09B22CBD" w14:textId="0AA8660C" w:rsidR="00F939F8" w:rsidRPr="00ED172B" w:rsidRDefault="00860830" w:rsidP="00F939F8">
            <w:pPr>
              <w:jc w:val="center"/>
              <w:rPr>
                <w:rFonts w:cs="Arial"/>
                <w:color w:val="000000" w:themeColor="text1"/>
                <w:szCs w:val="16"/>
              </w:rPr>
            </w:pPr>
            <w:r w:rsidRPr="00ED172B">
              <w:rPr>
                <w:rFonts w:cs="Arial"/>
                <w:color w:val="000000" w:themeColor="text1"/>
                <w:szCs w:val="16"/>
              </w:rPr>
              <w:t>149</w:t>
            </w:r>
          </w:p>
        </w:tc>
        <w:tc>
          <w:tcPr>
            <w:tcW w:w="625" w:type="pct"/>
            <w:shd w:val="clear" w:color="auto" w:fill="auto"/>
          </w:tcPr>
          <w:p w14:paraId="136B0596" w14:textId="6BC8CAC5" w:rsidR="00F939F8" w:rsidRPr="00ED172B" w:rsidRDefault="00860830" w:rsidP="00F939F8">
            <w:pPr>
              <w:jc w:val="center"/>
              <w:rPr>
                <w:rFonts w:cs="Arial"/>
                <w:color w:val="000000" w:themeColor="text1"/>
                <w:szCs w:val="16"/>
              </w:rPr>
            </w:pPr>
            <w:r w:rsidRPr="00ED172B">
              <w:rPr>
                <w:rFonts w:cs="Arial"/>
                <w:color w:val="000000" w:themeColor="text1"/>
                <w:szCs w:val="16"/>
              </w:rPr>
              <w:t>87.50%</w:t>
            </w:r>
          </w:p>
        </w:tc>
        <w:tc>
          <w:tcPr>
            <w:tcW w:w="542" w:type="pct"/>
            <w:shd w:val="clear" w:color="auto" w:fill="auto"/>
          </w:tcPr>
          <w:p w14:paraId="0BC20FF1" w14:textId="0CC56D33" w:rsidR="00F939F8" w:rsidRPr="00ED172B" w:rsidRDefault="004952E2" w:rsidP="00F939F8">
            <w:pPr>
              <w:jc w:val="center"/>
              <w:rPr>
                <w:rFonts w:cs="Arial"/>
                <w:color w:val="000000" w:themeColor="text1"/>
                <w:szCs w:val="16"/>
              </w:rPr>
            </w:pPr>
            <w:r w:rsidRPr="00ED172B">
              <w:rPr>
                <w:color w:val="000000" w:themeColor="text1"/>
                <w:szCs w:val="16"/>
              </w:rPr>
              <w:t>100%</w:t>
            </w:r>
          </w:p>
        </w:tc>
        <w:tc>
          <w:tcPr>
            <w:tcW w:w="584" w:type="pct"/>
            <w:shd w:val="clear" w:color="auto" w:fill="auto"/>
          </w:tcPr>
          <w:p w14:paraId="2EEA547A" w14:textId="51A61E43" w:rsidR="00F939F8" w:rsidRPr="00ED172B" w:rsidRDefault="00860830" w:rsidP="00F939F8">
            <w:pPr>
              <w:jc w:val="center"/>
              <w:rPr>
                <w:rFonts w:cs="Arial"/>
                <w:color w:val="000000" w:themeColor="text1"/>
                <w:szCs w:val="16"/>
              </w:rPr>
            </w:pPr>
            <w:r w:rsidRPr="00ED172B">
              <w:rPr>
                <w:rFonts w:cs="Arial"/>
                <w:color w:val="000000" w:themeColor="text1"/>
                <w:szCs w:val="16"/>
              </w:rPr>
              <w:t>93.29%</w:t>
            </w:r>
          </w:p>
        </w:tc>
        <w:tc>
          <w:tcPr>
            <w:tcW w:w="542" w:type="pct"/>
            <w:shd w:val="clear" w:color="auto" w:fill="auto"/>
          </w:tcPr>
          <w:p w14:paraId="6EB785D3" w14:textId="6A67BD93" w:rsidR="00F939F8" w:rsidRPr="00ED172B" w:rsidRDefault="00320806" w:rsidP="00320806">
            <w:pPr>
              <w:jc w:val="center"/>
              <w:rPr>
                <w:color w:val="000000" w:themeColor="text1"/>
              </w:rPr>
            </w:pPr>
            <w:r w:rsidRPr="00ED172B">
              <w:rPr>
                <w:color w:val="000000" w:themeColor="text1"/>
              </w:rPr>
              <w:t>Did not meet target</w:t>
            </w:r>
          </w:p>
        </w:tc>
        <w:tc>
          <w:tcPr>
            <w:tcW w:w="539" w:type="pct"/>
            <w:shd w:val="clear" w:color="auto" w:fill="auto"/>
          </w:tcPr>
          <w:p w14:paraId="1195EC60" w14:textId="15F614DC" w:rsidR="00F939F8" w:rsidRPr="00ED172B" w:rsidRDefault="00320806" w:rsidP="00320806">
            <w:pPr>
              <w:jc w:val="center"/>
              <w:rPr>
                <w:color w:val="000000" w:themeColor="text1"/>
              </w:rPr>
            </w:pPr>
            <w:r w:rsidRPr="00ED172B">
              <w:rPr>
                <w:color w:val="000000" w:themeColor="text1"/>
              </w:rPr>
              <w:t>No Slippage</w:t>
            </w:r>
          </w:p>
        </w:tc>
      </w:tr>
    </w:tbl>
    <w:p w14:paraId="0E6D6476" w14:textId="77777777" w:rsidR="001E56F4" w:rsidRDefault="008901AF" w:rsidP="005A1CA1">
      <w:pPr>
        <w:rPr>
          <w:rFonts w:cs="Arial"/>
          <w:b/>
          <w:color w:val="000000" w:themeColor="text1"/>
          <w:szCs w:val="16"/>
        </w:rPr>
      </w:pPr>
      <w:r w:rsidRPr="00ED172B">
        <w:rPr>
          <w:rFonts w:cs="Arial"/>
          <w:b/>
          <w:color w:val="000000" w:themeColor="text1"/>
          <w:szCs w:val="16"/>
        </w:rPr>
        <w:t>Number of documented delays attributable to exceptional family circumstances</w:t>
      </w:r>
      <w:r w:rsidRPr="00ED172B">
        <w:rPr>
          <w:rFonts w:cs="Arial"/>
          <w:color w:val="000000" w:themeColor="text1"/>
          <w:szCs w:val="16"/>
        </w:rPr>
        <w:t> </w:t>
      </w:r>
    </w:p>
    <w:p w14:paraId="070F5A41" w14:textId="4601B408" w:rsidR="008901AF" w:rsidRPr="00ED172B" w:rsidRDefault="008901AF" w:rsidP="005A1CA1">
      <w:pPr>
        <w:rPr>
          <w:rFonts w:cs="Arial"/>
          <w:b/>
          <w:color w:val="000000" w:themeColor="text1"/>
          <w:szCs w:val="16"/>
        </w:rPr>
      </w:pPr>
      <w:r w:rsidRPr="00ED172B">
        <w:rPr>
          <w:rFonts w:cs="Arial"/>
          <w:b/>
          <w:color w:val="000000" w:themeColor="text1"/>
          <w:szCs w:val="16"/>
        </w:rPr>
        <w:t>This number will be added to the “Number of children exiting Part C who have an IFSP with transition steps and services” field to calculate the numerator for this indicator.</w:t>
      </w:r>
    </w:p>
    <w:p w14:paraId="18B7DCE3" w14:textId="6016FEEB" w:rsidR="008901AF" w:rsidRDefault="008901AF" w:rsidP="005A1CA1">
      <w:pPr>
        <w:rPr>
          <w:rFonts w:cs="Arial"/>
          <w:color w:val="000000" w:themeColor="text1"/>
          <w:szCs w:val="16"/>
        </w:rPr>
      </w:pPr>
      <w:r w:rsidRPr="00ED172B">
        <w:rPr>
          <w:rFonts w:cs="Arial"/>
          <w:color w:val="000000" w:themeColor="text1"/>
          <w:szCs w:val="16"/>
        </w:rPr>
        <w:t>0</w:t>
      </w:r>
    </w:p>
    <w:p w14:paraId="0D061463" w14:textId="77777777" w:rsidR="00C3454D" w:rsidRDefault="00C3454D" w:rsidP="00C3454D">
      <w:pPr>
        <w:rPr>
          <w:rFonts w:cs="Arial"/>
          <w:b/>
          <w:color w:val="000000" w:themeColor="text1"/>
          <w:szCs w:val="16"/>
        </w:rPr>
      </w:pPr>
      <w:r w:rsidRPr="003739C5">
        <w:rPr>
          <w:rFonts w:cs="Arial"/>
          <w:b/>
          <w:color w:val="000000" w:themeColor="text1"/>
          <w:szCs w:val="16"/>
        </w:rPr>
        <w:t>Provide reasons for delay, if applicable.</w:t>
      </w:r>
    </w:p>
    <w:p w14:paraId="3D48C4E6" w14:textId="2641554E" w:rsidR="00C3454D" w:rsidRPr="00ED172B" w:rsidRDefault="00C3454D" w:rsidP="00C3454D">
      <w:pPr>
        <w:rPr>
          <w:rFonts w:cs="Arial"/>
          <w:color w:val="000000" w:themeColor="text1"/>
          <w:szCs w:val="16"/>
        </w:rPr>
      </w:pPr>
      <w:r w:rsidRPr="00ED172B">
        <w:rPr>
          <w:color w:val="000000" w:themeColor="text1"/>
          <w:szCs w:val="16"/>
        </w:rPr>
        <w:t xml:space="preserve">The reasons for delay were as follows:  </w:t>
      </w:r>
      <w:r w:rsidRPr="00ED172B">
        <w:rPr>
          <w:color w:val="000000" w:themeColor="text1"/>
          <w:szCs w:val="16"/>
        </w:rPr>
        <w:br/>
        <w:t>• 2 incidents of adding transition services more than nine months before the child’s third birthday.</w:t>
      </w:r>
      <w:r w:rsidRPr="00ED172B">
        <w:rPr>
          <w:color w:val="000000" w:themeColor="text1"/>
          <w:szCs w:val="16"/>
        </w:rPr>
        <w:br/>
        <w:t>• 6 incidents of adding transition services less than 90 days before the child’s third birthday.</w:t>
      </w:r>
      <w:r w:rsidRPr="00ED172B">
        <w:rPr>
          <w:color w:val="000000" w:themeColor="text1"/>
          <w:szCs w:val="16"/>
        </w:rPr>
        <w:br/>
        <w:t>• 2 incidents where no documentation was provided by the program for transition conferences.</w:t>
      </w:r>
    </w:p>
    <w:p w14:paraId="08A0732F" w14:textId="77777777" w:rsidR="0026103E" w:rsidRPr="00ED172B" w:rsidRDefault="000709B9" w:rsidP="00B83404">
      <w:pPr>
        <w:rPr>
          <w:b/>
          <w:color w:val="000000" w:themeColor="text1"/>
        </w:rPr>
      </w:pPr>
      <w:r w:rsidRPr="00ED172B">
        <w:rPr>
          <w:b/>
          <w:color w:val="000000" w:themeColor="text1"/>
        </w:rPr>
        <w:t xml:space="preserve">What is the source of the data provided for this indicator? </w:t>
      </w:r>
    </w:p>
    <w:p w14:paraId="40A77EEA" w14:textId="55FB6054" w:rsidR="000709B9" w:rsidRDefault="00860830" w:rsidP="00B83404">
      <w:pPr>
        <w:rPr>
          <w:color w:val="000000" w:themeColor="text1"/>
        </w:rPr>
      </w:pPr>
      <w:r w:rsidRPr="00ED172B">
        <w:rPr>
          <w:color w:val="000000" w:themeColor="text1"/>
        </w:rPr>
        <w:t>State monitoring</w:t>
      </w:r>
    </w:p>
    <w:p w14:paraId="257F15B7" w14:textId="4F703FDF" w:rsidR="000709B9" w:rsidRPr="00ED172B" w:rsidRDefault="000709B9" w:rsidP="00B83404">
      <w:pPr>
        <w:rPr>
          <w:b/>
          <w:i/>
          <w:color w:val="000000" w:themeColor="text1"/>
        </w:rPr>
      </w:pPr>
      <w:r w:rsidRPr="00ED172B">
        <w:rPr>
          <w:b/>
          <w:color w:val="000000" w:themeColor="text1"/>
        </w:rPr>
        <w:t xml:space="preserve">Describe the method used to select EIS programs for monitoring. </w:t>
      </w:r>
    </w:p>
    <w:p w14:paraId="1770C9F3" w14:textId="19E3D405" w:rsidR="000709B9" w:rsidRDefault="00860830" w:rsidP="000709B9">
      <w:pPr>
        <w:rPr>
          <w:color w:val="000000" w:themeColor="text1"/>
        </w:rPr>
      </w:pPr>
      <w:r w:rsidRPr="00ED172B">
        <w:rPr>
          <w:color w:val="000000" w:themeColor="text1"/>
        </w:rPr>
        <w:t xml:space="preserve">All EI programs in Oregon receiving IDEA funds are required to participate in the Oregon Department of Education (ODE) System Performance Review &amp; Improvement (SPR&amp;I) system of annual accountability and performance reporting. This system focuses on procedural compliance and performance indicators identified through federal and state regulation and previous state monitoring findings. Programs conduct individual child file reviews annually to collect procedural compliance data. These data are collected on a specified number of child files determined by the State. Files are selected to match the individual race/ethnicity, disability, and gender distribution for each EI/ECSE program based on the December child count. Individual child procedural compliance data is collected by programs and submitted to the State electronically through the SPR&amp;I database. The State works collaboratively with programs on comprehensive data collection, analyses, performance reporting, improvement planning, implementation, and reporting of progress. The SPR&amp;I system provides the State the mechanism for review of district/program policies, procedures, and systems, to ensure the requirements set forth in 34 CFR §303.700-708. </w:t>
      </w:r>
      <w:r w:rsidRPr="00ED172B">
        <w:rPr>
          <w:color w:val="000000" w:themeColor="text1"/>
        </w:rPr>
        <w:br/>
      </w:r>
      <w:r w:rsidRPr="00ED172B">
        <w:rPr>
          <w:color w:val="000000" w:themeColor="text1"/>
        </w:rPr>
        <w:br/>
        <w:t xml:space="preserve">As part of the standard operating procedures through SPR&amp;I, EI/ECSE programs: </w:t>
      </w:r>
      <w:r w:rsidRPr="00ED172B">
        <w:rPr>
          <w:color w:val="000000" w:themeColor="text1"/>
        </w:rPr>
        <w:br/>
        <w:t xml:space="preserve">• Engage in self-assessment through data collection, review, and analysis to inform meaningful improvement. </w:t>
      </w:r>
      <w:r w:rsidRPr="00ED172B">
        <w:rPr>
          <w:color w:val="000000" w:themeColor="text1"/>
        </w:rPr>
        <w:br/>
        <w:t xml:space="preserve">• Report to the State on timely transition planning for a predetermined number of child files selected for review. </w:t>
      </w:r>
      <w:r w:rsidRPr="00ED172B">
        <w:rPr>
          <w:color w:val="000000" w:themeColor="text1"/>
        </w:rPr>
        <w:br/>
        <w:t>• Address noncompliance with timely transition steps and services through corrective action documented in SPR&amp;I that includes verifying that services were provided to children, an explanation for the cause of the noncompliance, correction of practices that contributed to the noncompliance, and demonstration of current compliance through subsequent data collection.</w:t>
      </w:r>
    </w:p>
    <w:p w14:paraId="7E255243" w14:textId="77777777" w:rsidR="008901AF" w:rsidRPr="00ED172B" w:rsidRDefault="008901AF" w:rsidP="00950382">
      <w:pPr>
        <w:rPr>
          <w:color w:val="000000" w:themeColor="text1"/>
        </w:rPr>
      </w:pPr>
    </w:p>
    <w:p w14:paraId="679E0C72" w14:textId="31A766F3" w:rsidR="003A3693" w:rsidRPr="00ED172B" w:rsidRDefault="003A3693" w:rsidP="00950382">
      <w:pPr>
        <w:rPr>
          <w:b/>
          <w:color w:val="000000" w:themeColor="text1"/>
        </w:rPr>
      </w:pPr>
      <w:r w:rsidRPr="00ED172B">
        <w:rPr>
          <w:b/>
          <w:color w:val="000000" w:themeColor="text1"/>
        </w:rPr>
        <w:t>Provide additional information about this indicator (optional)</w:t>
      </w:r>
    </w:p>
    <w:p w14:paraId="35506A80" w14:textId="578ABD6A" w:rsidR="003A3693" w:rsidRPr="00ED172B" w:rsidRDefault="003A3693" w:rsidP="003A3693">
      <w:pPr>
        <w:rPr>
          <w:rFonts w:cs="Arial"/>
          <w:color w:val="000000" w:themeColor="text1"/>
          <w:szCs w:val="16"/>
        </w:rPr>
      </w:pPr>
    </w:p>
    <w:p w14:paraId="367CB071" w14:textId="3E5A7B44" w:rsidR="008203B4" w:rsidRPr="00ED172B" w:rsidRDefault="008203B4" w:rsidP="00B83404">
      <w:pPr>
        <w:rPr>
          <w:color w:val="000000" w:themeColor="text1"/>
        </w:rPr>
      </w:pPr>
      <w:r w:rsidRPr="00ED172B">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C08APFFYNCFINDINGS"/>
      </w:tblPr>
      <w:tblGrid>
        <w:gridCol w:w="2610"/>
        <w:gridCol w:w="2741"/>
        <w:gridCol w:w="2618"/>
        <w:gridCol w:w="2821"/>
      </w:tblGrid>
      <w:tr w:rsidR="00ED172B" w:rsidRPr="00ED172B" w14:paraId="2D4FE5FD" w14:textId="77777777" w:rsidTr="00986B99">
        <w:trPr>
          <w:trHeight w:val="389"/>
          <w:tblHeader/>
        </w:trPr>
        <w:tc>
          <w:tcPr>
            <w:tcW w:w="1210" w:type="pct"/>
            <w:shd w:val="clear" w:color="auto" w:fill="auto"/>
            <w:vAlign w:val="bottom"/>
          </w:tcPr>
          <w:p w14:paraId="6889A2C9"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70" w:type="pct"/>
            <w:shd w:val="clear" w:color="auto" w:fill="auto"/>
            <w:vAlign w:val="bottom"/>
          </w:tcPr>
          <w:p w14:paraId="0336DAA8"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3" w:type="pct"/>
            <w:shd w:val="clear" w:color="auto" w:fill="auto"/>
            <w:vAlign w:val="bottom"/>
          </w:tcPr>
          <w:p w14:paraId="6A6F0624"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08" w:type="pct"/>
            <w:shd w:val="clear" w:color="auto" w:fill="auto"/>
            <w:vAlign w:val="bottom"/>
          </w:tcPr>
          <w:p w14:paraId="404B8C3D"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4E93E1CC" w14:textId="77777777" w:rsidTr="00986B99">
        <w:tc>
          <w:tcPr>
            <w:tcW w:w="1210" w:type="pct"/>
            <w:shd w:val="clear" w:color="auto" w:fill="auto"/>
          </w:tcPr>
          <w:p w14:paraId="6D36EEFA" w14:textId="77759E1D" w:rsidR="008203B4" w:rsidRPr="00ED172B" w:rsidRDefault="00860830" w:rsidP="00ED172B">
            <w:pPr>
              <w:jc w:val="center"/>
              <w:rPr>
                <w:rFonts w:cs="Arial"/>
                <w:color w:val="000000" w:themeColor="text1"/>
                <w:szCs w:val="16"/>
              </w:rPr>
            </w:pPr>
            <w:r w:rsidRPr="00ED172B">
              <w:rPr>
                <w:rFonts w:cs="Arial"/>
                <w:color w:val="000000" w:themeColor="text1"/>
                <w:szCs w:val="16"/>
              </w:rPr>
              <w:t>18</w:t>
            </w:r>
          </w:p>
        </w:tc>
        <w:tc>
          <w:tcPr>
            <w:tcW w:w="1270" w:type="pct"/>
            <w:shd w:val="clear" w:color="auto" w:fill="auto"/>
          </w:tcPr>
          <w:p w14:paraId="6F7AE561" w14:textId="0506DBB0" w:rsidR="008203B4" w:rsidRPr="00ED172B" w:rsidRDefault="00860830" w:rsidP="00ED172B">
            <w:pPr>
              <w:jc w:val="center"/>
              <w:rPr>
                <w:rFonts w:cs="Arial"/>
                <w:color w:val="000000" w:themeColor="text1"/>
                <w:szCs w:val="16"/>
              </w:rPr>
            </w:pPr>
            <w:r w:rsidRPr="00ED172B">
              <w:rPr>
                <w:rFonts w:cs="Arial"/>
                <w:color w:val="000000" w:themeColor="text1"/>
                <w:szCs w:val="16"/>
              </w:rPr>
              <w:t>18</w:t>
            </w:r>
          </w:p>
        </w:tc>
        <w:tc>
          <w:tcPr>
            <w:tcW w:w="1213" w:type="pct"/>
            <w:shd w:val="clear" w:color="auto" w:fill="auto"/>
          </w:tcPr>
          <w:p w14:paraId="58BE9E1E" w14:textId="2A20A5FA" w:rsidR="008203B4"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308" w:type="pct"/>
            <w:shd w:val="clear" w:color="auto" w:fill="auto"/>
          </w:tcPr>
          <w:p w14:paraId="23C4C3AF" w14:textId="3B5B521A" w:rsidR="008203B4" w:rsidRPr="00ED172B" w:rsidRDefault="00860830" w:rsidP="00CD79C5">
            <w:pPr>
              <w:rPr>
                <w:rFonts w:cs="Arial"/>
                <w:color w:val="000000" w:themeColor="text1"/>
                <w:szCs w:val="16"/>
              </w:rPr>
            </w:pPr>
            <w:r w:rsidRPr="00ED172B">
              <w:rPr>
                <w:rFonts w:cs="Arial"/>
                <w:color w:val="000000" w:themeColor="text1"/>
                <w:szCs w:val="16"/>
              </w:rPr>
              <w:t>0</w:t>
            </w:r>
          </w:p>
        </w:tc>
      </w:tr>
    </w:tbl>
    <w:p w14:paraId="297C4AAD" w14:textId="3037B473" w:rsidR="008203B4" w:rsidRPr="00ED172B" w:rsidRDefault="00CD74B5" w:rsidP="00B83404">
      <w:pPr>
        <w:rPr>
          <w:color w:val="000000" w:themeColor="text1"/>
        </w:rPr>
      </w:pPr>
      <w:r>
        <w:rPr>
          <w:b/>
          <w:color w:val="000000" w:themeColor="text1"/>
        </w:rPr>
        <w:t>FFY 2021 Findings of Noncompliance Verified as Corrected</w:t>
      </w:r>
    </w:p>
    <w:p w14:paraId="2049985B" w14:textId="762336E6" w:rsidR="008203B4" w:rsidRPr="00ED172B" w:rsidRDefault="008203B4">
      <w:pPr>
        <w:rPr>
          <w:b/>
          <w:color w:val="000000" w:themeColor="text1"/>
        </w:rPr>
      </w:pPr>
      <w:r w:rsidRPr="00ED172B">
        <w:rPr>
          <w:b/>
          <w:color w:val="000000" w:themeColor="text1"/>
        </w:rPr>
        <w:t xml:space="preserve">Describe how the State verified that the source of noncompliance is correctly implementing the </w:t>
      </w:r>
      <w:r w:rsidR="0031099B" w:rsidRPr="00ED172B">
        <w:rPr>
          <w:b/>
          <w:i/>
          <w:color w:val="000000" w:themeColor="text1"/>
        </w:rPr>
        <w:t>regulatory requirements</w:t>
      </w:r>
      <w:r w:rsidR="002959B0">
        <w:rPr>
          <w:b/>
          <w:i/>
          <w:color w:val="000000" w:themeColor="text1"/>
        </w:rPr>
        <w:t>.</w:t>
      </w:r>
    </w:p>
    <w:p w14:paraId="426695CD" w14:textId="04C27211" w:rsidR="008203B4" w:rsidRPr="00ED172B" w:rsidRDefault="00860830">
      <w:pPr>
        <w:rPr>
          <w:color w:val="000000" w:themeColor="text1"/>
        </w:rPr>
      </w:pPr>
      <w:r w:rsidRPr="00ED172B">
        <w:rPr>
          <w:color w:val="000000" w:themeColor="text1"/>
        </w:rPr>
        <w:t>In FFY 2021, 87.50% (126/144) of child files reviewed for EI transition included transition steps at least 90 calendar days, and, at the discretion of the parties, up to nine months before the child's third birthday to support the child's transition to preschool and other appropriate community services.</w:t>
      </w:r>
      <w:r w:rsidRPr="00ED172B">
        <w:rPr>
          <w:color w:val="000000" w:themeColor="text1"/>
        </w:rPr>
        <w:br/>
      </w:r>
      <w:r w:rsidRPr="00ED172B">
        <w:rPr>
          <w:color w:val="000000" w:themeColor="text1"/>
        </w:rPr>
        <w:br/>
        <w:t>As per OSEP QA 23-01 the State reviewed and verified corrective action data submitted to the State in SPR&amp;I by EI/ECSE programs with noncompliance and the State reviewed the individual child files in ecWeb (the statewide EI/ECSE special education file database) confirming 100% (18/18) of incidents of noncompliance in FFY 2021 were corrected within one year.</w:t>
      </w:r>
      <w:r w:rsidRPr="00ED172B">
        <w:rPr>
          <w:color w:val="000000" w:themeColor="text1"/>
        </w:rPr>
        <w:br/>
      </w:r>
      <w:r w:rsidRPr="00ED172B">
        <w:rPr>
          <w:color w:val="000000" w:themeColor="text1"/>
        </w:rPr>
        <w:br/>
        <w:t xml:space="preserve">The State verified through additional file reviews (of files created after the correction of individual noncompliance) submitted to the State in SPR&amp;I and reviewed and approved by the State, that programs with noncompliance demonstrated current compliance and correct implementation of regulatory requirements [34 CFR §303.209 and 303.344(h))] and (20 U.S.C. 1416(a)(3)(B) and 1442). </w:t>
      </w:r>
      <w:r w:rsidRPr="00ED172B">
        <w:rPr>
          <w:color w:val="000000" w:themeColor="text1"/>
        </w:rPr>
        <w:br/>
      </w:r>
      <w:r w:rsidRPr="00ED172B">
        <w:rPr>
          <w:color w:val="000000" w:themeColor="text1"/>
        </w:rPr>
        <w:br/>
        <w:t>The following steps were completed for the verification process for each individual noncompliance:</w:t>
      </w:r>
      <w:r w:rsidRPr="00ED172B">
        <w:rPr>
          <w:color w:val="000000" w:themeColor="text1"/>
        </w:rPr>
        <w:br/>
        <w:t>•</w:t>
      </w:r>
      <w:r w:rsidRPr="00ED172B">
        <w:rPr>
          <w:color w:val="000000" w:themeColor="text1"/>
        </w:rPr>
        <w:tab/>
        <w:t xml:space="preserve">The EI program provided the reason for each individual noncompliance through online submission into SPR&amp;I, Oregon’s monitoring system. </w:t>
      </w:r>
      <w:r w:rsidRPr="00ED172B">
        <w:rPr>
          <w:color w:val="000000" w:themeColor="text1"/>
        </w:rPr>
        <w:br/>
        <w:t>•</w:t>
      </w:r>
      <w:r w:rsidRPr="00ED172B">
        <w:rPr>
          <w:color w:val="000000" w:themeColor="text1"/>
        </w:rPr>
        <w:tab/>
        <w:t xml:space="preserve">The State reviewed the reason for noncompliance and indicated corrective action needed. </w:t>
      </w:r>
      <w:r w:rsidRPr="00ED172B">
        <w:rPr>
          <w:color w:val="000000" w:themeColor="text1"/>
        </w:rPr>
        <w:br/>
      </w:r>
      <w:r w:rsidRPr="00ED172B">
        <w:rPr>
          <w:color w:val="000000" w:themeColor="text1"/>
        </w:rPr>
        <w:lastRenderedPageBreak/>
        <w:t>•</w:t>
      </w:r>
      <w:r w:rsidRPr="00ED172B">
        <w:rPr>
          <w:color w:val="000000" w:themeColor="text1"/>
        </w:rPr>
        <w:tab/>
        <w:t xml:space="preserve">The EI program submitted the corrective action on the individual noncompliance in SPR&amp;I. </w:t>
      </w:r>
      <w:r w:rsidRPr="00ED172B">
        <w:rPr>
          <w:color w:val="000000" w:themeColor="text1"/>
        </w:rPr>
        <w:br/>
        <w:t>•</w:t>
      </w:r>
      <w:r w:rsidRPr="00ED172B">
        <w:rPr>
          <w:color w:val="000000" w:themeColor="text1"/>
        </w:rPr>
        <w:tab/>
        <w:t xml:space="preserve">The State reviewed the submitted corrective action and individual child files in ecWeb (the statewide EI/ECSE special education database) and approved the same. </w:t>
      </w:r>
      <w:r w:rsidRPr="00ED172B">
        <w:rPr>
          <w:color w:val="000000" w:themeColor="text1"/>
        </w:rPr>
        <w:br/>
      </w:r>
      <w:r w:rsidRPr="00ED172B">
        <w:rPr>
          <w:color w:val="000000" w:themeColor="text1"/>
        </w:rPr>
        <w:br/>
        <w:t>Demonstration of correction of practices that contributed to the noncompliance, as well as current compliance with 34 CFR §303.209 and 303.344(h) and (20 U.S.C. 1416(a)(3)(B) and 1442), was obtained through the following:</w:t>
      </w:r>
      <w:r w:rsidRPr="00ED172B">
        <w:rPr>
          <w:color w:val="000000" w:themeColor="text1"/>
        </w:rPr>
        <w:br/>
        <w:t>•</w:t>
      </w:r>
      <w:r w:rsidRPr="00ED172B">
        <w:rPr>
          <w:color w:val="000000" w:themeColor="text1"/>
        </w:rPr>
        <w:tab/>
        <w:t xml:space="preserve">For the identified area of noncompliance, the EI programs with noncompliance completed additional reviews of files that were developed after the original noncompliance in the area of the identified noncompliance and submitted these to the State in SPR&amp;I. </w:t>
      </w:r>
      <w:r w:rsidRPr="00ED172B">
        <w:rPr>
          <w:color w:val="000000" w:themeColor="text1"/>
        </w:rPr>
        <w:br/>
        <w:t>•</w:t>
      </w:r>
      <w:r w:rsidRPr="00ED172B">
        <w:rPr>
          <w:color w:val="000000" w:themeColor="text1"/>
        </w:rPr>
        <w:tab/>
        <w:t xml:space="preserve">The State used ecWeb (the statewide EI/ECSE special education file database) to review the additional file reviews and individual child files for each EI Program and verified as per OSEP QA 23-01 that each EI program with corrected noncompliance. was in compliance and correctly implementing 34 CFR §303.209 and 303.344(h)) and (20 U.S.C. 1416(a)(3)(B) and 1442). </w:t>
      </w:r>
      <w:r w:rsidRPr="00ED172B">
        <w:rPr>
          <w:color w:val="000000" w:themeColor="text1"/>
        </w:rPr>
        <w:br/>
        <w:t>• All additional file reviews conducted after the original noncompliance were required to be compliant. If there was additional noncompliance in these files, this would become a systemic correction and require additional interventions followed by additional file reviews in the area of noncompliance. For this APR, 100% of additional file reviews were verified by the State as being compliant through a desk audit review of the original file utilizing ecWeb, the statewide EI/ECSE special education file database.</w:t>
      </w:r>
    </w:p>
    <w:p w14:paraId="748DC2E5" w14:textId="77403AF8" w:rsidR="008203B4" w:rsidRPr="00ED172B" w:rsidRDefault="008203B4">
      <w:pPr>
        <w:rPr>
          <w:b/>
          <w:color w:val="000000" w:themeColor="text1"/>
        </w:rPr>
      </w:pPr>
      <w:r w:rsidRPr="00ED172B">
        <w:rPr>
          <w:b/>
          <w:color w:val="000000" w:themeColor="text1"/>
        </w:rPr>
        <w:t xml:space="preserve">Describe how the State verified that each </w:t>
      </w:r>
      <w:r w:rsidR="0031099B" w:rsidRPr="00ED172B">
        <w:rPr>
          <w:b/>
          <w:i/>
          <w:color w:val="000000" w:themeColor="text1"/>
        </w:rPr>
        <w:t>individual case</w:t>
      </w:r>
      <w:r w:rsidRPr="00ED172B">
        <w:rPr>
          <w:b/>
          <w:color w:val="000000" w:themeColor="text1"/>
        </w:rPr>
        <w:t xml:space="preserve"> of noncompliance was corrected</w:t>
      </w:r>
      <w:r w:rsidR="002959B0">
        <w:rPr>
          <w:b/>
          <w:color w:val="000000" w:themeColor="text1"/>
        </w:rPr>
        <w:t>.</w:t>
      </w:r>
    </w:p>
    <w:p w14:paraId="7D7ABAD5" w14:textId="72D98F40" w:rsidR="008203B4" w:rsidRDefault="00860830">
      <w:pPr>
        <w:rPr>
          <w:color w:val="000000" w:themeColor="text1"/>
        </w:rPr>
      </w:pPr>
      <w:r w:rsidRPr="00ED172B">
        <w:rPr>
          <w:color w:val="000000" w:themeColor="text1"/>
        </w:rPr>
        <w:t xml:space="preserve">In FFY 2021, 87.50% (126/144) of child files reviewed for EI transition included transition steps at least 90 calendar days, and, at the discretion of the parties, up to nine months before the child's third birthday to support the child's transition to preschool and other appropriate community services. </w:t>
      </w:r>
      <w:r w:rsidRPr="00ED172B">
        <w:rPr>
          <w:color w:val="000000" w:themeColor="text1"/>
        </w:rPr>
        <w:br/>
      </w:r>
      <w:r w:rsidRPr="00ED172B">
        <w:rPr>
          <w:color w:val="000000" w:themeColor="text1"/>
        </w:rPr>
        <w:br/>
        <w:t xml:space="preserve">As per OSEP QA 23-01 the State reviewed, verified, and approved corrective action data submitted by EI/ECSE programs to SPR&amp;I as well as the individual child files using ecWeb (the statewide EI/ECSE special education database); 100% (18/18) of incidents of noncompliance in FFY 2021 were corrected within one year and the programs with noncompliance developed an IFSP with transition steps and services for each child, unless the child was no longer within the jurisdiction of the EI program. </w:t>
      </w:r>
      <w:r w:rsidRPr="00ED172B">
        <w:rPr>
          <w:color w:val="000000" w:themeColor="text1"/>
        </w:rPr>
        <w:br/>
      </w:r>
      <w:r w:rsidRPr="00ED172B">
        <w:rPr>
          <w:color w:val="000000" w:themeColor="text1"/>
        </w:rPr>
        <w:br/>
        <w:t>EI/ECSE programs with noncompliance demonstrated correction of practices that contributed to the noncompliance as well as current compliance with 34 CFR §303.209 and 303.344(h) based on the State’s review, verification, and approval of corrective action data and new files created after the occurrence of noncompliance and submitted by EI/ECSE programs in SPR&amp;I. Corrective actions and individual files were reviewed by ODE using ecWeb (the statewide EI/ECSE special education database).</w:t>
      </w:r>
    </w:p>
    <w:p w14:paraId="300F7028" w14:textId="3091B972" w:rsidR="008203B4" w:rsidRPr="00ED172B" w:rsidRDefault="008203B4" w:rsidP="00B83404">
      <w:pPr>
        <w:rPr>
          <w:color w:val="000000" w:themeColor="text1"/>
        </w:rPr>
      </w:pPr>
      <w:r w:rsidRPr="00ED172B">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C08APPFFYNCFINDINGS"/>
      </w:tblPr>
      <w:tblGrid>
        <w:gridCol w:w="2005"/>
        <w:gridCol w:w="2995"/>
        <w:gridCol w:w="2985"/>
        <w:gridCol w:w="2805"/>
      </w:tblGrid>
      <w:tr w:rsidR="00ED172B" w:rsidRPr="00ED172B" w14:paraId="03D27353" w14:textId="77777777" w:rsidTr="00986B99">
        <w:trPr>
          <w:tblHeader/>
        </w:trPr>
        <w:tc>
          <w:tcPr>
            <w:tcW w:w="929" w:type="pct"/>
            <w:shd w:val="clear" w:color="auto" w:fill="auto"/>
            <w:vAlign w:val="bottom"/>
          </w:tcPr>
          <w:p w14:paraId="5B4E82E6"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88" w:type="pct"/>
            <w:shd w:val="clear" w:color="auto" w:fill="auto"/>
            <w:vAlign w:val="bottom"/>
          </w:tcPr>
          <w:p w14:paraId="6E009F9F" w14:textId="61842586"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2021 APR</w:t>
            </w:r>
          </w:p>
        </w:tc>
        <w:tc>
          <w:tcPr>
            <w:tcW w:w="1383" w:type="pct"/>
            <w:shd w:val="clear" w:color="auto" w:fill="auto"/>
            <w:vAlign w:val="bottom"/>
          </w:tcPr>
          <w:p w14:paraId="28F89072"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0" w:type="pct"/>
            <w:shd w:val="clear" w:color="auto" w:fill="auto"/>
            <w:vAlign w:val="bottom"/>
          </w:tcPr>
          <w:p w14:paraId="62CA3EA7"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7517045B" w14:textId="77777777" w:rsidTr="00986B99">
        <w:tc>
          <w:tcPr>
            <w:tcW w:w="929" w:type="pct"/>
            <w:shd w:val="clear" w:color="auto" w:fill="auto"/>
          </w:tcPr>
          <w:p w14:paraId="3B9EE4C9" w14:textId="36893AED" w:rsidR="008203B4" w:rsidRPr="00ED172B" w:rsidRDefault="008203B4" w:rsidP="00D21F29">
            <w:pPr>
              <w:jc w:val="center"/>
              <w:rPr>
                <w:rFonts w:cs="Arial"/>
                <w:color w:val="000000" w:themeColor="text1"/>
                <w:szCs w:val="16"/>
              </w:rPr>
            </w:pPr>
          </w:p>
        </w:tc>
        <w:tc>
          <w:tcPr>
            <w:tcW w:w="1388" w:type="pct"/>
            <w:shd w:val="clear" w:color="auto" w:fill="auto"/>
          </w:tcPr>
          <w:p w14:paraId="59BBBE3F" w14:textId="119CB64D" w:rsidR="008203B4" w:rsidRPr="00ED172B" w:rsidRDefault="008203B4" w:rsidP="00CD79C5">
            <w:pPr>
              <w:jc w:val="center"/>
              <w:rPr>
                <w:rFonts w:cs="Arial"/>
                <w:noProof/>
                <w:color w:val="000000" w:themeColor="text1"/>
                <w:szCs w:val="16"/>
              </w:rPr>
            </w:pPr>
          </w:p>
        </w:tc>
        <w:tc>
          <w:tcPr>
            <w:tcW w:w="1383" w:type="pct"/>
            <w:shd w:val="clear" w:color="auto" w:fill="auto"/>
          </w:tcPr>
          <w:p w14:paraId="127E5ED1" w14:textId="5E826401" w:rsidR="008203B4" w:rsidRPr="00ED172B" w:rsidRDefault="008203B4" w:rsidP="00CD79C5">
            <w:pPr>
              <w:jc w:val="center"/>
              <w:rPr>
                <w:rFonts w:cs="Arial"/>
                <w:noProof/>
                <w:color w:val="000000" w:themeColor="text1"/>
                <w:szCs w:val="16"/>
              </w:rPr>
            </w:pPr>
          </w:p>
        </w:tc>
        <w:tc>
          <w:tcPr>
            <w:tcW w:w="1300" w:type="pct"/>
            <w:shd w:val="clear" w:color="auto" w:fill="auto"/>
          </w:tcPr>
          <w:p w14:paraId="150828EF" w14:textId="74F3132B" w:rsidR="008203B4" w:rsidRPr="00ED172B" w:rsidRDefault="008203B4" w:rsidP="00CD79C5">
            <w:pPr>
              <w:jc w:val="center"/>
              <w:rPr>
                <w:rFonts w:cs="Arial"/>
                <w:noProof/>
                <w:color w:val="000000" w:themeColor="text1"/>
                <w:szCs w:val="16"/>
              </w:rPr>
            </w:pPr>
          </w:p>
        </w:tc>
      </w:tr>
      <w:tr w:rsidR="00ED172B" w:rsidRPr="00ED172B" w14:paraId="1FB93036" w14:textId="77777777" w:rsidTr="00986B99">
        <w:tc>
          <w:tcPr>
            <w:tcW w:w="929" w:type="pct"/>
            <w:shd w:val="clear" w:color="auto" w:fill="auto"/>
          </w:tcPr>
          <w:p w14:paraId="0F0F055B" w14:textId="44C477C9" w:rsidR="008203B4" w:rsidRPr="00ED172B" w:rsidRDefault="008203B4" w:rsidP="00D21F29">
            <w:pPr>
              <w:jc w:val="center"/>
              <w:rPr>
                <w:rFonts w:cs="Arial"/>
                <w:color w:val="000000" w:themeColor="text1"/>
                <w:szCs w:val="16"/>
              </w:rPr>
            </w:pPr>
          </w:p>
        </w:tc>
        <w:tc>
          <w:tcPr>
            <w:tcW w:w="1388" w:type="pct"/>
            <w:shd w:val="clear" w:color="auto" w:fill="auto"/>
          </w:tcPr>
          <w:p w14:paraId="4E4D35EC" w14:textId="3014D54F" w:rsidR="008203B4" w:rsidRPr="00ED172B" w:rsidRDefault="008203B4" w:rsidP="00CD79C5">
            <w:pPr>
              <w:jc w:val="center"/>
              <w:rPr>
                <w:rFonts w:cs="Arial"/>
                <w:noProof/>
                <w:color w:val="000000" w:themeColor="text1"/>
                <w:szCs w:val="16"/>
              </w:rPr>
            </w:pPr>
          </w:p>
        </w:tc>
        <w:tc>
          <w:tcPr>
            <w:tcW w:w="1383" w:type="pct"/>
            <w:shd w:val="clear" w:color="auto" w:fill="auto"/>
          </w:tcPr>
          <w:p w14:paraId="031A6B9D" w14:textId="25F039AF" w:rsidR="008203B4" w:rsidRPr="00ED172B" w:rsidRDefault="008203B4" w:rsidP="00CD79C5">
            <w:pPr>
              <w:jc w:val="center"/>
              <w:rPr>
                <w:rFonts w:cs="Arial"/>
                <w:noProof/>
                <w:color w:val="000000" w:themeColor="text1"/>
                <w:szCs w:val="16"/>
              </w:rPr>
            </w:pPr>
          </w:p>
        </w:tc>
        <w:tc>
          <w:tcPr>
            <w:tcW w:w="1300" w:type="pct"/>
            <w:shd w:val="clear" w:color="auto" w:fill="auto"/>
          </w:tcPr>
          <w:p w14:paraId="279F2773" w14:textId="6B96ACEF" w:rsidR="008203B4" w:rsidRPr="00ED172B" w:rsidRDefault="008203B4" w:rsidP="00CD79C5">
            <w:pPr>
              <w:jc w:val="center"/>
              <w:rPr>
                <w:rFonts w:cs="Arial"/>
                <w:noProof/>
                <w:color w:val="000000" w:themeColor="text1"/>
                <w:szCs w:val="16"/>
              </w:rPr>
            </w:pPr>
          </w:p>
        </w:tc>
      </w:tr>
      <w:tr w:rsidR="00ED172B" w:rsidRPr="00ED172B" w14:paraId="541BD90C" w14:textId="77777777" w:rsidTr="00986B99">
        <w:tc>
          <w:tcPr>
            <w:tcW w:w="929" w:type="pct"/>
            <w:shd w:val="clear" w:color="auto" w:fill="auto"/>
          </w:tcPr>
          <w:p w14:paraId="1E7B5266" w14:textId="4224D93A" w:rsidR="008203B4" w:rsidRPr="00ED172B" w:rsidRDefault="008203B4" w:rsidP="00D21F29">
            <w:pPr>
              <w:jc w:val="center"/>
              <w:rPr>
                <w:rFonts w:cs="Arial"/>
                <w:color w:val="000000" w:themeColor="text1"/>
                <w:szCs w:val="16"/>
              </w:rPr>
            </w:pPr>
          </w:p>
        </w:tc>
        <w:tc>
          <w:tcPr>
            <w:tcW w:w="1388" w:type="pct"/>
            <w:shd w:val="clear" w:color="auto" w:fill="auto"/>
          </w:tcPr>
          <w:p w14:paraId="7C14D12B" w14:textId="3003CF69" w:rsidR="008203B4" w:rsidRPr="00ED172B" w:rsidRDefault="008203B4" w:rsidP="00CD79C5">
            <w:pPr>
              <w:jc w:val="center"/>
              <w:rPr>
                <w:rFonts w:cs="Arial"/>
                <w:noProof/>
                <w:color w:val="000000" w:themeColor="text1"/>
                <w:szCs w:val="16"/>
              </w:rPr>
            </w:pPr>
          </w:p>
        </w:tc>
        <w:tc>
          <w:tcPr>
            <w:tcW w:w="1383" w:type="pct"/>
            <w:shd w:val="clear" w:color="auto" w:fill="auto"/>
          </w:tcPr>
          <w:p w14:paraId="45A94EB7" w14:textId="2538AC18" w:rsidR="008203B4" w:rsidRPr="00ED172B" w:rsidRDefault="008203B4" w:rsidP="00CD79C5">
            <w:pPr>
              <w:jc w:val="center"/>
              <w:rPr>
                <w:rFonts w:cs="Arial"/>
                <w:noProof/>
                <w:color w:val="000000" w:themeColor="text1"/>
                <w:szCs w:val="16"/>
              </w:rPr>
            </w:pPr>
          </w:p>
        </w:tc>
        <w:tc>
          <w:tcPr>
            <w:tcW w:w="1300" w:type="pct"/>
            <w:shd w:val="clear" w:color="auto" w:fill="auto"/>
          </w:tcPr>
          <w:p w14:paraId="0B3D9222" w14:textId="41BA0134" w:rsidR="008203B4" w:rsidRPr="00ED172B" w:rsidRDefault="008203B4" w:rsidP="00CD79C5">
            <w:pPr>
              <w:jc w:val="center"/>
              <w:rPr>
                <w:rFonts w:cs="Arial"/>
                <w:noProof/>
                <w:color w:val="000000" w:themeColor="text1"/>
                <w:szCs w:val="16"/>
              </w:rPr>
            </w:pPr>
          </w:p>
        </w:tc>
      </w:tr>
      <w:tr w:rsidR="003567DA" w:rsidRPr="00ED172B" w14:paraId="7E195BF3" w14:textId="77777777" w:rsidTr="00986B99">
        <w:tc>
          <w:tcPr>
            <w:tcW w:w="929" w:type="pct"/>
            <w:shd w:val="clear" w:color="auto" w:fill="auto"/>
          </w:tcPr>
          <w:p w14:paraId="4AF2A60C" w14:textId="3576B2CF" w:rsidR="003567DA" w:rsidRPr="00ED172B" w:rsidRDefault="003567DA" w:rsidP="00D21F29">
            <w:pPr>
              <w:jc w:val="center"/>
              <w:rPr>
                <w:rFonts w:cs="Arial"/>
                <w:color w:val="000000" w:themeColor="text1"/>
                <w:szCs w:val="16"/>
              </w:rPr>
            </w:pPr>
          </w:p>
        </w:tc>
        <w:tc>
          <w:tcPr>
            <w:tcW w:w="1388" w:type="pct"/>
            <w:shd w:val="clear" w:color="auto" w:fill="auto"/>
          </w:tcPr>
          <w:p w14:paraId="59D9013C" w14:textId="1941712A" w:rsidR="003567DA" w:rsidRPr="00ED172B" w:rsidRDefault="003567DA" w:rsidP="003567DA">
            <w:pPr>
              <w:jc w:val="center"/>
              <w:rPr>
                <w:rFonts w:cs="Arial"/>
                <w:color w:val="000000" w:themeColor="text1"/>
                <w:szCs w:val="16"/>
              </w:rPr>
            </w:pPr>
          </w:p>
        </w:tc>
        <w:tc>
          <w:tcPr>
            <w:tcW w:w="1383" w:type="pct"/>
            <w:shd w:val="clear" w:color="auto" w:fill="auto"/>
          </w:tcPr>
          <w:p w14:paraId="751143B2" w14:textId="0A52A4C8" w:rsidR="003567DA" w:rsidRPr="00ED172B" w:rsidRDefault="003567DA" w:rsidP="003567DA">
            <w:pPr>
              <w:jc w:val="center"/>
              <w:rPr>
                <w:rFonts w:cs="Arial"/>
                <w:color w:val="000000" w:themeColor="text1"/>
                <w:szCs w:val="16"/>
              </w:rPr>
            </w:pPr>
          </w:p>
        </w:tc>
        <w:tc>
          <w:tcPr>
            <w:tcW w:w="1300" w:type="pct"/>
            <w:shd w:val="clear" w:color="auto" w:fill="auto"/>
          </w:tcPr>
          <w:p w14:paraId="325EE8E5" w14:textId="6960CE55" w:rsidR="003567DA" w:rsidRPr="00ED172B" w:rsidRDefault="003567DA" w:rsidP="003567DA">
            <w:pPr>
              <w:jc w:val="center"/>
              <w:rPr>
                <w:rFonts w:cs="Arial"/>
                <w:color w:val="000000" w:themeColor="text1"/>
                <w:szCs w:val="16"/>
              </w:rPr>
            </w:pPr>
          </w:p>
        </w:tc>
      </w:tr>
      <w:tr w:rsidR="003567DA" w:rsidRPr="00ED172B" w14:paraId="5BC0AB2F" w14:textId="77777777" w:rsidTr="00986B99">
        <w:tc>
          <w:tcPr>
            <w:tcW w:w="929" w:type="pct"/>
            <w:shd w:val="clear" w:color="auto" w:fill="auto"/>
          </w:tcPr>
          <w:p w14:paraId="7320BAB7" w14:textId="21191BEE" w:rsidR="003567DA" w:rsidRPr="00ED172B" w:rsidRDefault="003567DA" w:rsidP="00D21F29">
            <w:pPr>
              <w:jc w:val="center"/>
              <w:rPr>
                <w:rFonts w:cs="Arial"/>
                <w:color w:val="000000" w:themeColor="text1"/>
                <w:szCs w:val="16"/>
              </w:rPr>
            </w:pPr>
          </w:p>
        </w:tc>
        <w:tc>
          <w:tcPr>
            <w:tcW w:w="1388" w:type="pct"/>
            <w:shd w:val="clear" w:color="auto" w:fill="auto"/>
          </w:tcPr>
          <w:p w14:paraId="49A8062D" w14:textId="27001B2C" w:rsidR="003567DA" w:rsidRPr="00ED172B" w:rsidRDefault="003567DA" w:rsidP="003567DA">
            <w:pPr>
              <w:jc w:val="center"/>
              <w:rPr>
                <w:rFonts w:cs="Arial"/>
                <w:color w:val="000000" w:themeColor="text1"/>
                <w:szCs w:val="16"/>
              </w:rPr>
            </w:pPr>
          </w:p>
        </w:tc>
        <w:tc>
          <w:tcPr>
            <w:tcW w:w="1383" w:type="pct"/>
            <w:shd w:val="clear" w:color="auto" w:fill="auto"/>
          </w:tcPr>
          <w:p w14:paraId="4E01C463" w14:textId="785D827D" w:rsidR="003567DA" w:rsidRPr="00ED172B" w:rsidRDefault="003567DA" w:rsidP="003567DA">
            <w:pPr>
              <w:jc w:val="center"/>
              <w:rPr>
                <w:rFonts w:cs="Arial"/>
                <w:color w:val="000000" w:themeColor="text1"/>
                <w:szCs w:val="16"/>
              </w:rPr>
            </w:pPr>
          </w:p>
        </w:tc>
        <w:tc>
          <w:tcPr>
            <w:tcW w:w="1300" w:type="pct"/>
            <w:shd w:val="clear" w:color="auto" w:fill="auto"/>
          </w:tcPr>
          <w:p w14:paraId="34D7F437" w14:textId="447F553F" w:rsidR="003567DA" w:rsidRPr="00ED172B" w:rsidRDefault="003567DA" w:rsidP="003567DA">
            <w:pPr>
              <w:jc w:val="center"/>
              <w:rPr>
                <w:rFonts w:cs="Arial"/>
                <w:color w:val="000000" w:themeColor="text1"/>
                <w:szCs w:val="16"/>
              </w:rPr>
            </w:pPr>
          </w:p>
        </w:tc>
      </w:tr>
    </w:tbl>
    <w:p w14:paraId="1E1E7D1C" w14:textId="1CFEC88E" w:rsidR="008203B4" w:rsidRPr="00A40EE1" w:rsidRDefault="000D0117" w:rsidP="007B0787">
      <w:pPr>
        <w:pStyle w:val="Heading2"/>
      </w:pPr>
      <w:r w:rsidRPr="00A40EE1">
        <w:t xml:space="preserve">8A - </w:t>
      </w:r>
      <w:r w:rsidR="008203B4" w:rsidRPr="00A40EE1">
        <w:t>Prior FFY Required Actions</w:t>
      </w:r>
    </w:p>
    <w:p w14:paraId="7CDC5E88" w14:textId="330316F2" w:rsidR="004C1CEE" w:rsidRPr="00ED172B" w:rsidRDefault="00320806" w:rsidP="008203B4">
      <w:pPr>
        <w:rPr>
          <w:rFonts w:cs="Arial"/>
          <w:color w:val="000000" w:themeColor="text1"/>
          <w:szCs w:val="16"/>
        </w:rPr>
      </w:pPr>
      <w:r w:rsidRPr="00ED172B">
        <w:rPr>
          <w:color w:val="000000" w:themeColor="text1"/>
        </w:rPr>
        <w:t>Because the State reported less than 100% compliance for FFY 2021, the State must report on the status of correction of noncompliance identified in FFY 2021 for this indicator. When reporting on the correction of noncompliance, the State must report, in the FFY 2022 SPP/APR, that it has verified that each EIS program or provider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2022 SPP/APR, the State must describe the specific actions that were taken to verify the correction.</w:t>
      </w:r>
      <w:r w:rsidRPr="00ED172B">
        <w:rPr>
          <w:color w:val="000000" w:themeColor="text1"/>
        </w:rPr>
        <w:br/>
        <w:t>If the State did not identify any findings of noncompliance in FFY 2021, although its FFY 2021 data reflect less than 100% compliance, provide an explanation of why the State did not identify any findings of noncompliance in FFY 2021.</w:t>
      </w:r>
    </w:p>
    <w:p w14:paraId="61E6D547" w14:textId="25A08117" w:rsidR="008203B4" w:rsidRPr="00ED172B" w:rsidRDefault="008203B4" w:rsidP="00B83404">
      <w:pPr>
        <w:rPr>
          <w:color w:val="000000" w:themeColor="text1"/>
        </w:rPr>
      </w:pPr>
      <w:r w:rsidRPr="00ED172B">
        <w:rPr>
          <w:b/>
          <w:color w:val="000000" w:themeColor="text1"/>
        </w:rPr>
        <w:t>Response to actions required in FFY 2021 SPP/APR</w:t>
      </w:r>
      <w:r w:rsidR="00950382" w:rsidRPr="00ED172B">
        <w:rPr>
          <w:color w:val="000000" w:themeColor="text1"/>
        </w:rPr>
        <w:t xml:space="preserve"> </w:t>
      </w:r>
    </w:p>
    <w:p w14:paraId="4E3E58E2" w14:textId="3B865535" w:rsidR="004C1CEE" w:rsidRPr="00ED172B" w:rsidRDefault="00320806" w:rsidP="00027F39">
      <w:pPr>
        <w:rPr>
          <w:color w:val="000000" w:themeColor="text1"/>
        </w:rPr>
      </w:pPr>
      <w:r w:rsidRPr="00ED172B">
        <w:rPr>
          <w:color w:val="000000" w:themeColor="text1"/>
        </w:rPr>
        <w:t>Describe how the State verified that the source of noncompliance is correctly implementing the regulatory requirements.</w:t>
      </w:r>
      <w:r w:rsidRPr="00ED172B">
        <w:rPr>
          <w:color w:val="000000" w:themeColor="text1"/>
        </w:rPr>
        <w:br/>
      </w:r>
      <w:r w:rsidRPr="00ED172B">
        <w:rPr>
          <w:color w:val="000000" w:themeColor="text1"/>
        </w:rPr>
        <w:br/>
        <w:t>In FFY 2021, 87.50% (126/144) of child files reviewed for EI transition included transition steps at least 90 calendar days, and, at the discretion of the parties, up to nine months before the child's third birthday to support the child's transition to preschool and other appropriate community services.</w:t>
      </w:r>
      <w:r w:rsidRPr="00ED172B">
        <w:rPr>
          <w:color w:val="000000" w:themeColor="text1"/>
        </w:rPr>
        <w:br/>
      </w:r>
      <w:r w:rsidRPr="00ED172B">
        <w:rPr>
          <w:color w:val="000000" w:themeColor="text1"/>
        </w:rPr>
        <w:br/>
        <w:t>As per OSEP QA 23-01 the State reviewed and verified corrective action data submitted to the State in SPR&amp;I by EI/ECSE programs with noncompliance and the State reviewed the individual child files in ecWeb (the statewide EI/ECSE special education file database) confirming 100% (18/18) of incidents of noncompliance in FFY 2021 were corrected within one year.</w:t>
      </w:r>
      <w:r w:rsidRPr="00ED172B">
        <w:rPr>
          <w:color w:val="000000" w:themeColor="text1"/>
        </w:rPr>
        <w:br/>
      </w:r>
      <w:r w:rsidRPr="00ED172B">
        <w:rPr>
          <w:color w:val="000000" w:themeColor="text1"/>
        </w:rPr>
        <w:br/>
        <w:t xml:space="preserve">The State verified through additional file reviews (of files created after the correction of individual noncompliance) submitted to the State in SPR&amp;I and reviewed and approved by the State, that programs with noncompliance demonstrated current compliance and correct implementation of regulatory requirements [34 CFR §303.209 and 303.344(h))] and (20 U.S.C. 1416(a)(3)(B) and 1442). </w:t>
      </w:r>
      <w:r w:rsidRPr="00ED172B">
        <w:rPr>
          <w:color w:val="000000" w:themeColor="text1"/>
        </w:rPr>
        <w:br/>
      </w:r>
      <w:r w:rsidRPr="00ED172B">
        <w:rPr>
          <w:color w:val="000000" w:themeColor="text1"/>
        </w:rPr>
        <w:br/>
        <w:t>The following steps were completed for the verification process for each individual noncompliance:</w:t>
      </w:r>
      <w:r w:rsidRPr="00ED172B">
        <w:rPr>
          <w:color w:val="000000" w:themeColor="text1"/>
        </w:rPr>
        <w:br/>
        <w:t>•</w:t>
      </w:r>
      <w:r w:rsidRPr="00ED172B">
        <w:rPr>
          <w:color w:val="000000" w:themeColor="text1"/>
        </w:rPr>
        <w:tab/>
        <w:t xml:space="preserve">The EI program provided the reason for each individual noncompliance through online submission into SPR&amp;I, Oregon’s monitoring system. </w:t>
      </w:r>
      <w:r w:rsidRPr="00ED172B">
        <w:rPr>
          <w:color w:val="000000" w:themeColor="text1"/>
        </w:rPr>
        <w:br/>
        <w:t>•</w:t>
      </w:r>
      <w:r w:rsidRPr="00ED172B">
        <w:rPr>
          <w:color w:val="000000" w:themeColor="text1"/>
        </w:rPr>
        <w:tab/>
        <w:t xml:space="preserve">The State reviewed the reason for noncompliance and indicated corrective action needed. </w:t>
      </w:r>
      <w:r w:rsidRPr="00ED172B">
        <w:rPr>
          <w:color w:val="000000" w:themeColor="text1"/>
        </w:rPr>
        <w:br/>
        <w:t>•</w:t>
      </w:r>
      <w:r w:rsidRPr="00ED172B">
        <w:rPr>
          <w:color w:val="000000" w:themeColor="text1"/>
        </w:rPr>
        <w:tab/>
        <w:t xml:space="preserve">The EI program submitted the corrective action on the individual noncompliance in SPR&amp;I. </w:t>
      </w:r>
      <w:r w:rsidRPr="00ED172B">
        <w:rPr>
          <w:color w:val="000000" w:themeColor="text1"/>
        </w:rPr>
        <w:br/>
        <w:t>•</w:t>
      </w:r>
      <w:r w:rsidRPr="00ED172B">
        <w:rPr>
          <w:color w:val="000000" w:themeColor="text1"/>
        </w:rPr>
        <w:tab/>
        <w:t xml:space="preserve">The State reviewed the submitted corrective action and individual child files in ecWeb (the statewide EI/ECSE special education database) and approved the same. </w:t>
      </w:r>
      <w:r w:rsidRPr="00ED172B">
        <w:rPr>
          <w:color w:val="000000" w:themeColor="text1"/>
        </w:rPr>
        <w:br/>
      </w:r>
      <w:r w:rsidRPr="00ED172B">
        <w:rPr>
          <w:color w:val="000000" w:themeColor="text1"/>
        </w:rPr>
        <w:br/>
        <w:t>Demonstration of correction of practices that contributed to the noncompliance, as well as current compliance with 34 CFR §303.209 and 303.344(h) and (20 U.S.C. 1416(a)(3)(B) and 1442), was obtained through the following:</w:t>
      </w:r>
      <w:r w:rsidRPr="00ED172B">
        <w:rPr>
          <w:color w:val="000000" w:themeColor="text1"/>
        </w:rPr>
        <w:br/>
      </w:r>
      <w:r w:rsidRPr="00ED172B">
        <w:rPr>
          <w:color w:val="000000" w:themeColor="text1"/>
        </w:rPr>
        <w:lastRenderedPageBreak/>
        <w:t>•</w:t>
      </w:r>
      <w:r w:rsidRPr="00ED172B">
        <w:rPr>
          <w:color w:val="000000" w:themeColor="text1"/>
        </w:rPr>
        <w:tab/>
        <w:t xml:space="preserve">For the identified area of noncompliance, the EI programs with noncompliance completed additional reviews of files that were developed after the original noncompliance in the area of the identified noncompliance and submitted these to the State in SPR&amp;I. </w:t>
      </w:r>
      <w:r w:rsidRPr="00ED172B">
        <w:rPr>
          <w:color w:val="000000" w:themeColor="text1"/>
        </w:rPr>
        <w:br/>
        <w:t>•</w:t>
      </w:r>
      <w:r w:rsidRPr="00ED172B">
        <w:rPr>
          <w:color w:val="000000" w:themeColor="text1"/>
        </w:rPr>
        <w:tab/>
        <w:t xml:space="preserve">The State used ecWeb (the statewide EI/ECSE special education file database) to review the additional file reviews and individual child files for each EI Program and verified as per OSEP QA 23-01 that each EI program with corrected noncompliance. was in compliance and correctly implementing 34 CFR §303.209 and 303.344(h)) and (20 U.S.C. 1416(a)(3)(B) and 1442). </w:t>
      </w:r>
      <w:r w:rsidRPr="00ED172B">
        <w:rPr>
          <w:color w:val="000000" w:themeColor="text1"/>
        </w:rPr>
        <w:br/>
        <w:t>• All additional file reviews conducted after the original noncompliance were required to be compliant. If there was additional noncompliance in these files, this would become a systemic correction and require additional interventions followed by additional file reviews in the area of noncompliance. For this APR, 100% of additional file reviews were verified by the State as being compliant through a desk audit review of the original file utilizing ecWeb, the statewide EI/ECSE special education file database.</w:t>
      </w:r>
    </w:p>
    <w:p w14:paraId="28C74454" w14:textId="78BCAE4D" w:rsidR="008203B4" w:rsidRPr="00A40EE1" w:rsidRDefault="000D0117" w:rsidP="007B0787">
      <w:pPr>
        <w:pStyle w:val="Heading2"/>
      </w:pPr>
      <w:r w:rsidRPr="00A40EE1">
        <w:t xml:space="preserve">8A - </w:t>
      </w:r>
      <w:r w:rsidR="008203B4" w:rsidRPr="00A40EE1">
        <w:t>OSEP Response</w:t>
      </w:r>
    </w:p>
    <w:p w14:paraId="7F9516DD" w14:textId="5C7EAF59" w:rsidR="008203B4" w:rsidRPr="00ED172B" w:rsidRDefault="008203B4" w:rsidP="00320806">
      <w:pPr>
        <w:rPr>
          <w:color w:val="000000" w:themeColor="text1"/>
        </w:rPr>
      </w:pPr>
    </w:p>
    <w:p w14:paraId="159B2003" w14:textId="176E124F" w:rsidR="008203B4" w:rsidRPr="00A40EE1" w:rsidRDefault="000D0117" w:rsidP="007B0787">
      <w:pPr>
        <w:pStyle w:val="Heading2"/>
      </w:pPr>
      <w:r w:rsidRPr="00A40EE1">
        <w:t xml:space="preserve">8A - </w:t>
      </w:r>
      <w:r w:rsidR="008203B4" w:rsidRPr="00A40EE1">
        <w:t>Required Actions</w:t>
      </w:r>
    </w:p>
    <w:p w14:paraId="7B27D326" w14:textId="40409C6F" w:rsidR="008203B4" w:rsidRPr="00ED172B" w:rsidRDefault="00320806" w:rsidP="00320806">
      <w:pPr>
        <w:rPr>
          <w:color w:val="000000" w:themeColor="text1"/>
        </w:rPr>
      </w:pPr>
      <w:r w:rsidRPr="00ED172B">
        <w:rPr>
          <w:color w:val="000000" w:themeColor="text1"/>
        </w:rPr>
        <w:t>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EIS program or provider with noncompliance identified in FFY 2022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QA 23-01. In the FFY 2023 SPP/APR, the State must describe the specific actions that were taken to verify the correction. If the State did not identify any findings of noncompliance in FFY 2022, although its FFY 2022 data reflect less than 100% compliance, provide an explanation of why the State did not identify any findings of noncompliance in FFY 2022.</w:t>
      </w:r>
    </w:p>
    <w:p w14:paraId="3F0CFF81" w14:textId="77777777" w:rsidR="008203B4" w:rsidRPr="00ED172B" w:rsidRDefault="008203B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62D7C46F" w14:textId="41DC649F" w:rsidR="00D77E41" w:rsidRPr="00ED172B" w:rsidRDefault="00D77E41" w:rsidP="00D77E41">
      <w:pPr>
        <w:pStyle w:val="Heading1"/>
        <w:rPr>
          <w:color w:val="000000" w:themeColor="text1"/>
        </w:rPr>
      </w:pPr>
      <w:r w:rsidRPr="00ED172B">
        <w:rPr>
          <w:color w:val="000000" w:themeColor="text1"/>
        </w:rPr>
        <w:lastRenderedPageBreak/>
        <w:t>Indicator 8B: Early Childhood Transition</w:t>
      </w:r>
    </w:p>
    <w:p w14:paraId="0A97D3D5" w14:textId="77777777" w:rsidR="00D77E41" w:rsidRPr="00ED172B" w:rsidRDefault="00D77E41" w:rsidP="00186420">
      <w:pPr>
        <w:rPr>
          <w:color w:val="000000" w:themeColor="text1"/>
          <w:szCs w:val="20"/>
        </w:rPr>
      </w:pPr>
      <w:r w:rsidRPr="00ED172B">
        <w:rPr>
          <w:b/>
          <w:color w:val="000000" w:themeColor="text1"/>
          <w:sz w:val="20"/>
          <w:szCs w:val="20"/>
        </w:rPr>
        <w:t>Instructions and Measurement</w:t>
      </w:r>
    </w:p>
    <w:p w14:paraId="7DA64F5E" w14:textId="28F4CBCC" w:rsidR="00D77E41" w:rsidRPr="00ED172B" w:rsidRDefault="00D77E41" w:rsidP="00D77E41">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r w:rsidR="00616172" w:rsidRPr="00ED172B">
        <w:rPr>
          <w:color w:val="000000" w:themeColor="text1"/>
          <w:szCs w:val="16"/>
        </w:rPr>
        <w:t>Effective Transition</w:t>
      </w:r>
    </w:p>
    <w:p w14:paraId="703FC3CE" w14:textId="77777777" w:rsidR="00D77E41" w:rsidRPr="00ED172B" w:rsidRDefault="00D77E41" w:rsidP="00D77E41">
      <w:pPr>
        <w:rPr>
          <w:color w:val="000000" w:themeColor="text1"/>
          <w:szCs w:val="16"/>
        </w:rPr>
      </w:pPr>
      <w:r w:rsidRPr="00ED172B">
        <w:rPr>
          <w:b/>
          <w:color w:val="000000" w:themeColor="text1"/>
          <w:szCs w:val="16"/>
        </w:rPr>
        <w:t xml:space="preserve">Compliance indicator: </w:t>
      </w:r>
      <w:r w:rsidRPr="00ED172B">
        <w:rPr>
          <w:color w:val="000000" w:themeColor="text1"/>
          <w:szCs w:val="16"/>
        </w:rPr>
        <w:t>The percentage of toddlers with disabilities exiting Part C with timely transition planning for whom the Lead Agency has:</w:t>
      </w:r>
    </w:p>
    <w:p w14:paraId="59479D03" w14:textId="3E438AD7" w:rsidR="00D77E41" w:rsidRPr="00ED172B" w:rsidRDefault="007F55E8" w:rsidP="00ED172B">
      <w:pPr>
        <w:ind w:left="360"/>
        <w:rPr>
          <w:color w:val="000000" w:themeColor="text1"/>
          <w:szCs w:val="16"/>
        </w:rPr>
      </w:pPr>
      <w:r w:rsidRPr="00ED172B">
        <w:rPr>
          <w:color w:val="000000" w:themeColor="text1"/>
          <w:szCs w:val="16"/>
        </w:rPr>
        <w:t>A. Developed an IFSP with transition steps and services at least 90 days, and at the discretion of all parties, not more than nine months, prior to the toddler’s third birthday;</w:t>
      </w:r>
    </w:p>
    <w:p w14:paraId="2B5F5A93" w14:textId="1E641E45" w:rsidR="00D77E41" w:rsidRPr="00ED172B" w:rsidRDefault="007F55E8" w:rsidP="00ED172B">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00CD1148" w:rsidRPr="003461DB">
        <w:rPr>
          <w:szCs w:val="16"/>
        </w:rPr>
        <w:t xml:space="preserve"> </w:t>
      </w:r>
      <w:r w:rsidR="00CD1148">
        <w:rPr>
          <w:szCs w:val="16"/>
        </w:rPr>
        <w:t>(</w:t>
      </w:r>
      <w:r w:rsidR="00CD1148" w:rsidRPr="003461DB">
        <w:rPr>
          <w:szCs w:val="16"/>
        </w:rPr>
        <w:t>SEA</w:t>
      </w:r>
      <w:r w:rsidR="00CD1148">
        <w:rPr>
          <w:szCs w:val="16"/>
        </w:rPr>
        <w:t>)</w:t>
      </w:r>
      <w:r w:rsidR="00CD1148" w:rsidRPr="003461DB">
        <w:rPr>
          <w:szCs w:val="16"/>
        </w:rPr>
        <w:t xml:space="preserve"> and</w:t>
      </w:r>
      <w:r w:rsidR="00CD1148">
        <w:rPr>
          <w:szCs w:val="16"/>
        </w:rPr>
        <w:t xml:space="preserve"> the local educational agency</w:t>
      </w:r>
      <w:r w:rsidR="00CD1148" w:rsidRPr="00524F62" w:rsidDel="007157B8">
        <w:rPr>
          <w:szCs w:val="16"/>
        </w:rPr>
        <w:t xml:space="preserve"> </w:t>
      </w:r>
      <w:r w:rsidR="00CD1148">
        <w:rPr>
          <w:szCs w:val="16"/>
        </w:rPr>
        <w:t>(</w:t>
      </w:r>
      <w:r w:rsidR="00CD1148" w:rsidRPr="00524F62">
        <w:rPr>
          <w:szCs w:val="16"/>
        </w:rPr>
        <w:t>LEA</w:t>
      </w:r>
      <w:r w:rsidR="00CD1148">
        <w:rPr>
          <w:szCs w:val="16"/>
        </w:rPr>
        <w:t>)</w:t>
      </w:r>
      <w:r w:rsidR="00CD1148" w:rsidRPr="00524F62">
        <w:rPr>
          <w:szCs w:val="16"/>
        </w:rPr>
        <w:t xml:space="preserve"> </w:t>
      </w:r>
      <w:r w:rsidRPr="00ED172B">
        <w:rPr>
          <w:color w:val="000000" w:themeColor="text1"/>
          <w:szCs w:val="16"/>
        </w:rPr>
        <w:t>where the toddler resides at least 90 days prior to the toddler’s third birthday for toddlers potentially eligible for Part B preschool services; and</w:t>
      </w:r>
    </w:p>
    <w:p w14:paraId="0422951E" w14:textId="120760CD" w:rsidR="00D77E41" w:rsidRPr="00ED172B" w:rsidRDefault="007F55E8" w:rsidP="00ED172B">
      <w:pPr>
        <w:ind w:left="360"/>
        <w:rPr>
          <w:color w:val="000000" w:themeColor="text1"/>
          <w:szCs w:val="16"/>
        </w:rPr>
      </w:pPr>
      <w:r w:rsidRPr="00ED172B">
        <w:rPr>
          <w:color w:val="000000" w:themeColor="text1"/>
          <w:szCs w:val="16"/>
        </w:rPr>
        <w:t>C. Conducted the transition conference held with the approval of the family at least 90 days, and at the discretion of all parties, not more than nine months, prior to the toddler’s third birthday for toddlers potentially eligible for Part B preschool services.</w:t>
      </w:r>
    </w:p>
    <w:p w14:paraId="3DBF5FF6" w14:textId="77777777" w:rsidR="00D77E41" w:rsidRPr="00ED172B" w:rsidRDefault="00D77E41" w:rsidP="00D77E41">
      <w:pPr>
        <w:rPr>
          <w:color w:val="000000" w:themeColor="text1"/>
          <w:szCs w:val="16"/>
        </w:rPr>
      </w:pPr>
      <w:r w:rsidRPr="00ED172B">
        <w:rPr>
          <w:color w:val="000000" w:themeColor="text1"/>
          <w:szCs w:val="16"/>
        </w:rPr>
        <w:t>(20 U.S.C. 1416(a)(3)(B) and 1442)</w:t>
      </w:r>
    </w:p>
    <w:p w14:paraId="71D145D1" w14:textId="77777777" w:rsidR="00D77E41" w:rsidRPr="00ED172B" w:rsidRDefault="00D77E41">
      <w:pPr>
        <w:rPr>
          <w:b/>
          <w:color w:val="000000" w:themeColor="text1"/>
        </w:rPr>
      </w:pPr>
      <w:r w:rsidRPr="00ED172B">
        <w:rPr>
          <w:b/>
          <w:color w:val="000000" w:themeColor="text1"/>
        </w:rPr>
        <w:t>Data Source</w:t>
      </w:r>
    </w:p>
    <w:p w14:paraId="047060E2" w14:textId="77777777" w:rsidR="00D77E41" w:rsidRPr="00ED172B" w:rsidRDefault="00D77E41" w:rsidP="00D77E41">
      <w:pPr>
        <w:rPr>
          <w:color w:val="000000" w:themeColor="text1"/>
          <w:szCs w:val="16"/>
        </w:rPr>
      </w:pPr>
      <w:r w:rsidRPr="00ED172B">
        <w:rPr>
          <w:color w:val="000000" w:themeColor="text1"/>
          <w:szCs w:val="16"/>
        </w:rPr>
        <w:t>Data to be taken from monitoring or State data system.</w:t>
      </w:r>
    </w:p>
    <w:p w14:paraId="66417E9D" w14:textId="77777777" w:rsidR="00D77E41" w:rsidRPr="00ED172B" w:rsidRDefault="00D77E41">
      <w:pPr>
        <w:rPr>
          <w:b/>
          <w:color w:val="000000" w:themeColor="text1"/>
        </w:rPr>
      </w:pPr>
      <w:r w:rsidRPr="00ED172B">
        <w:rPr>
          <w:b/>
          <w:color w:val="000000" w:themeColor="text1"/>
        </w:rPr>
        <w:t>Measurement</w:t>
      </w:r>
    </w:p>
    <w:p w14:paraId="79A335EE" w14:textId="7675FDF4" w:rsidR="00D77E41" w:rsidRPr="00ED172B" w:rsidRDefault="007F55E8" w:rsidP="00ED172B">
      <w:pPr>
        <w:ind w:left="360"/>
        <w:rPr>
          <w:color w:val="000000" w:themeColor="text1"/>
          <w:szCs w:val="16"/>
        </w:rPr>
      </w:pPr>
      <w:r w:rsidRPr="00ED172B">
        <w:rPr>
          <w:color w:val="000000" w:themeColor="text1"/>
          <w:szCs w:val="16"/>
        </w:rPr>
        <w:t>A. Percent = [(# of toddlers with disabilities exiting Part C who have an IFSP with transition steps and services at least 90 days, and at the discretion of all parties not more than nine months, prior to their third birthday) divided by the (# of toddlers with disabilities exiting Part C)] times 100.</w:t>
      </w:r>
    </w:p>
    <w:p w14:paraId="0558F70E" w14:textId="66B1F570" w:rsidR="00D77E41" w:rsidRPr="00ED172B" w:rsidRDefault="007F55E8" w:rsidP="00ED172B">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14:paraId="410A96D9" w14:textId="0637E1FF" w:rsidR="00D77E41" w:rsidRPr="00ED172B" w:rsidRDefault="007F55E8" w:rsidP="00ED172B">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14:paraId="4E49D69A" w14:textId="77777777" w:rsidR="00D77E41" w:rsidRPr="00ED172B" w:rsidRDefault="00D77E41" w:rsidP="00D77E41">
      <w:pPr>
        <w:rPr>
          <w:color w:val="000000" w:themeColor="text1"/>
          <w:szCs w:val="16"/>
        </w:rPr>
      </w:pPr>
      <w:r w:rsidRPr="00ED172B">
        <w:rPr>
          <w:color w:val="000000" w:themeColor="text1"/>
          <w:szCs w:val="16"/>
        </w:rPr>
        <w:t>Account for untimely transition planning under 8A, 8B, and 8C, including the reasons for delays.</w:t>
      </w:r>
    </w:p>
    <w:p w14:paraId="01BAAEA3" w14:textId="77777777" w:rsidR="00D77E41" w:rsidRPr="00ED172B" w:rsidRDefault="00D77E41">
      <w:pPr>
        <w:rPr>
          <w:b/>
          <w:color w:val="000000" w:themeColor="text1"/>
        </w:rPr>
      </w:pPr>
      <w:r w:rsidRPr="00ED172B">
        <w:rPr>
          <w:b/>
          <w:color w:val="000000" w:themeColor="text1"/>
        </w:rPr>
        <w:t>Instructions</w:t>
      </w:r>
    </w:p>
    <w:p w14:paraId="71CA4AC6" w14:textId="77777777" w:rsidR="00D77E41" w:rsidRPr="00ED172B" w:rsidRDefault="00D77E41" w:rsidP="00D77E41">
      <w:pPr>
        <w:rPr>
          <w:color w:val="000000" w:themeColor="text1"/>
          <w:szCs w:val="16"/>
        </w:rPr>
      </w:pPr>
      <w:r w:rsidRPr="00ED172B">
        <w:rPr>
          <w:color w:val="000000" w:themeColor="text1"/>
          <w:szCs w:val="16"/>
        </w:rPr>
        <w:t>Indicators 8A, 8B, and 8C: Targets must be 100%.</w:t>
      </w:r>
    </w:p>
    <w:p w14:paraId="78A38A89" w14:textId="77777777" w:rsidR="00D77E41" w:rsidRPr="00ED172B" w:rsidRDefault="00D77E41" w:rsidP="00D77E41">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14:paraId="35069D3C" w14:textId="77777777" w:rsidR="00D77E41" w:rsidRPr="00ED172B" w:rsidRDefault="00D77E41" w:rsidP="00D77E41">
      <w:pPr>
        <w:rPr>
          <w:color w:val="000000" w:themeColor="text1"/>
          <w:szCs w:val="16"/>
        </w:rPr>
      </w:pPr>
      <w:r w:rsidRPr="00ED172B">
        <w:rPr>
          <w:color w:val="000000" w:themeColor="text1"/>
          <w:szCs w:val="16"/>
        </w:rPr>
        <w:t xml:space="preserve">Indicators 8A and 8C: If data are from the State’s monitoring, describe the procedures used to collect these data. If data are from State monitoring, also describe the method used to select EIS programs for monitoring. If data are from a </w:t>
      </w:r>
      <w:proofErr w:type="gramStart"/>
      <w:r w:rsidRPr="00ED172B">
        <w:rPr>
          <w:color w:val="000000" w:themeColor="text1"/>
          <w:szCs w:val="16"/>
        </w:rPr>
        <w:t>State</w:t>
      </w:r>
      <w:proofErr w:type="gramEnd"/>
      <w:r w:rsidRPr="00ED172B">
        <w:rPr>
          <w:color w:val="000000" w:themeColor="text1"/>
          <w:szCs w:val="16"/>
        </w:rPr>
        <w:t xml:space="preserv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59CADD30" w14:textId="77777777" w:rsidR="00D77E41" w:rsidRPr="00ED172B" w:rsidRDefault="00D77E41" w:rsidP="00D77E41">
      <w:pPr>
        <w:rPr>
          <w:color w:val="000000" w:themeColor="text1"/>
          <w:szCs w:val="16"/>
        </w:rPr>
      </w:pPr>
      <w:r w:rsidRPr="00ED172B">
        <w:rPr>
          <w:color w:val="000000" w:themeColor="text1"/>
          <w:szCs w:val="16"/>
        </w:rPr>
        <w:t>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569464D6" w14:textId="77777777" w:rsidR="00D77E41" w:rsidRPr="00ED172B" w:rsidRDefault="00D77E41" w:rsidP="00D77E41">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14:paraId="15ED3CE3" w14:textId="77777777" w:rsidR="00D77E41" w:rsidRPr="00ED172B" w:rsidRDefault="00D77E41" w:rsidP="00D77E41">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and, as such, only children between 2 years 3 months and age 3 should be included in the denominator.</w:t>
      </w:r>
    </w:p>
    <w:p w14:paraId="49458D75" w14:textId="77777777" w:rsidR="00D77E41" w:rsidRPr="00ED172B" w:rsidRDefault="00D77E41" w:rsidP="00D77E41">
      <w:pPr>
        <w:rPr>
          <w:color w:val="000000" w:themeColor="text1"/>
          <w:szCs w:val="16"/>
        </w:rPr>
      </w:pPr>
      <w:r w:rsidRPr="00ED172B">
        <w:rPr>
          <w:color w:val="000000" w:themeColor="text1"/>
          <w:szCs w:val="16"/>
        </w:rPr>
        <w:t xml:space="preserve">Indicator 8C: Do not include in the </w:t>
      </w:r>
      <w:proofErr w:type="gramStart"/>
      <w:r w:rsidRPr="00ED172B">
        <w:rPr>
          <w:color w:val="000000" w:themeColor="text1"/>
          <w:szCs w:val="16"/>
        </w:rPr>
        <w:t>calculation, but</w:t>
      </w:r>
      <w:proofErr w:type="gramEnd"/>
      <w:r w:rsidRPr="00ED172B">
        <w:rPr>
          <w:color w:val="000000" w:themeColor="text1"/>
          <w:szCs w:val="16"/>
        </w:rPr>
        <w:t xml:space="preserve"> provide a separate number for those toddlers for whom the parent did not provide approval for the transition conference.</w:t>
      </w:r>
    </w:p>
    <w:p w14:paraId="0C5095CD" w14:textId="41A1BA7A" w:rsidR="00D77E41" w:rsidRPr="00ED172B" w:rsidRDefault="00D77E41" w:rsidP="00D77E41">
      <w:pPr>
        <w:rPr>
          <w:color w:val="000000" w:themeColor="text1"/>
          <w:szCs w:val="16"/>
        </w:rPr>
      </w:pPr>
      <w:r w:rsidRPr="00ED172B">
        <w:rPr>
          <w:color w:val="000000" w:themeColor="text1"/>
          <w:szCs w:val="16"/>
        </w:rPr>
        <w:t xml:space="preserve">Indicators 8A, 8B, and 8C: Provide detailed information about the timely correction of </w:t>
      </w:r>
      <w:r w:rsidR="00CF4EC7" w:rsidRPr="00D21F29">
        <w:rPr>
          <w:color w:val="000000" w:themeColor="text1"/>
          <w:szCs w:val="16"/>
        </w:rPr>
        <w:t>child-specific and regulatory/systemic</w:t>
      </w:r>
      <w:r w:rsidR="00CF4EC7" w:rsidRPr="00ED172B">
        <w:rPr>
          <w:color w:val="000000" w:themeColor="text1"/>
          <w:szCs w:val="16"/>
        </w:rPr>
        <w:t xml:space="preserve"> </w:t>
      </w:r>
      <w:r w:rsidRPr="00ED172B">
        <w:rPr>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0A8F9A37" w14:textId="1FB90C52" w:rsidR="00D77E41" w:rsidRPr="00ED172B" w:rsidRDefault="00D77E41" w:rsidP="00D77E41">
      <w:pPr>
        <w:rPr>
          <w:color w:val="000000" w:themeColor="text1"/>
          <w:szCs w:val="16"/>
        </w:rPr>
      </w:pPr>
      <w:r w:rsidRPr="00ED172B">
        <w:rPr>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421BE10F" w14:textId="18A4FC4D" w:rsidR="00D77E41" w:rsidRPr="00A40EE1" w:rsidRDefault="000D0117" w:rsidP="007B0787">
      <w:pPr>
        <w:pStyle w:val="Heading2"/>
      </w:pPr>
      <w:r w:rsidRPr="00A40EE1">
        <w:t xml:space="preserve">8B - </w:t>
      </w:r>
      <w:r w:rsidR="00D77E41" w:rsidRPr="00A40EE1">
        <w:t>Indicator Data</w:t>
      </w:r>
    </w:p>
    <w:p w14:paraId="54D3A572" w14:textId="24F2B487" w:rsidR="00DC0682" w:rsidRDefault="00DC0682">
      <w:pPr>
        <w:rPr>
          <w:b/>
          <w:color w:val="000000" w:themeColor="text1"/>
        </w:rPr>
      </w:pPr>
      <w:r w:rsidRPr="00ED172B">
        <w:rPr>
          <w:b/>
          <w:color w:val="000000" w:themeColor="text1"/>
        </w:rPr>
        <w:t>Historical Data</w:t>
      </w: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BBASELINEDATA"/>
      </w:tblPr>
      <w:tblGrid>
        <w:gridCol w:w="2899"/>
        <w:gridCol w:w="875"/>
      </w:tblGrid>
      <w:tr w:rsidR="00C25621" w:rsidRPr="00ED172B" w14:paraId="20E9FA47" w14:textId="77777777" w:rsidTr="00A40EE1">
        <w:trPr>
          <w:trHeight w:val="350"/>
          <w:tblHeader/>
        </w:trPr>
        <w:tc>
          <w:tcPr>
            <w:tcW w:w="4285" w:type="pct"/>
            <w:tcBorders>
              <w:bottom w:val="single" w:sz="4" w:space="0" w:color="auto"/>
            </w:tcBorders>
            <w:shd w:val="clear" w:color="auto" w:fill="auto"/>
            <w:vAlign w:val="center"/>
          </w:tcPr>
          <w:p w14:paraId="5164113B" w14:textId="77777777" w:rsidR="00C25621" w:rsidRPr="001071FD" w:rsidRDefault="00C25621" w:rsidP="00C15786">
            <w:pPr>
              <w:jc w:val="center"/>
              <w:rPr>
                <w:b/>
                <w:bCs/>
                <w:color w:val="000000" w:themeColor="text1"/>
              </w:rPr>
            </w:pPr>
            <w:r>
              <w:rPr>
                <w:b/>
                <w:bCs/>
                <w:color w:val="000000" w:themeColor="text1"/>
              </w:rPr>
              <w:t>Baseline Year</w:t>
            </w:r>
          </w:p>
        </w:tc>
        <w:tc>
          <w:tcPr>
            <w:tcW w:w="715" w:type="pct"/>
            <w:shd w:val="clear" w:color="auto" w:fill="auto"/>
            <w:vAlign w:val="center"/>
          </w:tcPr>
          <w:p w14:paraId="06F5DB47" w14:textId="77777777" w:rsidR="00C25621" w:rsidRPr="001071FD" w:rsidRDefault="00C25621" w:rsidP="00C15786">
            <w:pPr>
              <w:jc w:val="center"/>
              <w:rPr>
                <w:b/>
                <w:bCs/>
                <w:color w:val="000000" w:themeColor="text1"/>
              </w:rPr>
            </w:pPr>
            <w:r w:rsidRPr="001071FD">
              <w:rPr>
                <w:b/>
                <w:bCs/>
                <w:color w:val="000000" w:themeColor="text1"/>
              </w:rPr>
              <w:t>Baseline Data</w:t>
            </w:r>
          </w:p>
        </w:tc>
      </w:tr>
      <w:tr w:rsidR="000378F3" w:rsidRPr="00ED172B" w14:paraId="2E1B4916" w14:textId="77777777" w:rsidTr="00A40EE1">
        <w:trPr>
          <w:trHeight w:val="350"/>
        </w:trPr>
        <w:tc>
          <w:tcPr>
            <w:tcW w:w="4285" w:type="pct"/>
            <w:tcBorders>
              <w:bottom w:val="single" w:sz="4" w:space="0" w:color="auto"/>
            </w:tcBorders>
            <w:shd w:val="clear" w:color="auto" w:fill="auto"/>
            <w:vAlign w:val="center"/>
          </w:tcPr>
          <w:p w14:paraId="4B333435" w14:textId="19D54FBC" w:rsidR="000378F3" w:rsidRPr="00ED172B" w:rsidRDefault="000378F3" w:rsidP="000378F3">
            <w:pPr>
              <w:jc w:val="center"/>
              <w:rPr>
                <w:b/>
                <w:color w:val="000000" w:themeColor="text1"/>
              </w:rPr>
            </w:pPr>
            <w:r w:rsidRPr="00ED172B">
              <w:rPr>
                <w:color w:val="000000" w:themeColor="text1"/>
              </w:rPr>
              <w:t>2005</w:t>
            </w:r>
          </w:p>
        </w:tc>
        <w:tc>
          <w:tcPr>
            <w:tcW w:w="715" w:type="pct"/>
            <w:shd w:val="clear" w:color="auto" w:fill="auto"/>
            <w:vAlign w:val="center"/>
          </w:tcPr>
          <w:p w14:paraId="0666BADC" w14:textId="408974FB" w:rsidR="000378F3" w:rsidRPr="00ED172B" w:rsidRDefault="000378F3" w:rsidP="000378F3">
            <w:pPr>
              <w:jc w:val="center"/>
              <w:rPr>
                <w:color w:val="000000" w:themeColor="text1"/>
              </w:rPr>
            </w:pPr>
            <w:r w:rsidRPr="00ED172B">
              <w:rPr>
                <w:color w:val="000000" w:themeColor="text1"/>
              </w:rPr>
              <w:t>100.00%</w:t>
            </w:r>
          </w:p>
        </w:tc>
      </w:tr>
    </w:tbl>
    <w:p w14:paraId="0E0458D1"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BHISTDATA"/>
      </w:tblPr>
      <w:tblGrid>
        <w:gridCol w:w="684"/>
        <w:gridCol w:w="2022"/>
        <w:gridCol w:w="2022"/>
        <w:gridCol w:w="2022"/>
        <w:gridCol w:w="2022"/>
        <w:gridCol w:w="2018"/>
      </w:tblGrid>
      <w:tr w:rsidR="00ED172B" w:rsidRPr="00ED172B" w14:paraId="74E8D900" w14:textId="77777777" w:rsidTr="00A40EE1">
        <w:trPr>
          <w:trHeight w:val="350"/>
        </w:trPr>
        <w:tc>
          <w:tcPr>
            <w:tcW w:w="317" w:type="pct"/>
            <w:tcBorders>
              <w:bottom w:val="single" w:sz="4" w:space="0" w:color="auto"/>
            </w:tcBorders>
            <w:shd w:val="clear" w:color="auto" w:fill="auto"/>
          </w:tcPr>
          <w:p w14:paraId="1717825D"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7" w:type="pct"/>
            <w:shd w:val="clear" w:color="auto" w:fill="auto"/>
            <w:vAlign w:val="center"/>
          </w:tcPr>
          <w:p w14:paraId="7BF0D83D" w14:textId="46B1EB30" w:rsidR="00DC0682" w:rsidRPr="00ED172B" w:rsidRDefault="002163F2" w:rsidP="00CD79C5">
            <w:pPr>
              <w:jc w:val="center"/>
              <w:rPr>
                <w:b/>
                <w:color w:val="000000" w:themeColor="text1"/>
                <w:szCs w:val="16"/>
              </w:rPr>
            </w:pPr>
            <w:r w:rsidRPr="00ED172B">
              <w:rPr>
                <w:rFonts w:cs="Arial"/>
                <w:b/>
                <w:color w:val="000000" w:themeColor="text1"/>
                <w:szCs w:val="16"/>
              </w:rPr>
              <w:t>2017</w:t>
            </w:r>
          </w:p>
        </w:tc>
        <w:tc>
          <w:tcPr>
            <w:tcW w:w="937" w:type="pct"/>
            <w:shd w:val="clear" w:color="auto" w:fill="auto"/>
            <w:vAlign w:val="center"/>
          </w:tcPr>
          <w:p w14:paraId="61A48DAD" w14:textId="440E86BA" w:rsidR="00DC0682" w:rsidRPr="00ED172B" w:rsidRDefault="002163F2" w:rsidP="00CD79C5">
            <w:pPr>
              <w:jc w:val="center"/>
              <w:rPr>
                <w:b/>
                <w:color w:val="000000" w:themeColor="text1"/>
                <w:szCs w:val="16"/>
              </w:rPr>
            </w:pPr>
            <w:r w:rsidRPr="00ED172B">
              <w:rPr>
                <w:rFonts w:cs="Arial"/>
                <w:b/>
                <w:color w:val="000000" w:themeColor="text1"/>
                <w:szCs w:val="16"/>
              </w:rPr>
              <w:t>2018</w:t>
            </w:r>
          </w:p>
        </w:tc>
        <w:tc>
          <w:tcPr>
            <w:tcW w:w="937" w:type="pct"/>
            <w:shd w:val="clear" w:color="auto" w:fill="auto"/>
            <w:vAlign w:val="center"/>
          </w:tcPr>
          <w:p w14:paraId="00DC06E2" w14:textId="03CD7FF8"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7" w:type="pct"/>
            <w:shd w:val="clear" w:color="auto" w:fill="auto"/>
            <w:vAlign w:val="center"/>
          </w:tcPr>
          <w:p w14:paraId="1400C832" w14:textId="3C42CAB3" w:rsidR="00DC0682" w:rsidRPr="00ED172B" w:rsidRDefault="002163F2" w:rsidP="00CD79C5">
            <w:pPr>
              <w:jc w:val="center"/>
              <w:rPr>
                <w:b/>
                <w:color w:val="000000" w:themeColor="text1"/>
                <w:szCs w:val="16"/>
              </w:rPr>
            </w:pPr>
            <w:r w:rsidRPr="00ED172B">
              <w:rPr>
                <w:rFonts w:cs="Arial"/>
                <w:b/>
                <w:color w:val="000000" w:themeColor="text1"/>
                <w:szCs w:val="16"/>
              </w:rPr>
              <w:t>2020</w:t>
            </w:r>
          </w:p>
        </w:tc>
        <w:tc>
          <w:tcPr>
            <w:tcW w:w="937" w:type="pct"/>
            <w:shd w:val="clear" w:color="auto" w:fill="auto"/>
            <w:vAlign w:val="center"/>
          </w:tcPr>
          <w:p w14:paraId="7D0CF390" w14:textId="2D52EF81" w:rsidR="00DC0682" w:rsidRPr="00ED172B" w:rsidRDefault="006D43D3" w:rsidP="00CD79C5">
            <w:pPr>
              <w:jc w:val="center"/>
              <w:rPr>
                <w:b/>
                <w:color w:val="000000" w:themeColor="text1"/>
                <w:szCs w:val="16"/>
              </w:rPr>
            </w:pPr>
            <w:r w:rsidRPr="00ED172B">
              <w:rPr>
                <w:rFonts w:cs="Arial"/>
                <w:b/>
                <w:color w:val="000000" w:themeColor="text1"/>
                <w:szCs w:val="16"/>
              </w:rPr>
              <w:t>2021</w:t>
            </w:r>
          </w:p>
        </w:tc>
      </w:tr>
      <w:tr w:rsidR="00ED172B" w:rsidRPr="00ED172B" w14:paraId="2CC40DB3" w14:textId="77777777" w:rsidTr="00A40EE1">
        <w:trPr>
          <w:trHeight w:val="357"/>
        </w:trPr>
        <w:tc>
          <w:tcPr>
            <w:tcW w:w="317" w:type="pct"/>
            <w:shd w:val="clear" w:color="auto" w:fill="auto"/>
          </w:tcPr>
          <w:p w14:paraId="23D9DCFF" w14:textId="6DF7F7F5" w:rsidR="00DC0682" w:rsidRPr="00ED172B" w:rsidRDefault="00DC0682" w:rsidP="00D21F29">
            <w:pPr>
              <w:jc w:val="center"/>
              <w:rPr>
                <w:color w:val="000000" w:themeColor="text1"/>
                <w:szCs w:val="16"/>
              </w:rPr>
            </w:pPr>
            <w:r w:rsidRPr="00ED172B">
              <w:rPr>
                <w:color w:val="000000" w:themeColor="text1"/>
                <w:szCs w:val="16"/>
              </w:rPr>
              <w:t>Target</w:t>
            </w:r>
          </w:p>
        </w:tc>
        <w:tc>
          <w:tcPr>
            <w:tcW w:w="937" w:type="pct"/>
            <w:shd w:val="clear" w:color="auto" w:fill="auto"/>
          </w:tcPr>
          <w:p w14:paraId="77FFF02F" w14:textId="61BAEB5F"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30AE3B34" w14:textId="5AE48E9A"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272204BF" w14:textId="0D3F83CA"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5F1CD878" w14:textId="58AF87B1"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70A95F90" w14:textId="60F56AB0" w:rsidR="00DC0682" w:rsidRPr="00ED172B" w:rsidRDefault="009754A0" w:rsidP="00CD79C5">
            <w:pPr>
              <w:jc w:val="center"/>
              <w:rPr>
                <w:color w:val="000000" w:themeColor="text1"/>
                <w:szCs w:val="16"/>
              </w:rPr>
            </w:pPr>
            <w:r w:rsidRPr="00ED172B">
              <w:rPr>
                <w:color w:val="000000" w:themeColor="text1"/>
                <w:szCs w:val="16"/>
              </w:rPr>
              <w:t>100%</w:t>
            </w:r>
          </w:p>
        </w:tc>
      </w:tr>
      <w:tr w:rsidR="00ED172B" w:rsidRPr="00ED172B" w14:paraId="16D05940" w14:textId="77777777" w:rsidTr="00A40EE1">
        <w:trPr>
          <w:trHeight w:val="85"/>
        </w:trPr>
        <w:tc>
          <w:tcPr>
            <w:tcW w:w="317" w:type="pct"/>
            <w:shd w:val="clear" w:color="auto" w:fill="auto"/>
          </w:tcPr>
          <w:p w14:paraId="784E6590" w14:textId="77777777" w:rsidR="00DC0682" w:rsidRPr="00ED172B" w:rsidRDefault="00DC0682" w:rsidP="00D21F29">
            <w:pPr>
              <w:jc w:val="center"/>
              <w:rPr>
                <w:color w:val="000000" w:themeColor="text1"/>
                <w:szCs w:val="16"/>
              </w:rPr>
            </w:pPr>
            <w:r w:rsidRPr="00ED172B">
              <w:rPr>
                <w:color w:val="000000" w:themeColor="text1"/>
                <w:szCs w:val="16"/>
              </w:rPr>
              <w:t>Data</w:t>
            </w:r>
          </w:p>
        </w:tc>
        <w:tc>
          <w:tcPr>
            <w:tcW w:w="937" w:type="pct"/>
            <w:shd w:val="clear" w:color="auto" w:fill="auto"/>
            <w:vAlign w:val="center"/>
          </w:tcPr>
          <w:p w14:paraId="729B47D6" w14:textId="677BED5B"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shd w:val="clear" w:color="auto" w:fill="auto"/>
            <w:vAlign w:val="center"/>
          </w:tcPr>
          <w:p w14:paraId="4A1FC6C4" w14:textId="77E057A8"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shd w:val="clear" w:color="auto" w:fill="auto"/>
            <w:vAlign w:val="center"/>
          </w:tcPr>
          <w:p w14:paraId="401927F1" w14:textId="4AED5860"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shd w:val="clear" w:color="auto" w:fill="auto"/>
            <w:vAlign w:val="center"/>
          </w:tcPr>
          <w:p w14:paraId="201E211E" w14:textId="33CBB339"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shd w:val="clear" w:color="auto" w:fill="auto"/>
            <w:vAlign w:val="center"/>
          </w:tcPr>
          <w:p w14:paraId="3EE94A33" w14:textId="3ACCE069" w:rsidR="00DC0682" w:rsidRPr="00ED172B" w:rsidRDefault="00860830" w:rsidP="00CD79C5">
            <w:pPr>
              <w:jc w:val="center"/>
              <w:rPr>
                <w:color w:val="000000" w:themeColor="text1"/>
                <w:szCs w:val="16"/>
              </w:rPr>
            </w:pPr>
            <w:r w:rsidRPr="00ED172B">
              <w:rPr>
                <w:rFonts w:cs="Arial"/>
                <w:color w:val="000000" w:themeColor="text1"/>
                <w:szCs w:val="16"/>
              </w:rPr>
              <w:t>100.00%</w:t>
            </w:r>
          </w:p>
        </w:tc>
      </w:tr>
    </w:tbl>
    <w:p w14:paraId="2D378C60" w14:textId="77777777" w:rsidR="008A4FF2" w:rsidRPr="00ED172B" w:rsidRDefault="008A4FF2">
      <w:pPr>
        <w:rPr>
          <w:b/>
          <w:color w:val="000000" w:themeColor="text1"/>
        </w:rPr>
      </w:pPr>
    </w:p>
    <w:p w14:paraId="73617382" w14:textId="77777777" w:rsidR="008A4FF2" w:rsidRPr="00ED172B" w:rsidRDefault="008A4FF2">
      <w:pPr>
        <w:rPr>
          <w:b/>
          <w:color w:val="000000" w:themeColor="text1"/>
        </w:rPr>
      </w:pPr>
    </w:p>
    <w:p w14:paraId="51FCB41B" w14:textId="471107B5" w:rsidR="00DC0682" w:rsidRPr="00ED172B" w:rsidRDefault="00DC0682">
      <w:pPr>
        <w:rPr>
          <w:b/>
          <w:color w:val="000000" w:themeColor="text1"/>
        </w:rPr>
      </w:pPr>
      <w:r w:rsidRPr="00ED172B">
        <w:rPr>
          <w:b/>
          <w:color w:val="000000" w:themeColor="text1"/>
        </w:rPr>
        <w:t>Targets</w:t>
      </w:r>
    </w:p>
    <w:tbl>
      <w:tblPr>
        <w:tblW w:w="4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BTARGETS"/>
      </w:tblPr>
      <w:tblGrid>
        <w:gridCol w:w="679"/>
        <w:gridCol w:w="1911"/>
        <w:gridCol w:w="2042"/>
        <w:gridCol w:w="2042"/>
        <w:gridCol w:w="2042"/>
      </w:tblGrid>
      <w:tr w:rsidR="00C843AF" w:rsidRPr="00ED172B" w14:paraId="02FB5FEC" w14:textId="0147A57A" w:rsidTr="00E415ED">
        <w:trPr>
          <w:trHeight w:val="265"/>
        </w:trPr>
        <w:tc>
          <w:tcPr>
            <w:tcW w:w="318" w:type="pct"/>
            <w:tcBorders>
              <w:bottom w:val="single" w:sz="4" w:space="0" w:color="auto"/>
            </w:tcBorders>
            <w:shd w:val="clear" w:color="auto" w:fill="auto"/>
          </w:tcPr>
          <w:p w14:paraId="66965110" w14:textId="77777777" w:rsidR="00C843AF" w:rsidRPr="00ED172B" w:rsidRDefault="00C843AF" w:rsidP="00A74C59">
            <w:pPr>
              <w:jc w:val="center"/>
              <w:rPr>
                <w:b/>
                <w:color w:val="000000" w:themeColor="text1"/>
                <w:szCs w:val="16"/>
              </w:rPr>
            </w:pPr>
            <w:r w:rsidRPr="00ED172B">
              <w:rPr>
                <w:b/>
                <w:color w:val="000000" w:themeColor="text1"/>
                <w:szCs w:val="16"/>
              </w:rPr>
              <w:t>FFY</w:t>
            </w:r>
          </w:p>
        </w:tc>
        <w:tc>
          <w:tcPr>
            <w:tcW w:w="1114" w:type="pct"/>
            <w:shd w:val="clear" w:color="auto" w:fill="auto"/>
            <w:vAlign w:val="center"/>
          </w:tcPr>
          <w:p w14:paraId="2FB0CA2D" w14:textId="618E9216" w:rsidR="00C843AF" w:rsidRPr="00ED172B" w:rsidRDefault="00C843AF" w:rsidP="00A74C59">
            <w:pPr>
              <w:jc w:val="center"/>
              <w:rPr>
                <w:b/>
                <w:color w:val="000000" w:themeColor="text1"/>
                <w:szCs w:val="16"/>
              </w:rPr>
            </w:pPr>
            <w:r w:rsidRPr="00ED172B">
              <w:rPr>
                <w:rFonts w:cs="Arial"/>
                <w:b/>
                <w:color w:val="000000" w:themeColor="text1"/>
                <w:szCs w:val="16"/>
              </w:rPr>
              <w:t>2022</w:t>
            </w:r>
          </w:p>
        </w:tc>
        <w:tc>
          <w:tcPr>
            <w:tcW w:w="1189" w:type="pct"/>
          </w:tcPr>
          <w:p w14:paraId="34A3F497" w14:textId="71FBA966" w:rsidR="00C843AF" w:rsidRPr="00ED172B" w:rsidRDefault="00C843AF" w:rsidP="00A74C59">
            <w:pPr>
              <w:jc w:val="center"/>
              <w:rPr>
                <w:rFonts w:cs="Arial"/>
                <w:b/>
                <w:color w:val="000000" w:themeColor="text1"/>
                <w:szCs w:val="16"/>
              </w:rPr>
            </w:pPr>
            <w:r>
              <w:rPr>
                <w:rFonts w:cs="Arial"/>
                <w:b/>
                <w:color w:val="000000" w:themeColor="text1"/>
                <w:szCs w:val="16"/>
              </w:rPr>
              <w:t>2023</w:t>
            </w:r>
          </w:p>
        </w:tc>
        <w:tc>
          <w:tcPr>
            <w:tcW w:w="1189" w:type="pct"/>
          </w:tcPr>
          <w:p w14:paraId="10EB1256" w14:textId="5E9E9AED" w:rsidR="00C843AF" w:rsidRPr="00ED172B" w:rsidRDefault="00C843AF" w:rsidP="00A74C59">
            <w:pPr>
              <w:jc w:val="center"/>
              <w:rPr>
                <w:rFonts w:cs="Arial"/>
                <w:b/>
                <w:color w:val="000000" w:themeColor="text1"/>
                <w:szCs w:val="16"/>
              </w:rPr>
            </w:pPr>
            <w:r w:rsidRPr="005A1B4F">
              <w:rPr>
                <w:rFonts w:cs="Arial"/>
                <w:b/>
                <w:color w:val="000000" w:themeColor="text1"/>
                <w:szCs w:val="16"/>
              </w:rPr>
              <w:t>2024</w:t>
            </w:r>
          </w:p>
        </w:tc>
        <w:tc>
          <w:tcPr>
            <w:tcW w:w="1189" w:type="pct"/>
          </w:tcPr>
          <w:p w14:paraId="252B252E" w14:textId="05AA6405" w:rsidR="00C843AF" w:rsidRPr="00ED172B" w:rsidRDefault="00C843AF" w:rsidP="00A74C59">
            <w:pPr>
              <w:jc w:val="center"/>
              <w:rPr>
                <w:rFonts w:cs="Arial"/>
                <w:b/>
                <w:color w:val="000000" w:themeColor="text1"/>
                <w:szCs w:val="16"/>
              </w:rPr>
            </w:pPr>
            <w:r w:rsidRPr="005A1B4F">
              <w:rPr>
                <w:rFonts w:cs="Arial"/>
                <w:b/>
                <w:color w:val="000000" w:themeColor="text1"/>
                <w:szCs w:val="16"/>
              </w:rPr>
              <w:t>2025</w:t>
            </w:r>
          </w:p>
        </w:tc>
      </w:tr>
      <w:tr w:rsidR="00C843AF" w:rsidRPr="00ED172B" w14:paraId="1880903D" w14:textId="5D794342" w:rsidTr="00E415ED">
        <w:trPr>
          <w:trHeight w:val="270"/>
        </w:trPr>
        <w:tc>
          <w:tcPr>
            <w:tcW w:w="318" w:type="pct"/>
            <w:shd w:val="clear" w:color="auto" w:fill="auto"/>
          </w:tcPr>
          <w:p w14:paraId="009B82C2" w14:textId="77777777" w:rsidR="00C843AF" w:rsidRPr="00ED172B" w:rsidRDefault="00C843AF" w:rsidP="00D21F29">
            <w:pPr>
              <w:jc w:val="center"/>
              <w:rPr>
                <w:color w:val="000000" w:themeColor="text1"/>
                <w:szCs w:val="16"/>
              </w:rPr>
            </w:pPr>
            <w:r w:rsidRPr="00ED172B">
              <w:rPr>
                <w:color w:val="000000" w:themeColor="text1"/>
                <w:szCs w:val="16"/>
              </w:rPr>
              <w:t>Target</w:t>
            </w:r>
          </w:p>
        </w:tc>
        <w:tc>
          <w:tcPr>
            <w:tcW w:w="1114" w:type="pct"/>
            <w:shd w:val="clear" w:color="auto" w:fill="auto"/>
          </w:tcPr>
          <w:p w14:paraId="68F3EB6C" w14:textId="1DC405D3" w:rsidR="00C843AF" w:rsidRPr="00ED172B" w:rsidRDefault="00C843AF" w:rsidP="00A74C59">
            <w:pPr>
              <w:jc w:val="center"/>
              <w:rPr>
                <w:color w:val="000000" w:themeColor="text1"/>
                <w:szCs w:val="16"/>
              </w:rPr>
            </w:pPr>
            <w:r w:rsidRPr="00ED172B">
              <w:rPr>
                <w:color w:val="000000" w:themeColor="text1"/>
                <w:szCs w:val="16"/>
              </w:rPr>
              <w:t>100%</w:t>
            </w:r>
          </w:p>
        </w:tc>
        <w:tc>
          <w:tcPr>
            <w:tcW w:w="1189" w:type="pct"/>
          </w:tcPr>
          <w:p w14:paraId="1016327E" w14:textId="3AD6E01E" w:rsidR="00C843AF" w:rsidRPr="00ED172B" w:rsidRDefault="00C843AF" w:rsidP="00A74C59">
            <w:pPr>
              <w:jc w:val="center"/>
              <w:rPr>
                <w:color w:val="000000" w:themeColor="text1"/>
                <w:szCs w:val="16"/>
              </w:rPr>
            </w:pPr>
            <w:r>
              <w:rPr>
                <w:rFonts w:cs="Arial"/>
                <w:color w:val="000000" w:themeColor="text1"/>
                <w:szCs w:val="16"/>
              </w:rPr>
              <w:t>100%</w:t>
            </w:r>
          </w:p>
        </w:tc>
        <w:tc>
          <w:tcPr>
            <w:tcW w:w="1189" w:type="pct"/>
          </w:tcPr>
          <w:p w14:paraId="3E9BB463" w14:textId="1F36391F" w:rsidR="00C843AF" w:rsidRPr="00ED172B" w:rsidRDefault="00C843AF" w:rsidP="00A74C59">
            <w:pPr>
              <w:jc w:val="center"/>
              <w:rPr>
                <w:color w:val="000000" w:themeColor="text1"/>
                <w:szCs w:val="16"/>
              </w:rPr>
            </w:pPr>
            <w:r w:rsidRPr="005F5F3C">
              <w:rPr>
                <w:rFonts w:cs="Arial"/>
                <w:color w:val="000000" w:themeColor="text1"/>
                <w:szCs w:val="16"/>
              </w:rPr>
              <w:t>100%</w:t>
            </w:r>
          </w:p>
        </w:tc>
        <w:tc>
          <w:tcPr>
            <w:tcW w:w="1189" w:type="pct"/>
          </w:tcPr>
          <w:p w14:paraId="7663FEAC" w14:textId="42E191F9" w:rsidR="00C843AF" w:rsidRPr="00ED172B" w:rsidRDefault="00C843AF" w:rsidP="00A74C59">
            <w:pPr>
              <w:jc w:val="center"/>
              <w:rPr>
                <w:color w:val="000000" w:themeColor="text1"/>
                <w:szCs w:val="16"/>
              </w:rPr>
            </w:pPr>
            <w:r w:rsidRPr="005F5F3C">
              <w:rPr>
                <w:rFonts w:cs="Arial"/>
                <w:color w:val="000000" w:themeColor="text1"/>
                <w:szCs w:val="16"/>
              </w:rPr>
              <w:t>100%</w:t>
            </w:r>
          </w:p>
        </w:tc>
      </w:tr>
    </w:tbl>
    <w:p w14:paraId="621A396D" w14:textId="191A5C0A" w:rsidR="008E7B96" w:rsidRPr="00ED172B" w:rsidRDefault="00F22D09">
      <w:pPr>
        <w:rPr>
          <w:b/>
          <w:color w:val="000000" w:themeColor="text1"/>
        </w:rPr>
      </w:pPr>
      <w:r>
        <w:rPr>
          <w:b/>
          <w:color w:val="000000" w:themeColor="text1"/>
        </w:rPr>
        <w:t>FFY 2022 SPP/APR Data</w:t>
      </w:r>
    </w:p>
    <w:p w14:paraId="58E9458B" w14:textId="42AC40CB" w:rsidR="000A170A" w:rsidRPr="00ED172B" w:rsidRDefault="00B84C5D" w:rsidP="00F939F8">
      <w:pPr>
        <w:rPr>
          <w:b/>
          <w:color w:val="000000" w:themeColor="text1"/>
          <w:szCs w:val="16"/>
        </w:rPr>
      </w:pPr>
      <w:r w:rsidRPr="00ED172B">
        <w:rPr>
          <w:rFonts w:eastAsia="Times New Roman"/>
          <w:b/>
          <w:color w:val="000000" w:themeColor="text1"/>
        </w:rPr>
        <w:t>Data include notification to both the SEA and LEA</w:t>
      </w:r>
    </w:p>
    <w:p w14:paraId="72B496FC" w14:textId="65013E4A" w:rsidR="000A170A" w:rsidRDefault="000A170A" w:rsidP="00F939F8">
      <w:pPr>
        <w:rPr>
          <w:color w:val="000000" w:themeColor="text1"/>
          <w:szCs w:val="16"/>
        </w:rPr>
      </w:pPr>
      <w:r w:rsidRPr="00ED172B">
        <w:rPr>
          <w:color w:val="000000" w:themeColor="text1"/>
          <w:szCs w:val="16"/>
        </w:rPr>
        <w:t>YES</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8BFFYAPRDATA"/>
      </w:tblPr>
      <w:tblGrid>
        <w:gridCol w:w="2971"/>
        <w:gridCol w:w="1619"/>
        <w:gridCol w:w="1351"/>
        <w:gridCol w:w="1349"/>
        <w:gridCol w:w="1170"/>
        <w:gridCol w:w="1170"/>
        <w:gridCol w:w="1164"/>
      </w:tblGrid>
      <w:tr w:rsidR="00ED172B" w:rsidRPr="00ED172B" w14:paraId="0DF9E103" w14:textId="77777777" w:rsidTr="00986B99">
        <w:trPr>
          <w:tblHeader/>
        </w:trPr>
        <w:tc>
          <w:tcPr>
            <w:tcW w:w="1376" w:type="pct"/>
            <w:shd w:val="clear" w:color="auto" w:fill="auto"/>
            <w:vAlign w:val="bottom"/>
          </w:tcPr>
          <w:p w14:paraId="626A819F" w14:textId="4E4B92FB" w:rsidR="00F939F8" w:rsidRPr="00ED172B" w:rsidRDefault="00F939F8" w:rsidP="00F939F8">
            <w:pPr>
              <w:jc w:val="center"/>
              <w:rPr>
                <w:b/>
                <w:color w:val="000000" w:themeColor="text1"/>
                <w:szCs w:val="16"/>
              </w:rPr>
            </w:pPr>
            <w:r w:rsidRPr="00ED172B">
              <w:rPr>
                <w:rFonts w:cs="Arial"/>
                <w:b/>
                <w:bCs/>
                <w:color w:val="000000" w:themeColor="text1"/>
                <w:szCs w:val="16"/>
              </w:rPr>
              <w:t>Number of toddlers with disabilities exiting Part C where notification to the SEA and LEA occurred at least 90 days prior to their third birthday for toddlers potentially eligible for Part B preschool services</w:t>
            </w:r>
          </w:p>
        </w:tc>
        <w:tc>
          <w:tcPr>
            <w:tcW w:w="750" w:type="pct"/>
            <w:shd w:val="clear" w:color="auto" w:fill="auto"/>
            <w:vAlign w:val="bottom"/>
          </w:tcPr>
          <w:p w14:paraId="2AFBA1AE" w14:textId="2BF03792" w:rsidR="00F939F8" w:rsidRPr="00ED172B" w:rsidRDefault="00F939F8" w:rsidP="00F939F8">
            <w:pPr>
              <w:jc w:val="center"/>
              <w:rPr>
                <w:b/>
                <w:color w:val="000000" w:themeColor="text1"/>
                <w:szCs w:val="16"/>
              </w:rPr>
            </w:pPr>
            <w:r w:rsidRPr="00ED172B">
              <w:rPr>
                <w:rFonts w:cs="Arial"/>
                <w:b/>
                <w:bCs/>
                <w:color w:val="000000" w:themeColor="text1"/>
                <w:szCs w:val="16"/>
              </w:rPr>
              <w:t>Number of toddlers with disabilities exiting Part C who were potentially eligible for Part B</w:t>
            </w:r>
          </w:p>
        </w:tc>
        <w:tc>
          <w:tcPr>
            <w:tcW w:w="626" w:type="pct"/>
            <w:shd w:val="clear" w:color="auto" w:fill="auto"/>
            <w:vAlign w:val="bottom"/>
          </w:tcPr>
          <w:p w14:paraId="12765FCA" w14:textId="2349B298" w:rsidR="00F939F8" w:rsidRPr="00ED172B" w:rsidRDefault="00CD74B5" w:rsidP="00F939F8">
            <w:pPr>
              <w:jc w:val="center"/>
              <w:rPr>
                <w:b/>
                <w:color w:val="000000" w:themeColor="text1"/>
                <w:szCs w:val="16"/>
              </w:rPr>
            </w:pPr>
            <w:r>
              <w:rPr>
                <w:rFonts w:cs="Arial"/>
                <w:b/>
                <w:color w:val="000000" w:themeColor="text1"/>
                <w:szCs w:val="16"/>
              </w:rPr>
              <w:t>FFY 2021 Data</w:t>
            </w:r>
          </w:p>
        </w:tc>
        <w:tc>
          <w:tcPr>
            <w:tcW w:w="625" w:type="pct"/>
            <w:shd w:val="clear" w:color="auto" w:fill="auto"/>
            <w:vAlign w:val="bottom"/>
          </w:tcPr>
          <w:p w14:paraId="6245781C" w14:textId="5D552538" w:rsidR="00F939F8" w:rsidRPr="00ED172B" w:rsidRDefault="00F22D09" w:rsidP="00F939F8">
            <w:pPr>
              <w:jc w:val="center"/>
              <w:rPr>
                <w:b/>
                <w:color w:val="000000" w:themeColor="text1"/>
                <w:szCs w:val="16"/>
              </w:rPr>
            </w:pPr>
            <w:r>
              <w:rPr>
                <w:rFonts w:cs="Arial"/>
                <w:b/>
                <w:color w:val="000000" w:themeColor="text1"/>
                <w:szCs w:val="16"/>
              </w:rPr>
              <w:t>FFY 2022 Target</w:t>
            </w:r>
          </w:p>
        </w:tc>
        <w:tc>
          <w:tcPr>
            <w:tcW w:w="542" w:type="pct"/>
            <w:shd w:val="clear" w:color="auto" w:fill="auto"/>
            <w:vAlign w:val="bottom"/>
          </w:tcPr>
          <w:p w14:paraId="1E1DBF10" w14:textId="2681B16F" w:rsidR="00F939F8" w:rsidRPr="00ED172B" w:rsidRDefault="00F22D09" w:rsidP="00F939F8">
            <w:pPr>
              <w:jc w:val="center"/>
              <w:rPr>
                <w:b/>
                <w:color w:val="000000" w:themeColor="text1"/>
                <w:szCs w:val="16"/>
              </w:rPr>
            </w:pPr>
            <w:r>
              <w:rPr>
                <w:rFonts w:cs="Arial"/>
                <w:b/>
                <w:color w:val="000000" w:themeColor="text1"/>
                <w:szCs w:val="16"/>
              </w:rPr>
              <w:t>FFY 2022 Data</w:t>
            </w:r>
          </w:p>
        </w:tc>
        <w:tc>
          <w:tcPr>
            <w:tcW w:w="542" w:type="pct"/>
            <w:shd w:val="clear" w:color="auto" w:fill="auto"/>
            <w:vAlign w:val="bottom"/>
          </w:tcPr>
          <w:p w14:paraId="76378A12" w14:textId="6432F921" w:rsidR="00F939F8" w:rsidRPr="00ED172B" w:rsidRDefault="00F939F8" w:rsidP="00F939F8">
            <w:pPr>
              <w:jc w:val="center"/>
              <w:rPr>
                <w:b/>
                <w:color w:val="000000" w:themeColor="text1"/>
                <w:szCs w:val="16"/>
              </w:rPr>
            </w:pPr>
            <w:r w:rsidRPr="00ED172B">
              <w:rPr>
                <w:b/>
                <w:color w:val="000000" w:themeColor="text1"/>
                <w:szCs w:val="16"/>
              </w:rPr>
              <w:t>Status</w:t>
            </w:r>
          </w:p>
        </w:tc>
        <w:tc>
          <w:tcPr>
            <w:tcW w:w="539" w:type="pct"/>
            <w:shd w:val="clear" w:color="auto" w:fill="auto"/>
            <w:vAlign w:val="bottom"/>
          </w:tcPr>
          <w:p w14:paraId="4BB8DCC2" w14:textId="2B1865BF" w:rsidR="00F939F8" w:rsidRPr="00ED172B" w:rsidRDefault="00F939F8" w:rsidP="00F939F8">
            <w:pPr>
              <w:jc w:val="center"/>
              <w:rPr>
                <w:b/>
                <w:color w:val="000000" w:themeColor="text1"/>
                <w:szCs w:val="16"/>
              </w:rPr>
            </w:pPr>
            <w:r w:rsidRPr="00ED172B">
              <w:rPr>
                <w:b/>
                <w:color w:val="000000" w:themeColor="text1"/>
                <w:szCs w:val="16"/>
              </w:rPr>
              <w:t>Slippage</w:t>
            </w:r>
          </w:p>
        </w:tc>
      </w:tr>
      <w:tr w:rsidR="00ED172B" w:rsidRPr="00ED172B" w14:paraId="13F147EB" w14:textId="77777777" w:rsidTr="00986B99">
        <w:tc>
          <w:tcPr>
            <w:tcW w:w="1376" w:type="pct"/>
            <w:shd w:val="clear" w:color="auto" w:fill="auto"/>
            <w:vAlign w:val="center"/>
          </w:tcPr>
          <w:p w14:paraId="4639DE19" w14:textId="76CCEDED" w:rsidR="00F939F8" w:rsidRPr="00ED172B" w:rsidRDefault="00860830" w:rsidP="00F939F8">
            <w:pPr>
              <w:jc w:val="center"/>
              <w:rPr>
                <w:color w:val="000000" w:themeColor="text1"/>
                <w:szCs w:val="16"/>
              </w:rPr>
            </w:pPr>
            <w:r w:rsidRPr="00ED172B">
              <w:rPr>
                <w:color w:val="000000" w:themeColor="text1"/>
                <w:szCs w:val="16"/>
              </w:rPr>
              <w:t>149</w:t>
            </w:r>
          </w:p>
        </w:tc>
        <w:tc>
          <w:tcPr>
            <w:tcW w:w="750" w:type="pct"/>
            <w:shd w:val="clear" w:color="auto" w:fill="auto"/>
            <w:vAlign w:val="center"/>
          </w:tcPr>
          <w:p w14:paraId="350A2CCA" w14:textId="6EBFFA0A" w:rsidR="00F939F8" w:rsidRPr="00ED172B" w:rsidRDefault="00860830" w:rsidP="00F939F8">
            <w:pPr>
              <w:jc w:val="center"/>
              <w:rPr>
                <w:color w:val="000000" w:themeColor="text1"/>
                <w:szCs w:val="16"/>
              </w:rPr>
            </w:pPr>
            <w:r w:rsidRPr="00ED172B">
              <w:rPr>
                <w:color w:val="000000" w:themeColor="text1"/>
                <w:szCs w:val="16"/>
              </w:rPr>
              <w:t>149</w:t>
            </w:r>
          </w:p>
        </w:tc>
        <w:tc>
          <w:tcPr>
            <w:tcW w:w="626" w:type="pct"/>
            <w:shd w:val="clear" w:color="auto" w:fill="auto"/>
          </w:tcPr>
          <w:p w14:paraId="626514B4" w14:textId="6A77EE05" w:rsidR="00F939F8" w:rsidRPr="00ED172B" w:rsidRDefault="00860830" w:rsidP="00F939F8">
            <w:pPr>
              <w:jc w:val="center"/>
              <w:rPr>
                <w:color w:val="000000" w:themeColor="text1"/>
                <w:szCs w:val="16"/>
              </w:rPr>
            </w:pPr>
            <w:r w:rsidRPr="00ED172B">
              <w:rPr>
                <w:rFonts w:cs="Arial"/>
                <w:color w:val="000000" w:themeColor="text1"/>
                <w:szCs w:val="16"/>
              </w:rPr>
              <w:t>100.00%</w:t>
            </w:r>
          </w:p>
        </w:tc>
        <w:tc>
          <w:tcPr>
            <w:tcW w:w="625" w:type="pct"/>
            <w:shd w:val="clear" w:color="auto" w:fill="auto"/>
          </w:tcPr>
          <w:p w14:paraId="5AD816A1" w14:textId="0C7CDE4B" w:rsidR="00F939F8" w:rsidRPr="00ED172B" w:rsidRDefault="00D66260" w:rsidP="00F939F8">
            <w:pPr>
              <w:jc w:val="center"/>
              <w:rPr>
                <w:color w:val="000000" w:themeColor="text1"/>
                <w:szCs w:val="16"/>
              </w:rPr>
            </w:pPr>
            <w:r w:rsidRPr="00ED172B">
              <w:rPr>
                <w:color w:val="000000" w:themeColor="text1"/>
                <w:szCs w:val="16"/>
              </w:rPr>
              <w:t>100%</w:t>
            </w:r>
          </w:p>
        </w:tc>
        <w:tc>
          <w:tcPr>
            <w:tcW w:w="542" w:type="pct"/>
            <w:shd w:val="clear" w:color="auto" w:fill="auto"/>
          </w:tcPr>
          <w:p w14:paraId="2EE90524" w14:textId="49C17682" w:rsidR="00F939F8" w:rsidRPr="00ED172B" w:rsidRDefault="00860830" w:rsidP="00F939F8">
            <w:pPr>
              <w:jc w:val="center"/>
              <w:rPr>
                <w:color w:val="000000" w:themeColor="text1"/>
                <w:szCs w:val="16"/>
              </w:rPr>
            </w:pPr>
            <w:r w:rsidRPr="00ED172B">
              <w:rPr>
                <w:rFonts w:cs="Arial"/>
                <w:color w:val="000000" w:themeColor="text1"/>
                <w:szCs w:val="16"/>
              </w:rPr>
              <w:t>100.00%</w:t>
            </w:r>
          </w:p>
        </w:tc>
        <w:tc>
          <w:tcPr>
            <w:tcW w:w="542" w:type="pct"/>
            <w:shd w:val="clear" w:color="auto" w:fill="auto"/>
          </w:tcPr>
          <w:p w14:paraId="3C770A13" w14:textId="0F1127A3" w:rsidR="00F939F8" w:rsidRPr="00ED172B" w:rsidRDefault="00320806" w:rsidP="00320806">
            <w:pPr>
              <w:jc w:val="center"/>
              <w:rPr>
                <w:color w:val="000000" w:themeColor="text1"/>
              </w:rPr>
            </w:pPr>
            <w:r w:rsidRPr="00ED172B">
              <w:rPr>
                <w:color w:val="000000" w:themeColor="text1"/>
              </w:rPr>
              <w:t>Met target</w:t>
            </w:r>
          </w:p>
        </w:tc>
        <w:tc>
          <w:tcPr>
            <w:tcW w:w="539" w:type="pct"/>
            <w:shd w:val="clear" w:color="auto" w:fill="auto"/>
          </w:tcPr>
          <w:p w14:paraId="3DCA4621" w14:textId="6D456C28" w:rsidR="00F939F8" w:rsidRPr="00ED172B" w:rsidRDefault="00320806" w:rsidP="00320806">
            <w:pPr>
              <w:jc w:val="center"/>
              <w:rPr>
                <w:color w:val="000000" w:themeColor="text1"/>
              </w:rPr>
            </w:pPr>
            <w:r w:rsidRPr="00ED172B">
              <w:rPr>
                <w:color w:val="000000" w:themeColor="text1"/>
              </w:rPr>
              <w:t>No Slippage</w:t>
            </w:r>
          </w:p>
        </w:tc>
      </w:tr>
    </w:tbl>
    <w:p w14:paraId="2C38A193" w14:textId="77777777" w:rsidR="00C1714A" w:rsidRPr="00ED172B" w:rsidRDefault="00C1714A" w:rsidP="00C1714A">
      <w:pPr>
        <w:rPr>
          <w:b/>
          <w:color w:val="000000" w:themeColor="text1"/>
          <w:szCs w:val="16"/>
        </w:rPr>
      </w:pPr>
      <w:r w:rsidRPr="00ED172B">
        <w:rPr>
          <w:b/>
          <w:color w:val="000000" w:themeColor="text1"/>
          <w:szCs w:val="16"/>
        </w:rPr>
        <w:t>Number of parents who opted out</w:t>
      </w:r>
    </w:p>
    <w:p w14:paraId="7E5C0BAB" w14:textId="0BB7B3D9" w:rsidR="00C1714A" w:rsidRPr="00ED172B" w:rsidRDefault="00C1714A" w:rsidP="00C1714A">
      <w:pPr>
        <w:rPr>
          <w:b/>
          <w:color w:val="000000" w:themeColor="text1"/>
          <w:szCs w:val="16"/>
        </w:rPr>
      </w:pPr>
      <w:r w:rsidRPr="00ED172B">
        <w:rPr>
          <w:b/>
          <w:color w:val="000000" w:themeColor="text1"/>
          <w:szCs w:val="16"/>
        </w:rPr>
        <w:t>This number will be subtracted from the "Number of toddlers with disabilities exiting Part C who were potentially eligible for Part B" field to calculate the denominator for this indicator.</w:t>
      </w:r>
    </w:p>
    <w:p w14:paraId="217B3AE4" w14:textId="6775764A" w:rsidR="00C1714A" w:rsidRDefault="00C1714A" w:rsidP="00C1714A">
      <w:pPr>
        <w:rPr>
          <w:color w:val="000000" w:themeColor="text1"/>
          <w:szCs w:val="16"/>
        </w:rPr>
      </w:pPr>
      <w:r w:rsidRPr="00ED172B">
        <w:rPr>
          <w:color w:val="000000" w:themeColor="text1"/>
          <w:szCs w:val="16"/>
        </w:rPr>
        <w:t>0</w:t>
      </w:r>
    </w:p>
    <w:p w14:paraId="0352EFE6" w14:textId="77777777" w:rsidR="001F3FD2" w:rsidRDefault="001F3FD2" w:rsidP="001F3FD2">
      <w:pPr>
        <w:rPr>
          <w:rFonts w:cs="Arial"/>
          <w:b/>
          <w:color w:val="000000" w:themeColor="text1"/>
          <w:szCs w:val="16"/>
        </w:rPr>
      </w:pPr>
      <w:r w:rsidRPr="003739C5">
        <w:rPr>
          <w:rFonts w:cs="Arial"/>
          <w:b/>
          <w:color w:val="000000" w:themeColor="text1"/>
          <w:szCs w:val="16"/>
        </w:rPr>
        <w:t>Provide reasons for delay, if applicable.</w:t>
      </w:r>
    </w:p>
    <w:p w14:paraId="1FCA06B9" w14:textId="79637C57" w:rsidR="001F3FD2" w:rsidRPr="00ED172B" w:rsidRDefault="001F3FD2" w:rsidP="001F3FD2">
      <w:pPr>
        <w:rPr>
          <w:rFonts w:cs="Arial"/>
          <w:color w:val="000000" w:themeColor="text1"/>
          <w:szCs w:val="16"/>
        </w:rPr>
      </w:pPr>
    </w:p>
    <w:p w14:paraId="2047F371" w14:textId="77777777" w:rsidR="001F3FD2" w:rsidRPr="00ED172B" w:rsidRDefault="001F3FD2" w:rsidP="00C1714A">
      <w:pPr>
        <w:rPr>
          <w:rFonts w:cs="Arial"/>
          <w:color w:val="000000" w:themeColor="text1"/>
          <w:szCs w:val="16"/>
        </w:rPr>
      </w:pPr>
    </w:p>
    <w:p w14:paraId="5CC6B66B" w14:textId="51C85E21" w:rsidR="003C1AB9" w:rsidRPr="00ED172B" w:rsidRDefault="003C1AB9" w:rsidP="003C1AB9">
      <w:pPr>
        <w:rPr>
          <w:rFonts w:cs="Arial"/>
          <w:b/>
          <w:color w:val="000000" w:themeColor="text1"/>
          <w:szCs w:val="16"/>
        </w:rPr>
      </w:pPr>
      <w:r w:rsidRPr="00ED172B">
        <w:rPr>
          <w:rFonts w:cs="Arial"/>
          <w:b/>
          <w:color w:val="000000" w:themeColor="text1"/>
          <w:szCs w:val="16"/>
        </w:rPr>
        <w:t>Describe the method used to collect these data.</w:t>
      </w:r>
    </w:p>
    <w:p w14:paraId="03D3A642" w14:textId="27845084" w:rsidR="003C1AB9" w:rsidRPr="00ED172B" w:rsidRDefault="00860830" w:rsidP="003C1AB9">
      <w:pPr>
        <w:rPr>
          <w:color w:val="000000" w:themeColor="text1"/>
          <w:szCs w:val="16"/>
        </w:rPr>
      </w:pPr>
      <w:r w:rsidRPr="00ED172B">
        <w:rPr>
          <w:color w:val="000000" w:themeColor="text1"/>
          <w:szCs w:val="16"/>
        </w:rPr>
        <w:t xml:space="preserve">The process for selecting programs is to require all programs to participate. All EI programs in Oregon receiving IDEA funds are required to participate in the Oregon Department of Education (ODE) System Performance Review &amp; Improvement (SPR&amp;I) system of annual accountability and performance reporting. This system focuses on procedural compliance and performance indicators identified through federal and state regulation and previous state monitoring findings. Programs conduct individual child file reviews annually to collect procedural compliance data. These data are collected on a specified number of child files determined by the State and are evenly split between Early Intervention, Early Intervention Transition, and Early Childhood Special Education. Files are selected to match the individual race/ethnicity, disability, and gender distribution for each EI/ECSE program based on the December child count. Individual child procedural compliance data is collected by programs and submitted to the State electronically through the SPR&amp;I database. The State works collaboratively with programs on comprehensive data collection, analyses, performance reporting, improvement planning, implementation, and reporting of progress. The SPR&amp;I system provides the State with the mechanism for review of district/program policies, procedures, and systems to ensure the requirements set forth in 34 CFR §303.700-708 are met. </w:t>
      </w:r>
      <w:r w:rsidRPr="00ED172B">
        <w:rPr>
          <w:color w:val="000000" w:themeColor="text1"/>
          <w:szCs w:val="16"/>
        </w:rPr>
        <w:br/>
      </w:r>
      <w:r w:rsidRPr="00ED172B">
        <w:rPr>
          <w:color w:val="000000" w:themeColor="text1"/>
          <w:szCs w:val="16"/>
        </w:rPr>
        <w:br/>
        <w:t>The SEA and LEA are notified monthly via ecWeb (the statewide EI/ECSE special education database) of all children transitioning from early intervention to early childhood special education. On the first day of every month, in ecWeb, an SEA/LEA Transition Notification report is generated and distributed to the SEA/LEA. These data comprise a list of all the EI children in Oregon who are currently in process of transitioning to ECSE services.</w:t>
      </w:r>
    </w:p>
    <w:p w14:paraId="1A1195D9" w14:textId="5A774785" w:rsidR="00C476A6" w:rsidRPr="00ED172B" w:rsidRDefault="00C476A6" w:rsidP="003C1AB9">
      <w:pPr>
        <w:rPr>
          <w:b/>
          <w:color w:val="000000" w:themeColor="text1"/>
          <w:szCs w:val="16"/>
        </w:rPr>
      </w:pPr>
      <w:r w:rsidRPr="00ED172B">
        <w:rPr>
          <w:b/>
          <w:color w:val="000000" w:themeColor="text1"/>
          <w:szCs w:val="16"/>
        </w:rPr>
        <w:t>Do you have a written opt-out policy? (yes/no)</w:t>
      </w:r>
    </w:p>
    <w:p w14:paraId="2CFFAAE9" w14:textId="721085BB" w:rsidR="00C476A6" w:rsidRDefault="00C476A6" w:rsidP="003C1AB9">
      <w:pPr>
        <w:rPr>
          <w:color w:val="000000" w:themeColor="text1"/>
          <w:szCs w:val="16"/>
        </w:rPr>
      </w:pPr>
      <w:r w:rsidRPr="00ED172B">
        <w:rPr>
          <w:color w:val="000000" w:themeColor="text1"/>
          <w:szCs w:val="16"/>
        </w:rPr>
        <w:t>NO</w:t>
      </w:r>
    </w:p>
    <w:p w14:paraId="4631D06C" w14:textId="77777777" w:rsidR="005740D8" w:rsidRPr="00ED172B" w:rsidRDefault="000709B9" w:rsidP="00B83404">
      <w:pPr>
        <w:rPr>
          <w:b/>
          <w:color w:val="000000" w:themeColor="text1"/>
        </w:rPr>
      </w:pPr>
      <w:r w:rsidRPr="00ED172B">
        <w:rPr>
          <w:b/>
          <w:color w:val="000000" w:themeColor="text1"/>
        </w:rPr>
        <w:t xml:space="preserve">What is the source of the data provided for this indicator? </w:t>
      </w:r>
    </w:p>
    <w:p w14:paraId="78FA67A8" w14:textId="43588CA2" w:rsidR="000709B9" w:rsidRDefault="00860830" w:rsidP="00B83404">
      <w:pPr>
        <w:rPr>
          <w:color w:val="000000" w:themeColor="text1"/>
        </w:rPr>
      </w:pPr>
      <w:r w:rsidRPr="00ED172B">
        <w:rPr>
          <w:color w:val="000000" w:themeColor="text1"/>
        </w:rPr>
        <w:t>State monitoring</w:t>
      </w:r>
    </w:p>
    <w:p w14:paraId="4A6E28E4" w14:textId="05681546" w:rsidR="000709B9" w:rsidRPr="00ED172B" w:rsidRDefault="000709B9" w:rsidP="00B83404">
      <w:pPr>
        <w:rPr>
          <w:b/>
          <w:i/>
          <w:color w:val="000000" w:themeColor="text1"/>
        </w:rPr>
      </w:pPr>
      <w:r w:rsidRPr="00ED172B">
        <w:rPr>
          <w:b/>
          <w:color w:val="000000" w:themeColor="text1"/>
        </w:rPr>
        <w:t xml:space="preserve">Describe the method used to select EIS programs for monitoring. </w:t>
      </w:r>
    </w:p>
    <w:p w14:paraId="7F238399" w14:textId="37B4B24A" w:rsidR="000709B9" w:rsidRDefault="00860830" w:rsidP="000709B9">
      <w:pPr>
        <w:rPr>
          <w:color w:val="000000" w:themeColor="text1"/>
        </w:rPr>
      </w:pPr>
      <w:r w:rsidRPr="00ED172B">
        <w:rPr>
          <w:color w:val="000000" w:themeColor="text1"/>
        </w:rPr>
        <w:t xml:space="preserve">All EI programs in Oregon receiving IDEA funds are required to participate in the Oregon Department of Education (ODE) System Performance Review &amp; Improvement (SPR&amp;I) system of annual accountability and performance reporting. This system focuses on procedural compliance and performance indicators identified through federal and state regulation and previous state monitoring findings. Programs conduct individual child file reviews annually to collect procedural compliance data. These data are collected on a specified number of child files determined by the State and are evenly split between Early Intervention, Early Intervention Transition, and Early Childhood Special Education. Files are selected to match the individual race/ethnicity, disability, and gender distribution for each EI/ECSE program based on the December child count. Individual child procedural compliance data is collected by programs and submitted to the State electronically through the SPR&amp;I database. The State works collaboratively with programs on comprehensive data collection, analyses, performance reporting, improvement planning, implementation, and reporting of progress. The SPR&amp;I system provides the State the mechanism for review of district/program policies, procedures, and systems, to ensure the requirements set forth in 34 CFR §303.700-708. </w:t>
      </w:r>
      <w:r w:rsidRPr="00ED172B">
        <w:rPr>
          <w:color w:val="000000" w:themeColor="text1"/>
        </w:rPr>
        <w:br/>
      </w:r>
      <w:r w:rsidRPr="00ED172B">
        <w:rPr>
          <w:color w:val="000000" w:themeColor="text1"/>
        </w:rPr>
        <w:br/>
        <w:t xml:space="preserve">As part of the standard operating procedures through SPR&amp;I, EI/ECSE programs: </w:t>
      </w:r>
      <w:r w:rsidRPr="00ED172B">
        <w:rPr>
          <w:color w:val="000000" w:themeColor="text1"/>
        </w:rPr>
        <w:br/>
      </w:r>
      <w:r w:rsidRPr="00ED172B">
        <w:rPr>
          <w:color w:val="000000" w:themeColor="text1"/>
        </w:rPr>
        <w:br/>
        <w:t>• Engage in self-assessment through data collection, review, and analysis to inform meaningful improvement.</w:t>
      </w:r>
      <w:r w:rsidRPr="00ED172B">
        <w:rPr>
          <w:color w:val="000000" w:themeColor="text1"/>
        </w:rPr>
        <w:br/>
        <w:t>• Report to the State on timely transition planning for a predetermined number of child files selected for review.</w:t>
      </w:r>
      <w:r w:rsidRPr="00ED172B">
        <w:rPr>
          <w:color w:val="000000" w:themeColor="text1"/>
        </w:rPr>
        <w:br/>
        <w:t>• Address noncompliance with timely transition steps and services through corrective action documented in SPR&amp;I that includes verifying that services were provided to children, an explanation for the cause of the noncompliance, correction of practices that contributed to the noncompliance, and demonstration of current compliance through subsequent data collection.</w:t>
      </w:r>
    </w:p>
    <w:p w14:paraId="608340F2" w14:textId="0ECFEC23" w:rsidR="003A3693" w:rsidRPr="00ED172B" w:rsidRDefault="003A3693" w:rsidP="00950382">
      <w:pPr>
        <w:rPr>
          <w:b/>
          <w:color w:val="000000" w:themeColor="text1"/>
        </w:rPr>
      </w:pPr>
      <w:r w:rsidRPr="00ED172B">
        <w:rPr>
          <w:b/>
          <w:color w:val="000000" w:themeColor="text1"/>
        </w:rPr>
        <w:t>Provide additional information about this indicator (optional).</w:t>
      </w:r>
    </w:p>
    <w:p w14:paraId="265F7C53" w14:textId="7585271E" w:rsidR="003A3693" w:rsidRPr="00ED172B" w:rsidRDefault="003A3693" w:rsidP="003A3693">
      <w:pPr>
        <w:rPr>
          <w:rFonts w:cs="Arial"/>
          <w:color w:val="000000" w:themeColor="text1"/>
          <w:szCs w:val="16"/>
        </w:rPr>
      </w:pPr>
    </w:p>
    <w:p w14:paraId="6D5F3961" w14:textId="5880ABDD" w:rsidR="008203B4" w:rsidRPr="00ED172B" w:rsidRDefault="008203B4" w:rsidP="00B83404">
      <w:pPr>
        <w:rPr>
          <w:color w:val="000000" w:themeColor="text1"/>
        </w:rPr>
      </w:pPr>
      <w:r w:rsidRPr="00ED172B">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C08BPFFYNCFINDINGS"/>
      </w:tblPr>
      <w:tblGrid>
        <w:gridCol w:w="2610"/>
        <w:gridCol w:w="2741"/>
        <w:gridCol w:w="2618"/>
        <w:gridCol w:w="2821"/>
      </w:tblGrid>
      <w:tr w:rsidR="00ED172B" w:rsidRPr="00ED172B" w14:paraId="53712311" w14:textId="77777777" w:rsidTr="00986B99">
        <w:trPr>
          <w:tblHeader/>
        </w:trPr>
        <w:tc>
          <w:tcPr>
            <w:tcW w:w="1210" w:type="pct"/>
            <w:shd w:val="clear" w:color="auto" w:fill="auto"/>
            <w:vAlign w:val="bottom"/>
          </w:tcPr>
          <w:p w14:paraId="79291EF8"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lastRenderedPageBreak/>
              <w:t>Findings of Noncompliance Identified</w:t>
            </w:r>
          </w:p>
        </w:tc>
        <w:tc>
          <w:tcPr>
            <w:tcW w:w="1270" w:type="pct"/>
            <w:shd w:val="clear" w:color="auto" w:fill="auto"/>
            <w:vAlign w:val="bottom"/>
          </w:tcPr>
          <w:p w14:paraId="3995FD1D"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3" w:type="pct"/>
            <w:shd w:val="clear" w:color="auto" w:fill="auto"/>
            <w:vAlign w:val="bottom"/>
          </w:tcPr>
          <w:p w14:paraId="4A1C2677"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08" w:type="pct"/>
            <w:shd w:val="clear" w:color="auto" w:fill="auto"/>
            <w:vAlign w:val="bottom"/>
          </w:tcPr>
          <w:p w14:paraId="34FC7068"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0FC104FA" w14:textId="77777777" w:rsidTr="00986B99">
        <w:tc>
          <w:tcPr>
            <w:tcW w:w="1210" w:type="pct"/>
            <w:shd w:val="clear" w:color="auto" w:fill="auto"/>
          </w:tcPr>
          <w:p w14:paraId="365B227C" w14:textId="33AB4B70" w:rsidR="008203B4"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270" w:type="pct"/>
            <w:shd w:val="clear" w:color="auto" w:fill="auto"/>
          </w:tcPr>
          <w:p w14:paraId="6146CAAF" w14:textId="53F3D613" w:rsidR="008203B4"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213" w:type="pct"/>
            <w:shd w:val="clear" w:color="auto" w:fill="auto"/>
          </w:tcPr>
          <w:p w14:paraId="73DA7B08" w14:textId="5CC5A5B0" w:rsidR="008203B4"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308" w:type="pct"/>
            <w:shd w:val="clear" w:color="auto" w:fill="auto"/>
          </w:tcPr>
          <w:p w14:paraId="1FAECB7C" w14:textId="288F3E14" w:rsidR="008203B4" w:rsidRPr="00ED172B" w:rsidRDefault="00860830" w:rsidP="00CD79C5">
            <w:pPr>
              <w:rPr>
                <w:rFonts w:cs="Arial"/>
                <w:color w:val="000000" w:themeColor="text1"/>
                <w:szCs w:val="16"/>
              </w:rPr>
            </w:pPr>
            <w:r w:rsidRPr="00ED172B">
              <w:rPr>
                <w:rFonts w:cs="Arial"/>
                <w:color w:val="000000" w:themeColor="text1"/>
                <w:szCs w:val="16"/>
              </w:rPr>
              <w:t>0</w:t>
            </w:r>
          </w:p>
        </w:tc>
      </w:tr>
    </w:tbl>
    <w:p w14:paraId="1AAE6B0A" w14:textId="69E97A23" w:rsidR="008203B4" w:rsidRPr="00ED172B" w:rsidRDefault="008203B4" w:rsidP="00B83404">
      <w:pPr>
        <w:rPr>
          <w:color w:val="000000" w:themeColor="text1"/>
        </w:rPr>
      </w:pPr>
      <w:r w:rsidRPr="00ED172B">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C08BPPFFYNCFINDINGS"/>
      </w:tblPr>
      <w:tblGrid>
        <w:gridCol w:w="2005"/>
        <w:gridCol w:w="3185"/>
        <w:gridCol w:w="2857"/>
        <w:gridCol w:w="2743"/>
      </w:tblGrid>
      <w:tr w:rsidR="00ED172B" w:rsidRPr="00ED172B" w14:paraId="67C85C4C" w14:textId="77777777" w:rsidTr="00986B99">
        <w:trPr>
          <w:tblHeader/>
        </w:trPr>
        <w:tc>
          <w:tcPr>
            <w:tcW w:w="929" w:type="pct"/>
            <w:shd w:val="clear" w:color="auto" w:fill="auto"/>
            <w:vAlign w:val="bottom"/>
          </w:tcPr>
          <w:p w14:paraId="304D2045"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476" w:type="pct"/>
            <w:shd w:val="clear" w:color="auto" w:fill="auto"/>
            <w:vAlign w:val="bottom"/>
          </w:tcPr>
          <w:p w14:paraId="19DBD567" w14:textId="3CFF7EB6"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2021 APR</w:t>
            </w:r>
          </w:p>
        </w:tc>
        <w:tc>
          <w:tcPr>
            <w:tcW w:w="1324" w:type="pct"/>
            <w:shd w:val="clear" w:color="auto" w:fill="auto"/>
            <w:vAlign w:val="bottom"/>
          </w:tcPr>
          <w:p w14:paraId="21969E32"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271" w:type="pct"/>
            <w:shd w:val="clear" w:color="auto" w:fill="auto"/>
            <w:vAlign w:val="bottom"/>
          </w:tcPr>
          <w:p w14:paraId="2A3FAC79"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17FAC234" w14:textId="77777777" w:rsidTr="00986B99">
        <w:tc>
          <w:tcPr>
            <w:tcW w:w="929" w:type="pct"/>
            <w:shd w:val="clear" w:color="auto" w:fill="auto"/>
          </w:tcPr>
          <w:p w14:paraId="0C89AE3F" w14:textId="04BB92FE" w:rsidR="008203B4" w:rsidRPr="00ED172B" w:rsidRDefault="008203B4" w:rsidP="00D21F29">
            <w:pPr>
              <w:jc w:val="center"/>
              <w:rPr>
                <w:rFonts w:cs="Arial"/>
                <w:color w:val="000000" w:themeColor="text1"/>
                <w:szCs w:val="16"/>
              </w:rPr>
            </w:pPr>
          </w:p>
        </w:tc>
        <w:tc>
          <w:tcPr>
            <w:tcW w:w="1476" w:type="pct"/>
            <w:shd w:val="clear" w:color="auto" w:fill="auto"/>
          </w:tcPr>
          <w:p w14:paraId="18EE6A2D" w14:textId="2B02CD87" w:rsidR="008203B4" w:rsidRPr="00ED172B" w:rsidRDefault="008203B4" w:rsidP="00CD79C5">
            <w:pPr>
              <w:jc w:val="center"/>
              <w:rPr>
                <w:rFonts w:cs="Arial"/>
                <w:noProof/>
                <w:color w:val="000000" w:themeColor="text1"/>
                <w:szCs w:val="16"/>
              </w:rPr>
            </w:pPr>
          </w:p>
        </w:tc>
        <w:tc>
          <w:tcPr>
            <w:tcW w:w="1324" w:type="pct"/>
            <w:shd w:val="clear" w:color="auto" w:fill="auto"/>
          </w:tcPr>
          <w:p w14:paraId="0D6BF82C" w14:textId="259370D0" w:rsidR="008203B4" w:rsidRPr="00ED172B" w:rsidRDefault="008203B4" w:rsidP="00CD79C5">
            <w:pPr>
              <w:jc w:val="center"/>
              <w:rPr>
                <w:rFonts w:cs="Arial"/>
                <w:noProof/>
                <w:color w:val="000000" w:themeColor="text1"/>
                <w:szCs w:val="16"/>
              </w:rPr>
            </w:pPr>
          </w:p>
        </w:tc>
        <w:tc>
          <w:tcPr>
            <w:tcW w:w="1271" w:type="pct"/>
            <w:shd w:val="clear" w:color="auto" w:fill="auto"/>
          </w:tcPr>
          <w:p w14:paraId="021C6FD4" w14:textId="245B9AF4" w:rsidR="008203B4" w:rsidRPr="00ED172B" w:rsidRDefault="008203B4" w:rsidP="00CD79C5">
            <w:pPr>
              <w:jc w:val="center"/>
              <w:rPr>
                <w:rFonts w:cs="Arial"/>
                <w:noProof/>
                <w:color w:val="000000" w:themeColor="text1"/>
                <w:szCs w:val="16"/>
              </w:rPr>
            </w:pPr>
          </w:p>
        </w:tc>
      </w:tr>
      <w:tr w:rsidR="00ED172B" w:rsidRPr="00ED172B" w14:paraId="6E9AA680" w14:textId="77777777" w:rsidTr="00986B99">
        <w:tc>
          <w:tcPr>
            <w:tcW w:w="929" w:type="pct"/>
            <w:shd w:val="clear" w:color="auto" w:fill="auto"/>
          </w:tcPr>
          <w:p w14:paraId="09F9027D" w14:textId="69544FBD" w:rsidR="008203B4" w:rsidRPr="00ED172B" w:rsidRDefault="008203B4" w:rsidP="00D21F29">
            <w:pPr>
              <w:jc w:val="center"/>
              <w:rPr>
                <w:rFonts w:cs="Arial"/>
                <w:color w:val="000000" w:themeColor="text1"/>
                <w:szCs w:val="16"/>
              </w:rPr>
            </w:pPr>
          </w:p>
        </w:tc>
        <w:tc>
          <w:tcPr>
            <w:tcW w:w="1476" w:type="pct"/>
            <w:shd w:val="clear" w:color="auto" w:fill="auto"/>
          </w:tcPr>
          <w:p w14:paraId="30E1255E" w14:textId="62840257" w:rsidR="008203B4" w:rsidRPr="00ED172B" w:rsidRDefault="008203B4" w:rsidP="00CD79C5">
            <w:pPr>
              <w:jc w:val="center"/>
              <w:rPr>
                <w:rFonts w:cs="Arial"/>
                <w:noProof/>
                <w:color w:val="000000" w:themeColor="text1"/>
                <w:szCs w:val="16"/>
              </w:rPr>
            </w:pPr>
          </w:p>
        </w:tc>
        <w:tc>
          <w:tcPr>
            <w:tcW w:w="1324" w:type="pct"/>
            <w:shd w:val="clear" w:color="auto" w:fill="auto"/>
          </w:tcPr>
          <w:p w14:paraId="48634437" w14:textId="19C6DF89" w:rsidR="008203B4" w:rsidRPr="00ED172B" w:rsidRDefault="008203B4" w:rsidP="00CD79C5">
            <w:pPr>
              <w:jc w:val="center"/>
              <w:rPr>
                <w:rFonts w:cs="Arial"/>
                <w:noProof/>
                <w:color w:val="000000" w:themeColor="text1"/>
                <w:szCs w:val="16"/>
              </w:rPr>
            </w:pPr>
          </w:p>
        </w:tc>
        <w:tc>
          <w:tcPr>
            <w:tcW w:w="1271" w:type="pct"/>
            <w:shd w:val="clear" w:color="auto" w:fill="auto"/>
          </w:tcPr>
          <w:p w14:paraId="233CCD3F" w14:textId="7D7A4788" w:rsidR="008203B4" w:rsidRPr="00ED172B" w:rsidRDefault="008203B4" w:rsidP="00CD79C5">
            <w:pPr>
              <w:jc w:val="center"/>
              <w:rPr>
                <w:rFonts w:cs="Arial"/>
                <w:noProof/>
                <w:color w:val="000000" w:themeColor="text1"/>
                <w:szCs w:val="16"/>
              </w:rPr>
            </w:pPr>
          </w:p>
        </w:tc>
      </w:tr>
      <w:tr w:rsidR="00ED172B" w:rsidRPr="00ED172B" w14:paraId="6101D2C3" w14:textId="77777777" w:rsidTr="00986B99">
        <w:tc>
          <w:tcPr>
            <w:tcW w:w="929" w:type="pct"/>
            <w:shd w:val="clear" w:color="auto" w:fill="auto"/>
          </w:tcPr>
          <w:p w14:paraId="3DF27AAE" w14:textId="57173885" w:rsidR="008203B4" w:rsidRPr="00ED172B" w:rsidRDefault="008203B4" w:rsidP="00D21F29">
            <w:pPr>
              <w:jc w:val="center"/>
              <w:rPr>
                <w:rFonts w:cs="Arial"/>
                <w:color w:val="000000" w:themeColor="text1"/>
                <w:szCs w:val="16"/>
              </w:rPr>
            </w:pPr>
          </w:p>
        </w:tc>
        <w:tc>
          <w:tcPr>
            <w:tcW w:w="1476" w:type="pct"/>
            <w:shd w:val="clear" w:color="auto" w:fill="auto"/>
          </w:tcPr>
          <w:p w14:paraId="1A593A8F" w14:textId="30E039EF" w:rsidR="008203B4" w:rsidRPr="00ED172B" w:rsidRDefault="008203B4" w:rsidP="00CD79C5">
            <w:pPr>
              <w:jc w:val="center"/>
              <w:rPr>
                <w:rFonts w:cs="Arial"/>
                <w:noProof/>
                <w:color w:val="000000" w:themeColor="text1"/>
                <w:szCs w:val="16"/>
              </w:rPr>
            </w:pPr>
          </w:p>
        </w:tc>
        <w:tc>
          <w:tcPr>
            <w:tcW w:w="1324" w:type="pct"/>
            <w:shd w:val="clear" w:color="auto" w:fill="auto"/>
          </w:tcPr>
          <w:p w14:paraId="6C282F27" w14:textId="22019EAC" w:rsidR="008203B4" w:rsidRPr="00ED172B" w:rsidRDefault="008203B4" w:rsidP="00CD79C5">
            <w:pPr>
              <w:jc w:val="center"/>
              <w:rPr>
                <w:rFonts w:cs="Arial"/>
                <w:noProof/>
                <w:color w:val="000000" w:themeColor="text1"/>
                <w:szCs w:val="16"/>
              </w:rPr>
            </w:pPr>
          </w:p>
        </w:tc>
        <w:tc>
          <w:tcPr>
            <w:tcW w:w="1271" w:type="pct"/>
            <w:shd w:val="clear" w:color="auto" w:fill="auto"/>
          </w:tcPr>
          <w:p w14:paraId="5CA5D5A4" w14:textId="3330E222" w:rsidR="008203B4" w:rsidRPr="00ED172B" w:rsidRDefault="008203B4" w:rsidP="00CD79C5">
            <w:pPr>
              <w:jc w:val="center"/>
              <w:rPr>
                <w:rFonts w:cs="Arial"/>
                <w:noProof/>
                <w:color w:val="000000" w:themeColor="text1"/>
                <w:szCs w:val="16"/>
              </w:rPr>
            </w:pPr>
          </w:p>
        </w:tc>
      </w:tr>
      <w:tr w:rsidR="00422BEE" w:rsidRPr="00ED172B" w14:paraId="09E2C04F" w14:textId="77777777" w:rsidTr="00986B99">
        <w:tc>
          <w:tcPr>
            <w:tcW w:w="929" w:type="pct"/>
            <w:shd w:val="clear" w:color="auto" w:fill="auto"/>
          </w:tcPr>
          <w:p w14:paraId="00537DC9" w14:textId="44D75868" w:rsidR="00422BEE" w:rsidRPr="00ED172B" w:rsidRDefault="00422BEE" w:rsidP="00D21F29">
            <w:pPr>
              <w:jc w:val="center"/>
              <w:rPr>
                <w:rFonts w:cs="Arial"/>
                <w:color w:val="000000" w:themeColor="text1"/>
                <w:szCs w:val="16"/>
              </w:rPr>
            </w:pPr>
          </w:p>
        </w:tc>
        <w:tc>
          <w:tcPr>
            <w:tcW w:w="1476" w:type="pct"/>
            <w:shd w:val="clear" w:color="auto" w:fill="auto"/>
          </w:tcPr>
          <w:p w14:paraId="1E0D45D6" w14:textId="3A34773C" w:rsidR="00422BEE" w:rsidRPr="00ED172B" w:rsidRDefault="00422BEE" w:rsidP="00422BEE">
            <w:pPr>
              <w:jc w:val="center"/>
              <w:rPr>
                <w:rFonts w:cs="Arial"/>
                <w:color w:val="000000" w:themeColor="text1"/>
                <w:szCs w:val="16"/>
              </w:rPr>
            </w:pPr>
          </w:p>
        </w:tc>
        <w:tc>
          <w:tcPr>
            <w:tcW w:w="1324" w:type="pct"/>
            <w:shd w:val="clear" w:color="auto" w:fill="auto"/>
          </w:tcPr>
          <w:p w14:paraId="7E3CF6F6" w14:textId="661AA01A" w:rsidR="00422BEE" w:rsidRPr="00ED172B" w:rsidRDefault="00422BEE" w:rsidP="00422BEE">
            <w:pPr>
              <w:jc w:val="center"/>
              <w:rPr>
                <w:rFonts w:cs="Arial"/>
                <w:color w:val="000000" w:themeColor="text1"/>
                <w:szCs w:val="16"/>
              </w:rPr>
            </w:pPr>
          </w:p>
        </w:tc>
        <w:tc>
          <w:tcPr>
            <w:tcW w:w="1271" w:type="pct"/>
            <w:shd w:val="clear" w:color="auto" w:fill="auto"/>
          </w:tcPr>
          <w:p w14:paraId="03DB29E4" w14:textId="4909658A" w:rsidR="00422BEE" w:rsidRPr="00ED172B" w:rsidRDefault="00422BEE" w:rsidP="00422BEE">
            <w:pPr>
              <w:jc w:val="center"/>
              <w:rPr>
                <w:rFonts w:cs="Arial"/>
                <w:color w:val="000000" w:themeColor="text1"/>
                <w:szCs w:val="16"/>
              </w:rPr>
            </w:pPr>
          </w:p>
        </w:tc>
      </w:tr>
      <w:tr w:rsidR="00422BEE" w:rsidRPr="00ED172B" w14:paraId="315C7B6E" w14:textId="77777777" w:rsidTr="00986B99">
        <w:tc>
          <w:tcPr>
            <w:tcW w:w="929" w:type="pct"/>
            <w:shd w:val="clear" w:color="auto" w:fill="auto"/>
          </w:tcPr>
          <w:p w14:paraId="4D88A348" w14:textId="7FDC3505" w:rsidR="00422BEE" w:rsidRPr="00ED172B" w:rsidRDefault="00422BEE" w:rsidP="00D21F29">
            <w:pPr>
              <w:jc w:val="center"/>
              <w:rPr>
                <w:rFonts w:cs="Arial"/>
                <w:color w:val="000000" w:themeColor="text1"/>
                <w:szCs w:val="16"/>
              </w:rPr>
            </w:pPr>
          </w:p>
        </w:tc>
        <w:tc>
          <w:tcPr>
            <w:tcW w:w="1476" w:type="pct"/>
            <w:shd w:val="clear" w:color="auto" w:fill="auto"/>
          </w:tcPr>
          <w:p w14:paraId="0DECE723" w14:textId="533FA631" w:rsidR="00422BEE" w:rsidRPr="00ED172B" w:rsidRDefault="00422BEE" w:rsidP="00422BEE">
            <w:pPr>
              <w:jc w:val="center"/>
              <w:rPr>
                <w:rFonts w:cs="Arial"/>
                <w:color w:val="000000" w:themeColor="text1"/>
                <w:szCs w:val="16"/>
              </w:rPr>
            </w:pPr>
          </w:p>
        </w:tc>
        <w:tc>
          <w:tcPr>
            <w:tcW w:w="1324" w:type="pct"/>
            <w:shd w:val="clear" w:color="auto" w:fill="auto"/>
          </w:tcPr>
          <w:p w14:paraId="546BE55B" w14:textId="3A092DCE" w:rsidR="00422BEE" w:rsidRPr="00ED172B" w:rsidRDefault="00422BEE" w:rsidP="00422BEE">
            <w:pPr>
              <w:jc w:val="center"/>
              <w:rPr>
                <w:rFonts w:cs="Arial"/>
                <w:color w:val="000000" w:themeColor="text1"/>
                <w:szCs w:val="16"/>
              </w:rPr>
            </w:pPr>
          </w:p>
        </w:tc>
        <w:tc>
          <w:tcPr>
            <w:tcW w:w="1271" w:type="pct"/>
            <w:shd w:val="clear" w:color="auto" w:fill="auto"/>
          </w:tcPr>
          <w:p w14:paraId="4A4AC460" w14:textId="6246F9AE" w:rsidR="00422BEE" w:rsidRPr="00ED172B" w:rsidRDefault="00422BEE" w:rsidP="00422BEE">
            <w:pPr>
              <w:jc w:val="center"/>
              <w:rPr>
                <w:rFonts w:cs="Arial"/>
                <w:color w:val="000000" w:themeColor="text1"/>
                <w:szCs w:val="16"/>
              </w:rPr>
            </w:pPr>
          </w:p>
        </w:tc>
      </w:tr>
    </w:tbl>
    <w:p w14:paraId="6BC401D6" w14:textId="0B4AC648" w:rsidR="008203B4" w:rsidRPr="00A40EE1" w:rsidRDefault="000D0117" w:rsidP="007B0787">
      <w:pPr>
        <w:pStyle w:val="Heading2"/>
      </w:pPr>
      <w:r w:rsidRPr="00A40EE1">
        <w:t xml:space="preserve">8B - </w:t>
      </w:r>
      <w:r w:rsidR="008203B4" w:rsidRPr="00A40EE1">
        <w:t>Prior FFY Required Actions</w:t>
      </w:r>
    </w:p>
    <w:p w14:paraId="2F3B8835" w14:textId="0AD36B8F" w:rsidR="004C1CEE" w:rsidRPr="00ED172B" w:rsidRDefault="00320806" w:rsidP="008203B4">
      <w:pPr>
        <w:rPr>
          <w:rFonts w:cs="Arial"/>
          <w:color w:val="000000" w:themeColor="text1"/>
          <w:szCs w:val="16"/>
        </w:rPr>
      </w:pPr>
      <w:r w:rsidRPr="00ED172B">
        <w:rPr>
          <w:color w:val="000000" w:themeColor="text1"/>
        </w:rPr>
        <w:t>None</w:t>
      </w:r>
    </w:p>
    <w:p w14:paraId="6A49C335" w14:textId="11A5537D" w:rsidR="008203B4" w:rsidRPr="00A40EE1" w:rsidRDefault="000D0117" w:rsidP="007B0787">
      <w:pPr>
        <w:pStyle w:val="Heading2"/>
      </w:pPr>
      <w:r w:rsidRPr="00A40EE1">
        <w:t xml:space="preserve">8B - </w:t>
      </w:r>
      <w:r w:rsidR="008203B4" w:rsidRPr="00A40EE1">
        <w:t>OSEP Response</w:t>
      </w:r>
    </w:p>
    <w:p w14:paraId="2AD2C922" w14:textId="1A8CB9FF" w:rsidR="008203B4" w:rsidRPr="00ED172B" w:rsidRDefault="008203B4" w:rsidP="00320806">
      <w:pPr>
        <w:rPr>
          <w:color w:val="000000" w:themeColor="text1"/>
        </w:rPr>
      </w:pPr>
    </w:p>
    <w:p w14:paraId="737AE102" w14:textId="64B3C8F0" w:rsidR="008203B4" w:rsidRPr="00A40EE1" w:rsidRDefault="000D0117" w:rsidP="007B0787">
      <w:pPr>
        <w:pStyle w:val="Heading2"/>
      </w:pPr>
      <w:r w:rsidRPr="00A40EE1">
        <w:t xml:space="preserve">8B - </w:t>
      </w:r>
      <w:r w:rsidR="008203B4" w:rsidRPr="00A40EE1">
        <w:t>Required Actions</w:t>
      </w:r>
    </w:p>
    <w:p w14:paraId="4C170AC1" w14:textId="4A171C6A" w:rsidR="008203B4" w:rsidRPr="00ED172B" w:rsidRDefault="008203B4" w:rsidP="00320806">
      <w:pPr>
        <w:rPr>
          <w:color w:val="000000" w:themeColor="text1"/>
        </w:rPr>
      </w:pPr>
    </w:p>
    <w:p w14:paraId="6FEEB595" w14:textId="77777777" w:rsidR="00D77E41" w:rsidRPr="00ED172B" w:rsidRDefault="00D77E41">
      <w:pPr>
        <w:spacing w:before="0" w:after="200" w:line="276" w:lineRule="auto"/>
        <w:rPr>
          <w:rFonts w:eastAsiaTheme="majorEastAsia" w:cstheme="majorBidi"/>
          <w:b/>
          <w:bCs/>
          <w:color w:val="000000" w:themeColor="text1"/>
          <w:sz w:val="20"/>
          <w:szCs w:val="26"/>
        </w:rPr>
      </w:pPr>
      <w:r w:rsidRPr="00ED172B">
        <w:rPr>
          <w:color w:val="000000" w:themeColor="text1"/>
        </w:rPr>
        <w:br w:type="page"/>
      </w:r>
    </w:p>
    <w:p w14:paraId="33B9157B" w14:textId="08A2A379" w:rsidR="00D77E41" w:rsidRPr="00ED172B" w:rsidRDefault="00D77E41" w:rsidP="00D77E41">
      <w:pPr>
        <w:pStyle w:val="Heading1"/>
        <w:rPr>
          <w:color w:val="000000" w:themeColor="text1"/>
        </w:rPr>
      </w:pPr>
      <w:r w:rsidRPr="00ED172B">
        <w:rPr>
          <w:color w:val="000000" w:themeColor="text1"/>
        </w:rPr>
        <w:lastRenderedPageBreak/>
        <w:t>Indicator 8C: Early Childhood Transition</w:t>
      </w:r>
    </w:p>
    <w:p w14:paraId="5E79EF5E" w14:textId="77777777" w:rsidR="00D77E41" w:rsidRPr="00ED172B" w:rsidRDefault="00D77E41" w:rsidP="00186420">
      <w:pPr>
        <w:rPr>
          <w:color w:val="000000" w:themeColor="text1"/>
          <w:szCs w:val="20"/>
        </w:rPr>
      </w:pPr>
      <w:r w:rsidRPr="00ED172B">
        <w:rPr>
          <w:b/>
          <w:color w:val="000000" w:themeColor="text1"/>
          <w:sz w:val="20"/>
          <w:szCs w:val="20"/>
        </w:rPr>
        <w:t>Instructions and Measurement</w:t>
      </w:r>
    </w:p>
    <w:p w14:paraId="06E0C145" w14:textId="178AEB5F" w:rsidR="00D77E41" w:rsidRPr="00ED172B" w:rsidRDefault="00D77E41" w:rsidP="00D77E41">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r w:rsidR="00616172" w:rsidRPr="00ED172B">
        <w:rPr>
          <w:color w:val="000000" w:themeColor="text1"/>
          <w:szCs w:val="16"/>
        </w:rPr>
        <w:t>Effective Transition</w:t>
      </w:r>
    </w:p>
    <w:p w14:paraId="7763188E" w14:textId="77777777" w:rsidR="00D77E41" w:rsidRPr="00ED172B" w:rsidRDefault="00D77E41" w:rsidP="00D77E41">
      <w:pPr>
        <w:rPr>
          <w:color w:val="000000" w:themeColor="text1"/>
          <w:szCs w:val="16"/>
        </w:rPr>
      </w:pPr>
      <w:r w:rsidRPr="00ED172B">
        <w:rPr>
          <w:b/>
          <w:color w:val="000000" w:themeColor="text1"/>
          <w:szCs w:val="16"/>
        </w:rPr>
        <w:t xml:space="preserve">Compliance indicator: </w:t>
      </w:r>
      <w:r w:rsidRPr="00ED172B">
        <w:rPr>
          <w:color w:val="000000" w:themeColor="text1"/>
          <w:szCs w:val="16"/>
        </w:rPr>
        <w:t>The percentage of toddlers with disabilities exiting Part C with timely transition planning for whom the Lead Agency has:</w:t>
      </w:r>
    </w:p>
    <w:p w14:paraId="2FB1EB09" w14:textId="725FF3C5" w:rsidR="00D77E41" w:rsidRPr="00ED172B" w:rsidRDefault="007F55E8" w:rsidP="00ED172B">
      <w:pPr>
        <w:ind w:left="360"/>
        <w:rPr>
          <w:color w:val="000000" w:themeColor="text1"/>
          <w:szCs w:val="16"/>
        </w:rPr>
      </w:pPr>
      <w:r w:rsidRPr="00ED172B">
        <w:rPr>
          <w:color w:val="000000" w:themeColor="text1"/>
          <w:szCs w:val="16"/>
        </w:rPr>
        <w:t>A. Developed an IFSP with transition steps and services at least 90 days, and at the discretion of all parties, not more than nine months, prior to the toddler’s third birthday;</w:t>
      </w:r>
    </w:p>
    <w:p w14:paraId="57927E07" w14:textId="01E9F378" w:rsidR="00D77E41" w:rsidRPr="00ED172B" w:rsidRDefault="007F55E8" w:rsidP="00ED172B">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00CD1148" w:rsidRPr="003461DB">
        <w:rPr>
          <w:szCs w:val="16"/>
        </w:rPr>
        <w:t xml:space="preserve"> </w:t>
      </w:r>
      <w:r w:rsidR="00CD1148">
        <w:rPr>
          <w:szCs w:val="16"/>
        </w:rPr>
        <w:t>(</w:t>
      </w:r>
      <w:r w:rsidR="00CD1148" w:rsidRPr="003461DB">
        <w:rPr>
          <w:szCs w:val="16"/>
        </w:rPr>
        <w:t>SEA</w:t>
      </w:r>
      <w:r w:rsidR="00CD1148">
        <w:rPr>
          <w:szCs w:val="16"/>
        </w:rPr>
        <w:t>)</w:t>
      </w:r>
      <w:r w:rsidR="00CD1148" w:rsidRPr="003461DB">
        <w:rPr>
          <w:szCs w:val="16"/>
        </w:rPr>
        <w:t xml:space="preserve"> and</w:t>
      </w:r>
      <w:r w:rsidR="00CD1148">
        <w:rPr>
          <w:szCs w:val="16"/>
        </w:rPr>
        <w:t xml:space="preserve"> the local educational agency</w:t>
      </w:r>
      <w:r w:rsidR="00CD1148" w:rsidRPr="00524F62" w:rsidDel="007157B8">
        <w:rPr>
          <w:szCs w:val="16"/>
        </w:rPr>
        <w:t xml:space="preserve"> </w:t>
      </w:r>
      <w:r w:rsidR="00CD1148">
        <w:rPr>
          <w:szCs w:val="16"/>
        </w:rPr>
        <w:t>(</w:t>
      </w:r>
      <w:r w:rsidR="00CD1148" w:rsidRPr="00524F62">
        <w:rPr>
          <w:szCs w:val="16"/>
        </w:rPr>
        <w:t>LEA</w:t>
      </w:r>
      <w:r w:rsidR="00CD1148">
        <w:rPr>
          <w:szCs w:val="16"/>
        </w:rPr>
        <w:t>)</w:t>
      </w:r>
      <w:r w:rsidR="00CD1148" w:rsidRPr="00524F62">
        <w:rPr>
          <w:szCs w:val="16"/>
        </w:rPr>
        <w:t xml:space="preserve"> </w:t>
      </w:r>
      <w:r w:rsidRPr="00ED172B">
        <w:rPr>
          <w:color w:val="000000" w:themeColor="text1"/>
          <w:szCs w:val="16"/>
        </w:rPr>
        <w:t>where the toddler resides at least 90 days prior to the toddler’s third birthday for toddlers potentially eligible for Part B preschool services; and</w:t>
      </w:r>
    </w:p>
    <w:p w14:paraId="29F9B081" w14:textId="6B97DD58" w:rsidR="00D77E41" w:rsidRPr="00ED172B" w:rsidRDefault="007F55E8" w:rsidP="00ED172B">
      <w:pPr>
        <w:ind w:left="360"/>
        <w:rPr>
          <w:color w:val="000000" w:themeColor="text1"/>
          <w:szCs w:val="16"/>
        </w:rPr>
      </w:pPr>
      <w:r w:rsidRPr="00ED172B">
        <w:rPr>
          <w:color w:val="000000" w:themeColor="text1"/>
          <w:szCs w:val="16"/>
        </w:rPr>
        <w:t>C. Conducted the transition conference held with the approval of the family at least 90 days, and at the discretion of all parties, not more than nine months, prior to the toddler’s third birthday for toddlers potentially eligible for Part B preschool services.</w:t>
      </w:r>
    </w:p>
    <w:p w14:paraId="6AF51628" w14:textId="77777777" w:rsidR="00D77E41" w:rsidRPr="00ED172B" w:rsidRDefault="00D77E41" w:rsidP="00D77E41">
      <w:pPr>
        <w:rPr>
          <w:color w:val="000000" w:themeColor="text1"/>
          <w:szCs w:val="16"/>
        </w:rPr>
      </w:pPr>
      <w:r w:rsidRPr="00ED172B">
        <w:rPr>
          <w:color w:val="000000" w:themeColor="text1"/>
          <w:szCs w:val="16"/>
        </w:rPr>
        <w:t>(20 U.S.C. 1416(a)(3)(B) and 1442)</w:t>
      </w:r>
    </w:p>
    <w:p w14:paraId="575FFFCE" w14:textId="77777777" w:rsidR="00D77E41" w:rsidRPr="00ED172B" w:rsidRDefault="00D77E41">
      <w:pPr>
        <w:rPr>
          <w:b/>
          <w:color w:val="000000" w:themeColor="text1"/>
        </w:rPr>
      </w:pPr>
      <w:r w:rsidRPr="00ED172B">
        <w:rPr>
          <w:b/>
          <w:color w:val="000000" w:themeColor="text1"/>
        </w:rPr>
        <w:t>Data Source</w:t>
      </w:r>
    </w:p>
    <w:p w14:paraId="18E564AB" w14:textId="77777777" w:rsidR="00D77E41" w:rsidRPr="00ED172B" w:rsidRDefault="00D77E41" w:rsidP="00D77E41">
      <w:pPr>
        <w:rPr>
          <w:color w:val="000000" w:themeColor="text1"/>
          <w:szCs w:val="16"/>
        </w:rPr>
      </w:pPr>
      <w:r w:rsidRPr="00ED172B">
        <w:rPr>
          <w:color w:val="000000" w:themeColor="text1"/>
          <w:szCs w:val="16"/>
        </w:rPr>
        <w:t>Data to be taken from monitoring or State data system.</w:t>
      </w:r>
    </w:p>
    <w:p w14:paraId="3353BE00" w14:textId="77777777" w:rsidR="00D77E41" w:rsidRPr="00ED172B" w:rsidRDefault="00D77E41">
      <w:pPr>
        <w:rPr>
          <w:b/>
          <w:color w:val="000000" w:themeColor="text1"/>
        </w:rPr>
      </w:pPr>
      <w:r w:rsidRPr="00ED172B">
        <w:rPr>
          <w:b/>
          <w:color w:val="000000" w:themeColor="text1"/>
        </w:rPr>
        <w:t>Measurement</w:t>
      </w:r>
    </w:p>
    <w:p w14:paraId="2EACE396" w14:textId="61509B8D" w:rsidR="00D77E41" w:rsidRPr="00ED172B" w:rsidRDefault="007F55E8" w:rsidP="00ED172B">
      <w:pPr>
        <w:ind w:left="360"/>
        <w:rPr>
          <w:color w:val="000000" w:themeColor="text1"/>
          <w:szCs w:val="16"/>
        </w:rPr>
      </w:pPr>
      <w:r w:rsidRPr="00ED172B">
        <w:rPr>
          <w:color w:val="000000" w:themeColor="text1"/>
          <w:szCs w:val="16"/>
        </w:rPr>
        <w:t>A. Percent = [(# of toddlers with disabilities exiting Part C who have an IFSP with transition steps and services at least 90 days, and at the discretion of all parties not more than nine months, prior to their third birthday) divided by the (# of toddlers with disabilities exiting Part C)] times 100.</w:t>
      </w:r>
    </w:p>
    <w:p w14:paraId="39A3C650" w14:textId="1CC576EE" w:rsidR="00D77E41" w:rsidRPr="00ED172B" w:rsidRDefault="007F55E8" w:rsidP="00ED172B">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14:paraId="5AFBB637" w14:textId="586B5641" w:rsidR="00D77E41" w:rsidRPr="00ED172B" w:rsidRDefault="007F55E8" w:rsidP="00ED172B">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14:paraId="058A3CF1" w14:textId="77777777" w:rsidR="00D77E41" w:rsidRPr="00ED172B" w:rsidRDefault="00D77E41" w:rsidP="00D77E41">
      <w:pPr>
        <w:rPr>
          <w:color w:val="000000" w:themeColor="text1"/>
          <w:szCs w:val="16"/>
        </w:rPr>
      </w:pPr>
      <w:r w:rsidRPr="00ED172B">
        <w:rPr>
          <w:color w:val="000000" w:themeColor="text1"/>
          <w:szCs w:val="16"/>
        </w:rPr>
        <w:t>Account for untimely transition planning under 8A, 8B, and 8C, including the reasons for delays.</w:t>
      </w:r>
    </w:p>
    <w:p w14:paraId="23509EAD" w14:textId="77777777" w:rsidR="00D77E41" w:rsidRPr="00ED172B" w:rsidRDefault="00D77E41">
      <w:pPr>
        <w:rPr>
          <w:b/>
          <w:color w:val="000000" w:themeColor="text1"/>
        </w:rPr>
      </w:pPr>
      <w:r w:rsidRPr="00ED172B">
        <w:rPr>
          <w:b/>
          <w:color w:val="000000" w:themeColor="text1"/>
        </w:rPr>
        <w:t>Instructions</w:t>
      </w:r>
    </w:p>
    <w:p w14:paraId="66E4245E" w14:textId="77777777" w:rsidR="00D77E41" w:rsidRPr="00ED172B" w:rsidRDefault="00D77E41" w:rsidP="00D77E41">
      <w:pPr>
        <w:rPr>
          <w:color w:val="000000" w:themeColor="text1"/>
          <w:szCs w:val="16"/>
        </w:rPr>
      </w:pPr>
      <w:r w:rsidRPr="00ED172B">
        <w:rPr>
          <w:color w:val="000000" w:themeColor="text1"/>
          <w:szCs w:val="16"/>
        </w:rPr>
        <w:t>Indicators 8A, 8B, and 8C: Targets must be 100%.</w:t>
      </w:r>
    </w:p>
    <w:p w14:paraId="59541BF7" w14:textId="77777777" w:rsidR="00D77E41" w:rsidRPr="00ED172B" w:rsidRDefault="00D77E41" w:rsidP="00D77E41">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14:paraId="0AC1A934" w14:textId="77777777" w:rsidR="00D77E41" w:rsidRPr="00ED172B" w:rsidRDefault="00D77E41" w:rsidP="00D77E41">
      <w:pPr>
        <w:rPr>
          <w:color w:val="000000" w:themeColor="text1"/>
          <w:szCs w:val="16"/>
        </w:rPr>
      </w:pPr>
      <w:r w:rsidRPr="00ED172B">
        <w:rPr>
          <w:color w:val="000000" w:themeColor="text1"/>
          <w:szCs w:val="16"/>
        </w:rPr>
        <w:t xml:space="preserve">Indicators 8A and 8C: If data are from the State’s monitoring, describe the procedures used to collect these data. If data are from State monitoring, also describe the method used to select EIS programs for monitoring. If data are from a </w:t>
      </w:r>
      <w:proofErr w:type="gramStart"/>
      <w:r w:rsidRPr="00ED172B">
        <w:rPr>
          <w:color w:val="000000" w:themeColor="text1"/>
          <w:szCs w:val="16"/>
        </w:rPr>
        <w:t>State</w:t>
      </w:r>
      <w:proofErr w:type="gramEnd"/>
      <w:r w:rsidRPr="00ED172B">
        <w:rPr>
          <w:color w:val="000000" w:themeColor="text1"/>
          <w:szCs w:val="16"/>
        </w:rPr>
        <w:t xml:space="preserv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4284D488" w14:textId="77777777" w:rsidR="00D77E41" w:rsidRPr="00ED172B" w:rsidRDefault="00D77E41" w:rsidP="00D77E41">
      <w:pPr>
        <w:rPr>
          <w:color w:val="000000" w:themeColor="text1"/>
          <w:szCs w:val="16"/>
        </w:rPr>
      </w:pPr>
      <w:r w:rsidRPr="00ED172B">
        <w:rPr>
          <w:color w:val="000000" w:themeColor="text1"/>
          <w:szCs w:val="16"/>
        </w:rPr>
        <w:t>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7CDA386C" w14:textId="77777777" w:rsidR="00D77E41" w:rsidRPr="00ED172B" w:rsidRDefault="00D77E41" w:rsidP="00D77E41">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14:paraId="5AB39153" w14:textId="77777777" w:rsidR="00D77E41" w:rsidRPr="00ED172B" w:rsidRDefault="00D77E41" w:rsidP="00D77E41">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and, as such, only children between 2 years 3 months and age 3 should be included in the denominator.</w:t>
      </w:r>
    </w:p>
    <w:p w14:paraId="35DB145D" w14:textId="77777777" w:rsidR="00D77E41" w:rsidRPr="00ED172B" w:rsidRDefault="00D77E41" w:rsidP="00D77E41">
      <w:pPr>
        <w:rPr>
          <w:color w:val="000000" w:themeColor="text1"/>
          <w:szCs w:val="16"/>
        </w:rPr>
      </w:pPr>
      <w:r w:rsidRPr="00ED172B">
        <w:rPr>
          <w:color w:val="000000" w:themeColor="text1"/>
          <w:szCs w:val="16"/>
        </w:rPr>
        <w:t xml:space="preserve">Indicator 8C: Do not include in the </w:t>
      </w:r>
      <w:proofErr w:type="gramStart"/>
      <w:r w:rsidRPr="00ED172B">
        <w:rPr>
          <w:color w:val="000000" w:themeColor="text1"/>
          <w:szCs w:val="16"/>
        </w:rPr>
        <w:t>calculation, but</w:t>
      </w:r>
      <w:proofErr w:type="gramEnd"/>
      <w:r w:rsidRPr="00ED172B">
        <w:rPr>
          <w:color w:val="000000" w:themeColor="text1"/>
          <w:szCs w:val="16"/>
        </w:rPr>
        <w:t xml:space="preserve"> provide a separate number for those toddlers for whom the parent did not provide approval for the transition conference.</w:t>
      </w:r>
    </w:p>
    <w:p w14:paraId="30A90D40" w14:textId="747BAC37" w:rsidR="00D77E41" w:rsidRPr="00ED172B" w:rsidRDefault="00D77E41" w:rsidP="00D77E41">
      <w:pPr>
        <w:rPr>
          <w:color w:val="000000" w:themeColor="text1"/>
          <w:szCs w:val="16"/>
        </w:rPr>
      </w:pPr>
      <w:r w:rsidRPr="00ED172B">
        <w:rPr>
          <w:color w:val="000000" w:themeColor="text1"/>
          <w:szCs w:val="16"/>
        </w:rPr>
        <w:t xml:space="preserve">Indicators 8A, 8B, and 8C: Provide detailed information about the timely correction of </w:t>
      </w:r>
      <w:r w:rsidR="00CF4EC7" w:rsidRPr="009C5A4A">
        <w:rPr>
          <w:color w:val="000000" w:themeColor="text1"/>
          <w:szCs w:val="16"/>
        </w:rPr>
        <w:t>child-specific and regulatory/systemic</w:t>
      </w:r>
      <w:r w:rsidR="00CF4EC7" w:rsidRPr="00ED172B">
        <w:rPr>
          <w:color w:val="000000" w:themeColor="text1"/>
          <w:szCs w:val="16"/>
        </w:rPr>
        <w:t xml:space="preserve"> </w:t>
      </w:r>
      <w:r w:rsidRPr="00ED172B">
        <w:rPr>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606E2571" w14:textId="04A386EC" w:rsidR="00D77E41" w:rsidRPr="00ED172B" w:rsidRDefault="00D77E41" w:rsidP="00D77E41">
      <w:pPr>
        <w:rPr>
          <w:color w:val="000000" w:themeColor="text1"/>
          <w:szCs w:val="16"/>
        </w:rPr>
      </w:pPr>
      <w:r w:rsidRPr="00ED172B">
        <w:rPr>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7C9F4E0B" w14:textId="2B46C8EA" w:rsidR="00D77E41" w:rsidRPr="00A40EE1" w:rsidRDefault="000D0117" w:rsidP="007B0787">
      <w:pPr>
        <w:pStyle w:val="Heading2"/>
      </w:pPr>
      <w:r w:rsidRPr="00A40EE1">
        <w:t xml:space="preserve">8C - </w:t>
      </w:r>
      <w:r w:rsidR="00D77E41" w:rsidRPr="00A40EE1">
        <w:t>Indicator Data</w:t>
      </w:r>
    </w:p>
    <w:p w14:paraId="3B2129A9" w14:textId="65DCDE68" w:rsidR="00DC0682" w:rsidRDefault="00DC0682">
      <w:pPr>
        <w:rPr>
          <w:b/>
          <w:color w:val="000000" w:themeColor="text1"/>
        </w:rPr>
      </w:pPr>
      <w:r w:rsidRPr="00ED172B">
        <w:rPr>
          <w:b/>
          <w:color w:val="000000" w:themeColor="text1"/>
        </w:rPr>
        <w:t>Historical Data</w:t>
      </w: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CBASELINEDATA"/>
      </w:tblPr>
      <w:tblGrid>
        <w:gridCol w:w="2899"/>
        <w:gridCol w:w="875"/>
      </w:tblGrid>
      <w:tr w:rsidR="00C25621" w:rsidRPr="00ED172B" w14:paraId="30A17130" w14:textId="77777777" w:rsidTr="00A40EE1">
        <w:trPr>
          <w:trHeight w:val="350"/>
          <w:tblHeader/>
        </w:trPr>
        <w:tc>
          <w:tcPr>
            <w:tcW w:w="4285" w:type="pct"/>
            <w:tcBorders>
              <w:bottom w:val="single" w:sz="4" w:space="0" w:color="auto"/>
            </w:tcBorders>
            <w:shd w:val="clear" w:color="auto" w:fill="auto"/>
            <w:vAlign w:val="center"/>
          </w:tcPr>
          <w:p w14:paraId="08F1A2F9" w14:textId="77777777" w:rsidR="00C25621" w:rsidRPr="001071FD" w:rsidRDefault="00C25621" w:rsidP="00C15786">
            <w:pPr>
              <w:jc w:val="center"/>
              <w:rPr>
                <w:b/>
                <w:bCs/>
                <w:color w:val="000000" w:themeColor="text1"/>
              </w:rPr>
            </w:pPr>
            <w:r>
              <w:rPr>
                <w:b/>
                <w:bCs/>
                <w:color w:val="000000" w:themeColor="text1"/>
              </w:rPr>
              <w:t>Baseline Year</w:t>
            </w:r>
          </w:p>
        </w:tc>
        <w:tc>
          <w:tcPr>
            <w:tcW w:w="715" w:type="pct"/>
            <w:shd w:val="clear" w:color="auto" w:fill="auto"/>
            <w:vAlign w:val="center"/>
          </w:tcPr>
          <w:p w14:paraId="3905DAA3" w14:textId="77777777" w:rsidR="00C25621" w:rsidRPr="001071FD" w:rsidRDefault="00C25621" w:rsidP="00C15786">
            <w:pPr>
              <w:jc w:val="center"/>
              <w:rPr>
                <w:b/>
                <w:bCs/>
                <w:color w:val="000000" w:themeColor="text1"/>
              </w:rPr>
            </w:pPr>
            <w:r w:rsidRPr="001071FD">
              <w:rPr>
                <w:b/>
                <w:bCs/>
                <w:color w:val="000000" w:themeColor="text1"/>
              </w:rPr>
              <w:t>Baseline Data</w:t>
            </w:r>
          </w:p>
        </w:tc>
      </w:tr>
      <w:tr w:rsidR="000378F3" w:rsidRPr="00ED172B" w14:paraId="0424A396" w14:textId="77777777" w:rsidTr="00A40EE1">
        <w:trPr>
          <w:trHeight w:val="350"/>
        </w:trPr>
        <w:tc>
          <w:tcPr>
            <w:tcW w:w="4285" w:type="pct"/>
            <w:tcBorders>
              <w:bottom w:val="single" w:sz="4" w:space="0" w:color="auto"/>
            </w:tcBorders>
            <w:shd w:val="clear" w:color="auto" w:fill="auto"/>
            <w:vAlign w:val="center"/>
          </w:tcPr>
          <w:p w14:paraId="3C800D56" w14:textId="21A7A9C0" w:rsidR="000378F3" w:rsidRPr="00ED172B" w:rsidRDefault="000378F3" w:rsidP="000378F3">
            <w:pPr>
              <w:jc w:val="center"/>
              <w:rPr>
                <w:b/>
                <w:color w:val="000000" w:themeColor="text1"/>
              </w:rPr>
            </w:pPr>
            <w:r w:rsidRPr="00ED172B">
              <w:rPr>
                <w:color w:val="000000" w:themeColor="text1"/>
              </w:rPr>
              <w:t>2005</w:t>
            </w:r>
          </w:p>
        </w:tc>
        <w:tc>
          <w:tcPr>
            <w:tcW w:w="715" w:type="pct"/>
            <w:shd w:val="clear" w:color="auto" w:fill="auto"/>
            <w:vAlign w:val="center"/>
          </w:tcPr>
          <w:p w14:paraId="178C8059" w14:textId="6EB88F64" w:rsidR="000378F3" w:rsidRPr="00ED172B" w:rsidRDefault="000378F3" w:rsidP="000378F3">
            <w:pPr>
              <w:jc w:val="center"/>
              <w:rPr>
                <w:color w:val="000000" w:themeColor="text1"/>
              </w:rPr>
            </w:pPr>
            <w:r w:rsidRPr="00ED172B">
              <w:rPr>
                <w:color w:val="000000" w:themeColor="text1"/>
              </w:rPr>
              <w:t>87.00%</w:t>
            </w:r>
          </w:p>
        </w:tc>
      </w:tr>
    </w:tbl>
    <w:p w14:paraId="654D1CBD"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CHISTDATA"/>
      </w:tblPr>
      <w:tblGrid>
        <w:gridCol w:w="684"/>
        <w:gridCol w:w="2022"/>
        <w:gridCol w:w="2022"/>
        <w:gridCol w:w="2022"/>
        <w:gridCol w:w="2022"/>
        <w:gridCol w:w="2018"/>
      </w:tblGrid>
      <w:tr w:rsidR="00ED172B" w:rsidRPr="00ED172B" w14:paraId="2758FAB4" w14:textId="77777777" w:rsidTr="00A40EE1">
        <w:trPr>
          <w:trHeight w:val="350"/>
        </w:trPr>
        <w:tc>
          <w:tcPr>
            <w:tcW w:w="317" w:type="pct"/>
            <w:tcBorders>
              <w:bottom w:val="single" w:sz="4" w:space="0" w:color="auto"/>
            </w:tcBorders>
            <w:shd w:val="clear" w:color="auto" w:fill="auto"/>
          </w:tcPr>
          <w:p w14:paraId="695712EA"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7" w:type="pct"/>
            <w:shd w:val="clear" w:color="auto" w:fill="auto"/>
            <w:vAlign w:val="center"/>
          </w:tcPr>
          <w:p w14:paraId="4C7D7D03" w14:textId="5146FA9E" w:rsidR="00DC0682" w:rsidRPr="00ED172B" w:rsidRDefault="002163F2" w:rsidP="00CD79C5">
            <w:pPr>
              <w:jc w:val="center"/>
              <w:rPr>
                <w:b/>
                <w:color w:val="000000" w:themeColor="text1"/>
                <w:szCs w:val="16"/>
              </w:rPr>
            </w:pPr>
            <w:r w:rsidRPr="00ED172B">
              <w:rPr>
                <w:rFonts w:cs="Arial"/>
                <w:b/>
                <w:color w:val="000000" w:themeColor="text1"/>
                <w:szCs w:val="16"/>
              </w:rPr>
              <w:t>2017</w:t>
            </w:r>
          </w:p>
        </w:tc>
        <w:tc>
          <w:tcPr>
            <w:tcW w:w="937" w:type="pct"/>
            <w:shd w:val="clear" w:color="auto" w:fill="auto"/>
            <w:vAlign w:val="center"/>
          </w:tcPr>
          <w:p w14:paraId="0531CC69" w14:textId="4A4C6B62" w:rsidR="00DC0682" w:rsidRPr="00ED172B" w:rsidRDefault="002163F2" w:rsidP="00CD79C5">
            <w:pPr>
              <w:jc w:val="center"/>
              <w:rPr>
                <w:b/>
                <w:color w:val="000000" w:themeColor="text1"/>
                <w:szCs w:val="16"/>
              </w:rPr>
            </w:pPr>
            <w:r w:rsidRPr="00ED172B">
              <w:rPr>
                <w:rFonts w:cs="Arial"/>
                <w:b/>
                <w:color w:val="000000" w:themeColor="text1"/>
                <w:szCs w:val="16"/>
              </w:rPr>
              <w:t>2018</w:t>
            </w:r>
          </w:p>
        </w:tc>
        <w:tc>
          <w:tcPr>
            <w:tcW w:w="937" w:type="pct"/>
            <w:shd w:val="clear" w:color="auto" w:fill="auto"/>
            <w:vAlign w:val="center"/>
          </w:tcPr>
          <w:p w14:paraId="627B9655" w14:textId="2E85ECC1"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7" w:type="pct"/>
            <w:shd w:val="clear" w:color="auto" w:fill="auto"/>
            <w:vAlign w:val="center"/>
          </w:tcPr>
          <w:p w14:paraId="3A4331F1" w14:textId="73B7B60C" w:rsidR="00DC0682" w:rsidRPr="00ED172B" w:rsidRDefault="002163F2" w:rsidP="00CD79C5">
            <w:pPr>
              <w:jc w:val="center"/>
              <w:rPr>
                <w:b/>
                <w:color w:val="000000" w:themeColor="text1"/>
                <w:szCs w:val="16"/>
              </w:rPr>
            </w:pPr>
            <w:r w:rsidRPr="00ED172B">
              <w:rPr>
                <w:rFonts w:cs="Arial"/>
                <w:b/>
                <w:color w:val="000000" w:themeColor="text1"/>
                <w:szCs w:val="16"/>
              </w:rPr>
              <w:t>2020</w:t>
            </w:r>
          </w:p>
        </w:tc>
        <w:tc>
          <w:tcPr>
            <w:tcW w:w="937" w:type="pct"/>
            <w:shd w:val="clear" w:color="auto" w:fill="auto"/>
            <w:vAlign w:val="center"/>
          </w:tcPr>
          <w:p w14:paraId="3EDFB614" w14:textId="521411CB" w:rsidR="00DC0682" w:rsidRPr="00ED172B" w:rsidRDefault="006D43D3" w:rsidP="00CD79C5">
            <w:pPr>
              <w:jc w:val="center"/>
              <w:rPr>
                <w:b/>
                <w:color w:val="000000" w:themeColor="text1"/>
                <w:szCs w:val="16"/>
              </w:rPr>
            </w:pPr>
            <w:r w:rsidRPr="00ED172B">
              <w:rPr>
                <w:rFonts w:cs="Arial"/>
                <w:b/>
                <w:color w:val="000000" w:themeColor="text1"/>
                <w:szCs w:val="16"/>
              </w:rPr>
              <w:t>2021</w:t>
            </w:r>
          </w:p>
        </w:tc>
      </w:tr>
      <w:tr w:rsidR="00ED172B" w:rsidRPr="00ED172B" w14:paraId="7BEE33EE" w14:textId="77777777" w:rsidTr="00A40EE1">
        <w:trPr>
          <w:trHeight w:val="357"/>
        </w:trPr>
        <w:tc>
          <w:tcPr>
            <w:tcW w:w="317" w:type="pct"/>
            <w:shd w:val="clear" w:color="auto" w:fill="auto"/>
          </w:tcPr>
          <w:p w14:paraId="1B969246" w14:textId="74F4A18D" w:rsidR="00DC0682" w:rsidRPr="00ED172B" w:rsidRDefault="00DC0682" w:rsidP="00D21F29">
            <w:pPr>
              <w:jc w:val="center"/>
              <w:rPr>
                <w:color w:val="000000" w:themeColor="text1"/>
                <w:szCs w:val="16"/>
              </w:rPr>
            </w:pPr>
            <w:r w:rsidRPr="00ED172B">
              <w:rPr>
                <w:color w:val="000000" w:themeColor="text1"/>
                <w:szCs w:val="16"/>
              </w:rPr>
              <w:t>Target</w:t>
            </w:r>
          </w:p>
        </w:tc>
        <w:tc>
          <w:tcPr>
            <w:tcW w:w="937" w:type="pct"/>
            <w:shd w:val="clear" w:color="auto" w:fill="auto"/>
          </w:tcPr>
          <w:p w14:paraId="7A765AD2" w14:textId="66FB6C70"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298730DD" w14:textId="567C00C5"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426A4A74" w14:textId="6E36579C"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02B71884" w14:textId="35CBF7E7"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4534214C" w14:textId="6CF2390C" w:rsidR="00DC0682" w:rsidRPr="00ED172B" w:rsidRDefault="00896860" w:rsidP="00CD79C5">
            <w:pPr>
              <w:jc w:val="center"/>
              <w:rPr>
                <w:color w:val="000000" w:themeColor="text1"/>
                <w:szCs w:val="16"/>
              </w:rPr>
            </w:pPr>
            <w:r w:rsidRPr="00ED172B">
              <w:rPr>
                <w:color w:val="000000" w:themeColor="text1"/>
                <w:szCs w:val="16"/>
              </w:rPr>
              <w:t>100%</w:t>
            </w:r>
          </w:p>
        </w:tc>
      </w:tr>
      <w:tr w:rsidR="00ED172B" w:rsidRPr="00ED172B" w14:paraId="5C007E21" w14:textId="77777777" w:rsidTr="00A40EE1">
        <w:trPr>
          <w:trHeight w:val="85"/>
        </w:trPr>
        <w:tc>
          <w:tcPr>
            <w:tcW w:w="317" w:type="pct"/>
            <w:shd w:val="clear" w:color="auto" w:fill="auto"/>
          </w:tcPr>
          <w:p w14:paraId="7C4B21B3" w14:textId="77777777" w:rsidR="00DC0682" w:rsidRPr="00ED172B" w:rsidRDefault="00DC0682" w:rsidP="00D21F29">
            <w:pPr>
              <w:jc w:val="center"/>
              <w:rPr>
                <w:color w:val="000000" w:themeColor="text1"/>
                <w:szCs w:val="16"/>
              </w:rPr>
            </w:pPr>
            <w:r w:rsidRPr="00ED172B">
              <w:rPr>
                <w:color w:val="000000" w:themeColor="text1"/>
                <w:szCs w:val="16"/>
              </w:rPr>
              <w:t>Data</w:t>
            </w:r>
          </w:p>
        </w:tc>
        <w:tc>
          <w:tcPr>
            <w:tcW w:w="937" w:type="pct"/>
            <w:shd w:val="clear" w:color="auto" w:fill="auto"/>
            <w:vAlign w:val="center"/>
          </w:tcPr>
          <w:p w14:paraId="6958D420" w14:textId="788EF07E" w:rsidR="00DC0682" w:rsidRPr="00ED172B" w:rsidRDefault="00860830" w:rsidP="00CD79C5">
            <w:pPr>
              <w:jc w:val="center"/>
              <w:rPr>
                <w:color w:val="000000" w:themeColor="text1"/>
                <w:szCs w:val="16"/>
              </w:rPr>
            </w:pPr>
            <w:r w:rsidRPr="00ED172B">
              <w:rPr>
                <w:rFonts w:cs="Arial"/>
                <w:color w:val="000000" w:themeColor="text1"/>
                <w:szCs w:val="16"/>
              </w:rPr>
              <w:t>95.30%</w:t>
            </w:r>
          </w:p>
        </w:tc>
        <w:tc>
          <w:tcPr>
            <w:tcW w:w="937" w:type="pct"/>
            <w:tcBorders>
              <w:bottom w:val="single" w:sz="4" w:space="0" w:color="auto"/>
            </w:tcBorders>
            <w:shd w:val="clear" w:color="auto" w:fill="auto"/>
            <w:vAlign w:val="center"/>
          </w:tcPr>
          <w:p w14:paraId="0FCEB275" w14:textId="6D1C5DA8" w:rsidR="00DC0682" w:rsidRPr="00ED172B" w:rsidRDefault="00860830" w:rsidP="00CD79C5">
            <w:pPr>
              <w:jc w:val="center"/>
              <w:rPr>
                <w:color w:val="000000" w:themeColor="text1"/>
                <w:szCs w:val="16"/>
              </w:rPr>
            </w:pPr>
            <w:r w:rsidRPr="00ED172B">
              <w:rPr>
                <w:rFonts w:cs="Arial"/>
                <w:color w:val="000000" w:themeColor="text1"/>
                <w:szCs w:val="16"/>
              </w:rPr>
              <w:t>89.47%</w:t>
            </w:r>
          </w:p>
        </w:tc>
        <w:tc>
          <w:tcPr>
            <w:tcW w:w="937" w:type="pct"/>
            <w:tcBorders>
              <w:bottom w:val="single" w:sz="4" w:space="0" w:color="auto"/>
            </w:tcBorders>
            <w:shd w:val="clear" w:color="auto" w:fill="auto"/>
            <w:vAlign w:val="center"/>
          </w:tcPr>
          <w:p w14:paraId="07A0FC63" w14:textId="1E853085" w:rsidR="00DC0682" w:rsidRPr="00ED172B" w:rsidRDefault="00860830" w:rsidP="00CD79C5">
            <w:pPr>
              <w:jc w:val="center"/>
              <w:rPr>
                <w:color w:val="000000" w:themeColor="text1"/>
                <w:szCs w:val="16"/>
              </w:rPr>
            </w:pPr>
            <w:r w:rsidRPr="00ED172B">
              <w:rPr>
                <w:rFonts w:cs="Arial"/>
                <w:color w:val="000000" w:themeColor="text1"/>
                <w:szCs w:val="16"/>
              </w:rPr>
              <w:t>92.16%</w:t>
            </w:r>
          </w:p>
        </w:tc>
        <w:tc>
          <w:tcPr>
            <w:tcW w:w="937" w:type="pct"/>
            <w:tcBorders>
              <w:bottom w:val="single" w:sz="4" w:space="0" w:color="auto"/>
            </w:tcBorders>
            <w:shd w:val="clear" w:color="auto" w:fill="auto"/>
            <w:vAlign w:val="center"/>
          </w:tcPr>
          <w:p w14:paraId="45FF1930" w14:textId="6983E3B1" w:rsidR="00DC0682" w:rsidRPr="00ED172B" w:rsidRDefault="00860830" w:rsidP="00CD79C5">
            <w:pPr>
              <w:jc w:val="center"/>
              <w:rPr>
                <w:color w:val="000000" w:themeColor="text1"/>
                <w:szCs w:val="16"/>
              </w:rPr>
            </w:pPr>
            <w:r w:rsidRPr="00ED172B">
              <w:rPr>
                <w:rFonts w:cs="Arial"/>
                <w:color w:val="000000" w:themeColor="text1"/>
                <w:szCs w:val="16"/>
              </w:rPr>
              <w:t>92.31%</w:t>
            </w:r>
          </w:p>
        </w:tc>
        <w:tc>
          <w:tcPr>
            <w:tcW w:w="937" w:type="pct"/>
            <w:tcBorders>
              <w:bottom w:val="single" w:sz="4" w:space="0" w:color="auto"/>
            </w:tcBorders>
            <w:shd w:val="clear" w:color="auto" w:fill="auto"/>
            <w:vAlign w:val="center"/>
          </w:tcPr>
          <w:p w14:paraId="66761B41" w14:textId="671A36D9" w:rsidR="00DC0682" w:rsidRPr="00ED172B" w:rsidRDefault="00860830" w:rsidP="00CD79C5">
            <w:pPr>
              <w:jc w:val="center"/>
              <w:rPr>
                <w:color w:val="000000" w:themeColor="text1"/>
                <w:szCs w:val="16"/>
              </w:rPr>
            </w:pPr>
            <w:r w:rsidRPr="00ED172B">
              <w:rPr>
                <w:rFonts w:cs="Arial"/>
                <w:color w:val="000000" w:themeColor="text1"/>
                <w:szCs w:val="16"/>
              </w:rPr>
              <w:t>92.36%</w:t>
            </w:r>
          </w:p>
        </w:tc>
      </w:tr>
    </w:tbl>
    <w:p w14:paraId="1AFB914D" w14:textId="77777777" w:rsidR="008A4FF2" w:rsidRPr="00ED172B" w:rsidRDefault="008A4FF2">
      <w:pPr>
        <w:rPr>
          <w:b/>
          <w:color w:val="000000" w:themeColor="text1"/>
        </w:rPr>
      </w:pPr>
    </w:p>
    <w:p w14:paraId="211F56D1" w14:textId="77777777" w:rsidR="008A4FF2" w:rsidRPr="00ED172B" w:rsidRDefault="008A4FF2">
      <w:pPr>
        <w:rPr>
          <w:b/>
          <w:color w:val="000000" w:themeColor="text1"/>
        </w:rPr>
      </w:pPr>
    </w:p>
    <w:p w14:paraId="19F398F3" w14:textId="7D1EC959" w:rsidR="00DC0682" w:rsidRPr="00ED172B" w:rsidRDefault="00DC0682">
      <w:pPr>
        <w:rPr>
          <w:b/>
          <w:color w:val="000000" w:themeColor="text1"/>
        </w:rPr>
      </w:pPr>
      <w:r w:rsidRPr="00ED172B">
        <w:rPr>
          <w:b/>
          <w:color w:val="000000" w:themeColor="text1"/>
        </w:rPr>
        <w:t>Targets</w:t>
      </w:r>
    </w:p>
    <w:tbl>
      <w:tblPr>
        <w:tblW w:w="4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CTARGETS"/>
      </w:tblPr>
      <w:tblGrid>
        <w:gridCol w:w="679"/>
        <w:gridCol w:w="1912"/>
        <w:gridCol w:w="2041"/>
        <w:gridCol w:w="2042"/>
        <w:gridCol w:w="2042"/>
      </w:tblGrid>
      <w:tr w:rsidR="00C843AF" w:rsidRPr="00ED172B" w14:paraId="4A0A94D5" w14:textId="2110C8A4" w:rsidTr="00E415ED">
        <w:trPr>
          <w:trHeight w:val="328"/>
        </w:trPr>
        <w:tc>
          <w:tcPr>
            <w:tcW w:w="318" w:type="pct"/>
            <w:tcBorders>
              <w:bottom w:val="single" w:sz="4" w:space="0" w:color="auto"/>
            </w:tcBorders>
            <w:shd w:val="clear" w:color="auto" w:fill="auto"/>
          </w:tcPr>
          <w:p w14:paraId="313F5767" w14:textId="77777777" w:rsidR="00C843AF" w:rsidRPr="00ED172B" w:rsidRDefault="00C843AF" w:rsidP="00A74C59">
            <w:pPr>
              <w:jc w:val="center"/>
              <w:rPr>
                <w:b/>
                <w:color w:val="000000" w:themeColor="text1"/>
                <w:szCs w:val="16"/>
              </w:rPr>
            </w:pPr>
            <w:r w:rsidRPr="00ED172B">
              <w:rPr>
                <w:b/>
                <w:color w:val="000000" w:themeColor="text1"/>
                <w:szCs w:val="16"/>
              </w:rPr>
              <w:t>FFY</w:t>
            </w:r>
          </w:p>
        </w:tc>
        <w:tc>
          <w:tcPr>
            <w:tcW w:w="1115" w:type="pct"/>
            <w:shd w:val="clear" w:color="auto" w:fill="auto"/>
            <w:vAlign w:val="center"/>
          </w:tcPr>
          <w:p w14:paraId="6608DBF0" w14:textId="3185DA2A" w:rsidR="00C843AF" w:rsidRPr="00ED172B" w:rsidRDefault="00C843AF" w:rsidP="00A74C59">
            <w:pPr>
              <w:jc w:val="center"/>
              <w:rPr>
                <w:b/>
                <w:color w:val="000000" w:themeColor="text1"/>
                <w:szCs w:val="16"/>
              </w:rPr>
            </w:pPr>
            <w:r w:rsidRPr="00ED172B">
              <w:rPr>
                <w:rFonts w:cs="Arial"/>
                <w:b/>
                <w:color w:val="000000" w:themeColor="text1"/>
                <w:szCs w:val="16"/>
              </w:rPr>
              <w:t>2022</w:t>
            </w:r>
          </w:p>
        </w:tc>
        <w:tc>
          <w:tcPr>
            <w:tcW w:w="1189" w:type="pct"/>
          </w:tcPr>
          <w:p w14:paraId="1BEDEEFC" w14:textId="6DD58D98" w:rsidR="00C843AF" w:rsidRPr="00ED172B" w:rsidRDefault="00C843AF" w:rsidP="00A74C59">
            <w:pPr>
              <w:jc w:val="center"/>
              <w:rPr>
                <w:rFonts w:cs="Arial"/>
                <w:b/>
                <w:color w:val="000000" w:themeColor="text1"/>
                <w:szCs w:val="16"/>
              </w:rPr>
            </w:pPr>
            <w:r>
              <w:rPr>
                <w:rFonts w:cs="Arial"/>
                <w:b/>
                <w:color w:val="000000" w:themeColor="text1"/>
                <w:szCs w:val="16"/>
              </w:rPr>
              <w:t>2023</w:t>
            </w:r>
          </w:p>
        </w:tc>
        <w:tc>
          <w:tcPr>
            <w:tcW w:w="1189" w:type="pct"/>
          </w:tcPr>
          <w:p w14:paraId="11F5F4E5" w14:textId="34A5E91F" w:rsidR="00C843AF" w:rsidRPr="00ED172B" w:rsidRDefault="00C843AF" w:rsidP="00A74C59">
            <w:pPr>
              <w:jc w:val="center"/>
              <w:rPr>
                <w:rFonts w:cs="Arial"/>
                <w:b/>
                <w:color w:val="000000" w:themeColor="text1"/>
                <w:szCs w:val="16"/>
              </w:rPr>
            </w:pPr>
            <w:r w:rsidRPr="005A1B4F">
              <w:rPr>
                <w:rFonts w:cs="Arial"/>
                <w:b/>
                <w:color w:val="000000" w:themeColor="text1"/>
                <w:szCs w:val="16"/>
              </w:rPr>
              <w:t>2024</w:t>
            </w:r>
          </w:p>
        </w:tc>
        <w:tc>
          <w:tcPr>
            <w:tcW w:w="1189" w:type="pct"/>
          </w:tcPr>
          <w:p w14:paraId="23C0A346" w14:textId="5BED0920" w:rsidR="00C843AF" w:rsidRPr="00ED172B" w:rsidRDefault="00C843AF" w:rsidP="00A74C59">
            <w:pPr>
              <w:jc w:val="center"/>
              <w:rPr>
                <w:rFonts w:cs="Arial"/>
                <w:b/>
                <w:color w:val="000000" w:themeColor="text1"/>
                <w:szCs w:val="16"/>
              </w:rPr>
            </w:pPr>
            <w:r w:rsidRPr="005A1B4F">
              <w:rPr>
                <w:rFonts w:cs="Arial"/>
                <w:b/>
                <w:color w:val="000000" w:themeColor="text1"/>
                <w:szCs w:val="16"/>
              </w:rPr>
              <w:t>2025</w:t>
            </w:r>
          </w:p>
        </w:tc>
      </w:tr>
      <w:tr w:rsidR="00C843AF" w:rsidRPr="00ED172B" w14:paraId="330A4207" w14:textId="28309058" w:rsidTr="00E415ED">
        <w:trPr>
          <w:trHeight w:val="334"/>
        </w:trPr>
        <w:tc>
          <w:tcPr>
            <w:tcW w:w="318" w:type="pct"/>
            <w:shd w:val="clear" w:color="auto" w:fill="auto"/>
          </w:tcPr>
          <w:p w14:paraId="12FC7A89" w14:textId="77777777" w:rsidR="00C843AF" w:rsidRPr="00ED172B" w:rsidRDefault="00C843AF" w:rsidP="00D21F29">
            <w:pPr>
              <w:jc w:val="center"/>
              <w:rPr>
                <w:color w:val="000000" w:themeColor="text1"/>
                <w:szCs w:val="16"/>
              </w:rPr>
            </w:pPr>
            <w:r w:rsidRPr="00ED172B">
              <w:rPr>
                <w:color w:val="000000" w:themeColor="text1"/>
                <w:szCs w:val="16"/>
              </w:rPr>
              <w:t>Target</w:t>
            </w:r>
          </w:p>
        </w:tc>
        <w:tc>
          <w:tcPr>
            <w:tcW w:w="1115" w:type="pct"/>
            <w:shd w:val="clear" w:color="auto" w:fill="auto"/>
          </w:tcPr>
          <w:p w14:paraId="7AF5945C" w14:textId="2C6978AD" w:rsidR="00C843AF" w:rsidRPr="00ED172B" w:rsidRDefault="00C843AF" w:rsidP="00A74C59">
            <w:pPr>
              <w:jc w:val="center"/>
              <w:rPr>
                <w:color w:val="000000" w:themeColor="text1"/>
                <w:szCs w:val="16"/>
              </w:rPr>
            </w:pPr>
            <w:r w:rsidRPr="00ED172B">
              <w:rPr>
                <w:color w:val="000000" w:themeColor="text1"/>
                <w:szCs w:val="16"/>
              </w:rPr>
              <w:t>100%</w:t>
            </w:r>
          </w:p>
        </w:tc>
        <w:tc>
          <w:tcPr>
            <w:tcW w:w="1189" w:type="pct"/>
          </w:tcPr>
          <w:p w14:paraId="6A1E3CBC" w14:textId="7AF93675" w:rsidR="00C843AF" w:rsidRPr="00ED172B" w:rsidRDefault="00C843AF" w:rsidP="00A74C59">
            <w:pPr>
              <w:jc w:val="center"/>
              <w:rPr>
                <w:color w:val="000000" w:themeColor="text1"/>
                <w:szCs w:val="16"/>
              </w:rPr>
            </w:pPr>
            <w:r>
              <w:rPr>
                <w:rFonts w:cs="Arial"/>
                <w:color w:val="000000" w:themeColor="text1"/>
                <w:szCs w:val="16"/>
              </w:rPr>
              <w:t>100%</w:t>
            </w:r>
          </w:p>
        </w:tc>
        <w:tc>
          <w:tcPr>
            <w:tcW w:w="1189" w:type="pct"/>
          </w:tcPr>
          <w:p w14:paraId="250CDE0D" w14:textId="2C29838D" w:rsidR="00C843AF" w:rsidRPr="00ED172B" w:rsidRDefault="00C843AF" w:rsidP="00A74C59">
            <w:pPr>
              <w:jc w:val="center"/>
              <w:rPr>
                <w:color w:val="000000" w:themeColor="text1"/>
                <w:szCs w:val="16"/>
              </w:rPr>
            </w:pPr>
            <w:r w:rsidRPr="005F5F3C">
              <w:rPr>
                <w:rFonts w:cs="Arial"/>
                <w:color w:val="000000" w:themeColor="text1"/>
                <w:szCs w:val="16"/>
              </w:rPr>
              <w:t>100%</w:t>
            </w:r>
          </w:p>
        </w:tc>
        <w:tc>
          <w:tcPr>
            <w:tcW w:w="1189" w:type="pct"/>
          </w:tcPr>
          <w:p w14:paraId="79AF65D2" w14:textId="1AB28DA5" w:rsidR="00C843AF" w:rsidRPr="00ED172B" w:rsidRDefault="00C843AF" w:rsidP="00A74C59">
            <w:pPr>
              <w:jc w:val="center"/>
              <w:rPr>
                <w:color w:val="000000" w:themeColor="text1"/>
                <w:szCs w:val="16"/>
              </w:rPr>
            </w:pPr>
            <w:r w:rsidRPr="005F5F3C">
              <w:rPr>
                <w:rFonts w:cs="Arial"/>
                <w:color w:val="000000" w:themeColor="text1"/>
                <w:szCs w:val="16"/>
              </w:rPr>
              <w:t>100%</w:t>
            </w:r>
          </w:p>
        </w:tc>
      </w:tr>
    </w:tbl>
    <w:p w14:paraId="4A23C4F7" w14:textId="107BBCF7" w:rsidR="003C1AB9" w:rsidRPr="00ED172B" w:rsidRDefault="00F22D09">
      <w:pPr>
        <w:rPr>
          <w:b/>
          <w:color w:val="000000" w:themeColor="text1"/>
        </w:rPr>
      </w:pPr>
      <w:r>
        <w:rPr>
          <w:b/>
          <w:color w:val="000000" w:themeColor="text1"/>
        </w:rPr>
        <w:t>FFY 2022 SPP/APR Data</w:t>
      </w:r>
    </w:p>
    <w:p w14:paraId="4035DB23" w14:textId="07CE3251" w:rsidR="00D3572A" w:rsidRPr="00ED172B" w:rsidRDefault="00D3572A">
      <w:pPr>
        <w:rPr>
          <w:b/>
          <w:color w:val="000000" w:themeColor="text1"/>
          <w:szCs w:val="16"/>
        </w:rPr>
      </w:pPr>
      <w:r w:rsidRPr="00ED172B">
        <w:rPr>
          <w:b/>
          <w:color w:val="000000" w:themeColor="text1"/>
          <w:szCs w:val="16"/>
        </w:rPr>
        <w:t>Data reflect only those toddlers for whom the Lead Agency has conducted the transition conference held with the approval of the family at least 90 days, and at the discretion of all parties, not more than nine months, prior to the toddler’s third birthday for toddlers potentially eligible for Part B preschool services. (yes/no)</w:t>
      </w:r>
    </w:p>
    <w:p w14:paraId="5B3147C6" w14:textId="45B7172C" w:rsidR="00D3572A" w:rsidRDefault="00D3572A">
      <w:pPr>
        <w:rPr>
          <w:color w:val="000000" w:themeColor="text1"/>
          <w:szCs w:val="16"/>
        </w:rPr>
      </w:pPr>
      <w:r w:rsidRPr="00ED172B">
        <w:rPr>
          <w:color w:val="000000" w:themeColor="text1"/>
          <w:szCs w:val="16"/>
        </w:rPr>
        <w:t>YES</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8CFFYAPRDATA"/>
      </w:tblPr>
      <w:tblGrid>
        <w:gridCol w:w="3150"/>
        <w:gridCol w:w="1621"/>
        <w:gridCol w:w="1349"/>
        <w:gridCol w:w="1170"/>
        <w:gridCol w:w="1170"/>
        <w:gridCol w:w="1170"/>
        <w:gridCol w:w="1164"/>
      </w:tblGrid>
      <w:tr w:rsidR="00ED172B" w:rsidRPr="00ED172B" w14:paraId="232692C6" w14:textId="77777777" w:rsidTr="00986B99">
        <w:trPr>
          <w:trHeight w:val="359"/>
          <w:tblHeader/>
        </w:trPr>
        <w:tc>
          <w:tcPr>
            <w:tcW w:w="1459" w:type="pct"/>
            <w:shd w:val="clear" w:color="auto" w:fill="auto"/>
            <w:vAlign w:val="bottom"/>
          </w:tcPr>
          <w:p w14:paraId="334B5817" w14:textId="0244E7E6" w:rsidR="00781A26" w:rsidRPr="00ED172B" w:rsidRDefault="00781A26" w:rsidP="00781A26">
            <w:pPr>
              <w:jc w:val="center"/>
              <w:rPr>
                <w:b/>
                <w:color w:val="000000" w:themeColor="text1"/>
                <w:szCs w:val="16"/>
              </w:rPr>
            </w:pPr>
            <w:r w:rsidRPr="00ED172B">
              <w:rPr>
                <w:b/>
                <w:color w:val="000000" w:themeColor="text1"/>
                <w:szCs w:val="16"/>
              </w:rPr>
              <w:t>Number of toddlers with disabilities exiting Part C where the transition conference occurred at least 90 days, and at the discretion of all parties not more than nine months prior to the toddler’s third birthday for toddlers potentially eligible for Part B</w:t>
            </w:r>
          </w:p>
        </w:tc>
        <w:tc>
          <w:tcPr>
            <w:tcW w:w="751" w:type="pct"/>
            <w:shd w:val="clear" w:color="auto" w:fill="auto"/>
            <w:vAlign w:val="bottom"/>
          </w:tcPr>
          <w:p w14:paraId="6C7F2A31" w14:textId="58F67E85" w:rsidR="00781A26" w:rsidRPr="00ED172B" w:rsidRDefault="00781A26" w:rsidP="00781A26">
            <w:pPr>
              <w:jc w:val="center"/>
              <w:rPr>
                <w:b/>
                <w:color w:val="000000" w:themeColor="text1"/>
                <w:szCs w:val="16"/>
              </w:rPr>
            </w:pPr>
            <w:r w:rsidRPr="00ED172B">
              <w:rPr>
                <w:b/>
                <w:color w:val="000000" w:themeColor="text1"/>
                <w:szCs w:val="16"/>
              </w:rPr>
              <w:t>Number of toddlers with disabilities exiting Part C who were potentially eligible for Part B</w:t>
            </w:r>
          </w:p>
        </w:tc>
        <w:tc>
          <w:tcPr>
            <w:tcW w:w="625" w:type="pct"/>
            <w:shd w:val="clear" w:color="auto" w:fill="auto"/>
            <w:vAlign w:val="bottom"/>
          </w:tcPr>
          <w:p w14:paraId="658290B6" w14:textId="760D102A" w:rsidR="00781A26" w:rsidRPr="00ED172B" w:rsidRDefault="00CD74B5" w:rsidP="00781A26">
            <w:pPr>
              <w:jc w:val="center"/>
              <w:rPr>
                <w:b/>
                <w:color w:val="000000" w:themeColor="text1"/>
                <w:szCs w:val="16"/>
              </w:rPr>
            </w:pPr>
            <w:r>
              <w:rPr>
                <w:rFonts w:cs="Arial"/>
                <w:b/>
                <w:color w:val="000000" w:themeColor="text1"/>
                <w:szCs w:val="16"/>
              </w:rPr>
              <w:t>FFY 2021 Data</w:t>
            </w:r>
          </w:p>
        </w:tc>
        <w:tc>
          <w:tcPr>
            <w:tcW w:w="542" w:type="pct"/>
            <w:shd w:val="clear" w:color="auto" w:fill="auto"/>
            <w:vAlign w:val="bottom"/>
          </w:tcPr>
          <w:p w14:paraId="5CF67A25" w14:textId="6E32238D" w:rsidR="00781A26" w:rsidRPr="00ED172B" w:rsidRDefault="00F22D09" w:rsidP="00781A26">
            <w:pPr>
              <w:jc w:val="center"/>
              <w:rPr>
                <w:b/>
                <w:color w:val="000000" w:themeColor="text1"/>
                <w:szCs w:val="16"/>
              </w:rPr>
            </w:pPr>
            <w:r>
              <w:rPr>
                <w:rFonts w:cs="Arial"/>
                <w:b/>
                <w:color w:val="000000" w:themeColor="text1"/>
                <w:szCs w:val="16"/>
              </w:rPr>
              <w:t>FFY 2022 Target</w:t>
            </w:r>
          </w:p>
        </w:tc>
        <w:tc>
          <w:tcPr>
            <w:tcW w:w="542" w:type="pct"/>
            <w:shd w:val="clear" w:color="auto" w:fill="auto"/>
            <w:vAlign w:val="bottom"/>
          </w:tcPr>
          <w:p w14:paraId="76B8CA16" w14:textId="148AC1A6" w:rsidR="00781A26" w:rsidRPr="00ED172B" w:rsidRDefault="00F22D09" w:rsidP="00781A26">
            <w:pPr>
              <w:jc w:val="center"/>
              <w:rPr>
                <w:b/>
                <w:color w:val="000000" w:themeColor="text1"/>
                <w:szCs w:val="16"/>
              </w:rPr>
            </w:pPr>
            <w:r>
              <w:rPr>
                <w:rFonts w:cs="Arial"/>
                <w:b/>
                <w:color w:val="000000" w:themeColor="text1"/>
                <w:szCs w:val="16"/>
              </w:rPr>
              <w:t>FFY 2022 Data</w:t>
            </w:r>
          </w:p>
        </w:tc>
        <w:tc>
          <w:tcPr>
            <w:tcW w:w="542" w:type="pct"/>
            <w:shd w:val="clear" w:color="auto" w:fill="auto"/>
            <w:vAlign w:val="bottom"/>
          </w:tcPr>
          <w:p w14:paraId="2A2D965E" w14:textId="77777777" w:rsidR="00781A26" w:rsidRPr="00ED172B" w:rsidRDefault="00781A26" w:rsidP="00781A26">
            <w:pPr>
              <w:jc w:val="center"/>
              <w:rPr>
                <w:b/>
                <w:color w:val="000000" w:themeColor="text1"/>
                <w:szCs w:val="16"/>
              </w:rPr>
            </w:pPr>
            <w:r w:rsidRPr="00ED172B">
              <w:rPr>
                <w:b/>
                <w:color w:val="000000" w:themeColor="text1"/>
                <w:szCs w:val="16"/>
              </w:rPr>
              <w:t>Status</w:t>
            </w:r>
          </w:p>
        </w:tc>
        <w:tc>
          <w:tcPr>
            <w:tcW w:w="539" w:type="pct"/>
            <w:shd w:val="clear" w:color="auto" w:fill="auto"/>
            <w:vAlign w:val="bottom"/>
          </w:tcPr>
          <w:p w14:paraId="31EE6F0A" w14:textId="77777777" w:rsidR="00781A26" w:rsidRPr="00ED172B" w:rsidRDefault="00781A26" w:rsidP="00781A26">
            <w:pPr>
              <w:jc w:val="center"/>
              <w:rPr>
                <w:b/>
                <w:color w:val="000000" w:themeColor="text1"/>
                <w:szCs w:val="16"/>
              </w:rPr>
            </w:pPr>
            <w:r w:rsidRPr="00ED172B">
              <w:rPr>
                <w:b/>
                <w:color w:val="000000" w:themeColor="text1"/>
                <w:szCs w:val="16"/>
              </w:rPr>
              <w:t>Slippage</w:t>
            </w:r>
          </w:p>
        </w:tc>
      </w:tr>
      <w:tr w:rsidR="00ED172B" w:rsidRPr="00ED172B" w14:paraId="237C6FDE" w14:textId="77777777" w:rsidTr="00986B99">
        <w:trPr>
          <w:trHeight w:val="366"/>
        </w:trPr>
        <w:tc>
          <w:tcPr>
            <w:tcW w:w="1459" w:type="pct"/>
            <w:shd w:val="clear" w:color="auto" w:fill="auto"/>
            <w:vAlign w:val="center"/>
          </w:tcPr>
          <w:p w14:paraId="19D97BFE" w14:textId="12324C57" w:rsidR="00781A26" w:rsidRPr="00ED172B" w:rsidRDefault="00860830" w:rsidP="00781A26">
            <w:pPr>
              <w:jc w:val="center"/>
              <w:rPr>
                <w:color w:val="000000" w:themeColor="text1"/>
                <w:szCs w:val="16"/>
              </w:rPr>
            </w:pPr>
            <w:r w:rsidRPr="00ED172B">
              <w:rPr>
                <w:color w:val="000000" w:themeColor="text1"/>
                <w:szCs w:val="16"/>
              </w:rPr>
              <w:t>138</w:t>
            </w:r>
          </w:p>
        </w:tc>
        <w:tc>
          <w:tcPr>
            <w:tcW w:w="751" w:type="pct"/>
            <w:shd w:val="clear" w:color="auto" w:fill="auto"/>
            <w:vAlign w:val="center"/>
          </w:tcPr>
          <w:p w14:paraId="47766C61" w14:textId="02D3DCB2" w:rsidR="00781A26" w:rsidRPr="00ED172B" w:rsidRDefault="00860830" w:rsidP="00781A26">
            <w:pPr>
              <w:jc w:val="center"/>
              <w:rPr>
                <w:color w:val="000000" w:themeColor="text1"/>
                <w:szCs w:val="16"/>
              </w:rPr>
            </w:pPr>
            <w:r w:rsidRPr="00ED172B">
              <w:rPr>
                <w:color w:val="000000" w:themeColor="text1"/>
                <w:szCs w:val="16"/>
              </w:rPr>
              <w:t>149</w:t>
            </w:r>
          </w:p>
        </w:tc>
        <w:tc>
          <w:tcPr>
            <w:tcW w:w="625" w:type="pct"/>
            <w:shd w:val="clear" w:color="auto" w:fill="auto"/>
          </w:tcPr>
          <w:p w14:paraId="2528AC6B" w14:textId="64AAC3FC" w:rsidR="00781A26" w:rsidRPr="00ED172B" w:rsidRDefault="00860830" w:rsidP="00781A26">
            <w:pPr>
              <w:jc w:val="center"/>
              <w:rPr>
                <w:color w:val="000000" w:themeColor="text1"/>
                <w:szCs w:val="16"/>
              </w:rPr>
            </w:pPr>
            <w:r w:rsidRPr="00ED172B">
              <w:rPr>
                <w:rFonts w:cs="Arial"/>
                <w:color w:val="000000" w:themeColor="text1"/>
                <w:szCs w:val="16"/>
              </w:rPr>
              <w:t>92.36%</w:t>
            </w:r>
          </w:p>
        </w:tc>
        <w:tc>
          <w:tcPr>
            <w:tcW w:w="542" w:type="pct"/>
            <w:shd w:val="clear" w:color="auto" w:fill="auto"/>
          </w:tcPr>
          <w:p w14:paraId="246B3CEB" w14:textId="3E3E4E56" w:rsidR="00781A26" w:rsidRPr="00ED172B" w:rsidRDefault="0098712B" w:rsidP="00781A26">
            <w:pPr>
              <w:jc w:val="center"/>
              <w:rPr>
                <w:color w:val="000000" w:themeColor="text1"/>
                <w:szCs w:val="16"/>
              </w:rPr>
            </w:pPr>
            <w:r w:rsidRPr="00ED172B">
              <w:rPr>
                <w:color w:val="000000" w:themeColor="text1"/>
                <w:szCs w:val="16"/>
              </w:rPr>
              <w:t>100%</w:t>
            </w:r>
          </w:p>
        </w:tc>
        <w:tc>
          <w:tcPr>
            <w:tcW w:w="542" w:type="pct"/>
            <w:shd w:val="clear" w:color="auto" w:fill="auto"/>
          </w:tcPr>
          <w:p w14:paraId="410CD81E" w14:textId="0D2CF052" w:rsidR="00781A26" w:rsidRPr="00ED172B" w:rsidRDefault="00860830" w:rsidP="00781A26">
            <w:pPr>
              <w:jc w:val="center"/>
              <w:rPr>
                <w:color w:val="000000" w:themeColor="text1"/>
                <w:szCs w:val="16"/>
              </w:rPr>
            </w:pPr>
            <w:r w:rsidRPr="00ED172B">
              <w:rPr>
                <w:rFonts w:cs="Arial"/>
                <w:color w:val="000000" w:themeColor="text1"/>
                <w:szCs w:val="16"/>
              </w:rPr>
              <w:t>92.62%</w:t>
            </w:r>
          </w:p>
        </w:tc>
        <w:tc>
          <w:tcPr>
            <w:tcW w:w="542" w:type="pct"/>
            <w:shd w:val="clear" w:color="auto" w:fill="auto"/>
          </w:tcPr>
          <w:p w14:paraId="24CBBB16" w14:textId="07238E18" w:rsidR="00781A26" w:rsidRPr="00ED172B" w:rsidRDefault="00320806" w:rsidP="00027F39">
            <w:pPr>
              <w:jc w:val="center"/>
              <w:rPr>
                <w:color w:val="000000" w:themeColor="text1"/>
              </w:rPr>
            </w:pPr>
            <w:r w:rsidRPr="00ED172B">
              <w:rPr>
                <w:color w:val="000000" w:themeColor="text1"/>
              </w:rPr>
              <w:t>Did not meet target</w:t>
            </w:r>
          </w:p>
        </w:tc>
        <w:tc>
          <w:tcPr>
            <w:tcW w:w="539" w:type="pct"/>
            <w:shd w:val="clear" w:color="auto" w:fill="auto"/>
          </w:tcPr>
          <w:p w14:paraId="36D4F9B5" w14:textId="3DEAC2DD" w:rsidR="00781A26" w:rsidRPr="00ED172B" w:rsidRDefault="00320806" w:rsidP="00027F39">
            <w:pPr>
              <w:jc w:val="center"/>
              <w:rPr>
                <w:color w:val="000000" w:themeColor="text1"/>
              </w:rPr>
            </w:pPr>
            <w:r w:rsidRPr="00ED172B">
              <w:rPr>
                <w:color w:val="000000" w:themeColor="text1"/>
              </w:rPr>
              <w:t>No Slippage</w:t>
            </w:r>
          </w:p>
        </w:tc>
      </w:tr>
    </w:tbl>
    <w:p w14:paraId="39BC77DC" w14:textId="77777777" w:rsidR="00EC3746" w:rsidRPr="00ED172B" w:rsidRDefault="00EC3746" w:rsidP="00EC3746">
      <w:pPr>
        <w:rPr>
          <w:color w:val="000000" w:themeColor="text1"/>
          <w:szCs w:val="16"/>
        </w:rPr>
      </w:pPr>
      <w:r w:rsidRPr="00ED172B">
        <w:rPr>
          <w:b/>
          <w:color w:val="000000" w:themeColor="text1"/>
          <w:szCs w:val="16"/>
        </w:rPr>
        <w:t>Number of toddlers for whom the parent did not provide approval for the transition conference</w:t>
      </w:r>
      <w:r w:rsidRPr="00ED172B">
        <w:rPr>
          <w:color w:val="000000" w:themeColor="text1"/>
          <w:szCs w:val="16"/>
        </w:rPr>
        <w:t xml:space="preserve">  </w:t>
      </w:r>
    </w:p>
    <w:p w14:paraId="5A329D2D" w14:textId="77777777" w:rsidR="00EC3746" w:rsidRPr="00ED172B" w:rsidRDefault="00EC3746" w:rsidP="00EC3746">
      <w:pPr>
        <w:rPr>
          <w:b/>
          <w:color w:val="000000" w:themeColor="text1"/>
          <w:szCs w:val="16"/>
        </w:rPr>
      </w:pPr>
      <w:r w:rsidRPr="00ED172B">
        <w:rPr>
          <w:b/>
          <w:color w:val="000000" w:themeColor="text1"/>
          <w:szCs w:val="16"/>
        </w:rPr>
        <w:t>This number will be subtracted from the "Number of toddlers with disabilities exiting Part C who were potentially eligible for Part B" field to calculate the denominator for this indicator.</w:t>
      </w:r>
    </w:p>
    <w:p w14:paraId="519D8514" w14:textId="21D435D2" w:rsidR="00EC3746" w:rsidRPr="00ED172B" w:rsidRDefault="00EC3746" w:rsidP="00EC3746">
      <w:pPr>
        <w:rPr>
          <w:color w:val="000000" w:themeColor="text1"/>
          <w:szCs w:val="16"/>
        </w:rPr>
      </w:pPr>
      <w:r w:rsidRPr="00ED172B">
        <w:rPr>
          <w:color w:val="000000" w:themeColor="text1"/>
          <w:szCs w:val="16"/>
        </w:rPr>
        <w:t>0</w:t>
      </w:r>
    </w:p>
    <w:p w14:paraId="207B52CF" w14:textId="33B5A180" w:rsidR="00EC3746" w:rsidRPr="00ED172B" w:rsidRDefault="00EC3746" w:rsidP="00EC3746">
      <w:pPr>
        <w:rPr>
          <w:color w:val="000000" w:themeColor="text1"/>
          <w:szCs w:val="16"/>
        </w:rPr>
      </w:pPr>
      <w:r w:rsidRPr="00ED172B">
        <w:rPr>
          <w:b/>
          <w:color w:val="000000" w:themeColor="text1"/>
          <w:szCs w:val="16"/>
        </w:rPr>
        <w:t>Number of documented delays attributable to exceptional family circumstances</w:t>
      </w:r>
    </w:p>
    <w:p w14:paraId="5E91C783" w14:textId="77777777" w:rsidR="00EC3746" w:rsidRPr="00ED172B" w:rsidRDefault="00EC3746" w:rsidP="00EC3746">
      <w:pPr>
        <w:rPr>
          <w:b/>
          <w:color w:val="000000" w:themeColor="text1"/>
          <w:szCs w:val="16"/>
        </w:rPr>
      </w:pPr>
      <w:r w:rsidRPr="00ED172B">
        <w:rPr>
          <w:b/>
          <w:color w:val="000000" w:themeColor="text1"/>
          <w:szCs w:val="16"/>
        </w:rPr>
        <w:t>This number will be added to the "Number of toddlers with disabilities exiting Part C where the transition conference occurred at least 90 days, and at the discretion of all parties not more than nine months prior to the toddler’s third birthday for toddlers potentially eligible for Part B" field to calculate the numerator for this indicator.</w:t>
      </w:r>
    </w:p>
    <w:p w14:paraId="339DA0D8" w14:textId="116C6D22" w:rsidR="00EC3746" w:rsidRDefault="00EC3746" w:rsidP="005A1CA1">
      <w:pPr>
        <w:rPr>
          <w:color w:val="000000" w:themeColor="text1"/>
        </w:rPr>
      </w:pPr>
      <w:r w:rsidRPr="00ED172B">
        <w:rPr>
          <w:color w:val="000000" w:themeColor="text1"/>
        </w:rPr>
        <w:t>0</w:t>
      </w:r>
    </w:p>
    <w:p w14:paraId="215A5675" w14:textId="77777777" w:rsidR="00A32D79" w:rsidRDefault="00A32D79" w:rsidP="00A32D79">
      <w:pPr>
        <w:rPr>
          <w:rFonts w:cs="Arial"/>
          <w:b/>
          <w:color w:val="000000" w:themeColor="text1"/>
          <w:szCs w:val="16"/>
        </w:rPr>
      </w:pPr>
      <w:r w:rsidRPr="003739C5">
        <w:rPr>
          <w:rFonts w:cs="Arial"/>
          <w:b/>
          <w:color w:val="000000" w:themeColor="text1"/>
          <w:szCs w:val="16"/>
        </w:rPr>
        <w:t>Provide reasons for delay, if applicable.</w:t>
      </w:r>
    </w:p>
    <w:p w14:paraId="21B39747" w14:textId="0D6A34CA" w:rsidR="00A32D79" w:rsidRPr="00ED172B" w:rsidRDefault="00A32D79" w:rsidP="00A32D79">
      <w:pPr>
        <w:rPr>
          <w:rFonts w:cs="Arial"/>
          <w:color w:val="000000" w:themeColor="text1"/>
          <w:szCs w:val="16"/>
        </w:rPr>
      </w:pPr>
      <w:r w:rsidRPr="00ED172B">
        <w:rPr>
          <w:color w:val="000000" w:themeColor="text1"/>
          <w:szCs w:val="16"/>
        </w:rPr>
        <w:t>The reasons for delay were as follows:</w:t>
      </w:r>
      <w:r w:rsidRPr="00ED172B">
        <w:rPr>
          <w:color w:val="000000" w:themeColor="text1"/>
          <w:szCs w:val="16"/>
        </w:rPr>
        <w:br/>
        <w:t>• 2 incidents of adding transition services more than nine months before the child’s third birthday.</w:t>
      </w:r>
      <w:r w:rsidRPr="00ED172B">
        <w:rPr>
          <w:color w:val="000000" w:themeColor="text1"/>
          <w:szCs w:val="16"/>
        </w:rPr>
        <w:br/>
        <w:t>• 7 incidents of adding transition services less than 90 days before the child’s third birthday.</w:t>
      </w:r>
      <w:r w:rsidRPr="00ED172B">
        <w:rPr>
          <w:color w:val="000000" w:themeColor="text1"/>
          <w:szCs w:val="16"/>
        </w:rPr>
        <w:br/>
        <w:t>• 2 incidents where no documentation was provided by the program for transition steps.</w:t>
      </w:r>
    </w:p>
    <w:p w14:paraId="6A4229B2" w14:textId="77777777" w:rsidR="00E50D17" w:rsidRPr="00ED172B" w:rsidRDefault="00781A26" w:rsidP="00B83404">
      <w:pPr>
        <w:rPr>
          <w:b/>
          <w:color w:val="000000" w:themeColor="text1"/>
        </w:rPr>
      </w:pPr>
      <w:r w:rsidRPr="00ED172B">
        <w:rPr>
          <w:b/>
          <w:color w:val="000000" w:themeColor="text1"/>
        </w:rPr>
        <w:t>What is the source of the data provided for this indicator?</w:t>
      </w:r>
    </w:p>
    <w:p w14:paraId="1A5AB2A5" w14:textId="712BFD4F" w:rsidR="00781A26" w:rsidRDefault="00781A26" w:rsidP="00B83404">
      <w:pPr>
        <w:rPr>
          <w:color w:val="000000" w:themeColor="text1"/>
        </w:rPr>
      </w:pPr>
      <w:r w:rsidRPr="00ED172B">
        <w:rPr>
          <w:color w:val="000000" w:themeColor="text1"/>
        </w:rPr>
        <w:t>State monitoring</w:t>
      </w:r>
    </w:p>
    <w:p w14:paraId="672A766A" w14:textId="37F88DC3" w:rsidR="00781A26" w:rsidRPr="00ED172B" w:rsidRDefault="00781A26" w:rsidP="00B83404">
      <w:pPr>
        <w:rPr>
          <w:b/>
          <w:color w:val="000000" w:themeColor="text1"/>
        </w:rPr>
      </w:pPr>
      <w:r w:rsidRPr="00ED172B">
        <w:rPr>
          <w:b/>
          <w:color w:val="000000" w:themeColor="text1"/>
        </w:rPr>
        <w:t xml:space="preserve">Describe the method used to select EIS programs for monitoring. </w:t>
      </w:r>
    </w:p>
    <w:p w14:paraId="630DA296" w14:textId="42D3702A" w:rsidR="00781A26" w:rsidRDefault="00860830" w:rsidP="00781A26">
      <w:pPr>
        <w:rPr>
          <w:color w:val="000000" w:themeColor="text1"/>
        </w:rPr>
      </w:pPr>
      <w:r w:rsidRPr="00ED172B">
        <w:rPr>
          <w:color w:val="000000" w:themeColor="text1"/>
        </w:rPr>
        <w:t xml:space="preserve">The method for selecting programs is to require all programs to participate. All EI programs in Oregon receiving IDEA funds are required to participate in the Oregon Department of Education (ODE) System Performance Review &amp; Improvement (SPR&amp;I) system of annual accountability and performance reporting. </w:t>
      </w:r>
      <w:r w:rsidRPr="00ED172B">
        <w:rPr>
          <w:color w:val="000000" w:themeColor="text1"/>
        </w:rPr>
        <w:br/>
      </w:r>
      <w:r w:rsidRPr="00ED172B">
        <w:rPr>
          <w:color w:val="000000" w:themeColor="text1"/>
        </w:rPr>
        <w:br/>
        <w:t xml:space="preserve">This system focuses on procedural compliance and performance indicators identified through federal and state regulation and previous state monitoring findings. Programs conduct individual child file reviews annually to collect procedural compliance data. These data are collected on a specified number of child files determined by ODE. Files are selected to match the individual race/ethnicity, disability, and gender distribution for each EI/ECSE program based on the December child count. Individual child procedural compliance data is collected by programs and submitted to ODE electronically through the SPR&amp;I database. ODE works collaboratively with programs on comprehensive data collection, analyses, performance reporting, improvement planning, implementation, and reporting of progress. The SPR&amp;I system provides ODE with the mechanism for review of district/program policies, procedures, and systems to ensure the requirements set forth in 34 CFR §303.700-708 are met. </w:t>
      </w:r>
      <w:r w:rsidRPr="00ED172B">
        <w:rPr>
          <w:color w:val="000000" w:themeColor="text1"/>
        </w:rPr>
        <w:br/>
      </w:r>
      <w:r w:rsidRPr="00ED172B">
        <w:rPr>
          <w:color w:val="000000" w:themeColor="text1"/>
        </w:rPr>
        <w:br/>
        <w:t xml:space="preserve">As part of the standard operating procedures through SPR&amp;I, EI/ECSE programs: </w:t>
      </w:r>
      <w:r w:rsidRPr="00ED172B">
        <w:rPr>
          <w:color w:val="000000" w:themeColor="text1"/>
        </w:rPr>
        <w:br/>
        <w:t xml:space="preserve">• Engage in self-assessment through data collection, review, and analysis to inform meaningful improvement. </w:t>
      </w:r>
      <w:r w:rsidRPr="00ED172B">
        <w:rPr>
          <w:color w:val="000000" w:themeColor="text1"/>
        </w:rPr>
        <w:br/>
        <w:t>• Report to ODE on timely transition planning for a predetermined number of child files selected for review.</w:t>
      </w:r>
      <w:r w:rsidRPr="00ED172B">
        <w:rPr>
          <w:color w:val="000000" w:themeColor="text1"/>
        </w:rPr>
        <w:br/>
        <w:t>• Address noncompliance with timely transition steps and services through corrective action documented in SPR&amp;I that includes verifying that services were provided to children, an explanation for the cause of the noncompliance, correction of practices that contributed to the noncompliance, and demonstration of current compliance through subsequent data collection.</w:t>
      </w:r>
    </w:p>
    <w:p w14:paraId="3B2CCC81" w14:textId="0C6D0819" w:rsidR="003A3693" w:rsidRPr="00ED172B" w:rsidRDefault="003A3693" w:rsidP="00950382">
      <w:pPr>
        <w:rPr>
          <w:b/>
          <w:color w:val="000000" w:themeColor="text1"/>
        </w:rPr>
      </w:pPr>
      <w:r w:rsidRPr="00ED172B">
        <w:rPr>
          <w:b/>
          <w:color w:val="000000" w:themeColor="text1"/>
        </w:rPr>
        <w:t>Provide additional information about this indicator (optional).</w:t>
      </w:r>
    </w:p>
    <w:p w14:paraId="40AE3CB1" w14:textId="1A980599" w:rsidR="003A3693" w:rsidRPr="00ED172B" w:rsidRDefault="003A3693" w:rsidP="003A3693">
      <w:pPr>
        <w:rPr>
          <w:rFonts w:cs="Arial"/>
          <w:color w:val="000000" w:themeColor="text1"/>
          <w:szCs w:val="16"/>
        </w:rPr>
      </w:pPr>
    </w:p>
    <w:p w14:paraId="0F5F1132" w14:textId="2A33C6A9" w:rsidR="00E06C1E" w:rsidRPr="00ED172B" w:rsidRDefault="00E06C1E" w:rsidP="00B83404">
      <w:pPr>
        <w:rPr>
          <w:color w:val="000000" w:themeColor="text1"/>
        </w:rPr>
      </w:pPr>
      <w:r w:rsidRPr="00ED172B">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C08CPFFYNCFINDINGS"/>
      </w:tblPr>
      <w:tblGrid>
        <w:gridCol w:w="2610"/>
        <w:gridCol w:w="2736"/>
        <w:gridCol w:w="2613"/>
        <w:gridCol w:w="2831"/>
      </w:tblGrid>
      <w:tr w:rsidR="00ED172B" w:rsidRPr="00ED172B" w14:paraId="2FE37A66" w14:textId="77777777" w:rsidTr="00986B99">
        <w:trPr>
          <w:trHeight w:val="389"/>
          <w:tblHeader/>
        </w:trPr>
        <w:tc>
          <w:tcPr>
            <w:tcW w:w="1209" w:type="pct"/>
            <w:shd w:val="clear" w:color="auto" w:fill="auto"/>
            <w:vAlign w:val="bottom"/>
          </w:tcPr>
          <w:p w14:paraId="4D236109"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68" w:type="pct"/>
            <w:shd w:val="clear" w:color="auto" w:fill="auto"/>
            <w:vAlign w:val="bottom"/>
          </w:tcPr>
          <w:p w14:paraId="614E871C"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1" w:type="pct"/>
            <w:shd w:val="clear" w:color="auto" w:fill="auto"/>
            <w:vAlign w:val="bottom"/>
          </w:tcPr>
          <w:p w14:paraId="1CA22C25"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12" w:type="pct"/>
            <w:shd w:val="clear" w:color="auto" w:fill="auto"/>
            <w:vAlign w:val="bottom"/>
          </w:tcPr>
          <w:p w14:paraId="14843B4B"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641A79F7" w14:textId="77777777" w:rsidTr="00986B99">
        <w:tc>
          <w:tcPr>
            <w:tcW w:w="1209" w:type="pct"/>
            <w:shd w:val="clear" w:color="auto" w:fill="auto"/>
          </w:tcPr>
          <w:p w14:paraId="44DB5FD7" w14:textId="017C1330" w:rsidR="00E06C1E" w:rsidRPr="00ED172B" w:rsidRDefault="00860830" w:rsidP="00ED172B">
            <w:pPr>
              <w:jc w:val="center"/>
              <w:rPr>
                <w:rFonts w:cs="Arial"/>
                <w:color w:val="000000" w:themeColor="text1"/>
                <w:szCs w:val="16"/>
              </w:rPr>
            </w:pPr>
            <w:r w:rsidRPr="00ED172B">
              <w:rPr>
                <w:rFonts w:cs="Arial"/>
                <w:color w:val="000000" w:themeColor="text1"/>
                <w:szCs w:val="16"/>
              </w:rPr>
              <w:t>12</w:t>
            </w:r>
          </w:p>
        </w:tc>
        <w:tc>
          <w:tcPr>
            <w:tcW w:w="1268" w:type="pct"/>
            <w:shd w:val="clear" w:color="auto" w:fill="auto"/>
          </w:tcPr>
          <w:p w14:paraId="2EF88B35" w14:textId="56AB0211" w:rsidR="00E06C1E" w:rsidRPr="00ED172B" w:rsidRDefault="00860830" w:rsidP="00ED172B">
            <w:pPr>
              <w:jc w:val="center"/>
              <w:rPr>
                <w:rFonts w:cs="Arial"/>
                <w:color w:val="000000" w:themeColor="text1"/>
                <w:szCs w:val="16"/>
              </w:rPr>
            </w:pPr>
            <w:r w:rsidRPr="00ED172B">
              <w:rPr>
                <w:rFonts w:cs="Arial"/>
                <w:color w:val="000000" w:themeColor="text1"/>
                <w:szCs w:val="16"/>
              </w:rPr>
              <w:t>12</w:t>
            </w:r>
          </w:p>
        </w:tc>
        <w:tc>
          <w:tcPr>
            <w:tcW w:w="1211" w:type="pct"/>
            <w:shd w:val="clear" w:color="auto" w:fill="auto"/>
          </w:tcPr>
          <w:p w14:paraId="10012A67" w14:textId="070A52AD" w:rsidR="00E06C1E"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312" w:type="pct"/>
            <w:shd w:val="clear" w:color="auto" w:fill="auto"/>
          </w:tcPr>
          <w:p w14:paraId="17C46319" w14:textId="0968AE1A" w:rsidR="00E06C1E" w:rsidRPr="00ED172B" w:rsidRDefault="00860830" w:rsidP="00D21F29">
            <w:pPr>
              <w:jc w:val="center"/>
              <w:rPr>
                <w:rFonts w:cs="Arial"/>
                <w:color w:val="000000" w:themeColor="text1"/>
                <w:szCs w:val="16"/>
              </w:rPr>
            </w:pPr>
            <w:r w:rsidRPr="00ED172B">
              <w:rPr>
                <w:rFonts w:cs="Arial"/>
                <w:color w:val="000000" w:themeColor="text1"/>
                <w:szCs w:val="16"/>
              </w:rPr>
              <w:t>0</w:t>
            </w:r>
          </w:p>
        </w:tc>
      </w:tr>
    </w:tbl>
    <w:p w14:paraId="516D9735" w14:textId="1F591491" w:rsidR="00E06C1E" w:rsidRPr="00ED172B" w:rsidRDefault="00CD74B5" w:rsidP="00B83404">
      <w:pPr>
        <w:rPr>
          <w:color w:val="000000" w:themeColor="text1"/>
        </w:rPr>
      </w:pPr>
      <w:r>
        <w:rPr>
          <w:b/>
          <w:color w:val="000000" w:themeColor="text1"/>
        </w:rPr>
        <w:t>FFY 2021 Findings of Noncompliance Verified as Corrected</w:t>
      </w:r>
    </w:p>
    <w:p w14:paraId="744E9FCC" w14:textId="4DDC632D" w:rsidR="00E06C1E" w:rsidRPr="00ED172B" w:rsidRDefault="00E06C1E">
      <w:pPr>
        <w:rPr>
          <w:b/>
          <w:color w:val="000000" w:themeColor="text1"/>
        </w:rPr>
      </w:pPr>
      <w:r w:rsidRPr="00ED172B">
        <w:rPr>
          <w:b/>
          <w:color w:val="000000" w:themeColor="text1"/>
        </w:rPr>
        <w:t xml:space="preserve">Describe how the State verified that the source of noncompliance is correctly implementing the </w:t>
      </w:r>
      <w:r w:rsidR="0031099B" w:rsidRPr="00ED172B">
        <w:rPr>
          <w:b/>
          <w:i/>
          <w:color w:val="000000" w:themeColor="text1"/>
        </w:rPr>
        <w:t>regulatory requirements</w:t>
      </w:r>
      <w:r w:rsidR="002959B0">
        <w:rPr>
          <w:b/>
          <w:i/>
          <w:color w:val="000000" w:themeColor="text1"/>
        </w:rPr>
        <w:t>.</w:t>
      </w:r>
    </w:p>
    <w:p w14:paraId="07554342" w14:textId="19034021" w:rsidR="00E06C1E" w:rsidRPr="00ED172B" w:rsidRDefault="00860830">
      <w:pPr>
        <w:rPr>
          <w:color w:val="000000" w:themeColor="text1"/>
        </w:rPr>
      </w:pPr>
      <w:r w:rsidRPr="00ED172B">
        <w:rPr>
          <w:color w:val="000000" w:themeColor="text1"/>
        </w:rPr>
        <w:t xml:space="preserve">In FFY 2021, 92.36% (132/144) of child files reviewed for EI transition included evidence of a transition planning conference at least 90 calendar days, and, at the discretion of the parties, up to 9 months before the child’s third birthday to support the child's transition to preschool and other appropriate </w:t>
      </w:r>
      <w:r w:rsidRPr="00ED172B">
        <w:rPr>
          <w:color w:val="000000" w:themeColor="text1"/>
        </w:rPr>
        <w:lastRenderedPageBreak/>
        <w:t>community services.</w:t>
      </w:r>
      <w:r w:rsidRPr="00ED172B">
        <w:rPr>
          <w:color w:val="000000" w:themeColor="text1"/>
        </w:rPr>
        <w:br/>
      </w:r>
      <w:r w:rsidRPr="00ED172B">
        <w:rPr>
          <w:color w:val="000000" w:themeColor="text1"/>
        </w:rPr>
        <w:br/>
        <w:t>As per OSEP QA 23-01 the State reviewed and verified corrective action data submitted to the State in SPR&amp;I by EI/ECSE programs with noncompliance and the State reviewed the individual child files in ecWeb (the statewide EI/ECSE special education file database) confirming 100% (12/12) of incidents of noncompliance in FFY 2021 were corrected within one year.</w:t>
      </w:r>
      <w:r w:rsidRPr="00ED172B">
        <w:rPr>
          <w:color w:val="000000" w:themeColor="text1"/>
        </w:rPr>
        <w:br/>
      </w:r>
      <w:r w:rsidRPr="00ED172B">
        <w:rPr>
          <w:color w:val="000000" w:themeColor="text1"/>
        </w:rPr>
        <w:br/>
        <w:t>The State verified through additional file reviews (of files created after the correction of individual noncompliance) submitted to the State in SPR&amp;I and reviewed and approved by the State, that programs with noncompliance demonstrated current compliance and correct implementation of regulatory requirements [34 CFR §303.209 and 303.344(h))] and (20 U.S.C. 1416(a)(3)(B) and 1442)</w:t>
      </w:r>
      <w:r w:rsidRPr="00ED172B">
        <w:rPr>
          <w:color w:val="000000" w:themeColor="text1"/>
        </w:rPr>
        <w:br/>
      </w:r>
      <w:r w:rsidRPr="00ED172B">
        <w:rPr>
          <w:color w:val="000000" w:themeColor="text1"/>
        </w:rPr>
        <w:br/>
        <w:t>The following steps were completed for the verification process for each individual noncompliance:</w:t>
      </w:r>
      <w:r w:rsidRPr="00ED172B">
        <w:rPr>
          <w:color w:val="000000" w:themeColor="text1"/>
        </w:rPr>
        <w:br/>
        <w:t>•</w:t>
      </w:r>
      <w:r w:rsidRPr="00ED172B">
        <w:rPr>
          <w:color w:val="000000" w:themeColor="text1"/>
        </w:rPr>
        <w:tab/>
        <w:t xml:space="preserve">The EI program provided the reason for each individual noncompliance through online submission into SPR&amp;I, Oregon’s monitoring system. </w:t>
      </w:r>
      <w:r w:rsidRPr="00ED172B">
        <w:rPr>
          <w:color w:val="000000" w:themeColor="text1"/>
        </w:rPr>
        <w:br/>
        <w:t>•</w:t>
      </w:r>
      <w:r w:rsidRPr="00ED172B">
        <w:rPr>
          <w:color w:val="000000" w:themeColor="text1"/>
        </w:rPr>
        <w:tab/>
        <w:t xml:space="preserve">The State reviewed the reason for noncompliance and indicated corrective action needed. </w:t>
      </w:r>
      <w:r w:rsidRPr="00ED172B">
        <w:rPr>
          <w:color w:val="000000" w:themeColor="text1"/>
        </w:rPr>
        <w:br/>
        <w:t>•</w:t>
      </w:r>
      <w:r w:rsidRPr="00ED172B">
        <w:rPr>
          <w:color w:val="000000" w:themeColor="text1"/>
        </w:rPr>
        <w:tab/>
        <w:t xml:space="preserve">The EI program submitted the corrective action on the individual noncompliance in SPR&amp;I. </w:t>
      </w:r>
      <w:r w:rsidRPr="00ED172B">
        <w:rPr>
          <w:color w:val="000000" w:themeColor="text1"/>
        </w:rPr>
        <w:br/>
        <w:t>•</w:t>
      </w:r>
      <w:r w:rsidRPr="00ED172B">
        <w:rPr>
          <w:color w:val="000000" w:themeColor="text1"/>
        </w:rPr>
        <w:tab/>
        <w:t xml:space="preserve">The State reviewed the submitted corrective action and individual child files in ecWeb (the statewide EI/ECSE special education database) and approved the same. </w:t>
      </w:r>
      <w:r w:rsidRPr="00ED172B">
        <w:rPr>
          <w:color w:val="000000" w:themeColor="text1"/>
        </w:rPr>
        <w:br/>
      </w:r>
      <w:r w:rsidRPr="00ED172B">
        <w:rPr>
          <w:color w:val="000000" w:themeColor="text1"/>
        </w:rPr>
        <w:br/>
        <w:t>Demonstration of correction of practices that contributed to the noncompliance, as well as current compliance with 34 CFR §303.209 and 303.344(h) and (20 U.S.C. 1416(a)(3)(B) and 1442), was obtained through the following:</w:t>
      </w:r>
      <w:r w:rsidRPr="00ED172B">
        <w:rPr>
          <w:color w:val="000000" w:themeColor="text1"/>
        </w:rPr>
        <w:br/>
        <w:t>•</w:t>
      </w:r>
      <w:r w:rsidRPr="00ED172B">
        <w:rPr>
          <w:color w:val="000000" w:themeColor="text1"/>
        </w:rPr>
        <w:tab/>
        <w:t xml:space="preserve">For the identified area of noncompliance, the EI programs with noncompliance completed additional reviews of files that were developed after the original noncompliance in the area of the identified noncompliance and submitted these to the State in SPR&amp;I. </w:t>
      </w:r>
      <w:r w:rsidRPr="00ED172B">
        <w:rPr>
          <w:color w:val="000000" w:themeColor="text1"/>
        </w:rPr>
        <w:br/>
        <w:t>• The State used ecWeb (the statewide EI/ECSE special education file database) to review the additional file reviews and individual child files for each EI Program to verify as per OSEP QA 23-01 that each EI program with corrected noncompliance. was in compliance and correctly implementing 34 CFR §303.209 and 303.344(h)) and (20 U.S.C. 1416(a)(3)(B) and 1442).</w:t>
      </w:r>
      <w:r w:rsidRPr="00ED172B">
        <w:rPr>
          <w:color w:val="000000" w:themeColor="text1"/>
        </w:rPr>
        <w:br/>
        <w:t>• All additional file reviews conducted after the original noncompliance were required to be compliant. If there was additional noncompliance in these files, this would become a systemic correction and require additional interventions followed by additional file reviews in the area of noncompliance. For this APR, 100% of additional file reviews were verified by the State as being compliant through a desk audit review of the original file utilizing ecWeb, the statewide EI/ECSE special education file database.</w:t>
      </w:r>
    </w:p>
    <w:p w14:paraId="6D01EF0D" w14:textId="1AD582C0" w:rsidR="00E06C1E" w:rsidRPr="00ED172B" w:rsidRDefault="00E06C1E">
      <w:pPr>
        <w:rPr>
          <w:b/>
          <w:color w:val="000000" w:themeColor="text1"/>
        </w:rPr>
      </w:pPr>
      <w:r w:rsidRPr="00ED172B">
        <w:rPr>
          <w:b/>
          <w:color w:val="000000" w:themeColor="text1"/>
        </w:rPr>
        <w:t xml:space="preserve">Describe how the State verified that each </w:t>
      </w:r>
      <w:r w:rsidR="0031099B" w:rsidRPr="00ED172B">
        <w:rPr>
          <w:b/>
          <w:i/>
          <w:color w:val="000000" w:themeColor="text1"/>
        </w:rPr>
        <w:t>individual case</w:t>
      </w:r>
      <w:r w:rsidRPr="00ED172B">
        <w:rPr>
          <w:b/>
          <w:color w:val="000000" w:themeColor="text1"/>
        </w:rPr>
        <w:t xml:space="preserve"> of noncompliance was corrected</w:t>
      </w:r>
      <w:r w:rsidR="002959B0">
        <w:rPr>
          <w:b/>
          <w:color w:val="000000" w:themeColor="text1"/>
        </w:rPr>
        <w:t>.</w:t>
      </w:r>
    </w:p>
    <w:p w14:paraId="7E3CA8C6" w14:textId="7957D363" w:rsidR="00E06C1E" w:rsidRDefault="00860830">
      <w:pPr>
        <w:rPr>
          <w:color w:val="000000" w:themeColor="text1"/>
        </w:rPr>
      </w:pPr>
      <w:r w:rsidRPr="00ED172B">
        <w:rPr>
          <w:color w:val="000000" w:themeColor="text1"/>
        </w:rPr>
        <w:t xml:space="preserve">There were twelve individual incidents of noncompliance across eight programs. Each program provided the cause of the noncompliance and demonstrated correction of practices that contributed to the noncompliance through subsequent data submissions in SPR&amp;I. The State reviewed, verified and approved corrective action data submitted by EI/ECSE programs to SPR&amp;I and ODE’s subsequent review of the individual child files using ecWeb (the statewide EI/ECSE special education database) that 100% (12/12) of incidents of noncompliance in FFY 2021 were corrected within one year and that the programs with noncompliance conducted a transition conference for any child potentially eligible for Part B whose transition conference was not timely, unless the child was no longer within the jurisdiction of the EI program. </w:t>
      </w:r>
      <w:r w:rsidRPr="00ED172B">
        <w:rPr>
          <w:color w:val="000000" w:themeColor="text1"/>
        </w:rPr>
        <w:br/>
      </w:r>
      <w:r w:rsidRPr="00ED172B">
        <w:rPr>
          <w:color w:val="000000" w:themeColor="text1"/>
        </w:rPr>
        <w:br/>
        <w:t>EI/ECSE programs with noncompliance demonstrated correction of practices that contributed to the noncompliance as well as current compliance with 34 CFR §303.209 and 303.344(h) based on ODE’s review, verification, and approval of corrective action data and new files created after the occurrence of noncompliance and submitted by EI/ECSE programs in SPR&amp;I. Corrective actions and individual files were reviewed by ODE using ecWeb (the statewide EI/ECSE special education database) consistent with the requirements of OSEP QA 23-01.</w:t>
      </w:r>
    </w:p>
    <w:p w14:paraId="24E59DC5" w14:textId="632F6AB6" w:rsidR="00E06C1E" w:rsidRPr="00ED172B" w:rsidRDefault="00E06C1E" w:rsidP="00B83404">
      <w:pPr>
        <w:rPr>
          <w:color w:val="000000" w:themeColor="text1"/>
        </w:rPr>
      </w:pPr>
      <w:r w:rsidRPr="00ED172B">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C08CPPFFYNCFINDINGS"/>
      </w:tblPr>
      <w:tblGrid>
        <w:gridCol w:w="2059"/>
        <w:gridCol w:w="2954"/>
        <w:gridCol w:w="2989"/>
        <w:gridCol w:w="2788"/>
      </w:tblGrid>
      <w:tr w:rsidR="00ED172B" w:rsidRPr="00ED172B" w14:paraId="37B70C61" w14:textId="77777777" w:rsidTr="00986B99">
        <w:trPr>
          <w:tblHeader/>
        </w:trPr>
        <w:tc>
          <w:tcPr>
            <w:tcW w:w="954" w:type="pct"/>
            <w:shd w:val="clear" w:color="auto" w:fill="auto"/>
            <w:vAlign w:val="bottom"/>
          </w:tcPr>
          <w:p w14:paraId="17E24438"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69" w:type="pct"/>
            <w:shd w:val="clear" w:color="auto" w:fill="auto"/>
            <w:vAlign w:val="bottom"/>
          </w:tcPr>
          <w:p w14:paraId="5E5FCDEA" w14:textId="2D1DC1BA"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2021 APR</w:t>
            </w:r>
          </w:p>
        </w:tc>
        <w:tc>
          <w:tcPr>
            <w:tcW w:w="1385" w:type="pct"/>
            <w:shd w:val="clear" w:color="auto" w:fill="auto"/>
            <w:vAlign w:val="bottom"/>
          </w:tcPr>
          <w:p w14:paraId="1C6B8558"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292" w:type="pct"/>
            <w:shd w:val="clear" w:color="auto" w:fill="auto"/>
            <w:vAlign w:val="bottom"/>
          </w:tcPr>
          <w:p w14:paraId="63E733B1"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106E45D6" w14:textId="77777777" w:rsidTr="00986B99">
        <w:tc>
          <w:tcPr>
            <w:tcW w:w="954" w:type="pct"/>
            <w:shd w:val="clear" w:color="auto" w:fill="auto"/>
          </w:tcPr>
          <w:p w14:paraId="0462C17B" w14:textId="6F7A2E92" w:rsidR="00E06C1E" w:rsidRPr="00ED172B" w:rsidRDefault="00E06C1E" w:rsidP="00D21F29">
            <w:pPr>
              <w:jc w:val="center"/>
              <w:rPr>
                <w:rFonts w:cs="Arial"/>
                <w:color w:val="000000" w:themeColor="text1"/>
                <w:szCs w:val="16"/>
              </w:rPr>
            </w:pPr>
          </w:p>
        </w:tc>
        <w:tc>
          <w:tcPr>
            <w:tcW w:w="1369" w:type="pct"/>
            <w:shd w:val="clear" w:color="auto" w:fill="auto"/>
          </w:tcPr>
          <w:p w14:paraId="5BA52FCC" w14:textId="3D598A47" w:rsidR="00E06C1E" w:rsidRPr="00ED172B" w:rsidRDefault="00E06C1E" w:rsidP="00CD79C5">
            <w:pPr>
              <w:jc w:val="center"/>
              <w:rPr>
                <w:rFonts w:cs="Arial"/>
                <w:noProof/>
                <w:color w:val="000000" w:themeColor="text1"/>
                <w:szCs w:val="16"/>
              </w:rPr>
            </w:pPr>
          </w:p>
        </w:tc>
        <w:tc>
          <w:tcPr>
            <w:tcW w:w="1385" w:type="pct"/>
            <w:shd w:val="clear" w:color="auto" w:fill="auto"/>
          </w:tcPr>
          <w:p w14:paraId="6B279413" w14:textId="2F1AADB8" w:rsidR="00E06C1E" w:rsidRPr="00ED172B" w:rsidRDefault="00E06C1E" w:rsidP="00CD79C5">
            <w:pPr>
              <w:jc w:val="center"/>
              <w:rPr>
                <w:rFonts w:cs="Arial"/>
                <w:noProof/>
                <w:color w:val="000000" w:themeColor="text1"/>
                <w:szCs w:val="16"/>
              </w:rPr>
            </w:pPr>
          </w:p>
        </w:tc>
        <w:tc>
          <w:tcPr>
            <w:tcW w:w="1292" w:type="pct"/>
            <w:shd w:val="clear" w:color="auto" w:fill="auto"/>
          </w:tcPr>
          <w:p w14:paraId="68689D7A" w14:textId="2D874336" w:rsidR="00E06C1E" w:rsidRPr="00ED172B" w:rsidRDefault="00E06C1E" w:rsidP="00CD79C5">
            <w:pPr>
              <w:jc w:val="center"/>
              <w:rPr>
                <w:rFonts w:cs="Arial"/>
                <w:noProof/>
                <w:color w:val="000000" w:themeColor="text1"/>
                <w:szCs w:val="16"/>
              </w:rPr>
            </w:pPr>
          </w:p>
        </w:tc>
      </w:tr>
      <w:tr w:rsidR="00ED172B" w:rsidRPr="00ED172B" w14:paraId="56685A6A" w14:textId="77777777" w:rsidTr="00986B99">
        <w:tc>
          <w:tcPr>
            <w:tcW w:w="954" w:type="pct"/>
            <w:shd w:val="clear" w:color="auto" w:fill="auto"/>
          </w:tcPr>
          <w:p w14:paraId="7179E786" w14:textId="392A4084" w:rsidR="00E06C1E" w:rsidRPr="00ED172B" w:rsidRDefault="00E06C1E" w:rsidP="00D21F29">
            <w:pPr>
              <w:jc w:val="center"/>
              <w:rPr>
                <w:rFonts w:cs="Arial"/>
                <w:color w:val="000000" w:themeColor="text1"/>
                <w:szCs w:val="16"/>
              </w:rPr>
            </w:pPr>
          </w:p>
        </w:tc>
        <w:tc>
          <w:tcPr>
            <w:tcW w:w="1369" w:type="pct"/>
            <w:shd w:val="clear" w:color="auto" w:fill="auto"/>
          </w:tcPr>
          <w:p w14:paraId="6CB3F624" w14:textId="24F9CFE3" w:rsidR="00E06C1E" w:rsidRPr="00ED172B" w:rsidRDefault="00E06C1E" w:rsidP="00CD79C5">
            <w:pPr>
              <w:jc w:val="center"/>
              <w:rPr>
                <w:rFonts w:cs="Arial"/>
                <w:noProof/>
                <w:color w:val="000000" w:themeColor="text1"/>
                <w:szCs w:val="16"/>
              </w:rPr>
            </w:pPr>
          </w:p>
        </w:tc>
        <w:tc>
          <w:tcPr>
            <w:tcW w:w="1385" w:type="pct"/>
            <w:shd w:val="clear" w:color="auto" w:fill="auto"/>
          </w:tcPr>
          <w:p w14:paraId="4EF6A3A9" w14:textId="5371D864" w:rsidR="00E06C1E" w:rsidRPr="00ED172B" w:rsidRDefault="00E06C1E" w:rsidP="00CD79C5">
            <w:pPr>
              <w:jc w:val="center"/>
              <w:rPr>
                <w:rFonts w:cs="Arial"/>
                <w:noProof/>
                <w:color w:val="000000" w:themeColor="text1"/>
                <w:szCs w:val="16"/>
              </w:rPr>
            </w:pPr>
          </w:p>
        </w:tc>
        <w:tc>
          <w:tcPr>
            <w:tcW w:w="1292" w:type="pct"/>
            <w:shd w:val="clear" w:color="auto" w:fill="auto"/>
          </w:tcPr>
          <w:p w14:paraId="66F1697A" w14:textId="51875C1A" w:rsidR="00E06C1E" w:rsidRPr="00ED172B" w:rsidRDefault="00E06C1E" w:rsidP="00CD79C5">
            <w:pPr>
              <w:jc w:val="center"/>
              <w:rPr>
                <w:rFonts w:cs="Arial"/>
                <w:noProof/>
                <w:color w:val="000000" w:themeColor="text1"/>
                <w:szCs w:val="16"/>
              </w:rPr>
            </w:pPr>
          </w:p>
        </w:tc>
      </w:tr>
      <w:tr w:rsidR="00ED172B" w:rsidRPr="00ED172B" w14:paraId="423BF0B3" w14:textId="77777777" w:rsidTr="00986B99">
        <w:tc>
          <w:tcPr>
            <w:tcW w:w="954" w:type="pct"/>
            <w:shd w:val="clear" w:color="auto" w:fill="auto"/>
          </w:tcPr>
          <w:p w14:paraId="7C618054" w14:textId="50E5413D" w:rsidR="00E06C1E" w:rsidRPr="00ED172B" w:rsidRDefault="00E06C1E" w:rsidP="00D21F29">
            <w:pPr>
              <w:jc w:val="center"/>
              <w:rPr>
                <w:rFonts w:cs="Arial"/>
                <w:color w:val="000000" w:themeColor="text1"/>
                <w:szCs w:val="16"/>
              </w:rPr>
            </w:pPr>
          </w:p>
        </w:tc>
        <w:tc>
          <w:tcPr>
            <w:tcW w:w="1369" w:type="pct"/>
            <w:shd w:val="clear" w:color="auto" w:fill="auto"/>
          </w:tcPr>
          <w:p w14:paraId="4384FEF7" w14:textId="06049B4E" w:rsidR="00E06C1E" w:rsidRPr="00ED172B" w:rsidRDefault="00E06C1E" w:rsidP="00CD79C5">
            <w:pPr>
              <w:jc w:val="center"/>
              <w:rPr>
                <w:rFonts w:cs="Arial"/>
                <w:noProof/>
                <w:color w:val="000000" w:themeColor="text1"/>
                <w:szCs w:val="16"/>
              </w:rPr>
            </w:pPr>
          </w:p>
        </w:tc>
        <w:tc>
          <w:tcPr>
            <w:tcW w:w="1385" w:type="pct"/>
            <w:shd w:val="clear" w:color="auto" w:fill="auto"/>
          </w:tcPr>
          <w:p w14:paraId="60362BA9" w14:textId="53FAE770" w:rsidR="00E06C1E" w:rsidRPr="00ED172B" w:rsidRDefault="00E06C1E" w:rsidP="00CD79C5">
            <w:pPr>
              <w:jc w:val="center"/>
              <w:rPr>
                <w:rFonts w:cs="Arial"/>
                <w:noProof/>
                <w:color w:val="000000" w:themeColor="text1"/>
                <w:szCs w:val="16"/>
              </w:rPr>
            </w:pPr>
          </w:p>
        </w:tc>
        <w:tc>
          <w:tcPr>
            <w:tcW w:w="1292" w:type="pct"/>
            <w:shd w:val="clear" w:color="auto" w:fill="auto"/>
          </w:tcPr>
          <w:p w14:paraId="1935DBBF" w14:textId="5B8D837C" w:rsidR="00E06C1E" w:rsidRPr="00ED172B" w:rsidRDefault="00E06C1E" w:rsidP="00CD79C5">
            <w:pPr>
              <w:jc w:val="center"/>
              <w:rPr>
                <w:rFonts w:cs="Arial"/>
                <w:noProof/>
                <w:color w:val="000000" w:themeColor="text1"/>
                <w:szCs w:val="16"/>
              </w:rPr>
            </w:pPr>
          </w:p>
        </w:tc>
      </w:tr>
      <w:tr w:rsidR="00422BEE" w:rsidRPr="00ED172B" w14:paraId="6EF5CDEF" w14:textId="77777777" w:rsidTr="00986B99">
        <w:tc>
          <w:tcPr>
            <w:tcW w:w="954" w:type="pct"/>
            <w:shd w:val="clear" w:color="auto" w:fill="auto"/>
          </w:tcPr>
          <w:p w14:paraId="74463FE6" w14:textId="4B3ED3AA" w:rsidR="00422BEE" w:rsidRPr="00ED172B" w:rsidRDefault="00422BEE" w:rsidP="00D21F29">
            <w:pPr>
              <w:jc w:val="center"/>
              <w:rPr>
                <w:rFonts w:cs="Arial"/>
                <w:color w:val="000000" w:themeColor="text1"/>
                <w:szCs w:val="16"/>
              </w:rPr>
            </w:pPr>
          </w:p>
        </w:tc>
        <w:tc>
          <w:tcPr>
            <w:tcW w:w="1369" w:type="pct"/>
            <w:shd w:val="clear" w:color="auto" w:fill="auto"/>
          </w:tcPr>
          <w:p w14:paraId="460E61A6" w14:textId="48EA216E" w:rsidR="00422BEE" w:rsidRPr="00ED172B" w:rsidRDefault="00422BEE" w:rsidP="00422BEE">
            <w:pPr>
              <w:jc w:val="center"/>
              <w:rPr>
                <w:rFonts w:cs="Arial"/>
                <w:color w:val="000000" w:themeColor="text1"/>
                <w:szCs w:val="16"/>
              </w:rPr>
            </w:pPr>
          </w:p>
        </w:tc>
        <w:tc>
          <w:tcPr>
            <w:tcW w:w="1385" w:type="pct"/>
            <w:shd w:val="clear" w:color="auto" w:fill="auto"/>
          </w:tcPr>
          <w:p w14:paraId="30C50A54" w14:textId="55A06122" w:rsidR="00422BEE" w:rsidRPr="00ED172B" w:rsidRDefault="00422BEE" w:rsidP="00422BEE">
            <w:pPr>
              <w:jc w:val="center"/>
              <w:rPr>
                <w:rFonts w:cs="Arial"/>
                <w:color w:val="000000" w:themeColor="text1"/>
                <w:szCs w:val="16"/>
              </w:rPr>
            </w:pPr>
          </w:p>
        </w:tc>
        <w:tc>
          <w:tcPr>
            <w:tcW w:w="1292" w:type="pct"/>
            <w:shd w:val="clear" w:color="auto" w:fill="auto"/>
          </w:tcPr>
          <w:p w14:paraId="1229F702" w14:textId="4C186FAB" w:rsidR="00422BEE" w:rsidRPr="00ED172B" w:rsidRDefault="00422BEE" w:rsidP="00422BEE">
            <w:pPr>
              <w:jc w:val="center"/>
              <w:rPr>
                <w:rFonts w:cs="Arial"/>
                <w:color w:val="000000" w:themeColor="text1"/>
                <w:szCs w:val="16"/>
              </w:rPr>
            </w:pPr>
          </w:p>
        </w:tc>
      </w:tr>
      <w:tr w:rsidR="00422BEE" w:rsidRPr="00ED172B" w14:paraId="4701CE6F" w14:textId="77777777" w:rsidTr="00986B99">
        <w:tc>
          <w:tcPr>
            <w:tcW w:w="954" w:type="pct"/>
            <w:shd w:val="clear" w:color="auto" w:fill="auto"/>
          </w:tcPr>
          <w:p w14:paraId="5B94419F" w14:textId="7AC21A0A" w:rsidR="00422BEE" w:rsidRPr="00ED172B" w:rsidRDefault="00422BEE" w:rsidP="00D21F29">
            <w:pPr>
              <w:jc w:val="center"/>
              <w:rPr>
                <w:rFonts w:cs="Arial"/>
                <w:color w:val="000000" w:themeColor="text1"/>
                <w:szCs w:val="16"/>
              </w:rPr>
            </w:pPr>
          </w:p>
        </w:tc>
        <w:tc>
          <w:tcPr>
            <w:tcW w:w="1369" w:type="pct"/>
            <w:shd w:val="clear" w:color="auto" w:fill="auto"/>
          </w:tcPr>
          <w:p w14:paraId="61A65B88" w14:textId="46B3C92D" w:rsidR="00422BEE" w:rsidRPr="00ED172B" w:rsidRDefault="00422BEE" w:rsidP="00422BEE">
            <w:pPr>
              <w:jc w:val="center"/>
              <w:rPr>
                <w:rFonts w:cs="Arial"/>
                <w:color w:val="000000" w:themeColor="text1"/>
                <w:szCs w:val="16"/>
              </w:rPr>
            </w:pPr>
          </w:p>
        </w:tc>
        <w:tc>
          <w:tcPr>
            <w:tcW w:w="1385" w:type="pct"/>
            <w:shd w:val="clear" w:color="auto" w:fill="auto"/>
          </w:tcPr>
          <w:p w14:paraId="46126A64" w14:textId="42C89DB5" w:rsidR="00422BEE" w:rsidRPr="00ED172B" w:rsidRDefault="00422BEE" w:rsidP="00422BEE">
            <w:pPr>
              <w:jc w:val="center"/>
              <w:rPr>
                <w:rFonts w:cs="Arial"/>
                <w:color w:val="000000" w:themeColor="text1"/>
                <w:szCs w:val="16"/>
              </w:rPr>
            </w:pPr>
          </w:p>
        </w:tc>
        <w:tc>
          <w:tcPr>
            <w:tcW w:w="1292" w:type="pct"/>
            <w:shd w:val="clear" w:color="auto" w:fill="auto"/>
          </w:tcPr>
          <w:p w14:paraId="4B884D14" w14:textId="4359A626" w:rsidR="00422BEE" w:rsidRPr="00ED172B" w:rsidRDefault="00422BEE" w:rsidP="00422BEE">
            <w:pPr>
              <w:jc w:val="center"/>
              <w:rPr>
                <w:rFonts w:cs="Arial"/>
                <w:color w:val="000000" w:themeColor="text1"/>
                <w:szCs w:val="16"/>
              </w:rPr>
            </w:pPr>
          </w:p>
        </w:tc>
      </w:tr>
    </w:tbl>
    <w:p w14:paraId="22B5F33A" w14:textId="766786C5" w:rsidR="00E06C1E" w:rsidRPr="00ED172B" w:rsidRDefault="00E06C1E">
      <w:pPr>
        <w:rPr>
          <w:color w:val="000000" w:themeColor="text1"/>
        </w:rPr>
      </w:pPr>
    </w:p>
    <w:p w14:paraId="3940C34D" w14:textId="0B2270A9" w:rsidR="00E06C1E" w:rsidRPr="00A40EE1" w:rsidRDefault="000D0117" w:rsidP="007B0787">
      <w:pPr>
        <w:pStyle w:val="Heading2"/>
      </w:pPr>
      <w:r w:rsidRPr="00A40EE1">
        <w:t xml:space="preserve">8C - </w:t>
      </w:r>
      <w:r w:rsidR="00E06C1E" w:rsidRPr="00A40EE1">
        <w:t>Prior FFY Required Actions</w:t>
      </w:r>
    </w:p>
    <w:p w14:paraId="3523B2FB" w14:textId="508521A4" w:rsidR="00720D77" w:rsidRPr="00ED172B" w:rsidRDefault="00320806" w:rsidP="00E06C1E">
      <w:pPr>
        <w:rPr>
          <w:rFonts w:cs="Arial"/>
          <w:color w:val="000000" w:themeColor="text1"/>
          <w:szCs w:val="16"/>
        </w:rPr>
      </w:pPr>
      <w:r w:rsidRPr="00ED172B">
        <w:rPr>
          <w:color w:val="000000" w:themeColor="text1"/>
        </w:rPr>
        <w:t>Because the State reported less than 100% compliance for FFY 2021, the State must report on the status of correction of noncompliance identified in FFY 2021 for this indicator. When reporting on the correction of noncompliance, the State must report, in the FFY 2022 SPP/APR, that it has verified that each EIS program or provider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2022 SPP/APR, the State must describe the specific actions that were taken to verify the correction.</w:t>
      </w:r>
      <w:r w:rsidRPr="00ED172B">
        <w:rPr>
          <w:color w:val="000000" w:themeColor="text1"/>
        </w:rPr>
        <w:br/>
      </w:r>
      <w:r w:rsidRPr="00ED172B">
        <w:rPr>
          <w:color w:val="000000" w:themeColor="text1"/>
        </w:rPr>
        <w:br/>
        <w:t>If the State did not identify any findings of noncompliance in FFY 2021, although its FFY 2021 data reflect less than 100% compliance, provide an explanation of why the State did not identify any findings of noncompliance in FFY 2021.</w:t>
      </w:r>
    </w:p>
    <w:p w14:paraId="4EE6B923" w14:textId="699DCED7" w:rsidR="00E06C1E" w:rsidRPr="00ED172B" w:rsidRDefault="00E06C1E" w:rsidP="00B83404">
      <w:pPr>
        <w:rPr>
          <w:color w:val="000000" w:themeColor="text1"/>
        </w:rPr>
      </w:pPr>
      <w:r w:rsidRPr="00ED172B">
        <w:rPr>
          <w:b/>
          <w:color w:val="000000" w:themeColor="text1"/>
        </w:rPr>
        <w:t>Response to actions required in FFY 2021 SPP/APR</w:t>
      </w:r>
      <w:r w:rsidR="00950382" w:rsidRPr="00ED172B">
        <w:rPr>
          <w:color w:val="000000" w:themeColor="text1"/>
        </w:rPr>
        <w:t xml:space="preserve"> </w:t>
      </w:r>
    </w:p>
    <w:p w14:paraId="7FE546ED" w14:textId="628A60E0" w:rsidR="00720D77" w:rsidRPr="00ED172B" w:rsidRDefault="00027F39" w:rsidP="00027F39">
      <w:pPr>
        <w:rPr>
          <w:color w:val="000000" w:themeColor="text1"/>
        </w:rPr>
      </w:pPr>
      <w:r w:rsidRPr="00ED172B">
        <w:rPr>
          <w:color w:val="000000" w:themeColor="text1"/>
        </w:rPr>
        <w:t>Describe how the State verified that the source of noncompliance is correctly implementing the regulatory requirements.</w:t>
      </w:r>
      <w:r w:rsidRPr="00ED172B">
        <w:rPr>
          <w:color w:val="000000" w:themeColor="text1"/>
        </w:rPr>
        <w:br/>
      </w:r>
      <w:r w:rsidRPr="00ED172B">
        <w:rPr>
          <w:color w:val="000000" w:themeColor="text1"/>
        </w:rPr>
        <w:br/>
        <w:t>In FFY 2021, 92.36% (132/144) of child files reviewed for EI transition included evidence of a transition planning conference at least 90 calendar days, and, at the discretion of the parties, up to 9 months before the child’s third birthday to support the child's transition to preschool and other appropriate community services.</w:t>
      </w:r>
      <w:r w:rsidRPr="00ED172B">
        <w:rPr>
          <w:color w:val="000000" w:themeColor="text1"/>
        </w:rPr>
        <w:br/>
      </w:r>
      <w:r w:rsidRPr="00ED172B">
        <w:rPr>
          <w:color w:val="000000" w:themeColor="text1"/>
        </w:rPr>
        <w:br/>
        <w:t xml:space="preserve">As per OSEP QA 23-01 the State reviewed and verified corrective action data submitted to the State in SPR&amp;I by EI/ECSE programs with </w:t>
      </w:r>
      <w:r w:rsidRPr="00ED172B">
        <w:rPr>
          <w:color w:val="000000" w:themeColor="text1"/>
        </w:rPr>
        <w:lastRenderedPageBreak/>
        <w:t>noncompliance and the State reviewed the individual child files in ecWeb (the statewide EI/ECSE special education file database) confirming 100% (12/12) of incidents of noncompliance in FFY 2021 were corrected within one year.</w:t>
      </w:r>
      <w:r w:rsidRPr="00ED172B">
        <w:rPr>
          <w:color w:val="000000" w:themeColor="text1"/>
        </w:rPr>
        <w:br/>
      </w:r>
      <w:r w:rsidRPr="00ED172B">
        <w:rPr>
          <w:color w:val="000000" w:themeColor="text1"/>
        </w:rPr>
        <w:br/>
        <w:t>The State verified through additional file reviews (of files created after the correction of individual noncompliance) submitted to the State in SPR&amp;I and reviewed and approved by the State, that programs with noncompliance demonstrated current compliance and correct implementation of regulatory requirements [34 CFR §303.209 and 303.344(h))] and (20 U.S.C. 1416(a)(3)(B) and 1442)</w:t>
      </w:r>
      <w:r w:rsidRPr="00ED172B">
        <w:rPr>
          <w:color w:val="000000" w:themeColor="text1"/>
        </w:rPr>
        <w:br/>
      </w:r>
      <w:r w:rsidRPr="00ED172B">
        <w:rPr>
          <w:color w:val="000000" w:themeColor="text1"/>
        </w:rPr>
        <w:br/>
        <w:t>The following steps were completed for the verification process for each individual noncompliance:</w:t>
      </w:r>
      <w:r w:rsidRPr="00ED172B">
        <w:rPr>
          <w:color w:val="000000" w:themeColor="text1"/>
        </w:rPr>
        <w:br/>
        <w:t>•</w:t>
      </w:r>
      <w:r w:rsidRPr="00ED172B">
        <w:rPr>
          <w:color w:val="000000" w:themeColor="text1"/>
        </w:rPr>
        <w:tab/>
        <w:t xml:space="preserve">The EI program provided the reason for each individual noncompliance through online submission into SPR&amp;I, Oregon’s monitoring system. </w:t>
      </w:r>
      <w:r w:rsidRPr="00ED172B">
        <w:rPr>
          <w:color w:val="000000" w:themeColor="text1"/>
        </w:rPr>
        <w:br/>
        <w:t>•</w:t>
      </w:r>
      <w:r w:rsidRPr="00ED172B">
        <w:rPr>
          <w:color w:val="000000" w:themeColor="text1"/>
        </w:rPr>
        <w:tab/>
        <w:t xml:space="preserve">The State reviewed the reason for noncompliance and indicated corrective action needed. </w:t>
      </w:r>
      <w:r w:rsidRPr="00ED172B">
        <w:rPr>
          <w:color w:val="000000" w:themeColor="text1"/>
        </w:rPr>
        <w:br/>
        <w:t>•</w:t>
      </w:r>
      <w:r w:rsidRPr="00ED172B">
        <w:rPr>
          <w:color w:val="000000" w:themeColor="text1"/>
        </w:rPr>
        <w:tab/>
        <w:t xml:space="preserve">The EI program submitted the corrective action on the individual noncompliance in SPR&amp;I. </w:t>
      </w:r>
      <w:r w:rsidRPr="00ED172B">
        <w:rPr>
          <w:color w:val="000000" w:themeColor="text1"/>
        </w:rPr>
        <w:br/>
        <w:t>•</w:t>
      </w:r>
      <w:r w:rsidRPr="00ED172B">
        <w:rPr>
          <w:color w:val="000000" w:themeColor="text1"/>
        </w:rPr>
        <w:tab/>
        <w:t xml:space="preserve">The State reviewed the submitted corrective action and individual child files in ecWeb (the statewide EI/ECSE special education database) and approved the same. </w:t>
      </w:r>
      <w:r w:rsidRPr="00ED172B">
        <w:rPr>
          <w:color w:val="000000" w:themeColor="text1"/>
        </w:rPr>
        <w:br/>
      </w:r>
      <w:r w:rsidRPr="00ED172B">
        <w:rPr>
          <w:color w:val="000000" w:themeColor="text1"/>
        </w:rPr>
        <w:br/>
        <w:t>Demonstration of correction of practices that contributed to the noncompliance, as well as current compliance with 34 CFR §303.209 and 303.344(h) and (20 U.S.C. 1416(a)(3)(B) and 1442), was obtained through the following:</w:t>
      </w:r>
      <w:r w:rsidRPr="00ED172B">
        <w:rPr>
          <w:color w:val="000000" w:themeColor="text1"/>
        </w:rPr>
        <w:br/>
      </w:r>
      <w:r w:rsidRPr="00ED172B">
        <w:rPr>
          <w:color w:val="000000" w:themeColor="text1"/>
        </w:rPr>
        <w:br/>
        <w:t>•</w:t>
      </w:r>
      <w:r w:rsidRPr="00ED172B">
        <w:rPr>
          <w:color w:val="000000" w:themeColor="text1"/>
        </w:rPr>
        <w:tab/>
        <w:t xml:space="preserve">For the identified area of noncompliance, the EI programs with noncompliance completed additional reviews of files that were developed after the original noncompliance in the area of the identified noncompliance and submitted these to the State in SPR&amp;I. </w:t>
      </w:r>
      <w:r w:rsidRPr="00ED172B">
        <w:rPr>
          <w:color w:val="000000" w:themeColor="text1"/>
        </w:rPr>
        <w:br/>
        <w:t>• The State used ecWeb (the statewide EI/ECSE special education file database) to review the additional file reviews and individual child files for each EI Program to verify as per OSEP QA 23-01 that each EI program with corrected noncompliance. was in compliance and correctly implementing 34 CFR §303.209 and 303.344(h)) and (20 U.S.C. 1416(a)(3)(B) and 1442).</w:t>
      </w:r>
      <w:r w:rsidRPr="00ED172B">
        <w:rPr>
          <w:color w:val="000000" w:themeColor="text1"/>
        </w:rPr>
        <w:br/>
        <w:t>• All additional file reviews conducted after the original noncompliance were required to be compliant. If there was additional noncompliance in these files, this would become a systemic correction and require additional interventions followed by additional file reviews in the area of noncompliance. For this APR, 100% of additional file reviews were verified by the State as being compliant through a desk audit review of the original file utilizing ecWeb, the statewide EI/ECSE special education file database.</w:t>
      </w:r>
      <w:r w:rsidRPr="00ED172B">
        <w:rPr>
          <w:color w:val="000000" w:themeColor="text1"/>
        </w:rPr>
        <w:br/>
      </w:r>
      <w:r w:rsidRPr="00ED172B">
        <w:rPr>
          <w:color w:val="000000" w:themeColor="text1"/>
        </w:rPr>
        <w:br/>
        <w:t>Describe how the State verified that each individual case of noncompliance was corrected.</w:t>
      </w:r>
      <w:r w:rsidRPr="00ED172B">
        <w:rPr>
          <w:color w:val="000000" w:themeColor="text1"/>
        </w:rPr>
        <w:br/>
      </w:r>
      <w:r w:rsidRPr="00ED172B">
        <w:rPr>
          <w:color w:val="000000" w:themeColor="text1"/>
        </w:rPr>
        <w:br/>
        <w:t xml:space="preserve">There were twelve individual incidents of noncompliance across eight programs. Each program provided the cause of the noncompliance and demonstrated correction of practices that contributed to the noncompliance through subsequent data submissions in SPR&amp;I. The State reviewed, verified and approved corrective action data submitted by EI/ECSE programs to SPR&amp;I and ODE’s subsequent review of the individual child files using ecWeb (the statewide EI/ECSE special education database) that 100% (12/12) of incidents of noncompliance in FFY 2021 were corrected within one year and that the programs with noncompliance conducted a transition conference for any child potentially eligible for Part B whose transition conference was not timely, unless the child was no longer within the jurisdiction of the EI program. </w:t>
      </w:r>
      <w:r w:rsidRPr="00ED172B">
        <w:rPr>
          <w:color w:val="000000" w:themeColor="text1"/>
        </w:rPr>
        <w:br/>
      </w:r>
      <w:r w:rsidRPr="00ED172B">
        <w:rPr>
          <w:color w:val="000000" w:themeColor="text1"/>
        </w:rPr>
        <w:br/>
        <w:t>EI/ECSE programs with noncompliance demonstrated correction of practices that contributed to the noncompliance as well as current compliance with 34 CFR §303.209 and 303.344(h) based on ODE’s review, verification, and approval of corrective action data and new files created after the occurrence of noncompliance and submitted by EI/ECSE programs in SPR&amp;I. Corrective actions and individual files were reviewed by ODE using ecWeb (the statewide EI/ECSE special education database) consistent with the requirements of OSEP QA 23-01.</w:t>
      </w:r>
    </w:p>
    <w:p w14:paraId="6FD05FF7" w14:textId="751142CF" w:rsidR="00E06C1E" w:rsidRPr="00A40EE1" w:rsidRDefault="000D0117" w:rsidP="007B0787">
      <w:pPr>
        <w:pStyle w:val="Heading2"/>
      </w:pPr>
      <w:r w:rsidRPr="00A40EE1">
        <w:t xml:space="preserve">8C - </w:t>
      </w:r>
      <w:r w:rsidR="00E06C1E" w:rsidRPr="00A40EE1">
        <w:t>OSEP Response</w:t>
      </w:r>
    </w:p>
    <w:p w14:paraId="27FE6EF5" w14:textId="68DDCFA9" w:rsidR="00E06C1E" w:rsidRPr="00ED172B" w:rsidRDefault="00E06C1E" w:rsidP="00320806">
      <w:pPr>
        <w:rPr>
          <w:color w:val="000000" w:themeColor="text1"/>
        </w:rPr>
      </w:pPr>
    </w:p>
    <w:p w14:paraId="66F379F4" w14:textId="3E85144C" w:rsidR="00E06C1E" w:rsidRPr="00A40EE1" w:rsidRDefault="000D0117" w:rsidP="007B0787">
      <w:pPr>
        <w:pStyle w:val="Heading2"/>
      </w:pPr>
      <w:r w:rsidRPr="00A40EE1">
        <w:t xml:space="preserve">8C - </w:t>
      </w:r>
      <w:r w:rsidR="00E06C1E" w:rsidRPr="00A40EE1">
        <w:t>Required Actions</w:t>
      </w:r>
    </w:p>
    <w:p w14:paraId="259A7463" w14:textId="2BBA9F30" w:rsidR="00E06C1E" w:rsidRPr="00ED172B" w:rsidRDefault="00320806" w:rsidP="00320806">
      <w:pPr>
        <w:rPr>
          <w:color w:val="000000" w:themeColor="text1"/>
        </w:rPr>
      </w:pPr>
      <w:r w:rsidRPr="00ED172B">
        <w:rPr>
          <w:color w:val="000000" w:themeColor="text1"/>
        </w:rPr>
        <w:t>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EIS program or provider with noncompliance identified in FFY 2022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QA 23-01. In the FFY 2023 SPP/APR, the State must describe the specific actions that were taken to verify the correction. If the State did not identify any findings of noncompliance in FFY 2022, although its FFY 2022 data reflect less than 100% compliance, provide an explanation of why the State did not identify any findings of noncompliance in FFY 2022.</w:t>
      </w:r>
    </w:p>
    <w:p w14:paraId="059EBF9E" w14:textId="77777777" w:rsidR="009F67E9" w:rsidRPr="00ED172B" w:rsidRDefault="009F67E9">
      <w:pPr>
        <w:spacing w:before="0" w:after="200" w:line="276" w:lineRule="auto"/>
        <w:rPr>
          <w:rFonts w:asciiTheme="majorHAnsi" w:hAnsiTheme="majorHAnsi"/>
          <w:b/>
          <w:i/>
          <w:color w:val="000000" w:themeColor="text1"/>
        </w:rPr>
        <w:sectPr w:rsidR="009F67E9" w:rsidRPr="00ED172B" w:rsidSect="00BF3AB4">
          <w:pgSz w:w="12240" w:h="15840"/>
          <w:pgMar w:top="720" w:right="720" w:bottom="720" w:left="720" w:header="720" w:footer="463" w:gutter="0"/>
          <w:cols w:space="720"/>
          <w:docGrid w:linePitch="360"/>
        </w:sectPr>
      </w:pPr>
    </w:p>
    <w:p w14:paraId="0D7CD41A" w14:textId="36464319" w:rsidR="00B3462E" w:rsidRPr="00ED172B" w:rsidRDefault="00B3462E" w:rsidP="0077063D">
      <w:pPr>
        <w:pStyle w:val="Heading1"/>
        <w:rPr>
          <w:color w:val="000000" w:themeColor="text1"/>
        </w:rPr>
      </w:pPr>
      <w:bookmarkStart w:id="46" w:name="_Toc382082390"/>
      <w:bookmarkStart w:id="47" w:name="_Toc392159339"/>
      <w:bookmarkEnd w:id="42"/>
      <w:r w:rsidRPr="00ED172B">
        <w:rPr>
          <w:color w:val="000000" w:themeColor="text1"/>
        </w:rPr>
        <w:lastRenderedPageBreak/>
        <w:t>Indicator 9: Resolution Sessions</w:t>
      </w:r>
      <w:bookmarkEnd w:id="46"/>
      <w:bookmarkEnd w:id="47"/>
    </w:p>
    <w:p w14:paraId="162A1EA4" w14:textId="77777777" w:rsidR="00F51610" w:rsidRPr="00ED172B" w:rsidRDefault="00F51610" w:rsidP="00186420">
      <w:pPr>
        <w:rPr>
          <w:color w:val="000000" w:themeColor="text1"/>
          <w:szCs w:val="20"/>
        </w:rPr>
      </w:pPr>
      <w:bookmarkStart w:id="48" w:name="_Toc381786822"/>
      <w:bookmarkStart w:id="49" w:name="_Toc382731911"/>
      <w:bookmarkStart w:id="50" w:name="_Toc382731912"/>
      <w:bookmarkStart w:id="51" w:name="_Toc392159340"/>
      <w:bookmarkEnd w:id="48"/>
      <w:bookmarkEnd w:id="49"/>
      <w:r w:rsidRPr="00ED172B">
        <w:rPr>
          <w:b/>
          <w:color w:val="000000" w:themeColor="text1"/>
          <w:sz w:val="20"/>
          <w:szCs w:val="20"/>
        </w:rPr>
        <w:t>Instructions and Measurement</w:t>
      </w:r>
    </w:p>
    <w:p w14:paraId="08E18F10" w14:textId="77777777" w:rsidR="007C454A" w:rsidRPr="00ED172B" w:rsidRDefault="007C454A" w:rsidP="00715B7C">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General Supervision</w:t>
      </w:r>
    </w:p>
    <w:p w14:paraId="503A1355" w14:textId="58D9B75E" w:rsidR="007C454A" w:rsidRPr="00ED172B" w:rsidRDefault="007C454A" w:rsidP="00715B7C">
      <w:pPr>
        <w:rPr>
          <w:color w:val="000000" w:themeColor="text1"/>
          <w:szCs w:val="16"/>
        </w:rPr>
      </w:pPr>
      <w:r w:rsidRPr="00ED172B">
        <w:rPr>
          <w:b/>
          <w:color w:val="000000" w:themeColor="text1"/>
          <w:szCs w:val="16"/>
        </w:rPr>
        <w:t xml:space="preserve">Results indicator: </w:t>
      </w:r>
      <w:r w:rsidRPr="00ED172B">
        <w:rPr>
          <w:color w:val="000000" w:themeColor="text1"/>
          <w:szCs w:val="16"/>
        </w:rPr>
        <w:t xml:space="preserve">Percent of hearing requests that went to resolution sessions that were resolved through resolution session settlement agreements (applicable if Part B due process procedures </w:t>
      </w:r>
      <w:r w:rsidR="00CD071F" w:rsidRPr="004353B0">
        <w:rPr>
          <w:szCs w:val="16"/>
        </w:rPr>
        <w:t>under section 615 of</w:t>
      </w:r>
      <w:r w:rsidR="00CD071F">
        <w:rPr>
          <w:szCs w:val="16"/>
        </w:rPr>
        <w:t xml:space="preserve"> </w:t>
      </w:r>
      <w:r w:rsidR="00CD071F" w:rsidRPr="004353B0">
        <w:rPr>
          <w:szCs w:val="16"/>
        </w:rPr>
        <w:t>the IDEA</w:t>
      </w:r>
      <w:r w:rsidR="00CD071F" w:rsidRPr="003461DB">
        <w:rPr>
          <w:szCs w:val="16"/>
        </w:rPr>
        <w:t xml:space="preserve"> </w:t>
      </w:r>
      <w:r w:rsidRPr="00ED172B">
        <w:rPr>
          <w:color w:val="000000" w:themeColor="text1"/>
          <w:szCs w:val="16"/>
        </w:rPr>
        <w:t>are adopted).</w:t>
      </w:r>
      <w:r w:rsidR="00715B7C" w:rsidRPr="00ED172B">
        <w:rPr>
          <w:color w:val="000000" w:themeColor="text1"/>
          <w:szCs w:val="16"/>
        </w:rPr>
        <w:t xml:space="preserve"> </w:t>
      </w:r>
      <w:r w:rsidRPr="00ED172B">
        <w:rPr>
          <w:color w:val="000000" w:themeColor="text1"/>
          <w:szCs w:val="16"/>
        </w:rPr>
        <w:t>(20 U.S.C. 1416(a)(3)(B) and 1442)</w:t>
      </w:r>
    </w:p>
    <w:p w14:paraId="20D6E11E" w14:textId="77777777" w:rsidR="00FE403B" w:rsidRPr="00ED172B" w:rsidRDefault="00FE403B">
      <w:pPr>
        <w:rPr>
          <w:b/>
          <w:color w:val="000000" w:themeColor="text1"/>
        </w:rPr>
      </w:pPr>
      <w:r w:rsidRPr="00ED172B">
        <w:rPr>
          <w:b/>
          <w:color w:val="000000" w:themeColor="text1"/>
        </w:rPr>
        <w:t>Data Source</w:t>
      </w:r>
    </w:p>
    <w:p w14:paraId="6E86F032" w14:textId="7420B1CC" w:rsidR="00FE403B" w:rsidRPr="00ED172B" w:rsidRDefault="00F90BF8" w:rsidP="00715B7C">
      <w:pPr>
        <w:rPr>
          <w:rFonts w:cs="Arial"/>
          <w:color w:val="000000" w:themeColor="text1"/>
          <w:szCs w:val="16"/>
        </w:rPr>
      </w:pPr>
      <w:r w:rsidRPr="00ED172B">
        <w:rPr>
          <w:color w:val="000000" w:themeColor="text1"/>
          <w:szCs w:val="16"/>
        </w:rPr>
        <w:t>Data collected under section 618 of the IDEA (IDEA Part C Dispute Resolution Survey in the ED</w:t>
      </w:r>
      <w:r w:rsidRPr="00F85A5B">
        <w:rPr>
          <w:i/>
          <w:color w:val="000000" w:themeColor="text1"/>
          <w:szCs w:val="16"/>
        </w:rPr>
        <w:t>Facts</w:t>
      </w:r>
      <w:r w:rsidRPr="00ED172B">
        <w:rPr>
          <w:color w:val="000000" w:themeColor="text1"/>
          <w:szCs w:val="16"/>
        </w:rPr>
        <w:t xml:space="preserve"> Metadata and Process System (E</w:t>
      </w:r>
      <w:r w:rsidRPr="00ED172B">
        <w:rPr>
          <w:i/>
          <w:color w:val="000000" w:themeColor="text1"/>
          <w:szCs w:val="16"/>
        </w:rPr>
        <w:t>MAPS</w:t>
      </w:r>
      <w:r w:rsidRPr="00ED172B">
        <w:rPr>
          <w:color w:val="000000" w:themeColor="text1"/>
          <w:szCs w:val="16"/>
        </w:rPr>
        <w:t>))</w:t>
      </w:r>
      <w:r w:rsidR="00FE403B" w:rsidRPr="00ED172B">
        <w:rPr>
          <w:rFonts w:cs="Arial"/>
          <w:color w:val="000000" w:themeColor="text1"/>
          <w:szCs w:val="16"/>
        </w:rPr>
        <w:t>.</w:t>
      </w:r>
    </w:p>
    <w:p w14:paraId="49B9A620" w14:textId="7A3B7345" w:rsidR="00FE403B" w:rsidRPr="00ED172B" w:rsidRDefault="00FE403B">
      <w:pPr>
        <w:rPr>
          <w:b/>
          <w:color w:val="000000" w:themeColor="text1"/>
        </w:rPr>
      </w:pPr>
      <w:r w:rsidRPr="00ED172B">
        <w:rPr>
          <w:b/>
          <w:color w:val="000000" w:themeColor="text1"/>
        </w:rPr>
        <w:t>Measurement</w:t>
      </w:r>
    </w:p>
    <w:p w14:paraId="55C22144" w14:textId="4D92DC81" w:rsidR="00F90BF8" w:rsidRPr="00ED172B" w:rsidRDefault="00F90BF8" w:rsidP="00715B7C">
      <w:pPr>
        <w:rPr>
          <w:color w:val="000000" w:themeColor="text1"/>
          <w:szCs w:val="16"/>
        </w:rPr>
      </w:pPr>
      <w:r w:rsidRPr="00ED172B">
        <w:rPr>
          <w:color w:val="000000" w:themeColor="text1"/>
          <w:szCs w:val="16"/>
        </w:rPr>
        <w:t>Percent = (3.1(a) divided by 3.1) times 100.</w:t>
      </w:r>
    </w:p>
    <w:p w14:paraId="46E381D7" w14:textId="77777777" w:rsidR="00FE403B" w:rsidRPr="00ED172B" w:rsidRDefault="00FE403B">
      <w:pPr>
        <w:rPr>
          <w:b/>
          <w:color w:val="000000" w:themeColor="text1"/>
        </w:rPr>
      </w:pPr>
      <w:r w:rsidRPr="00ED172B">
        <w:rPr>
          <w:b/>
          <w:color w:val="000000" w:themeColor="text1"/>
        </w:rPr>
        <w:t>Instructions</w:t>
      </w:r>
    </w:p>
    <w:p w14:paraId="2A2F58CB" w14:textId="3B947AA9" w:rsidR="00F90BF8" w:rsidRPr="00D21F29" w:rsidRDefault="00F90BF8" w:rsidP="00715B7C">
      <w:pPr>
        <w:rPr>
          <w:i/>
          <w:iCs/>
          <w:color w:val="000000" w:themeColor="text1"/>
          <w:szCs w:val="16"/>
        </w:rPr>
      </w:pPr>
      <w:r w:rsidRPr="00D21F29">
        <w:rPr>
          <w:i/>
          <w:iCs/>
          <w:color w:val="000000" w:themeColor="text1"/>
          <w:szCs w:val="16"/>
        </w:rPr>
        <w:t>Sampling from the State’s 618 data is not allowed.</w:t>
      </w:r>
    </w:p>
    <w:p w14:paraId="756E1F9C" w14:textId="0F78A4C3" w:rsidR="00F90BF8" w:rsidRPr="00ED172B" w:rsidRDefault="00F90BF8" w:rsidP="00715B7C">
      <w:pPr>
        <w:rPr>
          <w:color w:val="000000" w:themeColor="text1"/>
          <w:szCs w:val="16"/>
        </w:rPr>
      </w:pPr>
      <w:r w:rsidRPr="00ED172B">
        <w:rPr>
          <w:color w:val="000000" w:themeColor="text1"/>
          <w:szCs w:val="16"/>
        </w:rPr>
        <w:t>This indicator is not applicable to a State that has adopted Part C due process procedures under section 639 of the IDEA.</w:t>
      </w:r>
    </w:p>
    <w:p w14:paraId="1CBFA8E6" w14:textId="489DCD44" w:rsidR="00F90BF8" w:rsidRPr="00ED172B" w:rsidRDefault="00F90BF8" w:rsidP="00715B7C">
      <w:pPr>
        <w:rPr>
          <w:color w:val="000000" w:themeColor="text1"/>
          <w:szCs w:val="16"/>
        </w:rPr>
      </w:pPr>
      <w:r w:rsidRPr="00ED172B">
        <w:rPr>
          <w:color w:val="000000" w:themeColor="text1"/>
          <w:szCs w:val="16"/>
        </w:rPr>
        <w:t>Describe the results of the calculations and compare the results to the target.</w:t>
      </w:r>
    </w:p>
    <w:p w14:paraId="7FBF3187" w14:textId="54AB83A2" w:rsidR="00F90BF8" w:rsidRPr="00ED172B" w:rsidRDefault="00F90BF8" w:rsidP="00715B7C">
      <w:pPr>
        <w:rPr>
          <w:color w:val="000000" w:themeColor="text1"/>
          <w:szCs w:val="16"/>
        </w:rPr>
      </w:pPr>
      <w:r w:rsidRPr="00ED172B">
        <w:rPr>
          <w:color w:val="000000" w:themeColor="text1"/>
          <w:szCs w:val="16"/>
        </w:rPr>
        <w:t>States are not required to establish baseline or targets if the number of resolution sessions is less than 10. In a reporting period when the number of resolution sessions reaches 10 or greater, the State must develop baseline and targets and report them in the corresponding SPP/APR.</w:t>
      </w:r>
    </w:p>
    <w:p w14:paraId="64DC0E2A" w14:textId="53D5BB2D" w:rsidR="00F90BF8" w:rsidRPr="00ED172B" w:rsidRDefault="00F90BF8" w:rsidP="00715B7C">
      <w:pPr>
        <w:rPr>
          <w:color w:val="000000" w:themeColor="text1"/>
          <w:szCs w:val="16"/>
        </w:rPr>
      </w:pPr>
      <w:r w:rsidRPr="00ED172B">
        <w:rPr>
          <w:color w:val="000000" w:themeColor="text1"/>
          <w:szCs w:val="16"/>
        </w:rPr>
        <w:t>States may express their targets in a range (e.g., 75-85%).</w:t>
      </w:r>
    </w:p>
    <w:p w14:paraId="6918407D" w14:textId="7DE8BF5D" w:rsidR="00F90BF8" w:rsidRPr="00ED172B" w:rsidRDefault="00F90BF8" w:rsidP="00715B7C">
      <w:pPr>
        <w:rPr>
          <w:color w:val="000000" w:themeColor="text1"/>
          <w:szCs w:val="16"/>
        </w:rPr>
      </w:pPr>
      <w:r w:rsidRPr="00ED172B">
        <w:rPr>
          <w:color w:val="000000" w:themeColor="text1"/>
          <w:szCs w:val="16"/>
        </w:rPr>
        <w:t>If the data reported in this indicator are not the same as the State’s 618 data, explain.</w:t>
      </w:r>
    </w:p>
    <w:p w14:paraId="626EF671" w14:textId="77777777" w:rsidR="00F90BF8" w:rsidRPr="00ED172B" w:rsidRDefault="00F90BF8" w:rsidP="00715B7C">
      <w:pPr>
        <w:rPr>
          <w:color w:val="000000" w:themeColor="text1"/>
          <w:szCs w:val="16"/>
        </w:rPr>
      </w:pPr>
      <w:r w:rsidRPr="00ED172B">
        <w:rPr>
          <w:color w:val="000000" w:themeColor="text1"/>
          <w:szCs w:val="16"/>
        </w:rPr>
        <w:t>States are not required to report data at the EIS program level.</w:t>
      </w:r>
    </w:p>
    <w:bookmarkEnd w:id="50"/>
    <w:bookmarkEnd w:id="51"/>
    <w:p w14:paraId="498BB6B3" w14:textId="1F66BE76" w:rsidR="007F0CEC" w:rsidRPr="00A40EE1" w:rsidRDefault="000D0117" w:rsidP="007B0787">
      <w:pPr>
        <w:pStyle w:val="Heading2"/>
      </w:pPr>
      <w:r w:rsidRPr="00A40EE1">
        <w:t xml:space="preserve">9 - </w:t>
      </w:r>
      <w:r w:rsidR="00715B7C" w:rsidRPr="00A40EE1">
        <w:t>Indicator Data</w:t>
      </w:r>
    </w:p>
    <w:p w14:paraId="27E473BF" w14:textId="3EE4D9E0" w:rsidR="00524F62" w:rsidRPr="00ED172B" w:rsidRDefault="00524F62" w:rsidP="00524F62">
      <w:pPr>
        <w:rPr>
          <w:b/>
          <w:color w:val="000000" w:themeColor="text1"/>
        </w:rPr>
      </w:pPr>
      <w:r w:rsidRPr="00ED172B">
        <w:rPr>
          <w:b/>
          <w:color w:val="000000" w:themeColor="text1"/>
        </w:rPr>
        <w:t>Not Applicable</w:t>
      </w:r>
    </w:p>
    <w:p w14:paraId="2590DBC0" w14:textId="15E61A4C" w:rsidR="00D12606" w:rsidRPr="00ED172B" w:rsidRDefault="0077028E" w:rsidP="00B83404">
      <w:pPr>
        <w:rPr>
          <w:b/>
          <w:color w:val="000000" w:themeColor="text1"/>
        </w:rPr>
      </w:pPr>
      <w:r w:rsidRPr="00ED172B">
        <w:rPr>
          <w:b/>
          <w:color w:val="000000" w:themeColor="text1"/>
        </w:rPr>
        <w:t xml:space="preserve">Select yes if this indicator is not applicable. </w:t>
      </w:r>
    </w:p>
    <w:p w14:paraId="73914029" w14:textId="1768AA7B" w:rsidR="00D12606" w:rsidRPr="00ED172B" w:rsidRDefault="00860830" w:rsidP="00B83404">
      <w:pPr>
        <w:rPr>
          <w:color w:val="000000" w:themeColor="text1"/>
        </w:rPr>
      </w:pPr>
      <w:r w:rsidRPr="00ED172B">
        <w:rPr>
          <w:color w:val="000000" w:themeColor="text1"/>
        </w:rPr>
        <w:t>NO</w:t>
      </w:r>
    </w:p>
    <w:p w14:paraId="45348B66" w14:textId="136F9228" w:rsidR="00781A26" w:rsidRPr="00ED172B" w:rsidRDefault="00D12606" w:rsidP="00B83404">
      <w:pPr>
        <w:rPr>
          <w:b/>
          <w:color w:val="000000" w:themeColor="text1"/>
        </w:rPr>
      </w:pPr>
      <w:r w:rsidRPr="00ED172B">
        <w:rPr>
          <w:rFonts w:cs="Arial"/>
          <w:b/>
          <w:color w:val="000000" w:themeColor="text1"/>
          <w:szCs w:val="16"/>
        </w:rPr>
        <w:t>Select yes to use target ranges.</w:t>
      </w:r>
      <w:r w:rsidR="00781A26" w:rsidRPr="00ED172B">
        <w:rPr>
          <w:b/>
          <w:color w:val="000000" w:themeColor="text1"/>
        </w:rPr>
        <w:t xml:space="preserve"> </w:t>
      </w:r>
    </w:p>
    <w:p w14:paraId="67685D58" w14:textId="3A46B51D" w:rsidR="00D12606" w:rsidRPr="00ED172B" w:rsidRDefault="00D12606" w:rsidP="00B83404">
      <w:pPr>
        <w:rPr>
          <w:color w:val="000000" w:themeColor="text1"/>
        </w:rPr>
      </w:pPr>
      <w:r w:rsidRPr="00ED172B">
        <w:rPr>
          <w:rFonts w:cs="Arial"/>
          <w:color w:val="000000" w:themeColor="text1"/>
          <w:szCs w:val="16"/>
        </w:rPr>
        <w:t>Target Range not used</w:t>
      </w:r>
    </w:p>
    <w:p w14:paraId="409A40FB" w14:textId="14446432" w:rsidR="00DC16A4" w:rsidRPr="00ED172B" w:rsidRDefault="00C93FA8">
      <w:pPr>
        <w:rPr>
          <w:b/>
          <w:color w:val="000000" w:themeColor="text1"/>
        </w:rPr>
      </w:pPr>
      <w:bookmarkStart w:id="52" w:name="_Toc382731913"/>
      <w:bookmarkStart w:id="53" w:name="_Toc392159341"/>
      <w:r w:rsidRPr="00ED172B">
        <w:rPr>
          <w:b/>
          <w:color w:val="000000" w:themeColor="text1"/>
        </w:rPr>
        <w:t xml:space="preserve">Select yes if the data reported in this indicator are not the same as the State’s data reported under </w:t>
      </w:r>
      <w:r w:rsidR="00EB0B26">
        <w:rPr>
          <w:b/>
          <w:color w:val="000000" w:themeColor="text1"/>
        </w:rPr>
        <w:t>S</w:t>
      </w:r>
      <w:r w:rsidRPr="00ED172B">
        <w:rPr>
          <w:b/>
          <w:color w:val="000000" w:themeColor="text1"/>
        </w:rPr>
        <w:t>ection 618 of the IDEA.</w:t>
      </w:r>
    </w:p>
    <w:p w14:paraId="5E65063B" w14:textId="60F60F49" w:rsidR="00C93FA8" w:rsidRDefault="00C93FA8">
      <w:pPr>
        <w:rPr>
          <w:color w:val="000000" w:themeColor="text1"/>
        </w:rPr>
      </w:pPr>
      <w:r w:rsidRPr="00ED172B">
        <w:rPr>
          <w:color w:val="000000" w:themeColor="text1"/>
        </w:rPr>
        <w:t>NO</w:t>
      </w:r>
    </w:p>
    <w:p w14:paraId="773CACCD" w14:textId="0E968C8A" w:rsidR="00715B7C" w:rsidRPr="00ED172B" w:rsidRDefault="00715B7C">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9PREPOPDATA"/>
      </w:tblPr>
      <w:tblGrid>
        <w:gridCol w:w="3235"/>
        <w:gridCol w:w="3332"/>
        <w:gridCol w:w="2695"/>
        <w:gridCol w:w="1528"/>
      </w:tblGrid>
      <w:tr w:rsidR="00ED172B" w:rsidRPr="00ED172B" w14:paraId="57DE7F66" w14:textId="77777777" w:rsidTr="00986B99">
        <w:trPr>
          <w:trHeight w:val="372"/>
          <w:tblHeader/>
        </w:trPr>
        <w:tc>
          <w:tcPr>
            <w:tcW w:w="1499" w:type="pct"/>
            <w:shd w:val="clear" w:color="auto" w:fill="auto"/>
          </w:tcPr>
          <w:p w14:paraId="6DBE2071" w14:textId="77777777" w:rsidR="00715B7C" w:rsidRPr="00ED172B" w:rsidRDefault="00715B7C" w:rsidP="00D21F29">
            <w:pPr>
              <w:spacing w:after="0"/>
              <w:rPr>
                <w:rFonts w:cs="Arial"/>
                <w:b/>
                <w:color w:val="000000" w:themeColor="text1"/>
                <w:szCs w:val="16"/>
              </w:rPr>
            </w:pPr>
            <w:r w:rsidRPr="00ED172B">
              <w:rPr>
                <w:rFonts w:cs="Arial"/>
                <w:b/>
                <w:color w:val="000000" w:themeColor="text1"/>
                <w:szCs w:val="16"/>
              </w:rPr>
              <w:t>Source</w:t>
            </w:r>
          </w:p>
        </w:tc>
        <w:tc>
          <w:tcPr>
            <w:tcW w:w="1544" w:type="pct"/>
            <w:shd w:val="clear" w:color="auto" w:fill="auto"/>
          </w:tcPr>
          <w:p w14:paraId="31EF8583" w14:textId="77777777" w:rsidR="00715B7C" w:rsidRPr="00ED172B" w:rsidRDefault="00715B7C" w:rsidP="00715B7C">
            <w:pPr>
              <w:spacing w:after="0"/>
              <w:jc w:val="center"/>
              <w:rPr>
                <w:rFonts w:cs="Arial"/>
                <w:b/>
                <w:color w:val="000000" w:themeColor="text1"/>
                <w:szCs w:val="16"/>
              </w:rPr>
            </w:pPr>
            <w:r w:rsidRPr="00ED172B">
              <w:rPr>
                <w:rFonts w:cs="Arial"/>
                <w:b/>
                <w:color w:val="000000" w:themeColor="text1"/>
                <w:szCs w:val="16"/>
              </w:rPr>
              <w:t>Date</w:t>
            </w:r>
          </w:p>
        </w:tc>
        <w:tc>
          <w:tcPr>
            <w:tcW w:w="1249" w:type="pct"/>
            <w:shd w:val="clear" w:color="auto" w:fill="auto"/>
          </w:tcPr>
          <w:p w14:paraId="4CE1D32C" w14:textId="77777777" w:rsidR="00715B7C" w:rsidRPr="00ED172B" w:rsidRDefault="00715B7C" w:rsidP="00D21F29">
            <w:pPr>
              <w:spacing w:after="0"/>
              <w:rPr>
                <w:rFonts w:cs="Arial"/>
                <w:b/>
                <w:color w:val="000000" w:themeColor="text1"/>
                <w:szCs w:val="16"/>
              </w:rPr>
            </w:pPr>
            <w:r w:rsidRPr="00ED172B">
              <w:rPr>
                <w:rFonts w:cs="Arial"/>
                <w:b/>
                <w:color w:val="000000" w:themeColor="text1"/>
                <w:szCs w:val="16"/>
              </w:rPr>
              <w:t>Description</w:t>
            </w:r>
          </w:p>
        </w:tc>
        <w:tc>
          <w:tcPr>
            <w:tcW w:w="708" w:type="pct"/>
            <w:shd w:val="clear" w:color="auto" w:fill="auto"/>
          </w:tcPr>
          <w:p w14:paraId="0E6F1DFF" w14:textId="77777777" w:rsidR="00715B7C" w:rsidRPr="00ED172B" w:rsidRDefault="00715B7C" w:rsidP="00715B7C">
            <w:pPr>
              <w:spacing w:after="0"/>
              <w:jc w:val="center"/>
              <w:rPr>
                <w:rFonts w:cs="Arial"/>
                <w:b/>
                <w:color w:val="000000" w:themeColor="text1"/>
                <w:szCs w:val="16"/>
              </w:rPr>
            </w:pPr>
            <w:r w:rsidRPr="00ED172B">
              <w:rPr>
                <w:rFonts w:cs="Arial"/>
                <w:b/>
                <w:color w:val="000000" w:themeColor="text1"/>
                <w:szCs w:val="16"/>
              </w:rPr>
              <w:t>Data</w:t>
            </w:r>
          </w:p>
        </w:tc>
      </w:tr>
      <w:tr w:rsidR="00ED172B" w:rsidRPr="00ED172B" w14:paraId="0F0EAF83" w14:textId="77777777" w:rsidTr="00986B99">
        <w:trPr>
          <w:trHeight w:val="380"/>
        </w:trPr>
        <w:tc>
          <w:tcPr>
            <w:tcW w:w="1499" w:type="pct"/>
            <w:shd w:val="clear" w:color="auto" w:fill="auto"/>
          </w:tcPr>
          <w:p w14:paraId="0DCA5C00" w14:textId="7E5B9680" w:rsidR="00715B7C" w:rsidRPr="00ED172B" w:rsidRDefault="00DE6DA4" w:rsidP="00715B7C">
            <w:pPr>
              <w:rPr>
                <w:rFonts w:cs="Arial"/>
                <w:color w:val="000000" w:themeColor="text1"/>
                <w:szCs w:val="16"/>
              </w:rPr>
            </w:pPr>
            <w:r w:rsidRPr="00ED172B">
              <w:rPr>
                <w:rFonts w:cs="Arial"/>
                <w:color w:val="000000" w:themeColor="text1"/>
                <w:szCs w:val="16"/>
              </w:rPr>
              <w:t>SY 2022-23 EMAPS IDEA Part C Dispute Resolution Survey; Section C: Due Process Complaints</w:t>
            </w:r>
          </w:p>
        </w:tc>
        <w:tc>
          <w:tcPr>
            <w:tcW w:w="1544" w:type="pct"/>
            <w:shd w:val="clear" w:color="auto" w:fill="auto"/>
          </w:tcPr>
          <w:p w14:paraId="27382DB7" w14:textId="09856F78" w:rsidR="00715B7C" w:rsidRPr="00ED172B" w:rsidRDefault="00DE6DA4" w:rsidP="00D21F29">
            <w:pPr>
              <w:jc w:val="center"/>
              <w:rPr>
                <w:rFonts w:cs="Arial"/>
                <w:color w:val="000000" w:themeColor="text1"/>
                <w:szCs w:val="16"/>
              </w:rPr>
            </w:pPr>
            <w:r w:rsidRPr="00ED172B">
              <w:rPr>
                <w:rFonts w:cs="Arial"/>
                <w:color w:val="000000" w:themeColor="text1"/>
                <w:szCs w:val="16"/>
              </w:rPr>
              <w:t>11/15/2023</w:t>
            </w:r>
          </w:p>
        </w:tc>
        <w:tc>
          <w:tcPr>
            <w:tcW w:w="1249" w:type="pct"/>
            <w:shd w:val="clear" w:color="auto" w:fill="auto"/>
          </w:tcPr>
          <w:p w14:paraId="313E846C" w14:textId="77777777" w:rsidR="00715B7C" w:rsidRPr="00ED172B" w:rsidRDefault="00715B7C" w:rsidP="00AC2D23">
            <w:pPr>
              <w:rPr>
                <w:rFonts w:cs="Arial"/>
                <w:color w:val="000000" w:themeColor="text1"/>
                <w:szCs w:val="16"/>
              </w:rPr>
            </w:pPr>
            <w:r w:rsidRPr="00ED172B">
              <w:rPr>
                <w:rFonts w:cs="Arial"/>
                <w:color w:val="000000" w:themeColor="text1"/>
                <w:szCs w:val="16"/>
              </w:rPr>
              <w:t>3.1 Number of resolution sessions</w:t>
            </w:r>
          </w:p>
        </w:tc>
        <w:tc>
          <w:tcPr>
            <w:tcW w:w="708" w:type="pct"/>
            <w:shd w:val="clear" w:color="auto" w:fill="auto"/>
          </w:tcPr>
          <w:p w14:paraId="466AECE4" w14:textId="159B6125" w:rsidR="00715B7C" w:rsidRPr="00ED172B" w:rsidRDefault="00860830" w:rsidP="00D21F29">
            <w:pPr>
              <w:jc w:val="center"/>
              <w:rPr>
                <w:rFonts w:cs="Arial"/>
                <w:color w:val="000000" w:themeColor="text1"/>
                <w:szCs w:val="16"/>
              </w:rPr>
            </w:pPr>
            <w:r w:rsidRPr="00ED172B">
              <w:rPr>
                <w:rFonts w:cs="Arial"/>
                <w:color w:val="000000" w:themeColor="text1"/>
                <w:szCs w:val="16"/>
              </w:rPr>
              <w:t>0</w:t>
            </w:r>
          </w:p>
        </w:tc>
      </w:tr>
      <w:tr w:rsidR="00ED172B" w:rsidRPr="00ED172B" w14:paraId="3F44ED9C" w14:textId="77777777" w:rsidTr="00986B99">
        <w:trPr>
          <w:trHeight w:val="380"/>
        </w:trPr>
        <w:tc>
          <w:tcPr>
            <w:tcW w:w="1499" w:type="pct"/>
            <w:shd w:val="clear" w:color="auto" w:fill="auto"/>
          </w:tcPr>
          <w:p w14:paraId="416FEF69" w14:textId="4F25D263" w:rsidR="00781A26" w:rsidRPr="00ED172B" w:rsidRDefault="00DE6DA4" w:rsidP="00781A26">
            <w:pPr>
              <w:rPr>
                <w:rFonts w:cs="Arial"/>
                <w:color w:val="000000" w:themeColor="text1"/>
                <w:szCs w:val="16"/>
              </w:rPr>
            </w:pPr>
            <w:r w:rsidRPr="00ED172B">
              <w:rPr>
                <w:rFonts w:cs="Arial"/>
                <w:color w:val="000000" w:themeColor="text1"/>
                <w:szCs w:val="16"/>
              </w:rPr>
              <w:t>SY 2022-23 EMAPS IDEA Part C Dispute Resolution Survey; Section C: Due Process Complaints</w:t>
            </w:r>
          </w:p>
        </w:tc>
        <w:tc>
          <w:tcPr>
            <w:tcW w:w="1544" w:type="pct"/>
            <w:shd w:val="clear" w:color="auto" w:fill="auto"/>
          </w:tcPr>
          <w:p w14:paraId="7E40592C" w14:textId="6E19FFD4" w:rsidR="00781A26" w:rsidRPr="00ED172B" w:rsidRDefault="00DE6DA4" w:rsidP="00D21F29">
            <w:pPr>
              <w:jc w:val="center"/>
              <w:rPr>
                <w:rFonts w:cs="Arial"/>
                <w:color w:val="000000" w:themeColor="text1"/>
                <w:szCs w:val="16"/>
              </w:rPr>
            </w:pPr>
            <w:r w:rsidRPr="00ED172B">
              <w:rPr>
                <w:rFonts w:cs="Arial"/>
                <w:color w:val="000000" w:themeColor="text1"/>
                <w:szCs w:val="16"/>
              </w:rPr>
              <w:t>11/15/2023</w:t>
            </w:r>
          </w:p>
        </w:tc>
        <w:tc>
          <w:tcPr>
            <w:tcW w:w="1249" w:type="pct"/>
            <w:shd w:val="clear" w:color="auto" w:fill="auto"/>
          </w:tcPr>
          <w:p w14:paraId="05A9D883" w14:textId="77777777" w:rsidR="00781A26" w:rsidRPr="00ED172B" w:rsidRDefault="00781A26" w:rsidP="00AC2D23">
            <w:pPr>
              <w:rPr>
                <w:rFonts w:cs="Arial"/>
                <w:color w:val="000000" w:themeColor="text1"/>
                <w:szCs w:val="16"/>
              </w:rPr>
            </w:pPr>
            <w:r w:rsidRPr="00ED172B">
              <w:rPr>
                <w:rFonts w:cs="Arial"/>
                <w:color w:val="000000" w:themeColor="text1"/>
                <w:szCs w:val="16"/>
              </w:rPr>
              <w:t>3.1(a) Number resolution sessions resolved through settlement agreements</w:t>
            </w:r>
          </w:p>
        </w:tc>
        <w:tc>
          <w:tcPr>
            <w:tcW w:w="708" w:type="pct"/>
            <w:shd w:val="clear" w:color="auto" w:fill="auto"/>
          </w:tcPr>
          <w:p w14:paraId="5FE3BFE0" w14:textId="4AA3C68B" w:rsidR="00781A26" w:rsidRPr="00ED172B" w:rsidRDefault="00860830" w:rsidP="00D21F29">
            <w:pPr>
              <w:jc w:val="center"/>
              <w:rPr>
                <w:rFonts w:cs="Arial"/>
                <w:color w:val="000000" w:themeColor="text1"/>
                <w:szCs w:val="16"/>
              </w:rPr>
            </w:pPr>
            <w:r w:rsidRPr="00ED172B">
              <w:rPr>
                <w:rFonts w:cs="Arial"/>
                <w:color w:val="000000" w:themeColor="text1"/>
                <w:szCs w:val="16"/>
              </w:rPr>
              <w:t>0</w:t>
            </w:r>
          </w:p>
        </w:tc>
      </w:tr>
    </w:tbl>
    <w:p w14:paraId="54958D93" w14:textId="29DB6EC5" w:rsidR="004761C7" w:rsidRDefault="00F80C9C" w:rsidP="00B83404">
      <w:pPr>
        <w:rPr>
          <w:b/>
          <w:color w:val="000000" w:themeColor="text1"/>
        </w:rPr>
      </w:pPr>
      <w:r w:rsidRPr="00ED172B">
        <w:rPr>
          <w:b/>
          <w:color w:val="000000" w:themeColor="text1"/>
        </w:rPr>
        <w:t>Targets: Description of Stakeholder Input</w:t>
      </w:r>
    </w:p>
    <w:p w14:paraId="79D10E37" w14:textId="2741EC14" w:rsidR="004761C7" w:rsidRDefault="00CF03E0" w:rsidP="00CF03E0">
      <w:pPr>
        <w:rPr>
          <w:color w:val="000000" w:themeColor="text1"/>
        </w:rPr>
      </w:pPr>
      <w:r w:rsidRPr="00ED172B">
        <w:rPr>
          <w:color w:val="000000" w:themeColor="text1"/>
        </w:rPr>
        <w:t xml:space="preserve">The State engaged in broad stakeholder input on new targets established for FFY 2020-2025, reported in the 2021 submission. The State did not revise targets during this reporting period. Ongoing engagement included regular reports from the director and Agency staff to the State Interagency Coordinating Council, Regional Inclusive Services, and State Advisory Council on Special Education. Targeted engagement on personnel standards, the state systemic improvement plan and activities, strategies for improving access to inclusive early learning environments for children with disabilities, and updated guidance on discipline occurred throughout the reporting period. This included presentations during conferences, meetings, and advisory groups, updates to the Agency web pages, leveraging newsletters for Oregon Early Childhood Inclusion, webinars, and memorandums to district leadership and superintendents.  </w:t>
      </w:r>
      <w:r w:rsidRPr="00ED172B">
        <w:rPr>
          <w:color w:val="000000" w:themeColor="text1"/>
        </w:rPr>
        <w:br/>
        <w:t xml:space="preserve">The State engaged with various stakeholder groups to gather feedback on the revision of the EI/ECSE personnel standards. Multiple stakeholder engagement sessions were held with EI/ECSE practitioners, community partners, and families. The State partnered with a parent information and training center, Family and Community Together (FACT) Oregon, to host a feedback session with families of children receiving EI/ECSE services. Materials were made available in Spanish and Spanish translation was provided at the family feedback session.  </w:t>
      </w:r>
    </w:p>
    <w:p w14:paraId="2A44ABCF" w14:textId="6B1152E6" w:rsidR="00F80C9C" w:rsidRPr="00ED172B" w:rsidRDefault="00F80C9C" w:rsidP="00B83404">
      <w:pPr>
        <w:rPr>
          <w:color w:val="000000" w:themeColor="text1"/>
        </w:rPr>
      </w:pPr>
      <w:r w:rsidRPr="00ED172B">
        <w:rPr>
          <w:b/>
          <w:color w:val="000000" w:themeColor="text1"/>
        </w:rPr>
        <w:t xml:space="preserve"> </w:t>
      </w:r>
    </w:p>
    <w:p w14:paraId="053E97E5" w14:textId="37EB61CD" w:rsidR="0097671A" w:rsidRDefault="0097671A" w:rsidP="00B83404">
      <w:pPr>
        <w:rPr>
          <w:b/>
          <w:color w:val="000000" w:themeColor="text1"/>
        </w:rPr>
      </w:pPr>
      <w:r w:rsidRPr="00ED172B">
        <w:rPr>
          <w:b/>
          <w:color w:val="000000" w:themeColor="text1"/>
        </w:rPr>
        <w:t>Historical Data</w:t>
      </w:r>
    </w:p>
    <w:p w14:paraId="5C13CB90" w14:textId="168F1E1A" w:rsidR="000378F3" w:rsidRDefault="000378F3" w:rsidP="00B83404">
      <w:pPr>
        <w:rPr>
          <w:color w:val="000000" w:themeColor="text1"/>
        </w:rPr>
      </w:pP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9BASELINEDATA"/>
      </w:tblPr>
      <w:tblGrid>
        <w:gridCol w:w="2899"/>
        <w:gridCol w:w="875"/>
      </w:tblGrid>
      <w:tr w:rsidR="000378F3" w:rsidRPr="00ED172B" w14:paraId="5D674062" w14:textId="77777777" w:rsidTr="00A40EE1">
        <w:trPr>
          <w:trHeight w:val="350"/>
          <w:tblHeader/>
        </w:trPr>
        <w:tc>
          <w:tcPr>
            <w:tcW w:w="4285" w:type="pct"/>
            <w:tcBorders>
              <w:bottom w:val="single" w:sz="4" w:space="0" w:color="auto"/>
            </w:tcBorders>
            <w:shd w:val="clear" w:color="auto" w:fill="auto"/>
            <w:vAlign w:val="center"/>
          </w:tcPr>
          <w:p w14:paraId="2AA1DA82" w14:textId="77777777" w:rsidR="000378F3" w:rsidRPr="001071FD" w:rsidRDefault="000378F3" w:rsidP="00C15786">
            <w:pPr>
              <w:jc w:val="center"/>
              <w:rPr>
                <w:b/>
                <w:bCs/>
                <w:color w:val="000000" w:themeColor="text1"/>
              </w:rPr>
            </w:pPr>
            <w:r>
              <w:rPr>
                <w:b/>
                <w:bCs/>
                <w:color w:val="000000" w:themeColor="text1"/>
              </w:rPr>
              <w:t>Baseline Year</w:t>
            </w:r>
          </w:p>
        </w:tc>
        <w:tc>
          <w:tcPr>
            <w:tcW w:w="715" w:type="pct"/>
            <w:shd w:val="clear" w:color="auto" w:fill="auto"/>
            <w:vAlign w:val="center"/>
          </w:tcPr>
          <w:p w14:paraId="1E48796E" w14:textId="77777777" w:rsidR="000378F3" w:rsidRPr="001071FD" w:rsidRDefault="000378F3" w:rsidP="00C15786">
            <w:pPr>
              <w:jc w:val="center"/>
              <w:rPr>
                <w:b/>
                <w:bCs/>
                <w:color w:val="000000" w:themeColor="text1"/>
              </w:rPr>
            </w:pPr>
            <w:r w:rsidRPr="001071FD">
              <w:rPr>
                <w:b/>
                <w:bCs/>
                <w:color w:val="000000" w:themeColor="text1"/>
              </w:rPr>
              <w:t>Baseline Data</w:t>
            </w:r>
          </w:p>
        </w:tc>
      </w:tr>
      <w:tr w:rsidR="000378F3" w:rsidRPr="00ED172B" w14:paraId="54294D6B" w14:textId="77777777" w:rsidTr="00A40EE1">
        <w:trPr>
          <w:trHeight w:val="350"/>
        </w:trPr>
        <w:tc>
          <w:tcPr>
            <w:tcW w:w="4285" w:type="pct"/>
            <w:tcBorders>
              <w:bottom w:val="single" w:sz="4" w:space="0" w:color="auto"/>
            </w:tcBorders>
            <w:shd w:val="clear" w:color="auto" w:fill="auto"/>
          </w:tcPr>
          <w:p w14:paraId="5D1DDE1F" w14:textId="0B775C2C" w:rsidR="000378F3" w:rsidRPr="00ED172B" w:rsidRDefault="000378F3" w:rsidP="000378F3">
            <w:pPr>
              <w:jc w:val="center"/>
              <w:rPr>
                <w:b/>
                <w:color w:val="000000" w:themeColor="text1"/>
              </w:rPr>
            </w:pPr>
          </w:p>
        </w:tc>
        <w:tc>
          <w:tcPr>
            <w:tcW w:w="715" w:type="pct"/>
            <w:shd w:val="clear" w:color="auto" w:fill="auto"/>
            <w:vAlign w:val="center"/>
          </w:tcPr>
          <w:p w14:paraId="5DDF2207" w14:textId="136FC9D3" w:rsidR="000378F3" w:rsidRPr="00ED172B" w:rsidRDefault="000378F3" w:rsidP="000378F3">
            <w:pPr>
              <w:jc w:val="center"/>
              <w:rPr>
                <w:color w:val="000000" w:themeColor="text1"/>
              </w:rPr>
            </w:pPr>
          </w:p>
        </w:tc>
      </w:tr>
    </w:tbl>
    <w:p w14:paraId="0B828E82" w14:textId="77777777" w:rsidR="000378F3" w:rsidRPr="00ED172B" w:rsidRDefault="000378F3" w:rsidP="00B83404">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9HISTDATA"/>
      </w:tblPr>
      <w:tblGrid>
        <w:gridCol w:w="1345"/>
        <w:gridCol w:w="1889"/>
        <w:gridCol w:w="1889"/>
        <w:gridCol w:w="1889"/>
        <w:gridCol w:w="1889"/>
        <w:gridCol w:w="1889"/>
      </w:tblGrid>
      <w:tr w:rsidR="00ED172B" w:rsidRPr="00ED172B" w14:paraId="50D09D1B" w14:textId="77777777" w:rsidTr="00986B99">
        <w:trPr>
          <w:trHeight w:val="350"/>
        </w:trPr>
        <w:tc>
          <w:tcPr>
            <w:tcW w:w="623" w:type="pct"/>
            <w:tcBorders>
              <w:bottom w:val="single" w:sz="4" w:space="0" w:color="auto"/>
            </w:tcBorders>
            <w:shd w:val="clear" w:color="auto" w:fill="auto"/>
          </w:tcPr>
          <w:p w14:paraId="24CECAC2" w14:textId="77777777" w:rsidR="0097671A" w:rsidRPr="00ED172B" w:rsidRDefault="0097671A" w:rsidP="00186420">
            <w:pPr>
              <w:jc w:val="center"/>
              <w:rPr>
                <w:rFonts w:cs="Arial"/>
                <w:b/>
                <w:color w:val="000000" w:themeColor="text1"/>
                <w:szCs w:val="16"/>
              </w:rPr>
            </w:pPr>
            <w:r w:rsidRPr="00ED172B">
              <w:rPr>
                <w:rFonts w:cs="Arial"/>
                <w:b/>
                <w:color w:val="000000" w:themeColor="text1"/>
                <w:szCs w:val="16"/>
              </w:rPr>
              <w:t>FFY</w:t>
            </w:r>
          </w:p>
        </w:tc>
        <w:tc>
          <w:tcPr>
            <w:tcW w:w="875" w:type="pct"/>
            <w:shd w:val="clear" w:color="auto" w:fill="auto"/>
          </w:tcPr>
          <w:p w14:paraId="2C452BB3" w14:textId="6C7A4F55" w:rsidR="0097671A" w:rsidRPr="00ED172B" w:rsidRDefault="002163F2" w:rsidP="00CD79C5">
            <w:pPr>
              <w:jc w:val="center"/>
              <w:rPr>
                <w:rFonts w:cs="Arial"/>
                <w:b/>
                <w:color w:val="000000" w:themeColor="text1"/>
                <w:szCs w:val="16"/>
              </w:rPr>
            </w:pPr>
            <w:r w:rsidRPr="00ED172B">
              <w:rPr>
                <w:rFonts w:cs="Arial"/>
                <w:b/>
                <w:color w:val="000000" w:themeColor="text1"/>
                <w:szCs w:val="16"/>
              </w:rPr>
              <w:t>2017</w:t>
            </w:r>
          </w:p>
        </w:tc>
        <w:tc>
          <w:tcPr>
            <w:tcW w:w="875" w:type="pct"/>
            <w:shd w:val="clear" w:color="auto" w:fill="auto"/>
          </w:tcPr>
          <w:p w14:paraId="74AA46D8" w14:textId="082635B6" w:rsidR="0097671A" w:rsidRPr="00ED172B" w:rsidRDefault="002163F2" w:rsidP="00CD79C5">
            <w:pPr>
              <w:jc w:val="center"/>
              <w:rPr>
                <w:rFonts w:cs="Arial"/>
                <w:b/>
                <w:color w:val="000000" w:themeColor="text1"/>
                <w:szCs w:val="16"/>
              </w:rPr>
            </w:pPr>
            <w:r w:rsidRPr="00ED172B">
              <w:rPr>
                <w:rFonts w:cs="Arial"/>
                <w:b/>
                <w:color w:val="000000" w:themeColor="text1"/>
                <w:szCs w:val="16"/>
              </w:rPr>
              <w:t>2018</w:t>
            </w:r>
          </w:p>
        </w:tc>
        <w:tc>
          <w:tcPr>
            <w:tcW w:w="875" w:type="pct"/>
            <w:shd w:val="clear" w:color="auto" w:fill="auto"/>
            <w:vAlign w:val="center"/>
          </w:tcPr>
          <w:p w14:paraId="436CBDFC" w14:textId="3C64BF3F" w:rsidR="0097671A" w:rsidRPr="00ED172B" w:rsidRDefault="002163F2" w:rsidP="00CD79C5">
            <w:pPr>
              <w:jc w:val="center"/>
              <w:rPr>
                <w:rFonts w:cs="Arial"/>
                <w:b/>
                <w:color w:val="000000" w:themeColor="text1"/>
                <w:szCs w:val="16"/>
              </w:rPr>
            </w:pPr>
            <w:r w:rsidRPr="00ED172B">
              <w:rPr>
                <w:rFonts w:cs="Arial"/>
                <w:b/>
                <w:color w:val="000000" w:themeColor="text1"/>
                <w:szCs w:val="16"/>
              </w:rPr>
              <w:t>2019</w:t>
            </w:r>
          </w:p>
        </w:tc>
        <w:tc>
          <w:tcPr>
            <w:tcW w:w="875" w:type="pct"/>
            <w:shd w:val="clear" w:color="auto" w:fill="auto"/>
            <w:vAlign w:val="center"/>
          </w:tcPr>
          <w:p w14:paraId="3DC14D94" w14:textId="7764CE07" w:rsidR="0097671A" w:rsidRPr="00ED172B" w:rsidRDefault="002163F2" w:rsidP="00CD79C5">
            <w:pPr>
              <w:jc w:val="center"/>
              <w:rPr>
                <w:rFonts w:cs="Arial"/>
                <w:b/>
                <w:color w:val="000000" w:themeColor="text1"/>
                <w:szCs w:val="16"/>
              </w:rPr>
            </w:pPr>
            <w:r w:rsidRPr="00ED172B">
              <w:rPr>
                <w:rFonts w:cs="Arial"/>
                <w:b/>
                <w:color w:val="000000" w:themeColor="text1"/>
                <w:szCs w:val="16"/>
              </w:rPr>
              <w:t>2020</w:t>
            </w:r>
          </w:p>
        </w:tc>
        <w:tc>
          <w:tcPr>
            <w:tcW w:w="875" w:type="pct"/>
            <w:shd w:val="clear" w:color="auto" w:fill="auto"/>
            <w:vAlign w:val="center"/>
          </w:tcPr>
          <w:p w14:paraId="3BCA0939" w14:textId="3CB37DBE" w:rsidR="0097671A" w:rsidRPr="00ED172B" w:rsidRDefault="006D43D3" w:rsidP="00CD79C5">
            <w:pPr>
              <w:jc w:val="center"/>
              <w:rPr>
                <w:rFonts w:cs="Arial"/>
                <w:b/>
                <w:color w:val="000000" w:themeColor="text1"/>
                <w:szCs w:val="16"/>
              </w:rPr>
            </w:pPr>
            <w:r w:rsidRPr="00ED172B">
              <w:rPr>
                <w:rFonts w:cs="Arial"/>
                <w:b/>
                <w:color w:val="000000" w:themeColor="text1"/>
                <w:szCs w:val="16"/>
              </w:rPr>
              <w:t>2021</w:t>
            </w:r>
          </w:p>
        </w:tc>
      </w:tr>
      <w:tr w:rsidR="00ED172B" w:rsidRPr="00ED172B" w14:paraId="6BD70006" w14:textId="77777777" w:rsidTr="00986B99">
        <w:trPr>
          <w:trHeight w:val="357"/>
        </w:trPr>
        <w:tc>
          <w:tcPr>
            <w:tcW w:w="623" w:type="pct"/>
            <w:shd w:val="clear" w:color="auto" w:fill="auto"/>
          </w:tcPr>
          <w:p w14:paraId="6E2806FF" w14:textId="4CEBA529" w:rsidR="0097671A" w:rsidRPr="00ED172B" w:rsidRDefault="0097671A" w:rsidP="00D21F29">
            <w:pPr>
              <w:jc w:val="center"/>
              <w:rPr>
                <w:rFonts w:cs="Arial"/>
                <w:color w:val="000000" w:themeColor="text1"/>
                <w:szCs w:val="16"/>
              </w:rPr>
            </w:pPr>
            <w:r w:rsidRPr="00ED172B">
              <w:rPr>
                <w:rFonts w:cs="Arial"/>
                <w:color w:val="000000" w:themeColor="text1"/>
                <w:szCs w:val="16"/>
              </w:rPr>
              <w:t>Target&gt;=</w:t>
            </w:r>
          </w:p>
        </w:tc>
        <w:tc>
          <w:tcPr>
            <w:tcW w:w="875" w:type="pct"/>
            <w:shd w:val="clear" w:color="auto" w:fill="auto"/>
          </w:tcPr>
          <w:p w14:paraId="10A15DF3" w14:textId="64321DD5" w:rsidR="0097671A" w:rsidRPr="00ED172B" w:rsidRDefault="0097671A" w:rsidP="00186420">
            <w:pPr>
              <w:jc w:val="center"/>
              <w:rPr>
                <w:rFonts w:cs="Arial"/>
                <w:color w:val="000000" w:themeColor="text1"/>
                <w:szCs w:val="16"/>
              </w:rPr>
            </w:pPr>
          </w:p>
        </w:tc>
        <w:tc>
          <w:tcPr>
            <w:tcW w:w="875" w:type="pct"/>
            <w:shd w:val="clear" w:color="auto" w:fill="auto"/>
          </w:tcPr>
          <w:p w14:paraId="199DE9C1" w14:textId="7EE343A1" w:rsidR="0097671A" w:rsidRPr="00ED172B" w:rsidRDefault="0097671A" w:rsidP="00186420">
            <w:pPr>
              <w:jc w:val="center"/>
              <w:rPr>
                <w:rFonts w:cs="Arial"/>
                <w:color w:val="000000" w:themeColor="text1"/>
                <w:szCs w:val="16"/>
              </w:rPr>
            </w:pPr>
          </w:p>
        </w:tc>
        <w:tc>
          <w:tcPr>
            <w:tcW w:w="875" w:type="pct"/>
            <w:shd w:val="clear" w:color="auto" w:fill="auto"/>
            <w:vAlign w:val="center"/>
          </w:tcPr>
          <w:p w14:paraId="5A1D469C" w14:textId="187B80D4" w:rsidR="0097671A" w:rsidRPr="00ED172B" w:rsidRDefault="0097671A" w:rsidP="00186420">
            <w:pPr>
              <w:jc w:val="center"/>
              <w:rPr>
                <w:rFonts w:cs="Arial"/>
                <w:color w:val="000000" w:themeColor="text1"/>
                <w:szCs w:val="16"/>
              </w:rPr>
            </w:pPr>
          </w:p>
        </w:tc>
        <w:tc>
          <w:tcPr>
            <w:tcW w:w="875" w:type="pct"/>
            <w:shd w:val="clear" w:color="auto" w:fill="auto"/>
            <w:vAlign w:val="center"/>
          </w:tcPr>
          <w:p w14:paraId="302AC309" w14:textId="12F17218" w:rsidR="0097671A" w:rsidRPr="00ED172B" w:rsidRDefault="0097671A" w:rsidP="00186420">
            <w:pPr>
              <w:jc w:val="center"/>
              <w:rPr>
                <w:rFonts w:cs="Arial"/>
                <w:color w:val="000000" w:themeColor="text1"/>
                <w:szCs w:val="16"/>
              </w:rPr>
            </w:pPr>
          </w:p>
        </w:tc>
        <w:tc>
          <w:tcPr>
            <w:tcW w:w="875" w:type="pct"/>
            <w:shd w:val="clear" w:color="auto" w:fill="auto"/>
            <w:vAlign w:val="center"/>
          </w:tcPr>
          <w:p w14:paraId="73890D7A" w14:textId="5DE654E0" w:rsidR="0097671A" w:rsidRPr="00ED172B" w:rsidRDefault="0097671A" w:rsidP="00186420">
            <w:pPr>
              <w:jc w:val="center"/>
              <w:rPr>
                <w:rFonts w:cs="Arial"/>
                <w:color w:val="000000" w:themeColor="text1"/>
                <w:szCs w:val="16"/>
              </w:rPr>
            </w:pPr>
          </w:p>
        </w:tc>
      </w:tr>
      <w:tr w:rsidR="00ED172B" w:rsidRPr="00ED172B" w14:paraId="2B4D2800" w14:textId="77777777" w:rsidTr="00986B99">
        <w:trPr>
          <w:trHeight w:val="85"/>
        </w:trPr>
        <w:tc>
          <w:tcPr>
            <w:tcW w:w="623" w:type="pct"/>
            <w:shd w:val="clear" w:color="auto" w:fill="auto"/>
          </w:tcPr>
          <w:p w14:paraId="3228C604" w14:textId="77777777" w:rsidR="0097671A" w:rsidRPr="00ED172B" w:rsidRDefault="0097671A" w:rsidP="00D21F29">
            <w:pPr>
              <w:jc w:val="center"/>
              <w:rPr>
                <w:rFonts w:cs="Arial"/>
                <w:color w:val="000000" w:themeColor="text1"/>
                <w:szCs w:val="16"/>
              </w:rPr>
            </w:pPr>
            <w:r w:rsidRPr="00ED172B">
              <w:rPr>
                <w:rFonts w:cs="Arial"/>
                <w:color w:val="000000" w:themeColor="text1"/>
                <w:szCs w:val="16"/>
              </w:rPr>
              <w:t>Data</w:t>
            </w:r>
          </w:p>
        </w:tc>
        <w:tc>
          <w:tcPr>
            <w:tcW w:w="875" w:type="pct"/>
            <w:shd w:val="clear" w:color="auto" w:fill="auto"/>
          </w:tcPr>
          <w:p w14:paraId="61414737" w14:textId="1FAC65D5" w:rsidR="0097671A" w:rsidRPr="00ED172B" w:rsidRDefault="0097671A" w:rsidP="00186420">
            <w:pPr>
              <w:jc w:val="center"/>
              <w:rPr>
                <w:rFonts w:cs="Arial"/>
                <w:color w:val="000000" w:themeColor="text1"/>
                <w:szCs w:val="16"/>
              </w:rPr>
            </w:pPr>
          </w:p>
        </w:tc>
        <w:tc>
          <w:tcPr>
            <w:tcW w:w="875" w:type="pct"/>
            <w:shd w:val="clear" w:color="auto" w:fill="auto"/>
          </w:tcPr>
          <w:p w14:paraId="2055F8ED" w14:textId="1DEAE662" w:rsidR="0097671A" w:rsidRPr="00ED172B" w:rsidRDefault="0097671A" w:rsidP="00186420">
            <w:pPr>
              <w:jc w:val="center"/>
              <w:rPr>
                <w:rFonts w:cs="Arial"/>
                <w:color w:val="000000" w:themeColor="text1"/>
                <w:szCs w:val="16"/>
              </w:rPr>
            </w:pPr>
          </w:p>
        </w:tc>
        <w:tc>
          <w:tcPr>
            <w:tcW w:w="875" w:type="pct"/>
            <w:tcBorders>
              <w:bottom w:val="single" w:sz="4" w:space="0" w:color="auto"/>
            </w:tcBorders>
            <w:shd w:val="clear" w:color="auto" w:fill="auto"/>
            <w:vAlign w:val="center"/>
          </w:tcPr>
          <w:p w14:paraId="1D3B5DD0" w14:textId="0955CDE8" w:rsidR="0097671A" w:rsidRPr="00ED172B" w:rsidRDefault="0097671A" w:rsidP="00186420">
            <w:pPr>
              <w:jc w:val="center"/>
              <w:rPr>
                <w:rFonts w:cs="Arial"/>
                <w:color w:val="000000" w:themeColor="text1"/>
                <w:szCs w:val="16"/>
              </w:rPr>
            </w:pPr>
          </w:p>
        </w:tc>
        <w:tc>
          <w:tcPr>
            <w:tcW w:w="875" w:type="pct"/>
            <w:tcBorders>
              <w:bottom w:val="single" w:sz="4" w:space="0" w:color="auto"/>
            </w:tcBorders>
            <w:shd w:val="clear" w:color="auto" w:fill="auto"/>
            <w:vAlign w:val="center"/>
          </w:tcPr>
          <w:p w14:paraId="098AB382" w14:textId="24E06A23" w:rsidR="0097671A" w:rsidRPr="00ED172B" w:rsidRDefault="0097671A" w:rsidP="00186420">
            <w:pPr>
              <w:jc w:val="center"/>
              <w:rPr>
                <w:rFonts w:cs="Arial"/>
                <w:color w:val="000000" w:themeColor="text1"/>
                <w:szCs w:val="16"/>
              </w:rPr>
            </w:pPr>
          </w:p>
        </w:tc>
        <w:tc>
          <w:tcPr>
            <w:tcW w:w="875" w:type="pct"/>
            <w:tcBorders>
              <w:bottom w:val="single" w:sz="4" w:space="0" w:color="auto"/>
            </w:tcBorders>
            <w:shd w:val="clear" w:color="auto" w:fill="auto"/>
            <w:vAlign w:val="center"/>
          </w:tcPr>
          <w:p w14:paraId="29152585" w14:textId="546A3CEB" w:rsidR="0097671A" w:rsidRPr="00ED172B" w:rsidRDefault="0097671A" w:rsidP="00186420">
            <w:pPr>
              <w:jc w:val="center"/>
              <w:rPr>
                <w:rFonts w:cs="Arial"/>
                <w:color w:val="000000" w:themeColor="text1"/>
                <w:szCs w:val="16"/>
              </w:rPr>
            </w:pPr>
          </w:p>
        </w:tc>
      </w:tr>
    </w:tbl>
    <w:p w14:paraId="17D401B0" w14:textId="77777777" w:rsidR="004559B9" w:rsidRDefault="004559B9" w:rsidP="00B83404">
      <w:pPr>
        <w:rPr>
          <w:rFonts w:cs="Arial"/>
          <w:color w:val="000000" w:themeColor="text1"/>
          <w:szCs w:val="16"/>
        </w:rPr>
      </w:pPr>
    </w:p>
    <w:p w14:paraId="20843C52" w14:textId="713325C4" w:rsidR="0097671A" w:rsidRPr="00ED172B" w:rsidRDefault="0097671A" w:rsidP="00B83404">
      <w:pPr>
        <w:rPr>
          <w:color w:val="000000" w:themeColor="text1"/>
        </w:rPr>
      </w:pPr>
      <w:r w:rsidRPr="00ED172B">
        <w:rPr>
          <w:b/>
          <w:color w:val="000000" w:themeColor="text1"/>
        </w:rPr>
        <w:lastRenderedPageBreak/>
        <w:t>Targets</w:t>
      </w:r>
    </w:p>
    <w:tbl>
      <w:tblPr>
        <w:tblW w:w="4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9TARGETS"/>
      </w:tblPr>
      <w:tblGrid>
        <w:gridCol w:w="866"/>
        <w:gridCol w:w="1869"/>
        <w:gridCol w:w="2004"/>
        <w:gridCol w:w="2004"/>
        <w:gridCol w:w="2003"/>
      </w:tblGrid>
      <w:tr w:rsidR="00C843AF" w:rsidRPr="00ED172B" w14:paraId="1D0639C9" w14:textId="3417AA8E" w:rsidTr="00E415ED">
        <w:trPr>
          <w:trHeight w:val="306"/>
        </w:trPr>
        <w:tc>
          <w:tcPr>
            <w:tcW w:w="402" w:type="pct"/>
            <w:tcBorders>
              <w:bottom w:val="single" w:sz="4" w:space="0" w:color="auto"/>
            </w:tcBorders>
            <w:shd w:val="clear" w:color="auto" w:fill="auto"/>
            <w:vAlign w:val="center"/>
          </w:tcPr>
          <w:p w14:paraId="0C0ADAF4" w14:textId="77777777" w:rsidR="00C843AF" w:rsidRPr="00ED172B" w:rsidRDefault="00C843AF" w:rsidP="00C375EA">
            <w:pPr>
              <w:jc w:val="center"/>
              <w:rPr>
                <w:b/>
                <w:color w:val="000000" w:themeColor="text1"/>
              </w:rPr>
            </w:pPr>
            <w:r w:rsidRPr="00ED172B">
              <w:rPr>
                <w:b/>
                <w:color w:val="000000" w:themeColor="text1"/>
              </w:rPr>
              <w:t>FFY</w:t>
            </w:r>
          </w:p>
        </w:tc>
        <w:tc>
          <w:tcPr>
            <w:tcW w:w="1092" w:type="pct"/>
            <w:shd w:val="clear" w:color="auto" w:fill="auto"/>
            <w:vAlign w:val="center"/>
          </w:tcPr>
          <w:p w14:paraId="177E68DB" w14:textId="36EAF4BA" w:rsidR="00C843AF" w:rsidRPr="00ED172B" w:rsidRDefault="00C843AF" w:rsidP="00C375EA">
            <w:pPr>
              <w:jc w:val="center"/>
              <w:rPr>
                <w:b/>
                <w:color w:val="000000" w:themeColor="text1"/>
              </w:rPr>
            </w:pPr>
            <w:r w:rsidRPr="00ED172B">
              <w:rPr>
                <w:b/>
                <w:color w:val="000000" w:themeColor="text1"/>
              </w:rPr>
              <w:t>2022</w:t>
            </w:r>
          </w:p>
        </w:tc>
        <w:tc>
          <w:tcPr>
            <w:tcW w:w="1169" w:type="pct"/>
          </w:tcPr>
          <w:p w14:paraId="0AF6E35B" w14:textId="51849C6B" w:rsidR="00C843AF" w:rsidRPr="00ED172B" w:rsidRDefault="00C843AF" w:rsidP="00C375EA">
            <w:pPr>
              <w:jc w:val="center"/>
              <w:rPr>
                <w:b/>
                <w:color w:val="000000" w:themeColor="text1"/>
              </w:rPr>
            </w:pPr>
            <w:r>
              <w:rPr>
                <w:rFonts w:cs="Arial"/>
                <w:b/>
                <w:color w:val="000000" w:themeColor="text1"/>
                <w:szCs w:val="16"/>
              </w:rPr>
              <w:t>2023</w:t>
            </w:r>
          </w:p>
        </w:tc>
        <w:tc>
          <w:tcPr>
            <w:tcW w:w="1169" w:type="pct"/>
          </w:tcPr>
          <w:p w14:paraId="3C7CBE66" w14:textId="677190A8" w:rsidR="00C843AF" w:rsidRPr="00ED172B" w:rsidRDefault="00C843AF" w:rsidP="00C375EA">
            <w:pPr>
              <w:jc w:val="center"/>
              <w:rPr>
                <w:b/>
                <w:color w:val="000000" w:themeColor="text1"/>
              </w:rPr>
            </w:pPr>
            <w:r w:rsidRPr="005A1B4F">
              <w:rPr>
                <w:rFonts w:cs="Arial"/>
                <w:b/>
                <w:color w:val="000000" w:themeColor="text1"/>
                <w:szCs w:val="16"/>
              </w:rPr>
              <w:t>2024</w:t>
            </w:r>
          </w:p>
        </w:tc>
        <w:tc>
          <w:tcPr>
            <w:tcW w:w="1169" w:type="pct"/>
          </w:tcPr>
          <w:p w14:paraId="18A12C91" w14:textId="0AC76A6E" w:rsidR="00C843AF" w:rsidRPr="00ED172B" w:rsidRDefault="00C843AF" w:rsidP="00C375EA">
            <w:pPr>
              <w:jc w:val="center"/>
              <w:rPr>
                <w:b/>
                <w:color w:val="000000" w:themeColor="text1"/>
              </w:rPr>
            </w:pPr>
            <w:r w:rsidRPr="005A1B4F">
              <w:rPr>
                <w:rFonts w:cs="Arial"/>
                <w:b/>
                <w:color w:val="000000" w:themeColor="text1"/>
                <w:szCs w:val="16"/>
              </w:rPr>
              <w:t>2025</w:t>
            </w:r>
          </w:p>
        </w:tc>
      </w:tr>
      <w:tr w:rsidR="00C843AF" w:rsidRPr="00ED172B" w14:paraId="636215D6" w14:textId="4BA04A28" w:rsidTr="00E415ED">
        <w:trPr>
          <w:trHeight w:val="312"/>
        </w:trPr>
        <w:tc>
          <w:tcPr>
            <w:tcW w:w="402" w:type="pct"/>
            <w:shd w:val="clear" w:color="auto" w:fill="auto"/>
          </w:tcPr>
          <w:p w14:paraId="12E3864D" w14:textId="15C14C13" w:rsidR="00C843AF" w:rsidRPr="00ED172B" w:rsidRDefault="00C843AF" w:rsidP="00D21F29">
            <w:pPr>
              <w:jc w:val="center"/>
              <w:rPr>
                <w:rFonts w:cs="Arial"/>
                <w:color w:val="000000" w:themeColor="text1"/>
                <w:szCs w:val="16"/>
              </w:rPr>
            </w:pPr>
            <w:r w:rsidRPr="00ED172B">
              <w:rPr>
                <w:rFonts w:cs="Arial"/>
                <w:color w:val="000000" w:themeColor="text1"/>
                <w:szCs w:val="16"/>
              </w:rPr>
              <w:t>Target&gt;=</w:t>
            </w:r>
          </w:p>
        </w:tc>
        <w:tc>
          <w:tcPr>
            <w:tcW w:w="1092" w:type="pct"/>
            <w:shd w:val="clear" w:color="auto" w:fill="auto"/>
            <w:vAlign w:val="center"/>
          </w:tcPr>
          <w:p w14:paraId="3DA3E6E1" w14:textId="3EEF45C3" w:rsidR="00C843AF" w:rsidRPr="00ED172B" w:rsidRDefault="00C843AF" w:rsidP="00C375EA">
            <w:pPr>
              <w:jc w:val="center"/>
              <w:rPr>
                <w:color w:val="000000" w:themeColor="text1"/>
              </w:rPr>
            </w:pPr>
          </w:p>
        </w:tc>
        <w:tc>
          <w:tcPr>
            <w:tcW w:w="1169" w:type="pct"/>
          </w:tcPr>
          <w:p w14:paraId="5F49CD7A" w14:textId="5AFE9567" w:rsidR="00C843AF" w:rsidRPr="00ED172B" w:rsidRDefault="00C843AF" w:rsidP="00C375EA">
            <w:pPr>
              <w:jc w:val="center"/>
              <w:rPr>
                <w:color w:val="000000" w:themeColor="text1"/>
              </w:rPr>
            </w:pPr>
          </w:p>
        </w:tc>
        <w:tc>
          <w:tcPr>
            <w:tcW w:w="1169" w:type="pct"/>
          </w:tcPr>
          <w:p w14:paraId="2D5C9F35" w14:textId="4424DF23" w:rsidR="00C843AF" w:rsidRPr="00ED172B" w:rsidRDefault="00C843AF" w:rsidP="00C375EA">
            <w:pPr>
              <w:jc w:val="center"/>
              <w:rPr>
                <w:color w:val="000000" w:themeColor="text1"/>
              </w:rPr>
            </w:pPr>
          </w:p>
        </w:tc>
        <w:tc>
          <w:tcPr>
            <w:tcW w:w="1169" w:type="pct"/>
          </w:tcPr>
          <w:p w14:paraId="55547E95" w14:textId="33DF8D0C" w:rsidR="00C843AF" w:rsidRPr="00ED172B" w:rsidRDefault="00C843AF" w:rsidP="00C375EA">
            <w:pPr>
              <w:jc w:val="center"/>
              <w:rPr>
                <w:color w:val="000000" w:themeColor="text1"/>
              </w:rPr>
            </w:pPr>
          </w:p>
        </w:tc>
      </w:tr>
    </w:tbl>
    <w:p w14:paraId="5253FEE5" w14:textId="77777777" w:rsidR="008A4FF2" w:rsidRPr="00ED172B" w:rsidRDefault="008A4FF2" w:rsidP="00B83404">
      <w:pPr>
        <w:rPr>
          <w:color w:val="000000" w:themeColor="text1"/>
        </w:rPr>
      </w:pPr>
    </w:p>
    <w:p w14:paraId="426F7B13" w14:textId="179FA128" w:rsidR="0097671A" w:rsidRPr="00ED172B" w:rsidRDefault="00F22D09" w:rsidP="00B83404">
      <w:pPr>
        <w:rPr>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9FFYAPRDATA"/>
      </w:tblPr>
      <w:tblGrid>
        <w:gridCol w:w="3144"/>
        <w:gridCol w:w="1802"/>
        <w:gridCol w:w="1439"/>
        <w:gridCol w:w="1349"/>
        <w:gridCol w:w="1172"/>
        <w:gridCol w:w="902"/>
        <w:gridCol w:w="982"/>
      </w:tblGrid>
      <w:tr w:rsidR="00ED172B" w:rsidRPr="00ED172B" w14:paraId="2D68288D" w14:textId="77777777" w:rsidTr="00986B99">
        <w:trPr>
          <w:trHeight w:val="354"/>
          <w:tblHeader/>
        </w:trPr>
        <w:tc>
          <w:tcPr>
            <w:tcW w:w="1457" w:type="pct"/>
            <w:shd w:val="clear" w:color="auto" w:fill="auto"/>
            <w:vAlign w:val="bottom"/>
          </w:tcPr>
          <w:p w14:paraId="49D1712D" w14:textId="77777777" w:rsidR="0097671A" w:rsidRPr="00ED172B" w:rsidRDefault="0097671A" w:rsidP="00CD79C5">
            <w:pPr>
              <w:jc w:val="center"/>
              <w:rPr>
                <w:rFonts w:cs="Arial"/>
                <w:b/>
                <w:color w:val="000000" w:themeColor="text1"/>
                <w:szCs w:val="16"/>
              </w:rPr>
            </w:pPr>
            <w:r w:rsidRPr="00ED172B">
              <w:rPr>
                <w:rFonts w:cs="Arial"/>
                <w:b/>
                <w:color w:val="000000" w:themeColor="text1"/>
                <w:szCs w:val="16"/>
              </w:rPr>
              <w:t>3.1(a) Number resolutions sessions resolved through settlement agreements</w:t>
            </w:r>
          </w:p>
        </w:tc>
        <w:tc>
          <w:tcPr>
            <w:tcW w:w="835" w:type="pct"/>
            <w:shd w:val="clear" w:color="auto" w:fill="auto"/>
            <w:vAlign w:val="bottom"/>
          </w:tcPr>
          <w:p w14:paraId="02EFAD0F" w14:textId="77777777" w:rsidR="0097671A" w:rsidRPr="00ED172B" w:rsidRDefault="0097671A" w:rsidP="00CD79C5">
            <w:pPr>
              <w:jc w:val="center"/>
              <w:rPr>
                <w:rFonts w:cs="Arial"/>
                <w:b/>
                <w:color w:val="000000" w:themeColor="text1"/>
                <w:szCs w:val="16"/>
              </w:rPr>
            </w:pPr>
            <w:r w:rsidRPr="00ED172B">
              <w:rPr>
                <w:rFonts w:cs="Arial"/>
                <w:b/>
                <w:color w:val="000000" w:themeColor="text1"/>
                <w:szCs w:val="16"/>
              </w:rPr>
              <w:t>3.1 Number of resolutions sessions</w:t>
            </w:r>
          </w:p>
        </w:tc>
        <w:tc>
          <w:tcPr>
            <w:tcW w:w="667" w:type="pct"/>
            <w:shd w:val="clear" w:color="auto" w:fill="auto"/>
            <w:vAlign w:val="bottom"/>
          </w:tcPr>
          <w:p w14:paraId="3FCEC688" w14:textId="61F62AA9" w:rsidR="0097671A" w:rsidRPr="00ED172B" w:rsidRDefault="00CD74B5" w:rsidP="00CD79C5">
            <w:pPr>
              <w:jc w:val="center"/>
              <w:rPr>
                <w:rFonts w:cs="Arial"/>
                <w:b/>
                <w:color w:val="000000" w:themeColor="text1"/>
                <w:szCs w:val="16"/>
              </w:rPr>
            </w:pPr>
            <w:r>
              <w:rPr>
                <w:rFonts w:cs="Arial"/>
                <w:b/>
                <w:color w:val="000000" w:themeColor="text1"/>
                <w:szCs w:val="16"/>
              </w:rPr>
              <w:t>FFY 2021 Data</w:t>
            </w:r>
          </w:p>
        </w:tc>
        <w:tc>
          <w:tcPr>
            <w:tcW w:w="625" w:type="pct"/>
            <w:shd w:val="clear" w:color="auto" w:fill="auto"/>
            <w:vAlign w:val="bottom"/>
          </w:tcPr>
          <w:p w14:paraId="7AA31E14" w14:textId="3BCF78E6" w:rsidR="0097671A" w:rsidRPr="00ED172B" w:rsidRDefault="00F22D09" w:rsidP="00CD79C5">
            <w:pPr>
              <w:jc w:val="center"/>
              <w:rPr>
                <w:rFonts w:cs="Arial"/>
                <w:b/>
                <w:color w:val="000000" w:themeColor="text1"/>
                <w:szCs w:val="16"/>
              </w:rPr>
            </w:pPr>
            <w:r>
              <w:rPr>
                <w:rFonts w:cs="Arial"/>
                <w:b/>
                <w:color w:val="000000" w:themeColor="text1"/>
                <w:szCs w:val="16"/>
              </w:rPr>
              <w:t>FFY 2022 Target</w:t>
            </w:r>
          </w:p>
        </w:tc>
        <w:tc>
          <w:tcPr>
            <w:tcW w:w="543" w:type="pct"/>
            <w:shd w:val="clear" w:color="auto" w:fill="auto"/>
            <w:vAlign w:val="bottom"/>
          </w:tcPr>
          <w:p w14:paraId="5EC5F1D4" w14:textId="215DF1CA" w:rsidR="0097671A" w:rsidRPr="00ED172B" w:rsidRDefault="00F22D09" w:rsidP="00CD79C5">
            <w:pPr>
              <w:jc w:val="center"/>
              <w:rPr>
                <w:rFonts w:cs="Arial"/>
                <w:b/>
                <w:color w:val="000000" w:themeColor="text1"/>
                <w:szCs w:val="16"/>
              </w:rPr>
            </w:pPr>
            <w:r>
              <w:rPr>
                <w:rFonts w:cs="Arial"/>
                <w:b/>
                <w:color w:val="000000" w:themeColor="text1"/>
                <w:szCs w:val="16"/>
              </w:rPr>
              <w:t>FFY 2022 Data</w:t>
            </w:r>
          </w:p>
        </w:tc>
        <w:tc>
          <w:tcPr>
            <w:tcW w:w="418" w:type="pct"/>
            <w:shd w:val="clear" w:color="auto" w:fill="auto"/>
            <w:vAlign w:val="bottom"/>
          </w:tcPr>
          <w:p w14:paraId="6ADB48ED" w14:textId="77777777" w:rsidR="0097671A" w:rsidRPr="00ED172B" w:rsidRDefault="0097671A" w:rsidP="00CD79C5">
            <w:pPr>
              <w:jc w:val="center"/>
              <w:rPr>
                <w:rFonts w:cs="Arial"/>
                <w:b/>
                <w:color w:val="000000" w:themeColor="text1"/>
                <w:szCs w:val="16"/>
              </w:rPr>
            </w:pPr>
            <w:r w:rsidRPr="00ED172B">
              <w:rPr>
                <w:rFonts w:cs="Arial"/>
                <w:b/>
                <w:color w:val="000000" w:themeColor="text1"/>
                <w:szCs w:val="16"/>
              </w:rPr>
              <w:t>Status</w:t>
            </w:r>
          </w:p>
        </w:tc>
        <w:tc>
          <w:tcPr>
            <w:tcW w:w="455" w:type="pct"/>
            <w:shd w:val="clear" w:color="auto" w:fill="auto"/>
            <w:vAlign w:val="bottom"/>
          </w:tcPr>
          <w:p w14:paraId="7989900C" w14:textId="77777777" w:rsidR="0097671A" w:rsidRPr="00ED172B" w:rsidRDefault="0097671A" w:rsidP="00CD79C5">
            <w:pPr>
              <w:jc w:val="center"/>
              <w:rPr>
                <w:rFonts w:cs="Arial"/>
                <w:b/>
                <w:color w:val="000000" w:themeColor="text1"/>
                <w:szCs w:val="16"/>
              </w:rPr>
            </w:pPr>
            <w:r w:rsidRPr="00ED172B">
              <w:rPr>
                <w:rFonts w:cs="Arial"/>
                <w:b/>
                <w:color w:val="000000" w:themeColor="text1"/>
                <w:szCs w:val="16"/>
              </w:rPr>
              <w:t>Slippage</w:t>
            </w:r>
          </w:p>
        </w:tc>
      </w:tr>
      <w:tr w:rsidR="00ED172B" w:rsidRPr="00ED172B" w14:paraId="37CD87A3" w14:textId="77777777" w:rsidTr="00986B99">
        <w:trPr>
          <w:trHeight w:val="361"/>
        </w:trPr>
        <w:tc>
          <w:tcPr>
            <w:tcW w:w="1457" w:type="pct"/>
            <w:shd w:val="clear" w:color="auto" w:fill="auto"/>
            <w:vAlign w:val="center"/>
          </w:tcPr>
          <w:p w14:paraId="0FE87D5F" w14:textId="75DA1453" w:rsidR="0097671A" w:rsidRPr="00ED172B" w:rsidRDefault="00860830" w:rsidP="00B83404">
            <w:pPr>
              <w:jc w:val="center"/>
              <w:rPr>
                <w:rFonts w:cs="Arial"/>
                <w:color w:val="000000" w:themeColor="text1"/>
                <w:szCs w:val="16"/>
              </w:rPr>
            </w:pPr>
            <w:r w:rsidRPr="00ED172B">
              <w:rPr>
                <w:rFonts w:cs="Arial"/>
                <w:color w:val="000000" w:themeColor="text1"/>
                <w:szCs w:val="16"/>
              </w:rPr>
              <w:t>0</w:t>
            </w:r>
          </w:p>
        </w:tc>
        <w:tc>
          <w:tcPr>
            <w:tcW w:w="835" w:type="pct"/>
            <w:shd w:val="clear" w:color="auto" w:fill="auto"/>
            <w:vAlign w:val="center"/>
          </w:tcPr>
          <w:p w14:paraId="651E5850" w14:textId="75E294A3" w:rsidR="0097671A" w:rsidRPr="00ED172B" w:rsidRDefault="00860830" w:rsidP="00B83404">
            <w:pPr>
              <w:jc w:val="center"/>
              <w:rPr>
                <w:rFonts w:cs="Arial"/>
                <w:color w:val="000000" w:themeColor="text1"/>
                <w:szCs w:val="16"/>
              </w:rPr>
            </w:pPr>
            <w:r w:rsidRPr="00ED172B">
              <w:rPr>
                <w:rFonts w:cs="Arial"/>
                <w:color w:val="000000" w:themeColor="text1"/>
                <w:szCs w:val="16"/>
              </w:rPr>
              <w:t>0</w:t>
            </w:r>
          </w:p>
        </w:tc>
        <w:tc>
          <w:tcPr>
            <w:tcW w:w="667" w:type="pct"/>
            <w:shd w:val="clear" w:color="auto" w:fill="auto"/>
            <w:vAlign w:val="center"/>
          </w:tcPr>
          <w:p w14:paraId="582ED4BF" w14:textId="14CEB578" w:rsidR="0097671A" w:rsidRPr="00ED172B" w:rsidRDefault="0097671A" w:rsidP="00B83404">
            <w:pPr>
              <w:jc w:val="center"/>
              <w:rPr>
                <w:rFonts w:cs="Arial"/>
                <w:color w:val="000000" w:themeColor="text1"/>
                <w:szCs w:val="16"/>
              </w:rPr>
            </w:pPr>
          </w:p>
        </w:tc>
        <w:tc>
          <w:tcPr>
            <w:tcW w:w="625" w:type="pct"/>
            <w:shd w:val="clear" w:color="auto" w:fill="auto"/>
            <w:vAlign w:val="center"/>
          </w:tcPr>
          <w:p w14:paraId="17A47B81" w14:textId="3C3E3D7E" w:rsidR="0097671A" w:rsidRPr="00ED172B" w:rsidRDefault="0097671A" w:rsidP="00320806">
            <w:pPr>
              <w:jc w:val="center"/>
              <w:rPr>
                <w:color w:val="000000" w:themeColor="text1"/>
              </w:rPr>
            </w:pPr>
          </w:p>
        </w:tc>
        <w:tc>
          <w:tcPr>
            <w:tcW w:w="543" w:type="pct"/>
            <w:shd w:val="clear" w:color="auto" w:fill="auto"/>
            <w:vAlign w:val="center"/>
          </w:tcPr>
          <w:p w14:paraId="1C22CEB8" w14:textId="0945F0AD" w:rsidR="0097671A" w:rsidRPr="00ED172B" w:rsidRDefault="0097671A" w:rsidP="00B83404">
            <w:pPr>
              <w:jc w:val="center"/>
              <w:rPr>
                <w:rFonts w:cs="Arial"/>
                <w:color w:val="000000" w:themeColor="text1"/>
                <w:szCs w:val="16"/>
              </w:rPr>
            </w:pPr>
          </w:p>
        </w:tc>
        <w:tc>
          <w:tcPr>
            <w:tcW w:w="418" w:type="pct"/>
            <w:shd w:val="clear" w:color="auto" w:fill="auto"/>
            <w:vAlign w:val="center"/>
          </w:tcPr>
          <w:p w14:paraId="7E612DED" w14:textId="6246EF50" w:rsidR="0097671A" w:rsidRPr="00ED172B" w:rsidRDefault="00320806" w:rsidP="00320806">
            <w:pPr>
              <w:jc w:val="center"/>
              <w:rPr>
                <w:color w:val="000000" w:themeColor="text1"/>
              </w:rPr>
            </w:pPr>
            <w:r w:rsidRPr="00ED172B">
              <w:rPr>
                <w:color w:val="000000" w:themeColor="text1"/>
              </w:rPr>
              <w:t>N/A</w:t>
            </w:r>
          </w:p>
        </w:tc>
        <w:tc>
          <w:tcPr>
            <w:tcW w:w="455" w:type="pct"/>
            <w:shd w:val="clear" w:color="auto" w:fill="auto"/>
            <w:vAlign w:val="center"/>
          </w:tcPr>
          <w:p w14:paraId="712BC911" w14:textId="5568AC95" w:rsidR="0097671A" w:rsidRPr="00ED172B" w:rsidRDefault="00320806" w:rsidP="00320806">
            <w:pPr>
              <w:jc w:val="center"/>
              <w:rPr>
                <w:color w:val="000000" w:themeColor="text1"/>
              </w:rPr>
            </w:pPr>
            <w:r w:rsidRPr="00ED172B">
              <w:rPr>
                <w:color w:val="000000" w:themeColor="text1"/>
              </w:rPr>
              <w:t>N/A</w:t>
            </w:r>
          </w:p>
        </w:tc>
      </w:tr>
    </w:tbl>
    <w:p w14:paraId="1BDF33AF" w14:textId="77777777" w:rsidR="0097671A" w:rsidRPr="00ED172B" w:rsidRDefault="0097671A" w:rsidP="0097671A">
      <w:pPr>
        <w:rPr>
          <w:rFonts w:cs="Arial"/>
          <w:b/>
          <w:color w:val="000000" w:themeColor="text1"/>
          <w:szCs w:val="16"/>
        </w:rPr>
      </w:pPr>
      <w:r w:rsidRPr="00ED172B">
        <w:rPr>
          <w:rFonts w:cs="Arial"/>
          <w:b/>
          <w:color w:val="000000" w:themeColor="text1"/>
          <w:szCs w:val="16"/>
        </w:rPr>
        <w:t>Provide additional information about this indicator (optional)</w:t>
      </w:r>
    </w:p>
    <w:p w14:paraId="5CCE6F41" w14:textId="66AEFFE6" w:rsidR="0097671A" w:rsidRPr="00ED172B" w:rsidRDefault="0097671A" w:rsidP="0097671A">
      <w:pPr>
        <w:rPr>
          <w:rFonts w:cs="Arial"/>
          <w:color w:val="000000" w:themeColor="text1"/>
          <w:szCs w:val="16"/>
        </w:rPr>
      </w:pPr>
    </w:p>
    <w:p w14:paraId="629C12E3" w14:textId="77777777" w:rsidR="009D5CE3" w:rsidRPr="00ED172B" w:rsidRDefault="009D5CE3" w:rsidP="0097671A">
      <w:pPr>
        <w:rPr>
          <w:rFonts w:cs="Arial"/>
          <w:color w:val="000000" w:themeColor="text1"/>
          <w:szCs w:val="16"/>
        </w:rPr>
      </w:pPr>
    </w:p>
    <w:p w14:paraId="48B843A0" w14:textId="3462B79B" w:rsidR="00DC0682" w:rsidRPr="00A40EE1" w:rsidRDefault="000D0117" w:rsidP="007B0787">
      <w:pPr>
        <w:pStyle w:val="Heading2"/>
      </w:pPr>
      <w:bookmarkStart w:id="54" w:name="_Toc381786825"/>
      <w:bookmarkStart w:id="55" w:name="_Toc382731915"/>
      <w:bookmarkStart w:id="56" w:name="_Toc392159343"/>
      <w:bookmarkEnd w:id="52"/>
      <w:bookmarkEnd w:id="53"/>
      <w:r w:rsidRPr="00A40EE1">
        <w:t xml:space="preserve">9 - </w:t>
      </w:r>
      <w:r w:rsidR="00DC0682" w:rsidRPr="00A40EE1">
        <w:t>Prior FFY Required Actions</w:t>
      </w:r>
    </w:p>
    <w:p w14:paraId="036F63EA" w14:textId="4FE66323" w:rsidR="00720D77" w:rsidRPr="00ED172B" w:rsidRDefault="00320806" w:rsidP="00DC0682">
      <w:pPr>
        <w:rPr>
          <w:rFonts w:cs="Arial"/>
          <w:color w:val="000000" w:themeColor="text1"/>
          <w:szCs w:val="16"/>
        </w:rPr>
      </w:pPr>
      <w:r w:rsidRPr="00ED172B">
        <w:rPr>
          <w:color w:val="000000" w:themeColor="text1"/>
        </w:rPr>
        <w:t>None</w:t>
      </w:r>
    </w:p>
    <w:p w14:paraId="68A4FC9E" w14:textId="6CE4698D" w:rsidR="00DC0682" w:rsidRPr="00A40EE1" w:rsidRDefault="000D0117" w:rsidP="007B0787">
      <w:pPr>
        <w:pStyle w:val="Heading2"/>
      </w:pPr>
      <w:r w:rsidRPr="00A40EE1">
        <w:t xml:space="preserve">9 - </w:t>
      </w:r>
      <w:r w:rsidR="00DC0682" w:rsidRPr="00A40EE1">
        <w:t>OSEP Response</w:t>
      </w:r>
    </w:p>
    <w:p w14:paraId="1C7C181C" w14:textId="49B74C9B" w:rsidR="00DC0682" w:rsidRPr="00ED172B" w:rsidRDefault="00320806" w:rsidP="00320806">
      <w:pPr>
        <w:rPr>
          <w:color w:val="000000" w:themeColor="text1"/>
        </w:rPr>
      </w:pPr>
      <w:r w:rsidRPr="00ED172B">
        <w:rPr>
          <w:color w:val="000000" w:themeColor="text1"/>
        </w:rPr>
        <w:t>The State reported fewer than ten resolution sessions held in FFY 2022. The State is not required to provide targets until any fiscal year in which ten or more resolution sessions were held.</w:t>
      </w:r>
    </w:p>
    <w:p w14:paraId="5FB5B46D" w14:textId="7FD504EC" w:rsidR="00DC0682" w:rsidRPr="00A40EE1" w:rsidRDefault="000D0117" w:rsidP="007B0787">
      <w:pPr>
        <w:pStyle w:val="Heading2"/>
      </w:pPr>
      <w:r w:rsidRPr="00A40EE1">
        <w:t xml:space="preserve">9 - </w:t>
      </w:r>
      <w:r w:rsidR="00DC0682" w:rsidRPr="00A40EE1">
        <w:t>Required Actions</w:t>
      </w:r>
    </w:p>
    <w:p w14:paraId="58D793A9" w14:textId="1894C6D8" w:rsidR="00DC0682" w:rsidRPr="00ED172B" w:rsidRDefault="00DC0682" w:rsidP="00320806">
      <w:pPr>
        <w:rPr>
          <w:color w:val="000000" w:themeColor="text1"/>
        </w:rPr>
      </w:pPr>
    </w:p>
    <w:p w14:paraId="0B4933B5" w14:textId="77777777" w:rsidR="00B87A9B" w:rsidRDefault="00B87A9B">
      <w:pPr>
        <w:spacing w:before="0" w:after="200" w:line="276" w:lineRule="auto"/>
        <w:rPr>
          <w:rFonts w:eastAsiaTheme="majorEastAsia" w:cstheme="majorBidi"/>
          <w:b/>
          <w:bCs/>
          <w:color w:val="000000" w:themeColor="text1"/>
          <w:sz w:val="22"/>
          <w:szCs w:val="28"/>
        </w:rPr>
      </w:pPr>
      <w:bookmarkStart w:id="57" w:name="_Hlk109646703"/>
      <w:r>
        <w:rPr>
          <w:color w:val="000000" w:themeColor="text1"/>
        </w:rPr>
        <w:br w:type="page"/>
      </w:r>
    </w:p>
    <w:p w14:paraId="40C7A32D" w14:textId="4F9B1388" w:rsidR="007F0CEC" w:rsidRPr="00ED172B" w:rsidRDefault="007F0CEC" w:rsidP="0077063D">
      <w:pPr>
        <w:pStyle w:val="Heading1"/>
        <w:rPr>
          <w:color w:val="000000" w:themeColor="text1"/>
        </w:rPr>
      </w:pPr>
      <w:r w:rsidRPr="00ED172B">
        <w:rPr>
          <w:color w:val="000000" w:themeColor="text1"/>
        </w:rPr>
        <w:lastRenderedPageBreak/>
        <w:t>Indicator 10: Mediation</w:t>
      </w:r>
      <w:bookmarkEnd w:id="54"/>
      <w:bookmarkEnd w:id="55"/>
      <w:bookmarkEnd w:id="56"/>
    </w:p>
    <w:p w14:paraId="68E62423" w14:textId="77777777" w:rsidR="00F51610" w:rsidRPr="00ED172B" w:rsidRDefault="00F51610" w:rsidP="00186420">
      <w:pPr>
        <w:rPr>
          <w:color w:val="000000" w:themeColor="text1"/>
          <w:szCs w:val="20"/>
        </w:rPr>
      </w:pPr>
      <w:bookmarkStart w:id="58" w:name="_Toc382731916"/>
      <w:bookmarkStart w:id="59" w:name="_Toc392159344"/>
      <w:r w:rsidRPr="00ED172B">
        <w:rPr>
          <w:b/>
          <w:color w:val="000000" w:themeColor="text1"/>
          <w:sz w:val="20"/>
          <w:szCs w:val="20"/>
        </w:rPr>
        <w:t>Instructions and Measurement</w:t>
      </w:r>
    </w:p>
    <w:p w14:paraId="45CBBD6E" w14:textId="77777777" w:rsidR="007C454A" w:rsidRPr="00ED172B" w:rsidRDefault="007C454A" w:rsidP="00715B7C">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General Supervision</w:t>
      </w:r>
    </w:p>
    <w:p w14:paraId="342EF4C3" w14:textId="77777777" w:rsidR="007C454A" w:rsidRPr="00ED172B" w:rsidRDefault="007C454A" w:rsidP="00715B7C">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mediations held that resulted in mediation agreements.</w:t>
      </w:r>
      <w:r w:rsidR="007243C1" w:rsidRPr="00ED172B">
        <w:rPr>
          <w:color w:val="000000" w:themeColor="text1"/>
          <w:szCs w:val="16"/>
        </w:rPr>
        <w:t xml:space="preserve"> </w:t>
      </w:r>
      <w:r w:rsidRPr="00ED172B">
        <w:rPr>
          <w:color w:val="000000" w:themeColor="text1"/>
          <w:szCs w:val="16"/>
        </w:rPr>
        <w:t>(20 U.S.C. 1416(a)(3)(B) and 1442)</w:t>
      </w:r>
    </w:p>
    <w:p w14:paraId="13B0550C" w14:textId="77777777" w:rsidR="00F90BF8" w:rsidRPr="00ED172B" w:rsidRDefault="00F90BF8">
      <w:pPr>
        <w:rPr>
          <w:b/>
          <w:color w:val="000000" w:themeColor="text1"/>
        </w:rPr>
      </w:pPr>
      <w:r w:rsidRPr="00ED172B">
        <w:rPr>
          <w:b/>
          <w:color w:val="000000" w:themeColor="text1"/>
        </w:rPr>
        <w:t>Data Source</w:t>
      </w:r>
    </w:p>
    <w:p w14:paraId="6EBB7969" w14:textId="77777777" w:rsidR="00F90BF8" w:rsidRPr="00ED172B" w:rsidRDefault="00F90BF8" w:rsidP="00715B7C">
      <w:pPr>
        <w:rPr>
          <w:rFonts w:cs="Arial"/>
          <w:color w:val="000000" w:themeColor="text1"/>
          <w:szCs w:val="16"/>
        </w:rPr>
      </w:pPr>
      <w:r w:rsidRPr="00ED172B">
        <w:rPr>
          <w:color w:val="000000" w:themeColor="text1"/>
          <w:szCs w:val="16"/>
        </w:rPr>
        <w:t>Data collected under section 618 of the IDEA (IDEA Part C Dispute Resolution Survey in the ED</w:t>
      </w:r>
      <w:r w:rsidRPr="00F85A5B">
        <w:rPr>
          <w:i/>
          <w:color w:val="000000" w:themeColor="text1"/>
          <w:szCs w:val="16"/>
        </w:rPr>
        <w:t>Facts</w:t>
      </w:r>
      <w:r w:rsidRPr="00ED172B">
        <w:rPr>
          <w:color w:val="000000" w:themeColor="text1"/>
          <w:szCs w:val="16"/>
        </w:rPr>
        <w:t xml:space="preserve"> Metadata and Process System (E</w:t>
      </w:r>
      <w:r w:rsidRPr="00ED172B">
        <w:rPr>
          <w:i/>
          <w:color w:val="000000" w:themeColor="text1"/>
          <w:szCs w:val="16"/>
        </w:rPr>
        <w:t>MAPS</w:t>
      </w:r>
      <w:r w:rsidRPr="00ED172B">
        <w:rPr>
          <w:color w:val="000000" w:themeColor="text1"/>
          <w:szCs w:val="16"/>
        </w:rPr>
        <w:t>))</w:t>
      </w:r>
      <w:r w:rsidRPr="00ED172B">
        <w:rPr>
          <w:rFonts w:cs="Arial"/>
          <w:color w:val="000000" w:themeColor="text1"/>
          <w:szCs w:val="16"/>
        </w:rPr>
        <w:t>.</w:t>
      </w:r>
    </w:p>
    <w:p w14:paraId="292D98FF" w14:textId="77777777" w:rsidR="00F90BF8" w:rsidRPr="00ED172B" w:rsidRDefault="00F90BF8">
      <w:pPr>
        <w:rPr>
          <w:b/>
          <w:color w:val="000000" w:themeColor="text1"/>
        </w:rPr>
      </w:pPr>
      <w:r w:rsidRPr="00ED172B">
        <w:rPr>
          <w:b/>
          <w:color w:val="000000" w:themeColor="text1"/>
        </w:rPr>
        <w:t>Measurement</w:t>
      </w:r>
    </w:p>
    <w:p w14:paraId="55533F2F" w14:textId="3D8399C8" w:rsidR="00F90BF8" w:rsidRPr="00ED172B" w:rsidRDefault="00F90BF8" w:rsidP="00715B7C">
      <w:pPr>
        <w:rPr>
          <w:color w:val="000000" w:themeColor="text1"/>
          <w:szCs w:val="16"/>
        </w:rPr>
      </w:pPr>
      <w:r w:rsidRPr="00ED172B">
        <w:rPr>
          <w:color w:val="000000" w:themeColor="text1"/>
          <w:szCs w:val="16"/>
        </w:rPr>
        <w:t>Percent = [(2.1(a)(</w:t>
      </w:r>
      <w:proofErr w:type="spellStart"/>
      <w:r w:rsidRPr="00ED172B">
        <w:rPr>
          <w:color w:val="000000" w:themeColor="text1"/>
          <w:szCs w:val="16"/>
        </w:rPr>
        <w:t>i</w:t>
      </w:r>
      <w:proofErr w:type="spellEnd"/>
      <w:r w:rsidRPr="00ED172B">
        <w:rPr>
          <w:color w:val="000000" w:themeColor="text1"/>
          <w:szCs w:val="16"/>
        </w:rPr>
        <w:t>) + 2.1(b)(</w:t>
      </w:r>
      <w:proofErr w:type="spellStart"/>
      <w:r w:rsidRPr="00ED172B">
        <w:rPr>
          <w:color w:val="000000" w:themeColor="text1"/>
          <w:szCs w:val="16"/>
        </w:rPr>
        <w:t>i</w:t>
      </w:r>
      <w:proofErr w:type="spellEnd"/>
      <w:r w:rsidRPr="00ED172B">
        <w:rPr>
          <w:color w:val="000000" w:themeColor="text1"/>
          <w:szCs w:val="16"/>
        </w:rPr>
        <w:t>)) divided by 2.1] times 100.</w:t>
      </w:r>
    </w:p>
    <w:p w14:paraId="75ABD207" w14:textId="77777777" w:rsidR="00F90BF8" w:rsidRPr="00ED172B" w:rsidRDefault="00F90BF8">
      <w:pPr>
        <w:rPr>
          <w:b/>
          <w:color w:val="000000" w:themeColor="text1"/>
        </w:rPr>
      </w:pPr>
      <w:r w:rsidRPr="00ED172B">
        <w:rPr>
          <w:b/>
          <w:color w:val="000000" w:themeColor="text1"/>
        </w:rPr>
        <w:t>Instructions</w:t>
      </w:r>
    </w:p>
    <w:p w14:paraId="5BA53C38" w14:textId="77777777" w:rsidR="00F90BF8" w:rsidRPr="00D21F29" w:rsidRDefault="00F90BF8" w:rsidP="00715B7C">
      <w:pPr>
        <w:rPr>
          <w:i/>
          <w:iCs/>
          <w:color w:val="000000" w:themeColor="text1"/>
          <w:szCs w:val="16"/>
        </w:rPr>
      </w:pPr>
      <w:r w:rsidRPr="00D21F29">
        <w:rPr>
          <w:i/>
          <w:iCs/>
          <w:color w:val="000000" w:themeColor="text1"/>
          <w:szCs w:val="16"/>
        </w:rPr>
        <w:t>Sampling from the State’s 618 data is not allowed.</w:t>
      </w:r>
    </w:p>
    <w:p w14:paraId="70797935" w14:textId="77777777" w:rsidR="00F90BF8" w:rsidRPr="00ED172B" w:rsidRDefault="00F90BF8" w:rsidP="00715B7C">
      <w:pPr>
        <w:rPr>
          <w:color w:val="000000" w:themeColor="text1"/>
          <w:szCs w:val="16"/>
        </w:rPr>
      </w:pPr>
      <w:r w:rsidRPr="00ED172B">
        <w:rPr>
          <w:color w:val="000000" w:themeColor="text1"/>
          <w:szCs w:val="16"/>
        </w:rPr>
        <w:t>Describe the results of the calculations and compare the results to the target.</w:t>
      </w:r>
    </w:p>
    <w:p w14:paraId="50633D33" w14:textId="1EC49035" w:rsidR="00F90BF8" w:rsidRPr="00ED172B" w:rsidRDefault="00F90BF8" w:rsidP="00715B7C">
      <w:pPr>
        <w:rPr>
          <w:color w:val="000000" w:themeColor="text1"/>
          <w:szCs w:val="16"/>
        </w:rPr>
      </w:pPr>
      <w:r w:rsidRPr="00ED172B">
        <w:rPr>
          <w:color w:val="000000" w:themeColor="text1"/>
          <w:szCs w:val="16"/>
        </w:rPr>
        <w:t>States are not required to establish baseline or targets if the number of mediations is less than 10. In a reporting period when the number of mediations reaches 10 or greater, the State must develop baseline and report them in the corresponding SPP/APR.</w:t>
      </w:r>
    </w:p>
    <w:p w14:paraId="6481ACCC" w14:textId="21E12B44" w:rsidR="00F90BF8" w:rsidRPr="00ED172B" w:rsidRDefault="00CD071F" w:rsidP="00715B7C">
      <w:pPr>
        <w:rPr>
          <w:color w:val="000000" w:themeColor="text1"/>
          <w:szCs w:val="16"/>
        </w:rPr>
      </w:pPr>
      <w:r w:rsidRPr="004E39D8">
        <w:rPr>
          <w:szCs w:val="16"/>
        </w:rPr>
        <w:t>The consensus among mediation practitioners is that 75-85% is a reasonable rate of mediations that result in agreements and is consistent with national mediation success rate data</w:t>
      </w:r>
      <w:r>
        <w:rPr>
          <w:color w:val="000000" w:themeColor="text1"/>
          <w:szCs w:val="16"/>
        </w:rPr>
        <w:t xml:space="preserve">. </w:t>
      </w:r>
      <w:r w:rsidR="00F90BF8" w:rsidRPr="00ED172B">
        <w:rPr>
          <w:color w:val="000000" w:themeColor="text1"/>
          <w:szCs w:val="16"/>
        </w:rPr>
        <w:t>States may express their targets in a range (e.g., 75-85%).</w:t>
      </w:r>
    </w:p>
    <w:p w14:paraId="67FB0C0C" w14:textId="77777777" w:rsidR="00F90BF8" w:rsidRPr="00ED172B" w:rsidRDefault="00F90BF8" w:rsidP="00715B7C">
      <w:pPr>
        <w:rPr>
          <w:color w:val="000000" w:themeColor="text1"/>
          <w:szCs w:val="16"/>
        </w:rPr>
      </w:pPr>
      <w:r w:rsidRPr="00ED172B">
        <w:rPr>
          <w:color w:val="000000" w:themeColor="text1"/>
          <w:szCs w:val="16"/>
        </w:rPr>
        <w:t>If the data reported in this indicator are not the same as the State’s 618 data, explain.</w:t>
      </w:r>
    </w:p>
    <w:p w14:paraId="0FB7C586" w14:textId="77777777" w:rsidR="00F90BF8" w:rsidRPr="00ED172B" w:rsidRDefault="00F90BF8" w:rsidP="00715B7C">
      <w:pPr>
        <w:rPr>
          <w:color w:val="000000" w:themeColor="text1"/>
          <w:szCs w:val="16"/>
        </w:rPr>
      </w:pPr>
      <w:r w:rsidRPr="00ED172B">
        <w:rPr>
          <w:color w:val="000000" w:themeColor="text1"/>
          <w:szCs w:val="16"/>
        </w:rPr>
        <w:t>States are not required to report data at the EIS program level.</w:t>
      </w:r>
    </w:p>
    <w:bookmarkEnd w:id="57"/>
    <w:p w14:paraId="287A5341" w14:textId="00F1E014" w:rsidR="00715B7C" w:rsidRPr="00A40EE1" w:rsidRDefault="000D0117" w:rsidP="007B0787">
      <w:pPr>
        <w:pStyle w:val="Heading2"/>
      </w:pPr>
      <w:r w:rsidRPr="00A40EE1">
        <w:t xml:space="preserve">10 - </w:t>
      </w:r>
      <w:r w:rsidR="00715B7C" w:rsidRPr="00A40EE1">
        <w:t>Indicator Data</w:t>
      </w:r>
    </w:p>
    <w:p w14:paraId="016B6B29" w14:textId="77777777" w:rsidR="00631022" w:rsidRPr="00ED172B" w:rsidRDefault="00631022" w:rsidP="00631022">
      <w:pPr>
        <w:rPr>
          <w:rFonts w:cs="Arial"/>
          <w:b/>
          <w:color w:val="000000" w:themeColor="text1"/>
          <w:szCs w:val="16"/>
        </w:rPr>
      </w:pPr>
      <w:r w:rsidRPr="00ED172B">
        <w:rPr>
          <w:rFonts w:cs="Arial"/>
          <w:b/>
          <w:color w:val="000000" w:themeColor="text1"/>
          <w:szCs w:val="16"/>
        </w:rPr>
        <w:t>Select yes to use target ranges</w:t>
      </w:r>
    </w:p>
    <w:p w14:paraId="5A2E0BEC" w14:textId="24075C30" w:rsidR="00631022" w:rsidRPr="00ED172B" w:rsidRDefault="00631022" w:rsidP="00186420">
      <w:pPr>
        <w:rPr>
          <w:color w:val="000000" w:themeColor="text1"/>
        </w:rPr>
      </w:pPr>
      <w:r w:rsidRPr="00ED172B">
        <w:rPr>
          <w:rFonts w:cs="Arial"/>
          <w:color w:val="000000" w:themeColor="text1"/>
          <w:szCs w:val="16"/>
        </w:rPr>
        <w:t>Target Range not used</w:t>
      </w:r>
    </w:p>
    <w:p w14:paraId="69A772DE" w14:textId="75DD0403" w:rsidR="00DC16A4" w:rsidRPr="00ED172B" w:rsidRDefault="00631022">
      <w:pPr>
        <w:rPr>
          <w:b/>
          <w:color w:val="000000" w:themeColor="text1"/>
        </w:rPr>
      </w:pPr>
      <w:r w:rsidRPr="00ED172B">
        <w:rPr>
          <w:b/>
          <w:color w:val="000000" w:themeColor="text1"/>
        </w:rPr>
        <w:t xml:space="preserve">Select yes if the data reported in this indicator are not the same as the State’s data reported under </w:t>
      </w:r>
      <w:r w:rsidR="00EB0B26">
        <w:rPr>
          <w:b/>
          <w:color w:val="000000" w:themeColor="text1"/>
        </w:rPr>
        <w:t>S</w:t>
      </w:r>
      <w:r w:rsidRPr="00ED172B">
        <w:rPr>
          <w:b/>
          <w:color w:val="000000" w:themeColor="text1"/>
        </w:rPr>
        <w:t xml:space="preserve">ection 618 of the IDEA. </w:t>
      </w:r>
    </w:p>
    <w:p w14:paraId="4DEB85CE" w14:textId="14D6670E" w:rsidR="00631022" w:rsidRDefault="00631022">
      <w:pPr>
        <w:rPr>
          <w:color w:val="000000" w:themeColor="text1"/>
        </w:rPr>
      </w:pPr>
      <w:r w:rsidRPr="00ED172B">
        <w:rPr>
          <w:color w:val="000000" w:themeColor="text1"/>
        </w:rPr>
        <w:t>NO</w:t>
      </w:r>
    </w:p>
    <w:p w14:paraId="7DE6E5E4" w14:textId="27BBC5FE" w:rsidR="00715B7C" w:rsidRPr="00ED172B" w:rsidRDefault="00715B7C">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0PREPOPDATA"/>
      </w:tblPr>
      <w:tblGrid>
        <w:gridCol w:w="3278"/>
        <w:gridCol w:w="3377"/>
        <w:gridCol w:w="2536"/>
        <w:gridCol w:w="1599"/>
      </w:tblGrid>
      <w:tr w:rsidR="00ED172B" w:rsidRPr="00ED172B" w14:paraId="6813B365" w14:textId="77777777" w:rsidTr="00986B99">
        <w:trPr>
          <w:trHeight w:val="296"/>
          <w:tblHeader/>
        </w:trPr>
        <w:tc>
          <w:tcPr>
            <w:tcW w:w="1519" w:type="pct"/>
            <w:shd w:val="clear" w:color="auto" w:fill="auto"/>
          </w:tcPr>
          <w:p w14:paraId="1E0E49C0" w14:textId="77777777" w:rsidR="00715B7C" w:rsidRPr="00ED172B" w:rsidRDefault="00715B7C" w:rsidP="00B83404">
            <w:pPr>
              <w:jc w:val="center"/>
              <w:rPr>
                <w:b/>
                <w:color w:val="000000" w:themeColor="text1"/>
              </w:rPr>
            </w:pPr>
            <w:r w:rsidRPr="00ED172B">
              <w:rPr>
                <w:b/>
                <w:color w:val="000000" w:themeColor="text1"/>
              </w:rPr>
              <w:t>Source</w:t>
            </w:r>
          </w:p>
        </w:tc>
        <w:tc>
          <w:tcPr>
            <w:tcW w:w="1565" w:type="pct"/>
            <w:shd w:val="clear" w:color="auto" w:fill="auto"/>
          </w:tcPr>
          <w:p w14:paraId="25301036" w14:textId="77777777" w:rsidR="00715B7C" w:rsidRPr="00ED172B" w:rsidRDefault="00715B7C" w:rsidP="00B83404">
            <w:pPr>
              <w:jc w:val="center"/>
              <w:rPr>
                <w:b/>
                <w:color w:val="000000" w:themeColor="text1"/>
              </w:rPr>
            </w:pPr>
            <w:r w:rsidRPr="00ED172B">
              <w:rPr>
                <w:b/>
                <w:color w:val="000000" w:themeColor="text1"/>
              </w:rPr>
              <w:t>Date</w:t>
            </w:r>
          </w:p>
        </w:tc>
        <w:tc>
          <w:tcPr>
            <w:tcW w:w="1175" w:type="pct"/>
            <w:shd w:val="clear" w:color="auto" w:fill="auto"/>
          </w:tcPr>
          <w:p w14:paraId="3FEAA9B4" w14:textId="77777777" w:rsidR="00715B7C" w:rsidRPr="00ED172B" w:rsidRDefault="00715B7C" w:rsidP="00B83404">
            <w:pPr>
              <w:jc w:val="center"/>
              <w:rPr>
                <w:b/>
                <w:color w:val="000000" w:themeColor="text1"/>
              </w:rPr>
            </w:pPr>
            <w:r w:rsidRPr="00ED172B">
              <w:rPr>
                <w:b/>
                <w:color w:val="000000" w:themeColor="text1"/>
              </w:rPr>
              <w:t>Description</w:t>
            </w:r>
          </w:p>
        </w:tc>
        <w:tc>
          <w:tcPr>
            <w:tcW w:w="741" w:type="pct"/>
            <w:shd w:val="clear" w:color="auto" w:fill="auto"/>
          </w:tcPr>
          <w:p w14:paraId="287D402C" w14:textId="77777777" w:rsidR="00715B7C" w:rsidRPr="00ED172B" w:rsidRDefault="00715B7C" w:rsidP="00B83404">
            <w:pPr>
              <w:jc w:val="center"/>
              <w:rPr>
                <w:b/>
                <w:color w:val="000000" w:themeColor="text1"/>
              </w:rPr>
            </w:pPr>
            <w:r w:rsidRPr="00ED172B">
              <w:rPr>
                <w:b/>
                <w:color w:val="000000" w:themeColor="text1"/>
              </w:rPr>
              <w:t>Data</w:t>
            </w:r>
          </w:p>
        </w:tc>
      </w:tr>
      <w:tr w:rsidR="00ED172B" w:rsidRPr="00ED172B" w14:paraId="0EFEE654" w14:textId="77777777" w:rsidTr="00986B99">
        <w:trPr>
          <w:trHeight w:val="380"/>
        </w:trPr>
        <w:tc>
          <w:tcPr>
            <w:tcW w:w="1519" w:type="pct"/>
            <w:shd w:val="clear" w:color="auto" w:fill="auto"/>
          </w:tcPr>
          <w:p w14:paraId="56D61A9B" w14:textId="496861FF" w:rsidR="00781A26" w:rsidRPr="00ED172B" w:rsidRDefault="0034085B" w:rsidP="00781A26">
            <w:pPr>
              <w:rPr>
                <w:rFonts w:cs="Arial"/>
                <w:color w:val="000000" w:themeColor="text1"/>
                <w:szCs w:val="16"/>
              </w:rPr>
            </w:pPr>
            <w:r w:rsidRPr="00ED172B">
              <w:rPr>
                <w:rFonts w:cs="Arial"/>
                <w:color w:val="000000" w:themeColor="text1"/>
                <w:szCs w:val="16"/>
              </w:rPr>
              <w:t xml:space="preserve">SY 2022-23 EMAPS IDEA Part </w:t>
            </w:r>
            <w:proofErr w:type="gramStart"/>
            <w:r w:rsidRPr="00ED172B">
              <w:rPr>
                <w:rFonts w:cs="Arial"/>
                <w:color w:val="000000" w:themeColor="text1"/>
                <w:szCs w:val="16"/>
              </w:rPr>
              <w:t>C  Dispute</w:t>
            </w:r>
            <w:proofErr w:type="gramEnd"/>
            <w:r w:rsidRPr="00ED172B">
              <w:rPr>
                <w:rFonts w:cs="Arial"/>
                <w:color w:val="000000" w:themeColor="text1"/>
                <w:szCs w:val="16"/>
              </w:rPr>
              <w:t xml:space="preserve"> Resolution Survey; Section B: Mediation Requests</w:t>
            </w:r>
          </w:p>
        </w:tc>
        <w:tc>
          <w:tcPr>
            <w:tcW w:w="1565" w:type="pct"/>
            <w:shd w:val="clear" w:color="auto" w:fill="auto"/>
          </w:tcPr>
          <w:p w14:paraId="6EC7A23E" w14:textId="5D430E66" w:rsidR="00781A26" w:rsidRPr="00ED172B" w:rsidRDefault="0034085B" w:rsidP="00781A26">
            <w:pPr>
              <w:jc w:val="center"/>
              <w:rPr>
                <w:rFonts w:cs="Arial"/>
                <w:color w:val="000000" w:themeColor="text1"/>
                <w:szCs w:val="16"/>
              </w:rPr>
            </w:pPr>
            <w:r w:rsidRPr="00ED172B">
              <w:rPr>
                <w:rFonts w:cs="Arial"/>
                <w:color w:val="000000" w:themeColor="text1"/>
                <w:szCs w:val="16"/>
              </w:rPr>
              <w:t>11/15/2023</w:t>
            </w:r>
          </w:p>
        </w:tc>
        <w:tc>
          <w:tcPr>
            <w:tcW w:w="1175" w:type="pct"/>
            <w:shd w:val="clear" w:color="auto" w:fill="auto"/>
          </w:tcPr>
          <w:p w14:paraId="7BA820FA" w14:textId="77777777" w:rsidR="00781A26" w:rsidRPr="00ED172B" w:rsidRDefault="00781A26" w:rsidP="00781A26">
            <w:pPr>
              <w:rPr>
                <w:rFonts w:cs="Arial"/>
                <w:color w:val="000000" w:themeColor="text1"/>
                <w:szCs w:val="16"/>
              </w:rPr>
            </w:pPr>
            <w:r w:rsidRPr="00ED172B">
              <w:rPr>
                <w:rFonts w:cs="Arial"/>
                <w:color w:val="000000" w:themeColor="text1"/>
                <w:szCs w:val="16"/>
              </w:rPr>
              <w:t>2.1 Mediations held</w:t>
            </w:r>
          </w:p>
        </w:tc>
        <w:tc>
          <w:tcPr>
            <w:tcW w:w="741" w:type="pct"/>
            <w:shd w:val="clear" w:color="auto" w:fill="auto"/>
          </w:tcPr>
          <w:p w14:paraId="7C060BC8" w14:textId="1D89C439" w:rsidR="00781A26" w:rsidRPr="00ED172B" w:rsidRDefault="00027F39" w:rsidP="00ED172B">
            <w:pPr>
              <w:jc w:val="center"/>
              <w:rPr>
                <w:color w:val="000000" w:themeColor="text1"/>
              </w:rPr>
            </w:pPr>
            <w:r w:rsidRPr="00ED172B">
              <w:rPr>
                <w:color w:val="000000" w:themeColor="text1"/>
              </w:rPr>
              <w:t>0</w:t>
            </w:r>
          </w:p>
        </w:tc>
      </w:tr>
      <w:tr w:rsidR="00ED172B" w:rsidRPr="00ED172B" w14:paraId="2A1CAAF1" w14:textId="77777777" w:rsidTr="00986B99">
        <w:trPr>
          <w:trHeight w:val="380"/>
        </w:trPr>
        <w:tc>
          <w:tcPr>
            <w:tcW w:w="1519" w:type="pct"/>
            <w:shd w:val="clear" w:color="auto" w:fill="auto"/>
          </w:tcPr>
          <w:p w14:paraId="63D6E2EE" w14:textId="527A4C4E" w:rsidR="00781A26" w:rsidRPr="00ED172B" w:rsidRDefault="0034085B" w:rsidP="00781A26">
            <w:pPr>
              <w:rPr>
                <w:rFonts w:cs="Arial"/>
                <w:color w:val="000000" w:themeColor="text1"/>
                <w:szCs w:val="16"/>
              </w:rPr>
            </w:pPr>
            <w:r w:rsidRPr="00ED172B">
              <w:rPr>
                <w:rFonts w:cs="Arial"/>
                <w:color w:val="000000" w:themeColor="text1"/>
                <w:szCs w:val="16"/>
              </w:rPr>
              <w:t xml:space="preserve">SY 2022-23 EMAPS IDEA Part </w:t>
            </w:r>
            <w:proofErr w:type="gramStart"/>
            <w:r w:rsidRPr="00ED172B">
              <w:rPr>
                <w:rFonts w:cs="Arial"/>
                <w:color w:val="000000" w:themeColor="text1"/>
                <w:szCs w:val="16"/>
              </w:rPr>
              <w:t>C  Dispute</w:t>
            </w:r>
            <w:proofErr w:type="gramEnd"/>
            <w:r w:rsidRPr="00ED172B">
              <w:rPr>
                <w:rFonts w:cs="Arial"/>
                <w:color w:val="000000" w:themeColor="text1"/>
                <w:szCs w:val="16"/>
              </w:rPr>
              <w:t xml:space="preserve"> Resolution Survey; Section B: Mediation Requests</w:t>
            </w:r>
          </w:p>
        </w:tc>
        <w:tc>
          <w:tcPr>
            <w:tcW w:w="1565" w:type="pct"/>
            <w:shd w:val="clear" w:color="auto" w:fill="auto"/>
          </w:tcPr>
          <w:p w14:paraId="45CCAA10" w14:textId="238E9547" w:rsidR="00781A26" w:rsidRPr="00ED172B" w:rsidRDefault="0034085B" w:rsidP="00781A26">
            <w:pPr>
              <w:jc w:val="center"/>
              <w:rPr>
                <w:rFonts w:cs="Arial"/>
                <w:color w:val="000000" w:themeColor="text1"/>
                <w:szCs w:val="16"/>
              </w:rPr>
            </w:pPr>
            <w:r w:rsidRPr="00ED172B">
              <w:rPr>
                <w:rFonts w:cs="Arial"/>
                <w:color w:val="000000" w:themeColor="text1"/>
                <w:szCs w:val="16"/>
              </w:rPr>
              <w:t>11/15/2023</w:t>
            </w:r>
          </w:p>
        </w:tc>
        <w:tc>
          <w:tcPr>
            <w:tcW w:w="1175" w:type="pct"/>
            <w:shd w:val="clear" w:color="auto" w:fill="auto"/>
          </w:tcPr>
          <w:p w14:paraId="57A50D57" w14:textId="77777777" w:rsidR="00781A26" w:rsidRPr="00ED172B" w:rsidRDefault="00781A26" w:rsidP="00781A26">
            <w:pPr>
              <w:rPr>
                <w:rFonts w:cs="Arial"/>
                <w:color w:val="000000" w:themeColor="text1"/>
                <w:szCs w:val="16"/>
              </w:rPr>
            </w:pPr>
            <w:r w:rsidRPr="00ED172B">
              <w:rPr>
                <w:rFonts w:cs="Arial"/>
                <w:color w:val="000000" w:themeColor="text1"/>
                <w:szCs w:val="16"/>
              </w:rPr>
              <w:t>2.1.a.i Mediations agreements related to due process complaints</w:t>
            </w:r>
          </w:p>
        </w:tc>
        <w:tc>
          <w:tcPr>
            <w:tcW w:w="741" w:type="pct"/>
            <w:shd w:val="clear" w:color="auto" w:fill="auto"/>
          </w:tcPr>
          <w:p w14:paraId="71FDA12A" w14:textId="40679280" w:rsidR="00781A26" w:rsidRPr="00ED172B" w:rsidRDefault="00027F39" w:rsidP="00ED172B">
            <w:pPr>
              <w:jc w:val="center"/>
              <w:rPr>
                <w:color w:val="000000" w:themeColor="text1"/>
              </w:rPr>
            </w:pPr>
            <w:r w:rsidRPr="00ED172B">
              <w:rPr>
                <w:color w:val="000000" w:themeColor="text1"/>
              </w:rPr>
              <w:t>0</w:t>
            </w:r>
          </w:p>
        </w:tc>
      </w:tr>
      <w:tr w:rsidR="00ED172B" w:rsidRPr="00ED172B" w14:paraId="4CAA107A" w14:textId="77777777" w:rsidTr="00986B99">
        <w:trPr>
          <w:trHeight w:val="380"/>
        </w:trPr>
        <w:tc>
          <w:tcPr>
            <w:tcW w:w="1519" w:type="pct"/>
            <w:shd w:val="clear" w:color="auto" w:fill="auto"/>
          </w:tcPr>
          <w:p w14:paraId="28D69B92" w14:textId="300183BC" w:rsidR="00781A26" w:rsidRPr="00ED172B" w:rsidRDefault="0034085B" w:rsidP="00781A26">
            <w:pPr>
              <w:rPr>
                <w:rFonts w:cs="Arial"/>
                <w:color w:val="000000" w:themeColor="text1"/>
                <w:szCs w:val="16"/>
              </w:rPr>
            </w:pPr>
            <w:r w:rsidRPr="00ED172B">
              <w:rPr>
                <w:rFonts w:cs="Arial"/>
                <w:color w:val="000000" w:themeColor="text1"/>
                <w:szCs w:val="16"/>
              </w:rPr>
              <w:t xml:space="preserve">SY 2022-23 EMAPS IDEA Part </w:t>
            </w:r>
            <w:proofErr w:type="gramStart"/>
            <w:r w:rsidRPr="00ED172B">
              <w:rPr>
                <w:rFonts w:cs="Arial"/>
                <w:color w:val="000000" w:themeColor="text1"/>
                <w:szCs w:val="16"/>
              </w:rPr>
              <w:t>C  Dispute</w:t>
            </w:r>
            <w:proofErr w:type="gramEnd"/>
            <w:r w:rsidRPr="00ED172B">
              <w:rPr>
                <w:rFonts w:cs="Arial"/>
                <w:color w:val="000000" w:themeColor="text1"/>
                <w:szCs w:val="16"/>
              </w:rPr>
              <w:t xml:space="preserve"> Resolution Survey; Section B: Mediation Requests</w:t>
            </w:r>
          </w:p>
        </w:tc>
        <w:tc>
          <w:tcPr>
            <w:tcW w:w="1565" w:type="pct"/>
            <w:shd w:val="clear" w:color="auto" w:fill="auto"/>
          </w:tcPr>
          <w:p w14:paraId="4C1AF679" w14:textId="41A56BF9" w:rsidR="00781A26" w:rsidRPr="00ED172B" w:rsidRDefault="0034085B" w:rsidP="00781A26">
            <w:pPr>
              <w:jc w:val="center"/>
              <w:rPr>
                <w:rFonts w:cs="Arial"/>
                <w:color w:val="000000" w:themeColor="text1"/>
                <w:szCs w:val="16"/>
              </w:rPr>
            </w:pPr>
            <w:r w:rsidRPr="00ED172B">
              <w:rPr>
                <w:rFonts w:cs="Arial"/>
                <w:color w:val="000000" w:themeColor="text1"/>
                <w:szCs w:val="16"/>
              </w:rPr>
              <w:t>11/15/2023</w:t>
            </w:r>
          </w:p>
        </w:tc>
        <w:tc>
          <w:tcPr>
            <w:tcW w:w="1175" w:type="pct"/>
            <w:shd w:val="clear" w:color="auto" w:fill="auto"/>
          </w:tcPr>
          <w:p w14:paraId="416E4FE8" w14:textId="77777777" w:rsidR="00781A26" w:rsidRPr="00ED172B" w:rsidRDefault="00781A26" w:rsidP="00781A26">
            <w:pPr>
              <w:rPr>
                <w:rFonts w:cs="Arial"/>
                <w:color w:val="000000" w:themeColor="text1"/>
                <w:szCs w:val="16"/>
              </w:rPr>
            </w:pPr>
            <w:r w:rsidRPr="00ED172B">
              <w:rPr>
                <w:rFonts w:cs="Arial"/>
                <w:color w:val="000000" w:themeColor="text1"/>
                <w:szCs w:val="16"/>
              </w:rPr>
              <w:t>2.1.b.i Mediations agreements not related to due process complaints</w:t>
            </w:r>
          </w:p>
        </w:tc>
        <w:tc>
          <w:tcPr>
            <w:tcW w:w="741" w:type="pct"/>
            <w:shd w:val="clear" w:color="auto" w:fill="auto"/>
          </w:tcPr>
          <w:p w14:paraId="3FFC49DA" w14:textId="2AACC070" w:rsidR="00781A26" w:rsidRPr="00ED172B" w:rsidRDefault="00027F39" w:rsidP="00ED172B">
            <w:pPr>
              <w:jc w:val="center"/>
              <w:rPr>
                <w:color w:val="000000" w:themeColor="text1"/>
              </w:rPr>
            </w:pPr>
            <w:r w:rsidRPr="00ED172B">
              <w:rPr>
                <w:color w:val="000000" w:themeColor="text1"/>
              </w:rPr>
              <w:t>0</w:t>
            </w:r>
          </w:p>
        </w:tc>
      </w:tr>
    </w:tbl>
    <w:p w14:paraId="3E6B3744" w14:textId="23AB342D" w:rsidR="00822D9C" w:rsidRDefault="00287B52" w:rsidP="00287B52">
      <w:pPr>
        <w:pStyle w:val="Bold"/>
        <w:rPr>
          <w:color w:val="000000" w:themeColor="text1"/>
        </w:rPr>
      </w:pPr>
      <w:r w:rsidRPr="00ED172B">
        <w:rPr>
          <w:color w:val="000000" w:themeColor="text1"/>
        </w:rPr>
        <w:t>Targets: Description of Stakeholder Input</w:t>
      </w:r>
    </w:p>
    <w:p w14:paraId="29B47A7E" w14:textId="7900ED41" w:rsidR="00E44DFC" w:rsidRDefault="00CF03E0" w:rsidP="00ED172B">
      <w:pPr>
        <w:rPr>
          <w:color w:val="000000" w:themeColor="text1"/>
        </w:rPr>
      </w:pPr>
      <w:r w:rsidRPr="00ED172B">
        <w:rPr>
          <w:color w:val="000000" w:themeColor="text1"/>
        </w:rPr>
        <w:t xml:space="preserve">The State engaged in broad stakeholder input on new targets established for FFY 2020-2025, reported in the 2021 submission. The State did not revise targets during this reporting period. Ongoing engagement included regular reports from the director and Agency staff to the State Interagency Coordinating Council, Regional Inclusive Services, and State Advisory Council on Special Education. Targeted engagement on personnel standards, the state systemic improvement plan and activities, strategies for improving access to inclusive early learning environments for children with disabilities, and updated guidance on discipline occurred throughout the reporting period. This included presentations during conferences, meetings, and advisory groups, updates to the Agency web pages, leveraging newsletters for Oregon Early Childhood Inclusion, webinars, and memorandums to district leadership and superintendents.  </w:t>
      </w:r>
      <w:r w:rsidRPr="00ED172B">
        <w:rPr>
          <w:color w:val="000000" w:themeColor="text1"/>
        </w:rPr>
        <w:br/>
        <w:t xml:space="preserve">The State engaged with various stakeholder groups to gather feedback on the revision of the EI/ECSE personnel standards. Multiple stakeholder engagement sessions were held with EI/ECSE practitioners, community partners, and families. The State partnered with a parent information and training center, Family and Community Together (FACT) Oregon, to host a feedback session with families of children receiving EI/ECSE services. Materials were made available in Spanish and Spanish translation was provided at the family feedback session.  </w:t>
      </w:r>
    </w:p>
    <w:p w14:paraId="68E60F77" w14:textId="50BC5DCB" w:rsidR="00287B52" w:rsidRPr="00ED172B" w:rsidRDefault="00287B52" w:rsidP="00287B52">
      <w:pPr>
        <w:pStyle w:val="Bold"/>
        <w:rPr>
          <w:b w:val="0"/>
          <w:color w:val="000000" w:themeColor="text1"/>
        </w:rPr>
      </w:pPr>
    </w:p>
    <w:p w14:paraId="18583600" w14:textId="757B2E4C" w:rsidR="00715B7C" w:rsidRDefault="00423A30" w:rsidP="00287B52">
      <w:pPr>
        <w:rPr>
          <w:rFonts w:cs="Arial"/>
          <w:b/>
          <w:color w:val="000000" w:themeColor="text1"/>
          <w:szCs w:val="16"/>
        </w:rPr>
      </w:pPr>
      <w:r w:rsidRPr="00ED172B">
        <w:rPr>
          <w:rFonts w:cs="Arial"/>
          <w:b/>
          <w:color w:val="000000" w:themeColor="text1"/>
          <w:szCs w:val="16"/>
        </w:rPr>
        <w:t>Historical Data</w:t>
      </w:r>
    </w:p>
    <w:p w14:paraId="11AC067C" w14:textId="4481D23D" w:rsidR="000378F3" w:rsidRDefault="000378F3" w:rsidP="00287B52">
      <w:pPr>
        <w:rPr>
          <w:rFonts w:cs="Arial"/>
          <w:b/>
          <w:color w:val="000000" w:themeColor="text1"/>
          <w:szCs w:val="16"/>
        </w:rPr>
      </w:pPr>
    </w:p>
    <w:tbl>
      <w:tblPr>
        <w:tblW w:w="1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0BASELINEDATA"/>
      </w:tblPr>
      <w:tblGrid>
        <w:gridCol w:w="2811"/>
        <w:gridCol w:w="875"/>
      </w:tblGrid>
      <w:tr w:rsidR="000378F3" w:rsidRPr="00ED172B" w14:paraId="799A45A9" w14:textId="77777777" w:rsidTr="00A40EE1">
        <w:trPr>
          <w:trHeight w:val="350"/>
          <w:tblHeader/>
        </w:trPr>
        <w:tc>
          <w:tcPr>
            <w:tcW w:w="4389" w:type="pct"/>
            <w:tcBorders>
              <w:bottom w:val="single" w:sz="4" w:space="0" w:color="auto"/>
            </w:tcBorders>
            <w:shd w:val="clear" w:color="auto" w:fill="auto"/>
            <w:vAlign w:val="center"/>
          </w:tcPr>
          <w:p w14:paraId="0798E3F3" w14:textId="77777777" w:rsidR="000378F3" w:rsidRPr="001071FD" w:rsidRDefault="000378F3" w:rsidP="00C15786">
            <w:pPr>
              <w:jc w:val="center"/>
              <w:rPr>
                <w:b/>
                <w:bCs/>
                <w:color w:val="000000" w:themeColor="text1"/>
              </w:rPr>
            </w:pPr>
            <w:r>
              <w:rPr>
                <w:b/>
                <w:bCs/>
                <w:color w:val="000000" w:themeColor="text1"/>
              </w:rPr>
              <w:t>Baseline Year</w:t>
            </w:r>
          </w:p>
        </w:tc>
        <w:tc>
          <w:tcPr>
            <w:tcW w:w="611" w:type="pct"/>
            <w:shd w:val="clear" w:color="auto" w:fill="auto"/>
            <w:vAlign w:val="center"/>
          </w:tcPr>
          <w:p w14:paraId="0F6D9282" w14:textId="77777777" w:rsidR="000378F3" w:rsidRPr="001071FD" w:rsidRDefault="000378F3" w:rsidP="00C15786">
            <w:pPr>
              <w:jc w:val="center"/>
              <w:rPr>
                <w:b/>
                <w:bCs/>
                <w:color w:val="000000" w:themeColor="text1"/>
              </w:rPr>
            </w:pPr>
            <w:r w:rsidRPr="001071FD">
              <w:rPr>
                <w:b/>
                <w:bCs/>
                <w:color w:val="000000" w:themeColor="text1"/>
              </w:rPr>
              <w:t>Baseline Data</w:t>
            </w:r>
          </w:p>
        </w:tc>
      </w:tr>
      <w:tr w:rsidR="000378F3" w:rsidRPr="00ED172B" w14:paraId="196E0A11" w14:textId="77777777" w:rsidTr="00A40EE1">
        <w:trPr>
          <w:trHeight w:val="350"/>
        </w:trPr>
        <w:tc>
          <w:tcPr>
            <w:tcW w:w="4389" w:type="pct"/>
            <w:tcBorders>
              <w:bottom w:val="single" w:sz="4" w:space="0" w:color="auto"/>
            </w:tcBorders>
            <w:shd w:val="clear" w:color="auto" w:fill="auto"/>
          </w:tcPr>
          <w:p w14:paraId="2E6F6CB1" w14:textId="3D236666" w:rsidR="000378F3" w:rsidRPr="00ED172B" w:rsidRDefault="000378F3" w:rsidP="000378F3">
            <w:pPr>
              <w:jc w:val="center"/>
              <w:rPr>
                <w:b/>
                <w:color w:val="000000" w:themeColor="text1"/>
              </w:rPr>
            </w:pPr>
            <w:r w:rsidRPr="00ED172B">
              <w:rPr>
                <w:color w:val="000000" w:themeColor="text1"/>
              </w:rPr>
              <w:t>2005</w:t>
            </w:r>
          </w:p>
        </w:tc>
        <w:tc>
          <w:tcPr>
            <w:tcW w:w="611" w:type="pct"/>
            <w:shd w:val="clear" w:color="auto" w:fill="auto"/>
            <w:vAlign w:val="center"/>
          </w:tcPr>
          <w:p w14:paraId="03A9855E" w14:textId="5D4201BC" w:rsidR="000378F3" w:rsidRPr="00ED172B" w:rsidRDefault="000378F3" w:rsidP="000378F3">
            <w:pPr>
              <w:jc w:val="center"/>
              <w:rPr>
                <w:color w:val="000000" w:themeColor="text1"/>
              </w:rPr>
            </w:pPr>
          </w:p>
        </w:tc>
      </w:tr>
    </w:tbl>
    <w:p w14:paraId="436B5496" w14:textId="77777777" w:rsidR="000378F3" w:rsidRPr="00ED172B" w:rsidRDefault="000378F3" w:rsidP="00287B52">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0HISTDATA"/>
      </w:tblPr>
      <w:tblGrid>
        <w:gridCol w:w="1345"/>
        <w:gridCol w:w="1889"/>
        <w:gridCol w:w="1889"/>
        <w:gridCol w:w="1889"/>
        <w:gridCol w:w="1889"/>
        <w:gridCol w:w="1889"/>
      </w:tblGrid>
      <w:tr w:rsidR="00ED172B" w:rsidRPr="00ED172B" w14:paraId="15E0F4DB" w14:textId="77777777" w:rsidTr="00986B99">
        <w:trPr>
          <w:trHeight w:val="350"/>
        </w:trPr>
        <w:tc>
          <w:tcPr>
            <w:tcW w:w="623" w:type="pct"/>
            <w:tcBorders>
              <w:bottom w:val="single" w:sz="4" w:space="0" w:color="auto"/>
            </w:tcBorders>
            <w:shd w:val="clear" w:color="auto" w:fill="auto"/>
          </w:tcPr>
          <w:p w14:paraId="3A753115" w14:textId="77777777" w:rsidR="00965010" w:rsidRPr="00ED172B" w:rsidRDefault="00965010" w:rsidP="00186420">
            <w:pPr>
              <w:jc w:val="center"/>
              <w:rPr>
                <w:rFonts w:cs="Arial"/>
                <w:b/>
                <w:color w:val="000000" w:themeColor="text1"/>
                <w:szCs w:val="16"/>
              </w:rPr>
            </w:pPr>
            <w:r w:rsidRPr="00ED172B">
              <w:rPr>
                <w:rFonts w:cs="Arial"/>
                <w:b/>
                <w:color w:val="000000" w:themeColor="text1"/>
                <w:szCs w:val="16"/>
              </w:rPr>
              <w:t>FFY</w:t>
            </w:r>
          </w:p>
        </w:tc>
        <w:tc>
          <w:tcPr>
            <w:tcW w:w="875" w:type="pct"/>
            <w:shd w:val="clear" w:color="auto" w:fill="auto"/>
          </w:tcPr>
          <w:p w14:paraId="3CE8C174" w14:textId="54215B00" w:rsidR="00965010" w:rsidRPr="00ED172B" w:rsidRDefault="002163F2" w:rsidP="00CD79C5">
            <w:pPr>
              <w:jc w:val="center"/>
              <w:rPr>
                <w:rFonts w:cs="Arial"/>
                <w:b/>
                <w:color w:val="000000" w:themeColor="text1"/>
                <w:szCs w:val="16"/>
              </w:rPr>
            </w:pPr>
            <w:r w:rsidRPr="00ED172B">
              <w:rPr>
                <w:rFonts w:cs="Arial"/>
                <w:b/>
                <w:color w:val="000000" w:themeColor="text1"/>
                <w:szCs w:val="16"/>
              </w:rPr>
              <w:t>2017</w:t>
            </w:r>
          </w:p>
        </w:tc>
        <w:tc>
          <w:tcPr>
            <w:tcW w:w="875" w:type="pct"/>
            <w:shd w:val="clear" w:color="auto" w:fill="auto"/>
          </w:tcPr>
          <w:p w14:paraId="48525C47" w14:textId="74E82FEF" w:rsidR="00965010" w:rsidRPr="00ED172B" w:rsidRDefault="002163F2" w:rsidP="00CD79C5">
            <w:pPr>
              <w:jc w:val="center"/>
              <w:rPr>
                <w:rFonts w:cs="Arial"/>
                <w:b/>
                <w:color w:val="000000" w:themeColor="text1"/>
                <w:szCs w:val="16"/>
              </w:rPr>
            </w:pPr>
            <w:r w:rsidRPr="00ED172B">
              <w:rPr>
                <w:rFonts w:cs="Arial"/>
                <w:b/>
                <w:color w:val="000000" w:themeColor="text1"/>
                <w:szCs w:val="16"/>
              </w:rPr>
              <w:t>2018</w:t>
            </w:r>
          </w:p>
        </w:tc>
        <w:tc>
          <w:tcPr>
            <w:tcW w:w="875" w:type="pct"/>
            <w:shd w:val="clear" w:color="auto" w:fill="auto"/>
            <w:vAlign w:val="center"/>
          </w:tcPr>
          <w:p w14:paraId="1AAAE12B" w14:textId="25CD9A53" w:rsidR="00965010" w:rsidRPr="00ED172B" w:rsidRDefault="002163F2" w:rsidP="00CD79C5">
            <w:pPr>
              <w:jc w:val="center"/>
              <w:rPr>
                <w:rFonts w:cs="Arial"/>
                <w:b/>
                <w:color w:val="000000" w:themeColor="text1"/>
                <w:szCs w:val="16"/>
              </w:rPr>
            </w:pPr>
            <w:r w:rsidRPr="00ED172B">
              <w:rPr>
                <w:rFonts w:cs="Arial"/>
                <w:b/>
                <w:color w:val="000000" w:themeColor="text1"/>
                <w:szCs w:val="16"/>
              </w:rPr>
              <w:t>2019</w:t>
            </w:r>
          </w:p>
        </w:tc>
        <w:tc>
          <w:tcPr>
            <w:tcW w:w="875" w:type="pct"/>
            <w:shd w:val="clear" w:color="auto" w:fill="auto"/>
            <w:vAlign w:val="center"/>
          </w:tcPr>
          <w:p w14:paraId="288CEC24" w14:textId="050C85BF" w:rsidR="00965010" w:rsidRPr="00ED172B" w:rsidRDefault="002163F2" w:rsidP="00CD79C5">
            <w:pPr>
              <w:jc w:val="center"/>
              <w:rPr>
                <w:rFonts w:cs="Arial"/>
                <w:b/>
                <w:color w:val="000000" w:themeColor="text1"/>
                <w:szCs w:val="16"/>
              </w:rPr>
            </w:pPr>
            <w:r w:rsidRPr="00ED172B">
              <w:rPr>
                <w:rFonts w:cs="Arial"/>
                <w:b/>
                <w:color w:val="000000" w:themeColor="text1"/>
                <w:szCs w:val="16"/>
              </w:rPr>
              <w:t>2020</w:t>
            </w:r>
          </w:p>
        </w:tc>
        <w:tc>
          <w:tcPr>
            <w:tcW w:w="875" w:type="pct"/>
            <w:shd w:val="clear" w:color="auto" w:fill="auto"/>
            <w:vAlign w:val="center"/>
          </w:tcPr>
          <w:p w14:paraId="414BD96D" w14:textId="6D5AFB86" w:rsidR="00965010" w:rsidRPr="00ED172B" w:rsidRDefault="006D43D3" w:rsidP="00CD79C5">
            <w:pPr>
              <w:jc w:val="center"/>
              <w:rPr>
                <w:rFonts w:cs="Arial"/>
                <w:b/>
                <w:color w:val="000000" w:themeColor="text1"/>
                <w:szCs w:val="16"/>
              </w:rPr>
            </w:pPr>
            <w:r w:rsidRPr="00ED172B">
              <w:rPr>
                <w:rFonts w:cs="Arial"/>
                <w:b/>
                <w:color w:val="000000" w:themeColor="text1"/>
                <w:szCs w:val="16"/>
              </w:rPr>
              <w:t>2021</w:t>
            </w:r>
          </w:p>
        </w:tc>
      </w:tr>
      <w:tr w:rsidR="00ED172B" w:rsidRPr="00ED172B" w14:paraId="47A8721B" w14:textId="77777777" w:rsidTr="00986B99">
        <w:trPr>
          <w:trHeight w:val="357"/>
        </w:trPr>
        <w:tc>
          <w:tcPr>
            <w:tcW w:w="623" w:type="pct"/>
            <w:shd w:val="clear" w:color="auto" w:fill="auto"/>
          </w:tcPr>
          <w:p w14:paraId="721E2942" w14:textId="5670436E" w:rsidR="00965010" w:rsidRPr="00ED172B" w:rsidRDefault="00965010" w:rsidP="00D21F29">
            <w:pPr>
              <w:jc w:val="center"/>
              <w:rPr>
                <w:rFonts w:cs="Arial"/>
                <w:color w:val="000000" w:themeColor="text1"/>
                <w:szCs w:val="16"/>
              </w:rPr>
            </w:pPr>
            <w:r w:rsidRPr="00ED172B">
              <w:rPr>
                <w:rFonts w:cs="Arial"/>
                <w:color w:val="000000" w:themeColor="text1"/>
                <w:szCs w:val="16"/>
              </w:rPr>
              <w:t>Target&gt;=</w:t>
            </w:r>
          </w:p>
        </w:tc>
        <w:tc>
          <w:tcPr>
            <w:tcW w:w="875" w:type="pct"/>
            <w:shd w:val="clear" w:color="auto" w:fill="auto"/>
          </w:tcPr>
          <w:p w14:paraId="0A21AF8F" w14:textId="5612EC32" w:rsidR="00965010" w:rsidRPr="00ED172B" w:rsidRDefault="00965010" w:rsidP="00186420">
            <w:pPr>
              <w:jc w:val="center"/>
              <w:rPr>
                <w:rFonts w:cs="Arial"/>
                <w:color w:val="000000" w:themeColor="text1"/>
                <w:szCs w:val="16"/>
              </w:rPr>
            </w:pPr>
          </w:p>
        </w:tc>
        <w:tc>
          <w:tcPr>
            <w:tcW w:w="875" w:type="pct"/>
            <w:shd w:val="clear" w:color="auto" w:fill="auto"/>
          </w:tcPr>
          <w:p w14:paraId="4958A7B0" w14:textId="75FC1EB5" w:rsidR="00965010" w:rsidRPr="00ED172B" w:rsidRDefault="00965010" w:rsidP="00186420">
            <w:pPr>
              <w:jc w:val="center"/>
              <w:rPr>
                <w:rFonts w:cs="Arial"/>
                <w:color w:val="000000" w:themeColor="text1"/>
                <w:szCs w:val="16"/>
              </w:rPr>
            </w:pPr>
          </w:p>
        </w:tc>
        <w:tc>
          <w:tcPr>
            <w:tcW w:w="875" w:type="pct"/>
            <w:shd w:val="clear" w:color="auto" w:fill="auto"/>
            <w:vAlign w:val="center"/>
          </w:tcPr>
          <w:p w14:paraId="6925E141" w14:textId="6C4655F4" w:rsidR="00965010" w:rsidRPr="00ED172B" w:rsidRDefault="00965010" w:rsidP="00186420">
            <w:pPr>
              <w:jc w:val="center"/>
              <w:rPr>
                <w:rFonts w:cs="Arial"/>
                <w:color w:val="000000" w:themeColor="text1"/>
                <w:szCs w:val="16"/>
              </w:rPr>
            </w:pPr>
          </w:p>
        </w:tc>
        <w:tc>
          <w:tcPr>
            <w:tcW w:w="875" w:type="pct"/>
            <w:shd w:val="clear" w:color="auto" w:fill="auto"/>
            <w:vAlign w:val="center"/>
          </w:tcPr>
          <w:p w14:paraId="6D3F5E0A" w14:textId="302FDA6B" w:rsidR="00965010" w:rsidRPr="00ED172B" w:rsidRDefault="00965010" w:rsidP="00186420">
            <w:pPr>
              <w:jc w:val="center"/>
              <w:rPr>
                <w:rFonts w:cs="Arial"/>
                <w:color w:val="000000" w:themeColor="text1"/>
                <w:szCs w:val="16"/>
              </w:rPr>
            </w:pPr>
          </w:p>
        </w:tc>
        <w:tc>
          <w:tcPr>
            <w:tcW w:w="875" w:type="pct"/>
            <w:shd w:val="clear" w:color="auto" w:fill="auto"/>
            <w:vAlign w:val="center"/>
          </w:tcPr>
          <w:p w14:paraId="3307A743" w14:textId="0DA1032C" w:rsidR="00965010" w:rsidRPr="00ED172B" w:rsidRDefault="00965010" w:rsidP="00186420">
            <w:pPr>
              <w:jc w:val="center"/>
              <w:rPr>
                <w:rFonts w:cs="Arial"/>
                <w:color w:val="000000" w:themeColor="text1"/>
                <w:szCs w:val="16"/>
              </w:rPr>
            </w:pPr>
          </w:p>
        </w:tc>
      </w:tr>
      <w:tr w:rsidR="00ED172B" w:rsidRPr="00ED172B" w14:paraId="70310803" w14:textId="77777777" w:rsidTr="00986B99">
        <w:trPr>
          <w:trHeight w:val="85"/>
        </w:trPr>
        <w:tc>
          <w:tcPr>
            <w:tcW w:w="623" w:type="pct"/>
            <w:shd w:val="clear" w:color="auto" w:fill="auto"/>
          </w:tcPr>
          <w:p w14:paraId="242E5B90" w14:textId="77777777" w:rsidR="00965010" w:rsidRPr="00ED172B" w:rsidRDefault="00965010" w:rsidP="00D21F29">
            <w:pPr>
              <w:jc w:val="center"/>
              <w:rPr>
                <w:rFonts w:cs="Arial"/>
                <w:color w:val="000000" w:themeColor="text1"/>
                <w:szCs w:val="16"/>
              </w:rPr>
            </w:pPr>
            <w:r w:rsidRPr="00ED172B">
              <w:rPr>
                <w:rFonts w:cs="Arial"/>
                <w:color w:val="000000" w:themeColor="text1"/>
                <w:szCs w:val="16"/>
              </w:rPr>
              <w:t>Data</w:t>
            </w:r>
          </w:p>
        </w:tc>
        <w:tc>
          <w:tcPr>
            <w:tcW w:w="875" w:type="pct"/>
            <w:shd w:val="clear" w:color="auto" w:fill="auto"/>
          </w:tcPr>
          <w:p w14:paraId="217B706A" w14:textId="7317F284" w:rsidR="00965010" w:rsidRPr="00ED172B" w:rsidRDefault="00965010" w:rsidP="00186420">
            <w:pPr>
              <w:jc w:val="center"/>
              <w:rPr>
                <w:rFonts w:cs="Arial"/>
                <w:color w:val="000000" w:themeColor="text1"/>
                <w:szCs w:val="16"/>
              </w:rPr>
            </w:pPr>
          </w:p>
        </w:tc>
        <w:tc>
          <w:tcPr>
            <w:tcW w:w="875" w:type="pct"/>
            <w:shd w:val="clear" w:color="auto" w:fill="auto"/>
          </w:tcPr>
          <w:p w14:paraId="179468D4" w14:textId="6AEF13A0" w:rsidR="00965010" w:rsidRPr="00ED172B" w:rsidRDefault="00965010" w:rsidP="00186420">
            <w:pPr>
              <w:jc w:val="center"/>
              <w:rPr>
                <w:rFonts w:cs="Arial"/>
                <w:color w:val="000000" w:themeColor="text1"/>
                <w:szCs w:val="16"/>
              </w:rPr>
            </w:pPr>
          </w:p>
        </w:tc>
        <w:tc>
          <w:tcPr>
            <w:tcW w:w="875" w:type="pct"/>
            <w:tcBorders>
              <w:bottom w:val="single" w:sz="4" w:space="0" w:color="auto"/>
            </w:tcBorders>
            <w:shd w:val="clear" w:color="auto" w:fill="auto"/>
            <w:vAlign w:val="center"/>
          </w:tcPr>
          <w:p w14:paraId="33864A15" w14:textId="13EED87A" w:rsidR="00965010" w:rsidRPr="00ED172B" w:rsidRDefault="00965010" w:rsidP="00186420">
            <w:pPr>
              <w:jc w:val="center"/>
              <w:rPr>
                <w:rFonts w:cs="Arial"/>
                <w:color w:val="000000" w:themeColor="text1"/>
                <w:szCs w:val="16"/>
              </w:rPr>
            </w:pPr>
          </w:p>
        </w:tc>
        <w:tc>
          <w:tcPr>
            <w:tcW w:w="875" w:type="pct"/>
            <w:tcBorders>
              <w:bottom w:val="single" w:sz="4" w:space="0" w:color="auto"/>
            </w:tcBorders>
            <w:shd w:val="clear" w:color="auto" w:fill="auto"/>
            <w:vAlign w:val="center"/>
          </w:tcPr>
          <w:p w14:paraId="41D4E2E4" w14:textId="36C47BB5" w:rsidR="00965010" w:rsidRPr="00ED172B" w:rsidRDefault="00965010" w:rsidP="00186420">
            <w:pPr>
              <w:jc w:val="center"/>
              <w:rPr>
                <w:rFonts w:cs="Arial"/>
                <w:color w:val="000000" w:themeColor="text1"/>
                <w:szCs w:val="16"/>
              </w:rPr>
            </w:pPr>
          </w:p>
        </w:tc>
        <w:tc>
          <w:tcPr>
            <w:tcW w:w="875" w:type="pct"/>
            <w:tcBorders>
              <w:bottom w:val="single" w:sz="4" w:space="0" w:color="auto"/>
            </w:tcBorders>
            <w:shd w:val="clear" w:color="auto" w:fill="auto"/>
            <w:vAlign w:val="center"/>
          </w:tcPr>
          <w:p w14:paraId="1F1127D0" w14:textId="3B0BE864" w:rsidR="00965010" w:rsidRPr="00ED172B" w:rsidRDefault="00860830" w:rsidP="00186420">
            <w:pPr>
              <w:jc w:val="center"/>
              <w:rPr>
                <w:rFonts w:cs="Arial"/>
                <w:color w:val="000000" w:themeColor="text1"/>
                <w:szCs w:val="16"/>
              </w:rPr>
            </w:pPr>
            <w:r w:rsidRPr="00ED172B">
              <w:rPr>
                <w:rFonts w:cs="Arial"/>
                <w:color w:val="000000" w:themeColor="text1"/>
                <w:szCs w:val="16"/>
              </w:rPr>
              <w:t>78.26%</w:t>
            </w:r>
          </w:p>
        </w:tc>
      </w:tr>
    </w:tbl>
    <w:p w14:paraId="4DA02AA2" w14:textId="77777777" w:rsidR="00720D77" w:rsidRPr="00ED172B" w:rsidRDefault="00720D77" w:rsidP="00720D77">
      <w:pPr>
        <w:pStyle w:val="Italic"/>
        <w:rPr>
          <w:rFonts w:cs="Arial"/>
          <w:i w:val="0"/>
          <w:color w:val="000000" w:themeColor="text1"/>
          <w:szCs w:val="16"/>
        </w:rPr>
      </w:pPr>
    </w:p>
    <w:p w14:paraId="2EC7A5C1" w14:textId="64FBA7B4" w:rsidR="00965010" w:rsidRPr="00ED172B" w:rsidRDefault="00965010" w:rsidP="00B83404">
      <w:pPr>
        <w:rPr>
          <w:color w:val="000000" w:themeColor="text1"/>
        </w:rPr>
      </w:pPr>
      <w:r w:rsidRPr="00ED172B">
        <w:rPr>
          <w:b/>
          <w:color w:val="000000" w:themeColor="text1"/>
        </w:rPr>
        <w:t>Targets</w:t>
      </w:r>
    </w:p>
    <w:tbl>
      <w:tblPr>
        <w:tblW w:w="4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0TARGETS"/>
      </w:tblPr>
      <w:tblGrid>
        <w:gridCol w:w="866"/>
        <w:gridCol w:w="1869"/>
        <w:gridCol w:w="2004"/>
        <w:gridCol w:w="2004"/>
        <w:gridCol w:w="2003"/>
      </w:tblGrid>
      <w:tr w:rsidR="00C843AF" w:rsidRPr="00ED172B" w14:paraId="3367B66C" w14:textId="18B525E5" w:rsidTr="00E415ED">
        <w:trPr>
          <w:trHeight w:val="360"/>
        </w:trPr>
        <w:tc>
          <w:tcPr>
            <w:tcW w:w="402" w:type="pct"/>
            <w:tcBorders>
              <w:bottom w:val="single" w:sz="4" w:space="0" w:color="auto"/>
            </w:tcBorders>
            <w:shd w:val="clear" w:color="auto" w:fill="auto"/>
          </w:tcPr>
          <w:p w14:paraId="3C2EA831" w14:textId="77777777" w:rsidR="00C843AF" w:rsidRPr="00ED172B" w:rsidRDefault="00C843AF" w:rsidP="00C375EA">
            <w:pPr>
              <w:jc w:val="center"/>
              <w:rPr>
                <w:b/>
                <w:color w:val="000000" w:themeColor="text1"/>
              </w:rPr>
            </w:pPr>
            <w:r w:rsidRPr="00ED172B">
              <w:rPr>
                <w:b/>
                <w:color w:val="000000" w:themeColor="text1"/>
              </w:rPr>
              <w:lastRenderedPageBreak/>
              <w:t>FFY</w:t>
            </w:r>
          </w:p>
        </w:tc>
        <w:tc>
          <w:tcPr>
            <w:tcW w:w="1092" w:type="pct"/>
            <w:shd w:val="clear" w:color="auto" w:fill="auto"/>
            <w:vAlign w:val="center"/>
          </w:tcPr>
          <w:p w14:paraId="64F739CA" w14:textId="43EC1A3D" w:rsidR="00C843AF" w:rsidRPr="00ED172B" w:rsidRDefault="00C843AF" w:rsidP="00C375EA">
            <w:pPr>
              <w:jc w:val="center"/>
              <w:rPr>
                <w:b/>
                <w:color w:val="000000" w:themeColor="text1"/>
              </w:rPr>
            </w:pPr>
            <w:r w:rsidRPr="00ED172B">
              <w:rPr>
                <w:b/>
                <w:color w:val="000000" w:themeColor="text1"/>
              </w:rPr>
              <w:t>2022</w:t>
            </w:r>
          </w:p>
        </w:tc>
        <w:tc>
          <w:tcPr>
            <w:tcW w:w="1169" w:type="pct"/>
          </w:tcPr>
          <w:p w14:paraId="787B7032" w14:textId="0281A2A2" w:rsidR="00C843AF" w:rsidRPr="00ED172B" w:rsidRDefault="00C843AF" w:rsidP="00C375EA">
            <w:pPr>
              <w:jc w:val="center"/>
              <w:rPr>
                <w:b/>
                <w:color w:val="000000" w:themeColor="text1"/>
              </w:rPr>
            </w:pPr>
            <w:r>
              <w:rPr>
                <w:rFonts w:cs="Arial"/>
                <w:b/>
                <w:color w:val="000000" w:themeColor="text1"/>
                <w:szCs w:val="16"/>
              </w:rPr>
              <w:t>2023</w:t>
            </w:r>
          </w:p>
        </w:tc>
        <w:tc>
          <w:tcPr>
            <w:tcW w:w="1169" w:type="pct"/>
          </w:tcPr>
          <w:p w14:paraId="328C1C3C" w14:textId="4248D53A" w:rsidR="00C843AF" w:rsidRPr="00ED172B" w:rsidRDefault="00C843AF" w:rsidP="00C375EA">
            <w:pPr>
              <w:jc w:val="center"/>
              <w:rPr>
                <w:b/>
                <w:color w:val="000000" w:themeColor="text1"/>
              </w:rPr>
            </w:pPr>
            <w:r w:rsidRPr="005A1B4F">
              <w:rPr>
                <w:rFonts w:cs="Arial"/>
                <w:b/>
                <w:color w:val="000000" w:themeColor="text1"/>
                <w:szCs w:val="16"/>
              </w:rPr>
              <w:t>2024</w:t>
            </w:r>
          </w:p>
        </w:tc>
        <w:tc>
          <w:tcPr>
            <w:tcW w:w="1169" w:type="pct"/>
          </w:tcPr>
          <w:p w14:paraId="4423FD31" w14:textId="7F28EAA2" w:rsidR="00C843AF" w:rsidRPr="00ED172B" w:rsidRDefault="00C843AF" w:rsidP="00C375EA">
            <w:pPr>
              <w:jc w:val="center"/>
              <w:rPr>
                <w:b/>
                <w:color w:val="000000" w:themeColor="text1"/>
              </w:rPr>
            </w:pPr>
            <w:r w:rsidRPr="005A1B4F">
              <w:rPr>
                <w:rFonts w:cs="Arial"/>
                <w:b/>
                <w:color w:val="000000" w:themeColor="text1"/>
                <w:szCs w:val="16"/>
              </w:rPr>
              <w:t>2025</w:t>
            </w:r>
          </w:p>
        </w:tc>
      </w:tr>
      <w:tr w:rsidR="00C843AF" w:rsidRPr="00ED172B" w14:paraId="0276B9DA" w14:textId="556EB458" w:rsidTr="00E415ED">
        <w:trPr>
          <w:trHeight w:val="367"/>
        </w:trPr>
        <w:tc>
          <w:tcPr>
            <w:tcW w:w="402" w:type="pct"/>
            <w:shd w:val="clear" w:color="auto" w:fill="auto"/>
          </w:tcPr>
          <w:p w14:paraId="2CCE1C49" w14:textId="473A3F03" w:rsidR="00C843AF" w:rsidRPr="00ED172B" w:rsidRDefault="00C843AF" w:rsidP="00D21F29">
            <w:pPr>
              <w:jc w:val="center"/>
              <w:rPr>
                <w:rFonts w:cs="Arial"/>
                <w:color w:val="000000" w:themeColor="text1"/>
                <w:szCs w:val="16"/>
              </w:rPr>
            </w:pPr>
            <w:r w:rsidRPr="00ED172B">
              <w:rPr>
                <w:rFonts w:cs="Arial"/>
                <w:color w:val="000000" w:themeColor="text1"/>
                <w:szCs w:val="16"/>
              </w:rPr>
              <w:t>Target&gt;=</w:t>
            </w:r>
          </w:p>
        </w:tc>
        <w:tc>
          <w:tcPr>
            <w:tcW w:w="1092" w:type="pct"/>
            <w:shd w:val="clear" w:color="auto" w:fill="auto"/>
            <w:vAlign w:val="center"/>
          </w:tcPr>
          <w:p w14:paraId="7A1FE832" w14:textId="7EA6C6B8" w:rsidR="00C843AF" w:rsidRPr="00ED172B" w:rsidRDefault="00C843AF" w:rsidP="00C375EA">
            <w:pPr>
              <w:jc w:val="center"/>
              <w:rPr>
                <w:color w:val="000000" w:themeColor="text1"/>
              </w:rPr>
            </w:pPr>
          </w:p>
        </w:tc>
        <w:tc>
          <w:tcPr>
            <w:tcW w:w="1169" w:type="pct"/>
          </w:tcPr>
          <w:p w14:paraId="1309820B" w14:textId="7FA1AFB9" w:rsidR="00C843AF" w:rsidRPr="00ED172B" w:rsidRDefault="00C843AF" w:rsidP="00C375EA">
            <w:pPr>
              <w:jc w:val="center"/>
              <w:rPr>
                <w:color w:val="000000" w:themeColor="text1"/>
              </w:rPr>
            </w:pPr>
          </w:p>
        </w:tc>
        <w:tc>
          <w:tcPr>
            <w:tcW w:w="1169" w:type="pct"/>
          </w:tcPr>
          <w:p w14:paraId="6ECE8CF3" w14:textId="055095F9" w:rsidR="00C843AF" w:rsidRPr="00ED172B" w:rsidRDefault="00C843AF" w:rsidP="00C375EA">
            <w:pPr>
              <w:jc w:val="center"/>
              <w:rPr>
                <w:color w:val="000000" w:themeColor="text1"/>
              </w:rPr>
            </w:pPr>
          </w:p>
        </w:tc>
        <w:tc>
          <w:tcPr>
            <w:tcW w:w="1169" w:type="pct"/>
          </w:tcPr>
          <w:p w14:paraId="050245E2" w14:textId="1B636362" w:rsidR="00C843AF" w:rsidRPr="00ED172B" w:rsidRDefault="00C843AF" w:rsidP="00C375EA">
            <w:pPr>
              <w:jc w:val="center"/>
              <w:rPr>
                <w:color w:val="000000" w:themeColor="text1"/>
              </w:rPr>
            </w:pPr>
          </w:p>
        </w:tc>
      </w:tr>
    </w:tbl>
    <w:p w14:paraId="1E64FA85" w14:textId="77777777" w:rsidR="0065724F" w:rsidRPr="00ED172B" w:rsidRDefault="0065724F">
      <w:pPr>
        <w:rPr>
          <w:b/>
          <w:color w:val="000000" w:themeColor="text1"/>
        </w:rPr>
      </w:pPr>
    </w:p>
    <w:p w14:paraId="2299CDE5" w14:textId="20E041D6" w:rsidR="00715B7C" w:rsidRPr="00ED172B" w:rsidRDefault="00F22D09">
      <w:pPr>
        <w:rPr>
          <w:b/>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0FFYAPRDATA"/>
      </w:tblPr>
      <w:tblGrid>
        <w:gridCol w:w="2008"/>
        <w:gridCol w:w="2077"/>
        <w:gridCol w:w="1400"/>
        <w:gridCol w:w="885"/>
        <w:gridCol w:w="876"/>
        <w:gridCol w:w="1019"/>
        <w:gridCol w:w="1282"/>
        <w:gridCol w:w="1243"/>
      </w:tblGrid>
      <w:tr w:rsidR="00ED172B" w:rsidRPr="00ED172B" w14:paraId="1FE1A8B6" w14:textId="77777777" w:rsidTr="00986B99">
        <w:trPr>
          <w:tblHeader/>
        </w:trPr>
        <w:tc>
          <w:tcPr>
            <w:tcW w:w="0" w:type="auto"/>
            <w:shd w:val="clear" w:color="auto" w:fill="auto"/>
          </w:tcPr>
          <w:p w14:paraId="47F7ACE9"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2.1.a.i Mediation agreements related to due process complaints</w:t>
            </w:r>
          </w:p>
        </w:tc>
        <w:tc>
          <w:tcPr>
            <w:tcW w:w="0" w:type="auto"/>
            <w:shd w:val="clear" w:color="auto" w:fill="auto"/>
            <w:vAlign w:val="bottom"/>
          </w:tcPr>
          <w:p w14:paraId="03B14E33"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2.1.b.i Mediation agreements not related to due process complaints</w:t>
            </w:r>
          </w:p>
        </w:tc>
        <w:tc>
          <w:tcPr>
            <w:tcW w:w="0" w:type="auto"/>
            <w:shd w:val="clear" w:color="auto" w:fill="auto"/>
            <w:vAlign w:val="bottom"/>
          </w:tcPr>
          <w:p w14:paraId="4411AF0D"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2.1 Number of mediations held</w:t>
            </w:r>
          </w:p>
        </w:tc>
        <w:tc>
          <w:tcPr>
            <w:tcW w:w="0" w:type="auto"/>
            <w:shd w:val="clear" w:color="auto" w:fill="auto"/>
            <w:vAlign w:val="bottom"/>
          </w:tcPr>
          <w:p w14:paraId="75756C39" w14:textId="564A6EBB" w:rsidR="003F7F2F" w:rsidRPr="00ED172B" w:rsidRDefault="00CD74B5" w:rsidP="00CD79C5">
            <w:pPr>
              <w:jc w:val="center"/>
              <w:rPr>
                <w:rFonts w:cs="Arial"/>
                <w:b/>
                <w:color w:val="000000" w:themeColor="text1"/>
                <w:szCs w:val="16"/>
              </w:rPr>
            </w:pPr>
            <w:r>
              <w:rPr>
                <w:rFonts w:cs="Arial"/>
                <w:b/>
                <w:color w:val="000000" w:themeColor="text1"/>
                <w:szCs w:val="16"/>
              </w:rPr>
              <w:t>FFY 2021 Data</w:t>
            </w:r>
          </w:p>
        </w:tc>
        <w:tc>
          <w:tcPr>
            <w:tcW w:w="0" w:type="auto"/>
            <w:shd w:val="clear" w:color="auto" w:fill="auto"/>
            <w:vAlign w:val="bottom"/>
          </w:tcPr>
          <w:p w14:paraId="34C5B321" w14:textId="0086DA6C" w:rsidR="003F7F2F" w:rsidRPr="00ED172B" w:rsidRDefault="00F22D09" w:rsidP="00CD79C5">
            <w:pPr>
              <w:jc w:val="center"/>
              <w:rPr>
                <w:rFonts w:cs="Arial"/>
                <w:b/>
                <w:color w:val="000000" w:themeColor="text1"/>
                <w:szCs w:val="16"/>
              </w:rPr>
            </w:pPr>
            <w:r>
              <w:rPr>
                <w:rFonts w:cs="Arial"/>
                <w:b/>
                <w:color w:val="000000" w:themeColor="text1"/>
                <w:szCs w:val="16"/>
              </w:rPr>
              <w:t>FFY 2022 Target</w:t>
            </w:r>
          </w:p>
        </w:tc>
        <w:tc>
          <w:tcPr>
            <w:tcW w:w="472" w:type="pct"/>
            <w:shd w:val="clear" w:color="auto" w:fill="auto"/>
            <w:vAlign w:val="bottom"/>
          </w:tcPr>
          <w:p w14:paraId="1F75CC89" w14:textId="50761695" w:rsidR="003F7F2F" w:rsidRPr="00ED172B" w:rsidRDefault="00F22D09" w:rsidP="00CD79C5">
            <w:pPr>
              <w:jc w:val="center"/>
              <w:rPr>
                <w:rFonts w:cs="Arial"/>
                <w:b/>
                <w:color w:val="000000" w:themeColor="text1"/>
                <w:szCs w:val="16"/>
              </w:rPr>
            </w:pPr>
            <w:r>
              <w:rPr>
                <w:rFonts w:cs="Arial"/>
                <w:b/>
                <w:color w:val="000000" w:themeColor="text1"/>
                <w:szCs w:val="16"/>
              </w:rPr>
              <w:t>FFY 2022 Data</w:t>
            </w:r>
          </w:p>
        </w:tc>
        <w:tc>
          <w:tcPr>
            <w:tcW w:w="594" w:type="pct"/>
            <w:shd w:val="clear" w:color="auto" w:fill="auto"/>
            <w:vAlign w:val="bottom"/>
          </w:tcPr>
          <w:p w14:paraId="05346B8E"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Status</w:t>
            </w:r>
          </w:p>
        </w:tc>
        <w:tc>
          <w:tcPr>
            <w:tcW w:w="576" w:type="pct"/>
            <w:shd w:val="clear" w:color="auto" w:fill="auto"/>
            <w:vAlign w:val="bottom"/>
          </w:tcPr>
          <w:p w14:paraId="470EDA83"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Slippage</w:t>
            </w:r>
          </w:p>
        </w:tc>
      </w:tr>
      <w:tr w:rsidR="00ED172B" w:rsidRPr="00ED172B" w14:paraId="6F6C016F" w14:textId="77777777" w:rsidTr="00986B99">
        <w:tc>
          <w:tcPr>
            <w:tcW w:w="0" w:type="auto"/>
            <w:shd w:val="clear" w:color="auto" w:fill="auto"/>
          </w:tcPr>
          <w:p w14:paraId="2F120EC8" w14:textId="2CFA9571" w:rsidR="003F7F2F" w:rsidRPr="00ED172B" w:rsidRDefault="00320806" w:rsidP="00320806">
            <w:pPr>
              <w:jc w:val="center"/>
              <w:rPr>
                <w:color w:val="000000" w:themeColor="text1"/>
              </w:rPr>
            </w:pPr>
            <w:r w:rsidRPr="00ED172B">
              <w:rPr>
                <w:color w:val="000000" w:themeColor="text1"/>
              </w:rPr>
              <w:t>0</w:t>
            </w:r>
          </w:p>
        </w:tc>
        <w:tc>
          <w:tcPr>
            <w:tcW w:w="0" w:type="auto"/>
            <w:shd w:val="clear" w:color="auto" w:fill="auto"/>
          </w:tcPr>
          <w:p w14:paraId="62CDDF21" w14:textId="577CFA88" w:rsidR="003F7F2F" w:rsidRPr="00ED172B" w:rsidRDefault="00320806" w:rsidP="00320806">
            <w:pPr>
              <w:jc w:val="center"/>
              <w:rPr>
                <w:color w:val="000000" w:themeColor="text1"/>
              </w:rPr>
            </w:pPr>
            <w:r w:rsidRPr="00ED172B">
              <w:rPr>
                <w:color w:val="000000" w:themeColor="text1"/>
              </w:rPr>
              <w:t>0</w:t>
            </w:r>
          </w:p>
        </w:tc>
        <w:tc>
          <w:tcPr>
            <w:tcW w:w="0" w:type="auto"/>
            <w:shd w:val="clear" w:color="auto" w:fill="auto"/>
            <w:vAlign w:val="center"/>
          </w:tcPr>
          <w:p w14:paraId="0EF5D1FA" w14:textId="62B0C3A2" w:rsidR="003F7F2F" w:rsidRPr="00ED172B" w:rsidRDefault="00320806" w:rsidP="00320806">
            <w:pPr>
              <w:jc w:val="center"/>
              <w:rPr>
                <w:color w:val="000000" w:themeColor="text1"/>
              </w:rPr>
            </w:pPr>
            <w:r w:rsidRPr="00ED172B">
              <w:rPr>
                <w:color w:val="000000" w:themeColor="text1"/>
              </w:rPr>
              <w:t>0</w:t>
            </w:r>
          </w:p>
        </w:tc>
        <w:tc>
          <w:tcPr>
            <w:tcW w:w="0" w:type="auto"/>
            <w:shd w:val="clear" w:color="auto" w:fill="auto"/>
          </w:tcPr>
          <w:p w14:paraId="07852742" w14:textId="74D08B36" w:rsidR="003F7F2F" w:rsidRPr="00ED172B" w:rsidRDefault="00320806" w:rsidP="00320806">
            <w:pPr>
              <w:jc w:val="center"/>
              <w:rPr>
                <w:color w:val="000000" w:themeColor="text1"/>
              </w:rPr>
            </w:pPr>
            <w:r w:rsidRPr="00ED172B">
              <w:rPr>
                <w:color w:val="000000" w:themeColor="text1"/>
              </w:rPr>
              <w:t>78.26%</w:t>
            </w:r>
          </w:p>
        </w:tc>
        <w:tc>
          <w:tcPr>
            <w:tcW w:w="0" w:type="auto"/>
            <w:shd w:val="clear" w:color="auto" w:fill="auto"/>
          </w:tcPr>
          <w:p w14:paraId="1A3FD4BD" w14:textId="73FB264C" w:rsidR="003F7F2F" w:rsidRPr="00ED172B" w:rsidRDefault="003F7F2F" w:rsidP="00320806">
            <w:pPr>
              <w:jc w:val="center"/>
              <w:rPr>
                <w:color w:val="000000" w:themeColor="text1"/>
              </w:rPr>
            </w:pPr>
          </w:p>
        </w:tc>
        <w:tc>
          <w:tcPr>
            <w:tcW w:w="472" w:type="pct"/>
            <w:shd w:val="clear" w:color="auto" w:fill="auto"/>
          </w:tcPr>
          <w:p w14:paraId="1DD10E42" w14:textId="62FF3817" w:rsidR="003F7F2F" w:rsidRPr="00ED172B" w:rsidRDefault="003F7F2F" w:rsidP="00320806">
            <w:pPr>
              <w:jc w:val="center"/>
              <w:rPr>
                <w:color w:val="000000" w:themeColor="text1"/>
              </w:rPr>
            </w:pPr>
          </w:p>
        </w:tc>
        <w:tc>
          <w:tcPr>
            <w:tcW w:w="594" w:type="pct"/>
            <w:shd w:val="clear" w:color="auto" w:fill="auto"/>
          </w:tcPr>
          <w:p w14:paraId="781CCB45" w14:textId="1DA4E651" w:rsidR="003F7F2F" w:rsidRPr="00ED172B" w:rsidRDefault="00320806" w:rsidP="00320806">
            <w:pPr>
              <w:jc w:val="center"/>
              <w:rPr>
                <w:color w:val="000000" w:themeColor="text1"/>
              </w:rPr>
            </w:pPr>
            <w:r w:rsidRPr="00ED172B">
              <w:rPr>
                <w:color w:val="000000" w:themeColor="text1"/>
              </w:rPr>
              <w:t>N/A</w:t>
            </w:r>
          </w:p>
        </w:tc>
        <w:tc>
          <w:tcPr>
            <w:tcW w:w="576" w:type="pct"/>
            <w:shd w:val="clear" w:color="auto" w:fill="auto"/>
          </w:tcPr>
          <w:p w14:paraId="03AF1958" w14:textId="597B8C94" w:rsidR="003F7F2F" w:rsidRPr="00ED172B" w:rsidRDefault="00320806" w:rsidP="00320806">
            <w:pPr>
              <w:jc w:val="center"/>
              <w:rPr>
                <w:color w:val="000000" w:themeColor="text1"/>
              </w:rPr>
            </w:pPr>
            <w:r w:rsidRPr="00ED172B">
              <w:rPr>
                <w:color w:val="000000" w:themeColor="text1"/>
              </w:rPr>
              <w:t>N/A</w:t>
            </w:r>
          </w:p>
        </w:tc>
      </w:tr>
    </w:tbl>
    <w:bookmarkEnd w:id="58"/>
    <w:bookmarkEnd w:id="59"/>
    <w:p w14:paraId="18742D48" w14:textId="77777777" w:rsidR="00EA0143" w:rsidRPr="00ED172B" w:rsidRDefault="00EA0143" w:rsidP="00EA0143">
      <w:pPr>
        <w:rPr>
          <w:rFonts w:cs="Arial"/>
          <w:b/>
          <w:color w:val="000000" w:themeColor="text1"/>
          <w:szCs w:val="16"/>
        </w:rPr>
      </w:pPr>
      <w:r w:rsidRPr="00ED172B">
        <w:rPr>
          <w:rFonts w:cs="Arial"/>
          <w:b/>
          <w:color w:val="000000" w:themeColor="text1"/>
          <w:szCs w:val="16"/>
        </w:rPr>
        <w:t>Provide additional information about this indicator (optional)</w:t>
      </w:r>
    </w:p>
    <w:p w14:paraId="3BF9D881" w14:textId="3BD29B6D" w:rsidR="00EA0143" w:rsidRPr="00ED172B" w:rsidRDefault="00860830" w:rsidP="00EA0143">
      <w:pPr>
        <w:rPr>
          <w:rFonts w:cs="Arial"/>
          <w:color w:val="000000" w:themeColor="text1"/>
          <w:szCs w:val="16"/>
        </w:rPr>
      </w:pPr>
      <w:r w:rsidRPr="00ED172B">
        <w:rPr>
          <w:rFonts w:cs="Arial"/>
          <w:color w:val="000000" w:themeColor="text1"/>
          <w:szCs w:val="16"/>
        </w:rPr>
        <w:t xml:space="preserve">The prepopulated data in C10 for 2021 was incorrect. Last year, the B16 data was populated in C10 after submission. </w:t>
      </w:r>
      <w:r w:rsidRPr="00ED172B">
        <w:rPr>
          <w:rFonts w:cs="Arial"/>
          <w:color w:val="000000" w:themeColor="text1"/>
          <w:szCs w:val="16"/>
        </w:rPr>
        <w:br/>
      </w:r>
      <w:r w:rsidRPr="00ED172B">
        <w:rPr>
          <w:rFonts w:cs="Arial"/>
          <w:color w:val="000000" w:themeColor="text1"/>
          <w:szCs w:val="16"/>
        </w:rPr>
        <w:br/>
        <w:t>There were no mediations related to Part C for FFY 2021.</w:t>
      </w:r>
      <w:r w:rsidRPr="00ED172B">
        <w:rPr>
          <w:rFonts w:cs="Arial"/>
          <w:color w:val="000000" w:themeColor="text1"/>
          <w:szCs w:val="16"/>
        </w:rPr>
        <w:br/>
      </w:r>
      <w:r w:rsidRPr="00ED172B">
        <w:rPr>
          <w:rFonts w:cs="Arial"/>
          <w:color w:val="000000" w:themeColor="text1"/>
          <w:szCs w:val="16"/>
        </w:rPr>
        <w:br/>
        <w:t>A formal request to correct this data was supplied to EDFacts Partner Support Center with regards to correcting the data for the SY 2021-22 EMAPS IDEA Part C Dispute Resolution Survey submission. EDFacts Partner Support Center indicated the following: Oregon can include the corrected data in the narrative section of the indicator. When Oregon re-submits its corrected data during the May reopen period, the Dispute Resolution attachment uploaded in EMAPS will reflect the updated data and OSEP will acknowledge receipt of the updated data in its response. This action was completed in the FFY 2021 APR process.</w:t>
      </w:r>
    </w:p>
    <w:p w14:paraId="51685558" w14:textId="51A1E7FE" w:rsidR="00DC0682" w:rsidRPr="00A40EE1" w:rsidRDefault="000D0117" w:rsidP="007B0787">
      <w:pPr>
        <w:pStyle w:val="Heading2"/>
      </w:pPr>
      <w:bookmarkStart w:id="60" w:name="_Hlk79570511"/>
      <w:r w:rsidRPr="00A40EE1">
        <w:t xml:space="preserve">10 - </w:t>
      </w:r>
      <w:r w:rsidR="00DC0682" w:rsidRPr="00A40EE1">
        <w:t>Prior FFY Required Actions</w:t>
      </w:r>
      <w:bookmarkEnd w:id="60"/>
    </w:p>
    <w:p w14:paraId="03BC5221" w14:textId="030F5A99" w:rsidR="00905F26" w:rsidRPr="00ED172B" w:rsidRDefault="00320806" w:rsidP="00320806">
      <w:pPr>
        <w:rPr>
          <w:color w:val="000000" w:themeColor="text1"/>
        </w:rPr>
      </w:pPr>
      <w:r w:rsidRPr="00ED172B">
        <w:rPr>
          <w:color w:val="000000" w:themeColor="text1"/>
        </w:rPr>
        <w:t>None</w:t>
      </w:r>
    </w:p>
    <w:p w14:paraId="0A2991B8" w14:textId="74F61C52" w:rsidR="00DC0682" w:rsidRPr="00A40EE1" w:rsidRDefault="000D0117" w:rsidP="007B0787">
      <w:pPr>
        <w:pStyle w:val="Heading2"/>
      </w:pPr>
      <w:r w:rsidRPr="00A40EE1">
        <w:t xml:space="preserve">10 - </w:t>
      </w:r>
      <w:r w:rsidR="00DC0682" w:rsidRPr="00A40EE1">
        <w:t>OSEP Response</w:t>
      </w:r>
    </w:p>
    <w:p w14:paraId="77C80526" w14:textId="1E2329A6" w:rsidR="00DC0682" w:rsidRPr="00ED172B" w:rsidRDefault="00320806" w:rsidP="00320806">
      <w:pPr>
        <w:rPr>
          <w:color w:val="000000" w:themeColor="text1"/>
        </w:rPr>
      </w:pPr>
      <w:r w:rsidRPr="00ED172B">
        <w:rPr>
          <w:color w:val="000000" w:themeColor="text1"/>
        </w:rPr>
        <w:t>The State reported fewer than ten mediations held in FFY 2022. The State is not required to provide targets until any fiscal year in which ten or more mediations were held.</w:t>
      </w:r>
    </w:p>
    <w:p w14:paraId="4F7A83AE" w14:textId="09F6D90F" w:rsidR="00DC0682" w:rsidRPr="00A40EE1" w:rsidRDefault="000D0117" w:rsidP="007B0787">
      <w:pPr>
        <w:pStyle w:val="Heading2"/>
      </w:pPr>
      <w:r w:rsidRPr="00A40EE1">
        <w:t xml:space="preserve">10 - </w:t>
      </w:r>
      <w:r w:rsidR="00DC0682" w:rsidRPr="00A40EE1">
        <w:t>Required Actions</w:t>
      </w:r>
    </w:p>
    <w:p w14:paraId="2A1A943C" w14:textId="668A3535" w:rsidR="00DC0682" w:rsidRPr="00ED172B" w:rsidRDefault="00DC0682" w:rsidP="00320806">
      <w:pPr>
        <w:rPr>
          <w:color w:val="000000" w:themeColor="text1"/>
        </w:rPr>
      </w:pPr>
    </w:p>
    <w:p w14:paraId="2A9527B0" w14:textId="77777777" w:rsidR="00DD311B" w:rsidRPr="00ED172B" w:rsidRDefault="00DD311B">
      <w:pPr>
        <w:spacing w:before="0" w:after="200" w:line="276" w:lineRule="auto"/>
        <w:rPr>
          <w:color w:val="000000" w:themeColor="text1"/>
        </w:rPr>
      </w:pPr>
      <w:r w:rsidRPr="00ED172B">
        <w:rPr>
          <w:color w:val="000000" w:themeColor="text1"/>
        </w:rPr>
        <w:br w:type="page"/>
      </w:r>
    </w:p>
    <w:p w14:paraId="256AFB11" w14:textId="2160FC96" w:rsidR="00621DEC" w:rsidRPr="00ED172B" w:rsidRDefault="00621DEC" w:rsidP="00621DEC">
      <w:pPr>
        <w:pStyle w:val="Heading1"/>
        <w:rPr>
          <w:color w:val="000000" w:themeColor="text1"/>
        </w:rPr>
      </w:pPr>
      <w:bookmarkStart w:id="61" w:name="_Hlk109646734"/>
      <w:bookmarkStart w:id="62" w:name="_Toc392159348"/>
      <w:r w:rsidRPr="00ED172B">
        <w:rPr>
          <w:color w:val="000000" w:themeColor="text1"/>
        </w:rPr>
        <w:lastRenderedPageBreak/>
        <w:t>Indicator 11: State Systemic Improvement Plan</w:t>
      </w:r>
    </w:p>
    <w:p w14:paraId="142E9252" w14:textId="77777777" w:rsidR="00621DEC" w:rsidRPr="00ED172B" w:rsidRDefault="00621DEC" w:rsidP="00621DEC">
      <w:pPr>
        <w:rPr>
          <w:color w:val="000000" w:themeColor="text1"/>
          <w:szCs w:val="20"/>
        </w:rPr>
      </w:pPr>
      <w:r w:rsidRPr="00ED172B">
        <w:rPr>
          <w:b/>
          <w:color w:val="000000" w:themeColor="text1"/>
          <w:sz w:val="20"/>
          <w:szCs w:val="20"/>
        </w:rPr>
        <w:t>Instructions and Measurement</w:t>
      </w:r>
    </w:p>
    <w:p w14:paraId="70329708" w14:textId="77777777" w:rsidR="00621DEC" w:rsidRPr="00621DEC" w:rsidRDefault="00621DEC" w:rsidP="00621DEC">
      <w:pPr>
        <w:rPr>
          <w:color w:val="000000" w:themeColor="text1"/>
          <w:szCs w:val="16"/>
        </w:rPr>
      </w:pPr>
      <w:r w:rsidRPr="00ED172B">
        <w:rPr>
          <w:b/>
          <w:color w:val="000000" w:themeColor="text1"/>
          <w:szCs w:val="16"/>
        </w:rPr>
        <w:t xml:space="preserve">Monitoring Priority: </w:t>
      </w:r>
      <w:r w:rsidRPr="00621DEC">
        <w:rPr>
          <w:color w:val="000000" w:themeColor="text1"/>
          <w:szCs w:val="16"/>
        </w:rPr>
        <w:t xml:space="preserve">General Supervision </w:t>
      </w:r>
    </w:p>
    <w:p w14:paraId="59B010C8" w14:textId="5FD8FE4C" w:rsidR="00621DEC" w:rsidRPr="00ED172B" w:rsidRDefault="00621DEC" w:rsidP="00621DEC">
      <w:pPr>
        <w:rPr>
          <w:b/>
          <w:color w:val="000000" w:themeColor="text1"/>
          <w:szCs w:val="16"/>
        </w:rPr>
      </w:pPr>
      <w:r w:rsidRPr="00621DEC">
        <w:rPr>
          <w:color w:val="000000" w:themeColor="text1"/>
          <w:szCs w:val="16"/>
        </w:rPr>
        <w:t>The State’s SPP/APR includes a State Systemic Improvement Plan (SSIP) that meets the requirements set forth for this indicator.</w:t>
      </w:r>
    </w:p>
    <w:p w14:paraId="60417113" w14:textId="77777777" w:rsidR="00621DEC" w:rsidRPr="00ED172B" w:rsidRDefault="00621DEC" w:rsidP="00621DEC">
      <w:pPr>
        <w:rPr>
          <w:b/>
          <w:color w:val="000000" w:themeColor="text1"/>
        </w:rPr>
      </w:pPr>
      <w:r w:rsidRPr="00ED172B">
        <w:rPr>
          <w:b/>
          <w:color w:val="000000" w:themeColor="text1"/>
        </w:rPr>
        <w:t>Measurement</w:t>
      </w:r>
    </w:p>
    <w:p w14:paraId="2258D5B6" w14:textId="77777777" w:rsidR="009E3024" w:rsidRDefault="009E3024" w:rsidP="009E3024">
      <w:r>
        <w:t>The State’s SPP/APR includes an SSIP that is a comprehensive, ambitious, yet achievable multi-year plan for improving results for infants and toddlers with disabilities and their families. The SSIP includes each of the components described below.</w:t>
      </w:r>
    </w:p>
    <w:p w14:paraId="7990113E" w14:textId="77777777" w:rsidR="00621DEC" w:rsidRPr="00ED172B" w:rsidRDefault="00621DEC" w:rsidP="00621DEC">
      <w:pPr>
        <w:rPr>
          <w:b/>
          <w:color w:val="000000" w:themeColor="text1"/>
        </w:rPr>
      </w:pPr>
      <w:r w:rsidRPr="00ED172B">
        <w:rPr>
          <w:b/>
          <w:color w:val="000000" w:themeColor="text1"/>
        </w:rPr>
        <w:t>Instructions</w:t>
      </w:r>
    </w:p>
    <w:p w14:paraId="29ABA6B1" w14:textId="48D3CB72" w:rsidR="00CE7219" w:rsidRPr="00D77E41" w:rsidRDefault="00CE7219" w:rsidP="00CE7219">
      <w:r w:rsidRPr="00C76255">
        <w:rPr>
          <w:b/>
          <w:i/>
        </w:rPr>
        <w:t>Baseline Data:</w:t>
      </w:r>
      <w:r w:rsidRPr="00D77E41">
        <w:t xml:space="preserve"> </w:t>
      </w:r>
      <w:r>
        <w:t>T</w:t>
      </w:r>
      <w:r w:rsidRPr="00D77E41">
        <w:t>he State must provide baseline data expressed as a percentage and which is aligned with the State-identified Measurable Result(s) for Infants and Toddlers with Disabilities and their Families.</w:t>
      </w:r>
    </w:p>
    <w:p w14:paraId="39268BD3" w14:textId="18973069" w:rsidR="00CE7219" w:rsidRPr="00D77E41" w:rsidRDefault="00CE7219" w:rsidP="00CE7219">
      <w:r w:rsidRPr="00C76255">
        <w:rPr>
          <w:b/>
          <w:i/>
        </w:rPr>
        <w:t>Targets:</w:t>
      </w:r>
      <w:r w:rsidRPr="00D77E41">
        <w:t xml:space="preserve"> </w:t>
      </w:r>
      <w:r w:rsidRPr="00790FB6">
        <w:t xml:space="preserve">In its FFY </w:t>
      </w:r>
      <w:r>
        <w:t>202</w:t>
      </w:r>
      <w:r w:rsidR="006C4702">
        <w:t>0</w:t>
      </w:r>
      <w:r w:rsidRPr="00790FB6">
        <w:t xml:space="preserve"> SPP/APR, due February </w:t>
      </w:r>
      <w:r>
        <w:t>1</w:t>
      </w:r>
      <w:r w:rsidRPr="00790FB6">
        <w:t xml:space="preserve">, </w:t>
      </w:r>
      <w:r>
        <w:t>202</w:t>
      </w:r>
      <w:r w:rsidR="006C4702">
        <w:t>2</w:t>
      </w:r>
      <w:r w:rsidRPr="00790FB6">
        <w:t>, the State must provide measurable and rigorous targets (expressed as percentages) for each of the</w:t>
      </w:r>
      <w:r w:rsidR="00CF4EC7">
        <w:t xml:space="preserve"> six</w:t>
      </w:r>
      <w:r w:rsidRPr="00790FB6">
        <w:t xml:space="preserve"> years from FFY </w:t>
      </w:r>
      <w:r>
        <w:t>202</w:t>
      </w:r>
      <w:r w:rsidR="006C4702">
        <w:t>0</w:t>
      </w:r>
      <w:r w:rsidRPr="00790FB6">
        <w:t xml:space="preserve"> through </w:t>
      </w:r>
      <w:r>
        <w:t>FFY 202</w:t>
      </w:r>
      <w:r w:rsidR="006C4702">
        <w:t>5</w:t>
      </w:r>
      <w:r w:rsidRPr="00790FB6">
        <w:t xml:space="preserve">. The State’s </w:t>
      </w:r>
      <w:r>
        <w:t>FFY 202</w:t>
      </w:r>
      <w:r w:rsidR="006C4702">
        <w:t>5</w:t>
      </w:r>
      <w:r w:rsidRPr="00790FB6">
        <w:t xml:space="preserve"> target must demonstrate improvement over the State’s baseline data.</w:t>
      </w:r>
    </w:p>
    <w:p w14:paraId="16CEE7FC" w14:textId="48E03533" w:rsidR="00CE7219" w:rsidRPr="00D77E41" w:rsidRDefault="00CE7219" w:rsidP="00CE7219">
      <w:r w:rsidRPr="00C76255">
        <w:rPr>
          <w:b/>
          <w:i/>
        </w:rPr>
        <w:t>Updated Data:</w:t>
      </w:r>
      <w:r w:rsidRPr="00D77E41">
        <w:t xml:space="preserve"> In its FFYs </w:t>
      </w:r>
      <w:r>
        <w:t>202</w:t>
      </w:r>
      <w:r w:rsidR="00A111ED">
        <w:t>0</w:t>
      </w:r>
      <w:r w:rsidRPr="00D77E41">
        <w:t xml:space="preserve"> through </w:t>
      </w:r>
      <w:r>
        <w:t>FFY 202</w:t>
      </w:r>
      <w:r w:rsidR="00A111ED">
        <w:t>5</w:t>
      </w:r>
      <w:r w:rsidRPr="00D77E41">
        <w:t xml:space="preserve"> SPPs/APRs, due February</w:t>
      </w:r>
      <w:r>
        <w:t xml:space="preserve"> </w:t>
      </w:r>
      <w:r w:rsidR="00CF4EC7">
        <w:t>2022</w:t>
      </w:r>
      <w:r w:rsidRPr="00D77E41">
        <w:t xml:space="preserve"> through February </w:t>
      </w:r>
      <w:r>
        <w:t>2027</w:t>
      </w:r>
      <w:r w:rsidRPr="00D77E41">
        <w:t>, the State must provide updated data for that specific FFY (expressed as percentages</w:t>
      </w:r>
      <w:proofErr w:type="gramStart"/>
      <w:r w:rsidRPr="00D77E41">
        <w:t>)</w:t>
      </w:r>
      <w:proofErr w:type="gramEnd"/>
      <w:r w:rsidRPr="00D77E41">
        <w:t xml:space="preserve"> and that data must be aligned with the State-identified Measurable Result(s) for Infants and Toddlers with Disabilities and their Families. In its FFYs </w:t>
      </w:r>
      <w:r>
        <w:t>202</w:t>
      </w:r>
      <w:r w:rsidR="006C4702">
        <w:t>0</w:t>
      </w:r>
      <w:r w:rsidRPr="00D77E41">
        <w:t xml:space="preserve"> through </w:t>
      </w:r>
      <w:r>
        <w:t>FFY 202</w:t>
      </w:r>
      <w:r w:rsidR="006C4702">
        <w:t>5</w:t>
      </w:r>
      <w:r w:rsidRPr="00D77E41">
        <w:t xml:space="preserve"> SPPs/APRs, the State must report on whether it met its target.</w:t>
      </w:r>
    </w:p>
    <w:p w14:paraId="514C1F1A" w14:textId="77777777" w:rsidR="009E3024" w:rsidRPr="00D77E41" w:rsidRDefault="009E3024" w:rsidP="009E3024">
      <w:pPr>
        <w:pStyle w:val="Subhed"/>
      </w:pPr>
      <w:r w:rsidRPr="00D77E41">
        <w:t xml:space="preserve">Overview of the </w:t>
      </w:r>
      <w:r>
        <w:t>T</w:t>
      </w:r>
      <w:r w:rsidRPr="00D77E41">
        <w:t xml:space="preserve">hree </w:t>
      </w:r>
      <w:r>
        <w:t>P</w:t>
      </w:r>
      <w:r w:rsidRPr="00D77E41">
        <w:t>hases of the SSIP</w:t>
      </w:r>
    </w:p>
    <w:p w14:paraId="705209A0" w14:textId="77777777" w:rsidR="009E3024" w:rsidRPr="00D77E41" w:rsidRDefault="009E3024" w:rsidP="009E3024">
      <w:r w:rsidRPr="00D77E41">
        <w:t>It is of the utmost importance to improve results for infants and toddlers with disabilities and their families by improving early intervention services. Stakeholders, including parents of infants and toddlers with disabilities, early intervention service (EIS) programs and providers, the State Interagency Coordinating Council, and others, are critical participants in improving results for infants and toddlers with disabilities and their families and must be included in developing, implementing, evaluating, and revising the SSIP and included in establishing the State’s targets under Indicator 11. The SSIP should include information about stakeholder involvement in all three phases.</w:t>
      </w:r>
    </w:p>
    <w:p w14:paraId="16482F85" w14:textId="61FC5286" w:rsidR="009E3024" w:rsidRPr="00C76255" w:rsidRDefault="009E3024" w:rsidP="009E3024">
      <w:pPr>
        <w:pStyle w:val="Subhed"/>
        <w:rPr>
          <w:b w:val="0"/>
        </w:rPr>
      </w:pPr>
      <w:r w:rsidRPr="00C76255">
        <w:rPr>
          <w:i/>
        </w:rPr>
        <w:t>Phase I: Analysis</w:t>
      </w:r>
      <w:r w:rsidR="00FA283D">
        <w:rPr>
          <w:b w:val="0"/>
        </w:rPr>
        <w:t>:</w:t>
      </w:r>
    </w:p>
    <w:p w14:paraId="6A53C679" w14:textId="6EC1FD61" w:rsidR="009E3024" w:rsidRPr="00D77E41" w:rsidRDefault="00FB141D" w:rsidP="00F85A5B">
      <w:pPr>
        <w:ind w:left="360"/>
      </w:pPr>
      <w:r>
        <w:t xml:space="preserve">- </w:t>
      </w:r>
      <w:r w:rsidR="009E3024" w:rsidRPr="00D77E41">
        <w:t>Data Analysis;</w:t>
      </w:r>
    </w:p>
    <w:p w14:paraId="2AF202E6" w14:textId="7A737778" w:rsidR="009E3024" w:rsidRPr="00D77E41" w:rsidRDefault="00FB141D" w:rsidP="00F85A5B">
      <w:pPr>
        <w:ind w:left="360"/>
      </w:pPr>
      <w:r>
        <w:t xml:space="preserve">- </w:t>
      </w:r>
      <w:r w:rsidR="009E3024" w:rsidRPr="00D77E41">
        <w:t>Analysis of State Infrastructure to Support Improvement and Build Capacity;</w:t>
      </w:r>
    </w:p>
    <w:p w14:paraId="2165FD76" w14:textId="397475D4" w:rsidR="009E3024" w:rsidRPr="00D77E41" w:rsidRDefault="00FB141D" w:rsidP="00F85A5B">
      <w:pPr>
        <w:ind w:left="360"/>
      </w:pPr>
      <w:r>
        <w:t xml:space="preserve">- </w:t>
      </w:r>
      <w:r w:rsidR="009E3024" w:rsidRPr="00D77E41">
        <w:t>State-identified Measurable Result(s) for Infants and Toddlers with Disabilities and their Families;</w:t>
      </w:r>
    </w:p>
    <w:p w14:paraId="60B94B6B" w14:textId="79941E27" w:rsidR="009E3024" w:rsidRPr="00D77E41" w:rsidRDefault="00FB141D" w:rsidP="00F85A5B">
      <w:pPr>
        <w:ind w:left="360"/>
      </w:pPr>
      <w:r>
        <w:t xml:space="preserve">- </w:t>
      </w:r>
      <w:r w:rsidR="009E3024" w:rsidRPr="00D77E41">
        <w:t>Selection of Coherent Improvement Strategies; and</w:t>
      </w:r>
    </w:p>
    <w:p w14:paraId="3F8F2083" w14:textId="6DA8FD5D" w:rsidR="009E3024" w:rsidRPr="00D77E41" w:rsidRDefault="00FB141D" w:rsidP="00F85A5B">
      <w:pPr>
        <w:ind w:left="360"/>
      </w:pPr>
      <w:r>
        <w:t xml:space="preserve">- </w:t>
      </w:r>
      <w:r w:rsidR="009E3024" w:rsidRPr="00D77E41">
        <w:t>Theory of Action.</w:t>
      </w:r>
    </w:p>
    <w:p w14:paraId="70DF16DB" w14:textId="3C43E375" w:rsidR="009E3024" w:rsidRPr="00C76255" w:rsidRDefault="009E3024" w:rsidP="009E3024">
      <w:pPr>
        <w:pStyle w:val="Subhed"/>
        <w:rPr>
          <w:b w:val="0"/>
        </w:rPr>
      </w:pPr>
      <w:r w:rsidRPr="00C76255">
        <w:rPr>
          <w:i/>
        </w:rPr>
        <w:t>Phase II: Plan</w:t>
      </w:r>
      <w:r w:rsidRPr="00C76255">
        <w:rPr>
          <w:b w:val="0"/>
        </w:rPr>
        <w:t xml:space="preserve"> (which </w:t>
      </w:r>
      <w:r w:rsidR="00FA283D">
        <w:rPr>
          <w:b w:val="0"/>
        </w:rPr>
        <w:t xml:space="preserve">is </w:t>
      </w:r>
      <w:r w:rsidRPr="00C76255">
        <w:rPr>
          <w:b w:val="0"/>
        </w:rPr>
        <w:t>in addition to the Phase I content (including any updates) outlined above:</w:t>
      </w:r>
    </w:p>
    <w:p w14:paraId="397CC486" w14:textId="0D68E6C4" w:rsidR="009E3024" w:rsidRPr="00D77E41" w:rsidRDefault="00C334F4" w:rsidP="0055373D">
      <w:pPr>
        <w:ind w:left="360"/>
      </w:pPr>
      <w:r>
        <w:t xml:space="preserve">- </w:t>
      </w:r>
      <w:r w:rsidR="009E3024" w:rsidRPr="00D77E41">
        <w:t>Infrastructure Development;</w:t>
      </w:r>
    </w:p>
    <w:p w14:paraId="028C10FD" w14:textId="494E6925" w:rsidR="009E3024" w:rsidRPr="00D77E41" w:rsidRDefault="00C334F4" w:rsidP="0055373D">
      <w:pPr>
        <w:ind w:left="360"/>
      </w:pPr>
      <w:r>
        <w:t xml:space="preserve">- </w:t>
      </w:r>
      <w:r w:rsidR="009E3024" w:rsidRPr="00D77E41">
        <w:t>Support for EIS Program and/or EIS Provider Implementation of Evidence-Based Practices; and</w:t>
      </w:r>
    </w:p>
    <w:p w14:paraId="52747840" w14:textId="0BC142ED" w:rsidR="009E3024" w:rsidRPr="00D77E41" w:rsidRDefault="00C334F4" w:rsidP="0055373D">
      <w:pPr>
        <w:ind w:left="360"/>
      </w:pPr>
      <w:r>
        <w:t xml:space="preserve">- </w:t>
      </w:r>
      <w:r w:rsidR="009E3024" w:rsidRPr="00D77E41">
        <w:t>Evaluation.</w:t>
      </w:r>
    </w:p>
    <w:p w14:paraId="59360DE3" w14:textId="6A7A23F1" w:rsidR="009E3024" w:rsidRPr="00C76255" w:rsidRDefault="009E3024" w:rsidP="009E3024">
      <w:pPr>
        <w:pStyle w:val="Subhed"/>
        <w:rPr>
          <w:b w:val="0"/>
        </w:rPr>
      </w:pPr>
      <w:r w:rsidRPr="00C76255">
        <w:rPr>
          <w:i/>
        </w:rPr>
        <w:t>Phase III: Implementation and Evaluation</w:t>
      </w:r>
      <w:r w:rsidRPr="00C76255">
        <w:rPr>
          <w:b w:val="0"/>
        </w:rPr>
        <w:t xml:space="preserve"> (which</w:t>
      </w:r>
      <w:r w:rsidR="00241D4B">
        <w:rPr>
          <w:b w:val="0"/>
        </w:rPr>
        <w:t xml:space="preserve"> is</w:t>
      </w:r>
      <w:r w:rsidRPr="00C76255">
        <w:rPr>
          <w:b w:val="0"/>
        </w:rPr>
        <w:t xml:space="preserve"> in addition to the Phase I and Phase II content (including any updates) outlined above:</w:t>
      </w:r>
    </w:p>
    <w:p w14:paraId="09BF97C2" w14:textId="1D61436C" w:rsidR="009E3024" w:rsidRPr="00D77E41" w:rsidRDefault="00FB141D" w:rsidP="00F85A5B">
      <w:pPr>
        <w:ind w:left="360"/>
      </w:pPr>
      <w:r>
        <w:t xml:space="preserve">- </w:t>
      </w:r>
      <w:r w:rsidR="009E3024" w:rsidRPr="00D77E41">
        <w:t>Results of Ongoing Evaluation and Revisions to the SSIP.</w:t>
      </w:r>
    </w:p>
    <w:p w14:paraId="162D9C3C" w14:textId="77777777" w:rsidR="009E3024" w:rsidRPr="00C76255" w:rsidRDefault="009E3024" w:rsidP="009E3024">
      <w:pPr>
        <w:rPr>
          <w:b/>
        </w:rPr>
      </w:pPr>
      <w:r w:rsidRPr="00C76255">
        <w:rPr>
          <w:b/>
        </w:rPr>
        <w:t>Specific Content of Each Phase of the SSIP</w:t>
      </w:r>
    </w:p>
    <w:p w14:paraId="6ECF6A75" w14:textId="6AC1BD99" w:rsidR="009E3024" w:rsidRPr="00D77E41" w:rsidRDefault="009E3024" w:rsidP="009E3024">
      <w:r w:rsidRPr="00D77E41">
        <w:t>Refer to FFY 2013-2015 Measurement Table for detailed requirements of Phase I and Phase II SSIP submissions.</w:t>
      </w:r>
    </w:p>
    <w:p w14:paraId="26340158" w14:textId="77777777" w:rsidR="009E3024" w:rsidRPr="00D77E41" w:rsidRDefault="009E3024" w:rsidP="009E3024">
      <w:r w:rsidRPr="00D77E41">
        <w:t>Phase III should only include information from Phase I or Phase II if changes or revisions are being made by the State and/or if information previously required in Phase I or Phase II was not reported.</w:t>
      </w:r>
    </w:p>
    <w:p w14:paraId="342443BE" w14:textId="77777777" w:rsidR="009E3024" w:rsidRPr="00C76255" w:rsidRDefault="009E3024" w:rsidP="009E3024">
      <w:pPr>
        <w:rPr>
          <w:b/>
          <w:i/>
        </w:rPr>
      </w:pPr>
      <w:r w:rsidRPr="00C76255">
        <w:rPr>
          <w:b/>
          <w:i/>
        </w:rPr>
        <w:t>Phase III: Implementation and Evaluation</w:t>
      </w:r>
    </w:p>
    <w:p w14:paraId="6E47A165" w14:textId="77777777" w:rsidR="009E3024" w:rsidRPr="00D77E41" w:rsidRDefault="009E3024" w:rsidP="009E3024">
      <w:r w:rsidRPr="00D77E41">
        <w:t>In Phase III, the State must, consistent with its evaluation plan described in Phase II, assess and report on its progress implementing the SSIP. This includes: (A) data and analysis on the extent to which the State has made progress toward and/or met the State-established short-term and long-term outcomes or objectives for implementation of the SSIP and its progress toward achieving the State-identified Measurable Result for Infants and Toddlers with Disabilities and Their Families (</w:t>
      </w:r>
      <w:proofErr w:type="spellStart"/>
      <w:r w:rsidRPr="00D77E41">
        <w:t>SiMR</w:t>
      </w:r>
      <w:proofErr w:type="spellEnd"/>
      <w:r w:rsidRPr="00D77E41">
        <w:t>); (B) the rationale for any revisions that were made, or that the State intends to make, to the SSIP as the result of implementation, analysis, and evaluation; and (C) a description of the meaningful stakeholder engagement. If the State intends to continue implementing the SSIP without modifications, the State must describe how the data from the evaluation support this decision.</w:t>
      </w:r>
    </w:p>
    <w:p w14:paraId="4D078392" w14:textId="77777777" w:rsidR="009E3024" w:rsidRPr="00D77E41" w:rsidRDefault="009E3024" w:rsidP="009E3024">
      <w:pPr>
        <w:tabs>
          <w:tab w:val="left" w:pos="270"/>
          <w:tab w:val="left" w:pos="630"/>
        </w:tabs>
      </w:pPr>
      <w:r w:rsidRPr="00D77E41">
        <w:t>A</w:t>
      </w:r>
      <w:r>
        <w:t>.</w:t>
      </w:r>
      <w:r w:rsidRPr="00D77E41">
        <w:t xml:space="preserve"> </w:t>
      </w:r>
      <w:r>
        <w:tab/>
      </w:r>
      <w:r w:rsidRPr="00D77E41">
        <w:t>Data Analysis</w:t>
      </w:r>
    </w:p>
    <w:p w14:paraId="344F56D3" w14:textId="0C06481A" w:rsidR="009E3024" w:rsidRPr="00D77E41" w:rsidRDefault="009E3024" w:rsidP="009E3024">
      <w:r w:rsidRPr="00D77E41">
        <w:t xml:space="preserve">As required in the Instructions for the Indicator/Measurement, in its FFYs </w:t>
      </w:r>
      <w:r w:rsidR="00483791">
        <w:t>202</w:t>
      </w:r>
      <w:r w:rsidR="007137B3">
        <w:t>0</w:t>
      </w:r>
      <w:r w:rsidR="00483791" w:rsidRPr="00D77E41">
        <w:t xml:space="preserve"> </w:t>
      </w:r>
      <w:r w:rsidRPr="00D77E41">
        <w:t xml:space="preserve">through </w:t>
      </w:r>
      <w:r>
        <w:t>FFY 202</w:t>
      </w:r>
      <w:r w:rsidR="007137B3">
        <w:t>5</w:t>
      </w:r>
      <w:r w:rsidRPr="00D77E41">
        <w:t xml:space="preserve"> SPP/APR, the State must report data for that specific FFY (expressed as actual numbers and percentages) that are aligned with the </w:t>
      </w:r>
      <w:proofErr w:type="spellStart"/>
      <w:r w:rsidRPr="00D77E41">
        <w:t>SiMR</w:t>
      </w:r>
      <w:proofErr w:type="spellEnd"/>
      <w:r w:rsidRPr="00D77E41">
        <w:t xml:space="preserve">. The State must report on whether the State met its target. In addition, the State may report on any additional data (e.g., progress monitoring data) that were collected and analyzed that would suggest progress toward the </w:t>
      </w:r>
      <w:proofErr w:type="spellStart"/>
      <w:r w:rsidRPr="00D77E41">
        <w:t>SiMR</w:t>
      </w:r>
      <w:proofErr w:type="spellEnd"/>
      <w:r w:rsidRPr="00D77E41">
        <w:t xml:space="preserve">. States using a subset of the population from the indicator (e.g., a sample, cohort model) should describe how data are collected and analyzed for the </w:t>
      </w:r>
      <w:proofErr w:type="spellStart"/>
      <w:r w:rsidRPr="00D77E41">
        <w:t>SiMR</w:t>
      </w:r>
      <w:proofErr w:type="spellEnd"/>
      <w:r w:rsidRPr="00D77E41">
        <w:t xml:space="preserve"> if that was not described in Phase I or Phase II of the SSIP.</w:t>
      </w:r>
    </w:p>
    <w:p w14:paraId="62C2ADDF" w14:textId="77777777" w:rsidR="009E3024" w:rsidRPr="00D77E41" w:rsidRDefault="009E3024" w:rsidP="009E3024">
      <w:pPr>
        <w:tabs>
          <w:tab w:val="left" w:pos="360"/>
        </w:tabs>
      </w:pPr>
      <w:r w:rsidRPr="00D77E41">
        <w:t>B</w:t>
      </w:r>
      <w:r>
        <w:t>.</w:t>
      </w:r>
      <w:r w:rsidRPr="00D77E41">
        <w:t xml:space="preserve"> </w:t>
      </w:r>
      <w:r>
        <w:tab/>
      </w:r>
      <w:r w:rsidRPr="00D77E41">
        <w:t>Phase III Implementation, Analysis and Evaluation</w:t>
      </w:r>
    </w:p>
    <w:p w14:paraId="61954051" w14:textId="5C65CC8D" w:rsidR="009E3024" w:rsidRPr="00D77E41" w:rsidRDefault="009E3024" w:rsidP="009E3024">
      <w:r w:rsidRPr="00D77E41">
        <w:t xml:space="preserve">The State must provide a narrative or graphic representation, </w:t>
      </w:r>
      <w:r w:rsidR="00B04149">
        <w:t>(</w:t>
      </w:r>
      <w:r w:rsidRPr="00D77E41">
        <w:t>e.g., a logic model</w:t>
      </w:r>
      <w:r w:rsidR="00B04149">
        <w:t>)</w:t>
      </w:r>
      <w:r w:rsidRPr="00D77E41">
        <w:t xml:space="preserve"> of the principal activities, measures and outcomes that were implemented since the State’s last SSIP submission (i.e., </w:t>
      </w:r>
      <w:r w:rsidR="00CE7219">
        <w:t xml:space="preserve">February </w:t>
      </w:r>
      <w:r>
        <w:t>1</w:t>
      </w:r>
      <w:r w:rsidRPr="00D77E41">
        <w:t xml:space="preserve">, </w:t>
      </w:r>
      <w:r w:rsidR="00555AD9">
        <w:t>2023</w:t>
      </w:r>
      <w:r w:rsidRPr="00D77E41">
        <w:t>). The evaluation should align with the theory of action described in Phase I and the evaluation plan described in Phase II. The State must describe any changes to the activities, strategies, or timelines described in Phase II and include a rationale or justification for the changes. If the State intends to continue implementing the SSIP without modifications, the State must describe how the data from the evaluation support this decision.</w:t>
      </w:r>
    </w:p>
    <w:p w14:paraId="35D14A61" w14:textId="76FEA6F3" w:rsidR="009E3024" w:rsidRPr="00D77E41" w:rsidRDefault="009E3024" w:rsidP="009E3024">
      <w:r w:rsidRPr="00D77E41">
        <w:t xml:space="preserve">The State must summarize the infrastructure improvement strategies that were implemented, and the short-term outcomes achieved, including the measures or rationale used by the State and stakeholders to assess and communicate achievement.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w:t>
      </w:r>
      <w:proofErr w:type="spellStart"/>
      <w:r w:rsidRPr="00D77E41">
        <w:t>SiMR</w:t>
      </w:r>
      <w:proofErr w:type="spellEnd"/>
      <w:r w:rsidRPr="00D77E41">
        <w:t xml:space="preserve">; (b) sustainability of systems improvement efforts; and/or (c) scale-up. The State must describe the next steps for each infrastructure improvement strategy and the anticipated outcomes to be attained during the next fiscal year (e.g., for the </w:t>
      </w:r>
      <w:r>
        <w:t xml:space="preserve">FFY </w:t>
      </w:r>
      <w:r w:rsidR="00BC6E1E">
        <w:t>202</w:t>
      </w:r>
      <w:r w:rsidR="00B5224F">
        <w:t>2</w:t>
      </w:r>
      <w:r w:rsidR="00BC6E1E" w:rsidRPr="00D77E41">
        <w:t xml:space="preserve"> </w:t>
      </w:r>
      <w:r w:rsidRPr="00D77E41">
        <w:t xml:space="preserve">APR, report on anticipated outcomes to be obtained during FFY </w:t>
      </w:r>
      <w:r w:rsidR="00BC6E1E">
        <w:t>202</w:t>
      </w:r>
      <w:r w:rsidR="00B5224F">
        <w:t>3</w:t>
      </w:r>
      <w:r w:rsidRPr="00D77E41">
        <w:t xml:space="preserve">, i.e., July 1, </w:t>
      </w:r>
      <w:r>
        <w:t>202</w:t>
      </w:r>
      <w:r w:rsidR="00B5224F">
        <w:t>3</w:t>
      </w:r>
      <w:r w:rsidRPr="00D77E41">
        <w:t xml:space="preserve">-June 30, </w:t>
      </w:r>
      <w:r>
        <w:t>202</w:t>
      </w:r>
      <w:r w:rsidR="00B5224F">
        <w:t>4</w:t>
      </w:r>
      <w:r w:rsidRPr="00D77E41">
        <w:t>).</w:t>
      </w:r>
    </w:p>
    <w:p w14:paraId="391F34BE" w14:textId="089C8C20" w:rsidR="009E3024" w:rsidRPr="00D77E41" w:rsidRDefault="009E3024" w:rsidP="009E3024">
      <w:r w:rsidRPr="00D77E41">
        <w:t xml:space="preserve">The State must summarize the specific evidence-based practices that were implemented and the strategies or activities that supported their selection and ensured their use with fidelity. Describe how the evidence-based practices, and activities or strategies that support their use, are intended to impact the </w:t>
      </w:r>
      <w:proofErr w:type="spellStart"/>
      <w:r w:rsidRPr="00D77E41">
        <w:t>SiMR</w:t>
      </w:r>
      <w:proofErr w:type="spellEnd"/>
      <w:r w:rsidRPr="00D77E41">
        <w:t xml:space="preserve"> by changing program/district policies, procedures, and/or practices, teacher/provider practices </w:t>
      </w:r>
      <w:bookmarkStart w:id="63" w:name="_Hlk109647955"/>
      <w:r w:rsidRPr="00D77E41">
        <w:t>(</w:t>
      </w:r>
      <w:r w:rsidR="00F37E58" w:rsidRPr="00D21F29">
        <w:rPr>
          <w:i/>
          <w:iCs/>
        </w:rPr>
        <w:t>e.</w:t>
      </w:r>
      <w:r w:rsidR="00B04149" w:rsidRPr="00D21F29">
        <w:rPr>
          <w:i/>
          <w:iCs/>
        </w:rPr>
        <w:t>g.</w:t>
      </w:r>
      <w:r w:rsidRPr="00D21F29">
        <w:rPr>
          <w:i/>
          <w:iCs/>
        </w:rPr>
        <w:t>,</w:t>
      </w:r>
      <w:r w:rsidRPr="00D77E41">
        <w:t xml:space="preserve"> behaviors), parent/caregiver outcomes, </w:t>
      </w:r>
      <w:r w:rsidRPr="00D77E41">
        <w:lastRenderedPageBreak/>
        <w:t>and/or child outcomes. Describe any additional data (</w:t>
      </w:r>
      <w:r w:rsidR="00B04149" w:rsidRPr="00D21F29">
        <w:rPr>
          <w:i/>
          <w:iCs/>
        </w:rPr>
        <w:t>e.g</w:t>
      </w:r>
      <w:r w:rsidRPr="00D21F29">
        <w:rPr>
          <w:i/>
          <w:iCs/>
        </w:rPr>
        <w:t>.,</w:t>
      </w:r>
      <w:r w:rsidRPr="00D77E41">
        <w:t xml:space="preserve"> progress monitoring data) that was collected to support the on-going use of the evidence-based practices and inform decision-making for the next year of SSIP implementation.</w:t>
      </w:r>
      <w:bookmarkEnd w:id="63"/>
    </w:p>
    <w:p w14:paraId="7D373E21" w14:textId="77777777" w:rsidR="009E3024" w:rsidRPr="00D77E41" w:rsidRDefault="009E3024" w:rsidP="009E3024">
      <w:pPr>
        <w:tabs>
          <w:tab w:val="left" w:pos="270"/>
        </w:tabs>
      </w:pPr>
      <w:r w:rsidRPr="00D77E41">
        <w:t>C</w:t>
      </w:r>
      <w:r>
        <w:t xml:space="preserve">. </w:t>
      </w:r>
      <w:r>
        <w:tab/>
      </w:r>
      <w:r w:rsidRPr="00D77E41">
        <w:t>Stakeholder Engagement</w:t>
      </w:r>
    </w:p>
    <w:p w14:paraId="4B576169" w14:textId="77777777" w:rsidR="009E3024" w:rsidRPr="00D77E41" w:rsidRDefault="009E3024" w:rsidP="009E3024">
      <w:r w:rsidRPr="00D77E41">
        <w:t>The State must describe the specific strategies implemented to engage stakeholders in key improvement efforts and how the State addressed concerns, if any, raised by stakeholders through its engagement activities.</w:t>
      </w:r>
    </w:p>
    <w:p w14:paraId="7240E8DC" w14:textId="77777777" w:rsidR="009E3024" w:rsidRPr="00D77E41" w:rsidRDefault="009E3024" w:rsidP="009E3024">
      <w:r w:rsidRPr="00D77E41">
        <w:t>Additional Implementation Activities</w:t>
      </w:r>
    </w:p>
    <w:p w14:paraId="3F323975" w14:textId="7D2FEB51" w:rsidR="009E3024" w:rsidRDefault="009E3024" w:rsidP="009E3024">
      <w:r w:rsidRPr="00D77E41">
        <w:t xml:space="preserve">The State should identify any activities not already described that it intends to implement in the next fiscal year (e.g., for the </w:t>
      </w:r>
      <w:r>
        <w:t xml:space="preserve">FFY </w:t>
      </w:r>
      <w:r w:rsidR="00B7212B">
        <w:t>202</w:t>
      </w:r>
      <w:r w:rsidR="00B5224F">
        <w:t>2</w:t>
      </w:r>
      <w:r w:rsidR="00B7212B" w:rsidRPr="00D77E41">
        <w:t xml:space="preserve"> </w:t>
      </w:r>
      <w:r w:rsidRPr="00D77E41">
        <w:t xml:space="preserve">APR, report on activities it intends to implement in FFY </w:t>
      </w:r>
      <w:r w:rsidR="00B7212B">
        <w:t>202</w:t>
      </w:r>
      <w:r w:rsidR="00B5224F">
        <w:t>3</w:t>
      </w:r>
      <w:r w:rsidRPr="00D77E41">
        <w:t xml:space="preserve">, i.e., July 1, </w:t>
      </w:r>
      <w:r>
        <w:t>202</w:t>
      </w:r>
      <w:r w:rsidR="00B5224F">
        <w:t>3</w:t>
      </w:r>
      <w:r w:rsidRPr="00D77E41">
        <w:t xml:space="preserve">-June 30, </w:t>
      </w:r>
      <w:r>
        <w:t>202</w:t>
      </w:r>
      <w:r w:rsidR="00B5224F">
        <w:t>4</w:t>
      </w:r>
      <w:r w:rsidRPr="00D77E41">
        <w:t xml:space="preserve">) including a timeline, anticipated data collection and measures, and expected outcomes that are related to the </w:t>
      </w:r>
      <w:proofErr w:type="spellStart"/>
      <w:r w:rsidRPr="00D77E41">
        <w:t>SiMR</w:t>
      </w:r>
      <w:proofErr w:type="spellEnd"/>
      <w:r w:rsidRPr="00D77E41">
        <w:t>. The State should describe any newly identified barriers and include steps to address these barriers.</w:t>
      </w:r>
    </w:p>
    <w:bookmarkEnd w:id="61"/>
    <w:p w14:paraId="091FCDF2" w14:textId="2F330FEF" w:rsidR="00F5460E" w:rsidRDefault="00F5460E" w:rsidP="00F5460E">
      <w:pPr>
        <w:pStyle w:val="Heading2"/>
      </w:pPr>
      <w:r w:rsidRPr="00A40EE1">
        <w:t>1</w:t>
      </w:r>
      <w:r>
        <w:t>1</w:t>
      </w:r>
      <w:r w:rsidRPr="00A40EE1">
        <w:t xml:space="preserve"> - </w:t>
      </w:r>
      <w:r w:rsidRPr="000A364E">
        <w:t>Indicator Data</w:t>
      </w:r>
    </w:p>
    <w:p w14:paraId="62AF478C" w14:textId="77777777" w:rsidR="00741E58" w:rsidRPr="00F85A5B" w:rsidRDefault="00741E58" w:rsidP="00741E58">
      <w:pPr>
        <w:rPr>
          <w:b/>
          <w:bCs/>
        </w:rPr>
      </w:pPr>
      <w:r w:rsidRPr="00F85A5B">
        <w:rPr>
          <w:b/>
          <w:bCs/>
        </w:rPr>
        <w:t>Section A: Data Analysis</w:t>
      </w:r>
    </w:p>
    <w:p w14:paraId="54F70263" w14:textId="58D3F4C5" w:rsidR="00F5460E" w:rsidRDefault="00741E58" w:rsidP="00741E58">
      <w:pPr>
        <w:rPr>
          <w:b/>
          <w:bCs/>
        </w:rPr>
      </w:pPr>
      <w:r w:rsidRPr="00F85A5B">
        <w:rPr>
          <w:b/>
          <w:bCs/>
        </w:rPr>
        <w:t>What is the State-identified Measurable Result (</w:t>
      </w:r>
      <w:proofErr w:type="spellStart"/>
      <w:r w:rsidRPr="00F85A5B">
        <w:rPr>
          <w:b/>
          <w:bCs/>
        </w:rPr>
        <w:t>SiMR</w:t>
      </w:r>
      <w:proofErr w:type="spellEnd"/>
      <w:r w:rsidRPr="00F85A5B">
        <w:rPr>
          <w:b/>
          <w:bCs/>
        </w:rPr>
        <w:t>)?</w:t>
      </w:r>
    </w:p>
    <w:p w14:paraId="5EF17788" w14:textId="2FA358EC" w:rsidR="008517CB" w:rsidRPr="00F85A5B" w:rsidRDefault="008517CB" w:rsidP="00741E58">
      <w:pPr>
        <w:rPr>
          <w:color w:val="000000" w:themeColor="text1"/>
        </w:rPr>
      </w:pPr>
      <w:proofErr w:type="spellStart"/>
      <w:r w:rsidRPr="00ED172B">
        <w:rPr>
          <w:color w:val="000000" w:themeColor="text1"/>
        </w:rPr>
        <w:t>TThe</w:t>
      </w:r>
      <w:proofErr w:type="spellEnd"/>
      <w:r w:rsidRPr="00ED172B">
        <w:rPr>
          <w:color w:val="000000" w:themeColor="text1"/>
        </w:rPr>
        <w:t xml:space="preserve"> State Identified Measurable Result (</w:t>
      </w:r>
      <w:proofErr w:type="spellStart"/>
      <w:r w:rsidRPr="00ED172B">
        <w:rPr>
          <w:color w:val="000000" w:themeColor="text1"/>
        </w:rPr>
        <w:t>SiMR</w:t>
      </w:r>
      <w:proofErr w:type="spellEnd"/>
      <w:r w:rsidRPr="00ED172B">
        <w:rPr>
          <w:color w:val="000000" w:themeColor="text1"/>
        </w:rPr>
        <w:t xml:space="preserve">) for infants, toddlers, and preschool children with disabilities and their families is to increase the rate of growth in social-emotional and approaches to learning skills for children with disabilities, birth through age five. The </w:t>
      </w:r>
      <w:proofErr w:type="spellStart"/>
      <w:r w:rsidRPr="00ED172B">
        <w:rPr>
          <w:color w:val="000000" w:themeColor="text1"/>
        </w:rPr>
        <w:t>SiMR</w:t>
      </w:r>
      <w:proofErr w:type="spellEnd"/>
      <w:r w:rsidRPr="00ED172B">
        <w:rPr>
          <w:color w:val="000000" w:themeColor="text1"/>
        </w:rPr>
        <w:t xml:space="preserve"> will be measured by using the child outcome data for both C3, Outcomes A and B, Summary statement 1.</w:t>
      </w:r>
    </w:p>
    <w:p w14:paraId="3035665E" w14:textId="2B992CBD" w:rsidR="008517CB" w:rsidRDefault="008517CB" w:rsidP="008517CB">
      <w:pPr>
        <w:rPr>
          <w:b/>
          <w:bCs/>
        </w:rPr>
      </w:pPr>
      <w:r w:rsidRPr="008517CB">
        <w:rPr>
          <w:b/>
          <w:bCs/>
        </w:rPr>
        <w:t xml:space="preserve">Has the </w:t>
      </w:r>
      <w:proofErr w:type="spellStart"/>
      <w:r w:rsidRPr="008517CB">
        <w:rPr>
          <w:b/>
          <w:bCs/>
        </w:rPr>
        <w:t>SiMR</w:t>
      </w:r>
      <w:proofErr w:type="spellEnd"/>
      <w:r w:rsidRPr="008517CB">
        <w:rPr>
          <w:b/>
          <w:bCs/>
        </w:rPr>
        <w:t xml:space="preserve"> changed since the last SSIP submission? (yes/no)</w:t>
      </w:r>
    </w:p>
    <w:p w14:paraId="1894103D" w14:textId="08DFDF04" w:rsidR="001C46CD" w:rsidRPr="000123EB" w:rsidRDefault="001C46CD" w:rsidP="008517CB">
      <w:r w:rsidRPr="000123EB">
        <w:t>NO</w:t>
      </w:r>
    </w:p>
    <w:p w14:paraId="6EC47F33" w14:textId="77777777" w:rsidR="00E46F5E" w:rsidRDefault="00E46F5E" w:rsidP="008517CB">
      <w:pPr>
        <w:rPr>
          <w:b/>
          <w:bCs/>
        </w:rPr>
      </w:pPr>
    </w:p>
    <w:p w14:paraId="160C27D7" w14:textId="03F97943" w:rsidR="008517CB" w:rsidRDefault="008517CB" w:rsidP="008517CB">
      <w:pPr>
        <w:rPr>
          <w:b/>
          <w:bCs/>
        </w:rPr>
      </w:pPr>
      <w:bookmarkStart w:id="64" w:name="_Hlk109646818"/>
      <w:r w:rsidRPr="008517CB">
        <w:rPr>
          <w:b/>
          <w:bCs/>
        </w:rPr>
        <w:t>Is the State using a subset of the population from the indicator (</w:t>
      </w:r>
      <w:r w:rsidRPr="008517CB">
        <w:rPr>
          <w:b/>
          <w:bCs/>
          <w:i/>
          <w:iCs/>
        </w:rPr>
        <w:t>e.g.</w:t>
      </w:r>
      <w:r w:rsidRPr="008517CB">
        <w:rPr>
          <w:b/>
          <w:bCs/>
        </w:rPr>
        <w:t>, a sample, cohort model)?</w:t>
      </w:r>
      <w:r w:rsidR="00CD071F">
        <w:rPr>
          <w:b/>
          <w:bCs/>
        </w:rPr>
        <w:t xml:space="preserve"> </w:t>
      </w:r>
      <w:r w:rsidR="00CD071F" w:rsidRPr="00CD071F">
        <w:rPr>
          <w:b/>
          <w:bCs/>
        </w:rPr>
        <w:t>(yes/no)</w:t>
      </w:r>
    </w:p>
    <w:bookmarkEnd w:id="64"/>
    <w:p w14:paraId="2DFF9C44" w14:textId="3D7DE653" w:rsidR="00E46F5E" w:rsidRPr="000123EB" w:rsidRDefault="00E46F5E" w:rsidP="008517CB">
      <w:pPr>
        <w:rPr>
          <w:color w:val="000000" w:themeColor="text1"/>
        </w:rPr>
      </w:pPr>
      <w:r w:rsidRPr="000123EB">
        <w:rPr>
          <w:color w:val="000000" w:themeColor="text1"/>
        </w:rPr>
        <w:t>NO</w:t>
      </w:r>
    </w:p>
    <w:p w14:paraId="750D781D" w14:textId="77777777" w:rsidR="00E46F5E" w:rsidRPr="008517CB" w:rsidRDefault="00E46F5E" w:rsidP="008517CB">
      <w:pPr>
        <w:rPr>
          <w:b/>
          <w:bCs/>
        </w:rPr>
      </w:pPr>
    </w:p>
    <w:p w14:paraId="67311EEB" w14:textId="5E251F48" w:rsidR="00A5616C" w:rsidRDefault="00A5616C" w:rsidP="00A5616C">
      <w:pPr>
        <w:rPr>
          <w:b/>
          <w:bCs/>
        </w:rPr>
      </w:pPr>
      <w:bookmarkStart w:id="65" w:name="_Hlk109646832"/>
      <w:r w:rsidRPr="00A5616C">
        <w:rPr>
          <w:b/>
          <w:bCs/>
        </w:rPr>
        <w:t>Is the State’s theory of action new or revised since the previous submission? (yes/no)</w:t>
      </w:r>
    </w:p>
    <w:bookmarkEnd w:id="65"/>
    <w:p w14:paraId="66909F1C" w14:textId="33FCF0A9" w:rsidR="00A5616C" w:rsidRPr="000123EB" w:rsidRDefault="00A5616C" w:rsidP="00A5616C">
      <w:r w:rsidRPr="000123EB">
        <w:t>NO</w:t>
      </w:r>
    </w:p>
    <w:p w14:paraId="0D9538A8" w14:textId="7B83F3AB" w:rsidR="00305E79" w:rsidRPr="00305E79" w:rsidRDefault="00305E79" w:rsidP="00305E79">
      <w:pPr>
        <w:rPr>
          <w:rFonts w:cs="Arial"/>
          <w:b/>
          <w:bCs/>
          <w:szCs w:val="16"/>
        </w:rPr>
      </w:pPr>
      <w:r w:rsidRPr="0055373D">
        <w:rPr>
          <w:rFonts w:cs="Arial"/>
          <w:b/>
          <w:bCs/>
          <w:szCs w:val="16"/>
        </w:rPr>
        <w:t>Please provide a link to the current theory of action.</w:t>
      </w:r>
    </w:p>
    <w:p w14:paraId="0FC0C59D" w14:textId="4CA000ED" w:rsidR="00305E79" w:rsidRPr="00F85A5B" w:rsidRDefault="00305E79" w:rsidP="00305E79">
      <w:r w:rsidRPr="00FD59F0">
        <w:t xml:space="preserve">The theory of action is posted here: https://www.oregon.gov/ode/reports-and-data/SpEdReports/Documents/2020%20APR-SPP/FY20%20Part%20C%20TOA.pdf. </w:t>
      </w:r>
    </w:p>
    <w:p w14:paraId="7076EF11" w14:textId="77777777" w:rsidR="006A3544" w:rsidRDefault="006A3544" w:rsidP="008517CB">
      <w:pPr>
        <w:rPr>
          <w:b/>
          <w:bCs/>
        </w:rPr>
      </w:pPr>
    </w:p>
    <w:p w14:paraId="106F39B4" w14:textId="77777777" w:rsidR="00A3455E" w:rsidRDefault="00A3455E" w:rsidP="00A3455E">
      <w:pPr>
        <w:pStyle w:val="Subhed"/>
      </w:pPr>
      <w:bookmarkStart w:id="66" w:name="_Hlk109646858"/>
      <w:r w:rsidRPr="000315F0">
        <w:t xml:space="preserve">Progress toward the </w:t>
      </w:r>
      <w:proofErr w:type="spellStart"/>
      <w:r w:rsidRPr="000315F0">
        <w:t>SiMR</w:t>
      </w:r>
      <w:proofErr w:type="spellEnd"/>
    </w:p>
    <w:p w14:paraId="16056B16" w14:textId="399C7865" w:rsidR="00A3455E" w:rsidRPr="00250728" w:rsidRDefault="00A3455E" w:rsidP="00A3455E">
      <w:pPr>
        <w:rPr>
          <w:rFonts w:cs="Arial"/>
          <w:b/>
          <w:bCs/>
        </w:rPr>
      </w:pPr>
      <w:r w:rsidRPr="00F85A5B">
        <w:rPr>
          <w:rFonts w:cs="Arial"/>
          <w:b/>
          <w:bCs/>
        </w:rPr>
        <w:t>Please provide the data for the specific FFY listed below (expressed as actual number and percentages)</w:t>
      </w:r>
      <w:r w:rsidRPr="00F85A5B">
        <w:rPr>
          <w:rFonts w:cs="Arial"/>
          <w:b/>
          <w:bCs/>
          <w:i/>
          <w:iCs/>
        </w:rPr>
        <w:t>.</w:t>
      </w:r>
    </w:p>
    <w:p w14:paraId="3645021F" w14:textId="058BAA46" w:rsidR="00A3455E" w:rsidRDefault="00A3455E" w:rsidP="00741E58">
      <w:pPr>
        <w:rPr>
          <w:b/>
          <w:bCs/>
        </w:rPr>
      </w:pPr>
      <w:r w:rsidRPr="00A3455E">
        <w:rPr>
          <w:b/>
          <w:bCs/>
        </w:rPr>
        <w:t>Select yes if the State uses two targets for measurement. (yes/no)</w:t>
      </w:r>
    </w:p>
    <w:bookmarkEnd w:id="66"/>
    <w:p w14:paraId="1D770D42" w14:textId="74DA622B" w:rsidR="00C00467" w:rsidRPr="000123EB" w:rsidRDefault="00935B33" w:rsidP="00741E58">
      <w:r w:rsidRPr="000123EB">
        <w:t>YES</w:t>
      </w:r>
    </w:p>
    <w:p w14:paraId="1B5FC03B" w14:textId="77777777" w:rsidR="00DA5777" w:rsidRDefault="00DA5777" w:rsidP="00DA5777">
      <w:pPr>
        <w:rPr>
          <w:rFonts w:cs="Arial"/>
          <w:b/>
          <w:color w:val="000000" w:themeColor="text1"/>
          <w:szCs w:val="16"/>
        </w:rPr>
      </w:pPr>
      <w:r w:rsidRPr="00ED172B">
        <w:rPr>
          <w:rFonts w:cs="Arial"/>
          <w:b/>
          <w:color w:val="000000" w:themeColor="text1"/>
          <w:szCs w:val="16"/>
        </w:rPr>
        <w:t>Historical Data</w:t>
      </w:r>
    </w:p>
    <w:p w14:paraId="7E764C72" w14:textId="77777777" w:rsidR="00DA5777" w:rsidRDefault="00DA5777" w:rsidP="00741E58"/>
    <w:tbl>
      <w:tblPr>
        <w:tblW w:w="2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11MTBASELINEDATA"/>
      </w:tblPr>
      <w:tblGrid>
        <w:gridCol w:w="1524"/>
        <w:gridCol w:w="2161"/>
        <w:gridCol w:w="2161"/>
      </w:tblGrid>
      <w:tr w:rsidR="00650588" w:rsidRPr="005C29F8" w14:paraId="33A12306" w14:textId="1A360DFD" w:rsidTr="000F1FED">
        <w:trPr>
          <w:trHeight w:val="350"/>
          <w:tblHeader/>
        </w:trPr>
        <w:tc>
          <w:tcPr>
            <w:tcW w:w="1303" w:type="pct"/>
            <w:tcBorders>
              <w:top w:val="single" w:sz="4" w:space="0" w:color="auto"/>
              <w:left w:val="single" w:sz="4" w:space="0" w:color="auto"/>
              <w:bottom w:val="single" w:sz="4" w:space="0" w:color="auto"/>
              <w:right w:val="single" w:sz="4" w:space="0" w:color="auto"/>
            </w:tcBorders>
            <w:shd w:val="clear" w:color="auto" w:fill="auto"/>
          </w:tcPr>
          <w:p w14:paraId="1ADDCB04" w14:textId="77777777" w:rsidR="00650588" w:rsidRPr="005C29F8" w:rsidRDefault="00650588" w:rsidP="001B7654">
            <w:pPr>
              <w:spacing w:line="276" w:lineRule="auto"/>
              <w:jc w:val="center"/>
              <w:rPr>
                <w:rFonts w:cs="Arial"/>
                <w:b/>
                <w:color w:val="000000" w:themeColor="text1"/>
                <w:szCs w:val="16"/>
              </w:rPr>
            </w:pPr>
            <w:r>
              <w:rPr>
                <w:rFonts w:cs="Arial"/>
                <w:b/>
                <w:color w:val="000000" w:themeColor="text1"/>
                <w:szCs w:val="16"/>
              </w:rPr>
              <w:t>Part</w:t>
            </w:r>
          </w:p>
        </w:tc>
        <w:tc>
          <w:tcPr>
            <w:tcW w:w="1848" w:type="pct"/>
            <w:tcBorders>
              <w:top w:val="single" w:sz="4" w:space="0" w:color="auto"/>
              <w:left w:val="single" w:sz="4" w:space="0" w:color="auto"/>
              <w:bottom w:val="single" w:sz="4" w:space="0" w:color="auto"/>
              <w:right w:val="single" w:sz="4" w:space="0" w:color="auto"/>
            </w:tcBorders>
            <w:shd w:val="clear" w:color="auto" w:fill="auto"/>
          </w:tcPr>
          <w:p w14:paraId="49C2075C" w14:textId="6EF41394" w:rsidR="00650588" w:rsidRPr="005C29F8" w:rsidRDefault="00650588" w:rsidP="001B7654">
            <w:pPr>
              <w:spacing w:line="276" w:lineRule="auto"/>
              <w:jc w:val="center"/>
              <w:rPr>
                <w:rFonts w:cs="Arial"/>
                <w:b/>
                <w:color w:val="000000" w:themeColor="text1"/>
                <w:szCs w:val="16"/>
              </w:rPr>
            </w:pPr>
            <w:r w:rsidRPr="005C29F8">
              <w:rPr>
                <w:rFonts w:cs="Arial"/>
                <w:b/>
                <w:color w:val="000000" w:themeColor="text1"/>
                <w:szCs w:val="16"/>
              </w:rPr>
              <w:t>Baseline Year</w:t>
            </w:r>
          </w:p>
        </w:tc>
        <w:tc>
          <w:tcPr>
            <w:tcW w:w="1848" w:type="pct"/>
            <w:tcBorders>
              <w:top w:val="single" w:sz="4" w:space="0" w:color="auto"/>
              <w:left w:val="single" w:sz="4" w:space="0" w:color="auto"/>
              <w:bottom w:val="single" w:sz="4" w:space="0" w:color="auto"/>
              <w:right w:val="single" w:sz="4" w:space="0" w:color="auto"/>
            </w:tcBorders>
          </w:tcPr>
          <w:p w14:paraId="26C35CD5" w14:textId="267696FB" w:rsidR="00650588" w:rsidRPr="005C29F8" w:rsidRDefault="00650588" w:rsidP="001B7654">
            <w:pPr>
              <w:spacing w:line="276" w:lineRule="auto"/>
              <w:jc w:val="center"/>
              <w:rPr>
                <w:rFonts w:cs="Arial"/>
                <w:b/>
                <w:color w:val="000000" w:themeColor="text1"/>
                <w:szCs w:val="16"/>
              </w:rPr>
            </w:pPr>
            <w:r>
              <w:rPr>
                <w:rFonts w:cs="Arial"/>
                <w:b/>
                <w:color w:val="000000" w:themeColor="text1"/>
                <w:szCs w:val="16"/>
              </w:rPr>
              <w:t>Baseline Data</w:t>
            </w:r>
          </w:p>
        </w:tc>
      </w:tr>
      <w:tr w:rsidR="00650588" w:rsidRPr="005C29F8" w14:paraId="1AF97C7F" w14:textId="6A7F0A33" w:rsidTr="00FE08AC">
        <w:trPr>
          <w:trHeight w:val="70"/>
        </w:trPr>
        <w:tc>
          <w:tcPr>
            <w:tcW w:w="1303" w:type="pct"/>
            <w:tcBorders>
              <w:top w:val="single" w:sz="4" w:space="0" w:color="auto"/>
              <w:left w:val="single" w:sz="4" w:space="0" w:color="auto"/>
              <w:right w:val="single" w:sz="4" w:space="0" w:color="auto"/>
            </w:tcBorders>
            <w:shd w:val="clear" w:color="auto" w:fill="auto"/>
            <w:vAlign w:val="center"/>
          </w:tcPr>
          <w:p w14:paraId="47C96569" w14:textId="77777777" w:rsidR="00650588" w:rsidRPr="005C29F8" w:rsidRDefault="00650588" w:rsidP="001B7654">
            <w:pPr>
              <w:spacing w:line="276" w:lineRule="auto"/>
              <w:jc w:val="center"/>
              <w:rPr>
                <w:rFonts w:cs="Arial"/>
                <w:color w:val="000000" w:themeColor="text1"/>
                <w:szCs w:val="16"/>
              </w:rPr>
            </w:pPr>
            <w:r w:rsidRPr="005C29F8">
              <w:rPr>
                <w:rFonts w:cs="Arial"/>
                <w:color w:val="000000" w:themeColor="text1"/>
                <w:szCs w:val="16"/>
              </w:rPr>
              <w:t>A</w:t>
            </w:r>
          </w:p>
        </w:tc>
        <w:tc>
          <w:tcPr>
            <w:tcW w:w="1848" w:type="pct"/>
            <w:tcBorders>
              <w:top w:val="single" w:sz="4" w:space="0" w:color="auto"/>
              <w:left w:val="single" w:sz="4" w:space="0" w:color="auto"/>
              <w:right w:val="single" w:sz="4" w:space="0" w:color="auto"/>
            </w:tcBorders>
            <w:shd w:val="clear" w:color="auto" w:fill="auto"/>
            <w:vAlign w:val="center"/>
          </w:tcPr>
          <w:p w14:paraId="14444AE2" w14:textId="106CA4CF" w:rsidR="00650588" w:rsidRPr="005C29F8" w:rsidRDefault="00650588" w:rsidP="001B7654">
            <w:pPr>
              <w:jc w:val="center"/>
              <w:rPr>
                <w:rFonts w:cs="Arial"/>
                <w:color w:val="000000" w:themeColor="text1"/>
                <w:szCs w:val="16"/>
              </w:rPr>
            </w:pPr>
            <w:r w:rsidRPr="005C29F8">
              <w:rPr>
                <w:rFonts w:cs="Arial"/>
                <w:color w:val="000000" w:themeColor="text1"/>
                <w:szCs w:val="16"/>
              </w:rPr>
              <w:t>2015</w:t>
            </w:r>
          </w:p>
        </w:tc>
        <w:tc>
          <w:tcPr>
            <w:tcW w:w="1848" w:type="pct"/>
            <w:tcBorders>
              <w:top w:val="single" w:sz="4" w:space="0" w:color="auto"/>
              <w:left w:val="single" w:sz="4" w:space="0" w:color="auto"/>
              <w:right w:val="single" w:sz="4" w:space="0" w:color="auto"/>
            </w:tcBorders>
            <w:shd w:val="clear" w:color="auto" w:fill="auto"/>
          </w:tcPr>
          <w:p w14:paraId="26B734F9" w14:textId="372DC332" w:rsidR="00650588" w:rsidRPr="005C29F8" w:rsidRDefault="00650588" w:rsidP="001B7654">
            <w:pPr>
              <w:jc w:val="center"/>
              <w:rPr>
                <w:rFonts w:cs="Arial"/>
                <w:color w:val="000000" w:themeColor="text1"/>
                <w:szCs w:val="16"/>
              </w:rPr>
            </w:pPr>
            <w:r w:rsidRPr="005C29F8">
              <w:rPr>
                <w:rFonts w:cs="Arial"/>
                <w:color w:val="000000" w:themeColor="text1"/>
                <w:szCs w:val="16"/>
              </w:rPr>
              <w:t>81.54%</w:t>
            </w:r>
          </w:p>
        </w:tc>
      </w:tr>
      <w:tr w:rsidR="00650588" w:rsidRPr="005C29F8" w14:paraId="2EA6A3D2" w14:textId="5467D34C" w:rsidTr="00FE08AC">
        <w:trPr>
          <w:trHeight w:val="357"/>
        </w:trPr>
        <w:tc>
          <w:tcPr>
            <w:tcW w:w="1303" w:type="pct"/>
            <w:tcBorders>
              <w:top w:val="single" w:sz="4" w:space="0" w:color="auto"/>
              <w:left w:val="single" w:sz="4" w:space="0" w:color="auto"/>
              <w:right w:val="single" w:sz="4" w:space="0" w:color="auto"/>
            </w:tcBorders>
            <w:shd w:val="clear" w:color="auto" w:fill="auto"/>
            <w:vAlign w:val="center"/>
          </w:tcPr>
          <w:p w14:paraId="34C05370" w14:textId="77777777" w:rsidR="00650588" w:rsidRPr="005C29F8" w:rsidRDefault="00650588" w:rsidP="001B7654">
            <w:pPr>
              <w:spacing w:line="276" w:lineRule="auto"/>
              <w:jc w:val="center"/>
              <w:rPr>
                <w:rFonts w:cs="Arial"/>
                <w:color w:val="000000" w:themeColor="text1"/>
                <w:szCs w:val="16"/>
              </w:rPr>
            </w:pPr>
            <w:r w:rsidRPr="005C29F8">
              <w:rPr>
                <w:rFonts w:cs="Arial"/>
                <w:color w:val="000000" w:themeColor="text1"/>
                <w:szCs w:val="16"/>
              </w:rPr>
              <w:t>B</w:t>
            </w:r>
          </w:p>
        </w:tc>
        <w:tc>
          <w:tcPr>
            <w:tcW w:w="1848" w:type="pct"/>
            <w:tcBorders>
              <w:top w:val="single" w:sz="4" w:space="0" w:color="auto"/>
              <w:left w:val="single" w:sz="4" w:space="0" w:color="auto"/>
              <w:right w:val="single" w:sz="4" w:space="0" w:color="auto"/>
            </w:tcBorders>
            <w:shd w:val="clear" w:color="auto" w:fill="auto"/>
            <w:vAlign w:val="center"/>
          </w:tcPr>
          <w:p w14:paraId="514DBF09" w14:textId="174E9545" w:rsidR="00650588" w:rsidRPr="005C29F8" w:rsidRDefault="00650588" w:rsidP="001B7654">
            <w:pPr>
              <w:jc w:val="center"/>
              <w:rPr>
                <w:rFonts w:cs="Arial"/>
                <w:color w:val="000000" w:themeColor="text1"/>
                <w:szCs w:val="16"/>
              </w:rPr>
            </w:pPr>
            <w:r w:rsidRPr="005C29F8">
              <w:rPr>
                <w:rFonts w:cs="Arial"/>
                <w:color w:val="000000" w:themeColor="text1"/>
                <w:szCs w:val="16"/>
              </w:rPr>
              <w:t>2015</w:t>
            </w:r>
          </w:p>
        </w:tc>
        <w:tc>
          <w:tcPr>
            <w:tcW w:w="1848" w:type="pct"/>
            <w:tcBorders>
              <w:top w:val="single" w:sz="4" w:space="0" w:color="auto"/>
              <w:left w:val="single" w:sz="4" w:space="0" w:color="auto"/>
              <w:right w:val="single" w:sz="4" w:space="0" w:color="auto"/>
            </w:tcBorders>
            <w:shd w:val="clear" w:color="auto" w:fill="auto"/>
          </w:tcPr>
          <w:p w14:paraId="2E21FBE7" w14:textId="7B821B72" w:rsidR="00650588" w:rsidRPr="005C29F8" w:rsidRDefault="00650588" w:rsidP="001B7654">
            <w:pPr>
              <w:jc w:val="center"/>
              <w:rPr>
                <w:rFonts w:cs="Arial"/>
                <w:color w:val="000000" w:themeColor="text1"/>
                <w:szCs w:val="16"/>
              </w:rPr>
            </w:pPr>
            <w:r w:rsidRPr="005C29F8">
              <w:rPr>
                <w:rFonts w:cs="Arial"/>
                <w:color w:val="000000" w:themeColor="text1"/>
                <w:szCs w:val="16"/>
              </w:rPr>
              <w:t>61.33%</w:t>
            </w:r>
          </w:p>
        </w:tc>
      </w:tr>
    </w:tbl>
    <w:p w14:paraId="19223998" w14:textId="77777777" w:rsidR="00743680" w:rsidRDefault="00743680" w:rsidP="00572D50">
      <w:pPr>
        <w:rPr>
          <w:b/>
          <w:color w:val="000000" w:themeColor="text1"/>
        </w:rPr>
      </w:pPr>
    </w:p>
    <w:p w14:paraId="1279110E" w14:textId="4A308981" w:rsidR="00D4643F" w:rsidRPr="005C29F8" w:rsidRDefault="00D4643F" w:rsidP="00D4643F">
      <w:pPr>
        <w:rPr>
          <w:color w:val="000000" w:themeColor="text1"/>
        </w:rPr>
      </w:pPr>
      <w:r w:rsidRPr="005C29F8">
        <w:rPr>
          <w:b/>
          <w:color w:val="000000" w:themeColor="text1"/>
        </w:rPr>
        <w:t>Targets</w:t>
      </w:r>
    </w:p>
    <w:tbl>
      <w:tblPr>
        <w:tblW w:w="42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1MTTARGETS"/>
      </w:tblPr>
      <w:tblGrid>
        <w:gridCol w:w="673"/>
        <w:gridCol w:w="1691"/>
        <w:gridCol w:w="1691"/>
        <w:gridCol w:w="1691"/>
        <w:gridCol w:w="1690"/>
        <w:gridCol w:w="1690"/>
      </w:tblGrid>
      <w:tr w:rsidR="00C00467" w:rsidRPr="005C29F8" w14:paraId="2677C51D" w14:textId="77777777" w:rsidTr="005032AF">
        <w:trPr>
          <w:trHeight w:val="264"/>
        </w:trPr>
        <w:tc>
          <w:tcPr>
            <w:tcW w:w="368" w:type="pct"/>
            <w:tcBorders>
              <w:bottom w:val="single" w:sz="4" w:space="0" w:color="auto"/>
            </w:tcBorders>
            <w:shd w:val="clear" w:color="auto" w:fill="auto"/>
          </w:tcPr>
          <w:p w14:paraId="498FF152" w14:textId="77777777" w:rsidR="00C00467" w:rsidRPr="005C29F8" w:rsidRDefault="00C00467" w:rsidP="001B7654">
            <w:pPr>
              <w:jc w:val="center"/>
              <w:rPr>
                <w:b/>
                <w:color w:val="000000" w:themeColor="text1"/>
              </w:rPr>
            </w:pPr>
            <w:r w:rsidRPr="005C29F8">
              <w:rPr>
                <w:b/>
                <w:color w:val="000000" w:themeColor="text1"/>
              </w:rPr>
              <w:t>FFY</w:t>
            </w:r>
          </w:p>
        </w:tc>
        <w:tc>
          <w:tcPr>
            <w:tcW w:w="926" w:type="pct"/>
          </w:tcPr>
          <w:p w14:paraId="6C150D84" w14:textId="712B5542" w:rsidR="00C00467" w:rsidRPr="005C29F8" w:rsidRDefault="00C00467" w:rsidP="001B7654">
            <w:pPr>
              <w:jc w:val="center"/>
              <w:rPr>
                <w:b/>
                <w:color w:val="000000" w:themeColor="text1"/>
              </w:rPr>
            </w:pPr>
            <w:r w:rsidRPr="00B67020">
              <w:rPr>
                <w:b/>
                <w:color w:val="000000" w:themeColor="text1"/>
              </w:rPr>
              <w:t>Current Relationship</w:t>
            </w:r>
          </w:p>
        </w:tc>
        <w:tc>
          <w:tcPr>
            <w:tcW w:w="926" w:type="pct"/>
            <w:shd w:val="clear" w:color="auto" w:fill="auto"/>
          </w:tcPr>
          <w:p w14:paraId="3229A936" w14:textId="409D42B6" w:rsidR="00C00467" w:rsidRPr="005C29F8" w:rsidRDefault="00C00467" w:rsidP="001B7654">
            <w:pPr>
              <w:jc w:val="center"/>
              <w:rPr>
                <w:b/>
                <w:color w:val="000000" w:themeColor="text1"/>
              </w:rPr>
            </w:pPr>
            <w:r w:rsidRPr="005C29F8">
              <w:rPr>
                <w:b/>
                <w:color w:val="000000" w:themeColor="text1"/>
              </w:rPr>
              <w:t>2022</w:t>
            </w:r>
          </w:p>
        </w:tc>
        <w:tc>
          <w:tcPr>
            <w:tcW w:w="926" w:type="pct"/>
          </w:tcPr>
          <w:p w14:paraId="034D4EF8" w14:textId="77777777" w:rsidR="00C00467" w:rsidRPr="005C29F8" w:rsidRDefault="00C00467" w:rsidP="001B7654">
            <w:pPr>
              <w:jc w:val="center"/>
              <w:rPr>
                <w:b/>
                <w:color w:val="000000" w:themeColor="text1"/>
              </w:rPr>
            </w:pPr>
            <w:r>
              <w:rPr>
                <w:rFonts w:cs="Arial"/>
                <w:b/>
                <w:color w:val="000000" w:themeColor="text1"/>
                <w:szCs w:val="16"/>
              </w:rPr>
              <w:t>2023</w:t>
            </w:r>
          </w:p>
        </w:tc>
        <w:tc>
          <w:tcPr>
            <w:tcW w:w="926" w:type="pct"/>
          </w:tcPr>
          <w:p w14:paraId="47DB251C" w14:textId="77777777" w:rsidR="00C00467" w:rsidRPr="005C29F8" w:rsidRDefault="00C00467" w:rsidP="001B7654">
            <w:pPr>
              <w:jc w:val="center"/>
              <w:rPr>
                <w:b/>
                <w:color w:val="000000" w:themeColor="text1"/>
              </w:rPr>
            </w:pPr>
            <w:r>
              <w:rPr>
                <w:rFonts w:cs="Arial"/>
                <w:b/>
                <w:color w:val="000000" w:themeColor="text1"/>
                <w:szCs w:val="16"/>
              </w:rPr>
              <w:t>2024</w:t>
            </w:r>
          </w:p>
        </w:tc>
        <w:tc>
          <w:tcPr>
            <w:tcW w:w="926" w:type="pct"/>
          </w:tcPr>
          <w:p w14:paraId="3D2B72AC" w14:textId="77777777" w:rsidR="00C00467" w:rsidRPr="005C29F8" w:rsidRDefault="00C00467" w:rsidP="001B7654">
            <w:pPr>
              <w:jc w:val="center"/>
              <w:rPr>
                <w:b/>
                <w:color w:val="000000" w:themeColor="text1"/>
              </w:rPr>
            </w:pPr>
            <w:r>
              <w:rPr>
                <w:rFonts w:cs="Arial"/>
                <w:b/>
                <w:color w:val="000000" w:themeColor="text1"/>
                <w:szCs w:val="16"/>
              </w:rPr>
              <w:t>2025</w:t>
            </w:r>
          </w:p>
        </w:tc>
      </w:tr>
      <w:tr w:rsidR="00C00467" w:rsidRPr="005C29F8" w14:paraId="6A7454E2" w14:textId="77777777" w:rsidTr="005032AF">
        <w:trPr>
          <w:trHeight w:val="270"/>
        </w:trPr>
        <w:tc>
          <w:tcPr>
            <w:tcW w:w="368" w:type="pct"/>
            <w:shd w:val="clear" w:color="auto" w:fill="auto"/>
            <w:vAlign w:val="center"/>
          </w:tcPr>
          <w:p w14:paraId="5BD1A879" w14:textId="77777777" w:rsidR="00C00467" w:rsidRPr="005C29F8" w:rsidRDefault="00C00467" w:rsidP="00D21F29">
            <w:pPr>
              <w:jc w:val="center"/>
              <w:rPr>
                <w:rFonts w:cs="Arial"/>
                <w:color w:val="000000" w:themeColor="text1"/>
                <w:szCs w:val="16"/>
              </w:rPr>
            </w:pPr>
            <w:r w:rsidRPr="005C29F8">
              <w:rPr>
                <w:rFonts w:cs="Arial"/>
                <w:color w:val="000000" w:themeColor="text1"/>
                <w:szCs w:val="16"/>
              </w:rPr>
              <w:t>Target A</w:t>
            </w:r>
          </w:p>
        </w:tc>
        <w:tc>
          <w:tcPr>
            <w:tcW w:w="926" w:type="pct"/>
          </w:tcPr>
          <w:p w14:paraId="6BB22562" w14:textId="7F70501C" w:rsidR="00C00467" w:rsidRPr="005C29F8" w:rsidRDefault="00C00467" w:rsidP="001B7654">
            <w:pPr>
              <w:jc w:val="center"/>
              <w:rPr>
                <w:rFonts w:cs="Arial"/>
                <w:color w:val="000000" w:themeColor="text1"/>
                <w:szCs w:val="16"/>
              </w:rPr>
            </w:pPr>
            <w:r w:rsidRPr="00B67020">
              <w:rPr>
                <w:rFonts w:cs="Arial"/>
                <w:color w:val="000000" w:themeColor="text1"/>
                <w:szCs w:val="16"/>
              </w:rPr>
              <w:t>Data must be greater than or equal to the target</w:t>
            </w:r>
          </w:p>
        </w:tc>
        <w:tc>
          <w:tcPr>
            <w:tcW w:w="926" w:type="pct"/>
            <w:shd w:val="clear" w:color="auto" w:fill="auto"/>
            <w:vAlign w:val="center"/>
          </w:tcPr>
          <w:p w14:paraId="153919FA" w14:textId="7EB47324" w:rsidR="00C00467" w:rsidRPr="005C29F8" w:rsidRDefault="00C00467" w:rsidP="001B7654">
            <w:pPr>
              <w:jc w:val="center"/>
              <w:rPr>
                <w:rFonts w:cs="Arial"/>
                <w:color w:val="000000" w:themeColor="text1"/>
                <w:szCs w:val="16"/>
              </w:rPr>
            </w:pPr>
            <w:r w:rsidRPr="005C29F8">
              <w:rPr>
                <w:rFonts w:cs="Arial"/>
                <w:color w:val="000000" w:themeColor="text1"/>
                <w:szCs w:val="16"/>
              </w:rPr>
              <w:t>85.80%</w:t>
            </w:r>
          </w:p>
        </w:tc>
        <w:tc>
          <w:tcPr>
            <w:tcW w:w="926" w:type="pct"/>
            <w:shd w:val="clear" w:color="auto" w:fill="auto"/>
          </w:tcPr>
          <w:p w14:paraId="4AA65480" w14:textId="06F6C5B0" w:rsidR="00C00467" w:rsidRPr="005C29F8" w:rsidRDefault="00C00467" w:rsidP="001B7654">
            <w:pPr>
              <w:jc w:val="center"/>
              <w:rPr>
                <w:rFonts w:cs="Arial"/>
                <w:color w:val="000000" w:themeColor="text1"/>
                <w:szCs w:val="16"/>
              </w:rPr>
            </w:pPr>
            <w:r>
              <w:rPr>
                <w:color w:val="000000" w:themeColor="text1"/>
                <w:szCs w:val="16"/>
              </w:rPr>
              <w:t>86.00%</w:t>
            </w:r>
          </w:p>
        </w:tc>
        <w:tc>
          <w:tcPr>
            <w:tcW w:w="926" w:type="pct"/>
            <w:shd w:val="clear" w:color="auto" w:fill="auto"/>
          </w:tcPr>
          <w:p w14:paraId="6A0493AE" w14:textId="09846AB5" w:rsidR="00C00467" w:rsidRPr="005C29F8" w:rsidRDefault="00C00467" w:rsidP="001B7654">
            <w:pPr>
              <w:jc w:val="center"/>
              <w:rPr>
                <w:rFonts w:cs="Arial"/>
                <w:color w:val="000000" w:themeColor="text1"/>
                <w:szCs w:val="16"/>
              </w:rPr>
            </w:pPr>
            <w:r w:rsidRPr="00B203CF">
              <w:rPr>
                <w:color w:val="000000" w:themeColor="text1"/>
                <w:szCs w:val="16"/>
              </w:rPr>
              <w:t>86.20%</w:t>
            </w:r>
          </w:p>
        </w:tc>
        <w:tc>
          <w:tcPr>
            <w:tcW w:w="926" w:type="pct"/>
            <w:shd w:val="clear" w:color="auto" w:fill="auto"/>
          </w:tcPr>
          <w:p w14:paraId="4CA26A9A" w14:textId="5B7BF11D" w:rsidR="00C00467" w:rsidRPr="005C29F8" w:rsidRDefault="00C00467" w:rsidP="001B7654">
            <w:pPr>
              <w:jc w:val="center"/>
              <w:rPr>
                <w:rFonts w:cs="Arial"/>
                <w:color w:val="000000" w:themeColor="text1"/>
                <w:szCs w:val="16"/>
              </w:rPr>
            </w:pPr>
            <w:r w:rsidRPr="00B203CF">
              <w:rPr>
                <w:color w:val="000000" w:themeColor="text1"/>
                <w:szCs w:val="16"/>
              </w:rPr>
              <w:t>86.40%</w:t>
            </w:r>
          </w:p>
        </w:tc>
      </w:tr>
      <w:tr w:rsidR="00C00467" w:rsidRPr="005C29F8" w14:paraId="5809D3A3" w14:textId="77777777" w:rsidTr="005032AF">
        <w:trPr>
          <w:trHeight w:val="270"/>
        </w:trPr>
        <w:tc>
          <w:tcPr>
            <w:tcW w:w="368" w:type="pct"/>
            <w:shd w:val="clear" w:color="auto" w:fill="auto"/>
            <w:vAlign w:val="center"/>
          </w:tcPr>
          <w:p w14:paraId="531F78DE" w14:textId="7519A24F" w:rsidR="00C00467" w:rsidRPr="005C29F8" w:rsidRDefault="00C00467" w:rsidP="00D21F29">
            <w:pPr>
              <w:jc w:val="center"/>
              <w:rPr>
                <w:rFonts w:cs="Arial"/>
                <w:color w:val="000000" w:themeColor="text1"/>
                <w:szCs w:val="16"/>
              </w:rPr>
            </w:pPr>
            <w:r w:rsidRPr="005C29F8">
              <w:rPr>
                <w:rFonts w:cs="Arial"/>
                <w:color w:val="000000" w:themeColor="text1"/>
                <w:szCs w:val="16"/>
              </w:rPr>
              <w:t>Target B</w:t>
            </w:r>
          </w:p>
        </w:tc>
        <w:tc>
          <w:tcPr>
            <w:tcW w:w="926" w:type="pct"/>
          </w:tcPr>
          <w:p w14:paraId="3FD74B69" w14:textId="25898411" w:rsidR="00C00467" w:rsidRPr="005C29F8" w:rsidRDefault="00C00467" w:rsidP="00EB1354">
            <w:pPr>
              <w:jc w:val="center"/>
              <w:rPr>
                <w:rFonts w:cs="Arial"/>
                <w:color w:val="000000" w:themeColor="text1"/>
                <w:szCs w:val="16"/>
              </w:rPr>
            </w:pPr>
            <w:r w:rsidRPr="00B67020">
              <w:rPr>
                <w:rFonts w:cs="Arial"/>
                <w:color w:val="000000" w:themeColor="text1"/>
                <w:szCs w:val="16"/>
              </w:rPr>
              <w:t>Data must be greater than or equal to the target</w:t>
            </w:r>
          </w:p>
        </w:tc>
        <w:tc>
          <w:tcPr>
            <w:tcW w:w="926" w:type="pct"/>
            <w:shd w:val="clear" w:color="auto" w:fill="auto"/>
            <w:vAlign w:val="center"/>
          </w:tcPr>
          <w:p w14:paraId="796CB9C8" w14:textId="2C5123CD" w:rsidR="00C00467" w:rsidRPr="005C29F8" w:rsidRDefault="00C00467" w:rsidP="00EB1354">
            <w:pPr>
              <w:jc w:val="center"/>
              <w:rPr>
                <w:rFonts w:cs="Arial"/>
                <w:color w:val="000000" w:themeColor="text1"/>
                <w:szCs w:val="16"/>
              </w:rPr>
            </w:pPr>
            <w:r w:rsidRPr="005C29F8">
              <w:rPr>
                <w:rFonts w:cs="Arial"/>
                <w:color w:val="000000" w:themeColor="text1"/>
                <w:szCs w:val="16"/>
              </w:rPr>
              <w:t>68.10%</w:t>
            </w:r>
          </w:p>
        </w:tc>
        <w:tc>
          <w:tcPr>
            <w:tcW w:w="926" w:type="pct"/>
            <w:shd w:val="clear" w:color="auto" w:fill="auto"/>
          </w:tcPr>
          <w:p w14:paraId="5B202564" w14:textId="2B1E8B7D" w:rsidR="00C00467" w:rsidRDefault="00C00467" w:rsidP="00EB1354">
            <w:pPr>
              <w:jc w:val="center"/>
              <w:rPr>
                <w:color w:val="000000" w:themeColor="text1"/>
                <w:szCs w:val="16"/>
              </w:rPr>
            </w:pPr>
            <w:r>
              <w:rPr>
                <w:color w:val="000000" w:themeColor="text1"/>
                <w:szCs w:val="16"/>
              </w:rPr>
              <w:t>68.30%</w:t>
            </w:r>
          </w:p>
        </w:tc>
        <w:tc>
          <w:tcPr>
            <w:tcW w:w="926" w:type="pct"/>
            <w:shd w:val="clear" w:color="auto" w:fill="auto"/>
          </w:tcPr>
          <w:p w14:paraId="7B47515B" w14:textId="403C8476" w:rsidR="00C00467" w:rsidRPr="00B203CF" w:rsidRDefault="00C00467" w:rsidP="00EB1354">
            <w:pPr>
              <w:jc w:val="center"/>
              <w:rPr>
                <w:color w:val="000000" w:themeColor="text1"/>
                <w:szCs w:val="16"/>
              </w:rPr>
            </w:pPr>
            <w:r w:rsidRPr="00B203CF">
              <w:rPr>
                <w:color w:val="000000" w:themeColor="text1"/>
                <w:szCs w:val="16"/>
              </w:rPr>
              <w:t>68.50%</w:t>
            </w:r>
          </w:p>
        </w:tc>
        <w:tc>
          <w:tcPr>
            <w:tcW w:w="926" w:type="pct"/>
            <w:shd w:val="clear" w:color="auto" w:fill="auto"/>
          </w:tcPr>
          <w:p w14:paraId="7A08FCB4" w14:textId="13C09BF3" w:rsidR="00C00467" w:rsidRPr="00B203CF" w:rsidRDefault="00C00467" w:rsidP="00EB1354">
            <w:pPr>
              <w:jc w:val="center"/>
              <w:rPr>
                <w:color w:val="000000" w:themeColor="text1"/>
                <w:szCs w:val="16"/>
              </w:rPr>
            </w:pPr>
            <w:r w:rsidRPr="00B203CF">
              <w:rPr>
                <w:color w:val="000000" w:themeColor="text1"/>
                <w:szCs w:val="16"/>
              </w:rPr>
              <w:t>68.70%</w:t>
            </w:r>
          </w:p>
        </w:tc>
      </w:tr>
    </w:tbl>
    <w:p w14:paraId="1B8683C0" w14:textId="1873EB7B" w:rsidR="00D4643F" w:rsidRDefault="00D4643F" w:rsidP="00741E58"/>
    <w:p w14:paraId="34B0E85F" w14:textId="43180742" w:rsidR="005630B4" w:rsidRPr="005C29F8" w:rsidRDefault="005630B4" w:rsidP="005630B4">
      <w:pPr>
        <w:rPr>
          <w:b/>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1MTFFYAPRDATA"/>
      </w:tblPr>
      <w:tblGrid>
        <w:gridCol w:w="715"/>
        <w:gridCol w:w="1800"/>
        <w:gridCol w:w="1800"/>
        <w:gridCol w:w="1295"/>
        <w:gridCol w:w="1295"/>
        <w:gridCol w:w="1295"/>
        <w:gridCol w:w="1295"/>
        <w:gridCol w:w="1295"/>
      </w:tblGrid>
      <w:tr w:rsidR="0047666D" w:rsidRPr="005C29F8" w14:paraId="68D5F33C" w14:textId="77777777" w:rsidTr="009C4033">
        <w:trPr>
          <w:trHeight w:val="440"/>
        </w:trPr>
        <w:tc>
          <w:tcPr>
            <w:tcW w:w="331" w:type="pct"/>
            <w:shd w:val="clear" w:color="auto" w:fill="auto"/>
            <w:vAlign w:val="bottom"/>
          </w:tcPr>
          <w:p w14:paraId="69F21AAD" w14:textId="022741F8" w:rsidR="00134C0C" w:rsidRPr="005C29F8" w:rsidRDefault="005630B4" w:rsidP="001B7654">
            <w:pPr>
              <w:jc w:val="center"/>
              <w:rPr>
                <w:b/>
                <w:color w:val="000000" w:themeColor="text1"/>
              </w:rPr>
            </w:pPr>
            <w:r>
              <w:rPr>
                <w:b/>
                <w:color w:val="000000" w:themeColor="text1"/>
              </w:rPr>
              <w:t>Part</w:t>
            </w:r>
          </w:p>
        </w:tc>
        <w:tc>
          <w:tcPr>
            <w:tcW w:w="834" w:type="pct"/>
            <w:shd w:val="clear" w:color="auto" w:fill="auto"/>
            <w:vAlign w:val="bottom"/>
          </w:tcPr>
          <w:p w14:paraId="07F64DBF" w14:textId="0745F599" w:rsidR="00134C0C" w:rsidRPr="005C29F8" w:rsidRDefault="0070373C" w:rsidP="001B7654">
            <w:pPr>
              <w:jc w:val="center"/>
              <w:rPr>
                <w:b/>
                <w:color w:val="000000" w:themeColor="text1"/>
              </w:rPr>
            </w:pPr>
            <w:r w:rsidRPr="005C29F8">
              <w:rPr>
                <w:rFonts w:cs="Arial"/>
                <w:color w:val="000000" w:themeColor="text1"/>
                <w:szCs w:val="16"/>
              </w:rPr>
              <w:t>A: Indicator C3 Outcome A1: (# of infants and toddlers reported in progress category (c) plus # of infants and toddlers reported in category (d</w:t>
            </w:r>
            <w:proofErr w:type="gramStart"/>
            <w:r w:rsidRPr="005C29F8">
              <w:rPr>
                <w:rFonts w:cs="Arial"/>
                <w:color w:val="000000" w:themeColor="text1"/>
                <w:szCs w:val="16"/>
              </w:rPr>
              <w:t>))  B</w:t>
            </w:r>
            <w:proofErr w:type="gramEnd"/>
            <w:r w:rsidRPr="005C29F8">
              <w:rPr>
                <w:rFonts w:cs="Arial"/>
                <w:color w:val="000000" w:themeColor="text1"/>
                <w:szCs w:val="16"/>
              </w:rPr>
              <w:t xml:space="preserve">: Indicator C3 Outcome B1: (# of infants and toddlers reported in progress category (c) plus # of infants and toddlers </w:t>
            </w:r>
            <w:r w:rsidRPr="005C29F8">
              <w:rPr>
                <w:rFonts w:cs="Arial"/>
                <w:color w:val="000000" w:themeColor="text1"/>
                <w:szCs w:val="16"/>
              </w:rPr>
              <w:lastRenderedPageBreak/>
              <w:t>reported in category (d)</w:t>
            </w:r>
          </w:p>
        </w:tc>
        <w:tc>
          <w:tcPr>
            <w:tcW w:w="834" w:type="pct"/>
            <w:shd w:val="clear" w:color="auto" w:fill="auto"/>
            <w:vAlign w:val="bottom"/>
          </w:tcPr>
          <w:p w14:paraId="0F114546" w14:textId="23441E2A" w:rsidR="00134C0C" w:rsidRPr="005C29F8" w:rsidRDefault="0070373C" w:rsidP="001B7654">
            <w:pPr>
              <w:jc w:val="center"/>
              <w:rPr>
                <w:b/>
                <w:color w:val="000000" w:themeColor="text1"/>
              </w:rPr>
            </w:pPr>
            <w:r w:rsidRPr="005C29F8">
              <w:rPr>
                <w:rFonts w:cs="Arial"/>
                <w:color w:val="000000" w:themeColor="text1"/>
                <w:szCs w:val="16"/>
              </w:rPr>
              <w:lastRenderedPageBreak/>
              <w:t xml:space="preserve">A: Indicator C3 Outcome A1:  (# of infants and toddlers reported in progress category (a) plus # of infants and toddlers reported in progress category (b) plus # of infants and toddlers reported in progress category (c) plus # of infants and toddlers reported in progress </w:t>
            </w:r>
            <w:r w:rsidRPr="005C29F8">
              <w:rPr>
                <w:rFonts w:cs="Arial"/>
                <w:color w:val="000000" w:themeColor="text1"/>
                <w:szCs w:val="16"/>
              </w:rPr>
              <w:lastRenderedPageBreak/>
              <w:t>category (d))  B: Indicator C3 Outcome B1: Outcome B1:  (# of infants and toddlers reported in progress category (a) plus # of infants and toddlers reported in progress category (b) plus # of infants and toddlers reported in progress category (c) plus # of infants and toddlers reported in progress category (d))</w:t>
            </w:r>
          </w:p>
        </w:tc>
        <w:tc>
          <w:tcPr>
            <w:tcW w:w="600" w:type="pct"/>
            <w:shd w:val="clear" w:color="auto" w:fill="auto"/>
            <w:vAlign w:val="bottom"/>
          </w:tcPr>
          <w:p w14:paraId="249B3A57" w14:textId="2B687FCC" w:rsidR="00134C0C" w:rsidRPr="005C29F8" w:rsidRDefault="00134C0C" w:rsidP="001B7654">
            <w:pPr>
              <w:jc w:val="center"/>
              <w:rPr>
                <w:b/>
                <w:color w:val="000000" w:themeColor="text1"/>
              </w:rPr>
            </w:pPr>
            <w:r>
              <w:rPr>
                <w:b/>
                <w:color w:val="000000" w:themeColor="text1"/>
              </w:rPr>
              <w:lastRenderedPageBreak/>
              <w:t>FFY 2021 Data</w:t>
            </w:r>
          </w:p>
        </w:tc>
        <w:tc>
          <w:tcPr>
            <w:tcW w:w="600" w:type="pct"/>
            <w:shd w:val="clear" w:color="auto" w:fill="auto"/>
            <w:vAlign w:val="bottom"/>
          </w:tcPr>
          <w:p w14:paraId="7219E003" w14:textId="62FB7A44" w:rsidR="00134C0C" w:rsidRPr="005C29F8" w:rsidRDefault="00134C0C" w:rsidP="001B7654">
            <w:pPr>
              <w:jc w:val="center"/>
              <w:rPr>
                <w:b/>
                <w:color w:val="000000" w:themeColor="text1"/>
              </w:rPr>
            </w:pPr>
            <w:r>
              <w:rPr>
                <w:b/>
                <w:color w:val="000000" w:themeColor="text1"/>
              </w:rPr>
              <w:t>FFY 2022 Target</w:t>
            </w:r>
          </w:p>
        </w:tc>
        <w:tc>
          <w:tcPr>
            <w:tcW w:w="600" w:type="pct"/>
            <w:shd w:val="clear" w:color="auto" w:fill="auto"/>
            <w:vAlign w:val="bottom"/>
          </w:tcPr>
          <w:p w14:paraId="65B3CD12" w14:textId="648E75A4" w:rsidR="00134C0C" w:rsidRPr="005C29F8" w:rsidRDefault="00134C0C" w:rsidP="001B7654">
            <w:pPr>
              <w:jc w:val="center"/>
              <w:rPr>
                <w:b/>
                <w:color w:val="000000" w:themeColor="text1"/>
              </w:rPr>
            </w:pPr>
            <w:r>
              <w:rPr>
                <w:b/>
                <w:color w:val="000000" w:themeColor="text1"/>
              </w:rPr>
              <w:t>FFY 2022 Data</w:t>
            </w:r>
          </w:p>
        </w:tc>
        <w:tc>
          <w:tcPr>
            <w:tcW w:w="600" w:type="pct"/>
            <w:shd w:val="clear" w:color="auto" w:fill="auto"/>
            <w:vAlign w:val="bottom"/>
          </w:tcPr>
          <w:p w14:paraId="3DCF20A7" w14:textId="77777777" w:rsidR="00134C0C" w:rsidRPr="005C29F8" w:rsidRDefault="00134C0C" w:rsidP="001B7654">
            <w:pPr>
              <w:jc w:val="center"/>
              <w:rPr>
                <w:b/>
                <w:color w:val="000000" w:themeColor="text1"/>
              </w:rPr>
            </w:pPr>
            <w:r w:rsidRPr="005C29F8">
              <w:rPr>
                <w:b/>
                <w:color w:val="000000" w:themeColor="text1"/>
              </w:rPr>
              <w:t>Status</w:t>
            </w:r>
          </w:p>
        </w:tc>
        <w:tc>
          <w:tcPr>
            <w:tcW w:w="600" w:type="pct"/>
            <w:shd w:val="clear" w:color="auto" w:fill="auto"/>
            <w:vAlign w:val="bottom"/>
          </w:tcPr>
          <w:p w14:paraId="4E247CD6" w14:textId="77777777" w:rsidR="00134C0C" w:rsidRPr="005C29F8" w:rsidRDefault="00134C0C" w:rsidP="001B7654">
            <w:pPr>
              <w:jc w:val="center"/>
              <w:rPr>
                <w:b/>
                <w:color w:val="000000" w:themeColor="text1"/>
              </w:rPr>
            </w:pPr>
            <w:r w:rsidRPr="005C29F8">
              <w:rPr>
                <w:b/>
                <w:color w:val="000000" w:themeColor="text1"/>
              </w:rPr>
              <w:t>Slippage</w:t>
            </w:r>
          </w:p>
        </w:tc>
      </w:tr>
      <w:tr w:rsidR="0047666D" w:rsidRPr="005C29F8" w14:paraId="03791973" w14:textId="77777777" w:rsidTr="00FE08AC">
        <w:trPr>
          <w:trHeight w:val="361"/>
        </w:trPr>
        <w:tc>
          <w:tcPr>
            <w:tcW w:w="331" w:type="pct"/>
            <w:shd w:val="clear" w:color="auto" w:fill="auto"/>
            <w:vAlign w:val="center"/>
          </w:tcPr>
          <w:p w14:paraId="72E1284D" w14:textId="3F5F688C" w:rsidR="00134C0C" w:rsidRPr="005C29F8" w:rsidRDefault="005630B4" w:rsidP="00F85A5B">
            <w:pPr>
              <w:jc w:val="center"/>
              <w:rPr>
                <w:rFonts w:cs="Arial"/>
                <w:color w:val="000000" w:themeColor="text1"/>
                <w:szCs w:val="16"/>
              </w:rPr>
            </w:pPr>
            <w:r>
              <w:rPr>
                <w:rFonts w:cs="Arial"/>
                <w:color w:val="000000" w:themeColor="text1"/>
                <w:szCs w:val="16"/>
              </w:rPr>
              <w:t>A</w:t>
            </w:r>
          </w:p>
        </w:tc>
        <w:tc>
          <w:tcPr>
            <w:tcW w:w="834" w:type="pct"/>
            <w:shd w:val="clear" w:color="auto" w:fill="auto"/>
            <w:vAlign w:val="center"/>
          </w:tcPr>
          <w:p w14:paraId="42D3F434" w14:textId="576AF086" w:rsidR="00134C0C" w:rsidRPr="005C29F8" w:rsidRDefault="00134C0C" w:rsidP="001B7654">
            <w:pPr>
              <w:jc w:val="center"/>
              <w:rPr>
                <w:rFonts w:cs="Arial"/>
                <w:color w:val="000000" w:themeColor="text1"/>
                <w:szCs w:val="16"/>
              </w:rPr>
            </w:pPr>
            <w:r w:rsidRPr="005C29F8">
              <w:rPr>
                <w:rFonts w:cs="Arial"/>
                <w:color w:val="000000" w:themeColor="text1"/>
                <w:szCs w:val="16"/>
              </w:rPr>
              <w:t>2,466</w:t>
            </w:r>
          </w:p>
        </w:tc>
        <w:tc>
          <w:tcPr>
            <w:tcW w:w="834" w:type="pct"/>
            <w:shd w:val="clear" w:color="auto" w:fill="auto"/>
            <w:vAlign w:val="center"/>
          </w:tcPr>
          <w:p w14:paraId="584C4DD3" w14:textId="14A47D5F" w:rsidR="00134C0C" w:rsidRPr="005C29F8" w:rsidRDefault="005630B4" w:rsidP="001B7654">
            <w:pPr>
              <w:jc w:val="center"/>
              <w:rPr>
                <w:rFonts w:cs="Arial"/>
                <w:color w:val="000000" w:themeColor="text1"/>
                <w:szCs w:val="16"/>
              </w:rPr>
            </w:pPr>
            <w:r w:rsidRPr="005C29F8">
              <w:rPr>
                <w:rFonts w:cs="Arial"/>
                <w:color w:val="000000" w:themeColor="text1"/>
                <w:szCs w:val="16"/>
              </w:rPr>
              <w:t>2,871</w:t>
            </w:r>
          </w:p>
        </w:tc>
        <w:tc>
          <w:tcPr>
            <w:tcW w:w="600" w:type="pct"/>
            <w:shd w:val="clear" w:color="auto" w:fill="auto"/>
            <w:vAlign w:val="center"/>
          </w:tcPr>
          <w:p w14:paraId="025276D1" w14:textId="6CC93699" w:rsidR="00134C0C" w:rsidRPr="005C29F8" w:rsidRDefault="00134C0C" w:rsidP="001B7654">
            <w:pPr>
              <w:jc w:val="center"/>
              <w:rPr>
                <w:rFonts w:cs="Arial"/>
                <w:color w:val="000000" w:themeColor="text1"/>
                <w:szCs w:val="16"/>
              </w:rPr>
            </w:pPr>
            <w:r w:rsidRPr="005C29F8">
              <w:rPr>
                <w:rFonts w:cs="Arial"/>
                <w:color w:val="000000" w:themeColor="text1"/>
                <w:szCs w:val="16"/>
              </w:rPr>
              <w:t>85.90%</w:t>
            </w:r>
          </w:p>
        </w:tc>
        <w:tc>
          <w:tcPr>
            <w:tcW w:w="600" w:type="pct"/>
            <w:shd w:val="clear" w:color="auto" w:fill="auto"/>
            <w:vAlign w:val="center"/>
          </w:tcPr>
          <w:p w14:paraId="30A4D744" w14:textId="29D9664B" w:rsidR="00134C0C" w:rsidRPr="005C29F8" w:rsidRDefault="00134C0C" w:rsidP="001B7654">
            <w:pPr>
              <w:jc w:val="center"/>
              <w:rPr>
                <w:rFonts w:cs="Arial"/>
                <w:color w:val="000000" w:themeColor="text1"/>
                <w:szCs w:val="16"/>
              </w:rPr>
            </w:pPr>
            <w:r w:rsidRPr="005C29F8">
              <w:rPr>
                <w:rFonts w:cs="Arial"/>
                <w:color w:val="000000" w:themeColor="text1"/>
                <w:szCs w:val="16"/>
              </w:rPr>
              <w:t>85.80%</w:t>
            </w:r>
          </w:p>
        </w:tc>
        <w:tc>
          <w:tcPr>
            <w:tcW w:w="600" w:type="pct"/>
            <w:shd w:val="clear" w:color="auto" w:fill="auto"/>
            <w:vAlign w:val="center"/>
          </w:tcPr>
          <w:p w14:paraId="3EE30D0B" w14:textId="2225A216" w:rsidR="00134C0C" w:rsidRPr="005C29F8" w:rsidRDefault="00134C0C" w:rsidP="001B7654">
            <w:pPr>
              <w:jc w:val="center"/>
              <w:rPr>
                <w:rFonts w:cs="Arial"/>
                <w:color w:val="000000" w:themeColor="text1"/>
                <w:szCs w:val="16"/>
              </w:rPr>
            </w:pPr>
            <w:r w:rsidRPr="005C29F8">
              <w:rPr>
                <w:rFonts w:cs="Arial"/>
                <w:color w:val="000000" w:themeColor="text1"/>
                <w:szCs w:val="16"/>
              </w:rPr>
              <w:t>85.89%</w:t>
            </w:r>
          </w:p>
        </w:tc>
        <w:tc>
          <w:tcPr>
            <w:tcW w:w="600" w:type="pct"/>
            <w:shd w:val="clear" w:color="auto" w:fill="auto"/>
            <w:vAlign w:val="center"/>
          </w:tcPr>
          <w:p w14:paraId="27783876" w14:textId="52CC396F" w:rsidR="00134C0C" w:rsidRPr="005C29F8" w:rsidRDefault="00134C0C" w:rsidP="001B7654">
            <w:pPr>
              <w:jc w:val="center"/>
              <w:rPr>
                <w:rFonts w:cs="Arial"/>
                <w:color w:val="000000" w:themeColor="text1"/>
                <w:szCs w:val="16"/>
              </w:rPr>
            </w:pPr>
            <w:r w:rsidRPr="005C29F8">
              <w:rPr>
                <w:rFonts w:cs="Arial"/>
                <w:color w:val="000000" w:themeColor="text1"/>
                <w:szCs w:val="16"/>
              </w:rPr>
              <w:t>Met target</w:t>
            </w:r>
          </w:p>
        </w:tc>
        <w:tc>
          <w:tcPr>
            <w:tcW w:w="600" w:type="pct"/>
            <w:shd w:val="clear" w:color="auto" w:fill="auto"/>
            <w:vAlign w:val="center"/>
          </w:tcPr>
          <w:p w14:paraId="4A1ADC0F" w14:textId="24F9D26B" w:rsidR="00134C0C" w:rsidRPr="005C29F8" w:rsidRDefault="00134C0C" w:rsidP="001B7654">
            <w:pPr>
              <w:jc w:val="center"/>
              <w:rPr>
                <w:rFonts w:cs="Arial"/>
                <w:color w:val="000000" w:themeColor="text1"/>
                <w:szCs w:val="16"/>
              </w:rPr>
            </w:pPr>
            <w:r w:rsidRPr="005C29F8">
              <w:rPr>
                <w:rFonts w:cs="Arial"/>
                <w:color w:val="000000" w:themeColor="text1"/>
                <w:szCs w:val="16"/>
              </w:rPr>
              <w:t>No Slippage</w:t>
            </w:r>
          </w:p>
        </w:tc>
      </w:tr>
      <w:tr w:rsidR="00BF7CAB" w:rsidRPr="005C29F8" w14:paraId="26EF20EB" w14:textId="77777777" w:rsidTr="00FE08AC">
        <w:trPr>
          <w:trHeight w:val="361"/>
        </w:trPr>
        <w:tc>
          <w:tcPr>
            <w:tcW w:w="331" w:type="pct"/>
            <w:shd w:val="clear" w:color="auto" w:fill="auto"/>
            <w:vAlign w:val="center"/>
          </w:tcPr>
          <w:p w14:paraId="21A8F936" w14:textId="3ECE9ACF" w:rsidR="00BF7CAB" w:rsidRDefault="00BF7CAB" w:rsidP="00BF7CAB">
            <w:pPr>
              <w:jc w:val="center"/>
              <w:rPr>
                <w:rFonts w:cs="Arial"/>
                <w:color w:val="000000" w:themeColor="text1"/>
                <w:szCs w:val="16"/>
              </w:rPr>
            </w:pPr>
            <w:r>
              <w:rPr>
                <w:rFonts w:cs="Arial"/>
                <w:color w:val="000000" w:themeColor="text1"/>
                <w:szCs w:val="16"/>
              </w:rPr>
              <w:t>B</w:t>
            </w:r>
          </w:p>
        </w:tc>
        <w:tc>
          <w:tcPr>
            <w:tcW w:w="834" w:type="pct"/>
            <w:shd w:val="clear" w:color="auto" w:fill="auto"/>
            <w:vAlign w:val="center"/>
          </w:tcPr>
          <w:p w14:paraId="6A6D6195" w14:textId="0E001C8F" w:rsidR="00BF7CAB" w:rsidRPr="005C29F8" w:rsidRDefault="00BF7CAB" w:rsidP="00BF7CAB">
            <w:pPr>
              <w:jc w:val="center"/>
              <w:rPr>
                <w:rFonts w:cs="Arial"/>
                <w:color w:val="000000" w:themeColor="text1"/>
                <w:szCs w:val="16"/>
              </w:rPr>
            </w:pPr>
            <w:r w:rsidRPr="005C29F8">
              <w:rPr>
                <w:rFonts w:cs="Arial"/>
                <w:color w:val="000000" w:themeColor="text1"/>
                <w:szCs w:val="16"/>
              </w:rPr>
              <w:t>1,757</w:t>
            </w:r>
          </w:p>
        </w:tc>
        <w:tc>
          <w:tcPr>
            <w:tcW w:w="834" w:type="pct"/>
            <w:shd w:val="clear" w:color="auto" w:fill="auto"/>
            <w:vAlign w:val="center"/>
          </w:tcPr>
          <w:p w14:paraId="01459096" w14:textId="012A9DBE" w:rsidR="00BF7CAB" w:rsidRPr="005C29F8" w:rsidRDefault="00BF7CAB" w:rsidP="00BF7CAB">
            <w:pPr>
              <w:jc w:val="center"/>
              <w:rPr>
                <w:rFonts w:cs="Arial"/>
                <w:color w:val="000000" w:themeColor="text1"/>
                <w:szCs w:val="16"/>
              </w:rPr>
            </w:pPr>
            <w:r w:rsidRPr="005C29F8">
              <w:rPr>
                <w:rFonts w:cs="Arial"/>
                <w:color w:val="000000" w:themeColor="text1"/>
                <w:szCs w:val="16"/>
              </w:rPr>
              <w:t>2,776</w:t>
            </w:r>
          </w:p>
        </w:tc>
        <w:tc>
          <w:tcPr>
            <w:tcW w:w="600" w:type="pct"/>
            <w:shd w:val="clear" w:color="auto" w:fill="auto"/>
            <w:vAlign w:val="center"/>
          </w:tcPr>
          <w:p w14:paraId="64C87CD8" w14:textId="0B34474F" w:rsidR="00BF7CAB" w:rsidRPr="005C29F8" w:rsidRDefault="00BF7CAB" w:rsidP="00BF7CAB">
            <w:pPr>
              <w:jc w:val="center"/>
              <w:rPr>
                <w:rFonts w:cs="Arial"/>
                <w:color w:val="000000" w:themeColor="text1"/>
                <w:szCs w:val="16"/>
              </w:rPr>
            </w:pPr>
            <w:r w:rsidRPr="005C29F8">
              <w:rPr>
                <w:rFonts w:cs="Arial"/>
                <w:color w:val="000000" w:themeColor="text1"/>
                <w:szCs w:val="16"/>
              </w:rPr>
              <w:t>60.34%</w:t>
            </w:r>
          </w:p>
        </w:tc>
        <w:tc>
          <w:tcPr>
            <w:tcW w:w="600" w:type="pct"/>
            <w:shd w:val="clear" w:color="auto" w:fill="auto"/>
            <w:vAlign w:val="center"/>
          </w:tcPr>
          <w:p w14:paraId="7A6A46B4" w14:textId="76B94325" w:rsidR="00BF7CAB" w:rsidRPr="005C29F8" w:rsidRDefault="00BF7CAB" w:rsidP="00BF7CAB">
            <w:pPr>
              <w:jc w:val="center"/>
              <w:rPr>
                <w:rFonts w:cs="Arial"/>
                <w:color w:val="000000" w:themeColor="text1"/>
                <w:szCs w:val="16"/>
              </w:rPr>
            </w:pPr>
            <w:r w:rsidRPr="005C29F8">
              <w:rPr>
                <w:rFonts w:cs="Arial"/>
                <w:color w:val="000000" w:themeColor="text1"/>
                <w:szCs w:val="16"/>
              </w:rPr>
              <w:t>68.10%</w:t>
            </w:r>
          </w:p>
        </w:tc>
        <w:tc>
          <w:tcPr>
            <w:tcW w:w="600" w:type="pct"/>
            <w:shd w:val="clear" w:color="auto" w:fill="auto"/>
            <w:vAlign w:val="center"/>
          </w:tcPr>
          <w:p w14:paraId="5A2763B2" w14:textId="2B3473EA" w:rsidR="00BF7CAB" w:rsidRPr="005C29F8" w:rsidRDefault="00BF7CAB" w:rsidP="00BF7CAB">
            <w:pPr>
              <w:jc w:val="center"/>
              <w:rPr>
                <w:rFonts w:cs="Arial"/>
                <w:color w:val="000000" w:themeColor="text1"/>
                <w:szCs w:val="16"/>
              </w:rPr>
            </w:pPr>
            <w:r w:rsidRPr="005C29F8">
              <w:rPr>
                <w:rFonts w:cs="Arial"/>
                <w:color w:val="000000" w:themeColor="text1"/>
                <w:szCs w:val="16"/>
              </w:rPr>
              <w:t>63.29%</w:t>
            </w:r>
          </w:p>
        </w:tc>
        <w:tc>
          <w:tcPr>
            <w:tcW w:w="600" w:type="pct"/>
            <w:shd w:val="clear" w:color="auto" w:fill="auto"/>
            <w:vAlign w:val="center"/>
          </w:tcPr>
          <w:p w14:paraId="34288AB1" w14:textId="0A52846A" w:rsidR="00BF7CAB" w:rsidRPr="005C29F8" w:rsidRDefault="00BF7CAB" w:rsidP="00BF7CAB">
            <w:pPr>
              <w:jc w:val="center"/>
              <w:rPr>
                <w:rFonts w:cs="Arial"/>
                <w:color w:val="000000" w:themeColor="text1"/>
                <w:szCs w:val="16"/>
              </w:rPr>
            </w:pPr>
            <w:r w:rsidRPr="005C29F8">
              <w:rPr>
                <w:rFonts w:cs="Arial"/>
                <w:color w:val="000000" w:themeColor="text1"/>
                <w:szCs w:val="16"/>
              </w:rPr>
              <w:t>Did not meet target</w:t>
            </w:r>
          </w:p>
        </w:tc>
        <w:tc>
          <w:tcPr>
            <w:tcW w:w="600" w:type="pct"/>
            <w:shd w:val="clear" w:color="auto" w:fill="auto"/>
            <w:vAlign w:val="center"/>
          </w:tcPr>
          <w:p w14:paraId="125D78C7" w14:textId="33720B6C" w:rsidR="00BF7CAB" w:rsidRPr="005C29F8" w:rsidRDefault="00BF7CAB" w:rsidP="00BF7CAB">
            <w:pPr>
              <w:jc w:val="center"/>
              <w:rPr>
                <w:rFonts w:cs="Arial"/>
                <w:color w:val="000000" w:themeColor="text1"/>
                <w:szCs w:val="16"/>
              </w:rPr>
            </w:pPr>
            <w:r w:rsidRPr="005C29F8">
              <w:rPr>
                <w:rFonts w:cs="Arial"/>
                <w:color w:val="000000" w:themeColor="text1"/>
                <w:szCs w:val="16"/>
              </w:rPr>
              <w:t>No Slippage</w:t>
            </w:r>
          </w:p>
        </w:tc>
      </w:tr>
    </w:tbl>
    <w:p w14:paraId="3D4F2EFC" w14:textId="3B08A348" w:rsidR="00693B33" w:rsidRPr="005C29F8" w:rsidRDefault="00693B33" w:rsidP="00693B33">
      <w:pPr>
        <w:tabs>
          <w:tab w:val="left" w:pos="2088"/>
        </w:tabs>
        <w:rPr>
          <w:rFonts w:cs="Arial"/>
          <w:color w:val="000000" w:themeColor="text1"/>
          <w:szCs w:val="16"/>
        </w:rPr>
      </w:pPr>
    </w:p>
    <w:p w14:paraId="4F07CE97" w14:textId="2F5F51F8" w:rsidR="00693B33" w:rsidRDefault="00693B33" w:rsidP="00741E58"/>
    <w:p w14:paraId="7FBF3D2A" w14:textId="484406D8" w:rsidR="00305E79" w:rsidRDefault="00305E79" w:rsidP="00C14BC7">
      <w:pPr>
        <w:rPr>
          <w:b/>
          <w:bCs/>
        </w:rPr>
      </w:pPr>
      <w:r>
        <w:rPr>
          <w:b/>
          <w:bCs/>
        </w:rPr>
        <w:t>Provide the data source for the FFY 2022 data.</w:t>
      </w:r>
    </w:p>
    <w:p w14:paraId="39EA1EF2" w14:textId="4442F412" w:rsidR="00305E79" w:rsidRDefault="00305E79" w:rsidP="00305E79">
      <w:pPr>
        <w:rPr>
          <w:color w:val="000000" w:themeColor="text1"/>
        </w:rPr>
      </w:pPr>
      <w:r w:rsidRPr="00ED172B">
        <w:rPr>
          <w:color w:val="000000" w:themeColor="text1"/>
        </w:rPr>
        <w:t xml:space="preserve">Indicator C3 Measures A1 and B1 are used as the data source. </w:t>
      </w:r>
    </w:p>
    <w:p w14:paraId="58E947E6" w14:textId="35C272EA" w:rsidR="00C14BC7" w:rsidRPr="00C14BC7" w:rsidRDefault="00C14BC7" w:rsidP="00C14BC7">
      <w:r w:rsidRPr="00F85A5B">
        <w:rPr>
          <w:b/>
          <w:bCs/>
        </w:rPr>
        <w:t xml:space="preserve">Please describe how data are collected and analyzed for the </w:t>
      </w:r>
      <w:proofErr w:type="spellStart"/>
      <w:r w:rsidRPr="00F85A5B">
        <w:rPr>
          <w:b/>
          <w:bCs/>
        </w:rPr>
        <w:t>SiMR</w:t>
      </w:r>
      <w:proofErr w:type="spellEnd"/>
      <w:r w:rsidRPr="00C14BC7">
        <w:t>.</w:t>
      </w:r>
    </w:p>
    <w:p w14:paraId="6315B3BF" w14:textId="4A2D6D59" w:rsidR="00C14BC7" w:rsidRDefault="00C14BC7" w:rsidP="00C14BC7">
      <w:pPr>
        <w:rPr>
          <w:color w:val="000000" w:themeColor="text1"/>
        </w:rPr>
      </w:pPr>
      <w:r w:rsidRPr="00ED172B">
        <w:rPr>
          <w:color w:val="000000" w:themeColor="text1"/>
        </w:rPr>
        <w:t xml:space="preserve">In 2015, using a national AEPS data set from typically developing children, a review team considered 90%, 85% and 80% percentile cut offs against the national data results to decide the cut off level that best reflected the State’s children in EI programs. The review team, comprised of State staff, the EI/ECSE Contractors and the EI/ECSE stakeholder group were all asked to analyze the percentile cut offs and determine the cut off level that the State should use for reporting to the EI child outcomes. The consensus was to use the 80% cut off level. This most closely represents the children who are eligible for Early Intervention programs and receive services in Oregon. </w:t>
      </w:r>
      <w:r w:rsidRPr="00ED172B">
        <w:rPr>
          <w:color w:val="000000" w:themeColor="text1"/>
        </w:rPr>
        <w:br/>
      </w:r>
      <w:r w:rsidRPr="00ED172B">
        <w:rPr>
          <w:color w:val="000000" w:themeColor="text1"/>
        </w:rPr>
        <w:br/>
        <w:t xml:space="preserve">Child progress is measured using the following rubric: </w:t>
      </w:r>
      <w:r w:rsidRPr="00ED172B">
        <w:rPr>
          <w:color w:val="000000" w:themeColor="text1"/>
        </w:rPr>
        <w:br/>
      </w:r>
      <w:r w:rsidRPr="00ED172B">
        <w:rPr>
          <w:color w:val="000000" w:themeColor="text1"/>
        </w:rPr>
        <w:br/>
        <w:t xml:space="preserve">If a child enters with a score below the normal range and stays the same or regresses at the next test administration, the child is categorized as (a) does not improve functioning. If the child makes progress and the ratio of how far below the normal level of development increases between test administrations, the child is categorized as (b) improved functioning but not sufficient to move nearer to functioning comparable to same-aged peers. If the child makes progress but the ratio of how far below the normal level of development decreases between test administrations, the child is categorized as (c) improved functioning to a level nearer to the functioning of same-aged peers but did not reach it. If a child enters with a score below the normal range and increases to reach or exceed the normal range at the next test administration, the child is categorized as (d) improved functioning sufficient to reach a level comparable to same-aged peers. </w:t>
      </w:r>
      <w:r w:rsidRPr="00ED172B">
        <w:rPr>
          <w:color w:val="000000" w:themeColor="text1"/>
        </w:rPr>
        <w:br/>
      </w:r>
      <w:r w:rsidRPr="00ED172B">
        <w:rPr>
          <w:color w:val="000000" w:themeColor="text1"/>
        </w:rPr>
        <w:br/>
        <w:t>If a child enters with a score at or above the normal range and maintains their score at or above the normal range at the next test administration, the child is categorized as (e) maintains functioning at or above same age peers.</w:t>
      </w:r>
      <w:r w:rsidRPr="00ED172B">
        <w:rPr>
          <w:color w:val="000000" w:themeColor="text1"/>
        </w:rPr>
        <w:br/>
      </w:r>
      <w:r w:rsidRPr="00ED172B">
        <w:rPr>
          <w:color w:val="000000" w:themeColor="text1"/>
        </w:rPr>
        <w:br/>
        <w:t xml:space="preserve">In relation to the </w:t>
      </w:r>
      <w:proofErr w:type="spellStart"/>
      <w:r w:rsidRPr="00ED172B">
        <w:rPr>
          <w:color w:val="000000" w:themeColor="text1"/>
        </w:rPr>
        <w:t>SiMR</w:t>
      </w:r>
      <w:proofErr w:type="spellEnd"/>
      <w:r w:rsidRPr="00ED172B">
        <w:rPr>
          <w:color w:val="000000" w:themeColor="text1"/>
        </w:rPr>
        <w:t xml:space="preserve"> it was determined that Summary Statement 1 for Part A and B of Indicator C3 was the most appropriate for measuring progress and effectiveness of strategies put in place to measure the impact of the coherent strategies and systemic infrastructure changes outlined in the SSIP. This has been the consensus since 2015. </w:t>
      </w:r>
    </w:p>
    <w:p w14:paraId="76D8647E" w14:textId="78CCE65B" w:rsidR="00270F92" w:rsidRDefault="00270F92" w:rsidP="00741E58"/>
    <w:p w14:paraId="3CC869D1" w14:textId="77777777" w:rsidR="00177098" w:rsidRDefault="006D5F86" w:rsidP="006D5F86">
      <w:pPr>
        <w:rPr>
          <w:rFonts w:cs="Arial"/>
          <w:b/>
          <w:bCs/>
        </w:rPr>
      </w:pPr>
      <w:bookmarkStart w:id="67" w:name="_Hlk109646926"/>
      <w:r w:rsidRPr="00F85A5B">
        <w:rPr>
          <w:rFonts w:cs="Arial"/>
          <w:b/>
          <w:bCs/>
        </w:rPr>
        <w:t xml:space="preserve">Optional: Has the State collected additional data </w:t>
      </w:r>
      <w:r w:rsidRPr="00F85A5B">
        <w:rPr>
          <w:rFonts w:cs="Arial"/>
          <w:b/>
          <w:bCs/>
          <w:i/>
          <w:iCs/>
        </w:rPr>
        <w:t>(i.e., benchmark, CQI, survey)</w:t>
      </w:r>
      <w:r w:rsidRPr="00F85A5B">
        <w:rPr>
          <w:rFonts w:cs="Arial"/>
          <w:b/>
          <w:bCs/>
        </w:rPr>
        <w:t xml:space="preserve"> that demonstrates progress toward the </w:t>
      </w:r>
      <w:proofErr w:type="spellStart"/>
      <w:r w:rsidRPr="00F85A5B">
        <w:rPr>
          <w:rFonts w:cs="Arial"/>
          <w:b/>
          <w:bCs/>
        </w:rPr>
        <w:t>SiMR</w:t>
      </w:r>
      <w:proofErr w:type="spellEnd"/>
      <w:r w:rsidRPr="00F85A5B">
        <w:rPr>
          <w:rFonts w:cs="Arial"/>
          <w:b/>
          <w:bCs/>
        </w:rPr>
        <w:t>?</w:t>
      </w:r>
      <w:r w:rsidR="00CD071F">
        <w:rPr>
          <w:b/>
          <w:bCs/>
        </w:rPr>
        <w:t xml:space="preserve"> </w:t>
      </w:r>
      <w:r w:rsidR="00CD071F" w:rsidRPr="00CD071F">
        <w:rPr>
          <w:b/>
          <w:bCs/>
        </w:rPr>
        <w:t>(yes/no)</w:t>
      </w:r>
    </w:p>
    <w:bookmarkEnd w:id="67"/>
    <w:p w14:paraId="6A765DFA" w14:textId="1921A02D" w:rsidR="00831891" w:rsidRPr="000123EB" w:rsidRDefault="00831891" w:rsidP="00831891">
      <w:pPr>
        <w:rPr>
          <w:color w:val="000000" w:themeColor="text1"/>
        </w:rPr>
      </w:pPr>
      <w:r w:rsidRPr="00ED172B">
        <w:rPr>
          <w:color w:val="000000" w:themeColor="text1"/>
        </w:rPr>
        <w:t>YES</w:t>
      </w:r>
    </w:p>
    <w:p w14:paraId="67AE1CE1" w14:textId="4AACCFD3" w:rsidR="006D5F86" w:rsidRDefault="007F0DC5" w:rsidP="00741E58">
      <w:pPr>
        <w:rPr>
          <w:rFonts w:cs="Arial"/>
          <w:b/>
          <w:bCs/>
        </w:rPr>
      </w:pPr>
      <w:bookmarkStart w:id="68" w:name="_Hlk109646931"/>
      <w:r>
        <w:rPr>
          <w:rFonts w:cs="Arial"/>
          <w:b/>
          <w:bCs/>
        </w:rPr>
        <w:t xml:space="preserve">Describe any additional data collected by the State to assess progress toward the </w:t>
      </w:r>
      <w:proofErr w:type="spellStart"/>
      <w:r>
        <w:rPr>
          <w:rFonts w:cs="Arial"/>
          <w:b/>
          <w:bCs/>
        </w:rPr>
        <w:t>SiMR</w:t>
      </w:r>
      <w:proofErr w:type="spellEnd"/>
      <w:r>
        <w:rPr>
          <w:rFonts w:cs="Arial"/>
          <w:b/>
          <w:bCs/>
        </w:rPr>
        <w:t>.</w:t>
      </w:r>
    </w:p>
    <w:bookmarkEnd w:id="68"/>
    <w:p w14:paraId="20083E9E" w14:textId="002A0498" w:rsidR="006F322B" w:rsidRDefault="006F322B" w:rsidP="006F322B">
      <w:pPr>
        <w:rPr>
          <w:color w:val="000000" w:themeColor="text1"/>
        </w:rPr>
      </w:pPr>
      <w:r w:rsidRPr="00ED172B">
        <w:rPr>
          <w:color w:val="000000" w:themeColor="text1"/>
        </w:rPr>
        <w:t xml:space="preserve">Additional data collected by the state to assess progress towards the </w:t>
      </w:r>
      <w:proofErr w:type="spellStart"/>
      <w:r w:rsidRPr="00ED172B">
        <w:rPr>
          <w:color w:val="000000" w:themeColor="text1"/>
        </w:rPr>
        <w:t>SiMR</w:t>
      </w:r>
      <w:proofErr w:type="spellEnd"/>
      <w:r w:rsidRPr="00ED172B">
        <w:rPr>
          <w:color w:val="000000" w:themeColor="text1"/>
        </w:rPr>
        <w:t xml:space="preserve"> includes Indicator data from B6, Summary Statement 1 for Part A and B of Indicator B7, and fidelity data from communities and programs implementing one or more coherent strategy. This includes data from implementation of the Pyramid Model and the Early Childhood Inclusion Indicators. The following data has been presented publicly at the State Interagency Coordinating Council (SICC) and can be found on the SICC website under meeting materials for the following dates:  9/1/2022, 11/10/2022, 1/20/2023, 5/12/2023, and 9/15/2023. These notes can related slides can be located on the SICC Website: https://www.oregon.gov/ode/students-and-family/SpecialEducation/earlyintervention/Pages/siccmtgminutes.aspx </w:t>
      </w:r>
      <w:r w:rsidRPr="00ED172B">
        <w:rPr>
          <w:color w:val="000000" w:themeColor="text1"/>
        </w:rPr>
        <w:br/>
      </w:r>
      <w:r w:rsidRPr="00ED172B">
        <w:rPr>
          <w:color w:val="000000" w:themeColor="text1"/>
        </w:rPr>
        <w:br/>
        <w:t>As described in the Phase III (1) report, three research-based measures were selected to evaluate fidelity of EC PBIS+ (otherwise known as the Pyramid Model Framework) implementation at the program and teacher levels: Early Childhood Benchmarks of Quality (</w:t>
      </w:r>
      <w:proofErr w:type="spellStart"/>
      <w:r w:rsidRPr="00ED172B">
        <w:rPr>
          <w:color w:val="000000" w:themeColor="text1"/>
        </w:rPr>
        <w:t>BoQ</w:t>
      </w:r>
      <w:proofErr w:type="spellEnd"/>
      <w:r w:rsidRPr="00ED172B">
        <w:rPr>
          <w:color w:val="000000" w:themeColor="text1"/>
        </w:rPr>
        <w:t>), Teaching Pyramid Observation Tool (TPOT™) and The Pyramid Infant Toddler Observation Scale (TPITOS™). Collectively, these data allow for an assessment of fidelity of EC PBIS+/Pyramid Model strategies implementation by participating teachers. A description of why the TPOT was selected can be found in the State’s Phase III (1) report. To evaluate the extent to which programs are implementing Program-Wide EC PBIS+ with fidelity, participating programs collected Early Childhood Benchmarks of Quality data beginning in fall 2017. The EC-BOQ evaluates the extent to which a program has the nine critical elements and 47 benchmarks in place completely, partially in place, or not in place at all.</w:t>
      </w:r>
      <w:r w:rsidRPr="00ED172B">
        <w:rPr>
          <w:color w:val="000000" w:themeColor="text1"/>
        </w:rPr>
        <w:br/>
      </w:r>
      <w:r w:rsidRPr="00ED172B">
        <w:rPr>
          <w:color w:val="000000" w:themeColor="text1"/>
        </w:rPr>
        <w:br/>
        <w:t>The National Indicators of High Quality Inclusion at the State and Community Level were also used during this cycle of the SSIP. Using the State Benchmarks of Quality, the State Indicators of High Quality Inclusion, Community Indicators and Elements of High Quality Inclusion and Program Inclusion Indicators allow the State, communities, and programs to measure progress towards implementation of this framework.</w:t>
      </w:r>
    </w:p>
    <w:p w14:paraId="5AF54FE1" w14:textId="1D928FAB" w:rsidR="006F322B" w:rsidRDefault="006F322B" w:rsidP="00741E58">
      <w:pPr>
        <w:rPr>
          <w:b/>
          <w:bCs/>
        </w:rPr>
      </w:pPr>
    </w:p>
    <w:p w14:paraId="7345EC60" w14:textId="7CD24D28" w:rsidR="00C77A39" w:rsidRDefault="00C77A39" w:rsidP="00C77A39">
      <w:pPr>
        <w:spacing w:after="0"/>
        <w:rPr>
          <w:rFonts w:cs="Arial"/>
          <w:b/>
          <w:bCs/>
        </w:rPr>
      </w:pPr>
      <w:bookmarkStart w:id="69" w:name="_Hlk109646937"/>
      <w:r w:rsidRPr="00F85A5B">
        <w:rPr>
          <w:rFonts w:cs="Arial"/>
          <w:b/>
          <w:bCs/>
        </w:rPr>
        <w:t xml:space="preserve">Did the State identify any general data quality concerns, unrelated to COVID-19, that affected progress toward the </w:t>
      </w:r>
      <w:proofErr w:type="spellStart"/>
      <w:r w:rsidRPr="00F85A5B">
        <w:rPr>
          <w:rFonts w:cs="Arial"/>
          <w:b/>
          <w:bCs/>
        </w:rPr>
        <w:t>SiMR</w:t>
      </w:r>
      <w:proofErr w:type="spellEnd"/>
      <w:r w:rsidRPr="00F85A5B">
        <w:rPr>
          <w:rFonts w:cs="Arial"/>
          <w:b/>
          <w:bCs/>
        </w:rPr>
        <w:t xml:space="preserve"> during the reporting period? </w:t>
      </w:r>
      <w:r w:rsidR="00CD071F" w:rsidRPr="00CD071F">
        <w:rPr>
          <w:b/>
          <w:bCs/>
        </w:rPr>
        <w:t>(yes/no)</w:t>
      </w:r>
    </w:p>
    <w:bookmarkEnd w:id="69"/>
    <w:p w14:paraId="0DD31B03" w14:textId="7D01B3CB" w:rsidR="005838E8" w:rsidRDefault="005838E8" w:rsidP="00C77A39">
      <w:pPr>
        <w:spacing w:after="0"/>
        <w:rPr>
          <w:rFonts w:cs="Arial"/>
          <w:b/>
          <w:bCs/>
        </w:rPr>
      </w:pPr>
      <w:r w:rsidRPr="00ED172B">
        <w:rPr>
          <w:color w:val="000000" w:themeColor="text1"/>
        </w:rPr>
        <w:t>YES</w:t>
      </w:r>
    </w:p>
    <w:p w14:paraId="73202954" w14:textId="7B202709" w:rsidR="00CA7DE8" w:rsidRPr="00F85A5B" w:rsidRDefault="007F0DC5" w:rsidP="00C77A39">
      <w:pPr>
        <w:spacing w:after="0"/>
        <w:rPr>
          <w:rFonts w:cs="Arial"/>
          <w:b/>
          <w:bCs/>
        </w:rPr>
      </w:pPr>
      <w:bookmarkStart w:id="70" w:name="_Hlk109646945"/>
      <w:r>
        <w:rPr>
          <w:rFonts w:cs="Arial"/>
          <w:b/>
          <w:bCs/>
        </w:rPr>
        <w:lastRenderedPageBreak/>
        <w:t>Describe any data quality issues, unrelated to COVID-19</w:t>
      </w:r>
      <w:r w:rsidR="000B4BBE">
        <w:rPr>
          <w:rFonts w:cs="Arial"/>
        </w:rPr>
        <w:t>,</w:t>
      </w:r>
      <w:r>
        <w:rPr>
          <w:rFonts w:cs="Arial"/>
          <w:b/>
          <w:bCs/>
        </w:rPr>
        <w:t xml:space="preserve"> specific to the </w:t>
      </w:r>
      <w:proofErr w:type="spellStart"/>
      <w:r>
        <w:rPr>
          <w:rFonts w:cs="Arial"/>
          <w:b/>
          <w:bCs/>
        </w:rPr>
        <w:t>SiMR</w:t>
      </w:r>
      <w:proofErr w:type="spellEnd"/>
      <w:r>
        <w:rPr>
          <w:rFonts w:cs="Arial"/>
          <w:b/>
          <w:bCs/>
        </w:rPr>
        <w:t xml:space="preserve"> data and include actions taken to address data quality concerns.</w:t>
      </w:r>
    </w:p>
    <w:bookmarkEnd w:id="70"/>
    <w:p w14:paraId="1A9E428E" w14:textId="14D1AA65" w:rsidR="00C77A39" w:rsidRDefault="005838E8" w:rsidP="00741E58">
      <w:pPr>
        <w:rPr>
          <w:color w:val="000000" w:themeColor="text1"/>
        </w:rPr>
      </w:pPr>
      <w:r w:rsidRPr="00ED172B">
        <w:rPr>
          <w:color w:val="000000" w:themeColor="text1"/>
        </w:rPr>
        <w:t xml:space="preserve">With regards to </w:t>
      </w:r>
      <w:proofErr w:type="spellStart"/>
      <w:r w:rsidRPr="00ED172B">
        <w:rPr>
          <w:color w:val="000000" w:themeColor="text1"/>
        </w:rPr>
        <w:t>SiMR</w:t>
      </w:r>
      <w:proofErr w:type="spellEnd"/>
      <w:r w:rsidRPr="00ED172B">
        <w:rPr>
          <w:color w:val="000000" w:themeColor="text1"/>
        </w:rPr>
        <w:t xml:space="preserve"> data aligned with collecting data for C3, B6, and B7, there have not been any data quality issues of note. These data are collected through a statewide data system and reviewed by state and regional staff quarterly and annually to ensure efforts and supports are consistent and that staff training and services are aligned to improve outcomes for children experiencing disabilities. </w:t>
      </w:r>
      <w:r w:rsidRPr="00ED172B">
        <w:rPr>
          <w:color w:val="000000" w:themeColor="text1"/>
        </w:rPr>
        <w:br/>
      </w:r>
      <w:r w:rsidRPr="00ED172B">
        <w:rPr>
          <w:color w:val="000000" w:themeColor="text1"/>
        </w:rPr>
        <w:br/>
        <w:t xml:space="preserve">While this has remained consistent, data quality regarding implementation of coherent strategies continues to be of concern. As noted in FY 2021, Data quality was impacted by classroom and program closures due to staffing shortages that continue following the pandemic. This has </w:t>
      </w:r>
      <w:proofErr w:type="spellStart"/>
      <w:r w:rsidRPr="00ED172B">
        <w:rPr>
          <w:color w:val="000000" w:themeColor="text1"/>
        </w:rPr>
        <w:t>lead</w:t>
      </w:r>
      <w:proofErr w:type="spellEnd"/>
      <w:r w:rsidRPr="00ED172B">
        <w:rPr>
          <w:color w:val="000000" w:themeColor="text1"/>
        </w:rPr>
        <w:t xml:space="preserve"> to incomplete data sets for implementation sites. This capacity issue is a persistent challenge to scaling up evidence-based practices across the state. To address this issue, a stakeholder group has been convened by the SICC to review funding decisions related to implementation infrastructure and support the Agency in an advisory capacity regarding the use of funds set aside for comprehensive professional development. As funding allows, this committee, the State Leadership Team and State staff will provide and analyze ongoing in-service and professional development opportunities.</w:t>
      </w:r>
      <w:r w:rsidRPr="00ED172B">
        <w:rPr>
          <w:color w:val="000000" w:themeColor="text1"/>
        </w:rPr>
        <w:br/>
      </w:r>
      <w:r w:rsidRPr="00ED172B">
        <w:rPr>
          <w:color w:val="000000" w:themeColor="text1"/>
        </w:rPr>
        <w:br/>
        <w:t xml:space="preserve">Additionally, efforts over the last year have focused on bringing into closer alignment the activities outlined in the Oregon Early Childhood Inclusion Initiative and the State Systemic Improvement Plan. This includes the alignment with goals and priorities of the State and Community Leadership Teams implementing strategies across the community, the wider early learning system, and community partners. While the Agency remains committed to implementation, support has shifted and fiscal resources directly to communities have faded over time. This has led to certain gaps and understanding of data reporting expectations from communities and programs engaged in implementation. While one program continued to receive fiscal incentives in this last reporting period, which was tied to specific data reporting expectations, other implementing communities received broader funding and were incentivized through provision of training and technical assistance for implementation. This has resulted in significant gaps in implementation data for the reporting period. Another consideration is the state shift to an implementation data system known as the Pyramid Model Implementation Data System (PIDS). While this investment is promising, it is still new, and data entry into the new system has been slower than anticipated due to developments with buy-in and adoption by communities and programs, needed infrastructure for data entry, and support from other state agencies. Despite this, it is anticipated that this new investment will lead to better implementation data and support the coaching system when evaluating effectiveness and resources required for effective coaching using equitable and inclusive practices in early learning environments. </w:t>
      </w:r>
    </w:p>
    <w:p w14:paraId="2806BED7" w14:textId="77777777" w:rsidR="005838E8" w:rsidRDefault="005838E8" w:rsidP="00741E58">
      <w:pPr>
        <w:rPr>
          <w:b/>
          <w:bCs/>
        </w:rPr>
      </w:pPr>
    </w:p>
    <w:p w14:paraId="2F92DA5E" w14:textId="040E23FA" w:rsidR="00FC7972" w:rsidRDefault="00FC7972" w:rsidP="00741E58">
      <w:pPr>
        <w:rPr>
          <w:b/>
          <w:bCs/>
        </w:rPr>
      </w:pPr>
      <w:bookmarkStart w:id="71" w:name="_Hlk109646952"/>
      <w:r w:rsidRPr="00FC7972">
        <w:rPr>
          <w:b/>
          <w:bCs/>
        </w:rPr>
        <w:t>Did the State identify any data quality concerns directly related to the COVID-19 pandemic during the reporting period? (yes/no)</w:t>
      </w:r>
    </w:p>
    <w:bookmarkEnd w:id="71"/>
    <w:p w14:paraId="315EE8A6" w14:textId="43B354C8" w:rsidR="005838E8" w:rsidRDefault="005838E8" w:rsidP="00741E58">
      <w:pPr>
        <w:rPr>
          <w:b/>
          <w:bCs/>
        </w:rPr>
      </w:pPr>
      <w:r w:rsidRPr="00ED172B">
        <w:rPr>
          <w:color w:val="000000" w:themeColor="text1"/>
        </w:rPr>
        <w:t>NO</w:t>
      </w:r>
    </w:p>
    <w:p w14:paraId="763A4FBB" w14:textId="4A04ABFB" w:rsidR="005838E8" w:rsidRDefault="005838E8" w:rsidP="00741E58">
      <w:pPr>
        <w:rPr>
          <w:b/>
          <w:bCs/>
        </w:rPr>
      </w:pPr>
    </w:p>
    <w:p w14:paraId="27A9EDA7" w14:textId="77777777" w:rsidR="00562F31" w:rsidRPr="000315F0" w:rsidRDefault="00562F31" w:rsidP="00562F31">
      <w:pPr>
        <w:pStyle w:val="Subhed"/>
      </w:pPr>
      <w:r w:rsidRPr="000315F0">
        <w:t>Section B:</w:t>
      </w:r>
      <w:r>
        <w:t xml:space="preserve"> </w:t>
      </w:r>
      <w:r w:rsidRPr="000315F0">
        <w:t>Implementation, Analysis and Evaluation</w:t>
      </w:r>
    </w:p>
    <w:p w14:paraId="3DE8FFD0" w14:textId="77777777" w:rsidR="0041306A" w:rsidRDefault="0041306A" w:rsidP="0041306A">
      <w:pPr>
        <w:rPr>
          <w:rFonts w:cs="Arial"/>
          <w:b/>
          <w:bCs/>
        </w:rPr>
      </w:pPr>
      <w:r>
        <w:rPr>
          <w:rFonts w:cs="Arial"/>
          <w:b/>
          <w:bCs/>
        </w:rPr>
        <w:t>Please provide a link to the State’s current evaluation plan.</w:t>
      </w:r>
    </w:p>
    <w:p w14:paraId="2EAA92E6" w14:textId="1D331164" w:rsidR="0041306A" w:rsidRDefault="0041306A" w:rsidP="0041306A">
      <w:pPr>
        <w:rPr>
          <w:color w:val="000000" w:themeColor="text1"/>
        </w:rPr>
      </w:pPr>
      <w:r>
        <w:rPr>
          <w:color w:val="000000" w:themeColor="text1"/>
        </w:rPr>
        <w:t>Oregon SSIP Part C: Evaluation Plan: https://www.oregon.gov/ode/reports-and-data/SpEdReports/Documents/2020%20APR-SPP/Evaluation%20Plan%20ssip.docx.</w:t>
      </w:r>
    </w:p>
    <w:p w14:paraId="60D24E34" w14:textId="77777777" w:rsidR="0041306A" w:rsidRDefault="0041306A" w:rsidP="0041306A">
      <w:pPr>
        <w:rPr>
          <w:rFonts w:cs="Arial"/>
          <w:b/>
          <w:bCs/>
        </w:rPr>
      </w:pPr>
      <w:r>
        <w:rPr>
          <w:rFonts w:cs="Arial"/>
          <w:b/>
          <w:bCs/>
        </w:rPr>
        <w:t xml:space="preserve">Is the State’s evaluation plan new or revised since the previous submission? </w:t>
      </w:r>
      <w:r>
        <w:rPr>
          <w:b/>
          <w:bCs/>
        </w:rPr>
        <w:t>(yes/no)</w:t>
      </w:r>
    </w:p>
    <w:p w14:paraId="7F0F1A1F" w14:textId="4B2EF83A" w:rsidR="0041306A" w:rsidRDefault="0041306A" w:rsidP="0041306A">
      <w:pPr>
        <w:rPr>
          <w:color w:val="000000" w:themeColor="text1"/>
        </w:rPr>
      </w:pPr>
      <w:r>
        <w:rPr>
          <w:color w:val="000000" w:themeColor="text1"/>
        </w:rPr>
        <w:t>YES</w:t>
      </w:r>
    </w:p>
    <w:p w14:paraId="5D77C8F6" w14:textId="77777777" w:rsidR="0041306A" w:rsidRDefault="0041306A" w:rsidP="0041306A">
      <w:pPr>
        <w:rPr>
          <w:rFonts w:cs="Arial"/>
          <w:b/>
          <w:bCs/>
        </w:rPr>
      </w:pPr>
      <w:r>
        <w:rPr>
          <w:rFonts w:cs="Arial"/>
          <w:b/>
          <w:bCs/>
        </w:rPr>
        <w:t>If yes, provide a description of the changes and updates to the evaluation plan.</w:t>
      </w:r>
    </w:p>
    <w:p w14:paraId="57655E15" w14:textId="64BAA0B5" w:rsidR="0041306A" w:rsidRDefault="0041306A" w:rsidP="0041306A">
      <w:pPr>
        <w:rPr>
          <w:color w:val="000000" w:themeColor="text1"/>
        </w:rPr>
      </w:pPr>
      <w:r>
        <w:rPr>
          <w:color w:val="000000" w:themeColor="text1"/>
        </w:rPr>
        <w:t xml:space="preserve">Based on feedback and completion of certain activities, a revised evaluation plan was developed. While basic infrastructure supports remain, activities have evolved or changed over time, additional data has been identified, and continued measures of progress listed within the revised plan. These changes include leveraging federal and state resources to fund the Oregon Early Childhood Inclusion Implementation Support Team embedded within the Department of Early Learning and Care funded Early Learning Systems Initiative (https://health.oregonstate.edu/elsi/oregon-inclusion-initiative), which includes investment in partnerships advancing racial equity and mitigating bias in ECE systems, the use of the Pyramid Model Implementation Data System to ensure valid, reliable and meaningful data from communities, programs, classrooms, and coaches are collected and usable at each level of implementation. This has led to adjustments in data collection timelines. </w:t>
      </w:r>
    </w:p>
    <w:p w14:paraId="66D73354" w14:textId="77777777" w:rsidR="0041306A" w:rsidRDefault="0041306A" w:rsidP="0041306A">
      <w:pPr>
        <w:rPr>
          <w:rFonts w:cs="Arial"/>
          <w:b/>
          <w:bCs/>
        </w:rPr>
      </w:pPr>
      <w:r>
        <w:rPr>
          <w:rFonts w:cs="Arial"/>
          <w:b/>
          <w:bCs/>
        </w:rPr>
        <w:t>If yes, describe a rationale or justification for the changes to the SSIP evaluation plan.</w:t>
      </w:r>
    </w:p>
    <w:p w14:paraId="68D90657" w14:textId="66B4341E" w:rsidR="0041306A" w:rsidRDefault="0041306A" w:rsidP="0041306A">
      <w:pPr>
        <w:rPr>
          <w:b/>
          <w:bCs/>
        </w:rPr>
      </w:pPr>
      <w:r>
        <w:rPr>
          <w:color w:val="000000" w:themeColor="text1"/>
        </w:rPr>
        <w:t xml:space="preserve">State funding has expired for implementation of LEAP in specific regions. While the state believes that LEAP Preschool Model is an effective model for implementation at the classroom level, the state wishes to focus on implementation efforts that provide measures for broad systemic change at the state, community, and program level. Regions engaged in implementation of the Early Childhood Inclusion Indicators and Pyramid Model may continue to invest in capacity building efforts to expand the LEAP preschool model within specific sites, however this activity will not be guided by a statewide implementation plan for expansion at this time. </w:t>
      </w:r>
      <w:r>
        <w:rPr>
          <w:color w:val="000000" w:themeColor="text1"/>
        </w:rPr>
        <w:br/>
      </w:r>
      <w:r>
        <w:rPr>
          <w:color w:val="000000" w:themeColor="text1"/>
        </w:rPr>
        <w:br/>
        <w:t xml:space="preserve">Additionally, based on feedback from regional EI/ECSE service provider programs, the Oregon Early Childhood Inclusion State Leadership team, and the State Interagency Coordinating Council and other system partners, investments were made to ensure equitable access providers and regions in the state, including funding from ESSER III joined with other federal funds in the expansion of the Early Learning Systems Initiative within Oregon State University which has led to investments have led to the development of an implementation team and evaluation efforts of the Pyramid Model Implementation and Inclusion Indicators to date and through 2024. </w:t>
      </w:r>
    </w:p>
    <w:p w14:paraId="2D4D51DA" w14:textId="58145AD2" w:rsidR="00EE4E0F" w:rsidRDefault="00EE4E0F" w:rsidP="003B71AB">
      <w:pPr>
        <w:rPr>
          <w:rFonts w:cs="Arial"/>
          <w:b/>
          <w:bCs/>
        </w:rPr>
      </w:pPr>
    </w:p>
    <w:p w14:paraId="1FED1D02" w14:textId="77777777" w:rsidR="0041306A" w:rsidRDefault="0041306A" w:rsidP="003B71AB">
      <w:pPr>
        <w:rPr>
          <w:rFonts w:cs="Arial"/>
          <w:b/>
          <w:bCs/>
        </w:rPr>
      </w:pPr>
    </w:p>
    <w:p w14:paraId="051DAFDE" w14:textId="4F021F29" w:rsidR="003B71AB" w:rsidRPr="00E30972" w:rsidRDefault="00A85B6E" w:rsidP="003B71AB">
      <w:pPr>
        <w:rPr>
          <w:rFonts w:cs="Arial"/>
          <w:b/>
        </w:rPr>
      </w:pPr>
      <w:bookmarkStart w:id="72" w:name="_Hlk109647010"/>
      <w:r w:rsidRPr="008E5E4F">
        <w:rPr>
          <w:rFonts w:cs="Arial"/>
          <w:b/>
          <w:szCs w:val="16"/>
        </w:rPr>
        <w:t>Provide a summary of each infrastructure improvement strategy implemented in the reporting period.</w:t>
      </w:r>
    </w:p>
    <w:bookmarkEnd w:id="72"/>
    <w:p w14:paraId="25F98C7D" w14:textId="49E84F34" w:rsidR="00EE4E0F" w:rsidRPr="009A49C9" w:rsidRDefault="00EE4E0F" w:rsidP="00EE4E0F">
      <w:pPr>
        <w:rPr>
          <w:b/>
          <w:bCs/>
        </w:rPr>
      </w:pPr>
      <w:r w:rsidRPr="00ED172B">
        <w:rPr>
          <w:color w:val="000000" w:themeColor="text1"/>
        </w:rPr>
        <w:t xml:space="preserve">The State continues to guide programs to allocate IDEA funds to support implementation, training, and local level professional development activities for National Early Childhood Inclusion Indicators, and Pyramid Model. Additional discretionary funds are used for state level activities such as coordination and regional training opportunities in partnership with other states and Region 10 Head Start. </w:t>
      </w:r>
      <w:r w:rsidRPr="00ED172B">
        <w:rPr>
          <w:color w:val="000000" w:themeColor="text1"/>
        </w:rPr>
        <w:br/>
        <w:t>While the State has phased out the funds for Collaborative Problem Solving and LEAP Preschool Model, some programs continue to use Collaborative Problem Solving to inform their MTSS framework for social-emotional learning and evaluation of intense, persistent, challenging behaviors. LEAP Preschool Model implementation also continues in some areas primarily focused on implementation in district run preschool and limited implementation in state funded head start programs. Other infrastructure improvements include the following:</w:t>
      </w:r>
      <w:r w:rsidRPr="00ED172B">
        <w:rPr>
          <w:color w:val="000000" w:themeColor="text1"/>
        </w:rPr>
        <w:br/>
      </w:r>
      <w:r w:rsidRPr="00ED172B">
        <w:rPr>
          <w:color w:val="000000" w:themeColor="text1"/>
        </w:rPr>
        <w:br/>
        <w:t>Strategy 1: Leverage existing positions to support effective implementation, alignment across targeted initiatives, and standards for evaluation and accountability</w:t>
      </w:r>
      <w:r w:rsidRPr="00ED172B">
        <w:rPr>
          <w:color w:val="000000" w:themeColor="text1"/>
        </w:rPr>
        <w:br/>
        <w:t>Strategy 2: Revise Personnel Standards to align with National Standards For EI/ECSE Providers and Administrators</w:t>
      </w:r>
      <w:r w:rsidRPr="00ED172B">
        <w:rPr>
          <w:color w:val="000000" w:themeColor="text1"/>
        </w:rPr>
        <w:br/>
        <w:t>Strategy 3: Integrate Improvement plans into General Supervision and Statewide Accountability processes for Child Outcomes, Least Restrictive and Natural Environments</w:t>
      </w:r>
      <w:r w:rsidRPr="00ED172B">
        <w:rPr>
          <w:color w:val="000000" w:themeColor="text1"/>
        </w:rPr>
        <w:br/>
        <w:t xml:space="preserve">Strategy 4: Invest in Statewide early learning capacity building efforts alongside Cross-Agency Partners to ensure equitable access to meaningful, </w:t>
      </w:r>
      <w:r w:rsidRPr="00ED172B">
        <w:rPr>
          <w:color w:val="000000" w:themeColor="text1"/>
        </w:rPr>
        <w:lastRenderedPageBreak/>
        <w:t>effective, and relevant innovations known to improve Child Outcomes, and reduce exclusionary practices across early learning environments.</w:t>
      </w:r>
      <w:r w:rsidRPr="00ED172B">
        <w:rPr>
          <w:color w:val="000000" w:themeColor="text1"/>
        </w:rPr>
        <w:br/>
      </w:r>
      <w:r w:rsidRPr="00ED172B">
        <w:rPr>
          <w:color w:val="000000" w:themeColor="text1"/>
        </w:rPr>
        <w:br/>
        <w:t>State staff have attended trainings from national TA centers to determine the best way to proceed. Staff continues to reach out for universal and targeted supports from DASy and ECTA to further improve the State data system, improve evaluation, and integrate improvement activities into program implementation data report processes.</w:t>
      </w:r>
    </w:p>
    <w:p w14:paraId="49B94502" w14:textId="7B5BB3EC" w:rsidR="006237B0" w:rsidRDefault="006237B0" w:rsidP="003B71AB">
      <w:pPr>
        <w:rPr>
          <w:rFonts w:cs="Arial"/>
          <w:b/>
          <w:bCs/>
        </w:rPr>
      </w:pPr>
    </w:p>
    <w:p w14:paraId="60BDB0B8" w14:textId="7FA0C053" w:rsidR="006237B0" w:rsidRDefault="00A85B6E" w:rsidP="006237B0">
      <w:pPr>
        <w:rPr>
          <w:rFonts w:cs="Arial"/>
          <w:b/>
          <w:bCs/>
        </w:rPr>
      </w:pPr>
      <w:bookmarkStart w:id="73" w:name="_Hlk109647019"/>
      <w:r w:rsidRPr="00A85B6E">
        <w:rPr>
          <w:rFonts w:cs="Arial"/>
          <w:b/>
          <w:bCs/>
        </w:rPr>
        <w:t xml:space="preserve">Describe the short-term or intermediate outcomes achieved for each infrastructure improvement strategy during the reporting period including the measures or rationale used by the State and stakeholders to assess and communicate achievement. Please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w:t>
      </w:r>
      <w:proofErr w:type="spellStart"/>
      <w:r w:rsidRPr="00A85B6E">
        <w:rPr>
          <w:rFonts w:cs="Arial"/>
          <w:b/>
          <w:bCs/>
        </w:rPr>
        <w:t>SiMR</w:t>
      </w:r>
      <w:proofErr w:type="spellEnd"/>
      <w:r w:rsidRPr="00A85B6E">
        <w:rPr>
          <w:rFonts w:cs="Arial"/>
          <w:b/>
          <w:bCs/>
        </w:rPr>
        <w:t xml:space="preserve">; (b) sustainability of systems improvement efforts; and/or (c) scale-up. </w:t>
      </w:r>
    </w:p>
    <w:bookmarkEnd w:id="73"/>
    <w:p w14:paraId="6C845F06" w14:textId="7D9487AF" w:rsidR="000379F6" w:rsidRDefault="00717461" w:rsidP="006237B0">
      <w:pPr>
        <w:rPr>
          <w:rFonts w:cs="Arial"/>
          <w:b/>
          <w:bCs/>
        </w:rPr>
      </w:pPr>
      <w:r w:rsidRPr="00ED172B">
        <w:rPr>
          <w:color w:val="000000" w:themeColor="text1"/>
        </w:rPr>
        <w:t>Strategy 1: Leverage existing positions to support effective implementation, alignment across targeted initiatives, and standards for evaluation and accountability.</w:t>
      </w:r>
      <w:r w:rsidRPr="00ED172B">
        <w:rPr>
          <w:color w:val="000000" w:themeColor="text1"/>
        </w:rPr>
        <w:br/>
        <w:t xml:space="preserve">Short Term Outcomes: </w:t>
      </w:r>
      <w:r w:rsidRPr="00ED172B">
        <w:rPr>
          <w:color w:val="000000" w:themeColor="text1"/>
        </w:rPr>
        <w:br/>
        <w:t>• (Relating to Governance Indicator 1, element): Existing staff integrate into general supervision process technical assistance and supports to regional providers to implement Pyramid Model, Inclusion Initiatives, and other targeted professional development activities to ensure alignment with the SSIP.</w:t>
      </w:r>
      <w:r w:rsidRPr="00ED172B">
        <w:rPr>
          <w:color w:val="000000" w:themeColor="text1"/>
        </w:rPr>
        <w:br/>
        <w:t>• (Relating to Governance Indicator x, element): State Leadership Team will assist in the development of a clearly articulated vision and mission for Early Intervention/Early Childhood Special Education that can guide implementation, alignment of initiatives, funding and technical assistance.</w:t>
      </w:r>
      <w:r w:rsidRPr="00ED172B">
        <w:rPr>
          <w:color w:val="000000" w:themeColor="text1"/>
        </w:rPr>
        <w:br/>
        <w:t>•</w:t>
      </w:r>
      <w:r w:rsidRPr="00ED172B">
        <w:rPr>
          <w:color w:val="000000" w:themeColor="text1"/>
        </w:rPr>
        <w:tab/>
        <w:t xml:space="preserve">(Relating to Governance Indicator X, element ): </w:t>
      </w:r>
      <w:r w:rsidRPr="00ED172B">
        <w:rPr>
          <w:color w:val="000000" w:themeColor="text1"/>
        </w:rPr>
        <w:br/>
      </w:r>
      <w:r w:rsidRPr="00ED172B">
        <w:rPr>
          <w:color w:val="000000" w:themeColor="text1"/>
        </w:rPr>
        <w:br/>
        <w:t>Strategy 2: Revise Personnel Standards to align with National Standards For EI/ECSE Providers and Administrators</w:t>
      </w:r>
      <w:r w:rsidRPr="00ED172B">
        <w:rPr>
          <w:color w:val="000000" w:themeColor="text1"/>
        </w:rPr>
        <w:br/>
        <w:t xml:space="preserve">Short Term Outcomes: </w:t>
      </w:r>
      <w:r w:rsidRPr="00ED172B">
        <w:rPr>
          <w:color w:val="000000" w:themeColor="text1"/>
        </w:rPr>
        <w:br/>
        <w:t>• (Relating to Personnel Indicator 1, element x): Review current standards and revise to ensure alignment with national standards</w:t>
      </w:r>
      <w:r w:rsidRPr="00ED172B">
        <w:rPr>
          <w:color w:val="000000" w:themeColor="text1"/>
        </w:rPr>
        <w:br/>
        <w:t>• Seek feedback from families and communities regarding standards</w:t>
      </w:r>
      <w:r w:rsidRPr="00ED172B">
        <w:rPr>
          <w:color w:val="000000" w:themeColor="text1"/>
        </w:rPr>
        <w:br/>
        <w:t>•</w:t>
      </w:r>
      <w:r w:rsidRPr="00ED172B">
        <w:rPr>
          <w:color w:val="000000" w:themeColor="text1"/>
        </w:rPr>
        <w:tab/>
        <w:t xml:space="preserve">Have the State Board of Education adopt standards and put into rule new language new language for authorization aligning to newly adopted standards </w:t>
      </w:r>
      <w:r w:rsidRPr="00ED172B">
        <w:rPr>
          <w:color w:val="000000" w:themeColor="text1"/>
        </w:rPr>
        <w:br/>
      </w:r>
      <w:r w:rsidRPr="00ED172B">
        <w:rPr>
          <w:color w:val="000000" w:themeColor="text1"/>
        </w:rPr>
        <w:br/>
        <w:t>Strategy 3: Integrate Improvement plans into General Supervision and Statewide Accountability processes for Child Outcomes, Least Restrictive and Natural Environments</w:t>
      </w:r>
      <w:r w:rsidRPr="00ED172B">
        <w:rPr>
          <w:color w:val="000000" w:themeColor="text1"/>
        </w:rPr>
        <w:br/>
        <w:t xml:space="preserve">Short Term Outcomes: </w:t>
      </w:r>
      <w:r w:rsidRPr="00ED172B">
        <w:rPr>
          <w:color w:val="000000" w:themeColor="text1"/>
        </w:rPr>
        <w:br/>
        <w:t xml:space="preserve">• Revise Service Area Plans and Assurances to integrate plans for improvement indicators connected to the </w:t>
      </w:r>
      <w:proofErr w:type="spellStart"/>
      <w:r w:rsidRPr="00ED172B">
        <w:rPr>
          <w:color w:val="000000" w:themeColor="text1"/>
        </w:rPr>
        <w:t>SiMR</w:t>
      </w:r>
      <w:proofErr w:type="spellEnd"/>
      <w:r w:rsidRPr="00ED172B">
        <w:rPr>
          <w:color w:val="000000" w:themeColor="text1"/>
        </w:rPr>
        <w:t xml:space="preserve"> (child outcomes, Natural environments, and LRE)</w:t>
      </w:r>
      <w:r w:rsidRPr="00ED172B">
        <w:rPr>
          <w:color w:val="000000" w:themeColor="text1"/>
        </w:rPr>
        <w:br/>
        <w:t xml:space="preserve">• Develop a standard process for </w:t>
      </w:r>
      <w:proofErr w:type="spellStart"/>
      <w:r w:rsidRPr="00ED172B">
        <w:rPr>
          <w:color w:val="000000" w:themeColor="text1"/>
        </w:rPr>
        <w:t>personel</w:t>
      </w:r>
      <w:proofErr w:type="spellEnd"/>
      <w:r w:rsidRPr="00ED172B">
        <w:rPr>
          <w:color w:val="000000" w:themeColor="text1"/>
        </w:rPr>
        <w:t xml:space="preserve"> providing technical assistance to regional providers, which ensures continuous review of data and accountability measures for stated improvement plans</w:t>
      </w:r>
      <w:r w:rsidRPr="00ED172B">
        <w:rPr>
          <w:color w:val="000000" w:themeColor="text1"/>
        </w:rPr>
        <w:br/>
        <w:t>• Develop a plan to increase opportunities for feedback and transparency by presenting data regarding improvement indicators to the SICC and LICCs on a routine basis through utilization of subcommittees at the state and local level.</w:t>
      </w:r>
      <w:r w:rsidRPr="00ED172B">
        <w:rPr>
          <w:color w:val="000000" w:themeColor="text1"/>
        </w:rPr>
        <w:br/>
      </w:r>
      <w:r w:rsidRPr="00ED172B">
        <w:rPr>
          <w:color w:val="000000" w:themeColor="text1"/>
        </w:rPr>
        <w:br/>
        <w:t>Strategy 4: Invest in Statewide early learning capacity building efforts alongside Cross-Agency Partners to ensure equitable access to meaningful, effective, and relevant innovations known to improve Child Outcomes, and reduce exclusionary practices across early learning environments.</w:t>
      </w:r>
      <w:r w:rsidRPr="00ED172B">
        <w:rPr>
          <w:color w:val="000000" w:themeColor="text1"/>
        </w:rPr>
        <w:br/>
        <w:t xml:space="preserve">Short Term Outcomes: </w:t>
      </w:r>
      <w:r w:rsidRPr="00ED172B">
        <w:rPr>
          <w:color w:val="000000" w:themeColor="text1"/>
        </w:rPr>
        <w:br/>
        <w:t>• Leverage existing structures across the early learning system to build capacity for implementation of equitable and effective practices across regions of the state.</w:t>
      </w:r>
      <w:r w:rsidRPr="00ED172B">
        <w:rPr>
          <w:color w:val="000000" w:themeColor="text1"/>
        </w:rPr>
        <w:br/>
        <w:t>• Leverage ARPA, GEER, PDG, and ESSER III funds to invest in infrastructure development for implementation at the state and local level.</w:t>
      </w:r>
      <w:r w:rsidRPr="00ED172B">
        <w:rPr>
          <w:color w:val="000000" w:themeColor="text1"/>
        </w:rPr>
        <w:br/>
        <w:t>•</w:t>
      </w:r>
      <w:r w:rsidRPr="00ED172B">
        <w:rPr>
          <w:color w:val="000000" w:themeColor="text1"/>
        </w:rPr>
        <w:tab/>
        <w:t xml:space="preserve">Allocate staffing resources to develop shared guidance and actions regarding inclusive education practices/universal design for learning, social emotional learning, infant-early childhood mental health, home visiting, workforce development, effective collaboration practices and partnerships with higher education to recruit and retain a qualified workforce. </w:t>
      </w:r>
    </w:p>
    <w:p w14:paraId="372876BC" w14:textId="75D5A78F" w:rsidR="009C2256" w:rsidRDefault="009C2256" w:rsidP="009C2256">
      <w:pPr>
        <w:rPr>
          <w:rFonts w:cs="Arial"/>
          <w:b/>
          <w:bCs/>
        </w:rPr>
      </w:pPr>
      <w:bookmarkStart w:id="74" w:name="_Hlk109647025"/>
      <w:r w:rsidRPr="009C2256">
        <w:rPr>
          <w:rFonts w:cs="Arial"/>
          <w:b/>
          <w:bCs/>
        </w:rPr>
        <w:t xml:space="preserve">Did the State implement any </w:t>
      </w:r>
      <w:r w:rsidRPr="009C2256">
        <w:rPr>
          <w:rFonts w:cs="Arial"/>
          <w:b/>
          <w:bCs/>
          <w:u w:val="single"/>
        </w:rPr>
        <w:t>new</w:t>
      </w:r>
      <w:r w:rsidRPr="009C2256">
        <w:rPr>
          <w:rFonts w:cs="Arial"/>
          <w:b/>
          <w:bCs/>
        </w:rPr>
        <w:t xml:space="preserve"> (newly identified) infrastructure improvement strategies during the reporting period?</w:t>
      </w:r>
      <w:r w:rsidR="00CD071F">
        <w:rPr>
          <w:b/>
          <w:bCs/>
        </w:rPr>
        <w:t xml:space="preserve"> </w:t>
      </w:r>
      <w:r w:rsidR="00CD071F" w:rsidRPr="00CD071F">
        <w:rPr>
          <w:b/>
          <w:bCs/>
        </w:rPr>
        <w:t>(yes/no)</w:t>
      </w:r>
    </w:p>
    <w:bookmarkEnd w:id="74"/>
    <w:p w14:paraId="15FABCCC" w14:textId="764152CE" w:rsidR="000039B6" w:rsidRPr="000039B6" w:rsidRDefault="000039B6" w:rsidP="009C2256">
      <w:pPr>
        <w:rPr>
          <w:b/>
          <w:bCs/>
        </w:rPr>
      </w:pPr>
      <w:r w:rsidRPr="00ED172B">
        <w:rPr>
          <w:color w:val="000000" w:themeColor="text1"/>
        </w:rPr>
        <w:t>NO</w:t>
      </w:r>
    </w:p>
    <w:p w14:paraId="0B9E8F82" w14:textId="77777777" w:rsidR="00EB4B7B" w:rsidRPr="00EB4B7B" w:rsidRDefault="00EB4B7B" w:rsidP="00EB4B7B">
      <w:pPr>
        <w:rPr>
          <w:rFonts w:cs="Arial"/>
          <w:b/>
          <w:bCs/>
        </w:rPr>
      </w:pPr>
      <w:bookmarkStart w:id="75" w:name="_Hlk109647038"/>
      <w:r w:rsidRPr="00EB4B7B">
        <w:rPr>
          <w:rFonts w:cs="Arial"/>
          <w:b/>
          <w:bCs/>
        </w:rPr>
        <w:t xml:space="preserve">Provide a summary of the next steps for each infrastructure improvement strategy and the anticipated outcomes to be attained during the next reporting period. </w:t>
      </w:r>
    </w:p>
    <w:bookmarkEnd w:id="75"/>
    <w:p w14:paraId="2B44D59F" w14:textId="71C78214" w:rsidR="00370225" w:rsidRPr="005137B6" w:rsidRDefault="00370225" w:rsidP="00370225">
      <w:pPr>
        <w:rPr>
          <w:b/>
          <w:bCs/>
        </w:rPr>
      </w:pPr>
      <w:r w:rsidRPr="00ED172B">
        <w:rPr>
          <w:color w:val="000000" w:themeColor="text1"/>
        </w:rPr>
        <w:t xml:space="preserve">Strategy 1: Leverage human and fiscal resources to support effective implementation, alignment across targeted initiatives, and standards for evaluation and accountability. </w:t>
      </w:r>
      <w:r w:rsidRPr="00ED172B">
        <w:rPr>
          <w:color w:val="000000" w:themeColor="text1"/>
        </w:rPr>
        <w:br/>
        <w:t>Strategy 2: Implement Personnel Standards For EI/ECSE Providers and Administrators</w:t>
      </w:r>
      <w:r w:rsidRPr="00ED172B">
        <w:rPr>
          <w:color w:val="000000" w:themeColor="text1"/>
        </w:rPr>
        <w:br/>
        <w:t xml:space="preserve"> in partnership with contractors and higher education.</w:t>
      </w:r>
      <w:r w:rsidRPr="00ED172B">
        <w:rPr>
          <w:color w:val="000000" w:themeColor="text1"/>
        </w:rPr>
        <w:br/>
        <w:t>Strategy 3: Integrate Improvement plans into General Supervision and Statewide Accountability processes for Child Outcomes, Least Restrictive and Natural Environments</w:t>
      </w:r>
      <w:r w:rsidRPr="00ED172B">
        <w:rPr>
          <w:color w:val="000000" w:themeColor="text1"/>
        </w:rPr>
        <w:br/>
        <w:t>Strategy 4: Invest in Statewide early learning capacity building efforts alongside Cross-Agency Partners to ensure equitable access to meaningful, effective, and relevant innovations known to improve Child Outcomes, and reduce exclusionary practices across early learning environments.</w:t>
      </w:r>
    </w:p>
    <w:p w14:paraId="2CFA4DC1" w14:textId="503EEA2B" w:rsidR="009C2256" w:rsidRDefault="009C2256" w:rsidP="006237B0">
      <w:pPr>
        <w:rPr>
          <w:rFonts w:cs="Arial"/>
          <w:b/>
          <w:bCs/>
        </w:rPr>
      </w:pPr>
    </w:p>
    <w:p w14:paraId="283AD2CC" w14:textId="1DD9E2BE" w:rsidR="0072398B" w:rsidRDefault="0072398B" w:rsidP="0072398B">
      <w:pPr>
        <w:rPr>
          <w:rFonts w:cs="Arial"/>
          <w:b/>
          <w:bCs/>
        </w:rPr>
      </w:pPr>
      <w:bookmarkStart w:id="76" w:name="_Hlk109647044"/>
      <w:r w:rsidRPr="0072398B">
        <w:rPr>
          <w:rFonts w:cs="Arial"/>
          <w:b/>
          <w:bCs/>
        </w:rPr>
        <w:t>List the selected evidence-based practices implemented in the reporting period:</w:t>
      </w:r>
    </w:p>
    <w:bookmarkEnd w:id="76"/>
    <w:p w14:paraId="741AB6F5" w14:textId="3EC0E8B5" w:rsidR="00582D95" w:rsidRDefault="00582D95" w:rsidP="00582D95">
      <w:pPr>
        <w:rPr>
          <w:color w:val="000000" w:themeColor="text1"/>
        </w:rPr>
      </w:pPr>
      <w:r w:rsidRPr="00ED172B">
        <w:rPr>
          <w:color w:val="000000" w:themeColor="text1"/>
        </w:rPr>
        <w:t>Oregon Early Childhood Inclusion (Pyramid Model, Early Childhood Inclusion Indicators Initiative), Coaching and Professional Learning Communities.</w:t>
      </w:r>
    </w:p>
    <w:p w14:paraId="00FAC5EA" w14:textId="77777777" w:rsidR="00047DA0" w:rsidRPr="005137B6" w:rsidRDefault="00047DA0" w:rsidP="00582D95">
      <w:pPr>
        <w:rPr>
          <w:b/>
          <w:bCs/>
        </w:rPr>
      </w:pPr>
    </w:p>
    <w:p w14:paraId="79E6D61A" w14:textId="54FF2AF5" w:rsidR="002679EA" w:rsidRDefault="00AB24A4" w:rsidP="00AB24A4">
      <w:pPr>
        <w:rPr>
          <w:rFonts w:cs="Arial"/>
          <w:b/>
          <w:bCs/>
        </w:rPr>
      </w:pPr>
      <w:bookmarkStart w:id="77" w:name="_Hlk109647049"/>
      <w:r w:rsidRPr="00AB24A4">
        <w:rPr>
          <w:rFonts w:cs="Arial"/>
          <w:b/>
          <w:bCs/>
        </w:rPr>
        <w:t>Provide a summary of each evidence-based practice.</w:t>
      </w:r>
    </w:p>
    <w:bookmarkEnd w:id="77"/>
    <w:p w14:paraId="0AE8C012" w14:textId="0CF0516A" w:rsidR="002679EA" w:rsidRPr="005137B6" w:rsidRDefault="002679EA" w:rsidP="002679EA">
      <w:pPr>
        <w:rPr>
          <w:b/>
          <w:bCs/>
        </w:rPr>
      </w:pPr>
      <w:r w:rsidRPr="00ED172B">
        <w:rPr>
          <w:color w:val="000000" w:themeColor="text1"/>
        </w:rPr>
        <w:t xml:space="preserve">The State continued to invest in implementation of Pyramid Model, National Early Childhood Inclusion Indicators Initiative. These approaches are directly related to improving child outcomes outlined in the </w:t>
      </w:r>
      <w:proofErr w:type="spellStart"/>
      <w:r w:rsidRPr="00ED172B">
        <w:rPr>
          <w:color w:val="000000" w:themeColor="text1"/>
        </w:rPr>
        <w:t>SiMR</w:t>
      </w:r>
      <w:proofErr w:type="spellEnd"/>
      <w:r w:rsidRPr="00ED172B">
        <w:rPr>
          <w:color w:val="000000" w:themeColor="text1"/>
        </w:rPr>
        <w:t xml:space="preserve"> and have been effective in advancing child outcomes, reducing teacher stress, and supporting a comprehensive understanding of the practices and assessment tools needed to address the social-emotional needs of young children with and without disabilities.</w:t>
      </w:r>
      <w:r w:rsidRPr="00ED172B">
        <w:rPr>
          <w:color w:val="000000" w:themeColor="text1"/>
        </w:rPr>
        <w:br/>
      </w:r>
      <w:r w:rsidRPr="00ED172B">
        <w:rPr>
          <w:color w:val="000000" w:themeColor="text1"/>
        </w:rPr>
        <w:br/>
        <w:t>The Pyramid Model is a conceptual framework of evidence-based practices that promote the healthy development of children’s social emotional development. The Pyramid Model builds upon a tiered system of support that addresses the needs of all, provided guidance about targeted supports that some children may need to support their learning, and identifies tools and supports for intensive interventions that may be needed for a few children in their early years.</w:t>
      </w:r>
      <w:r w:rsidRPr="00ED172B">
        <w:rPr>
          <w:color w:val="000000" w:themeColor="text1"/>
        </w:rPr>
        <w:br/>
      </w:r>
      <w:r w:rsidRPr="00ED172B">
        <w:rPr>
          <w:color w:val="000000" w:themeColor="text1"/>
        </w:rPr>
        <w:br/>
        <w:t xml:space="preserve">The National Early Childhood Inclusion Indicators are the culmination of two years of deep engagement by the Early Childhood Technical Assistance </w:t>
      </w:r>
      <w:r w:rsidRPr="00ED172B">
        <w:rPr>
          <w:color w:val="000000" w:themeColor="text1"/>
        </w:rPr>
        <w:lastRenderedPageBreak/>
        <w:t xml:space="preserve">Center and the National Center for Pyramid Model Innovations with key early learning partners at the national, state, and local level. The results of this outreach are a set of quality indicators that address inclusive policies and practices at the four levels of a State early care and education system: State, community, program, and early care and education environment (classroom). </w:t>
      </w:r>
    </w:p>
    <w:p w14:paraId="4B178C88" w14:textId="595701A4" w:rsidR="00AB24A4" w:rsidRPr="00AB24A4" w:rsidRDefault="00AB24A4" w:rsidP="00AB24A4">
      <w:pPr>
        <w:rPr>
          <w:rFonts w:cs="Arial"/>
          <w:b/>
          <w:bCs/>
        </w:rPr>
      </w:pPr>
      <w:r w:rsidRPr="00AB24A4">
        <w:rPr>
          <w:rFonts w:cs="Arial"/>
          <w:b/>
          <w:bCs/>
        </w:rPr>
        <w:t xml:space="preserve"> </w:t>
      </w:r>
    </w:p>
    <w:p w14:paraId="61132AC2" w14:textId="7757BBF4" w:rsidR="00F05ED0" w:rsidRDefault="00B8661E" w:rsidP="00B8661E">
      <w:pPr>
        <w:rPr>
          <w:rFonts w:cs="Arial"/>
          <w:b/>
          <w:bCs/>
        </w:rPr>
      </w:pPr>
      <w:bookmarkStart w:id="78" w:name="_Hlk109647058"/>
      <w:r w:rsidRPr="00B8661E">
        <w:rPr>
          <w:rFonts w:cs="Arial"/>
          <w:b/>
          <w:bCs/>
        </w:rPr>
        <w:t xml:space="preserve">Provide a summary of how each evidence-based practices and activities or strategies that support its use, is intended to impact the </w:t>
      </w:r>
      <w:proofErr w:type="spellStart"/>
      <w:r w:rsidRPr="00B8661E">
        <w:rPr>
          <w:rFonts w:cs="Arial"/>
          <w:b/>
          <w:bCs/>
        </w:rPr>
        <w:t>SiMR</w:t>
      </w:r>
      <w:proofErr w:type="spellEnd"/>
      <w:r w:rsidRPr="00B8661E">
        <w:rPr>
          <w:rFonts w:cs="Arial"/>
          <w:b/>
          <w:bCs/>
        </w:rPr>
        <w:t xml:space="preserve"> by changing program/district policies, procedures, and/or practices, teacher/provider practices (e.g. behaviors), parent/caregiver outcomes, and/or child/outcomes. </w:t>
      </w:r>
    </w:p>
    <w:bookmarkEnd w:id="78"/>
    <w:p w14:paraId="2FC32005" w14:textId="20E8C2E6" w:rsidR="00F05ED0" w:rsidRPr="005137B6" w:rsidRDefault="00F05ED0" w:rsidP="00F05ED0">
      <w:pPr>
        <w:rPr>
          <w:b/>
          <w:bCs/>
        </w:rPr>
      </w:pPr>
      <w:r w:rsidRPr="00ED172B">
        <w:rPr>
          <w:color w:val="000000" w:themeColor="text1"/>
        </w:rPr>
        <w:t xml:space="preserve">Through implementation of the above mentioned frameworks and classroom practices, the State utilizes practice based coaching as the vehicle of professional development in combination with workshops, communities of practice and professional learning communities. These strategies for delivering professional development to impact and effect practice change have been identified for additional investment for improvement efforts across the State, leading regional programs to invest in additional supports to ensure staff have the skills to be effective coaches, as they lead and learn together alongside families and other caregivers. </w:t>
      </w:r>
    </w:p>
    <w:p w14:paraId="7723C486" w14:textId="5F1FC69C" w:rsidR="00B8661E" w:rsidRPr="00B8661E" w:rsidRDefault="00B8661E" w:rsidP="00B8661E">
      <w:pPr>
        <w:rPr>
          <w:rFonts w:cs="Arial"/>
          <w:b/>
          <w:bCs/>
        </w:rPr>
      </w:pPr>
      <w:r w:rsidRPr="00B8661E">
        <w:rPr>
          <w:rFonts w:cs="Arial"/>
          <w:b/>
          <w:bCs/>
        </w:rPr>
        <w:t xml:space="preserve"> </w:t>
      </w:r>
    </w:p>
    <w:p w14:paraId="5B7E5005" w14:textId="3FBD6621" w:rsidR="00F008FE" w:rsidRDefault="00F008FE" w:rsidP="00F008FE">
      <w:pPr>
        <w:rPr>
          <w:rFonts w:cs="Arial"/>
          <w:b/>
          <w:bCs/>
        </w:rPr>
      </w:pPr>
      <w:bookmarkStart w:id="79" w:name="_Hlk109647063"/>
      <w:r w:rsidRPr="00F008FE">
        <w:rPr>
          <w:rFonts w:cs="Arial"/>
          <w:b/>
          <w:bCs/>
        </w:rPr>
        <w:t xml:space="preserve">Describe the data collected to monitor fidelity of implementation and to assess practice change. </w:t>
      </w:r>
    </w:p>
    <w:bookmarkEnd w:id="79"/>
    <w:p w14:paraId="6371547D" w14:textId="42F6C7DD" w:rsidR="0051509A" w:rsidRPr="005137B6" w:rsidRDefault="0051509A" w:rsidP="0051509A">
      <w:pPr>
        <w:rPr>
          <w:b/>
          <w:bCs/>
        </w:rPr>
      </w:pPr>
      <w:r w:rsidRPr="00ED172B">
        <w:rPr>
          <w:color w:val="000000" w:themeColor="text1"/>
        </w:rPr>
        <w:t xml:space="preserve">For the Pyramid Model, the State used multiple fidelity measures to measure fidelity of implementation including State Benchmarks of Quality, Early Childhood Benchmarks of Quality, Teaching Practices Observation Tool (TPOT), Coaching Logs and Behavior Incident Reporting System data. </w:t>
      </w:r>
      <w:r w:rsidRPr="00ED172B">
        <w:rPr>
          <w:color w:val="000000" w:themeColor="text1"/>
        </w:rPr>
        <w:br/>
      </w:r>
      <w:r w:rsidRPr="00ED172B">
        <w:rPr>
          <w:color w:val="000000" w:themeColor="text1"/>
        </w:rPr>
        <w:br/>
        <w:t xml:space="preserve">For completion of the Indicators for High-Quality Early Childhood Inclusion three implementing communities and the State Leadership Team gathered two data points. The State Leadership Team completed the State Indicators of High-Quality </w:t>
      </w:r>
      <w:proofErr w:type="gramStart"/>
      <w:r w:rsidRPr="00ED172B">
        <w:rPr>
          <w:color w:val="000000" w:themeColor="text1"/>
        </w:rPr>
        <w:t>Inclusion</w:t>
      </w:r>
      <w:proofErr w:type="gramEnd"/>
      <w:r w:rsidRPr="00ED172B">
        <w:rPr>
          <w:color w:val="000000" w:themeColor="text1"/>
        </w:rPr>
        <w:t xml:space="preserve"> and each community team completed the Community Indicators and Elements of High-Quality Inclusion.</w:t>
      </w:r>
    </w:p>
    <w:p w14:paraId="6003DDF2" w14:textId="77777777" w:rsidR="0051509A" w:rsidRPr="00F008FE" w:rsidRDefault="0051509A" w:rsidP="00F008FE">
      <w:pPr>
        <w:rPr>
          <w:rFonts w:cs="Arial"/>
          <w:b/>
          <w:bCs/>
        </w:rPr>
      </w:pPr>
    </w:p>
    <w:p w14:paraId="44008222" w14:textId="1DDFE8EC" w:rsidR="00F255D2" w:rsidRPr="006A6410" w:rsidRDefault="006A6410" w:rsidP="00F255D2">
      <w:pPr>
        <w:rPr>
          <w:rFonts w:cs="Arial"/>
          <w:b/>
          <w:bCs/>
        </w:rPr>
      </w:pPr>
      <w:bookmarkStart w:id="80" w:name="_Hlk109647068"/>
      <w:r w:rsidRPr="00E30972">
        <w:rPr>
          <w:rFonts w:cs="Arial"/>
          <w:b/>
          <w:bCs/>
        </w:rPr>
        <w:t xml:space="preserve">Describe any additional data (e.g. progress monitoring) that was collected that supports the decision to continue the ongoing use of each evidence-based practice. </w:t>
      </w:r>
    </w:p>
    <w:bookmarkEnd w:id="80"/>
    <w:p w14:paraId="007AE64F" w14:textId="127A4D0F" w:rsidR="00107600" w:rsidRPr="005137B6" w:rsidRDefault="00107600" w:rsidP="00107600">
      <w:pPr>
        <w:rPr>
          <w:b/>
          <w:bCs/>
        </w:rPr>
      </w:pPr>
      <w:r w:rsidRPr="00ED172B">
        <w:rPr>
          <w:color w:val="000000" w:themeColor="text1"/>
        </w:rPr>
        <w:t>Local level performance indicator data for C3, B6, and B7 data were collected in each implementing community and program. These data were shared with partners as part of the annual review process with the EI/ECSE Contractors, the Oregon Early Childhood Inclusion State Leadership Team, and the State Interagency Coordinating Council. In the data presented by the Early Childhood Coherent Strategies specialist, it was observed that accelerated growth occurred in implementation communities that used the Early Childhood Inclusion Indicators at the community level and the Indicators and Pyramid Model Framework at the Program level had a higher level of performance than those who did not, with one of the smaller and more rural regions increasing their B6A data from 23% to 50% over the course of a year. This data was presented to SICC in January 2023 and January 2024.</w:t>
      </w:r>
    </w:p>
    <w:p w14:paraId="72F94657" w14:textId="77777777" w:rsidR="00107600" w:rsidRDefault="00107600" w:rsidP="00F255D2">
      <w:pPr>
        <w:rPr>
          <w:rFonts w:cs="Arial"/>
          <w:b/>
          <w:bCs/>
        </w:rPr>
      </w:pPr>
    </w:p>
    <w:p w14:paraId="52E9D5CB" w14:textId="51235CAD" w:rsidR="006A6410" w:rsidRDefault="006A6410" w:rsidP="00064BA4">
      <w:pPr>
        <w:rPr>
          <w:rFonts w:cs="Arial"/>
          <w:b/>
          <w:bCs/>
        </w:rPr>
      </w:pPr>
      <w:bookmarkStart w:id="81" w:name="_Hlk109647074"/>
      <w:r w:rsidRPr="006A6410">
        <w:rPr>
          <w:rFonts w:cs="Arial"/>
          <w:b/>
          <w:bCs/>
        </w:rPr>
        <w:t xml:space="preserve">Provide a summary of the next steps for each evidence-based practices and the anticipated outcomes to be attained during the next reporting period. </w:t>
      </w:r>
    </w:p>
    <w:bookmarkEnd w:id="81"/>
    <w:p w14:paraId="5FC33224" w14:textId="66099ED0" w:rsidR="00026ADD" w:rsidRPr="005137B6" w:rsidRDefault="00026ADD" w:rsidP="00026ADD">
      <w:pPr>
        <w:rPr>
          <w:b/>
          <w:bCs/>
        </w:rPr>
      </w:pPr>
      <w:r w:rsidRPr="00ED172B">
        <w:rPr>
          <w:color w:val="000000" w:themeColor="text1"/>
        </w:rPr>
        <w:t xml:space="preserve">Investment in an evaluation and research team at Oregon State University will provide the state with more valid, reliable, and complete implementation data supporting coaches, providers, and programs with data for review by program, community, and state leadership teams. This data will be publicly available in winter 2024. Additional results of investment in the Implementation Support Team will result in expansion of Pyramid Model to communities in 2-4 additional regions with plans for implementation expansion of the inclusion indicators to follow, regional supports for training and technical assistance to rural parts of the state without previous access, translation of materials into other languages for monolingual coaches and providers, ensuring an expansion of equitable access to high quality trainings, resources, and supports to the entire early learning system who serves and supports young children experiencing disability. </w:t>
      </w:r>
    </w:p>
    <w:p w14:paraId="20BF17A9" w14:textId="77777777" w:rsidR="00026ADD" w:rsidRDefault="00026ADD" w:rsidP="00064BA4">
      <w:pPr>
        <w:rPr>
          <w:rFonts w:cs="Arial"/>
          <w:b/>
          <w:bCs/>
        </w:rPr>
      </w:pPr>
      <w:bookmarkStart w:id="82" w:name="_Hlk109647080"/>
    </w:p>
    <w:bookmarkEnd w:id="82"/>
    <w:p w14:paraId="0218F587" w14:textId="77777777" w:rsidR="00253D4F" w:rsidRPr="006A3544" w:rsidRDefault="00253D4F" w:rsidP="00253D4F">
      <w:pPr>
        <w:rPr>
          <w:b/>
          <w:bCs/>
          <w:szCs w:val="16"/>
        </w:rPr>
      </w:pPr>
      <w:r w:rsidRPr="006A3544">
        <w:rPr>
          <w:b/>
          <w:bCs/>
          <w:szCs w:val="16"/>
        </w:rPr>
        <w:t xml:space="preserve">Does the State intend to continue implementing the SSIP without modifications? </w:t>
      </w:r>
      <w:r w:rsidRPr="006A3544">
        <w:rPr>
          <w:rFonts w:cs="Arial"/>
          <w:b/>
          <w:bCs/>
        </w:rPr>
        <w:t>(yes/no)</w:t>
      </w:r>
    </w:p>
    <w:p w14:paraId="01CB62A6" w14:textId="77248C90" w:rsidR="00540BB9" w:rsidRDefault="00540BB9" w:rsidP="00253D4F">
      <w:r w:rsidRPr="00781112">
        <w:t>YES</w:t>
      </w:r>
    </w:p>
    <w:p w14:paraId="4FB94A40" w14:textId="77777777" w:rsidR="00253D4F" w:rsidRPr="006A3544" w:rsidRDefault="00253D4F" w:rsidP="00253D4F">
      <w:pPr>
        <w:rPr>
          <w:b/>
          <w:bCs/>
          <w:szCs w:val="16"/>
        </w:rPr>
      </w:pPr>
      <w:r w:rsidRPr="006A3544">
        <w:rPr>
          <w:b/>
          <w:bCs/>
          <w:szCs w:val="16"/>
        </w:rPr>
        <w:t>If yes, describe how evaluation data support the decision to implement without any modifications to the SSIP.</w:t>
      </w:r>
    </w:p>
    <w:p w14:paraId="7EED6261" w14:textId="35D542AA" w:rsidR="00540BB9" w:rsidRDefault="00540BB9" w:rsidP="00540BB9">
      <w:r w:rsidRPr="00781112">
        <w:t xml:space="preserve">At this time, we are in the initial stages of witnessing the increased impact in state level data as expansion and fidelity of implementation is achieved. This data shows growth and improvement in the areas targeted by C3, B6, and B7. At this time, moving towards scale up and sustainability and approaching implementation have shown to be critical to achieve the theory of change. </w:t>
      </w:r>
    </w:p>
    <w:p w14:paraId="38B47A1D" w14:textId="7EBD8053" w:rsidR="00436802" w:rsidRDefault="00436802" w:rsidP="00F255D2">
      <w:pPr>
        <w:rPr>
          <w:color w:val="000000" w:themeColor="text1"/>
        </w:rPr>
      </w:pPr>
    </w:p>
    <w:p w14:paraId="46F0EF88" w14:textId="77777777" w:rsidR="00436802" w:rsidRPr="00B50A83" w:rsidRDefault="00436802" w:rsidP="00F255D2">
      <w:pPr>
        <w:rPr>
          <w:b/>
          <w:bCs/>
        </w:rPr>
      </w:pPr>
    </w:p>
    <w:p w14:paraId="1C8F2A53" w14:textId="77777777" w:rsidR="00436802" w:rsidRDefault="000F3CCC" w:rsidP="000F3CCC">
      <w:pPr>
        <w:rPr>
          <w:rFonts w:cs="Arial"/>
          <w:b/>
          <w:bCs/>
        </w:rPr>
      </w:pPr>
      <w:r w:rsidRPr="000F3CCC">
        <w:rPr>
          <w:rFonts w:cs="Arial"/>
          <w:b/>
          <w:bCs/>
        </w:rPr>
        <w:t>Section C: Stakeholder Engagement</w:t>
      </w:r>
    </w:p>
    <w:p w14:paraId="3B57804E" w14:textId="4354CD0C" w:rsidR="00436802" w:rsidRDefault="00436802" w:rsidP="00436802">
      <w:pPr>
        <w:pStyle w:val="Bold"/>
        <w:rPr>
          <w:color w:val="000000" w:themeColor="text1"/>
        </w:rPr>
      </w:pPr>
      <w:r w:rsidRPr="00A10714">
        <w:rPr>
          <w:color w:val="000000" w:themeColor="text1"/>
        </w:rPr>
        <w:t>Description of Stakeholder Input</w:t>
      </w:r>
    </w:p>
    <w:p w14:paraId="4585765C" w14:textId="77777777" w:rsidR="00436802" w:rsidRDefault="00436802" w:rsidP="00436802">
      <w:pPr>
        <w:rPr>
          <w:color w:val="000000" w:themeColor="text1"/>
        </w:rPr>
      </w:pPr>
      <w:r w:rsidRPr="00ED172B">
        <w:rPr>
          <w:color w:val="000000" w:themeColor="text1"/>
        </w:rPr>
        <w:t xml:space="preserve">The State engaged in broad stakeholder input on new targets established for FFY 2020-2025, reported in the 2021 submission. The State did not revise targets during this reporting period. Ongoing engagement included regular reports from the director and Agency staff to the State Interagency Coordinating Council, Regional Inclusive Services, and State Advisory Council on Special Education. Targeted engagement on personnel standards, the state systemic improvement plan and activities, strategies for improving access to inclusive early learning environments for children with disabilities, and updated guidance on discipline occurred throughout the reporting period. This included presentations during conferences, meetings, and advisory groups, updates to the Agency web pages, leveraging newsletters for Oregon Early Childhood Inclusion, webinars, and memorandums to district leadership and superintendents.  </w:t>
      </w:r>
      <w:r w:rsidRPr="00ED172B">
        <w:rPr>
          <w:color w:val="000000" w:themeColor="text1"/>
        </w:rPr>
        <w:br/>
        <w:t xml:space="preserve">The State engaged with various stakeholder groups to gather feedback on the revision of the EI/ECSE personnel standards. Multiple stakeholder engagement sessions were held with EI/ECSE practitioners, community partners, and families. The State partnered with a parent information and training center, Family and Community Together (FACT) Oregon, to host a feedback session with families of children receiving EI/ECSE services. Materials were made available in Spanish and Spanish translation was provided at the family feedback session.  </w:t>
      </w:r>
    </w:p>
    <w:p w14:paraId="10DD8D81" w14:textId="77777777" w:rsidR="00436802" w:rsidRPr="00ED172B" w:rsidRDefault="00436802" w:rsidP="00436802">
      <w:pPr>
        <w:pStyle w:val="Bold"/>
        <w:rPr>
          <w:b w:val="0"/>
          <w:color w:val="000000" w:themeColor="text1"/>
        </w:rPr>
      </w:pPr>
    </w:p>
    <w:p w14:paraId="4CBCC65C" w14:textId="6D7AD6CB" w:rsidR="000F3CCC" w:rsidRPr="000F3CCC" w:rsidRDefault="000F3CCC" w:rsidP="000F3CCC">
      <w:pPr>
        <w:rPr>
          <w:rFonts w:cs="Arial"/>
          <w:b/>
          <w:bCs/>
        </w:rPr>
      </w:pPr>
      <w:r w:rsidRPr="000F3CCC">
        <w:rPr>
          <w:rFonts w:cs="Arial"/>
          <w:b/>
          <w:bCs/>
        </w:rPr>
        <w:t xml:space="preserve"> </w:t>
      </w:r>
    </w:p>
    <w:p w14:paraId="0112849A" w14:textId="77777777" w:rsidR="000F3CCC" w:rsidRPr="000F3CCC" w:rsidRDefault="000F3CCC" w:rsidP="000F3CCC">
      <w:pPr>
        <w:rPr>
          <w:rFonts w:cs="Arial"/>
          <w:b/>
          <w:bCs/>
        </w:rPr>
      </w:pPr>
      <w:bookmarkStart w:id="83" w:name="_Hlk109647088"/>
      <w:r w:rsidRPr="000F3CCC">
        <w:rPr>
          <w:rFonts w:cs="Arial"/>
          <w:b/>
          <w:bCs/>
        </w:rPr>
        <w:t xml:space="preserve">Describe the specific strategies implemented to engage stakeholders in key improvement efforts. </w:t>
      </w:r>
    </w:p>
    <w:bookmarkEnd w:id="83"/>
    <w:p w14:paraId="7A97D15A" w14:textId="346F07A8" w:rsidR="00D96943" w:rsidRPr="00B50A83" w:rsidRDefault="00D96943" w:rsidP="00D96943">
      <w:pPr>
        <w:rPr>
          <w:b/>
          <w:bCs/>
        </w:rPr>
      </w:pPr>
      <w:r w:rsidRPr="00ED172B">
        <w:rPr>
          <w:color w:val="000000" w:themeColor="text1"/>
        </w:rPr>
        <w:t xml:space="preserve">Strategies to include partners and gather feedback in key improvement efforts include diverse parent engagement including targeted recruitment to advisory groups in partnership with the governor’s office, increased availability of interpreters and translated materials as requested by parent and community members during registration for training and engagement events, partnership with higher education and the Parent Training and Information Center and Community Expansion grant recipient to ensure bilingual and bicultural program specialists are available to support understanding of IDEA, the DEC recommended practices, and topics for engagement, engaging partners in shared professional development activities and gathering input and </w:t>
      </w:r>
      <w:r w:rsidRPr="00ED172B">
        <w:rPr>
          <w:color w:val="000000" w:themeColor="text1"/>
        </w:rPr>
        <w:lastRenderedPageBreak/>
        <w:t xml:space="preserve">feedback through evaluation and follow-up, and the use of Agency newsletters for updates on initiatives, opportunities for professional development, and highlights on implementation in practice. </w:t>
      </w:r>
      <w:r w:rsidRPr="00ED172B">
        <w:rPr>
          <w:color w:val="000000" w:themeColor="text1"/>
        </w:rPr>
        <w:br/>
      </w:r>
      <w:r w:rsidRPr="00ED172B">
        <w:rPr>
          <w:color w:val="000000" w:themeColor="text1"/>
        </w:rPr>
        <w:br/>
        <w:t xml:space="preserve">Additionally, the State continues to maintain ongoing partnership with the State Interagency Coordinating Council (SICC), including parent members, to continue to develop improvement strategies. These discussions with the SICC help to inform statewide improvement strategies as reflected in the SPP/APR. Topics addressed in 2023 included regular legislative session </w:t>
      </w:r>
      <w:proofErr w:type="gramStart"/>
      <w:r w:rsidRPr="00ED172B">
        <w:rPr>
          <w:color w:val="000000" w:themeColor="text1"/>
        </w:rPr>
        <w:t>updates ,</w:t>
      </w:r>
      <w:proofErr w:type="gramEnd"/>
      <w:r w:rsidRPr="00ED172B">
        <w:rPr>
          <w:color w:val="000000" w:themeColor="text1"/>
        </w:rPr>
        <w:t xml:space="preserve"> updates on improvement efforts for results indicators, and the development of cross-agency partnership to better align the early learning system under Raise Up Oregon, a comprehensive multi-systems plan for improving outcomes for children and families. More information about the engagement with the State Interagency Coordinating Council can be found on the SICC website: https://www.oregon.gov/ode/students-and-family/SpecialEducation/earlyintervention/Pages/sicc.aspx</w:t>
      </w:r>
    </w:p>
    <w:p w14:paraId="4F13D059" w14:textId="77777777" w:rsidR="00476A20" w:rsidRDefault="00476A20" w:rsidP="00DA6A6C">
      <w:pPr>
        <w:rPr>
          <w:rFonts w:cs="Arial"/>
          <w:b/>
          <w:bCs/>
        </w:rPr>
      </w:pPr>
    </w:p>
    <w:p w14:paraId="7F1D30A2" w14:textId="49E86B13" w:rsidR="00476A20" w:rsidRDefault="00DA6A6C" w:rsidP="00DA6A6C">
      <w:pPr>
        <w:rPr>
          <w:rFonts w:cs="Arial"/>
          <w:b/>
          <w:bCs/>
        </w:rPr>
      </w:pPr>
      <w:bookmarkStart w:id="84" w:name="_Hlk109647094"/>
      <w:r w:rsidRPr="00DA6A6C">
        <w:rPr>
          <w:rFonts w:cs="Arial"/>
          <w:b/>
          <w:bCs/>
        </w:rPr>
        <w:t>Were there any concerns expressed by stakeholders during engagement activities?</w:t>
      </w:r>
      <w:r w:rsidR="00CD071F">
        <w:rPr>
          <w:b/>
          <w:bCs/>
        </w:rPr>
        <w:t xml:space="preserve"> </w:t>
      </w:r>
      <w:r w:rsidR="00CD071F" w:rsidRPr="00CD071F">
        <w:rPr>
          <w:b/>
          <w:bCs/>
        </w:rPr>
        <w:t>(yes/no)</w:t>
      </w:r>
    </w:p>
    <w:bookmarkEnd w:id="84"/>
    <w:p w14:paraId="6ABDC33E" w14:textId="3149C6FF" w:rsidR="00DA6A6C" w:rsidRPr="000420BE" w:rsidRDefault="000420BE" w:rsidP="00DA6A6C">
      <w:pPr>
        <w:rPr>
          <w:b/>
          <w:bCs/>
        </w:rPr>
      </w:pPr>
      <w:r w:rsidRPr="00ED172B">
        <w:rPr>
          <w:color w:val="000000" w:themeColor="text1"/>
        </w:rPr>
        <w:t>YES</w:t>
      </w:r>
    </w:p>
    <w:p w14:paraId="3189F8DE" w14:textId="274B0BF2" w:rsidR="003D4AAD" w:rsidRPr="003D4AAD" w:rsidRDefault="00436802" w:rsidP="003D4AAD">
      <w:pPr>
        <w:rPr>
          <w:rFonts w:cs="Arial"/>
          <w:b/>
          <w:bCs/>
        </w:rPr>
      </w:pPr>
      <w:bookmarkStart w:id="85" w:name="_Hlk109647102"/>
      <w:r>
        <w:rPr>
          <w:rFonts w:cs="Arial"/>
          <w:b/>
          <w:bCs/>
        </w:rPr>
        <w:t xml:space="preserve">Describe how the State addressed the concerns expressed by stakeholders. </w:t>
      </w:r>
    </w:p>
    <w:bookmarkEnd w:id="85"/>
    <w:p w14:paraId="18AA4CF0" w14:textId="426ABC15" w:rsidR="0072398B" w:rsidRDefault="004A571B" w:rsidP="006237B0">
      <w:pPr>
        <w:rPr>
          <w:color w:val="000000" w:themeColor="text1"/>
        </w:rPr>
      </w:pPr>
      <w:r w:rsidRPr="00ED172B">
        <w:rPr>
          <w:color w:val="000000" w:themeColor="text1"/>
        </w:rPr>
        <w:t xml:space="preserve">The state continues to evaluate and monitor the impacts across age groups and target investments for improvement activities to specifically address the needs identified by Part C home visitors and families entering early intervention through Part C. This has led to initial investments in professional development, supports for providers, and increased engagement in broader statewide activities addressing the quality of home visiting, statewide system development, and continuity across early learning systems of care. </w:t>
      </w:r>
    </w:p>
    <w:p w14:paraId="00BB8B73" w14:textId="77777777" w:rsidR="004A571B" w:rsidRPr="006237B0" w:rsidRDefault="004A571B" w:rsidP="006237B0">
      <w:pPr>
        <w:rPr>
          <w:rFonts w:cs="Arial"/>
          <w:b/>
          <w:bCs/>
        </w:rPr>
      </w:pPr>
    </w:p>
    <w:p w14:paraId="47232689" w14:textId="77777777" w:rsidR="004E393A" w:rsidRDefault="004E393A" w:rsidP="004E393A">
      <w:pPr>
        <w:rPr>
          <w:rFonts w:cstheme="minorHAnsi"/>
          <w:b/>
          <w:bCs/>
        </w:rPr>
      </w:pPr>
      <w:r w:rsidRPr="00DF62C9">
        <w:rPr>
          <w:rFonts w:cstheme="minorHAnsi"/>
          <w:b/>
          <w:bCs/>
        </w:rPr>
        <w:t>Additional Implementation Activities</w:t>
      </w:r>
    </w:p>
    <w:p w14:paraId="2A8A27BE" w14:textId="56086B53" w:rsidR="004E393A" w:rsidRDefault="004E393A" w:rsidP="004E393A">
      <w:pPr>
        <w:rPr>
          <w:b/>
          <w:bCs/>
        </w:rPr>
      </w:pPr>
      <w:bookmarkStart w:id="86" w:name="_Hlk109647117"/>
      <w:r w:rsidRPr="00F85A5B">
        <w:rPr>
          <w:b/>
          <w:bCs/>
        </w:rPr>
        <w:t xml:space="preserve">List any activities not already described that the State intends to implement in the next fiscal year that are related to the </w:t>
      </w:r>
      <w:proofErr w:type="spellStart"/>
      <w:r w:rsidRPr="00F85A5B">
        <w:rPr>
          <w:b/>
          <w:bCs/>
        </w:rPr>
        <w:t>SiMR</w:t>
      </w:r>
      <w:proofErr w:type="spellEnd"/>
      <w:r w:rsidRPr="00F85A5B">
        <w:rPr>
          <w:b/>
          <w:bCs/>
        </w:rPr>
        <w:t>.</w:t>
      </w:r>
    </w:p>
    <w:bookmarkEnd w:id="86"/>
    <w:p w14:paraId="54FDC4CC" w14:textId="4E342817" w:rsidR="00917FC3" w:rsidRPr="00F85A5B" w:rsidRDefault="00917FC3" w:rsidP="004E393A">
      <w:pPr>
        <w:rPr>
          <w:color w:val="000000" w:themeColor="text1"/>
        </w:rPr>
      </w:pPr>
      <w:r w:rsidRPr="00ED172B">
        <w:rPr>
          <w:color w:val="000000" w:themeColor="text1"/>
        </w:rPr>
        <w:t xml:space="preserve">Partnership across DELC and ODE to revise the Kindergarten and Preschool Guidelines, Alignment with recommendations from other state agencies around Social-Emotional Learning, behavioral health, </w:t>
      </w:r>
      <w:proofErr w:type="spellStart"/>
      <w:r w:rsidRPr="00ED172B">
        <w:rPr>
          <w:color w:val="000000" w:themeColor="text1"/>
        </w:rPr>
        <w:t>homevisiting</w:t>
      </w:r>
      <w:proofErr w:type="spellEnd"/>
      <w:r w:rsidRPr="00ED172B">
        <w:rPr>
          <w:color w:val="000000" w:themeColor="text1"/>
        </w:rPr>
        <w:t xml:space="preserve">, and reducing exclusionary discipline practices 0-21, implement to fidelity the DEC Standards through professional learning opportunities offered in partnership with DELC, ODE, and Higher Education. </w:t>
      </w:r>
    </w:p>
    <w:p w14:paraId="7E4D8D02" w14:textId="77777777" w:rsidR="00297898" w:rsidRPr="00297898" w:rsidRDefault="00297898" w:rsidP="00297898">
      <w:pPr>
        <w:rPr>
          <w:rFonts w:cs="Arial"/>
          <w:b/>
          <w:bCs/>
        </w:rPr>
      </w:pPr>
      <w:bookmarkStart w:id="87" w:name="_Hlk109647119"/>
      <w:r w:rsidRPr="00297898">
        <w:rPr>
          <w:rFonts w:cs="Arial"/>
          <w:b/>
          <w:bCs/>
        </w:rPr>
        <w:t xml:space="preserve">Provide a timeline, anticipated data collection and measures, and expected outcomes for these activities that are related to the </w:t>
      </w:r>
      <w:proofErr w:type="spellStart"/>
      <w:r w:rsidRPr="00297898">
        <w:rPr>
          <w:rFonts w:cs="Arial"/>
          <w:b/>
          <w:bCs/>
        </w:rPr>
        <w:t>SiMR</w:t>
      </w:r>
      <w:proofErr w:type="spellEnd"/>
      <w:r w:rsidRPr="00297898">
        <w:rPr>
          <w:rFonts w:cs="Arial"/>
          <w:b/>
          <w:bCs/>
        </w:rPr>
        <w:t xml:space="preserve">. </w:t>
      </w:r>
    </w:p>
    <w:bookmarkEnd w:id="87"/>
    <w:p w14:paraId="08124F49" w14:textId="4CDFC9D0" w:rsidR="006237B0" w:rsidRDefault="007B151D" w:rsidP="00067F9F">
      <w:pPr>
        <w:spacing w:before="0" w:after="0"/>
        <w:rPr>
          <w:color w:val="000000" w:themeColor="text1"/>
        </w:rPr>
      </w:pPr>
      <w:r w:rsidRPr="00ED172B">
        <w:rPr>
          <w:color w:val="000000" w:themeColor="text1"/>
        </w:rPr>
        <w:t xml:space="preserve">Each of these activities are anticipated to be complete by Winter of 2025. </w:t>
      </w:r>
    </w:p>
    <w:p w14:paraId="26E4FB73" w14:textId="77777777" w:rsidR="007B151D" w:rsidRPr="00F85A5B" w:rsidRDefault="007B151D" w:rsidP="003B71AB">
      <w:pPr>
        <w:rPr>
          <w:color w:val="000000" w:themeColor="text1"/>
        </w:rPr>
      </w:pPr>
    </w:p>
    <w:p w14:paraId="6983483D" w14:textId="3FFCDF3A" w:rsidR="009E0726" w:rsidRDefault="009E0726" w:rsidP="009E0726">
      <w:pPr>
        <w:rPr>
          <w:rFonts w:cs="Arial"/>
          <w:b/>
          <w:bCs/>
        </w:rPr>
      </w:pPr>
      <w:bookmarkStart w:id="88" w:name="_Hlk109647121"/>
      <w:r w:rsidRPr="009E0726">
        <w:rPr>
          <w:rFonts w:cs="Arial"/>
          <w:b/>
          <w:bCs/>
        </w:rPr>
        <w:t>Describe any newly identified barriers and include steps to address these barriers.</w:t>
      </w:r>
    </w:p>
    <w:bookmarkEnd w:id="88"/>
    <w:p w14:paraId="6E8B2008" w14:textId="0F892B41" w:rsidR="00F40121" w:rsidRDefault="00F40121" w:rsidP="00F40121">
      <w:pPr>
        <w:rPr>
          <w:color w:val="000000" w:themeColor="text1"/>
        </w:rPr>
      </w:pPr>
      <w:r w:rsidRPr="00ED172B">
        <w:rPr>
          <w:color w:val="000000" w:themeColor="text1"/>
        </w:rPr>
        <w:t>State staff capacity to coordinate, evaluate, and plan for activities outlined in the SSIP has been stressed for the past year with work plans shifting, and continued organizational changes, including the changing landscape of Early Learning and the creation of a new Department of Early Learning and Care. As the new department moves forward, we rely on the willingness and capacity of state and local staff to align and coordinate efforts.</w:t>
      </w:r>
      <w:r w:rsidRPr="00ED172B">
        <w:rPr>
          <w:color w:val="000000" w:themeColor="text1"/>
        </w:rPr>
        <w:br/>
        <w:t xml:space="preserve"> Continued steps to address the following in a comprehensive way are necessary and include the State Leadership Team making decision and moving in partnership to: </w:t>
      </w:r>
      <w:r w:rsidRPr="00ED172B">
        <w:rPr>
          <w:color w:val="000000" w:themeColor="text1"/>
        </w:rPr>
        <w:br/>
        <w:t>1.</w:t>
      </w:r>
      <w:r w:rsidRPr="00ED172B">
        <w:rPr>
          <w:color w:val="000000" w:themeColor="text1"/>
        </w:rPr>
        <w:tab/>
        <w:t xml:space="preserve">Engage partners, including the Oregon State Leadership Team for Early Childhood Inclusion, leadership of the Department of Early Learning and Care, and SICC, to advise on continuation of shared investment in infrastructure development for coaching and high quality practices for inclusion. </w:t>
      </w:r>
      <w:r w:rsidRPr="00ED172B">
        <w:rPr>
          <w:color w:val="000000" w:themeColor="text1"/>
        </w:rPr>
        <w:br/>
        <w:t xml:space="preserve">2. Evaluate gaps in funding that lead to barriers in effective and efficient cross-sector, </w:t>
      </w:r>
      <w:proofErr w:type="gramStart"/>
      <w:r w:rsidRPr="00ED172B">
        <w:rPr>
          <w:color w:val="000000" w:themeColor="text1"/>
        </w:rPr>
        <w:t>state wide</w:t>
      </w:r>
      <w:proofErr w:type="gramEnd"/>
      <w:r w:rsidRPr="00ED172B">
        <w:rPr>
          <w:color w:val="000000" w:themeColor="text1"/>
        </w:rPr>
        <w:t xml:space="preserve"> scalability.</w:t>
      </w:r>
      <w:r w:rsidRPr="00ED172B">
        <w:rPr>
          <w:color w:val="000000" w:themeColor="text1"/>
        </w:rPr>
        <w:br/>
        <w:t>3. Identify and utilize existing staff expertise to redistribute the work of writing and delivering the outputs outlined in the plan to address state capacity for implementation.</w:t>
      </w:r>
      <w:r w:rsidRPr="00ED172B">
        <w:rPr>
          <w:color w:val="000000" w:themeColor="text1"/>
        </w:rPr>
        <w:br/>
        <w:t>4. Ensure that Racial Equity and equitable access for families and providers remain central to implementation and evaluation efforts.</w:t>
      </w:r>
    </w:p>
    <w:p w14:paraId="630C787A" w14:textId="77777777" w:rsidR="009B26D1" w:rsidRPr="009E0726" w:rsidRDefault="009B26D1" w:rsidP="009E0726">
      <w:pPr>
        <w:rPr>
          <w:rFonts w:cs="Arial"/>
          <w:b/>
          <w:bCs/>
        </w:rPr>
      </w:pPr>
    </w:p>
    <w:p w14:paraId="2E2328D4" w14:textId="46BA2384" w:rsidR="00261010" w:rsidRPr="00261010" w:rsidRDefault="00261010" w:rsidP="00261010">
      <w:pPr>
        <w:rPr>
          <w:rFonts w:cs="Arial"/>
          <w:b/>
          <w:bCs/>
        </w:rPr>
      </w:pPr>
      <w:bookmarkStart w:id="89" w:name="_Hlk109647123"/>
      <w:r w:rsidRPr="00261010">
        <w:rPr>
          <w:rFonts w:cs="Arial"/>
          <w:b/>
          <w:bCs/>
        </w:rPr>
        <w:t>Provide additional information about this indicator (optional).</w:t>
      </w:r>
    </w:p>
    <w:bookmarkEnd w:id="89"/>
    <w:p w14:paraId="58D41C9E" w14:textId="2B949EC4" w:rsidR="00F40121" w:rsidRDefault="00F40121" w:rsidP="00F40121">
      <w:pPr>
        <w:rPr>
          <w:color w:val="000000" w:themeColor="text1"/>
        </w:rPr>
      </w:pPr>
    </w:p>
    <w:p w14:paraId="304699EC" w14:textId="77777777" w:rsidR="005838E8" w:rsidRDefault="005838E8" w:rsidP="00741E58">
      <w:pPr>
        <w:rPr>
          <w:b/>
          <w:bCs/>
        </w:rPr>
      </w:pPr>
    </w:p>
    <w:p w14:paraId="2B6FC0CA" w14:textId="77777777" w:rsidR="005838E8" w:rsidRPr="00F85A5B" w:rsidRDefault="005838E8" w:rsidP="00F85A5B">
      <w:pPr>
        <w:rPr>
          <w:b/>
          <w:bCs/>
        </w:rPr>
      </w:pPr>
    </w:p>
    <w:p w14:paraId="7B664953" w14:textId="677D6DE8" w:rsidR="00F5460E" w:rsidRPr="00A40EE1" w:rsidRDefault="00F5460E" w:rsidP="00F5460E">
      <w:pPr>
        <w:pStyle w:val="Heading2"/>
      </w:pPr>
      <w:r w:rsidRPr="00A40EE1">
        <w:t>1</w:t>
      </w:r>
      <w:r>
        <w:t>1</w:t>
      </w:r>
      <w:r w:rsidRPr="00A40EE1">
        <w:t xml:space="preserve"> - </w:t>
      </w:r>
      <w:r w:rsidRPr="00A10714">
        <w:t>Prior FFY Required Actions</w:t>
      </w:r>
    </w:p>
    <w:p w14:paraId="1E17F2E2" w14:textId="3EADC4EE" w:rsidR="00F5460E" w:rsidRPr="00ED172B" w:rsidRDefault="00F5460E" w:rsidP="00F5460E">
      <w:pPr>
        <w:rPr>
          <w:color w:val="000000" w:themeColor="text1"/>
        </w:rPr>
      </w:pPr>
      <w:r w:rsidRPr="00ED172B">
        <w:rPr>
          <w:color w:val="000000" w:themeColor="text1"/>
        </w:rPr>
        <w:t xml:space="preserve">In the FFY 2022 SPP/APR, the State must report all required data and components in this indicator. Reporting data under this indicator is critical so that the State, OSEP, and the public can determine the State’s performance and whether and how the State met its targets for this indicator. </w:t>
      </w:r>
    </w:p>
    <w:p w14:paraId="459F79AC" w14:textId="74C76661" w:rsidR="00F5460E" w:rsidRPr="00ED172B" w:rsidRDefault="00F5460E" w:rsidP="00F5460E">
      <w:pPr>
        <w:rPr>
          <w:color w:val="000000" w:themeColor="text1"/>
        </w:rPr>
      </w:pPr>
      <w:r w:rsidRPr="00ED172B">
        <w:rPr>
          <w:b/>
          <w:color w:val="000000" w:themeColor="text1"/>
        </w:rPr>
        <w:t>Response to actions required in FFY 2021 SPP/APR</w:t>
      </w:r>
      <w:r w:rsidRPr="00ED172B">
        <w:rPr>
          <w:color w:val="000000" w:themeColor="text1"/>
        </w:rPr>
        <w:t xml:space="preserve"> </w:t>
      </w:r>
    </w:p>
    <w:p w14:paraId="120B9B78" w14:textId="6874B425" w:rsidR="00F5460E" w:rsidRPr="00ED172B" w:rsidRDefault="00F5460E" w:rsidP="00F5460E">
      <w:pPr>
        <w:rPr>
          <w:color w:val="000000" w:themeColor="text1"/>
        </w:rPr>
      </w:pPr>
      <w:r w:rsidRPr="00ED172B">
        <w:rPr>
          <w:color w:val="000000" w:themeColor="text1"/>
        </w:rPr>
        <w:t xml:space="preserve">Multiple mechanisms have been put in place to assure that OSEP and the public are clear about the data and whether or not the state met targets for this indicator. The state has updated the reporting data to include additional data used for reporting and reports directly to the State Interagency Coordinating Council (SICC) during public meetings three times a </w:t>
      </w:r>
      <w:proofErr w:type="gramStart"/>
      <w:r w:rsidRPr="00ED172B">
        <w:rPr>
          <w:color w:val="000000" w:themeColor="text1"/>
        </w:rPr>
        <w:t>year..</w:t>
      </w:r>
      <w:proofErr w:type="gramEnd"/>
      <w:r w:rsidRPr="00ED172B">
        <w:rPr>
          <w:color w:val="000000" w:themeColor="text1"/>
        </w:rPr>
        <w:t xml:space="preserve"> Data for Indicator B7, B6, and data connected to implementation are included in the report. Additionally, presentations to the State Interagency Coordinating Council and the State Leadership Team are ongoing and can be viewed by the public on the SICC website. Included in the annual report to the governor there are also links to implementation and improvement activities. The State Leadership Team impact report has also been developed to communicate key points to the public in a more accessible format so that improvement activities can be used by the public to provide feedback on improvement activities, linking them to the wider Early Learning </w:t>
      </w:r>
      <w:proofErr w:type="gramStart"/>
      <w:r w:rsidRPr="00ED172B">
        <w:rPr>
          <w:color w:val="000000" w:themeColor="text1"/>
        </w:rPr>
        <w:t>System  Strategic</w:t>
      </w:r>
      <w:proofErr w:type="gramEnd"/>
      <w:r w:rsidRPr="00ED172B">
        <w:rPr>
          <w:color w:val="000000" w:themeColor="text1"/>
        </w:rPr>
        <w:t xml:space="preserve"> Plan, Raise Up Oregon.  </w:t>
      </w:r>
    </w:p>
    <w:p w14:paraId="68A5FD13" w14:textId="2BE41878" w:rsidR="00F5460E" w:rsidRPr="00A40EE1" w:rsidRDefault="00F5460E" w:rsidP="00F5460E">
      <w:pPr>
        <w:pStyle w:val="Heading2"/>
      </w:pPr>
      <w:r w:rsidRPr="00A40EE1">
        <w:t>1</w:t>
      </w:r>
      <w:r w:rsidR="001C46CD">
        <w:t>1</w:t>
      </w:r>
      <w:r w:rsidRPr="00A40EE1">
        <w:t xml:space="preserve"> - OSEP Response</w:t>
      </w:r>
    </w:p>
    <w:p w14:paraId="42EAAED9" w14:textId="7B889C41" w:rsidR="00F5460E" w:rsidRPr="00ED172B" w:rsidRDefault="00F5460E" w:rsidP="00F5460E">
      <w:pPr>
        <w:rPr>
          <w:color w:val="000000" w:themeColor="text1"/>
        </w:rPr>
      </w:pPr>
    </w:p>
    <w:p w14:paraId="404298B8" w14:textId="4D0869A2" w:rsidR="00F5460E" w:rsidRPr="00A40EE1" w:rsidRDefault="00F5460E" w:rsidP="00F5460E">
      <w:pPr>
        <w:pStyle w:val="Heading2"/>
      </w:pPr>
      <w:r w:rsidRPr="00A40EE1">
        <w:t>1</w:t>
      </w:r>
      <w:r w:rsidR="001C46CD">
        <w:t>1</w:t>
      </w:r>
      <w:r w:rsidRPr="00A40EE1">
        <w:t xml:space="preserve"> - Required Actions</w:t>
      </w:r>
    </w:p>
    <w:p w14:paraId="55E9952C" w14:textId="0C53720F" w:rsidR="00F5460E" w:rsidRPr="00ED172B" w:rsidRDefault="00F5460E" w:rsidP="00F5460E">
      <w:pPr>
        <w:rPr>
          <w:color w:val="000000" w:themeColor="text1"/>
        </w:rPr>
      </w:pPr>
    </w:p>
    <w:p w14:paraId="37B492A8" w14:textId="5F272293" w:rsidR="00621DEC" w:rsidRDefault="00621DEC" w:rsidP="00F85A5B">
      <w:pPr>
        <w:pStyle w:val="Heading2"/>
        <w:rPr>
          <w:color w:val="000000" w:themeColor="text1"/>
          <w:sz w:val="22"/>
          <w:szCs w:val="28"/>
        </w:rPr>
      </w:pPr>
      <w:r>
        <w:rPr>
          <w:color w:val="000000" w:themeColor="text1"/>
        </w:rPr>
        <w:br w:type="page"/>
      </w:r>
    </w:p>
    <w:bookmarkEnd w:id="62"/>
    <w:p w14:paraId="755D434F" w14:textId="77777777" w:rsidR="00D21F29" w:rsidRDefault="00D21F29" w:rsidP="002D491B">
      <w:pPr>
        <w:spacing w:before="0" w:after="200" w:line="276" w:lineRule="auto"/>
        <w:rPr>
          <w:rFonts w:cs="Arial"/>
          <w:b/>
          <w:bCs/>
          <w:szCs w:val="16"/>
        </w:rPr>
        <w:sectPr w:rsidR="00D21F29" w:rsidSect="00BF3AB4">
          <w:footerReference w:type="default" r:id="rId13"/>
          <w:pgSz w:w="12240" w:h="15840"/>
          <w:pgMar w:top="720" w:right="720" w:bottom="720" w:left="720" w:header="0" w:footer="445" w:gutter="0"/>
          <w:cols w:space="720"/>
          <w:docGrid w:linePitch="218"/>
        </w:sectPr>
      </w:pPr>
    </w:p>
    <w:p w14:paraId="22C54C5E" w14:textId="77777777" w:rsidR="00D21F29" w:rsidRPr="00597743" w:rsidRDefault="00D21F29" w:rsidP="00D21F29">
      <w:pPr>
        <w:pStyle w:val="Heading2"/>
      </w:pPr>
      <w:r w:rsidRPr="00597743">
        <w:lastRenderedPageBreak/>
        <w:t xml:space="preserve">Final Determination Letter </w:t>
      </w:r>
    </w:p>
    <w:p w14:paraId="060F7750" w14:textId="77777777" w:rsidR="00D21F29" w:rsidRPr="00CE7212" w:rsidRDefault="00D21F29" w:rsidP="00D21F29">
      <w:pPr>
        <w:spacing w:before="0" w:after="200" w:line="276" w:lineRule="auto"/>
        <w:rPr>
          <w:rFonts w:eastAsiaTheme="majorEastAsia" w:cstheme="majorBidi"/>
          <w:b/>
          <w:bCs/>
          <w:sz w:val="20"/>
          <w:szCs w:val="26"/>
        </w:rPr>
      </w:pPr>
    </w:p>
    <w:p w14:paraId="1A60DE47" w14:textId="635BDC2D" w:rsidR="00D21F29" w:rsidRPr="00597743" w:rsidRDefault="00D21F29" w:rsidP="00D21F29">
      <w:pPr>
        <w:spacing w:before="0"/>
        <w:jc w:val="center"/>
        <w:rPr>
          <w:rFonts w:ascii="Times New Roman" w:hAnsi="Times New Roman"/>
          <w:sz w:val="24"/>
        </w:rPr>
      </w:pPr>
      <w:r w:rsidRPr="00597743">
        <w:t xml:space="preserve">June </w:t>
      </w:r>
      <w:r w:rsidR="00643754">
        <w:t>18</w:t>
      </w:r>
      <w:r w:rsidRPr="00597743">
        <w:rPr>
          <w:szCs w:val="24"/>
        </w:rPr>
        <w:t xml:space="preserve">, </w:t>
      </w:r>
      <w:r w:rsidRPr="00597743">
        <w:t>2024</w:t>
      </w:r>
    </w:p>
    <w:p w14:paraId="113C15B3" w14:textId="77777777" w:rsidR="00D21F29" w:rsidRPr="00597743" w:rsidRDefault="00D21F29" w:rsidP="00D21F29">
      <w:pPr>
        <w:rPr>
          <w:szCs w:val="24"/>
        </w:rPr>
      </w:pPr>
      <w:r w:rsidRPr="00597743">
        <w:rPr>
          <w:szCs w:val="24"/>
        </w:rPr>
        <w:t>Honorable Colt Gill</w:t>
      </w:r>
    </w:p>
    <w:p w14:paraId="49192794" w14:textId="77777777" w:rsidR="00D21F29" w:rsidRPr="00597743" w:rsidRDefault="00D21F29" w:rsidP="00D21F29">
      <w:pPr>
        <w:spacing w:before="0"/>
        <w:rPr>
          <w:szCs w:val="24"/>
        </w:rPr>
      </w:pPr>
      <w:r w:rsidRPr="00597743">
        <w:rPr>
          <w:szCs w:val="24"/>
        </w:rPr>
        <w:t>Deputy Superintendent of Public Instruction</w:t>
      </w:r>
    </w:p>
    <w:p w14:paraId="65103167" w14:textId="77777777" w:rsidR="00D21F29" w:rsidRPr="00597743" w:rsidRDefault="00D21F29" w:rsidP="00D21F29">
      <w:pPr>
        <w:spacing w:before="0"/>
        <w:rPr>
          <w:szCs w:val="24"/>
        </w:rPr>
      </w:pPr>
      <w:r w:rsidRPr="00597743">
        <w:rPr>
          <w:szCs w:val="24"/>
        </w:rPr>
        <w:t>Oregon Department of Education</w:t>
      </w:r>
    </w:p>
    <w:p w14:paraId="3944380D" w14:textId="77777777" w:rsidR="00D21F29" w:rsidRPr="00597743" w:rsidRDefault="00D21F29" w:rsidP="00D21F29">
      <w:pPr>
        <w:spacing w:before="0"/>
        <w:rPr>
          <w:szCs w:val="24"/>
        </w:rPr>
      </w:pPr>
      <w:r w:rsidRPr="00597743">
        <w:rPr>
          <w:szCs w:val="24"/>
        </w:rPr>
        <w:t>255 Capitol Street Northeast</w:t>
      </w:r>
    </w:p>
    <w:p w14:paraId="09271953" w14:textId="77777777" w:rsidR="00D21F29" w:rsidRPr="00597743" w:rsidRDefault="00D21F29" w:rsidP="00D21F29">
      <w:pPr>
        <w:spacing w:before="0"/>
        <w:rPr>
          <w:szCs w:val="24"/>
        </w:rPr>
      </w:pPr>
      <w:r w:rsidRPr="00597743">
        <w:rPr>
          <w:szCs w:val="24"/>
        </w:rPr>
        <w:t>Salem, OR 97310</w:t>
      </w:r>
    </w:p>
    <w:p w14:paraId="68207178" w14:textId="77777777" w:rsidR="002E2B1F" w:rsidRPr="00597743" w:rsidRDefault="002E2B1F" w:rsidP="00D21F29">
      <w:pPr>
        <w:spacing w:before="0"/>
        <w:rPr>
          <w:szCs w:val="24"/>
        </w:rPr>
      </w:pPr>
    </w:p>
    <w:p w14:paraId="65BC8656" w14:textId="77777777" w:rsidR="00D21F29" w:rsidRPr="00597743" w:rsidRDefault="00D21F29" w:rsidP="00D21F29">
      <w:pPr>
        <w:rPr>
          <w:szCs w:val="24"/>
        </w:rPr>
      </w:pPr>
      <w:r w:rsidRPr="00597743">
        <w:rPr>
          <w:szCs w:val="24"/>
        </w:rPr>
        <w:t xml:space="preserve">Dear </w:t>
      </w:r>
      <w:proofErr w:type="gramStart"/>
      <w:r w:rsidRPr="00597743">
        <w:rPr>
          <w:szCs w:val="24"/>
        </w:rPr>
        <w:t>Deputy</w:t>
      </w:r>
      <w:proofErr w:type="gramEnd"/>
      <w:r w:rsidRPr="00597743">
        <w:rPr>
          <w:szCs w:val="24"/>
        </w:rPr>
        <w:t xml:space="preserve"> Superintendent Gill:</w:t>
      </w:r>
    </w:p>
    <w:p w14:paraId="0C7A7400" w14:textId="77777777" w:rsidR="00D21F29" w:rsidRPr="00CE7212" w:rsidRDefault="00D21F29" w:rsidP="00D21F29">
      <w:pPr>
        <w:spacing w:before="0" w:after="0"/>
        <w:rPr>
          <w:rStyle w:val="ui-provider"/>
        </w:rPr>
      </w:pPr>
    </w:p>
    <w:p w14:paraId="13675A5B" w14:textId="658669EC" w:rsidR="00D21F29" w:rsidRPr="00597743" w:rsidRDefault="00D21F29" w:rsidP="00D21F29">
      <w:pPr>
        <w:rPr>
          <w:kern w:val="24"/>
        </w:rPr>
      </w:pPr>
      <w:r w:rsidRPr="00597743">
        <w:t xml:space="preserve">I am writing to advise you of the U.S. Department of Education’s (Department) 2024 determination under Sections 616 and 642 of the Individuals with Disabilities Education Act (IDEA). The Department has determined that Oregon meets the requirements and purposes of Part C of the IDEA. This determination is based on the totality of </w:t>
      </w:r>
      <w:r w:rsidRPr="006264F6">
        <w:t>Oregon's</w:t>
      </w:r>
      <w:r w:rsidRPr="00597743">
        <w:t xml:space="preserve"> data and information, including the Federal fiscal year (FFY) 202</w:t>
      </w:r>
      <w:r>
        <w:t>2</w:t>
      </w:r>
      <w:r w:rsidRPr="00597743">
        <w:t xml:space="preserve"> State Performance Plan/Annual Performance Report (SPP/APR), other State-reported data, and other publicly available information.</w:t>
      </w:r>
    </w:p>
    <w:p w14:paraId="559F9BD4" w14:textId="77777777" w:rsidR="00D21F29" w:rsidRPr="00CE7212" w:rsidRDefault="00D21F29" w:rsidP="00D21F29">
      <w:r w:rsidRPr="006264F6">
        <w:t>Oregon's</w:t>
      </w:r>
      <w:r w:rsidRPr="00597743">
        <w:t xml:space="preserve"> 2024 determination is based on the data reflected in </w:t>
      </w:r>
      <w:r w:rsidRPr="006264F6">
        <w:t>Oregon's</w:t>
      </w:r>
      <w:r w:rsidRPr="006264F6" w:rsidDel="006264F6">
        <w:t xml:space="preserve"> </w:t>
      </w:r>
      <w:r w:rsidRPr="00597743">
        <w:t xml:space="preserve">“2024 Part C Results-Driven Accountability Matrix” (RDA Matrix). </w:t>
      </w:r>
      <w:r w:rsidRPr="00CE7212">
        <w:t xml:space="preserve">The RDA Matrix is individualized for </w:t>
      </w:r>
      <w:r w:rsidRPr="00597743">
        <w:t>Oregon</w:t>
      </w:r>
      <w:r w:rsidRPr="00CE7212">
        <w:t xml:space="preserve"> and consists of: </w:t>
      </w:r>
    </w:p>
    <w:p w14:paraId="6729F831" w14:textId="77777777" w:rsidR="00D21F29" w:rsidRPr="00CE7212" w:rsidRDefault="00D21F29" w:rsidP="00D21F29">
      <w:pPr>
        <w:numPr>
          <w:ilvl w:val="0"/>
          <w:numId w:val="21"/>
        </w:numPr>
        <w:spacing w:before="120" w:after="0"/>
        <w:rPr>
          <w:szCs w:val="24"/>
        </w:rPr>
      </w:pPr>
      <w:r w:rsidRPr="00CE7212">
        <w:rPr>
          <w:szCs w:val="24"/>
        </w:rPr>
        <w:t>a Compliance Matrix that includes scoring on Compliance Indicators and other compliance factors;</w:t>
      </w:r>
    </w:p>
    <w:p w14:paraId="50236A62" w14:textId="1F6DE54B" w:rsidR="00D21F29" w:rsidRPr="00CE7212" w:rsidRDefault="003E1ADD" w:rsidP="00D21F29">
      <w:pPr>
        <w:numPr>
          <w:ilvl w:val="0"/>
          <w:numId w:val="21"/>
        </w:numPr>
        <w:spacing w:before="120" w:after="0"/>
        <w:rPr>
          <w:szCs w:val="24"/>
        </w:rPr>
      </w:pPr>
      <w:r>
        <w:rPr>
          <w:szCs w:val="24"/>
        </w:rPr>
        <w:t xml:space="preserve">a </w:t>
      </w:r>
      <w:r w:rsidR="00D21F29" w:rsidRPr="00CE7212">
        <w:rPr>
          <w:szCs w:val="24"/>
        </w:rPr>
        <w:t xml:space="preserve">Results </w:t>
      </w:r>
      <w:r>
        <w:rPr>
          <w:szCs w:val="24"/>
        </w:rPr>
        <w:t xml:space="preserve">Matrix (including </w:t>
      </w:r>
      <w:r w:rsidR="00D21F29" w:rsidRPr="00CE7212">
        <w:rPr>
          <w:szCs w:val="24"/>
        </w:rPr>
        <w:t>Components and Appendices</w:t>
      </w:r>
      <w:r>
        <w:rPr>
          <w:szCs w:val="24"/>
        </w:rPr>
        <w:t>)</w:t>
      </w:r>
      <w:r w:rsidR="00D21F29" w:rsidRPr="00CE7212">
        <w:rPr>
          <w:szCs w:val="24"/>
        </w:rPr>
        <w:t xml:space="preserve"> that include scoring on Results Elements;</w:t>
      </w:r>
    </w:p>
    <w:p w14:paraId="79B511BB" w14:textId="77777777" w:rsidR="00D21F29" w:rsidRPr="00CE7212" w:rsidRDefault="00D21F29" w:rsidP="00D21F29">
      <w:pPr>
        <w:numPr>
          <w:ilvl w:val="0"/>
          <w:numId w:val="21"/>
        </w:numPr>
        <w:spacing w:before="120" w:after="0"/>
        <w:rPr>
          <w:szCs w:val="24"/>
        </w:rPr>
      </w:pPr>
      <w:r w:rsidRPr="00CE7212">
        <w:rPr>
          <w:szCs w:val="24"/>
        </w:rPr>
        <w:t>a Compliance Score and a Results Score;</w:t>
      </w:r>
    </w:p>
    <w:p w14:paraId="327634DC" w14:textId="77777777" w:rsidR="00D21F29" w:rsidRPr="00CE7212" w:rsidRDefault="00D21F29" w:rsidP="00D21F29">
      <w:pPr>
        <w:numPr>
          <w:ilvl w:val="0"/>
          <w:numId w:val="21"/>
        </w:numPr>
        <w:spacing w:before="120" w:after="0"/>
        <w:rPr>
          <w:szCs w:val="24"/>
        </w:rPr>
      </w:pPr>
      <w:r w:rsidRPr="00CE7212">
        <w:rPr>
          <w:szCs w:val="24"/>
        </w:rPr>
        <w:t>an RDA Percentage based on both the Compliance Score and the Results Score; and</w:t>
      </w:r>
    </w:p>
    <w:p w14:paraId="7BD6B48F" w14:textId="77777777" w:rsidR="00D21F29" w:rsidRPr="00CE7212" w:rsidRDefault="00D21F29" w:rsidP="00D21F29">
      <w:pPr>
        <w:numPr>
          <w:ilvl w:val="0"/>
          <w:numId w:val="21"/>
        </w:numPr>
        <w:spacing w:before="120" w:after="0"/>
        <w:rPr>
          <w:szCs w:val="24"/>
        </w:rPr>
      </w:pPr>
      <w:r w:rsidRPr="006264F6">
        <w:t>Oregon's</w:t>
      </w:r>
      <w:r w:rsidRPr="00CE7212">
        <w:rPr>
          <w:szCs w:val="24"/>
        </w:rPr>
        <w:t xml:space="preserve"> Determination. </w:t>
      </w:r>
    </w:p>
    <w:p w14:paraId="76D9CD94" w14:textId="634EA04A" w:rsidR="00D21F29" w:rsidRPr="00597743" w:rsidRDefault="00D21F29" w:rsidP="00D21F29">
      <w:pPr>
        <w:rPr>
          <w:kern w:val="24"/>
        </w:rPr>
      </w:pPr>
      <w:r w:rsidRPr="00CE7212">
        <w:t>The RDA Matrix is further explained in a</w:t>
      </w:r>
      <w:r w:rsidRPr="00597743">
        <w:t xml:space="preserve"> document, entitled “</w:t>
      </w:r>
      <w:hyperlink r:id="rId14" w:history="1">
        <w:r w:rsidRPr="00CE7212">
          <w:rPr>
            <w:rStyle w:val="Hyperlink"/>
            <w:color w:val="auto"/>
          </w:rPr>
          <w:t>How the Department Made Determinations under Sections 616(d) and 642 of the Individuals with Disabilities Education Act in 2024: Part C</w:t>
        </w:r>
      </w:hyperlink>
      <w:r w:rsidRPr="00597743">
        <w:t>” (HTDMD</w:t>
      </w:r>
      <w:r w:rsidR="003E1ADD">
        <w:t>-C</w:t>
      </w:r>
      <w:r w:rsidRPr="00597743">
        <w:t>).</w:t>
      </w:r>
    </w:p>
    <w:p w14:paraId="1CB09BE2" w14:textId="45A9D667" w:rsidR="00D21F29" w:rsidRPr="00597743" w:rsidRDefault="00D21F29" w:rsidP="00D21F29">
      <w:r w:rsidRPr="00597743">
        <w:t>The Office of Special Education Programs (OSEP) is continuing to use both results data and compliance data in making the Department’s determinations in 2024, as it did for Part C determinations in 2015-2023. (The specifics of the determination procedures and criteria are set forth in the HTDMD</w:t>
      </w:r>
      <w:r w:rsidR="003E1ADD">
        <w:t>-C</w:t>
      </w:r>
      <w:r w:rsidRPr="00597743">
        <w:t xml:space="preserve"> document and reflected in the RDA Matrix for Oregon.) For 2024, the Department’s IDEA Part C determinations continue to include consideration of each State’s Child Outcomes data, which measure how children who receive Part C services are improving functioning in three outcome areas that are critical to school readiness: </w:t>
      </w:r>
    </w:p>
    <w:p w14:paraId="3E58DCFB" w14:textId="77777777" w:rsidR="00D21F29" w:rsidRPr="00CE7212" w:rsidRDefault="00D21F29" w:rsidP="00D21F29">
      <w:pPr>
        <w:numPr>
          <w:ilvl w:val="0"/>
          <w:numId w:val="22"/>
        </w:numPr>
        <w:spacing w:before="120" w:after="0"/>
        <w:rPr>
          <w:szCs w:val="24"/>
        </w:rPr>
      </w:pPr>
      <w:r w:rsidRPr="00CE7212">
        <w:rPr>
          <w:szCs w:val="24"/>
        </w:rPr>
        <w:t xml:space="preserve">positive social-emotional skills; </w:t>
      </w:r>
    </w:p>
    <w:p w14:paraId="722265A4" w14:textId="77777777" w:rsidR="00D21F29" w:rsidRPr="00CE7212" w:rsidRDefault="00D21F29" w:rsidP="00D21F29">
      <w:pPr>
        <w:numPr>
          <w:ilvl w:val="0"/>
          <w:numId w:val="22"/>
        </w:numPr>
        <w:spacing w:before="120" w:after="0"/>
        <w:rPr>
          <w:spacing w:val="-2"/>
          <w:szCs w:val="24"/>
        </w:rPr>
      </w:pPr>
      <w:r w:rsidRPr="00CE7212">
        <w:rPr>
          <w:spacing w:val="-2"/>
          <w:szCs w:val="24"/>
        </w:rPr>
        <w:t xml:space="preserve">acquisition and use of knowledge and skills (including early language/communication); and </w:t>
      </w:r>
    </w:p>
    <w:p w14:paraId="2CA24A54" w14:textId="77777777" w:rsidR="00D21F29" w:rsidRPr="00597743" w:rsidRDefault="00D21F29" w:rsidP="00D21F29">
      <w:pPr>
        <w:numPr>
          <w:ilvl w:val="0"/>
          <w:numId w:val="22"/>
        </w:numPr>
        <w:spacing w:before="120" w:after="0"/>
        <w:rPr>
          <w:szCs w:val="24"/>
        </w:rPr>
      </w:pPr>
      <w:r w:rsidRPr="00CE7212">
        <w:rPr>
          <w:szCs w:val="24"/>
        </w:rPr>
        <w:t>use of appropriate behaviors to meet their needs</w:t>
      </w:r>
      <w:r w:rsidRPr="00597743">
        <w:rPr>
          <w:szCs w:val="24"/>
        </w:rPr>
        <w:t xml:space="preserve">. </w:t>
      </w:r>
    </w:p>
    <w:p w14:paraId="690A34D5" w14:textId="77777777" w:rsidR="00D21F29" w:rsidRPr="00597743" w:rsidRDefault="00D21F29" w:rsidP="00D21F29">
      <w:pPr>
        <w:rPr>
          <w:kern w:val="24"/>
        </w:rPr>
      </w:pPr>
      <w:r w:rsidRPr="00597743">
        <w:t xml:space="preserve">Specifically, the Department considered the data </w:t>
      </w:r>
      <w:proofErr w:type="gramStart"/>
      <w:r w:rsidRPr="00597743">
        <w:t>quality</w:t>
      </w:r>
      <w:proofErr w:type="gramEnd"/>
      <w:r w:rsidRPr="00597743">
        <w:t xml:space="preserve"> and the child performance levels in each State’s Child Outcomes FFY 202</w:t>
      </w:r>
      <w:r>
        <w:t>2</w:t>
      </w:r>
      <w:r w:rsidRPr="00597743">
        <w:rPr>
          <w:szCs w:val="24"/>
        </w:rPr>
        <w:t xml:space="preserve"> </w:t>
      </w:r>
      <w:r w:rsidRPr="00597743">
        <w:t>data</w:t>
      </w:r>
      <w:r w:rsidRPr="00CE7212">
        <w:t xml:space="preserve">. </w:t>
      </w:r>
    </w:p>
    <w:p w14:paraId="5638B0C1" w14:textId="77777777" w:rsidR="00D21F29" w:rsidRPr="00597743" w:rsidRDefault="00D21F29" w:rsidP="00D21F29">
      <w:pPr>
        <w:keepNext/>
        <w:rPr>
          <w:szCs w:val="24"/>
        </w:rPr>
      </w:pPr>
      <w:r w:rsidRPr="00597743">
        <w:rPr>
          <w:szCs w:val="24"/>
        </w:rPr>
        <w:t xml:space="preserve">You may access the results of OSEP’s review of </w:t>
      </w:r>
      <w:r w:rsidRPr="006264F6">
        <w:t>Oregon's</w:t>
      </w:r>
      <w:r w:rsidRPr="00597743">
        <w:t xml:space="preserve"> </w:t>
      </w:r>
      <w:r w:rsidRPr="00597743">
        <w:rPr>
          <w:szCs w:val="24"/>
        </w:rPr>
        <w:t xml:space="preserve">SPP/APR and other relevant data by accessing the EMAPS SPP/APR reporting tool using your State-specific log-on information at </w:t>
      </w:r>
      <w:hyperlink r:id="rId15" w:tooltip="EMAPS SPP/APR reporting tool" w:history="1">
        <w:r w:rsidRPr="00CE7212">
          <w:rPr>
            <w:rStyle w:val="Hyperlink"/>
            <w:color w:val="auto"/>
            <w:szCs w:val="24"/>
          </w:rPr>
          <w:t>https://emaps.ed.gov/suite/</w:t>
        </w:r>
      </w:hyperlink>
      <w:r w:rsidRPr="00597743">
        <w:rPr>
          <w:szCs w:val="24"/>
        </w:rPr>
        <w:t xml:space="preserve">. When you access </w:t>
      </w:r>
      <w:r w:rsidRPr="006264F6">
        <w:t>Oregon's</w:t>
      </w:r>
      <w:r w:rsidRPr="00597743">
        <w:rPr>
          <w:szCs w:val="24"/>
        </w:rPr>
        <w:t xml:space="preserve"> SPP/APR on the site, you will find, in Indicators 1 through 11, the OSEP Response to the indicator and any actions that </w:t>
      </w:r>
      <w:r w:rsidRPr="00597743">
        <w:t>Oregon</w:t>
      </w:r>
      <w:r w:rsidRPr="00597743">
        <w:rPr>
          <w:szCs w:val="24"/>
        </w:rPr>
        <w:t xml:space="preserve"> is required to take. The actions that </w:t>
      </w:r>
      <w:r w:rsidRPr="00597743">
        <w:t>Oregon</w:t>
      </w:r>
      <w:r w:rsidRPr="00597743">
        <w:rPr>
          <w:szCs w:val="24"/>
        </w:rPr>
        <w:t xml:space="preserve"> is required to take are in the “Required Actions” section of the indicator.</w:t>
      </w:r>
    </w:p>
    <w:p w14:paraId="57E1CDDA" w14:textId="2CFFBC6D" w:rsidR="00D21F29" w:rsidRPr="00597743" w:rsidRDefault="00D21F29" w:rsidP="00D21F29">
      <w:pPr>
        <w:rPr>
          <w:szCs w:val="24"/>
        </w:rPr>
      </w:pPr>
      <w:r w:rsidRPr="00597743">
        <w:rPr>
          <w:szCs w:val="24"/>
        </w:rPr>
        <w:t>It is important for you</w:t>
      </w:r>
      <w:r w:rsidR="003E1ADD">
        <w:rPr>
          <w:szCs w:val="24"/>
        </w:rPr>
        <w:t>r State</w:t>
      </w:r>
      <w:r w:rsidRPr="00597743">
        <w:rPr>
          <w:szCs w:val="24"/>
        </w:rPr>
        <w:t xml:space="preserve"> to review the Introduction to the SPP/APR, which may also include language in the “OSEP Response” and/or “Required Actions” sections. </w:t>
      </w:r>
    </w:p>
    <w:p w14:paraId="0CA31A10" w14:textId="762AAB06" w:rsidR="00D21F29" w:rsidRPr="00597743" w:rsidRDefault="00D21F29" w:rsidP="00D21F29">
      <w:pPr>
        <w:keepNext/>
        <w:rPr>
          <w:szCs w:val="24"/>
        </w:rPr>
      </w:pPr>
      <w:r w:rsidRPr="00597743">
        <w:rPr>
          <w:szCs w:val="24"/>
        </w:rPr>
        <w:t>You</w:t>
      </w:r>
      <w:r w:rsidR="003E1ADD">
        <w:rPr>
          <w:szCs w:val="24"/>
        </w:rPr>
        <w:t>r State</w:t>
      </w:r>
      <w:r w:rsidRPr="00597743">
        <w:rPr>
          <w:szCs w:val="24"/>
        </w:rPr>
        <w:t xml:space="preserve"> will also find the following important documents </w:t>
      </w:r>
      <w:r w:rsidR="002A743C">
        <w:rPr>
          <w:szCs w:val="24"/>
        </w:rPr>
        <w:t>in the Determinations Enclosures section</w:t>
      </w:r>
      <w:r w:rsidRPr="00597743">
        <w:rPr>
          <w:szCs w:val="24"/>
        </w:rPr>
        <w:t xml:space="preserve">: </w:t>
      </w:r>
    </w:p>
    <w:p w14:paraId="682B8092" w14:textId="77777777" w:rsidR="00D21F29" w:rsidRPr="00597743" w:rsidRDefault="00D21F29" w:rsidP="00D21F29">
      <w:pPr>
        <w:keepNext/>
        <w:numPr>
          <w:ilvl w:val="0"/>
          <w:numId w:val="23"/>
        </w:numPr>
        <w:spacing w:before="120" w:after="0"/>
        <w:rPr>
          <w:szCs w:val="24"/>
        </w:rPr>
      </w:pPr>
      <w:r w:rsidRPr="006264F6">
        <w:t>Oregon's</w:t>
      </w:r>
      <w:r>
        <w:t xml:space="preserve"> </w:t>
      </w:r>
      <w:r w:rsidRPr="00597743">
        <w:rPr>
          <w:szCs w:val="24"/>
        </w:rPr>
        <w:t xml:space="preserve">RDA Matrix; </w:t>
      </w:r>
    </w:p>
    <w:p w14:paraId="67F05A0C" w14:textId="5DF007C7" w:rsidR="00D21F29" w:rsidRPr="00597743" w:rsidRDefault="00D21F29" w:rsidP="00D21F29">
      <w:pPr>
        <w:numPr>
          <w:ilvl w:val="0"/>
          <w:numId w:val="23"/>
        </w:numPr>
        <w:spacing w:before="120" w:after="0"/>
        <w:rPr>
          <w:szCs w:val="24"/>
        </w:rPr>
      </w:pPr>
      <w:r w:rsidRPr="00597743">
        <w:rPr>
          <w:szCs w:val="24"/>
        </w:rPr>
        <w:t xml:space="preserve">the HTDMD </w:t>
      </w:r>
      <w:hyperlink r:id="rId16" w:history="1">
        <w:r w:rsidR="002A743C" w:rsidRPr="00CC748C">
          <w:rPr>
            <w:rStyle w:val="Hyperlink"/>
            <w:szCs w:val="24"/>
          </w:rPr>
          <w:t>link</w:t>
        </w:r>
      </w:hyperlink>
      <w:r w:rsidRPr="00597743">
        <w:rPr>
          <w:szCs w:val="24"/>
        </w:rPr>
        <w:t xml:space="preserve">; </w:t>
      </w:r>
    </w:p>
    <w:p w14:paraId="0ABB659D" w14:textId="5C674E35" w:rsidR="00D21F29" w:rsidRPr="00597743" w:rsidRDefault="00D21F29" w:rsidP="00D21F29">
      <w:pPr>
        <w:numPr>
          <w:ilvl w:val="0"/>
          <w:numId w:val="23"/>
        </w:numPr>
        <w:spacing w:before="120" w:after="0"/>
        <w:rPr>
          <w:kern w:val="24"/>
        </w:rPr>
      </w:pPr>
      <w:r w:rsidRPr="00597743">
        <w:t>“2024</w:t>
      </w:r>
      <w:r w:rsidRPr="00597743">
        <w:rPr>
          <w:szCs w:val="24"/>
        </w:rPr>
        <w:t xml:space="preserve"> </w:t>
      </w:r>
      <w:r w:rsidRPr="00597743">
        <w:t>Data Rubric Part C,” which shows how OSEP calculated the State’s</w:t>
      </w:r>
      <w:r w:rsidRPr="00597743">
        <w:rPr>
          <w:szCs w:val="24"/>
        </w:rPr>
        <w:t xml:space="preserve"> </w:t>
      </w:r>
      <w:r w:rsidRPr="00597743">
        <w:t>“Timely and Accurate State-Reported Data</w:t>
      </w:r>
      <w:r w:rsidRPr="00597743">
        <w:rPr>
          <w:szCs w:val="24"/>
        </w:rPr>
        <w:t>”</w:t>
      </w:r>
      <w:r w:rsidRPr="00597743">
        <w:t xml:space="preserve"> score in the Compliance Matrix; and</w:t>
      </w:r>
    </w:p>
    <w:p w14:paraId="5235F70D" w14:textId="02303D32" w:rsidR="00D21F29" w:rsidRPr="00597743" w:rsidRDefault="00D21F29" w:rsidP="00D21F29">
      <w:pPr>
        <w:numPr>
          <w:ilvl w:val="0"/>
          <w:numId w:val="23"/>
        </w:numPr>
        <w:spacing w:before="120" w:after="0"/>
        <w:rPr>
          <w:szCs w:val="24"/>
        </w:rPr>
      </w:pPr>
      <w:r w:rsidRPr="00597743">
        <w:rPr>
          <w:szCs w:val="24"/>
        </w:rPr>
        <w:t xml:space="preserve">“Dispute Resolution 2022-2023,” which includes the IDEA Section 618 data that OSEP used to calculate the State’s “Timely State Complaint Decisions” and “Timely Due Process Hearing Decisions” scores in the Compliance Matrix. </w:t>
      </w:r>
    </w:p>
    <w:p w14:paraId="4D22E0E4" w14:textId="77777777" w:rsidR="00D21F29" w:rsidRPr="00597743" w:rsidRDefault="00D21F29" w:rsidP="00D21F29">
      <w:r w:rsidRPr="00CE7212">
        <w:t xml:space="preserve">As noted above, </w:t>
      </w:r>
      <w:r w:rsidRPr="006264F6">
        <w:t>Oregon's</w:t>
      </w:r>
      <w:r w:rsidRPr="00CE7212">
        <w:t xml:space="preserve"> 2024 determination is Meets Requirements. A State’s 2024 RDA Determination is Meets Requirements if the RDA Percentage is at least 80%, unless the Department </w:t>
      </w:r>
      <w:r w:rsidRPr="00597743">
        <w:t>has imposed Specific Conditions on the State’s last three</w:t>
      </w:r>
      <w:r w:rsidRPr="00597743">
        <w:rPr>
          <w:szCs w:val="24"/>
        </w:rPr>
        <w:t xml:space="preserve"> </w:t>
      </w:r>
      <w:r w:rsidRPr="00597743">
        <w:t>IDEA Part C grant awards (for FFYs 2021</w:t>
      </w:r>
      <w:r w:rsidRPr="00597743">
        <w:rPr>
          <w:szCs w:val="24"/>
        </w:rPr>
        <w:t xml:space="preserve">, </w:t>
      </w:r>
      <w:r w:rsidRPr="00597743">
        <w:t>2022</w:t>
      </w:r>
      <w:r w:rsidRPr="00597743">
        <w:rPr>
          <w:szCs w:val="24"/>
        </w:rPr>
        <w:t xml:space="preserve">, </w:t>
      </w:r>
      <w:r w:rsidRPr="00597743">
        <w:t>and 2023</w:t>
      </w:r>
      <w:r w:rsidRPr="00597743">
        <w:rPr>
          <w:szCs w:val="24"/>
        </w:rPr>
        <w:t>)</w:t>
      </w:r>
      <w:r w:rsidRPr="00597743">
        <w:t>, and those Specific Conditions are in effect at the time of the 2024</w:t>
      </w:r>
      <w:r w:rsidRPr="00597743">
        <w:rPr>
          <w:szCs w:val="24"/>
        </w:rPr>
        <w:t xml:space="preserve"> </w:t>
      </w:r>
      <w:r w:rsidRPr="00597743">
        <w:t>determination.</w:t>
      </w:r>
    </w:p>
    <w:p w14:paraId="3509C7F7" w14:textId="77777777" w:rsidR="00890FCA" w:rsidRDefault="00890FCA" w:rsidP="00890FCA">
      <w:r w:rsidRPr="00597743">
        <w:lastRenderedPageBreak/>
        <w:t>IDEA determinations provide an opportunity for all stakeholders to examine State data as that data relate to improving outcomes for infants, toddlers, children, and youth with disabilities. The Department encourages stakeholders to review State SPP/APR data and other available data as part of the focus on improving equitable outcomes for infants, toddlers, children, and youth with disabilities. Key areas the Department encourages State and local personnel to review are access to high-quality intervention and instruction; effective implementation of individualized family service plans (IFSPs) and individualized education programs (IEPs), using data to drive decision-making, supporting strong relationship building with families, and actively addressing educator and other personnel shortages.</w:t>
      </w:r>
    </w:p>
    <w:p w14:paraId="53490FB1" w14:textId="77777777" w:rsidR="00890FCA" w:rsidRDefault="00890FCA" w:rsidP="00890FCA">
      <w:r w:rsidRPr="00597743">
        <w:t>For 2025 and beyond, the Department is considering two additional criteria related to IDEA Part C determinations. First, the Department is considering as a factor OSEP-identified longstanding noncompliance (i.e., unresolved findings issued by OSEP at least three years ago). This factor would be reflected in the determination for each State through the “longstanding noncompliance” section of the Compliance Matrix beginning with the 2025 determinations. In implementing this factor, the Department is also considering beginning in 2025 whether a State that would otherwise receive a score of meets requirements would not be able to receive a determination of meets requirements if the State had OSEP-identified longstanding noncompliance (i.e., unresolved findings issued by OSEP at least three or more years ago). Second, the Department is reviewing whether and how to consider IDEA Part C results data reported under three indicators in order to improve results for all infants, toddlers, and children with disabilities. This review would include considering alternative scoring options for child outcome Indicator C-3 and considering as potential additional factors the information and data that States report under child find Indicators C-5 and C-6.</w:t>
      </w:r>
    </w:p>
    <w:p w14:paraId="34EBE5A6" w14:textId="77777777" w:rsidR="00890FCA" w:rsidRDefault="00890FCA" w:rsidP="00890FCA">
      <w:r w:rsidRPr="00597743">
        <w:t xml:space="preserve">For the FFY 2023 SPP/APR submission due on February 1, 2025, OSEP is providing the following information about the IDEA Section 618 data.  The 2023-24 IDEA Section 618 Part C data submitted as of the due date will be used for the FFY 2023 SPP/APR and the 2025 IDEA Part C Results Matrix and States will not be able to resubmit their IDEA Section 618 data after the due date. The 2023-24 IDEA Section 618 Part C data that States submit will automatically be prepopulated in the SPP/APR reporting platform for Part C SPP/APR Indicators 2, 5, 6, 9, and 10 (as they have in the past). Under EDFacts Modernization, States are expected to submit high-quality IDEA Section 618 Part C data that can be published and used by the Department as of the due date. States are expected to conduct data quality reviews prior to the applicable due date. OSEP expects States to take one of the following actions for all business rules that are triggered in the appropriate EDFacts system prior to the applicable due date:  1) revise the uploaded data to address the edit; or 2) provide a data note addressing why the data submission triggered the business rule. There will not be a resubmission period for the IDEA Section 618 Part C data. </w:t>
      </w:r>
    </w:p>
    <w:p w14:paraId="0109DD64" w14:textId="77777777" w:rsidR="00D21F29" w:rsidRPr="00597743" w:rsidRDefault="00D21F29" w:rsidP="00D21F29">
      <w:r w:rsidRPr="00597743">
        <w:t xml:space="preserve">As a reminder, Oregon must report annually to the public, by posting on the State lead agency’s website, on the performance of each early intervention service (EIS) program located in Oregon on the targets in the SPP/APR as soon as practicable, but no later than 120 days after </w:t>
      </w:r>
      <w:r w:rsidRPr="0061436B">
        <w:t>Oregon's</w:t>
      </w:r>
      <w:r w:rsidRPr="00597743">
        <w:t xml:space="preserve"> submission of its FFY 202</w:t>
      </w:r>
      <w:r>
        <w:t>2</w:t>
      </w:r>
      <w:r w:rsidRPr="00597743">
        <w:rPr>
          <w:szCs w:val="24"/>
        </w:rPr>
        <w:t xml:space="preserve"> </w:t>
      </w:r>
      <w:r w:rsidRPr="00597743">
        <w:t>SPP/APR.</w:t>
      </w:r>
      <w:r w:rsidRPr="00597743">
        <w:rPr>
          <w:szCs w:val="24"/>
        </w:rPr>
        <w:t xml:space="preserve"> </w:t>
      </w:r>
      <w:r w:rsidRPr="00597743">
        <w:t>In addition, Oregon</w:t>
      </w:r>
      <w:r w:rsidRPr="00597743">
        <w:rPr>
          <w:szCs w:val="24"/>
        </w:rPr>
        <w:t xml:space="preserve"> must:</w:t>
      </w:r>
    </w:p>
    <w:p w14:paraId="727EF73A" w14:textId="77777777" w:rsidR="00D21F29" w:rsidRPr="00597743" w:rsidRDefault="00D21F29" w:rsidP="00D21F29">
      <w:pPr>
        <w:numPr>
          <w:ilvl w:val="0"/>
          <w:numId w:val="26"/>
        </w:numPr>
        <w:spacing w:before="120" w:after="0"/>
        <w:rPr>
          <w:szCs w:val="24"/>
        </w:rPr>
      </w:pPr>
      <w:r w:rsidRPr="00597743">
        <w:rPr>
          <w:szCs w:val="24"/>
        </w:rPr>
        <w:t xml:space="preserve">review EIS program performance against targets in </w:t>
      </w:r>
      <w:r w:rsidRPr="0061436B">
        <w:t>Oregon's</w:t>
      </w:r>
      <w:r>
        <w:t xml:space="preserve"> </w:t>
      </w:r>
      <w:r w:rsidRPr="00597743">
        <w:rPr>
          <w:szCs w:val="24"/>
        </w:rPr>
        <w:t xml:space="preserve">SPP/APR; </w:t>
      </w:r>
    </w:p>
    <w:p w14:paraId="0BDF6B3A" w14:textId="77777777" w:rsidR="00D21F29" w:rsidRPr="00597743" w:rsidRDefault="00D21F29" w:rsidP="00D21F29">
      <w:pPr>
        <w:numPr>
          <w:ilvl w:val="0"/>
          <w:numId w:val="26"/>
        </w:numPr>
        <w:spacing w:before="120" w:after="0"/>
        <w:rPr>
          <w:szCs w:val="24"/>
        </w:rPr>
      </w:pPr>
      <w:r w:rsidRPr="00597743">
        <w:rPr>
          <w:szCs w:val="24"/>
        </w:rPr>
        <w:t xml:space="preserve">determine if each EIS program “meets the requirements” of Part C, or “needs assistance,” “needs intervention,” or “needs substantial intervention” in implementing Part C of the IDEA; </w:t>
      </w:r>
    </w:p>
    <w:p w14:paraId="15215887" w14:textId="77777777" w:rsidR="00D21F29" w:rsidRPr="00597743" w:rsidRDefault="00D21F29" w:rsidP="00D21F29">
      <w:pPr>
        <w:numPr>
          <w:ilvl w:val="0"/>
          <w:numId w:val="26"/>
        </w:numPr>
        <w:spacing w:before="120" w:after="0"/>
        <w:rPr>
          <w:szCs w:val="24"/>
        </w:rPr>
      </w:pPr>
      <w:r w:rsidRPr="00597743">
        <w:rPr>
          <w:szCs w:val="24"/>
        </w:rPr>
        <w:t xml:space="preserve">take appropriate enforcement action; and </w:t>
      </w:r>
    </w:p>
    <w:p w14:paraId="3B4DFF52" w14:textId="77777777" w:rsidR="00D21F29" w:rsidRPr="00597743" w:rsidRDefault="00D21F29" w:rsidP="00D21F29">
      <w:pPr>
        <w:numPr>
          <w:ilvl w:val="0"/>
          <w:numId w:val="26"/>
        </w:numPr>
        <w:spacing w:before="120" w:after="0"/>
        <w:rPr>
          <w:szCs w:val="24"/>
        </w:rPr>
      </w:pPr>
      <w:r w:rsidRPr="00597743">
        <w:rPr>
          <w:szCs w:val="24"/>
        </w:rPr>
        <w:t xml:space="preserve">inform each EIS program of its determination. </w:t>
      </w:r>
    </w:p>
    <w:p w14:paraId="3A48C32F" w14:textId="77777777" w:rsidR="00D21F29" w:rsidRPr="00597743" w:rsidRDefault="00D21F29" w:rsidP="00D21F29">
      <w:pPr>
        <w:keepNext/>
        <w:rPr>
          <w:szCs w:val="24"/>
        </w:rPr>
      </w:pPr>
      <w:r w:rsidRPr="00597743">
        <w:rPr>
          <w:szCs w:val="24"/>
        </w:rPr>
        <w:t xml:space="preserve">Further, </w:t>
      </w:r>
      <w:r w:rsidRPr="00597743">
        <w:t>Oregon</w:t>
      </w:r>
      <w:r w:rsidRPr="00597743">
        <w:rPr>
          <w:szCs w:val="24"/>
        </w:rPr>
        <w:t xml:space="preserve"> must make its SPP/APR available to the public by posting it on the State lead agency’s website. Within the upcoming weeks, OSEP will be finalizing a State Profile that:</w:t>
      </w:r>
    </w:p>
    <w:p w14:paraId="1474A61D" w14:textId="77777777" w:rsidR="00D21F29" w:rsidRPr="00597743" w:rsidRDefault="00D21F29" w:rsidP="00D21F29">
      <w:pPr>
        <w:numPr>
          <w:ilvl w:val="0"/>
          <w:numId w:val="27"/>
        </w:numPr>
        <w:spacing w:before="120" w:after="0"/>
        <w:rPr>
          <w:kern w:val="24"/>
          <w:szCs w:val="24"/>
        </w:rPr>
      </w:pPr>
      <w:r w:rsidRPr="00597743">
        <w:rPr>
          <w:szCs w:val="24"/>
        </w:rPr>
        <w:t xml:space="preserve">includes </w:t>
      </w:r>
      <w:r w:rsidRPr="0061436B">
        <w:t>Oregon's</w:t>
      </w:r>
      <w:r w:rsidRPr="00597743">
        <w:rPr>
          <w:szCs w:val="24"/>
        </w:rPr>
        <w:t xml:space="preserve"> determination letter and SPP/APR, OSEP attachments, and all State attachments that are accessible in accordance with Section 508 of the Rehabilitation Act of 1973; and </w:t>
      </w:r>
    </w:p>
    <w:p w14:paraId="5A155750" w14:textId="77777777" w:rsidR="00D21F29" w:rsidRPr="00597743" w:rsidRDefault="00D21F29" w:rsidP="00D21F29">
      <w:pPr>
        <w:numPr>
          <w:ilvl w:val="0"/>
          <w:numId w:val="27"/>
        </w:numPr>
        <w:spacing w:before="120" w:after="0"/>
        <w:rPr>
          <w:szCs w:val="24"/>
        </w:rPr>
      </w:pPr>
      <w:r w:rsidRPr="00597743">
        <w:rPr>
          <w:szCs w:val="24"/>
        </w:rPr>
        <w:t>will be accessible to the public via the ed.gov website.</w:t>
      </w:r>
    </w:p>
    <w:p w14:paraId="7FC37B6A" w14:textId="77777777" w:rsidR="00D21F29" w:rsidRPr="00597743" w:rsidRDefault="00D21F29" w:rsidP="00D21F29">
      <w:pPr>
        <w:rPr>
          <w:szCs w:val="24"/>
        </w:rPr>
      </w:pPr>
      <w:r w:rsidRPr="00597743">
        <w:rPr>
          <w:szCs w:val="24"/>
        </w:rPr>
        <w:t xml:space="preserve">OSEP appreciates </w:t>
      </w:r>
      <w:r w:rsidRPr="0061436B">
        <w:t>Oregon's</w:t>
      </w:r>
      <w:r>
        <w:t xml:space="preserve"> </w:t>
      </w:r>
      <w:r w:rsidRPr="00597743">
        <w:rPr>
          <w:szCs w:val="24"/>
        </w:rPr>
        <w:t xml:space="preserve">efforts to improve results for infants and toddlers with disabilities and their families and looks forward to working with </w:t>
      </w:r>
      <w:r w:rsidRPr="00597743">
        <w:t>Oregon</w:t>
      </w:r>
      <w:r w:rsidRPr="00597743">
        <w:rPr>
          <w:szCs w:val="24"/>
        </w:rPr>
        <w:t xml:space="preserve"> over the next year as we continue our important work of improving the lives of children with disabilities and their families. Please contact your OSEP State Lead if you have any questions, would like to discuss this further, or want to request technical assistance.</w:t>
      </w:r>
    </w:p>
    <w:p w14:paraId="09628C2B" w14:textId="77777777" w:rsidR="00D21F29" w:rsidRPr="00597743" w:rsidRDefault="00D21F29" w:rsidP="00D21F29">
      <w:pPr>
        <w:keepNext/>
        <w:ind w:left="4680"/>
        <w:rPr>
          <w:szCs w:val="24"/>
        </w:rPr>
      </w:pPr>
      <w:r w:rsidRPr="00597743">
        <w:rPr>
          <w:szCs w:val="24"/>
        </w:rPr>
        <w:t>Sincerely,</w:t>
      </w:r>
    </w:p>
    <w:p w14:paraId="24A80E70" w14:textId="6FA44521" w:rsidR="00D21F29" w:rsidRPr="00597743" w:rsidRDefault="00D21F29" w:rsidP="00D21F29">
      <w:pPr>
        <w:keepNext/>
        <w:spacing w:before="480"/>
        <w:ind w:left="4680"/>
        <w:rPr>
          <w:szCs w:val="24"/>
        </w:rPr>
      </w:pPr>
      <w:r>
        <w:rPr>
          <w:noProof/>
        </w:rPr>
        <w:drawing>
          <wp:inline distT="0" distB="0" distL="0" distR="0" wp14:anchorId="1CCBDA80" wp14:editId="68AF8ADD">
            <wp:extent cx="1922513" cy="344685"/>
            <wp:effectExtent l="0" t="0" r="1905" b="0"/>
            <wp:docPr id="748777230" name="Picture 748777230" descr="A close up of a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777230" name="Picture 748777230" descr="A close up of a text"/>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0467" b="21119"/>
                    <a:stretch/>
                  </pic:blipFill>
                  <pic:spPr bwMode="auto">
                    <a:xfrm>
                      <a:off x="0" y="0"/>
                      <a:ext cx="1924050" cy="344960"/>
                    </a:xfrm>
                    <a:prstGeom prst="rect">
                      <a:avLst/>
                    </a:prstGeom>
                    <a:noFill/>
                    <a:ln>
                      <a:noFill/>
                    </a:ln>
                    <a:extLst>
                      <a:ext uri="{53640926-AAD7-44D8-BBD7-CCE9431645EC}">
                        <a14:shadowObscured xmlns:a14="http://schemas.microsoft.com/office/drawing/2010/main"/>
                      </a:ext>
                    </a:extLst>
                  </pic:spPr>
                </pic:pic>
              </a:graphicData>
            </a:graphic>
          </wp:inline>
        </w:drawing>
      </w:r>
    </w:p>
    <w:p w14:paraId="5E3E96BB" w14:textId="77777777" w:rsidR="00D21F29" w:rsidRPr="00597743" w:rsidRDefault="00D21F29" w:rsidP="00D21F29">
      <w:pPr>
        <w:keepNext/>
        <w:pBdr>
          <w:top w:val="single" w:sz="8" w:space="1" w:color="7F7F7F" w:themeColor="text1" w:themeTint="80"/>
        </w:pBdr>
        <w:spacing w:before="0"/>
        <w:ind w:left="4680"/>
        <w:rPr>
          <w:szCs w:val="24"/>
        </w:rPr>
      </w:pPr>
      <w:r w:rsidRPr="00597743">
        <w:rPr>
          <w:szCs w:val="24"/>
        </w:rPr>
        <w:t xml:space="preserve">Valerie </w:t>
      </w:r>
      <w:r>
        <w:rPr>
          <w:szCs w:val="24"/>
        </w:rPr>
        <w:t xml:space="preserve">C. </w:t>
      </w:r>
      <w:r w:rsidRPr="00597743">
        <w:rPr>
          <w:szCs w:val="24"/>
        </w:rPr>
        <w:t>Williams</w:t>
      </w:r>
    </w:p>
    <w:p w14:paraId="22297F0B" w14:textId="77777777" w:rsidR="00D21F29" w:rsidRPr="00597743" w:rsidRDefault="00D21F29" w:rsidP="00D21F29">
      <w:pPr>
        <w:keepNext/>
        <w:spacing w:before="0"/>
        <w:ind w:left="4680"/>
        <w:rPr>
          <w:szCs w:val="24"/>
        </w:rPr>
      </w:pPr>
      <w:r w:rsidRPr="00597743">
        <w:rPr>
          <w:szCs w:val="24"/>
        </w:rPr>
        <w:t>Director</w:t>
      </w:r>
    </w:p>
    <w:p w14:paraId="2CFB8D2F" w14:textId="77777777" w:rsidR="00D21F29" w:rsidRPr="00597743" w:rsidRDefault="00D21F29" w:rsidP="00D21F29">
      <w:pPr>
        <w:spacing w:before="0"/>
        <w:ind w:left="4680"/>
        <w:rPr>
          <w:szCs w:val="24"/>
        </w:rPr>
      </w:pPr>
      <w:r w:rsidRPr="00597743">
        <w:rPr>
          <w:szCs w:val="24"/>
        </w:rPr>
        <w:t>Office of Special Education Programs</w:t>
      </w:r>
    </w:p>
    <w:p w14:paraId="7BF703CD" w14:textId="209D89A1" w:rsidR="00D21F29" w:rsidRPr="00D21F29" w:rsidRDefault="00D21F29" w:rsidP="00D21F29">
      <w:pPr>
        <w:rPr>
          <w:szCs w:val="24"/>
        </w:rPr>
      </w:pPr>
      <w:r w:rsidRPr="00597743">
        <w:rPr>
          <w:szCs w:val="24"/>
        </w:rPr>
        <w:t>cc: State Part C Coordinator</w:t>
      </w:r>
    </w:p>
    <w:sectPr w:rsidR="00D21F29" w:rsidRPr="00D21F29" w:rsidSect="00BF3AB4">
      <w:headerReference w:type="default" r:id="rId18"/>
      <w:footerReference w:type="default" r:id="rId19"/>
      <w:pgSz w:w="12240" w:h="15840"/>
      <w:pgMar w:top="720" w:right="720" w:bottom="720" w:left="720" w:header="0" w:footer="445"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376A3" w14:textId="77777777" w:rsidR="00C61E48" w:rsidRDefault="00C61E48" w:rsidP="000802F7">
      <w:pPr>
        <w:spacing w:before="0" w:after="0"/>
      </w:pPr>
      <w:r>
        <w:separator/>
      </w:r>
    </w:p>
  </w:endnote>
  <w:endnote w:type="continuationSeparator" w:id="0">
    <w:p w14:paraId="30079BE8" w14:textId="77777777" w:rsidR="00C61E48" w:rsidRDefault="00C61E48" w:rsidP="000802F7">
      <w:pPr>
        <w:spacing w:before="0" w:after="0"/>
      </w:pPr>
      <w:r>
        <w:continuationSeparator/>
      </w:r>
    </w:p>
  </w:endnote>
  <w:endnote w:type="continuationNotice" w:id="1">
    <w:p w14:paraId="0106804E" w14:textId="77777777" w:rsidR="00C61E48" w:rsidRDefault="00C61E4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1447722"/>
      <w:docPartObj>
        <w:docPartGallery w:val="Page Numbers (Bottom of Page)"/>
        <w:docPartUnique/>
      </w:docPartObj>
    </w:sdtPr>
    <w:sdtEndPr>
      <w:rPr>
        <w:noProof/>
      </w:rPr>
    </w:sdtEndPr>
    <w:sdtContent>
      <w:sdt>
        <w:sdtPr>
          <w:id w:val="-1101716582"/>
          <w:docPartObj>
            <w:docPartGallery w:val="Page Numbers (Bottom of Page)"/>
            <w:docPartUnique/>
          </w:docPartObj>
        </w:sdtPr>
        <w:sdtEndPr>
          <w:rPr>
            <w:noProof/>
          </w:rPr>
        </w:sdtEndPr>
        <w:sdtContent>
          <w:p w14:paraId="57E60C7E" w14:textId="3BA0AC7F" w:rsidR="00F178A0" w:rsidRDefault="00F178A0" w:rsidP="00042EBF">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rPr>
                <w:noProof/>
              </w:rPr>
              <w:t>5</w:t>
            </w:r>
            <w:r>
              <w:rPr>
                <w:noProof/>
              </w:rPr>
              <w:fldChar w:fldCharType="end"/>
            </w:r>
            <w:r>
              <w:rPr>
                <w:noProof/>
              </w:rPr>
              <w:ptab w:relativeTo="margin" w:alignment="right" w:leader="none"/>
            </w:r>
            <w:r>
              <w:rPr>
                <w:noProof/>
              </w:rPr>
              <w:t>Part C</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0514675"/>
      <w:docPartObj>
        <w:docPartGallery w:val="Page Numbers (Bottom of Page)"/>
        <w:docPartUnique/>
      </w:docPartObj>
    </w:sdtPr>
    <w:sdtEndPr>
      <w:rPr>
        <w:noProof/>
      </w:rPr>
    </w:sdtEndPr>
    <w:sdtContent>
      <w:sdt>
        <w:sdtPr>
          <w:id w:val="667683106"/>
          <w:docPartObj>
            <w:docPartGallery w:val="Page Numbers (Bottom of Page)"/>
            <w:docPartUnique/>
          </w:docPartObj>
        </w:sdtPr>
        <w:sdtEndPr>
          <w:rPr>
            <w:noProof/>
          </w:rPr>
        </w:sdtEndPr>
        <w:sdtContent>
          <w:p w14:paraId="06E917B7" w14:textId="4CA97A5F" w:rsidR="00D614DB" w:rsidRPr="00A20642" w:rsidRDefault="00A20642" w:rsidP="00A20642">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4722622"/>
      <w:docPartObj>
        <w:docPartGallery w:val="Page Numbers (Bottom of Page)"/>
        <w:docPartUnique/>
      </w:docPartObj>
    </w:sdtPr>
    <w:sdtEndPr>
      <w:rPr>
        <w:noProof/>
      </w:rPr>
    </w:sdtEndPr>
    <w:sdtContent>
      <w:sdt>
        <w:sdtPr>
          <w:id w:val="-54480244"/>
          <w:docPartObj>
            <w:docPartGallery w:val="Page Numbers (Bottom of Page)"/>
            <w:docPartUnique/>
          </w:docPartObj>
        </w:sdtPr>
        <w:sdtEndPr>
          <w:rPr>
            <w:noProof/>
          </w:rPr>
        </w:sdtEndPr>
        <w:sdtContent>
          <w:p w14:paraId="5ACDECAF" w14:textId="77777777" w:rsidR="00D21F29" w:rsidRPr="00E52257" w:rsidRDefault="00D21F29" w:rsidP="00D21F29">
            <w:pPr>
              <w:jc w:val="center"/>
              <w:rPr>
                <w:color w:val="17365D"/>
                <w:sz w:val="18"/>
              </w:rPr>
            </w:pPr>
            <w:r>
              <w:ptab w:relativeTo="margin" w:alignment="left" w:leader="none"/>
            </w:r>
            <w:r>
              <w:ptab w:relativeTo="margin" w:alignment="left" w:leader="none"/>
            </w:r>
            <w:r w:rsidRPr="00E52257">
              <w:rPr>
                <w:color w:val="17365D"/>
                <w:sz w:val="18"/>
              </w:rPr>
              <w:t>400 MARYLAND AVE. S.W., WASHINGTON DC 20202-2600</w:t>
            </w:r>
          </w:p>
          <w:p w14:paraId="28FDDCE7" w14:textId="77777777" w:rsidR="00D21F29" w:rsidRPr="00021B5A" w:rsidRDefault="00D21F29" w:rsidP="00D21F29">
            <w:pPr>
              <w:spacing w:before="40"/>
              <w:jc w:val="center"/>
              <w:rPr>
                <w:rStyle w:val="Hyperlink"/>
                <w:color w:val="17365D"/>
                <w:sz w:val="18"/>
              </w:rPr>
            </w:pPr>
            <w:r w:rsidRPr="00021B5A">
              <w:rPr>
                <w:color w:val="17365D"/>
                <w:sz w:val="18"/>
              </w:rPr>
              <w:fldChar w:fldCharType="begin"/>
            </w:r>
            <w:r>
              <w:instrText xml:space="preserve"> HYPERLINK "http://www.ed.gov/" \o "U.S. Department of Education website" </w:instrText>
            </w:r>
            <w:r w:rsidRPr="00021B5A">
              <w:rPr>
                <w:color w:val="17365D"/>
                <w:sz w:val="18"/>
              </w:rPr>
            </w:r>
            <w:r w:rsidRPr="00021B5A">
              <w:rPr>
                <w:color w:val="17365D"/>
                <w:sz w:val="18"/>
              </w:rPr>
              <w:fldChar w:fldCharType="separate"/>
            </w:r>
            <w:r w:rsidRPr="00543045">
              <w:rPr>
                <w:rStyle w:val="Hyperlink"/>
                <w:color w:val="17365D"/>
                <w:sz w:val="18"/>
              </w:rPr>
              <w:t>www.ed.gov</w:t>
            </w:r>
          </w:p>
          <w:p w14:paraId="1D1A3A39" w14:textId="78A16229" w:rsidR="00D21F29" w:rsidRPr="00D21F29" w:rsidRDefault="00D21F29" w:rsidP="00D21F29">
            <w:pPr>
              <w:spacing w:before="40"/>
              <w:jc w:val="center"/>
              <w:rPr>
                <w:color w:val="17365D"/>
                <w:sz w:val="18"/>
              </w:rPr>
            </w:pPr>
            <w:r w:rsidRPr="00021B5A">
              <w:rPr>
                <w:color w:val="17365D"/>
                <w:sz w:val="18"/>
              </w:rPr>
              <w:fldChar w:fldCharType="end"/>
            </w:r>
            <w:r w:rsidRPr="00E52257">
              <w:rPr>
                <w:i/>
                <w:iCs/>
                <w:color w:val="17365D"/>
                <w:sz w:val="18"/>
              </w:rPr>
              <w:t xml:space="preserve">The Department of Education’s mission is to promote student achievement and preparation for global competitiveness by </w:t>
            </w:r>
            <w:r w:rsidRPr="00E52257">
              <w:rPr>
                <w:i/>
                <w:iCs/>
                <w:color w:val="17365D"/>
                <w:sz w:val="18"/>
              </w:rPr>
              <w:br/>
              <w:t>fostering educational excellence and ensuring equal access.</w:t>
            </w:r>
          </w:p>
          <w:p w14:paraId="7E57CA46" w14:textId="5EDE9C2C" w:rsidR="00D21F29" w:rsidRPr="00A20642" w:rsidRDefault="00D21F29" w:rsidP="00A20642">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167AB" w14:textId="77777777" w:rsidR="00C61E48" w:rsidRDefault="00C61E48" w:rsidP="000802F7">
      <w:pPr>
        <w:spacing w:before="0" w:after="0"/>
      </w:pPr>
      <w:r>
        <w:separator/>
      </w:r>
    </w:p>
  </w:footnote>
  <w:footnote w:type="continuationSeparator" w:id="0">
    <w:p w14:paraId="177C111F" w14:textId="77777777" w:rsidR="00C61E48" w:rsidRDefault="00C61E48" w:rsidP="000802F7">
      <w:pPr>
        <w:spacing w:before="0" w:after="0"/>
      </w:pPr>
      <w:r>
        <w:continuationSeparator/>
      </w:r>
    </w:p>
  </w:footnote>
  <w:footnote w:type="continuationNotice" w:id="1">
    <w:p w14:paraId="3E7ED2AC" w14:textId="77777777" w:rsidR="00C61E48" w:rsidRDefault="00C61E4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3D50E" w14:textId="614E748E" w:rsidR="00D21F29" w:rsidRDefault="00D21F29">
    <w:pPr>
      <w:pStyle w:val="Header"/>
    </w:pPr>
    <w:r>
      <w:rPr>
        <w:noProof/>
      </w:rPr>
      <w:drawing>
        <wp:anchor distT="0" distB="0" distL="114300" distR="114300" simplePos="0" relativeHeight="251659264" behindDoc="0" locked="0" layoutInCell="1" allowOverlap="1" wp14:anchorId="1C195CE5" wp14:editId="165BB153">
          <wp:simplePos x="0" y="0"/>
          <wp:positionH relativeFrom="column">
            <wp:posOffset>31750</wp:posOffset>
          </wp:positionH>
          <wp:positionV relativeFrom="paragraph">
            <wp:posOffset>121285</wp:posOffset>
          </wp:positionV>
          <wp:extent cx="914400" cy="914400"/>
          <wp:effectExtent l="0" t="0" r="0" b="0"/>
          <wp:wrapSquare wrapText="bothSides"/>
          <wp:docPr id="674958863" name="Picture 674958863" descr="U.S.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 Department of Educatio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A12FD1" w14:textId="3BC074D2" w:rsidR="00D21F29" w:rsidRPr="00E97278" w:rsidRDefault="00D21F29" w:rsidP="00D21F29">
    <w:pPr>
      <w:pStyle w:val="Title"/>
      <w:pBdr>
        <w:top w:val="none" w:sz="0" w:space="0" w:color="auto"/>
        <w:bottom w:val="none" w:sz="0" w:space="0" w:color="auto"/>
      </w:pBdr>
      <w:spacing w:before="0" w:after="0"/>
      <w:contextualSpacing w:val="0"/>
      <w:jc w:val="center"/>
      <w:rPr>
        <w:rFonts w:ascii="Times New Roman" w:eastAsia="Times New Roman" w:hAnsi="Times New Roman" w:cs="Times New Roman"/>
        <w:b/>
        <w:color w:val="244061"/>
        <w:sz w:val="28"/>
      </w:rPr>
    </w:pPr>
    <w:r>
      <w:br w:type="column"/>
    </w:r>
    <w:r w:rsidRPr="00E97278">
      <w:rPr>
        <w:rFonts w:ascii="Times New Roman" w:eastAsia="Times New Roman" w:hAnsi="Times New Roman" w:cs="Times New Roman"/>
        <w:b/>
        <w:color w:val="244061"/>
        <w:spacing w:val="0"/>
        <w:kern w:val="0"/>
        <w:sz w:val="28"/>
        <w:szCs w:val="22"/>
      </w:rPr>
      <w:t>United States Department of Education</w:t>
    </w:r>
  </w:p>
  <w:p w14:paraId="05C14E62" w14:textId="7C0C1BB1" w:rsidR="00D21F29" w:rsidRPr="00D21F29" w:rsidRDefault="00D21F29" w:rsidP="00D21F29">
    <w:pPr>
      <w:pStyle w:val="Title"/>
      <w:pBdr>
        <w:top w:val="none" w:sz="0" w:space="0" w:color="auto"/>
        <w:bottom w:val="none" w:sz="0" w:space="0" w:color="auto"/>
      </w:pBdr>
      <w:spacing w:before="0" w:after="0"/>
      <w:contextualSpacing w:val="0"/>
      <w:jc w:val="center"/>
      <w:rPr>
        <w:rFonts w:ascii="Times New Roman" w:eastAsia="Times New Roman" w:hAnsi="Times New Roman" w:cs="Times New Roman"/>
        <w:b/>
        <w:color w:val="244061"/>
        <w:sz w:val="28"/>
      </w:rPr>
    </w:pPr>
    <w:r w:rsidRPr="00E97278">
      <w:rPr>
        <w:rFonts w:ascii="Times New Roman" w:eastAsia="Times New Roman" w:hAnsi="Times New Roman" w:cs="Times New Roman"/>
        <w:b/>
        <w:color w:val="244061"/>
        <w:spacing w:val="0"/>
        <w:kern w:val="0"/>
        <w:sz w:val="28"/>
        <w:szCs w:val="22"/>
      </w:rPr>
      <w:t>Office of Special Education and Rehabilitative Services</w:t>
    </w:r>
  </w:p>
  <w:p w14:paraId="5A439CC0" w14:textId="4FF59170" w:rsidR="00D21F29" w:rsidRDefault="00D21F29" w:rsidP="00D21F29">
    <w:pPr>
      <w:pStyle w:val="Header"/>
      <w:tabs>
        <w:tab w:val="clear" w:pos="4320"/>
        <w:tab w:val="clear" w:pos="8640"/>
        <w:tab w:val="left" w:pos="6190"/>
      </w:tabs>
    </w:pPr>
  </w:p>
  <w:p w14:paraId="53E6D565" w14:textId="77777777" w:rsidR="00D21F29" w:rsidRDefault="00D21F29" w:rsidP="00D21F29">
    <w:pPr>
      <w:pStyle w:val="Header"/>
      <w:tabs>
        <w:tab w:val="clear" w:pos="4320"/>
        <w:tab w:val="clear" w:pos="8640"/>
        <w:tab w:val="left" w:pos="61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5pt;height:19pt;visibility:visible" o:bullet="t">
        <v:imagedata r:id="rId1" o:title="" croptop="12526f" cropbottom="7411f" cropleft="12045f" cropright="6359f"/>
      </v:shape>
    </w:pict>
  </w:numPicBullet>
  <w:abstractNum w:abstractNumId="0" w15:restartNumberingAfterBreak="0">
    <w:nsid w:val="0195615D"/>
    <w:multiLevelType w:val="hybridMultilevel"/>
    <w:tmpl w:val="FC944D1A"/>
    <w:lvl w:ilvl="0" w:tplc="35F68138">
      <w:start w:val="1"/>
      <w:numFmt w:val="decimal"/>
      <w:lvlText w:val="%1."/>
      <w:lvlJc w:val="left"/>
      <w:pPr>
        <w:ind w:left="451" w:hanging="180"/>
      </w:pPr>
      <w:rPr>
        <w:rFonts w:ascii="Calibri" w:eastAsia="Calibri" w:hAnsi="Calibri" w:cs="Calibri" w:hint="default"/>
        <w:w w:val="100"/>
        <w:sz w:val="18"/>
        <w:szCs w:val="18"/>
        <w:lang w:val="en-US" w:eastAsia="en-US" w:bidi="ar-SA"/>
      </w:rPr>
    </w:lvl>
    <w:lvl w:ilvl="1" w:tplc="B2D423C2">
      <w:numFmt w:val="bullet"/>
      <w:lvlText w:val="•"/>
      <w:lvlJc w:val="left"/>
      <w:pPr>
        <w:ind w:left="1365" w:hanging="180"/>
      </w:pPr>
      <w:rPr>
        <w:rFonts w:hint="default"/>
        <w:lang w:val="en-US" w:eastAsia="en-US" w:bidi="ar-SA"/>
      </w:rPr>
    </w:lvl>
    <w:lvl w:ilvl="2" w:tplc="23E800E6">
      <w:numFmt w:val="bullet"/>
      <w:lvlText w:val="•"/>
      <w:lvlJc w:val="left"/>
      <w:pPr>
        <w:ind w:left="2279" w:hanging="180"/>
      </w:pPr>
      <w:rPr>
        <w:rFonts w:hint="default"/>
        <w:lang w:val="en-US" w:eastAsia="en-US" w:bidi="ar-SA"/>
      </w:rPr>
    </w:lvl>
    <w:lvl w:ilvl="3" w:tplc="E3085B44">
      <w:numFmt w:val="bullet"/>
      <w:lvlText w:val="•"/>
      <w:lvlJc w:val="left"/>
      <w:pPr>
        <w:ind w:left="3193" w:hanging="180"/>
      </w:pPr>
      <w:rPr>
        <w:rFonts w:hint="default"/>
        <w:lang w:val="en-US" w:eastAsia="en-US" w:bidi="ar-SA"/>
      </w:rPr>
    </w:lvl>
    <w:lvl w:ilvl="4" w:tplc="DC9AA4B0">
      <w:numFmt w:val="bullet"/>
      <w:lvlText w:val="•"/>
      <w:lvlJc w:val="left"/>
      <w:pPr>
        <w:ind w:left="4107" w:hanging="180"/>
      </w:pPr>
      <w:rPr>
        <w:rFonts w:hint="default"/>
        <w:lang w:val="en-US" w:eastAsia="en-US" w:bidi="ar-SA"/>
      </w:rPr>
    </w:lvl>
    <w:lvl w:ilvl="5" w:tplc="9B628C62">
      <w:numFmt w:val="bullet"/>
      <w:lvlText w:val="•"/>
      <w:lvlJc w:val="left"/>
      <w:pPr>
        <w:ind w:left="5021" w:hanging="180"/>
      </w:pPr>
      <w:rPr>
        <w:rFonts w:hint="default"/>
        <w:lang w:val="en-US" w:eastAsia="en-US" w:bidi="ar-SA"/>
      </w:rPr>
    </w:lvl>
    <w:lvl w:ilvl="6" w:tplc="2D22CBF2">
      <w:numFmt w:val="bullet"/>
      <w:lvlText w:val="•"/>
      <w:lvlJc w:val="left"/>
      <w:pPr>
        <w:ind w:left="5935" w:hanging="180"/>
      </w:pPr>
      <w:rPr>
        <w:rFonts w:hint="default"/>
        <w:lang w:val="en-US" w:eastAsia="en-US" w:bidi="ar-SA"/>
      </w:rPr>
    </w:lvl>
    <w:lvl w:ilvl="7" w:tplc="7C8C7DC0">
      <w:numFmt w:val="bullet"/>
      <w:lvlText w:val="•"/>
      <w:lvlJc w:val="left"/>
      <w:pPr>
        <w:ind w:left="6849" w:hanging="180"/>
      </w:pPr>
      <w:rPr>
        <w:rFonts w:hint="default"/>
        <w:lang w:val="en-US" w:eastAsia="en-US" w:bidi="ar-SA"/>
      </w:rPr>
    </w:lvl>
    <w:lvl w:ilvl="8" w:tplc="96DACD4A">
      <w:numFmt w:val="bullet"/>
      <w:lvlText w:val="•"/>
      <w:lvlJc w:val="left"/>
      <w:pPr>
        <w:ind w:left="7763" w:hanging="180"/>
      </w:pPr>
      <w:rPr>
        <w:rFonts w:hint="default"/>
        <w:lang w:val="en-US" w:eastAsia="en-US" w:bidi="ar-SA"/>
      </w:rPr>
    </w:lvl>
  </w:abstractNum>
  <w:abstractNum w:abstractNumId="1" w15:restartNumberingAfterBreak="0">
    <w:nsid w:val="0A9D61CC"/>
    <w:multiLevelType w:val="hybridMultilevel"/>
    <w:tmpl w:val="26E6B21A"/>
    <w:lvl w:ilvl="0" w:tplc="41A26586">
      <w:start w:val="1"/>
      <w:numFmt w:val="lowerLetter"/>
      <w:lvlText w:val="%1."/>
      <w:lvlJc w:val="left"/>
      <w:pPr>
        <w:ind w:left="680" w:hanging="180"/>
      </w:pPr>
      <w:rPr>
        <w:rFonts w:ascii="Calibri" w:eastAsia="Calibri" w:hAnsi="Calibri" w:cs="Calibri" w:hint="default"/>
        <w:w w:val="99"/>
        <w:sz w:val="20"/>
        <w:szCs w:val="20"/>
        <w:lang w:val="en-US" w:eastAsia="en-US" w:bidi="ar-SA"/>
      </w:rPr>
    </w:lvl>
    <w:lvl w:ilvl="1" w:tplc="2FE48818">
      <w:numFmt w:val="bullet"/>
      <w:lvlText w:val="•"/>
      <w:lvlJc w:val="left"/>
      <w:pPr>
        <w:ind w:left="1576" w:hanging="180"/>
      </w:pPr>
      <w:rPr>
        <w:rFonts w:hint="default"/>
        <w:lang w:val="en-US" w:eastAsia="en-US" w:bidi="ar-SA"/>
      </w:rPr>
    </w:lvl>
    <w:lvl w:ilvl="2" w:tplc="984871E8">
      <w:numFmt w:val="bullet"/>
      <w:lvlText w:val="•"/>
      <w:lvlJc w:val="left"/>
      <w:pPr>
        <w:ind w:left="2472" w:hanging="180"/>
      </w:pPr>
      <w:rPr>
        <w:rFonts w:hint="default"/>
        <w:lang w:val="en-US" w:eastAsia="en-US" w:bidi="ar-SA"/>
      </w:rPr>
    </w:lvl>
    <w:lvl w:ilvl="3" w:tplc="42CAC4A6">
      <w:numFmt w:val="bullet"/>
      <w:lvlText w:val="•"/>
      <w:lvlJc w:val="left"/>
      <w:pPr>
        <w:ind w:left="3368" w:hanging="180"/>
      </w:pPr>
      <w:rPr>
        <w:rFonts w:hint="default"/>
        <w:lang w:val="en-US" w:eastAsia="en-US" w:bidi="ar-SA"/>
      </w:rPr>
    </w:lvl>
    <w:lvl w:ilvl="4" w:tplc="B302F33E">
      <w:numFmt w:val="bullet"/>
      <w:lvlText w:val="•"/>
      <w:lvlJc w:val="left"/>
      <w:pPr>
        <w:ind w:left="4264" w:hanging="180"/>
      </w:pPr>
      <w:rPr>
        <w:rFonts w:hint="default"/>
        <w:lang w:val="en-US" w:eastAsia="en-US" w:bidi="ar-SA"/>
      </w:rPr>
    </w:lvl>
    <w:lvl w:ilvl="5" w:tplc="4574C070">
      <w:numFmt w:val="bullet"/>
      <w:lvlText w:val="•"/>
      <w:lvlJc w:val="left"/>
      <w:pPr>
        <w:ind w:left="5160" w:hanging="180"/>
      </w:pPr>
      <w:rPr>
        <w:rFonts w:hint="default"/>
        <w:lang w:val="en-US" w:eastAsia="en-US" w:bidi="ar-SA"/>
      </w:rPr>
    </w:lvl>
    <w:lvl w:ilvl="6" w:tplc="420670D8">
      <w:numFmt w:val="bullet"/>
      <w:lvlText w:val="•"/>
      <w:lvlJc w:val="left"/>
      <w:pPr>
        <w:ind w:left="6056" w:hanging="180"/>
      </w:pPr>
      <w:rPr>
        <w:rFonts w:hint="default"/>
        <w:lang w:val="en-US" w:eastAsia="en-US" w:bidi="ar-SA"/>
      </w:rPr>
    </w:lvl>
    <w:lvl w:ilvl="7" w:tplc="8C02ACEE">
      <w:numFmt w:val="bullet"/>
      <w:lvlText w:val="•"/>
      <w:lvlJc w:val="left"/>
      <w:pPr>
        <w:ind w:left="6952" w:hanging="180"/>
      </w:pPr>
      <w:rPr>
        <w:rFonts w:hint="default"/>
        <w:lang w:val="en-US" w:eastAsia="en-US" w:bidi="ar-SA"/>
      </w:rPr>
    </w:lvl>
    <w:lvl w:ilvl="8" w:tplc="948AFAF6">
      <w:numFmt w:val="bullet"/>
      <w:lvlText w:val="•"/>
      <w:lvlJc w:val="left"/>
      <w:pPr>
        <w:ind w:left="7848" w:hanging="180"/>
      </w:pPr>
      <w:rPr>
        <w:rFonts w:hint="default"/>
        <w:lang w:val="en-US" w:eastAsia="en-US" w:bidi="ar-SA"/>
      </w:rPr>
    </w:lvl>
  </w:abstractNum>
  <w:abstractNum w:abstractNumId="2" w15:restartNumberingAfterBreak="0">
    <w:nsid w:val="0AC007EF"/>
    <w:multiLevelType w:val="hybridMultilevel"/>
    <w:tmpl w:val="1DA48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764FE2"/>
    <w:multiLevelType w:val="hybridMultilevel"/>
    <w:tmpl w:val="FE546DDE"/>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ED2F2F"/>
    <w:multiLevelType w:val="hybridMultilevel"/>
    <w:tmpl w:val="AE7671EA"/>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10106E"/>
    <w:multiLevelType w:val="hybridMultilevel"/>
    <w:tmpl w:val="A3A68884"/>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3B0175"/>
    <w:multiLevelType w:val="hybridMultilevel"/>
    <w:tmpl w:val="9CE8104C"/>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702D98"/>
    <w:multiLevelType w:val="hybridMultilevel"/>
    <w:tmpl w:val="9A7024A4"/>
    <w:lvl w:ilvl="0" w:tplc="FA484848">
      <w:start w:val="1"/>
      <w:numFmt w:val="decimal"/>
      <w:lvlText w:val="(%1)"/>
      <w:lvlJc w:val="left"/>
      <w:pPr>
        <w:ind w:left="859" w:hanging="361"/>
      </w:pPr>
      <w:rPr>
        <w:rFonts w:ascii="Calibri" w:eastAsia="Calibri" w:hAnsi="Calibri" w:cs="Calibri" w:hint="default"/>
        <w:w w:val="100"/>
        <w:sz w:val="22"/>
        <w:szCs w:val="22"/>
        <w:lang w:val="en-US" w:eastAsia="en-US" w:bidi="ar-SA"/>
      </w:rPr>
    </w:lvl>
    <w:lvl w:ilvl="1" w:tplc="5F0813E0">
      <w:start w:val="1"/>
      <w:numFmt w:val="lowerLetter"/>
      <w:lvlText w:val="(%2)"/>
      <w:lvlJc w:val="left"/>
      <w:pPr>
        <w:ind w:left="1219" w:hanging="360"/>
      </w:pPr>
      <w:rPr>
        <w:rFonts w:ascii="Calibri" w:eastAsia="Calibri" w:hAnsi="Calibri" w:cs="Calibri" w:hint="default"/>
        <w:spacing w:val="-1"/>
        <w:w w:val="100"/>
        <w:sz w:val="22"/>
        <w:szCs w:val="22"/>
        <w:lang w:val="en-US" w:eastAsia="en-US" w:bidi="ar-SA"/>
      </w:rPr>
    </w:lvl>
    <w:lvl w:ilvl="2" w:tplc="FC2CA5B8">
      <w:numFmt w:val="bullet"/>
      <w:lvlText w:val="•"/>
      <w:lvlJc w:val="left"/>
      <w:pPr>
        <w:ind w:left="2155" w:hanging="360"/>
      </w:pPr>
      <w:rPr>
        <w:rFonts w:hint="default"/>
        <w:lang w:val="en-US" w:eastAsia="en-US" w:bidi="ar-SA"/>
      </w:rPr>
    </w:lvl>
    <w:lvl w:ilvl="3" w:tplc="FE104920">
      <w:numFmt w:val="bullet"/>
      <w:lvlText w:val="•"/>
      <w:lvlJc w:val="left"/>
      <w:pPr>
        <w:ind w:left="3091" w:hanging="360"/>
      </w:pPr>
      <w:rPr>
        <w:rFonts w:hint="default"/>
        <w:lang w:val="en-US" w:eastAsia="en-US" w:bidi="ar-SA"/>
      </w:rPr>
    </w:lvl>
    <w:lvl w:ilvl="4" w:tplc="C700DABA">
      <w:numFmt w:val="bullet"/>
      <w:lvlText w:val="•"/>
      <w:lvlJc w:val="left"/>
      <w:pPr>
        <w:ind w:left="4026" w:hanging="360"/>
      </w:pPr>
      <w:rPr>
        <w:rFonts w:hint="default"/>
        <w:lang w:val="en-US" w:eastAsia="en-US" w:bidi="ar-SA"/>
      </w:rPr>
    </w:lvl>
    <w:lvl w:ilvl="5" w:tplc="D44C0D6A">
      <w:numFmt w:val="bullet"/>
      <w:lvlText w:val="•"/>
      <w:lvlJc w:val="left"/>
      <w:pPr>
        <w:ind w:left="4962" w:hanging="360"/>
      </w:pPr>
      <w:rPr>
        <w:rFonts w:hint="default"/>
        <w:lang w:val="en-US" w:eastAsia="en-US" w:bidi="ar-SA"/>
      </w:rPr>
    </w:lvl>
    <w:lvl w:ilvl="6" w:tplc="194E45C6">
      <w:numFmt w:val="bullet"/>
      <w:lvlText w:val="•"/>
      <w:lvlJc w:val="left"/>
      <w:pPr>
        <w:ind w:left="5897" w:hanging="360"/>
      </w:pPr>
      <w:rPr>
        <w:rFonts w:hint="default"/>
        <w:lang w:val="en-US" w:eastAsia="en-US" w:bidi="ar-SA"/>
      </w:rPr>
    </w:lvl>
    <w:lvl w:ilvl="7" w:tplc="0E645416">
      <w:numFmt w:val="bullet"/>
      <w:lvlText w:val="•"/>
      <w:lvlJc w:val="left"/>
      <w:pPr>
        <w:ind w:left="6833" w:hanging="360"/>
      </w:pPr>
      <w:rPr>
        <w:rFonts w:hint="default"/>
        <w:lang w:val="en-US" w:eastAsia="en-US" w:bidi="ar-SA"/>
      </w:rPr>
    </w:lvl>
    <w:lvl w:ilvl="8" w:tplc="2F8670A4">
      <w:numFmt w:val="bullet"/>
      <w:lvlText w:val="•"/>
      <w:lvlJc w:val="left"/>
      <w:pPr>
        <w:ind w:left="7768" w:hanging="360"/>
      </w:pPr>
      <w:rPr>
        <w:rFonts w:hint="default"/>
        <w:lang w:val="en-US" w:eastAsia="en-US" w:bidi="ar-SA"/>
      </w:rPr>
    </w:lvl>
  </w:abstractNum>
  <w:abstractNum w:abstractNumId="8" w15:restartNumberingAfterBreak="0">
    <w:nsid w:val="24687444"/>
    <w:multiLevelType w:val="hybridMultilevel"/>
    <w:tmpl w:val="3A483B56"/>
    <w:lvl w:ilvl="0" w:tplc="89D40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E3E67"/>
    <w:multiLevelType w:val="hybridMultilevel"/>
    <w:tmpl w:val="D4DEF9AE"/>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C76686E"/>
    <w:multiLevelType w:val="hybridMultilevel"/>
    <w:tmpl w:val="F0385C00"/>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F7902EF"/>
    <w:multiLevelType w:val="hybridMultilevel"/>
    <w:tmpl w:val="8DEE4D5C"/>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D4182B"/>
    <w:multiLevelType w:val="hybridMultilevel"/>
    <w:tmpl w:val="C884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10816"/>
    <w:multiLevelType w:val="hybridMultilevel"/>
    <w:tmpl w:val="62F02BE2"/>
    <w:lvl w:ilvl="0" w:tplc="D22C94C8">
      <w:start w:val="1"/>
      <w:numFmt w:val="bullet"/>
      <w:pStyle w:val="RadioButtonBullet"/>
      <w:lvlText w:val=""/>
      <w:lvlPicBulletId w:val="0"/>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A700A69"/>
    <w:multiLevelType w:val="hybridMultilevel"/>
    <w:tmpl w:val="1E02B890"/>
    <w:lvl w:ilvl="0" w:tplc="F5D21736">
      <w:start w:val="1"/>
      <w:numFmt w:val="decimal"/>
      <w:lvlText w:val="%1."/>
      <w:lvlJc w:val="left"/>
      <w:pPr>
        <w:ind w:left="500" w:hanging="360"/>
      </w:pPr>
      <w:rPr>
        <w:rFonts w:ascii="Cambria" w:eastAsia="Cambria" w:hAnsi="Cambria" w:cs="Cambria" w:hint="default"/>
        <w:b/>
        <w:bCs/>
        <w:color w:val="365F91"/>
        <w:spacing w:val="-1"/>
        <w:w w:val="100"/>
        <w:sz w:val="24"/>
        <w:szCs w:val="24"/>
        <w:lang w:val="en-US" w:eastAsia="en-US" w:bidi="ar-SA"/>
      </w:rPr>
    </w:lvl>
    <w:lvl w:ilvl="1" w:tplc="E6305D5A">
      <w:numFmt w:val="bullet"/>
      <w:lvlText w:val=""/>
      <w:lvlJc w:val="left"/>
      <w:pPr>
        <w:ind w:left="860" w:hanging="361"/>
      </w:pPr>
      <w:rPr>
        <w:rFonts w:ascii="Symbol" w:eastAsia="Symbol" w:hAnsi="Symbol" w:cs="Symbol" w:hint="default"/>
        <w:w w:val="100"/>
        <w:sz w:val="22"/>
        <w:szCs w:val="22"/>
        <w:lang w:val="en-US" w:eastAsia="en-US" w:bidi="ar-SA"/>
      </w:rPr>
    </w:lvl>
    <w:lvl w:ilvl="2" w:tplc="D3BC6818">
      <w:numFmt w:val="bullet"/>
      <w:lvlText w:val="o"/>
      <w:lvlJc w:val="left"/>
      <w:pPr>
        <w:ind w:left="1580" w:hanging="361"/>
      </w:pPr>
      <w:rPr>
        <w:rFonts w:ascii="Courier New" w:eastAsia="Courier New" w:hAnsi="Courier New" w:cs="Courier New" w:hint="default"/>
        <w:w w:val="100"/>
        <w:sz w:val="22"/>
        <w:szCs w:val="22"/>
        <w:lang w:val="en-US" w:eastAsia="en-US" w:bidi="ar-SA"/>
      </w:rPr>
    </w:lvl>
    <w:lvl w:ilvl="3" w:tplc="F1482010">
      <w:numFmt w:val="bullet"/>
      <w:lvlText w:val="•"/>
      <w:lvlJc w:val="left"/>
      <w:pPr>
        <w:ind w:left="2587" w:hanging="361"/>
      </w:pPr>
      <w:rPr>
        <w:rFonts w:hint="default"/>
        <w:lang w:val="en-US" w:eastAsia="en-US" w:bidi="ar-SA"/>
      </w:rPr>
    </w:lvl>
    <w:lvl w:ilvl="4" w:tplc="4FE8EF5C">
      <w:numFmt w:val="bullet"/>
      <w:lvlText w:val="•"/>
      <w:lvlJc w:val="left"/>
      <w:pPr>
        <w:ind w:left="3595" w:hanging="361"/>
      </w:pPr>
      <w:rPr>
        <w:rFonts w:hint="default"/>
        <w:lang w:val="en-US" w:eastAsia="en-US" w:bidi="ar-SA"/>
      </w:rPr>
    </w:lvl>
    <w:lvl w:ilvl="5" w:tplc="36C22FA8">
      <w:numFmt w:val="bullet"/>
      <w:lvlText w:val="•"/>
      <w:lvlJc w:val="left"/>
      <w:pPr>
        <w:ind w:left="4602" w:hanging="361"/>
      </w:pPr>
      <w:rPr>
        <w:rFonts w:hint="default"/>
        <w:lang w:val="en-US" w:eastAsia="en-US" w:bidi="ar-SA"/>
      </w:rPr>
    </w:lvl>
    <w:lvl w:ilvl="6" w:tplc="856CE130">
      <w:numFmt w:val="bullet"/>
      <w:lvlText w:val="•"/>
      <w:lvlJc w:val="left"/>
      <w:pPr>
        <w:ind w:left="5610" w:hanging="361"/>
      </w:pPr>
      <w:rPr>
        <w:rFonts w:hint="default"/>
        <w:lang w:val="en-US" w:eastAsia="en-US" w:bidi="ar-SA"/>
      </w:rPr>
    </w:lvl>
    <w:lvl w:ilvl="7" w:tplc="AADC63A0">
      <w:numFmt w:val="bullet"/>
      <w:lvlText w:val="•"/>
      <w:lvlJc w:val="left"/>
      <w:pPr>
        <w:ind w:left="6617" w:hanging="361"/>
      </w:pPr>
      <w:rPr>
        <w:rFonts w:hint="default"/>
        <w:lang w:val="en-US" w:eastAsia="en-US" w:bidi="ar-SA"/>
      </w:rPr>
    </w:lvl>
    <w:lvl w:ilvl="8" w:tplc="554A562E">
      <w:numFmt w:val="bullet"/>
      <w:lvlText w:val="•"/>
      <w:lvlJc w:val="left"/>
      <w:pPr>
        <w:ind w:left="7625" w:hanging="361"/>
      </w:pPr>
      <w:rPr>
        <w:rFonts w:hint="default"/>
        <w:lang w:val="en-US" w:eastAsia="en-US" w:bidi="ar-SA"/>
      </w:rPr>
    </w:lvl>
  </w:abstractNum>
  <w:abstractNum w:abstractNumId="15" w15:restartNumberingAfterBreak="0">
    <w:nsid w:val="3A965831"/>
    <w:multiLevelType w:val="hybridMultilevel"/>
    <w:tmpl w:val="31167B22"/>
    <w:lvl w:ilvl="0" w:tplc="4C76C600">
      <w:start w:val="1"/>
      <w:numFmt w:val="decimal"/>
      <w:lvlText w:val="(%1)"/>
      <w:lvlJc w:val="left"/>
      <w:pPr>
        <w:ind w:left="742" w:hanging="243"/>
      </w:pPr>
      <w:rPr>
        <w:rFonts w:ascii="Calibri" w:eastAsia="Calibri" w:hAnsi="Calibri" w:cs="Calibri" w:hint="default"/>
        <w:spacing w:val="-1"/>
        <w:w w:val="100"/>
        <w:sz w:val="18"/>
        <w:szCs w:val="18"/>
        <w:lang w:val="en-US" w:eastAsia="en-US" w:bidi="ar-SA"/>
      </w:rPr>
    </w:lvl>
    <w:lvl w:ilvl="1" w:tplc="7FB8318A">
      <w:numFmt w:val="bullet"/>
      <w:lvlText w:val="•"/>
      <w:lvlJc w:val="left"/>
      <w:pPr>
        <w:ind w:left="1630" w:hanging="243"/>
      </w:pPr>
      <w:rPr>
        <w:rFonts w:hint="default"/>
        <w:lang w:val="en-US" w:eastAsia="en-US" w:bidi="ar-SA"/>
      </w:rPr>
    </w:lvl>
    <w:lvl w:ilvl="2" w:tplc="0B645188">
      <w:numFmt w:val="bullet"/>
      <w:lvlText w:val="•"/>
      <w:lvlJc w:val="left"/>
      <w:pPr>
        <w:ind w:left="2520" w:hanging="243"/>
      </w:pPr>
      <w:rPr>
        <w:rFonts w:hint="default"/>
        <w:lang w:val="en-US" w:eastAsia="en-US" w:bidi="ar-SA"/>
      </w:rPr>
    </w:lvl>
    <w:lvl w:ilvl="3" w:tplc="2D265A84">
      <w:numFmt w:val="bullet"/>
      <w:lvlText w:val="•"/>
      <w:lvlJc w:val="left"/>
      <w:pPr>
        <w:ind w:left="3410" w:hanging="243"/>
      </w:pPr>
      <w:rPr>
        <w:rFonts w:hint="default"/>
        <w:lang w:val="en-US" w:eastAsia="en-US" w:bidi="ar-SA"/>
      </w:rPr>
    </w:lvl>
    <w:lvl w:ilvl="4" w:tplc="EC3405A6">
      <w:numFmt w:val="bullet"/>
      <w:lvlText w:val="•"/>
      <w:lvlJc w:val="left"/>
      <w:pPr>
        <w:ind w:left="4300" w:hanging="243"/>
      </w:pPr>
      <w:rPr>
        <w:rFonts w:hint="default"/>
        <w:lang w:val="en-US" w:eastAsia="en-US" w:bidi="ar-SA"/>
      </w:rPr>
    </w:lvl>
    <w:lvl w:ilvl="5" w:tplc="1A7453C2">
      <w:numFmt w:val="bullet"/>
      <w:lvlText w:val="•"/>
      <w:lvlJc w:val="left"/>
      <w:pPr>
        <w:ind w:left="5190" w:hanging="243"/>
      </w:pPr>
      <w:rPr>
        <w:rFonts w:hint="default"/>
        <w:lang w:val="en-US" w:eastAsia="en-US" w:bidi="ar-SA"/>
      </w:rPr>
    </w:lvl>
    <w:lvl w:ilvl="6" w:tplc="C08EBB80">
      <w:numFmt w:val="bullet"/>
      <w:lvlText w:val="•"/>
      <w:lvlJc w:val="left"/>
      <w:pPr>
        <w:ind w:left="6080" w:hanging="243"/>
      </w:pPr>
      <w:rPr>
        <w:rFonts w:hint="default"/>
        <w:lang w:val="en-US" w:eastAsia="en-US" w:bidi="ar-SA"/>
      </w:rPr>
    </w:lvl>
    <w:lvl w:ilvl="7" w:tplc="CEDC7EAC">
      <w:numFmt w:val="bullet"/>
      <w:lvlText w:val="•"/>
      <w:lvlJc w:val="left"/>
      <w:pPr>
        <w:ind w:left="6970" w:hanging="243"/>
      </w:pPr>
      <w:rPr>
        <w:rFonts w:hint="default"/>
        <w:lang w:val="en-US" w:eastAsia="en-US" w:bidi="ar-SA"/>
      </w:rPr>
    </w:lvl>
    <w:lvl w:ilvl="8" w:tplc="31E0B7AC">
      <w:numFmt w:val="bullet"/>
      <w:lvlText w:val="•"/>
      <w:lvlJc w:val="left"/>
      <w:pPr>
        <w:ind w:left="7860" w:hanging="243"/>
      </w:pPr>
      <w:rPr>
        <w:rFonts w:hint="default"/>
        <w:lang w:val="en-US" w:eastAsia="en-US" w:bidi="ar-SA"/>
      </w:rPr>
    </w:lvl>
  </w:abstractNum>
  <w:abstractNum w:abstractNumId="16" w15:restartNumberingAfterBreak="0">
    <w:nsid w:val="41EF272A"/>
    <w:multiLevelType w:val="hybridMultilevel"/>
    <w:tmpl w:val="D916B1AE"/>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54471"/>
    <w:multiLevelType w:val="hybridMultilevel"/>
    <w:tmpl w:val="92EE5A32"/>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8A6076"/>
    <w:multiLevelType w:val="hybridMultilevel"/>
    <w:tmpl w:val="C53C2C9E"/>
    <w:lvl w:ilvl="0" w:tplc="EF6C9D46">
      <w:start w:val="1"/>
      <w:numFmt w:val="bullet"/>
      <w:lvlText w:val=""/>
      <w:lvlJc w:val="left"/>
      <w:pPr>
        <w:ind w:left="720" w:hanging="360"/>
      </w:pPr>
      <w:rPr>
        <w:rFonts w:ascii="Symbol" w:hAnsi="Symbol"/>
      </w:rPr>
    </w:lvl>
    <w:lvl w:ilvl="1" w:tplc="1D7A3CFA">
      <w:start w:val="1"/>
      <w:numFmt w:val="bullet"/>
      <w:lvlText w:val=""/>
      <w:lvlJc w:val="left"/>
      <w:pPr>
        <w:ind w:left="720" w:hanging="360"/>
      </w:pPr>
      <w:rPr>
        <w:rFonts w:ascii="Symbol" w:hAnsi="Symbol"/>
      </w:rPr>
    </w:lvl>
    <w:lvl w:ilvl="2" w:tplc="A1BEA886">
      <w:start w:val="1"/>
      <w:numFmt w:val="bullet"/>
      <w:lvlText w:val=""/>
      <w:lvlJc w:val="left"/>
      <w:pPr>
        <w:ind w:left="720" w:hanging="360"/>
      </w:pPr>
      <w:rPr>
        <w:rFonts w:ascii="Symbol" w:hAnsi="Symbol"/>
      </w:rPr>
    </w:lvl>
    <w:lvl w:ilvl="3" w:tplc="B1D23ACA">
      <w:start w:val="1"/>
      <w:numFmt w:val="bullet"/>
      <w:lvlText w:val=""/>
      <w:lvlJc w:val="left"/>
      <w:pPr>
        <w:ind w:left="720" w:hanging="360"/>
      </w:pPr>
      <w:rPr>
        <w:rFonts w:ascii="Symbol" w:hAnsi="Symbol"/>
      </w:rPr>
    </w:lvl>
    <w:lvl w:ilvl="4" w:tplc="D6A2B8C8">
      <w:start w:val="1"/>
      <w:numFmt w:val="bullet"/>
      <w:lvlText w:val=""/>
      <w:lvlJc w:val="left"/>
      <w:pPr>
        <w:ind w:left="720" w:hanging="360"/>
      </w:pPr>
      <w:rPr>
        <w:rFonts w:ascii="Symbol" w:hAnsi="Symbol"/>
      </w:rPr>
    </w:lvl>
    <w:lvl w:ilvl="5" w:tplc="7CC050F4">
      <w:start w:val="1"/>
      <w:numFmt w:val="bullet"/>
      <w:lvlText w:val=""/>
      <w:lvlJc w:val="left"/>
      <w:pPr>
        <w:ind w:left="720" w:hanging="360"/>
      </w:pPr>
      <w:rPr>
        <w:rFonts w:ascii="Symbol" w:hAnsi="Symbol"/>
      </w:rPr>
    </w:lvl>
    <w:lvl w:ilvl="6" w:tplc="377C0CFC">
      <w:start w:val="1"/>
      <w:numFmt w:val="bullet"/>
      <w:lvlText w:val=""/>
      <w:lvlJc w:val="left"/>
      <w:pPr>
        <w:ind w:left="720" w:hanging="360"/>
      </w:pPr>
      <w:rPr>
        <w:rFonts w:ascii="Symbol" w:hAnsi="Symbol"/>
      </w:rPr>
    </w:lvl>
    <w:lvl w:ilvl="7" w:tplc="90AA513A">
      <w:start w:val="1"/>
      <w:numFmt w:val="bullet"/>
      <w:lvlText w:val=""/>
      <w:lvlJc w:val="left"/>
      <w:pPr>
        <w:ind w:left="720" w:hanging="360"/>
      </w:pPr>
      <w:rPr>
        <w:rFonts w:ascii="Symbol" w:hAnsi="Symbol"/>
      </w:rPr>
    </w:lvl>
    <w:lvl w:ilvl="8" w:tplc="A99C7492">
      <w:start w:val="1"/>
      <w:numFmt w:val="bullet"/>
      <w:lvlText w:val=""/>
      <w:lvlJc w:val="left"/>
      <w:pPr>
        <w:ind w:left="720" w:hanging="360"/>
      </w:pPr>
      <w:rPr>
        <w:rFonts w:ascii="Symbol" w:hAnsi="Symbol"/>
      </w:rPr>
    </w:lvl>
  </w:abstractNum>
  <w:abstractNum w:abstractNumId="19" w15:restartNumberingAfterBreak="0">
    <w:nsid w:val="561A6F6E"/>
    <w:multiLevelType w:val="hybridMultilevel"/>
    <w:tmpl w:val="FE4AE33E"/>
    <w:lvl w:ilvl="0" w:tplc="0409000F">
      <w:start w:val="1"/>
      <w:numFmt w:val="decimal"/>
      <w:lvlText w:val="%1."/>
      <w:lvlJc w:val="left"/>
      <w:pPr>
        <w:ind w:left="859" w:hanging="360"/>
      </w:pPr>
      <w:rPr>
        <w:rFonts w:hint="default"/>
        <w:b/>
        <w:b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6E6247"/>
    <w:multiLevelType w:val="hybridMultilevel"/>
    <w:tmpl w:val="0ED2101C"/>
    <w:lvl w:ilvl="0" w:tplc="63F2C9E8">
      <w:start w:val="1"/>
      <w:numFmt w:val="decimal"/>
      <w:lvlText w:val="(%1)"/>
      <w:lvlJc w:val="left"/>
      <w:pPr>
        <w:ind w:left="858" w:hanging="361"/>
      </w:pPr>
      <w:rPr>
        <w:rFonts w:ascii="Calibri" w:eastAsia="Calibri" w:hAnsi="Calibri" w:cs="Calibri" w:hint="default"/>
        <w:w w:val="100"/>
        <w:sz w:val="22"/>
        <w:szCs w:val="22"/>
        <w:lang w:val="en-US" w:eastAsia="en-US" w:bidi="ar-SA"/>
      </w:rPr>
    </w:lvl>
    <w:lvl w:ilvl="1" w:tplc="6310C288">
      <w:start w:val="1"/>
      <w:numFmt w:val="upperLetter"/>
      <w:lvlText w:val="%2."/>
      <w:lvlJc w:val="left"/>
      <w:pPr>
        <w:ind w:left="1091" w:hanging="233"/>
      </w:pPr>
      <w:rPr>
        <w:rFonts w:ascii="Calibri" w:eastAsia="Calibri" w:hAnsi="Calibri" w:cs="Calibri" w:hint="default"/>
        <w:spacing w:val="-1"/>
        <w:w w:val="100"/>
        <w:sz w:val="22"/>
        <w:szCs w:val="22"/>
        <w:lang w:val="en-US" w:eastAsia="en-US" w:bidi="ar-SA"/>
      </w:rPr>
    </w:lvl>
    <w:lvl w:ilvl="2" w:tplc="76923070">
      <w:numFmt w:val="bullet"/>
      <w:lvlText w:val="•"/>
      <w:lvlJc w:val="left"/>
      <w:pPr>
        <w:ind w:left="2048" w:hanging="233"/>
      </w:pPr>
      <w:rPr>
        <w:rFonts w:hint="default"/>
        <w:lang w:val="en-US" w:eastAsia="en-US" w:bidi="ar-SA"/>
      </w:rPr>
    </w:lvl>
    <w:lvl w:ilvl="3" w:tplc="8612DC6A">
      <w:numFmt w:val="bullet"/>
      <w:lvlText w:val="•"/>
      <w:lvlJc w:val="left"/>
      <w:pPr>
        <w:ind w:left="2997" w:hanging="233"/>
      </w:pPr>
      <w:rPr>
        <w:rFonts w:hint="default"/>
        <w:lang w:val="en-US" w:eastAsia="en-US" w:bidi="ar-SA"/>
      </w:rPr>
    </w:lvl>
    <w:lvl w:ilvl="4" w:tplc="90C6A2D8">
      <w:numFmt w:val="bullet"/>
      <w:lvlText w:val="•"/>
      <w:lvlJc w:val="left"/>
      <w:pPr>
        <w:ind w:left="3946" w:hanging="233"/>
      </w:pPr>
      <w:rPr>
        <w:rFonts w:hint="default"/>
        <w:lang w:val="en-US" w:eastAsia="en-US" w:bidi="ar-SA"/>
      </w:rPr>
    </w:lvl>
    <w:lvl w:ilvl="5" w:tplc="BAC6C2C0">
      <w:numFmt w:val="bullet"/>
      <w:lvlText w:val="•"/>
      <w:lvlJc w:val="left"/>
      <w:pPr>
        <w:ind w:left="4895" w:hanging="233"/>
      </w:pPr>
      <w:rPr>
        <w:rFonts w:hint="default"/>
        <w:lang w:val="en-US" w:eastAsia="en-US" w:bidi="ar-SA"/>
      </w:rPr>
    </w:lvl>
    <w:lvl w:ilvl="6" w:tplc="F142F090">
      <w:numFmt w:val="bullet"/>
      <w:lvlText w:val="•"/>
      <w:lvlJc w:val="left"/>
      <w:pPr>
        <w:ind w:left="5844" w:hanging="233"/>
      </w:pPr>
      <w:rPr>
        <w:rFonts w:hint="default"/>
        <w:lang w:val="en-US" w:eastAsia="en-US" w:bidi="ar-SA"/>
      </w:rPr>
    </w:lvl>
    <w:lvl w:ilvl="7" w:tplc="481A9C0A">
      <w:numFmt w:val="bullet"/>
      <w:lvlText w:val="•"/>
      <w:lvlJc w:val="left"/>
      <w:pPr>
        <w:ind w:left="6793" w:hanging="233"/>
      </w:pPr>
      <w:rPr>
        <w:rFonts w:hint="default"/>
        <w:lang w:val="en-US" w:eastAsia="en-US" w:bidi="ar-SA"/>
      </w:rPr>
    </w:lvl>
    <w:lvl w:ilvl="8" w:tplc="A106D9BA">
      <w:numFmt w:val="bullet"/>
      <w:lvlText w:val="•"/>
      <w:lvlJc w:val="left"/>
      <w:pPr>
        <w:ind w:left="7742" w:hanging="233"/>
      </w:pPr>
      <w:rPr>
        <w:rFonts w:hint="default"/>
        <w:lang w:val="en-US" w:eastAsia="en-US" w:bidi="ar-SA"/>
      </w:rPr>
    </w:lvl>
  </w:abstractNum>
  <w:abstractNum w:abstractNumId="21" w15:restartNumberingAfterBreak="0">
    <w:nsid w:val="692E6741"/>
    <w:multiLevelType w:val="hybridMultilevel"/>
    <w:tmpl w:val="E28CD48C"/>
    <w:lvl w:ilvl="0" w:tplc="853CDF4E">
      <w:start w:val="1"/>
      <w:numFmt w:val="upperLetter"/>
      <w:lvlText w:val="%1."/>
      <w:lvlJc w:val="left"/>
      <w:pPr>
        <w:ind w:left="499" w:hanging="360"/>
      </w:pPr>
      <w:rPr>
        <w:rFonts w:ascii="Cambria" w:eastAsia="Cambria" w:hAnsi="Cambria" w:cs="Cambria" w:hint="default"/>
        <w:b/>
        <w:bCs/>
        <w:color w:val="365F91"/>
        <w:spacing w:val="-1"/>
        <w:w w:val="100"/>
        <w:sz w:val="28"/>
        <w:szCs w:val="28"/>
        <w:lang w:val="en-US" w:eastAsia="en-US" w:bidi="ar-SA"/>
      </w:rPr>
    </w:lvl>
    <w:lvl w:ilvl="1" w:tplc="3468C978">
      <w:start w:val="1"/>
      <w:numFmt w:val="decimal"/>
      <w:lvlText w:val="%2."/>
      <w:lvlJc w:val="left"/>
      <w:pPr>
        <w:ind w:left="450" w:hanging="360"/>
      </w:pPr>
      <w:rPr>
        <w:rFonts w:hint="default"/>
        <w:b/>
        <w:bCs/>
        <w:spacing w:val="-1"/>
        <w:w w:val="100"/>
        <w:lang w:val="en-US" w:eastAsia="en-US" w:bidi="ar-SA"/>
      </w:rPr>
    </w:lvl>
    <w:lvl w:ilvl="2" w:tplc="8DE061AC">
      <w:start w:val="1"/>
      <w:numFmt w:val="lowerLetter"/>
      <w:lvlText w:val="(%3)"/>
      <w:lvlJc w:val="left"/>
      <w:pPr>
        <w:ind w:left="859" w:hanging="360"/>
      </w:pPr>
      <w:rPr>
        <w:rFonts w:ascii="Calibri" w:eastAsia="Calibri" w:hAnsi="Calibri" w:cs="Calibri" w:hint="default"/>
        <w:spacing w:val="-1"/>
        <w:w w:val="100"/>
        <w:sz w:val="22"/>
        <w:szCs w:val="22"/>
        <w:lang w:val="en-US" w:eastAsia="en-US" w:bidi="ar-SA"/>
      </w:rPr>
    </w:lvl>
    <w:lvl w:ilvl="3" w:tplc="802214E2">
      <w:numFmt w:val="bullet"/>
      <w:lvlText w:val="•"/>
      <w:lvlJc w:val="left"/>
      <w:pPr>
        <w:ind w:left="2202" w:hanging="360"/>
      </w:pPr>
      <w:rPr>
        <w:rFonts w:hint="default"/>
        <w:lang w:val="en-US" w:eastAsia="en-US" w:bidi="ar-SA"/>
      </w:rPr>
    </w:lvl>
    <w:lvl w:ilvl="4" w:tplc="9E7445F2">
      <w:numFmt w:val="bullet"/>
      <w:lvlText w:val="•"/>
      <w:lvlJc w:val="left"/>
      <w:pPr>
        <w:ind w:left="3265" w:hanging="360"/>
      </w:pPr>
      <w:rPr>
        <w:rFonts w:hint="default"/>
        <w:lang w:val="en-US" w:eastAsia="en-US" w:bidi="ar-SA"/>
      </w:rPr>
    </w:lvl>
    <w:lvl w:ilvl="5" w:tplc="E8FA8016">
      <w:numFmt w:val="bullet"/>
      <w:lvlText w:val="•"/>
      <w:lvlJc w:val="left"/>
      <w:pPr>
        <w:ind w:left="4327" w:hanging="360"/>
      </w:pPr>
      <w:rPr>
        <w:rFonts w:hint="default"/>
        <w:lang w:val="en-US" w:eastAsia="en-US" w:bidi="ar-SA"/>
      </w:rPr>
    </w:lvl>
    <w:lvl w:ilvl="6" w:tplc="538801C2">
      <w:numFmt w:val="bullet"/>
      <w:lvlText w:val="•"/>
      <w:lvlJc w:val="left"/>
      <w:pPr>
        <w:ind w:left="5390" w:hanging="360"/>
      </w:pPr>
      <w:rPr>
        <w:rFonts w:hint="default"/>
        <w:lang w:val="en-US" w:eastAsia="en-US" w:bidi="ar-SA"/>
      </w:rPr>
    </w:lvl>
    <w:lvl w:ilvl="7" w:tplc="AB50C48C">
      <w:numFmt w:val="bullet"/>
      <w:lvlText w:val="•"/>
      <w:lvlJc w:val="left"/>
      <w:pPr>
        <w:ind w:left="6452" w:hanging="360"/>
      </w:pPr>
      <w:rPr>
        <w:rFonts w:hint="default"/>
        <w:lang w:val="en-US" w:eastAsia="en-US" w:bidi="ar-SA"/>
      </w:rPr>
    </w:lvl>
    <w:lvl w:ilvl="8" w:tplc="E43C8456">
      <w:numFmt w:val="bullet"/>
      <w:lvlText w:val="•"/>
      <w:lvlJc w:val="left"/>
      <w:pPr>
        <w:ind w:left="7515" w:hanging="360"/>
      </w:pPr>
      <w:rPr>
        <w:rFonts w:hint="default"/>
        <w:lang w:val="en-US" w:eastAsia="en-US" w:bidi="ar-SA"/>
      </w:rPr>
    </w:lvl>
  </w:abstractNum>
  <w:abstractNum w:abstractNumId="22" w15:restartNumberingAfterBreak="0">
    <w:nsid w:val="70B35EEE"/>
    <w:multiLevelType w:val="hybridMultilevel"/>
    <w:tmpl w:val="41584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B23C1A"/>
    <w:multiLevelType w:val="hybridMultilevel"/>
    <w:tmpl w:val="CC462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712416"/>
    <w:multiLevelType w:val="hybridMultilevel"/>
    <w:tmpl w:val="A62C94A2"/>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FDC7B84"/>
    <w:multiLevelType w:val="hybridMultilevel"/>
    <w:tmpl w:val="7550E538"/>
    <w:lvl w:ilvl="0" w:tplc="3132AB68">
      <w:start w:val="1"/>
      <w:numFmt w:val="lowerLetter"/>
      <w:lvlText w:val="%1."/>
      <w:lvlJc w:val="left"/>
      <w:pPr>
        <w:ind w:left="1579" w:hanging="360"/>
      </w:pPr>
      <w:rPr>
        <w:rFonts w:ascii="Calibri" w:eastAsia="Calibri" w:hAnsi="Calibri" w:cs="Calibri" w:hint="default"/>
        <w:w w:val="100"/>
        <w:sz w:val="24"/>
        <w:szCs w:val="24"/>
        <w:lang w:val="en-US" w:eastAsia="en-US" w:bidi="ar-SA"/>
      </w:rPr>
    </w:lvl>
    <w:lvl w:ilvl="1" w:tplc="1ECE41FA">
      <w:numFmt w:val="bullet"/>
      <w:lvlText w:val="•"/>
      <w:lvlJc w:val="left"/>
      <w:pPr>
        <w:ind w:left="2386" w:hanging="360"/>
      </w:pPr>
      <w:rPr>
        <w:rFonts w:hint="default"/>
        <w:lang w:val="en-US" w:eastAsia="en-US" w:bidi="ar-SA"/>
      </w:rPr>
    </w:lvl>
    <w:lvl w:ilvl="2" w:tplc="A40CFECA">
      <w:numFmt w:val="bullet"/>
      <w:lvlText w:val="•"/>
      <w:lvlJc w:val="left"/>
      <w:pPr>
        <w:ind w:left="3192" w:hanging="360"/>
      </w:pPr>
      <w:rPr>
        <w:rFonts w:hint="default"/>
        <w:lang w:val="en-US" w:eastAsia="en-US" w:bidi="ar-SA"/>
      </w:rPr>
    </w:lvl>
    <w:lvl w:ilvl="3" w:tplc="12B893B0">
      <w:numFmt w:val="bullet"/>
      <w:lvlText w:val="•"/>
      <w:lvlJc w:val="left"/>
      <w:pPr>
        <w:ind w:left="3998" w:hanging="360"/>
      </w:pPr>
      <w:rPr>
        <w:rFonts w:hint="default"/>
        <w:lang w:val="en-US" w:eastAsia="en-US" w:bidi="ar-SA"/>
      </w:rPr>
    </w:lvl>
    <w:lvl w:ilvl="4" w:tplc="40C29D00">
      <w:numFmt w:val="bullet"/>
      <w:lvlText w:val="•"/>
      <w:lvlJc w:val="left"/>
      <w:pPr>
        <w:ind w:left="4804" w:hanging="360"/>
      </w:pPr>
      <w:rPr>
        <w:rFonts w:hint="default"/>
        <w:lang w:val="en-US" w:eastAsia="en-US" w:bidi="ar-SA"/>
      </w:rPr>
    </w:lvl>
    <w:lvl w:ilvl="5" w:tplc="A6BE38EE">
      <w:numFmt w:val="bullet"/>
      <w:lvlText w:val="•"/>
      <w:lvlJc w:val="left"/>
      <w:pPr>
        <w:ind w:left="5610" w:hanging="360"/>
      </w:pPr>
      <w:rPr>
        <w:rFonts w:hint="default"/>
        <w:lang w:val="en-US" w:eastAsia="en-US" w:bidi="ar-SA"/>
      </w:rPr>
    </w:lvl>
    <w:lvl w:ilvl="6" w:tplc="8C1223C6">
      <w:numFmt w:val="bullet"/>
      <w:lvlText w:val="•"/>
      <w:lvlJc w:val="left"/>
      <w:pPr>
        <w:ind w:left="6416" w:hanging="360"/>
      </w:pPr>
      <w:rPr>
        <w:rFonts w:hint="default"/>
        <w:lang w:val="en-US" w:eastAsia="en-US" w:bidi="ar-SA"/>
      </w:rPr>
    </w:lvl>
    <w:lvl w:ilvl="7" w:tplc="E0AA7414">
      <w:numFmt w:val="bullet"/>
      <w:lvlText w:val="•"/>
      <w:lvlJc w:val="left"/>
      <w:pPr>
        <w:ind w:left="7222" w:hanging="360"/>
      </w:pPr>
      <w:rPr>
        <w:rFonts w:hint="default"/>
        <w:lang w:val="en-US" w:eastAsia="en-US" w:bidi="ar-SA"/>
      </w:rPr>
    </w:lvl>
    <w:lvl w:ilvl="8" w:tplc="AC6408C4">
      <w:numFmt w:val="bullet"/>
      <w:lvlText w:val="•"/>
      <w:lvlJc w:val="left"/>
      <w:pPr>
        <w:ind w:left="8028" w:hanging="360"/>
      </w:pPr>
      <w:rPr>
        <w:rFonts w:hint="default"/>
        <w:lang w:val="en-US" w:eastAsia="en-US" w:bidi="ar-SA"/>
      </w:rPr>
    </w:lvl>
  </w:abstractNum>
  <w:num w:numId="1" w16cid:durableId="1968855267">
    <w:abstractNumId w:val="13"/>
  </w:num>
  <w:num w:numId="2" w16cid:durableId="1005667031">
    <w:abstractNumId w:val="23"/>
  </w:num>
  <w:num w:numId="3" w16cid:durableId="1059286313">
    <w:abstractNumId w:val="15"/>
  </w:num>
  <w:num w:numId="4" w16cid:durableId="392893652">
    <w:abstractNumId w:val="14"/>
  </w:num>
  <w:num w:numId="5" w16cid:durableId="1270743283">
    <w:abstractNumId w:val="26"/>
  </w:num>
  <w:num w:numId="6" w16cid:durableId="726077527">
    <w:abstractNumId w:val="0"/>
  </w:num>
  <w:num w:numId="7" w16cid:durableId="80951006">
    <w:abstractNumId w:val="1"/>
  </w:num>
  <w:num w:numId="8" w16cid:durableId="712341255">
    <w:abstractNumId w:val="21"/>
  </w:num>
  <w:num w:numId="9" w16cid:durableId="334263192">
    <w:abstractNumId w:val="20"/>
  </w:num>
  <w:num w:numId="10" w16cid:durableId="1321931414">
    <w:abstractNumId w:val="7"/>
  </w:num>
  <w:num w:numId="11" w16cid:durableId="819927582">
    <w:abstractNumId w:val="6"/>
  </w:num>
  <w:num w:numId="12" w16cid:durableId="1834222315">
    <w:abstractNumId w:val="11"/>
  </w:num>
  <w:num w:numId="13" w16cid:durableId="1727988286">
    <w:abstractNumId w:val="17"/>
  </w:num>
  <w:num w:numId="14" w16cid:durableId="338777892">
    <w:abstractNumId w:val="16"/>
  </w:num>
  <w:num w:numId="15" w16cid:durableId="537395629">
    <w:abstractNumId w:val="19"/>
  </w:num>
  <w:num w:numId="16" w16cid:durableId="1455634041">
    <w:abstractNumId w:val="22"/>
  </w:num>
  <w:num w:numId="17" w16cid:durableId="1685550335">
    <w:abstractNumId w:val="8"/>
  </w:num>
  <w:num w:numId="18" w16cid:durableId="266931805">
    <w:abstractNumId w:val="12"/>
  </w:num>
  <w:num w:numId="19" w16cid:durableId="1685086607">
    <w:abstractNumId w:val="24"/>
  </w:num>
  <w:num w:numId="20" w16cid:durableId="921258589">
    <w:abstractNumId w:val="18"/>
  </w:num>
  <w:num w:numId="21" w16cid:durableId="389814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1637841">
    <w:abstractNumId w:val="2"/>
  </w:num>
  <w:num w:numId="23" w16cid:durableId="9805735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90584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16817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2638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99050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69"/>
    <w:rsid w:val="000007DF"/>
    <w:rsid w:val="00000E77"/>
    <w:rsid w:val="00001C5E"/>
    <w:rsid w:val="00001EAE"/>
    <w:rsid w:val="000032E5"/>
    <w:rsid w:val="00003894"/>
    <w:rsid w:val="0000398B"/>
    <w:rsid w:val="000039B6"/>
    <w:rsid w:val="00004001"/>
    <w:rsid w:val="00004700"/>
    <w:rsid w:val="00004E61"/>
    <w:rsid w:val="000060A9"/>
    <w:rsid w:val="00006354"/>
    <w:rsid w:val="00010158"/>
    <w:rsid w:val="00011778"/>
    <w:rsid w:val="0001214A"/>
    <w:rsid w:val="000123EB"/>
    <w:rsid w:val="0001275E"/>
    <w:rsid w:val="00012CFF"/>
    <w:rsid w:val="00012EB2"/>
    <w:rsid w:val="00012FE7"/>
    <w:rsid w:val="00013004"/>
    <w:rsid w:val="00013420"/>
    <w:rsid w:val="000135C2"/>
    <w:rsid w:val="00013989"/>
    <w:rsid w:val="00014550"/>
    <w:rsid w:val="00014552"/>
    <w:rsid w:val="0001550D"/>
    <w:rsid w:val="00015D55"/>
    <w:rsid w:val="0001621B"/>
    <w:rsid w:val="0001707D"/>
    <w:rsid w:val="00017826"/>
    <w:rsid w:val="00017FA6"/>
    <w:rsid w:val="000209D6"/>
    <w:rsid w:val="00020C35"/>
    <w:rsid w:val="0002166F"/>
    <w:rsid w:val="000221B3"/>
    <w:rsid w:val="00023642"/>
    <w:rsid w:val="00023E62"/>
    <w:rsid w:val="0002435E"/>
    <w:rsid w:val="00024979"/>
    <w:rsid w:val="000251C4"/>
    <w:rsid w:val="000256D1"/>
    <w:rsid w:val="00025D8D"/>
    <w:rsid w:val="00026ADD"/>
    <w:rsid w:val="000275DF"/>
    <w:rsid w:val="00027886"/>
    <w:rsid w:val="00027F39"/>
    <w:rsid w:val="00030B45"/>
    <w:rsid w:val="00030F20"/>
    <w:rsid w:val="00031560"/>
    <w:rsid w:val="00031C3A"/>
    <w:rsid w:val="00031E3A"/>
    <w:rsid w:val="00032548"/>
    <w:rsid w:val="00032DB1"/>
    <w:rsid w:val="00033474"/>
    <w:rsid w:val="0003461E"/>
    <w:rsid w:val="00035814"/>
    <w:rsid w:val="000360A5"/>
    <w:rsid w:val="00036DB6"/>
    <w:rsid w:val="00037032"/>
    <w:rsid w:val="000378F3"/>
    <w:rsid w:val="000379CD"/>
    <w:rsid w:val="000379F6"/>
    <w:rsid w:val="000406CD"/>
    <w:rsid w:val="00041E27"/>
    <w:rsid w:val="000420BE"/>
    <w:rsid w:val="000423B5"/>
    <w:rsid w:val="00042EBF"/>
    <w:rsid w:val="00043341"/>
    <w:rsid w:val="0004359A"/>
    <w:rsid w:val="000437FD"/>
    <w:rsid w:val="0004398A"/>
    <w:rsid w:val="0004467F"/>
    <w:rsid w:val="00044700"/>
    <w:rsid w:val="00044748"/>
    <w:rsid w:val="00044883"/>
    <w:rsid w:val="000477FF"/>
    <w:rsid w:val="00047BB6"/>
    <w:rsid w:val="00047DA0"/>
    <w:rsid w:val="0005031F"/>
    <w:rsid w:val="000533D7"/>
    <w:rsid w:val="00053A33"/>
    <w:rsid w:val="0005400A"/>
    <w:rsid w:val="00054582"/>
    <w:rsid w:val="000545D2"/>
    <w:rsid w:val="00054A60"/>
    <w:rsid w:val="00054FA8"/>
    <w:rsid w:val="00055FC7"/>
    <w:rsid w:val="000564AC"/>
    <w:rsid w:val="00061896"/>
    <w:rsid w:val="000618B4"/>
    <w:rsid w:val="00061AB2"/>
    <w:rsid w:val="00061F73"/>
    <w:rsid w:val="00063CB9"/>
    <w:rsid w:val="00064809"/>
    <w:rsid w:val="00064AB6"/>
    <w:rsid w:val="00064BA4"/>
    <w:rsid w:val="00067883"/>
    <w:rsid w:val="00067C04"/>
    <w:rsid w:val="00067F9F"/>
    <w:rsid w:val="000709B9"/>
    <w:rsid w:val="00072B99"/>
    <w:rsid w:val="00072FEE"/>
    <w:rsid w:val="00073047"/>
    <w:rsid w:val="000739DE"/>
    <w:rsid w:val="00074237"/>
    <w:rsid w:val="000743D6"/>
    <w:rsid w:val="00075324"/>
    <w:rsid w:val="0007732B"/>
    <w:rsid w:val="000802F7"/>
    <w:rsid w:val="000806CC"/>
    <w:rsid w:val="00080D36"/>
    <w:rsid w:val="00080EBD"/>
    <w:rsid w:val="0008147F"/>
    <w:rsid w:val="00082236"/>
    <w:rsid w:val="00082667"/>
    <w:rsid w:val="000829BF"/>
    <w:rsid w:val="00082CFF"/>
    <w:rsid w:val="0008392B"/>
    <w:rsid w:val="00083FA7"/>
    <w:rsid w:val="0008402E"/>
    <w:rsid w:val="000847AD"/>
    <w:rsid w:val="00086F70"/>
    <w:rsid w:val="000901CC"/>
    <w:rsid w:val="00091E9A"/>
    <w:rsid w:val="000922BF"/>
    <w:rsid w:val="000923A7"/>
    <w:rsid w:val="00092E0A"/>
    <w:rsid w:val="0009453E"/>
    <w:rsid w:val="00094681"/>
    <w:rsid w:val="00094EAD"/>
    <w:rsid w:val="00095A95"/>
    <w:rsid w:val="000964F0"/>
    <w:rsid w:val="00097942"/>
    <w:rsid w:val="000A1594"/>
    <w:rsid w:val="000A170A"/>
    <w:rsid w:val="000A202B"/>
    <w:rsid w:val="000A2477"/>
    <w:rsid w:val="000A2C40"/>
    <w:rsid w:val="000A2E95"/>
    <w:rsid w:val="000A364E"/>
    <w:rsid w:val="000A495D"/>
    <w:rsid w:val="000A4CDC"/>
    <w:rsid w:val="000A4FD8"/>
    <w:rsid w:val="000A62BB"/>
    <w:rsid w:val="000A6CA4"/>
    <w:rsid w:val="000A7001"/>
    <w:rsid w:val="000A70DC"/>
    <w:rsid w:val="000A730B"/>
    <w:rsid w:val="000B050E"/>
    <w:rsid w:val="000B10B1"/>
    <w:rsid w:val="000B1C67"/>
    <w:rsid w:val="000B2A1C"/>
    <w:rsid w:val="000B2C26"/>
    <w:rsid w:val="000B3A11"/>
    <w:rsid w:val="000B3B4A"/>
    <w:rsid w:val="000B4AE7"/>
    <w:rsid w:val="000B4BBE"/>
    <w:rsid w:val="000B4FD4"/>
    <w:rsid w:val="000B7462"/>
    <w:rsid w:val="000C0069"/>
    <w:rsid w:val="000C1C56"/>
    <w:rsid w:val="000C2AED"/>
    <w:rsid w:val="000C3421"/>
    <w:rsid w:val="000C57BE"/>
    <w:rsid w:val="000C5918"/>
    <w:rsid w:val="000C5A7A"/>
    <w:rsid w:val="000C6015"/>
    <w:rsid w:val="000C6763"/>
    <w:rsid w:val="000C688B"/>
    <w:rsid w:val="000C6B64"/>
    <w:rsid w:val="000C7481"/>
    <w:rsid w:val="000D0117"/>
    <w:rsid w:val="000D1580"/>
    <w:rsid w:val="000D2FB8"/>
    <w:rsid w:val="000D37FC"/>
    <w:rsid w:val="000D4623"/>
    <w:rsid w:val="000D4947"/>
    <w:rsid w:val="000D4C8D"/>
    <w:rsid w:val="000D5753"/>
    <w:rsid w:val="000D69E5"/>
    <w:rsid w:val="000D6C5B"/>
    <w:rsid w:val="000D6EC4"/>
    <w:rsid w:val="000D7858"/>
    <w:rsid w:val="000D7F9F"/>
    <w:rsid w:val="000E0A7D"/>
    <w:rsid w:val="000E0D1F"/>
    <w:rsid w:val="000E1C83"/>
    <w:rsid w:val="000E206D"/>
    <w:rsid w:val="000E2C3E"/>
    <w:rsid w:val="000E30A8"/>
    <w:rsid w:val="000E3445"/>
    <w:rsid w:val="000E43BF"/>
    <w:rsid w:val="000E4B47"/>
    <w:rsid w:val="000E4B9A"/>
    <w:rsid w:val="000E54B5"/>
    <w:rsid w:val="000E56FA"/>
    <w:rsid w:val="000E5D05"/>
    <w:rsid w:val="000E5FA8"/>
    <w:rsid w:val="000E62E5"/>
    <w:rsid w:val="000E7688"/>
    <w:rsid w:val="000F0525"/>
    <w:rsid w:val="000F1686"/>
    <w:rsid w:val="000F1858"/>
    <w:rsid w:val="000F19D5"/>
    <w:rsid w:val="000F1FED"/>
    <w:rsid w:val="000F27DB"/>
    <w:rsid w:val="000F3CCC"/>
    <w:rsid w:val="000F435D"/>
    <w:rsid w:val="000F4F37"/>
    <w:rsid w:val="000F4FB0"/>
    <w:rsid w:val="000F5814"/>
    <w:rsid w:val="000F66B8"/>
    <w:rsid w:val="000F670E"/>
    <w:rsid w:val="000F68E8"/>
    <w:rsid w:val="000F7399"/>
    <w:rsid w:val="000F7CF3"/>
    <w:rsid w:val="000F7D53"/>
    <w:rsid w:val="001010F3"/>
    <w:rsid w:val="0010168C"/>
    <w:rsid w:val="00101CA5"/>
    <w:rsid w:val="00102695"/>
    <w:rsid w:val="00102C3C"/>
    <w:rsid w:val="00102F04"/>
    <w:rsid w:val="00103CD3"/>
    <w:rsid w:val="00104B17"/>
    <w:rsid w:val="00104E0D"/>
    <w:rsid w:val="0010504E"/>
    <w:rsid w:val="0010510A"/>
    <w:rsid w:val="00105DC4"/>
    <w:rsid w:val="001061C0"/>
    <w:rsid w:val="00106D71"/>
    <w:rsid w:val="0010731D"/>
    <w:rsid w:val="00107406"/>
    <w:rsid w:val="00107600"/>
    <w:rsid w:val="00110F51"/>
    <w:rsid w:val="0011113F"/>
    <w:rsid w:val="00111B71"/>
    <w:rsid w:val="00112DDC"/>
    <w:rsid w:val="00112F4D"/>
    <w:rsid w:val="00113CE9"/>
    <w:rsid w:val="00113E1E"/>
    <w:rsid w:val="00114A6C"/>
    <w:rsid w:val="00115277"/>
    <w:rsid w:val="001156D2"/>
    <w:rsid w:val="00115CDA"/>
    <w:rsid w:val="00116D0B"/>
    <w:rsid w:val="00116D8B"/>
    <w:rsid w:val="00117490"/>
    <w:rsid w:val="00117696"/>
    <w:rsid w:val="00117952"/>
    <w:rsid w:val="001207EF"/>
    <w:rsid w:val="00120AE3"/>
    <w:rsid w:val="0012230D"/>
    <w:rsid w:val="001225CB"/>
    <w:rsid w:val="00124054"/>
    <w:rsid w:val="0012497F"/>
    <w:rsid w:val="00124DB5"/>
    <w:rsid w:val="00124E6A"/>
    <w:rsid w:val="00124ED5"/>
    <w:rsid w:val="00126853"/>
    <w:rsid w:val="00126FF9"/>
    <w:rsid w:val="001270B8"/>
    <w:rsid w:val="001273C6"/>
    <w:rsid w:val="00130AE9"/>
    <w:rsid w:val="00131E2C"/>
    <w:rsid w:val="00132EE9"/>
    <w:rsid w:val="00133698"/>
    <w:rsid w:val="00134C0C"/>
    <w:rsid w:val="00135576"/>
    <w:rsid w:val="00135C7A"/>
    <w:rsid w:val="00136BE2"/>
    <w:rsid w:val="0014028E"/>
    <w:rsid w:val="00140A8A"/>
    <w:rsid w:val="00141A33"/>
    <w:rsid w:val="00142117"/>
    <w:rsid w:val="00142347"/>
    <w:rsid w:val="0014261C"/>
    <w:rsid w:val="001430AA"/>
    <w:rsid w:val="0014399E"/>
    <w:rsid w:val="001445CE"/>
    <w:rsid w:val="00144EB2"/>
    <w:rsid w:val="00145F88"/>
    <w:rsid w:val="00146B79"/>
    <w:rsid w:val="00146FBA"/>
    <w:rsid w:val="00150B3B"/>
    <w:rsid w:val="00151612"/>
    <w:rsid w:val="00151989"/>
    <w:rsid w:val="00151F97"/>
    <w:rsid w:val="00153A6F"/>
    <w:rsid w:val="00153F2D"/>
    <w:rsid w:val="001542AE"/>
    <w:rsid w:val="00156264"/>
    <w:rsid w:val="0015671D"/>
    <w:rsid w:val="00156BF7"/>
    <w:rsid w:val="00157066"/>
    <w:rsid w:val="001600D9"/>
    <w:rsid w:val="001604F3"/>
    <w:rsid w:val="00160856"/>
    <w:rsid w:val="00161169"/>
    <w:rsid w:val="001634E7"/>
    <w:rsid w:val="0016375D"/>
    <w:rsid w:val="001638EB"/>
    <w:rsid w:val="00163BEE"/>
    <w:rsid w:val="00164B78"/>
    <w:rsid w:val="00164FFE"/>
    <w:rsid w:val="00165225"/>
    <w:rsid w:val="00165467"/>
    <w:rsid w:val="00167930"/>
    <w:rsid w:val="00170A9A"/>
    <w:rsid w:val="001721C0"/>
    <w:rsid w:val="00172F58"/>
    <w:rsid w:val="00172FC0"/>
    <w:rsid w:val="001744F9"/>
    <w:rsid w:val="00174585"/>
    <w:rsid w:val="00174B9B"/>
    <w:rsid w:val="00174E1C"/>
    <w:rsid w:val="00175DE4"/>
    <w:rsid w:val="00176006"/>
    <w:rsid w:val="001763FB"/>
    <w:rsid w:val="0017668C"/>
    <w:rsid w:val="00177098"/>
    <w:rsid w:val="00177EC7"/>
    <w:rsid w:val="001806EA"/>
    <w:rsid w:val="0018087A"/>
    <w:rsid w:val="00181DEB"/>
    <w:rsid w:val="0018238E"/>
    <w:rsid w:val="001829C9"/>
    <w:rsid w:val="00183E9B"/>
    <w:rsid w:val="0018469E"/>
    <w:rsid w:val="00186420"/>
    <w:rsid w:val="001866DE"/>
    <w:rsid w:val="001907A4"/>
    <w:rsid w:val="00190B59"/>
    <w:rsid w:val="0019105A"/>
    <w:rsid w:val="00191350"/>
    <w:rsid w:val="0019150B"/>
    <w:rsid w:val="0019260C"/>
    <w:rsid w:val="00193E59"/>
    <w:rsid w:val="00195F78"/>
    <w:rsid w:val="001963DE"/>
    <w:rsid w:val="00197A4F"/>
    <w:rsid w:val="001A0637"/>
    <w:rsid w:val="001A0793"/>
    <w:rsid w:val="001A171A"/>
    <w:rsid w:val="001A192D"/>
    <w:rsid w:val="001A1DC6"/>
    <w:rsid w:val="001A2ACC"/>
    <w:rsid w:val="001A342F"/>
    <w:rsid w:val="001A3539"/>
    <w:rsid w:val="001A4B29"/>
    <w:rsid w:val="001A4B9B"/>
    <w:rsid w:val="001A5652"/>
    <w:rsid w:val="001A582D"/>
    <w:rsid w:val="001A5EBA"/>
    <w:rsid w:val="001A6E55"/>
    <w:rsid w:val="001B0473"/>
    <w:rsid w:val="001B1139"/>
    <w:rsid w:val="001B12D3"/>
    <w:rsid w:val="001B1B38"/>
    <w:rsid w:val="001B2224"/>
    <w:rsid w:val="001B45DD"/>
    <w:rsid w:val="001B4677"/>
    <w:rsid w:val="001B6595"/>
    <w:rsid w:val="001B6A5C"/>
    <w:rsid w:val="001B6A8C"/>
    <w:rsid w:val="001B6F43"/>
    <w:rsid w:val="001B6FC2"/>
    <w:rsid w:val="001B7654"/>
    <w:rsid w:val="001C006B"/>
    <w:rsid w:val="001C03C3"/>
    <w:rsid w:val="001C05DB"/>
    <w:rsid w:val="001C0D43"/>
    <w:rsid w:val="001C2162"/>
    <w:rsid w:val="001C22E3"/>
    <w:rsid w:val="001C23B6"/>
    <w:rsid w:val="001C2BF0"/>
    <w:rsid w:val="001C2C90"/>
    <w:rsid w:val="001C3D0E"/>
    <w:rsid w:val="001C4405"/>
    <w:rsid w:val="001C46CD"/>
    <w:rsid w:val="001C5219"/>
    <w:rsid w:val="001C53AA"/>
    <w:rsid w:val="001C5417"/>
    <w:rsid w:val="001C56E8"/>
    <w:rsid w:val="001C6627"/>
    <w:rsid w:val="001C7E55"/>
    <w:rsid w:val="001D144F"/>
    <w:rsid w:val="001D1A20"/>
    <w:rsid w:val="001D21D9"/>
    <w:rsid w:val="001D2E9B"/>
    <w:rsid w:val="001D44F7"/>
    <w:rsid w:val="001D4777"/>
    <w:rsid w:val="001D51D9"/>
    <w:rsid w:val="001D5656"/>
    <w:rsid w:val="001D5F4A"/>
    <w:rsid w:val="001D6BA5"/>
    <w:rsid w:val="001D6E02"/>
    <w:rsid w:val="001D7011"/>
    <w:rsid w:val="001D71B6"/>
    <w:rsid w:val="001D7755"/>
    <w:rsid w:val="001D7F3B"/>
    <w:rsid w:val="001E141D"/>
    <w:rsid w:val="001E22C1"/>
    <w:rsid w:val="001E2AFB"/>
    <w:rsid w:val="001E2E5A"/>
    <w:rsid w:val="001E39E3"/>
    <w:rsid w:val="001E3FEA"/>
    <w:rsid w:val="001E4908"/>
    <w:rsid w:val="001E51FC"/>
    <w:rsid w:val="001E56F4"/>
    <w:rsid w:val="001E5B13"/>
    <w:rsid w:val="001E5CEA"/>
    <w:rsid w:val="001F1285"/>
    <w:rsid w:val="001F1489"/>
    <w:rsid w:val="001F1921"/>
    <w:rsid w:val="001F1E6E"/>
    <w:rsid w:val="001F2876"/>
    <w:rsid w:val="001F32F8"/>
    <w:rsid w:val="001F3A65"/>
    <w:rsid w:val="001F3FD2"/>
    <w:rsid w:val="001F4C9D"/>
    <w:rsid w:val="001F545F"/>
    <w:rsid w:val="001F5E3B"/>
    <w:rsid w:val="001F6B80"/>
    <w:rsid w:val="001F76D7"/>
    <w:rsid w:val="001F7A3C"/>
    <w:rsid w:val="00201DDB"/>
    <w:rsid w:val="00202113"/>
    <w:rsid w:val="00202778"/>
    <w:rsid w:val="00202A6D"/>
    <w:rsid w:val="00202E5C"/>
    <w:rsid w:val="00202F95"/>
    <w:rsid w:val="002044A7"/>
    <w:rsid w:val="00204735"/>
    <w:rsid w:val="00205039"/>
    <w:rsid w:val="00205168"/>
    <w:rsid w:val="00205239"/>
    <w:rsid w:val="00205324"/>
    <w:rsid w:val="0020548E"/>
    <w:rsid w:val="00205595"/>
    <w:rsid w:val="00205E6B"/>
    <w:rsid w:val="002060DB"/>
    <w:rsid w:val="0020799B"/>
    <w:rsid w:val="002107AA"/>
    <w:rsid w:val="00210D18"/>
    <w:rsid w:val="00211DCE"/>
    <w:rsid w:val="00212A97"/>
    <w:rsid w:val="00214AB0"/>
    <w:rsid w:val="0021508C"/>
    <w:rsid w:val="0021530B"/>
    <w:rsid w:val="00215A38"/>
    <w:rsid w:val="00215E6A"/>
    <w:rsid w:val="002163B7"/>
    <w:rsid w:val="002163F2"/>
    <w:rsid w:val="00217F33"/>
    <w:rsid w:val="00220217"/>
    <w:rsid w:val="00220285"/>
    <w:rsid w:val="00220B32"/>
    <w:rsid w:val="00220DE8"/>
    <w:rsid w:val="002210FB"/>
    <w:rsid w:val="0022161C"/>
    <w:rsid w:val="002223BB"/>
    <w:rsid w:val="00222B7B"/>
    <w:rsid w:val="00223A72"/>
    <w:rsid w:val="00224107"/>
    <w:rsid w:val="002242B8"/>
    <w:rsid w:val="00224D8B"/>
    <w:rsid w:val="00225C04"/>
    <w:rsid w:val="00227B50"/>
    <w:rsid w:val="00230E4A"/>
    <w:rsid w:val="00231199"/>
    <w:rsid w:val="002318C5"/>
    <w:rsid w:val="00233230"/>
    <w:rsid w:val="002332D6"/>
    <w:rsid w:val="00234503"/>
    <w:rsid w:val="00234750"/>
    <w:rsid w:val="0023661C"/>
    <w:rsid w:val="002374DE"/>
    <w:rsid w:val="0024014D"/>
    <w:rsid w:val="002404F9"/>
    <w:rsid w:val="00241D4B"/>
    <w:rsid w:val="00242B5A"/>
    <w:rsid w:val="002431E5"/>
    <w:rsid w:val="00243455"/>
    <w:rsid w:val="0024349D"/>
    <w:rsid w:val="0024351A"/>
    <w:rsid w:val="00243800"/>
    <w:rsid w:val="00243C7D"/>
    <w:rsid w:val="00244BFC"/>
    <w:rsid w:val="00244FA8"/>
    <w:rsid w:val="002451A6"/>
    <w:rsid w:val="002451DC"/>
    <w:rsid w:val="00245835"/>
    <w:rsid w:val="002458C0"/>
    <w:rsid w:val="00245D5D"/>
    <w:rsid w:val="002465B8"/>
    <w:rsid w:val="00246915"/>
    <w:rsid w:val="00246A4E"/>
    <w:rsid w:val="002477AC"/>
    <w:rsid w:val="00250728"/>
    <w:rsid w:val="002507BC"/>
    <w:rsid w:val="00250A97"/>
    <w:rsid w:val="00251098"/>
    <w:rsid w:val="002518F2"/>
    <w:rsid w:val="0025243E"/>
    <w:rsid w:val="0025260D"/>
    <w:rsid w:val="002534F0"/>
    <w:rsid w:val="00253AFB"/>
    <w:rsid w:val="00253D4F"/>
    <w:rsid w:val="0025401C"/>
    <w:rsid w:val="00254A25"/>
    <w:rsid w:val="00254CCC"/>
    <w:rsid w:val="0025687D"/>
    <w:rsid w:val="00256998"/>
    <w:rsid w:val="002606CC"/>
    <w:rsid w:val="00260DBA"/>
    <w:rsid w:val="00260ED7"/>
    <w:rsid w:val="00261010"/>
    <w:rsid w:val="0026103E"/>
    <w:rsid w:val="00261D41"/>
    <w:rsid w:val="002639F2"/>
    <w:rsid w:val="00263BBD"/>
    <w:rsid w:val="00263DD7"/>
    <w:rsid w:val="00264607"/>
    <w:rsid w:val="00264AC4"/>
    <w:rsid w:val="00264D70"/>
    <w:rsid w:val="002651D2"/>
    <w:rsid w:val="0026532B"/>
    <w:rsid w:val="00265DF6"/>
    <w:rsid w:val="002667EA"/>
    <w:rsid w:val="0026684D"/>
    <w:rsid w:val="00267199"/>
    <w:rsid w:val="0026766C"/>
    <w:rsid w:val="002679EA"/>
    <w:rsid w:val="002707BD"/>
    <w:rsid w:val="00270952"/>
    <w:rsid w:val="00270F92"/>
    <w:rsid w:val="00271DCF"/>
    <w:rsid w:val="00271E37"/>
    <w:rsid w:val="0027224D"/>
    <w:rsid w:val="002733A2"/>
    <w:rsid w:val="00274768"/>
    <w:rsid w:val="002756A3"/>
    <w:rsid w:val="002760A3"/>
    <w:rsid w:val="002760BD"/>
    <w:rsid w:val="002764FB"/>
    <w:rsid w:val="002768DB"/>
    <w:rsid w:val="002772F4"/>
    <w:rsid w:val="002775D1"/>
    <w:rsid w:val="00277C0C"/>
    <w:rsid w:val="00280BE5"/>
    <w:rsid w:val="00280C06"/>
    <w:rsid w:val="0028126A"/>
    <w:rsid w:val="002813C2"/>
    <w:rsid w:val="0028232F"/>
    <w:rsid w:val="00282650"/>
    <w:rsid w:val="00282855"/>
    <w:rsid w:val="00283035"/>
    <w:rsid w:val="002838F3"/>
    <w:rsid w:val="00283A6E"/>
    <w:rsid w:val="00283E11"/>
    <w:rsid w:val="00283E7C"/>
    <w:rsid w:val="002841F0"/>
    <w:rsid w:val="0028570E"/>
    <w:rsid w:val="00286019"/>
    <w:rsid w:val="00286847"/>
    <w:rsid w:val="00286999"/>
    <w:rsid w:val="00287B52"/>
    <w:rsid w:val="002908CD"/>
    <w:rsid w:val="00290C16"/>
    <w:rsid w:val="0029150F"/>
    <w:rsid w:val="00291D97"/>
    <w:rsid w:val="00291EA9"/>
    <w:rsid w:val="00292265"/>
    <w:rsid w:val="002931EC"/>
    <w:rsid w:val="0029367B"/>
    <w:rsid w:val="00293B59"/>
    <w:rsid w:val="00293C02"/>
    <w:rsid w:val="002959B0"/>
    <w:rsid w:val="00296604"/>
    <w:rsid w:val="00296A63"/>
    <w:rsid w:val="00296EF8"/>
    <w:rsid w:val="0029729C"/>
    <w:rsid w:val="002974C4"/>
    <w:rsid w:val="00297710"/>
    <w:rsid w:val="00297898"/>
    <w:rsid w:val="00297B2C"/>
    <w:rsid w:val="002A0406"/>
    <w:rsid w:val="002A0900"/>
    <w:rsid w:val="002A1328"/>
    <w:rsid w:val="002A1E9E"/>
    <w:rsid w:val="002A1EAC"/>
    <w:rsid w:val="002A2503"/>
    <w:rsid w:val="002A2966"/>
    <w:rsid w:val="002A2A1B"/>
    <w:rsid w:val="002A2DE2"/>
    <w:rsid w:val="002A43F7"/>
    <w:rsid w:val="002A476C"/>
    <w:rsid w:val="002A5A85"/>
    <w:rsid w:val="002A5ACF"/>
    <w:rsid w:val="002A5C3B"/>
    <w:rsid w:val="002A5E4E"/>
    <w:rsid w:val="002A6555"/>
    <w:rsid w:val="002A6E26"/>
    <w:rsid w:val="002A723A"/>
    <w:rsid w:val="002A743C"/>
    <w:rsid w:val="002A7E5B"/>
    <w:rsid w:val="002B0B00"/>
    <w:rsid w:val="002B14DF"/>
    <w:rsid w:val="002B15AD"/>
    <w:rsid w:val="002B2055"/>
    <w:rsid w:val="002B3EAE"/>
    <w:rsid w:val="002B4034"/>
    <w:rsid w:val="002B49BF"/>
    <w:rsid w:val="002B5631"/>
    <w:rsid w:val="002B5671"/>
    <w:rsid w:val="002B5F4B"/>
    <w:rsid w:val="002B6555"/>
    <w:rsid w:val="002B659C"/>
    <w:rsid w:val="002B68F9"/>
    <w:rsid w:val="002C02F9"/>
    <w:rsid w:val="002C0EEE"/>
    <w:rsid w:val="002C11D6"/>
    <w:rsid w:val="002C179A"/>
    <w:rsid w:val="002C32D7"/>
    <w:rsid w:val="002C3413"/>
    <w:rsid w:val="002C537D"/>
    <w:rsid w:val="002C56B1"/>
    <w:rsid w:val="002C5994"/>
    <w:rsid w:val="002C5BEF"/>
    <w:rsid w:val="002C68A2"/>
    <w:rsid w:val="002C72EA"/>
    <w:rsid w:val="002D0123"/>
    <w:rsid w:val="002D0922"/>
    <w:rsid w:val="002D491B"/>
    <w:rsid w:val="002D4D55"/>
    <w:rsid w:val="002D5A91"/>
    <w:rsid w:val="002D6723"/>
    <w:rsid w:val="002D6889"/>
    <w:rsid w:val="002D71EA"/>
    <w:rsid w:val="002D7557"/>
    <w:rsid w:val="002D7A24"/>
    <w:rsid w:val="002D7B2A"/>
    <w:rsid w:val="002D7C09"/>
    <w:rsid w:val="002E00D1"/>
    <w:rsid w:val="002E0DD9"/>
    <w:rsid w:val="002E11D8"/>
    <w:rsid w:val="002E1451"/>
    <w:rsid w:val="002E1B30"/>
    <w:rsid w:val="002E1E81"/>
    <w:rsid w:val="002E26E0"/>
    <w:rsid w:val="002E2B1F"/>
    <w:rsid w:val="002E346C"/>
    <w:rsid w:val="002E4104"/>
    <w:rsid w:val="002E456C"/>
    <w:rsid w:val="002E4FF3"/>
    <w:rsid w:val="002E5124"/>
    <w:rsid w:val="002E5136"/>
    <w:rsid w:val="002E52E1"/>
    <w:rsid w:val="002E64AF"/>
    <w:rsid w:val="002F0129"/>
    <w:rsid w:val="002F088C"/>
    <w:rsid w:val="002F0F0E"/>
    <w:rsid w:val="002F1A9A"/>
    <w:rsid w:val="002F1DE2"/>
    <w:rsid w:val="002F2336"/>
    <w:rsid w:val="002F26D8"/>
    <w:rsid w:val="002F27B8"/>
    <w:rsid w:val="002F48B9"/>
    <w:rsid w:val="002F5568"/>
    <w:rsid w:val="002F5A9E"/>
    <w:rsid w:val="002F5F54"/>
    <w:rsid w:val="002F672B"/>
    <w:rsid w:val="002F7D07"/>
    <w:rsid w:val="00300258"/>
    <w:rsid w:val="0030068A"/>
    <w:rsid w:val="00300CF4"/>
    <w:rsid w:val="00301085"/>
    <w:rsid w:val="00301362"/>
    <w:rsid w:val="003013C1"/>
    <w:rsid w:val="003020A9"/>
    <w:rsid w:val="00302CA6"/>
    <w:rsid w:val="003043F2"/>
    <w:rsid w:val="00304471"/>
    <w:rsid w:val="00305E79"/>
    <w:rsid w:val="00306032"/>
    <w:rsid w:val="0030619F"/>
    <w:rsid w:val="0030668A"/>
    <w:rsid w:val="003066D7"/>
    <w:rsid w:val="00306A86"/>
    <w:rsid w:val="003077CF"/>
    <w:rsid w:val="0031099B"/>
    <w:rsid w:val="00310D4A"/>
    <w:rsid w:val="003112BE"/>
    <w:rsid w:val="00312B97"/>
    <w:rsid w:val="00312C1A"/>
    <w:rsid w:val="00312EB5"/>
    <w:rsid w:val="003136FD"/>
    <w:rsid w:val="00315173"/>
    <w:rsid w:val="0031546B"/>
    <w:rsid w:val="00315747"/>
    <w:rsid w:val="00317888"/>
    <w:rsid w:val="00320806"/>
    <w:rsid w:val="00321497"/>
    <w:rsid w:val="00321982"/>
    <w:rsid w:val="00321B65"/>
    <w:rsid w:val="00321D4A"/>
    <w:rsid w:val="00322EB5"/>
    <w:rsid w:val="00323065"/>
    <w:rsid w:val="00323BDD"/>
    <w:rsid w:val="00324430"/>
    <w:rsid w:val="00325F62"/>
    <w:rsid w:val="00326698"/>
    <w:rsid w:val="00327D53"/>
    <w:rsid w:val="00330231"/>
    <w:rsid w:val="00331137"/>
    <w:rsid w:val="00332054"/>
    <w:rsid w:val="003321D1"/>
    <w:rsid w:val="00332397"/>
    <w:rsid w:val="00332E23"/>
    <w:rsid w:val="00333435"/>
    <w:rsid w:val="00334953"/>
    <w:rsid w:val="00335139"/>
    <w:rsid w:val="00337015"/>
    <w:rsid w:val="00340115"/>
    <w:rsid w:val="00340484"/>
    <w:rsid w:val="0034074E"/>
    <w:rsid w:val="0034085B"/>
    <w:rsid w:val="00341650"/>
    <w:rsid w:val="0034198B"/>
    <w:rsid w:val="00342627"/>
    <w:rsid w:val="003427CD"/>
    <w:rsid w:val="00342BF9"/>
    <w:rsid w:val="00343A3C"/>
    <w:rsid w:val="00343E21"/>
    <w:rsid w:val="00343E32"/>
    <w:rsid w:val="003445A2"/>
    <w:rsid w:val="003447DC"/>
    <w:rsid w:val="00345385"/>
    <w:rsid w:val="00345912"/>
    <w:rsid w:val="00345EDF"/>
    <w:rsid w:val="003461DB"/>
    <w:rsid w:val="00346D66"/>
    <w:rsid w:val="00347516"/>
    <w:rsid w:val="00347F04"/>
    <w:rsid w:val="00350525"/>
    <w:rsid w:val="003508B2"/>
    <w:rsid w:val="0035126E"/>
    <w:rsid w:val="0035249E"/>
    <w:rsid w:val="00352769"/>
    <w:rsid w:val="00352E0A"/>
    <w:rsid w:val="00352E68"/>
    <w:rsid w:val="003546A3"/>
    <w:rsid w:val="0035538B"/>
    <w:rsid w:val="00355E23"/>
    <w:rsid w:val="003567DA"/>
    <w:rsid w:val="003569A0"/>
    <w:rsid w:val="00361678"/>
    <w:rsid w:val="00361F62"/>
    <w:rsid w:val="00362018"/>
    <w:rsid w:val="00362834"/>
    <w:rsid w:val="0036311E"/>
    <w:rsid w:val="00363327"/>
    <w:rsid w:val="0036392C"/>
    <w:rsid w:val="00363AAB"/>
    <w:rsid w:val="00365CE4"/>
    <w:rsid w:val="00366764"/>
    <w:rsid w:val="00367835"/>
    <w:rsid w:val="00370225"/>
    <w:rsid w:val="00370888"/>
    <w:rsid w:val="00370A28"/>
    <w:rsid w:val="0037116A"/>
    <w:rsid w:val="003712B9"/>
    <w:rsid w:val="0037212A"/>
    <w:rsid w:val="0037347F"/>
    <w:rsid w:val="003739C5"/>
    <w:rsid w:val="00373CF8"/>
    <w:rsid w:val="00374399"/>
    <w:rsid w:val="003745FE"/>
    <w:rsid w:val="003747D0"/>
    <w:rsid w:val="00375DCE"/>
    <w:rsid w:val="00376282"/>
    <w:rsid w:val="00376AC6"/>
    <w:rsid w:val="003776AA"/>
    <w:rsid w:val="00377D5E"/>
    <w:rsid w:val="0038029B"/>
    <w:rsid w:val="003809AF"/>
    <w:rsid w:val="0038191F"/>
    <w:rsid w:val="003819CC"/>
    <w:rsid w:val="00382E34"/>
    <w:rsid w:val="00384541"/>
    <w:rsid w:val="00384D9E"/>
    <w:rsid w:val="00384DA6"/>
    <w:rsid w:val="00386F10"/>
    <w:rsid w:val="00390CF9"/>
    <w:rsid w:val="003910BA"/>
    <w:rsid w:val="00391198"/>
    <w:rsid w:val="0039177A"/>
    <w:rsid w:val="00391C58"/>
    <w:rsid w:val="00391C9B"/>
    <w:rsid w:val="003923EF"/>
    <w:rsid w:val="00392D78"/>
    <w:rsid w:val="0039358F"/>
    <w:rsid w:val="003940FE"/>
    <w:rsid w:val="003961AE"/>
    <w:rsid w:val="0039695A"/>
    <w:rsid w:val="003977D8"/>
    <w:rsid w:val="003A07BF"/>
    <w:rsid w:val="003A1055"/>
    <w:rsid w:val="003A12EA"/>
    <w:rsid w:val="003A2612"/>
    <w:rsid w:val="003A3693"/>
    <w:rsid w:val="003A380D"/>
    <w:rsid w:val="003A3BF0"/>
    <w:rsid w:val="003A3DF1"/>
    <w:rsid w:val="003A42F7"/>
    <w:rsid w:val="003A4794"/>
    <w:rsid w:val="003A4A57"/>
    <w:rsid w:val="003A4D11"/>
    <w:rsid w:val="003A4D77"/>
    <w:rsid w:val="003A51A7"/>
    <w:rsid w:val="003A5280"/>
    <w:rsid w:val="003A5701"/>
    <w:rsid w:val="003A59D9"/>
    <w:rsid w:val="003A6862"/>
    <w:rsid w:val="003A692D"/>
    <w:rsid w:val="003A712B"/>
    <w:rsid w:val="003A7D48"/>
    <w:rsid w:val="003B0BF4"/>
    <w:rsid w:val="003B1111"/>
    <w:rsid w:val="003B14F4"/>
    <w:rsid w:val="003B1D5F"/>
    <w:rsid w:val="003B1FBF"/>
    <w:rsid w:val="003B21F7"/>
    <w:rsid w:val="003B2EFF"/>
    <w:rsid w:val="003B3666"/>
    <w:rsid w:val="003B3875"/>
    <w:rsid w:val="003B3A4E"/>
    <w:rsid w:val="003B41C7"/>
    <w:rsid w:val="003B496A"/>
    <w:rsid w:val="003B5256"/>
    <w:rsid w:val="003B5FA0"/>
    <w:rsid w:val="003B6047"/>
    <w:rsid w:val="003B693F"/>
    <w:rsid w:val="003B6ECC"/>
    <w:rsid w:val="003B71AB"/>
    <w:rsid w:val="003B76C1"/>
    <w:rsid w:val="003B7A6C"/>
    <w:rsid w:val="003B7E92"/>
    <w:rsid w:val="003C01AC"/>
    <w:rsid w:val="003C04A9"/>
    <w:rsid w:val="003C0D77"/>
    <w:rsid w:val="003C0FEC"/>
    <w:rsid w:val="003C10E1"/>
    <w:rsid w:val="003C1943"/>
    <w:rsid w:val="003C1A1A"/>
    <w:rsid w:val="003C1AB9"/>
    <w:rsid w:val="003C2214"/>
    <w:rsid w:val="003C2961"/>
    <w:rsid w:val="003C2B5C"/>
    <w:rsid w:val="003C4E4D"/>
    <w:rsid w:val="003C5493"/>
    <w:rsid w:val="003C6F87"/>
    <w:rsid w:val="003C7251"/>
    <w:rsid w:val="003C7719"/>
    <w:rsid w:val="003C776C"/>
    <w:rsid w:val="003D0040"/>
    <w:rsid w:val="003D02CD"/>
    <w:rsid w:val="003D0B8C"/>
    <w:rsid w:val="003D3787"/>
    <w:rsid w:val="003D4AAD"/>
    <w:rsid w:val="003D5FD3"/>
    <w:rsid w:val="003D61B5"/>
    <w:rsid w:val="003D6CFB"/>
    <w:rsid w:val="003D7514"/>
    <w:rsid w:val="003E037C"/>
    <w:rsid w:val="003E15B9"/>
    <w:rsid w:val="003E1ADD"/>
    <w:rsid w:val="003E1D8E"/>
    <w:rsid w:val="003E28EB"/>
    <w:rsid w:val="003E3B30"/>
    <w:rsid w:val="003E467E"/>
    <w:rsid w:val="003E53BB"/>
    <w:rsid w:val="003E5A6B"/>
    <w:rsid w:val="003E65F5"/>
    <w:rsid w:val="003E6E08"/>
    <w:rsid w:val="003F0F5F"/>
    <w:rsid w:val="003F14BD"/>
    <w:rsid w:val="003F1EF0"/>
    <w:rsid w:val="003F2DBE"/>
    <w:rsid w:val="003F4461"/>
    <w:rsid w:val="003F48B6"/>
    <w:rsid w:val="003F4A0E"/>
    <w:rsid w:val="003F589D"/>
    <w:rsid w:val="003F58AF"/>
    <w:rsid w:val="003F6728"/>
    <w:rsid w:val="003F6F4E"/>
    <w:rsid w:val="003F7F2F"/>
    <w:rsid w:val="00400F0F"/>
    <w:rsid w:val="0040136C"/>
    <w:rsid w:val="00401792"/>
    <w:rsid w:val="00402758"/>
    <w:rsid w:val="00402838"/>
    <w:rsid w:val="0040304B"/>
    <w:rsid w:val="0040325C"/>
    <w:rsid w:val="00404159"/>
    <w:rsid w:val="004043E9"/>
    <w:rsid w:val="00404967"/>
    <w:rsid w:val="004050E0"/>
    <w:rsid w:val="004070B7"/>
    <w:rsid w:val="0041306A"/>
    <w:rsid w:val="0041349F"/>
    <w:rsid w:val="004134D0"/>
    <w:rsid w:val="0041365C"/>
    <w:rsid w:val="00413C81"/>
    <w:rsid w:val="004143CB"/>
    <w:rsid w:val="00414FEA"/>
    <w:rsid w:val="0041514F"/>
    <w:rsid w:val="00415998"/>
    <w:rsid w:val="00416250"/>
    <w:rsid w:val="004170D0"/>
    <w:rsid w:val="00417A18"/>
    <w:rsid w:val="00420273"/>
    <w:rsid w:val="00420950"/>
    <w:rsid w:val="004216A9"/>
    <w:rsid w:val="00421726"/>
    <w:rsid w:val="00421CA3"/>
    <w:rsid w:val="004227F4"/>
    <w:rsid w:val="00422BEE"/>
    <w:rsid w:val="00422FBD"/>
    <w:rsid w:val="00423A30"/>
    <w:rsid w:val="00423BCE"/>
    <w:rsid w:val="00424D45"/>
    <w:rsid w:val="00424E9C"/>
    <w:rsid w:val="00424EF0"/>
    <w:rsid w:val="004255C0"/>
    <w:rsid w:val="00426370"/>
    <w:rsid w:val="00427338"/>
    <w:rsid w:val="004278B3"/>
    <w:rsid w:val="00427DD6"/>
    <w:rsid w:val="0043130B"/>
    <w:rsid w:val="00431D4D"/>
    <w:rsid w:val="00433A7A"/>
    <w:rsid w:val="00433DB7"/>
    <w:rsid w:val="00433E14"/>
    <w:rsid w:val="00434298"/>
    <w:rsid w:val="00435119"/>
    <w:rsid w:val="0043678A"/>
    <w:rsid w:val="00436802"/>
    <w:rsid w:val="00437204"/>
    <w:rsid w:val="004374D6"/>
    <w:rsid w:val="00437F97"/>
    <w:rsid w:val="00440EFA"/>
    <w:rsid w:val="00441096"/>
    <w:rsid w:val="004410A6"/>
    <w:rsid w:val="00441FB4"/>
    <w:rsid w:val="00442360"/>
    <w:rsid w:val="00442B92"/>
    <w:rsid w:val="004460A6"/>
    <w:rsid w:val="00446689"/>
    <w:rsid w:val="00446CF4"/>
    <w:rsid w:val="00447F6D"/>
    <w:rsid w:val="004501E0"/>
    <w:rsid w:val="004505AF"/>
    <w:rsid w:val="00450B45"/>
    <w:rsid w:val="00450DE8"/>
    <w:rsid w:val="004515C2"/>
    <w:rsid w:val="0045190D"/>
    <w:rsid w:val="00451ECB"/>
    <w:rsid w:val="00452060"/>
    <w:rsid w:val="0045234E"/>
    <w:rsid w:val="00452D94"/>
    <w:rsid w:val="004557DA"/>
    <w:rsid w:val="004559B9"/>
    <w:rsid w:val="00455DA6"/>
    <w:rsid w:val="00455E5A"/>
    <w:rsid w:val="0045699B"/>
    <w:rsid w:val="00456A3D"/>
    <w:rsid w:val="00456D75"/>
    <w:rsid w:val="004577C1"/>
    <w:rsid w:val="004578B2"/>
    <w:rsid w:val="004600BA"/>
    <w:rsid w:val="00462483"/>
    <w:rsid w:val="004624DE"/>
    <w:rsid w:val="004625A7"/>
    <w:rsid w:val="0046281F"/>
    <w:rsid w:val="00462D2D"/>
    <w:rsid w:val="004634EA"/>
    <w:rsid w:val="00463D01"/>
    <w:rsid w:val="0046405B"/>
    <w:rsid w:val="00464BA8"/>
    <w:rsid w:val="0046516A"/>
    <w:rsid w:val="004651E0"/>
    <w:rsid w:val="00465BA4"/>
    <w:rsid w:val="0046603A"/>
    <w:rsid w:val="0046611E"/>
    <w:rsid w:val="004662DB"/>
    <w:rsid w:val="0046721A"/>
    <w:rsid w:val="00470774"/>
    <w:rsid w:val="0047086A"/>
    <w:rsid w:val="004713D1"/>
    <w:rsid w:val="00471D7F"/>
    <w:rsid w:val="00472138"/>
    <w:rsid w:val="00472221"/>
    <w:rsid w:val="004725E6"/>
    <w:rsid w:val="00473539"/>
    <w:rsid w:val="004737F0"/>
    <w:rsid w:val="00473AB0"/>
    <w:rsid w:val="00474848"/>
    <w:rsid w:val="00474989"/>
    <w:rsid w:val="00475880"/>
    <w:rsid w:val="00475E2D"/>
    <w:rsid w:val="004761C7"/>
    <w:rsid w:val="0047630E"/>
    <w:rsid w:val="004765BA"/>
    <w:rsid w:val="0047666D"/>
    <w:rsid w:val="00476A20"/>
    <w:rsid w:val="00476B4C"/>
    <w:rsid w:val="00477B4C"/>
    <w:rsid w:val="00480C58"/>
    <w:rsid w:val="0048106A"/>
    <w:rsid w:val="00482A0C"/>
    <w:rsid w:val="00482C64"/>
    <w:rsid w:val="00483791"/>
    <w:rsid w:val="004837DE"/>
    <w:rsid w:val="00483A7E"/>
    <w:rsid w:val="00484C42"/>
    <w:rsid w:val="00484E18"/>
    <w:rsid w:val="004855E0"/>
    <w:rsid w:val="00485BBF"/>
    <w:rsid w:val="0048675D"/>
    <w:rsid w:val="004868E8"/>
    <w:rsid w:val="00486CF4"/>
    <w:rsid w:val="0048717F"/>
    <w:rsid w:val="004871E4"/>
    <w:rsid w:val="00487F39"/>
    <w:rsid w:val="00490F6D"/>
    <w:rsid w:val="00492994"/>
    <w:rsid w:val="00492B6F"/>
    <w:rsid w:val="00494644"/>
    <w:rsid w:val="00494C09"/>
    <w:rsid w:val="004952E2"/>
    <w:rsid w:val="00495547"/>
    <w:rsid w:val="004955D2"/>
    <w:rsid w:val="00496C09"/>
    <w:rsid w:val="00496FEA"/>
    <w:rsid w:val="0049743B"/>
    <w:rsid w:val="00497C4D"/>
    <w:rsid w:val="004A00BD"/>
    <w:rsid w:val="004A048F"/>
    <w:rsid w:val="004A0AAA"/>
    <w:rsid w:val="004A1179"/>
    <w:rsid w:val="004A13F5"/>
    <w:rsid w:val="004A15B3"/>
    <w:rsid w:val="004A1709"/>
    <w:rsid w:val="004A2E39"/>
    <w:rsid w:val="004A38B9"/>
    <w:rsid w:val="004A3CF1"/>
    <w:rsid w:val="004A4483"/>
    <w:rsid w:val="004A476A"/>
    <w:rsid w:val="004A543B"/>
    <w:rsid w:val="004A571B"/>
    <w:rsid w:val="004A5828"/>
    <w:rsid w:val="004A72AF"/>
    <w:rsid w:val="004A7446"/>
    <w:rsid w:val="004A7ECD"/>
    <w:rsid w:val="004A7F62"/>
    <w:rsid w:val="004B015A"/>
    <w:rsid w:val="004B0B07"/>
    <w:rsid w:val="004B1014"/>
    <w:rsid w:val="004B11A4"/>
    <w:rsid w:val="004B2F3F"/>
    <w:rsid w:val="004B32D8"/>
    <w:rsid w:val="004B3BC6"/>
    <w:rsid w:val="004B3FD9"/>
    <w:rsid w:val="004B6512"/>
    <w:rsid w:val="004B69B2"/>
    <w:rsid w:val="004B6C0B"/>
    <w:rsid w:val="004B755C"/>
    <w:rsid w:val="004B782D"/>
    <w:rsid w:val="004C1866"/>
    <w:rsid w:val="004C1CEE"/>
    <w:rsid w:val="004C4C71"/>
    <w:rsid w:val="004C5545"/>
    <w:rsid w:val="004C6F4C"/>
    <w:rsid w:val="004C7EE6"/>
    <w:rsid w:val="004D055A"/>
    <w:rsid w:val="004D0C88"/>
    <w:rsid w:val="004D0ED6"/>
    <w:rsid w:val="004D12C4"/>
    <w:rsid w:val="004D140B"/>
    <w:rsid w:val="004D257E"/>
    <w:rsid w:val="004D2E91"/>
    <w:rsid w:val="004D364A"/>
    <w:rsid w:val="004D402E"/>
    <w:rsid w:val="004D494B"/>
    <w:rsid w:val="004D4BDA"/>
    <w:rsid w:val="004D63DC"/>
    <w:rsid w:val="004D6D75"/>
    <w:rsid w:val="004D7859"/>
    <w:rsid w:val="004D7C38"/>
    <w:rsid w:val="004E00C8"/>
    <w:rsid w:val="004E0350"/>
    <w:rsid w:val="004E087F"/>
    <w:rsid w:val="004E0F0B"/>
    <w:rsid w:val="004E1360"/>
    <w:rsid w:val="004E1471"/>
    <w:rsid w:val="004E1A9D"/>
    <w:rsid w:val="004E1AE0"/>
    <w:rsid w:val="004E393A"/>
    <w:rsid w:val="004E4074"/>
    <w:rsid w:val="004E4B8A"/>
    <w:rsid w:val="004E4D6B"/>
    <w:rsid w:val="004E5163"/>
    <w:rsid w:val="004E6EEC"/>
    <w:rsid w:val="004E7413"/>
    <w:rsid w:val="004E7E47"/>
    <w:rsid w:val="004F0333"/>
    <w:rsid w:val="004F0C02"/>
    <w:rsid w:val="004F0C1C"/>
    <w:rsid w:val="004F1386"/>
    <w:rsid w:val="004F1483"/>
    <w:rsid w:val="004F1C60"/>
    <w:rsid w:val="004F20A4"/>
    <w:rsid w:val="004F2261"/>
    <w:rsid w:val="004F2A13"/>
    <w:rsid w:val="004F348D"/>
    <w:rsid w:val="004F34AB"/>
    <w:rsid w:val="004F3C7D"/>
    <w:rsid w:val="004F494A"/>
    <w:rsid w:val="004F53DE"/>
    <w:rsid w:val="004F5E31"/>
    <w:rsid w:val="004F64DD"/>
    <w:rsid w:val="004F7463"/>
    <w:rsid w:val="004F756B"/>
    <w:rsid w:val="004F7E56"/>
    <w:rsid w:val="005001A4"/>
    <w:rsid w:val="00500859"/>
    <w:rsid w:val="005010D8"/>
    <w:rsid w:val="005018AB"/>
    <w:rsid w:val="005024FD"/>
    <w:rsid w:val="005032AF"/>
    <w:rsid w:val="005036AB"/>
    <w:rsid w:val="005040C8"/>
    <w:rsid w:val="00504107"/>
    <w:rsid w:val="0050420E"/>
    <w:rsid w:val="005046A6"/>
    <w:rsid w:val="00504809"/>
    <w:rsid w:val="00504D1A"/>
    <w:rsid w:val="00507091"/>
    <w:rsid w:val="00507464"/>
    <w:rsid w:val="00507A51"/>
    <w:rsid w:val="00510105"/>
    <w:rsid w:val="0051067B"/>
    <w:rsid w:val="0051074E"/>
    <w:rsid w:val="00511AB2"/>
    <w:rsid w:val="00511C1D"/>
    <w:rsid w:val="0051396A"/>
    <w:rsid w:val="00513985"/>
    <w:rsid w:val="00513D98"/>
    <w:rsid w:val="0051407E"/>
    <w:rsid w:val="00514367"/>
    <w:rsid w:val="00514C11"/>
    <w:rsid w:val="0051509A"/>
    <w:rsid w:val="0051534B"/>
    <w:rsid w:val="0051553C"/>
    <w:rsid w:val="005155CD"/>
    <w:rsid w:val="00515CD0"/>
    <w:rsid w:val="00516351"/>
    <w:rsid w:val="005165DF"/>
    <w:rsid w:val="00516737"/>
    <w:rsid w:val="00517596"/>
    <w:rsid w:val="005179CD"/>
    <w:rsid w:val="00517E39"/>
    <w:rsid w:val="00520619"/>
    <w:rsid w:val="00520D39"/>
    <w:rsid w:val="00520F5D"/>
    <w:rsid w:val="005217D0"/>
    <w:rsid w:val="00521E96"/>
    <w:rsid w:val="00521EAE"/>
    <w:rsid w:val="00522CFA"/>
    <w:rsid w:val="0052343C"/>
    <w:rsid w:val="00523FAA"/>
    <w:rsid w:val="00524F62"/>
    <w:rsid w:val="005253AF"/>
    <w:rsid w:val="00525A27"/>
    <w:rsid w:val="00525B28"/>
    <w:rsid w:val="00525B5D"/>
    <w:rsid w:val="0052615D"/>
    <w:rsid w:val="005262C1"/>
    <w:rsid w:val="00526DC0"/>
    <w:rsid w:val="005272DB"/>
    <w:rsid w:val="00530769"/>
    <w:rsid w:val="00530F27"/>
    <w:rsid w:val="0053161B"/>
    <w:rsid w:val="0053197E"/>
    <w:rsid w:val="005319BD"/>
    <w:rsid w:val="00532205"/>
    <w:rsid w:val="005322E8"/>
    <w:rsid w:val="005324CB"/>
    <w:rsid w:val="005331BB"/>
    <w:rsid w:val="00533B0C"/>
    <w:rsid w:val="00533E58"/>
    <w:rsid w:val="005340E9"/>
    <w:rsid w:val="00534663"/>
    <w:rsid w:val="00534F0F"/>
    <w:rsid w:val="00535B05"/>
    <w:rsid w:val="00536507"/>
    <w:rsid w:val="00536628"/>
    <w:rsid w:val="00536749"/>
    <w:rsid w:val="00536947"/>
    <w:rsid w:val="00536F59"/>
    <w:rsid w:val="00540BB9"/>
    <w:rsid w:val="00540BE5"/>
    <w:rsid w:val="00540D34"/>
    <w:rsid w:val="0054124F"/>
    <w:rsid w:val="0054138E"/>
    <w:rsid w:val="00542D94"/>
    <w:rsid w:val="005437D9"/>
    <w:rsid w:val="0054574A"/>
    <w:rsid w:val="005459A8"/>
    <w:rsid w:val="00545FA0"/>
    <w:rsid w:val="0054617E"/>
    <w:rsid w:val="005473C2"/>
    <w:rsid w:val="005507A9"/>
    <w:rsid w:val="0055088F"/>
    <w:rsid w:val="00550901"/>
    <w:rsid w:val="00550D9A"/>
    <w:rsid w:val="00550FC1"/>
    <w:rsid w:val="005510B1"/>
    <w:rsid w:val="00551ED1"/>
    <w:rsid w:val="00552C72"/>
    <w:rsid w:val="0055373D"/>
    <w:rsid w:val="00553ADE"/>
    <w:rsid w:val="00554311"/>
    <w:rsid w:val="00554715"/>
    <w:rsid w:val="00555729"/>
    <w:rsid w:val="00555AD9"/>
    <w:rsid w:val="005566A3"/>
    <w:rsid w:val="00556ACB"/>
    <w:rsid w:val="00556FC4"/>
    <w:rsid w:val="005573B3"/>
    <w:rsid w:val="005573BB"/>
    <w:rsid w:val="00557804"/>
    <w:rsid w:val="00557D06"/>
    <w:rsid w:val="00561068"/>
    <w:rsid w:val="00562076"/>
    <w:rsid w:val="00562F31"/>
    <w:rsid w:val="005630B4"/>
    <w:rsid w:val="005635E3"/>
    <w:rsid w:val="00564357"/>
    <w:rsid w:val="005643BD"/>
    <w:rsid w:val="00564BFF"/>
    <w:rsid w:val="00565369"/>
    <w:rsid w:val="0056613A"/>
    <w:rsid w:val="0056654D"/>
    <w:rsid w:val="00566D6C"/>
    <w:rsid w:val="00571E72"/>
    <w:rsid w:val="00572D50"/>
    <w:rsid w:val="00573310"/>
    <w:rsid w:val="005735FC"/>
    <w:rsid w:val="005740D8"/>
    <w:rsid w:val="00574250"/>
    <w:rsid w:val="00574970"/>
    <w:rsid w:val="00574BBB"/>
    <w:rsid w:val="0057557B"/>
    <w:rsid w:val="00575688"/>
    <w:rsid w:val="005756A5"/>
    <w:rsid w:val="00576416"/>
    <w:rsid w:val="00576498"/>
    <w:rsid w:val="00576F84"/>
    <w:rsid w:val="005772F7"/>
    <w:rsid w:val="00577A0F"/>
    <w:rsid w:val="00581329"/>
    <w:rsid w:val="00582C08"/>
    <w:rsid w:val="00582C70"/>
    <w:rsid w:val="00582D95"/>
    <w:rsid w:val="00582EFD"/>
    <w:rsid w:val="005838E8"/>
    <w:rsid w:val="00583FAD"/>
    <w:rsid w:val="005843B2"/>
    <w:rsid w:val="00585557"/>
    <w:rsid w:val="00585BC2"/>
    <w:rsid w:val="00585D34"/>
    <w:rsid w:val="00586C93"/>
    <w:rsid w:val="00586DCA"/>
    <w:rsid w:val="00587A22"/>
    <w:rsid w:val="00590614"/>
    <w:rsid w:val="005913D1"/>
    <w:rsid w:val="005918D1"/>
    <w:rsid w:val="00594011"/>
    <w:rsid w:val="005945C8"/>
    <w:rsid w:val="00595FD8"/>
    <w:rsid w:val="00597845"/>
    <w:rsid w:val="005A08D0"/>
    <w:rsid w:val="005A1138"/>
    <w:rsid w:val="005A1818"/>
    <w:rsid w:val="005A18E0"/>
    <w:rsid w:val="005A1CA1"/>
    <w:rsid w:val="005A2F13"/>
    <w:rsid w:val="005A3341"/>
    <w:rsid w:val="005A3A3E"/>
    <w:rsid w:val="005A3BF3"/>
    <w:rsid w:val="005A3EDC"/>
    <w:rsid w:val="005A43C0"/>
    <w:rsid w:val="005A4715"/>
    <w:rsid w:val="005A4830"/>
    <w:rsid w:val="005A4FE1"/>
    <w:rsid w:val="005A7BC0"/>
    <w:rsid w:val="005A7E73"/>
    <w:rsid w:val="005B0A78"/>
    <w:rsid w:val="005B188F"/>
    <w:rsid w:val="005B2415"/>
    <w:rsid w:val="005B2789"/>
    <w:rsid w:val="005B4004"/>
    <w:rsid w:val="005B4FBD"/>
    <w:rsid w:val="005B5169"/>
    <w:rsid w:val="005B6725"/>
    <w:rsid w:val="005B7427"/>
    <w:rsid w:val="005B7DDF"/>
    <w:rsid w:val="005C0C52"/>
    <w:rsid w:val="005C14C2"/>
    <w:rsid w:val="005C362A"/>
    <w:rsid w:val="005C3FFD"/>
    <w:rsid w:val="005C4311"/>
    <w:rsid w:val="005C6BF5"/>
    <w:rsid w:val="005C6DCB"/>
    <w:rsid w:val="005D0690"/>
    <w:rsid w:val="005D1F17"/>
    <w:rsid w:val="005D22B2"/>
    <w:rsid w:val="005D3F8B"/>
    <w:rsid w:val="005D5508"/>
    <w:rsid w:val="005D64BA"/>
    <w:rsid w:val="005D6D24"/>
    <w:rsid w:val="005D7714"/>
    <w:rsid w:val="005D799E"/>
    <w:rsid w:val="005E00AD"/>
    <w:rsid w:val="005E1087"/>
    <w:rsid w:val="005E10AF"/>
    <w:rsid w:val="005E1FBE"/>
    <w:rsid w:val="005E2832"/>
    <w:rsid w:val="005E3248"/>
    <w:rsid w:val="005E363D"/>
    <w:rsid w:val="005E3CAC"/>
    <w:rsid w:val="005E3DB9"/>
    <w:rsid w:val="005E414F"/>
    <w:rsid w:val="005E5083"/>
    <w:rsid w:val="005E54D4"/>
    <w:rsid w:val="005E59DB"/>
    <w:rsid w:val="005E635B"/>
    <w:rsid w:val="005E75A0"/>
    <w:rsid w:val="005F00C3"/>
    <w:rsid w:val="005F2033"/>
    <w:rsid w:val="005F28F5"/>
    <w:rsid w:val="005F408F"/>
    <w:rsid w:val="005F4279"/>
    <w:rsid w:val="005F481B"/>
    <w:rsid w:val="005F5010"/>
    <w:rsid w:val="005F5034"/>
    <w:rsid w:val="005F5818"/>
    <w:rsid w:val="005F61B8"/>
    <w:rsid w:val="005F6257"/>
    <w:rsid w:val="005F762F"/>
    <w:rsid w:val="005F7AB7"/>
    <w:rsid w:val="0060065D"/>
    <w:rsid w:val="006029F5"/>
    <w:rsid w:val="00603B42"/>
    <w:rsid w:val="00603E99"/>
    <w:rsid w:val="00604467"/>
    <w:rsid w:val="006051E2"/>
    <w:rsid w:val="0060541C"/>
    <w:rsid w:val="006055A0"/>
    <w:rsid w:val="00605E0D"/>
    <w:rsid w:val="00606346"/>
    <w:rsid w:val="00606607"/>
    <w:rsid w:val="00606705"/>
    <w:rsid w:val="006070BE"/>
    <w:rsid w:val="006073AD"/>
    <w:rsid w:val="006076E9"/>
    <w:rsid w:val="0061037F"/>
    <w:rsid w:val="006104B2"/>
    <w:rsid w:val="006111D4"/>
    <w:rsid w:val="006116B4"/>
    <w:rsid w:val="006122DB"/>
    <w:rsid w:val="00612978"/>
    <w:rsid w:val="006133A3"/>
    <w:rsid w:val="00613A18"/>
    <w:rsid w:val="006147C9"/>
    <w:rsid w:val="00614B2B"/>
    <w:rsid w:val="0061562D"/>
    <w:rsid w:val="00615BD0"/>
    <w:rsid w:val="006160D5"/>
    <w:rsid w:val="00616172"/>
    <w:rsid w:val="00616AB4"/>
    <w:rsid w:val="00617122"/>
    <w:rsid w:val="00617B1F"/>
    <w:rsid w:val="00617B8B"/>
    <w:rsid w:val="00617D05"/>
    <w:rsid w:val="00617F81"/>
    <w:rsid w:val="00620267"/>
    <w:rsid w:val="00621A58"/>
    <w:rsid w:val="00621DEC"/>
    <w:rsid w:val="00621E66"/>
    <w:rsid w:val="00622107"/>
    <w:rsid w:val="006221A4"/>
    <w:rsid w:val="00622F65"/>
    <w:rsid w:val="006237B0"/>
    <w:rsid w:val="00625011"/>
    <w:rsid w:val="006253B8"/>
    <w:rsid w:val="0062595D"/>
    <w:rsid w:val="00625AF2"/>
    <w:rsid w:val="0063007F"/>
    <w:rsid w:val="006302EB"/>
    <w:rsid w:val="00630925"/>
    <w:rsid w:val="00631022"/>
    <w:rsid w:val="006315A8"/>
    <w:rsid w:val="006318FB"/>
    <w:rsid w:val="0063215B"/>
    <w:rsid w:val="00632DF6"/>
    <w:rsid w:val="00633452"/>
    <w:rsid w:val="00634A84"/>
    <w:rsid w:val="00634AD8"/>
    <w:rsid w:val="006362E6"/>
    <w:rsid w:val="00636B0E"/>
    <w:rsid w:val="00637BE2"/>
    <w:rsid w:val="00640856"/>
    <w:rsid w:val="00640F04"/>
    <w:rsid w:val="006414D9"/>
    <w:rsid w:val="00641AC8"/>
    <w:rsid w:val="00641BA0"/>
    <w:rsid w:val="00642FF1"/>
    <w:rsid w:val="0064369A"/>
    <w:rsid w:val="00643754"/>
    <w:rsid w:val="0064501C"/>
    <w:rsid w:val="00646642"/>
    <w:rsid w:val="00646E42"/>
    <w:rsid w:val="0064716E"/>
    <w:rsid w:val="00647F29"/>
    <w:rsid w:val="00650305"/>
    <w:rsid w:val="00650385"/>
    <w:rsid w:val="00650588"/>
    <w:rsid w:val="00650873"/>
    <w:rsid w:val="00650CF7"/>
    <w:rsid w:val="00650D52"/>
    <w:rsid w:val="00650E5B"/>
    <w:rsid w:val="006510EC"/>
    <w:rsid w:val="00651137"/>
    <w:rsid w:val="00651541"/>
    <w:rsid w:val="00652AA7"/>
    <w:rsid w:val="0065340E"/>
    <w:rsid w:val="006535AD"/>
    <w:rsid w:val="00653B49"/>
    <w:rsid w:val="00653D42"/>
    <w:rsid w:val="006544DF"/>
    <w:rsid w:val="0065474E"/>
    <w:rsid w:val="0065501F"/>
    <w:rsid w:val="00655963"/>
    <w:rsid w:val="0065643A"/>
    <w:rsid w:val="006566BC"/>
    <w:rsid w:val="006567B2"/>
    <w:rsid w:val="006570CC"/>
    <w:rsid w:val="00657135"/>
    <w:rsid w:val="0065724F"/>
    <w:rsid w:val="00660214"/>
    <w:rsid w:val="00660BFE"/>
    <w:rsid w:val="00661A0F"/>
    <w:rsid w:val="00661BD9"/>
    <w:rsid w:val="006628E4"/>
    <w:rsid w:val="00664D35"/>
    <w:rsid w:val="00665097"/>
    <w:rsid w:val="00665E2F"/>
    <w:rsid w:val="0066646D"/>
    <w:rsid w:val="00666A8B"/>
    <w:rsid w:val="00667873"/>
    <w:rsid w:val="00671E7A"/>
    <w:rsid w:val="00672EE9"/>
    <w:rsid w:val="00674187"/>
    <w:rsid w:val="006746B1"/>
    <w:rsid w:val="00674A5C"/>
    <w:rsid w:val="0067594B"/>
    <w:rsid w:val="00676225"/>
    <w:rsid w:val="006766B1"/>
    <w:rsid w:val="006800AF"/>
    <w:rsid w:val="00680330"/>
    <w:rsid w:val="00681771"/>
    <w:rsid w:val="006822BE"/>
    <w:rsid w:val="00682424"/>
    <w:rsid w:val="006833AD"/>
    <w:rsid w:val="0068408E"/>
    <w:rsid w:val="00685039"/>
    <w:rsid w:val="006856E6"/>
    <w:rsid w:val="00685BA9"/>
    <w:rsid w:val="0068636B"/>
    <w:rsid w:val="00686ABE"/>
    <w:rsid w:val="00687993"/>
    <w:rsid w:val="006902F0"/>
    <w:rsid w:val="006905D0"/>
    <w:rsid w:val="00690AC9"/>
    <w:rsid w:val="00691386"/>
    <w:rsid w:val="00692716"/>
    <w:rsid w:val="006935F4"/>
    <w:rsid w:val="00693A7B"/>
    <w:rsid w:val="00693B33"/>
    <w:rsid w:val="00694144"/>
    <w:rsid w:val="006942A9"/>
    <w:rsid w:val="00695D5E"/>
    <w:rsid w:val="006973EB"/>
    <w:rsid w:val="0069761B"/>
    <w:rsid w:val="006A02EA"/>
    <w:rsid w:val="006A05A9"/>
    <w:rsid w:val="006A11BE"/>
    <w:rsid w:val="006A196A"/>
    <w:rsid w:val="006A3544"/>
    <w:rsid w:val="006A36A8"/>
    <w:rsid w:val="006A36C0"/>
    <w:rsid w:val="006A3A68"/>
    <w:rsid w:val="006A3AA9"/>
    <w:rsid w:val="006A5203"/>
    <w:rsid w:val="006A6410"/>
    <w:rsid w:val="006A728F"/>
    <w:rsid w:val="006A75D3"/>
    <w:rsid w:val="006B0ACA"/>
    <w:rsid w:val="006B0F30"/>
    <w:rsid w:val="006B10DC"/>
    <w:rsid w:val="006B2A87"/>
    <w:rsid w:val="006B2FE9"/>
    <w:rsid w:val="006B33AE"/>
    <w:rsid w:val="006B3671"/>
    <w:rsid w:val="006B486C"/>
    <w:rsid w:val="006B4CA9"/>
    <w:rsid w:val="006B59B9"/>
    <w:rsid w:val="006B64EC"/>
    <w:rsid w:val="006B6952"/>
    <w:rsid w:val="006B69D7"/>
    <w:rsid w:val="006B7031"/>
    <w:rsid w:val="006B7B05"/>
    <w:rsid w:val="006C0CA1"/>
    <w:rsid w:val="006C100B"/>
    <w:rsid w:val="006C2507"/>
    <w:rsid w:val="006C28CF"/>
    <w:rsid w:val="006C3B7E"/>
    <w:rsid w:val="006C4702"/>
    <w:rsid w:val="006C4BB8"/>
    <w:rsid w:val="006C6111"/>
    <w:rsid w:val="006C6B39"/>
    <w:rsid w:val="006C7125"/>
    <w:rsid w:val="006D0CD0"/>
    <w:rsid w:val="006D16E4"/>
    <w:rsid w:val="006D1912"/>
    <w:rsid w:val="006D1A2B"/>
    <w:rsid w:val="006D20B0"/>
    <w:rsid w:val="006D2754"/>
    <w:rsid w:val="006D275D"/>
    <w:rsid w:val="006D43D3"/>
    <w:rsid w:val="006D4925"/>
    <w:rsid w:val="006D4F8F"/>
    <w:rsid w:val="006D5982"/>
    <w:rsid w:val="006D5E8D"/>
    <w:rsid w:val="006D5F86"/>
    <w:rsid w:val="006D6023"/>
    <w:rsid w:val="006D773D"/>
    <w:rsid w:val="006D77BE"/>
    <w:rsid w:val="006D7F35"/>
    <w:rsid w:val="006E126C"/>
    <w:rsid w:val="006E1738"/>
    <w:rsid w:val="006E3226"/>
    <w:rsid w:val="006E322D"/>
    <w:rsid w:val="006E39C5"/>
    <w:rsid w:val="006E50D3"/>
    <w:rsid w:val="006E52F6"/>
    <w:rsid w:val="006F014A"/>
    <w:rsid w:val="006F0EFF"/>
    <w:rsid w:val="006F16D5"/>
    <w:rsid w:val="006F16F3"/>
    <w:rsid w:val="006F1CEA"/>
    <w:rsid w:val="006F2318"/>
    <w:rsid w:val="006F2A7D"/>
    <w:rsid w:val="006F322B"/>
    <w:rsid w:val="006F3905"/>
    <w:rsid w:val="006F391E"/>
    <w:rsid w:val="006F4490"/>
    <w:rsid w:val="006F4A54"/>
    <w:rsid w:val="006F4BF7"/>
    <w:rsid w:val="006F5957"/>
    <w:rsid w:val="006F66A1"/>
    <w:rsid w:val="006F673C"/>
    <w:rsid w:val="006F6E86"/>
    <w:rsid w:val="006F7459"/>
    <w:rsid w:val="006F79FC"/>
    <w:rsid w:val="006F7BED"/>
    <w:rsid w:val="006F7D1B"/>
    <w:rsid w:val="0070083E"/>
    <w:rsid w:val="00700BCA"/>
    <w:rsid w:val="00700F54"/>
    <w:rsid w:val="007011EC"/>
    <w:rsid w:val="007016F6"/>
    <w:rsid w:val="00701B5B"/>
    <w:rsid w:val="00702A40"/>
    <w:rsid w:val="0070373C"/>
    <w:rsid w:val="00703FA0"/>
    <w:rsid w:val="00704C17"/>
    <w:rsid w:val="007059B2"/>
    <w:rsid w:val="007063F7"/>
    <w:rsid w:val="00706522"/>
    <w:rsid w:val="00707D22"/>
    <w:rsid w:val="0071007C"/>
    <w:rsid w:val="007104B6"/>
    <w:rsid w:val="007122B2"/>
    <w:rsid w:val="0071263E"/>
    <w:rsid w:val="007128D9"/>
    <w:rsid w:val="00712B99"/>
    <w:rsid w:val="007134D3"/>
    <w:rsid w:val="0071352E"/>
    <w:rsid w:val="007137B3"/>
    <w:rsid w:val="00713972"/>
    <w:rsid w:val="00715709"/>
    <w:rsid w:val="00715B7C"/>
    <w:rsid w:val="00715CA8"/>
    <w:rsid w:val="007164C1"/>
    <w:rsid w:val="007166D8"/>
    <w:rsid w:val="007169DD"/>
    <w:rsid w:val="00716DBD"/>
    <w:rsid w:val="00717130"/>
    <w:rsid w:val="00717461"/>
    <w:rsid w:val="00717710"/>
    <w:rsid w:val="0072060C"/>
    <w:rsid w:val="00720D77"/>
    <w:rsid w:val="00720FA0"/>
    <w:rsid w:val="007227E3"/>
    <w:rsid w:val="00722E3B"/>
    <w:rsid w:val="0072398B"/>
    <w:rsid w:val="00723A08"/>
    <w:rsid w:val="007243C1"/>
    <w:rsid w:val="00724F2E"/>
    <w:rsid w:val="00725433"/>
    <w:rsid w:val="007266A5"/>
    <w:rsid w:val="00727644"/>
    <w:rsid w:val="007277EE"/>
    <w:rsid w:val="00727F8D"/>
    <w:rsid w:val="0073008A"/>
    <w:rsid w:val="00730959"/>
    <w:rsid w:val="0073226E"/>
    <w:rsid w:val="007327EA"/>
    <w:rsid w:val="007341C1"/>
    <w:rsid w:val="00734221"/>
    <w:rsid w:val="0073456C"/>
    <w:rsid w:val="007350D8"/>
    <w:rsid w:val="007362A1"/>
    <w:rsid w:val="00736E83"/>
    <w:rsid w:val="0073775B"/>
    <w:rsid w:val="00741C9B"/>
    <w:rsid w:val="00741E58"/>
    <w:rsid w:val="00742151"/>
    <w:rsid w:val="00742D40"/>
    <w:rsid w:val="00742E14"/>
    <w:rsid w:val="00743466"/>
    <w:rsid w:val="00743680"/>
    <w:rsid w:val="00743759"/>
    <w:rsid w:val="00744152"/>
    <w:rsid w:val="00744585"/>
    <w:rsid w:val="007450A5"/>
    <w:rsid w:val="007453E4"/>
    <w:rsid w:val="00745BF1"/>
    <w:rsid w:val="00746369"/>
    <w:rsid w:val="00746F3A"/>
    <w:rsid w:val="00747DFB"/>
    <w:rsid w:val="00747E4D"/>
    <w:rsid w:val="00750CD5"/>
    <w:rsid w:val="00751D4E"/>
    <w:rsid w:val="00752483"/>
    <w:rsid w:val="007529F4"/>
    <w:rsid w:val="00752B05"/>
    <w:rsid w:val="00752FA3"/>
    <w:rsid w:val="00753E04"/>
    <w:rsid w:val="00754110"/>
    <w:rsid w:val="00754A1A"/>
    <w:rsid w:val="007555EC"/>
    <w:rsid w:val="0075665C"/>
    <w:rsid w:val="007566D0"/>
    <w:rsid w:val="00756827"/>
    <w:rsid w:val="00756ABA"/>
    <w:rsid w:val="00760C8C"/>
    <w:rsid w:val="00761753"/>
    <w:rsid w:val="00762352"/>
    <w:rsid w:val="00762BBD"/>
    <w:rsid w:val="007637D6"/>
    <w:rsid w:val="00764625"/>
    <w:rsid w:val="00764FE1"/>
    <w:rsid w:val="0076577B"/>
    <w:rsid w:val="00765C47"/>
    <w:rsid w:val="00767A2B"/>
    <w:rsid w:val="00770084"/>
    <w:rsid w:val="007700EC"/>
    <w:rsid w:val="0077028E"/>
    <w:rsid w:val="0077063D"/>
    <w:rsid w:val="007709B9"/>
    <w:rsid w:val="0077120F"/>
    <w:rsid w:val="007721A8"/>
    <w:rsid w:val="007730E3"/>
    <w:rsid w:val="00773230"/>
    <w:rsid w:val="00773304"/>
    <w:rsid w:val="007736C3"/>
    <w:rsid w:val="00773D6B"/>
    <w:rsid w:val="00773DD2"/>
    <w:rsid w:val="00774A11"/>
    <w:rsid w:val="00774A90"/>
    <w:rsid w:val="00775707"/>
    <w:rsid w:val="007767D3"/>
    <w:rsid w:val="00776F26"/>
    <w:rsid w:val="007800BD"/>
    <w:rsid w:val="00780303"/>
    <w:rsid w:val="0078056F"/>
    <w:rsid w:val="00780A42"/>
    <w:rsid w:val="00780CF3"/>
    <w:rsid w:val="00781A26"/>
    <w:rsid w:val="00782110"/>
    <w:rsid w:val="0078252B"/>
    <w:rsid w:val="007825DE"/>
    <w:rsid w:val="00782908"/>
    <w:rsid w:val="00782B5F"/>
    <w:rsid w:val="00783062"/>
    <w:rsid w:val="0078491F"/>
    <w:rsid w:val="00784AAF"/>
    <w:rsid w:val="00786521"/>
    <w:rsid w:val="007874BB"/>
    <w:rsid w:val="00791ADA"/>
    <w:rsid w:val="00791DEB"/>
    <w:rsid w:val="00792528"/>
    <w:rsid w:val="0079360D"/>
    <w:rsid w:val="00793FF9"/>
    <w:rsid w:val="00794BA1"/>
    <w:rsid w:val="00796266"/>
    <w:rsid w:val="00797A93"/>
    <w:rsid w:val="007A009C"/>
    <w:rsid w:val="007A0BD2"/>
    <w:rsid w:val="007A1A42"/>
    <w:rsid w:val="007A1B2A"/>
    <w:rsid w:val="007A3672"/>
    <w:rsid w:val="007A396F"/>
    <w:rsid w:val="007A4872"/>
    <w:rsid w:val="007A4D2D"/>
    <w:rsid w:val="007A4E60"/>
    <w:rsid w:val="007A511A"/>
    <w:rsid w:val="007A6310"/>
    <w:rsid w:val="007A6B9D"/>
    <w:rsid w:val="007A715D"/>
    <w:rsid w:val="007A76EE"/>
    <w:rsid w:val="007A7DA4"/>
    <w:rsid w:val="007A7F27"/>
    <w:rsid w:val="007B0787"/>
    <w:rsid w:val="007B0A26"/>
    <w:rsid w:val="007B0FF2"/>
    <w:rsid w:val="007B1221"/>
    <w:rsid w:val="007B151D"/>
    <w:rsid w:val="007B1B7E"/>
    <w:rsid w:val="007B2B8D"/>
    <w:rsid w:val="007B46BF"/>
    <w:rsid w:val="007B5842"/>
    <w:rsid w:val="007B6D8E"/>
    <w:rsid w:val="007B7ACE"/>
    <w:rsid w:val="007B7B8F"/>
    <w:rsid w:val="007C08C2"/>
    <w:rsid w:val="007C0DC7"/>
    <w:rsid w:val="007C139C"/>
    <w:rsid w:val="007C1A22"/>
    <w:rsid w:val="007C1AC4"/>
    <w:rsid w:val="007C1FC9"/>
    <w:rsid w:val="007C2607"/>
    <w:rsid w:val="007C2A9F"/>
    <w:rsid w:val="007C3268"/>
    <w:rsid w:val="007C32E1"/>
    <w:rsid w:val="007C364C"/>
    <w:rsid w:val="007C3ED8"/>
    <w:rsid w:val="007C4262"/>
    <w:rsid w:val="007C454A"/>
    <w:rsid w:val="007C5CB2"/>
    <w:rsid w:val="007D12EA"/>
    <w:rsid w:val="007D1548"/>
    <w:rsid w:val="007D2CBD"/>
    <w:rsid w:val="007D374D"/>
    <w:rsid w:val="007D41F8"/>
    <w:rsid w:val="007D527A"/>
    <w:rsid w:val="007D6635"/>
    <w:rsid w:val="007D798F"/>
    <w:rsid w:val="007D7A3B"/>
    <w:rsid w:val="007E0FCC"/>
    <w:rsid w:val="007E14EE"/>
    <w:rsid w:val="007E1738"/>
    <w:rsid w:val="007E2AF5"/>
    <w:rsid w:val="007E4314"/>
    <w:rsid w:val="007E43DA"/>
    <w:rsid w:val="007E4D81"/>
    <w:rsid w:val="007E5038"/>
    <w:rsid w:val="007E57D2"/>
    <w:rsid w:val="007E58E3"/>
    <w:rsid w:val="007E5C06"/>
    <w:rsid w:val="007E5D64"/>
    <w:rsid w:val="007E64AD"/>
    <w:rsid w:val="007E6810"/>
    <w:rsid w:val="007E6F9F"/>
    <w:rsid w:val="007E7258"/>
    <w:rsid w:val="007E75CB"/>
    <w:rsid w:val="007E7AC4"/>
    <w:rsid w:val="007E7BCC"/>
    <w:rsid w:val="007E7C36"/>
    <w:rsid w:val="007F0969"/>
    <w:rsid w:val="007F0CEC"/>
    <w:rsid w:val="007F0DC5"/>
    <w:rsid w:val="007F0DF4"/>
    <w:rsid w:val="007F11D7"/>
    <w:rsid w:val="007F164B"/>
    <w:rsid w:val="007F3393"/>
    <w:rsid w:val="007F3BA1"/>
    <w:rsid w:val="007F3FCB"/>
    <w:rsid w:val="007F41FD"/>
    <w:rsid w:val="007F44DE"/>
    <w:rsid w:val="007F4671"/>
    <w:rsid w:val="007F55E8"/>
    <w:rsid w:val="007F6192"/>
    <w:rsid w:val="007F63D9"/>
    <w:rsid w:val="007F6AFF"/>
    <w:rsid w:val="008005A1"/>
    <w:rsid w:val="0080086C"/>
    <w:rsid w:val="008012B6"/>
    <w:rsid w:val="00802016"/>
    <w:rsid w:val="00803AC9"/>
    <w:rsid w:val="00803FBB"/>
    <w:rsid w:val="00804222"/>
    <w:rsid w:val="0080439F"/>
    <w:rsid w:val="008043A8"/>
    <w:rsid w:val="00804BFA"/>
    <w:rsid w:val="00805DD3"/>
    <w:rsid w:val="00807DB1"/>
    <w:rsid w:val="008108AC"/>
    <w:rsid w:val="008115FD"/>
    <w:rsid w:val="00811A99"/>
    <w:rsid w:val="008124D7"/>
    <w:rsid w:val="0081430E"/>
    <w:rsid w:val="00814341"/>
    <w:rsid w:val="00814758"/>
    <w:rsid w:val="008149EF"/>
    <w:rsid w:val="00815A6D"/>
    <w:rsid w:val="00815E41"/>
    <w:rsid w:val="00815F2C"/>
    <w:rsid w:val="0081611B"/>
    <w:rsid w:val="008203B4"/>
    <w:rsid w:val="008221C1"/>
    <w:rsid w:val="00822D9C"/>
    <w:rsid w:val="0082342F"/>
    <w:rsid w:val="0082346B"/>
    <w:rsid w:val="00823672"/>
    <w:rsid w:val="00824331"/>
    <w:rsid w:val="008244BD"/>
    <w:rsid w:val="0082560D"/>
    <w:rsid w:val="008256F5"/>
    <w:rsid w:val="0082574D"/>
    <w:rsid w:val="00826A26"/>
    <w:rsid w:val="00826D36"/>
    <w:rsid w:val="0082735C"/>
    <w:rsid w:val="008277E7"/>
    <w:rsid w:val="00827B5E"/>
    <w:rsid w:val="00827EE7"/>
    <w:rsid w:val="00827F81"/>
    <w:rsid w:val="008305A8"/>
    <w:rsid w:val="00831891"/>
    <w:rsid w:val="008320B5"/>
    <w:rsid w:val="00832953"/>
    <w:rsid w:val="00833541"/>
    <w:rsid w:val="00833727"/>
    <w:rsid w:val="008345E5"/>
    <w:rsid w:val="00834E68"/>
    <w:rsid w:val="00834FB7"/>
    <w:rsid w:val="00835297"/>
    <w:rsid w:val="00835CCC"/>
    <w:rsid w:val="00836848"/>
    <w:rsid w:val="00837940"/>
    <w:rsid w:val="00837E94"/>
    <w:rsid w:val="0084029E"/>
    <w:rsid w:val="0084279D"/>
    <w:rsid w:val="00843E0F"/>
    <w:rsid w:val="00845096"/>
    <w:rsid w:val="00846393"/>
    <w:rsid w:val="0084674B"/>
    <w:rsid w:val="008469C7"/>
    <w:rsid w:val="00846C1E"/>
    <w:rsid w:val="0084778F"/>
    <w:rsid w:val="00847916"/>
    <w:rsid w:val="00850278"/>
    <w:rsid w:val="00850BB0"/>
    <w:rsid w:val="0085119E"/>
    <w:rsid w:val="008517CB"/>
    <w:rsid w:val="00851CC5"/>
    <w:rsid w:val="008521F9"/>
    <w:rsid w:val="00852263"/>
    <w:rsid w:val="0085317B"/>
    <w:rsid w:val="0085496F"/>
    <w:rsid w:val="008558B7"/>
    <w:rsid w:val="00856877"/>
    <w:rsid w:val="00856A9E"/>
    <w:rsid w:val="00856C4E"/>
    <w:rsid w:val="0085716B"/>
    <w:rsid w:val="0085717E"/>
    <w:rsid w:val="00857210"/>
    <w:rsid w:val="0085799B"/>
    <w:rsid w:val="00860830"/>
    <w:rsid w:val="008610A8"/>
    <w:rsid w:val="00861FBA"/>
    <w:rsid w:val="0086206B"/>
    <w:rsid w:val="00862248"/>
    <w:rsid w:val="008626F6"/>
    <w:rsid w:val="00862ED0"/>
    <w:rsid w:val="0086314E"/>
    <w:rsid w:val="008639A1"/>
    <w:rsid w:val="00864B65"/>
    <w:rsid w:val="00864DD3"/>
    <w:rsid w:val="008652F1"/>
    <w:rsid w:val="008654C9"/>
    <w:rsid w:val="008655AA"/>
    <w:rsid w:val="008657CA"/>
    <w:rsid w:val="00866366"/>
    <w:rsid w:val="0087093B"/>
    <w:rsid w:val="00870B5A"/>
    <w:rsid w:val="00870D14"/>
    <w:rsid w:val="008719C4"/>
    <w:rsid w:val="00871AEE"/>
    <w:rsid w:val="0087345D"/>
    <w:rsid w:val="008748A5"/>
    <w:rsid w:val="00876657"/>
    <w:rsid w:val="00876817"/>
    <w:rsid w:val="00877614"/>
    <w:rsid w:val="00881450"/>
    <w:rsid w:val="00881D3B"/>
    <w:rsid w:val="00881F72"/>
    <w:rsid w:val="008824FE"/>
    <w:rsid w:val="00883F13"/>
    <w:rsid w:val="0088492C"/>
    <w:rsid w:val="00885970"/>
    <w:rsid w:val="00885C62"/>
    <w:rsid w:val="00885EBA"/>
    <w:rsid w:val="0088607D"/>
    <w:rsid w:val="008872E7"/>
    <w:rsid w:val="0088758A"/>
    <w:rsid w:val="00887FBA"/>
    <w:rsid w:val="008901AF"/>
    <w:rsid w:val="00890E92"/>
    <w:rsid w:val="00890FCA"/>
    <w:rsid w:val="0089101A"/>
    <w:rsid w:val="00891027"/>
    <w:rsid w:val="008911DD"/>
    <w:rsid w:val="00891CEE"/>
    <w:rsid w:val="00891EAC"/>
    <w:rsid w:val="008942E7"/>
    <w:rsid w:val="00894456"/>
    <w:rsid w:val="0089571C"/>
    <w:rsid w:val="00896860"/>
    <w:rsid w:val="00897286"/>
    <w:rsid w:val="008974C3"/>
    <w:rsid w:val="00897554"/>
    <w:rsid w:val="008A0549"/>
    <w:rsid w:val="008A0798"/>
    <w:rsid w:val="008A11B1"/>
    <w:rsid w:val="008A1C07"/>
    <w:rsid w:val="008A28C4"/>
    <w:rsid w:val="008A290D"/>
    <w:rsid w:val="008A29C2"/>
    <w:rsid w:val="008A41E6"/>
    <w:rsid w:val="008A4FF2"/>
    <w:rsid w:val="008A517B"/>
    <w:rsid w:val="008A54C8"/>
    <w:rsid w:val="008A5873"/>
    <w:rsid w:val="008A663E"/>
    <w:rsid w:val="008A71D0"/>
    <w:rsid w:val="008A78AA"/>
    <w:rsid w:val="008B048F"/>
    <w:rsid w:val="008B0C67"/>
    <w:rsid w:val="008B1088"/>
    <w:rsid w:val="008B2127"/>
    <w:rsid w:val="008B230F"/>
    <w:rsid w:val="008B3094"/>
    <w:rsid w:val="008B3135"/>
    <w:rsid w:val="008B3495"/>
    <w:rsid w:val="008B3D40"/>
    <w:rsid w:val="008B60E2"/>
    <w:rsid w:val="008B741E"/>
    <w:rsid w:val="008B7475"/>
    <w:rsid w:val="008B7DBD"/>
    <w:rsid w:val="008B7DF5"/>
    <w:rsid w:val="008B7FDF"/>
    <w:rsid w:val="008C023C"/>
    <w:rsid w:val="008C0A1F"/>
    <w:rsid w:val="008C1409"/>
    <w:rsid w:val="008C26A6"/>
    <w:rsid w:val="008C4470"/>
    <w:rsid w:val="008C5962"/>
    <w:rsid w:val="008C5AD3"/>
    <w:rsid w:val="008C5CBE"/>
    <w:rsid w:val="008C5DCD"/>
    <w:rsid w:val="008C5FD7"/>
    <w:rsid w:val="008C6D27"/>
    <w:rsid w:val="008C7D15"/>
    <w:rsid w:val="008C7DAC"/>
    <w:rsid w:val="008D0823"/>
    <w:rsid w:val="008D194B"/>
    <w:rsid w:val="008D29B0"/>
    <w:rsid w:val="008D3349"/>
    <w:rsid w:val="008D3482"/>
    <w:rsid w:val="008D369E"/>
    <w:rsid w:val="008D433F"/>
    <w:rsid w:val="008D559F"/>
    <w:rsid w:val="008D619C"/>
    <w:rsid w:val="008D66A2"/>
    <w:rsid w:val="008D78A8"/>
    <w:rsid w:val="008E135E"/>
    <w:rsid w:val="008E16F9"/>
    <w:rsid w:val="008E1C65"/>
    <w:rsid w:val="008E2491"/>
    <w:rsid w:val="008E2621"/>
    <w:rsid w:val="008E3889"/>
    <w:rsid w:val="008E3C49"/>
    <w:rsid w:val="008E452B"/>
    <w:rsid w:val="008E4F28"/>
    <w:rsid w:val="008E5E4F"/>
    <w:rsid w:val="008E6320"/>
    <w:rsid w:val="008E67B7"/>
    <w:rsid w:val="008E7B96"/>
    <w:rsid w:val="008F0291"/>
    <w:rsid w:val="008F04FB"/>
    <w:rsid w:val="008F1F71"/>
    <w:rsid w:val="008F221D"/>
    <w:rsid w:val="008F2CE2"/>
    <w:rsid w:val="008F3DDD"/>
    <w:rsid w:val="008F4918"/>
    <w:rsid w:val="008F4F89"/>
    <w:rsid w:val="008F532E"/>
    <w:rsid w:val="008F5DB7"/>
    <w:rsid w:val="008F63B5"/>
    <w:rsid w:val="008F7ACA"/>
    <w:rsid w:val="009000CE"/>
    <w:rsid w:val="009007EE"/>
    <w:rsid w:val="00902308"/>
    <w:rsid w:val="009026F3"/>
    <w:rsid w:val="00902837"/>
    <w:rsid w:val="00903182"/>
    <w:rsid w:val="0090340B"/>
    <w:rsid w:val="00903774"/>
    <w:rsid w:val="0090384F"/>
    <w:rsid w:val="00903F23"/>
    <w:rsid w:val="00904932"/>
    <w:rsid w:val="00904E40"/>
    <w:rsid w:val="00905291"/>
    <w:rsid w:val="00905F26"/>
    <w:rsid w:val="00907A9B"/>
    <w:rsid w:val="009102B5"/>
    <w:rsid w:val="00910610"/>
    <w:rsid w:val="00911005"/>
    <w:rsid w:val="00911671"/>
    <w:rsid w:val="009116F0"/>
    <w:rsid w:val="00911700"/>
    <w:rsid w:val="009117F0"/>
    <w:rsid w:val="00911BA2"/>
    <w:rsid w:val="00911E06"/>
    <w:rsid w:val="00911F8E"/>
    <w:rsid w:val="00912B1B"/>
    <w:rsid w:val="00914D48"/>
    <w:rsid w:val="00915491"/>
    <w:rsid w:val="00915D46"/>
    <w:rsid w:val="009170DE"/>
    <w:rsid w:val="009172F2"/>
    <w:rsid w:val="00917FC3"/>
    <w:rsid w:val="00920AEA"/>
    <w:rsid w:val="00921339"/>
    <w:rsid w:val="00921F40"/>
    <w:rsid w:val="009228C1"/>
    <w:rsid w:val="00923F2E"/>
    <w:rsid w:val="00924DCE"/>
    <w:rsid w:val="009255E5"/>
    <w:rsid w:val="00925847"/>
    <w:rsid w:val="00926667"/>
    <w:rsid w:val="00927F90"/>
    <w:rsid w:val="00930011"/>
    <w:rsid w:val="009305F8"/>
    <w:rsid w:val="00930BAA"/>
    <w:rsid w:val="00930D2A"/>
    <w:rsid w:val="009331EF"/>
    <w:rsid w:val="009333BB"/>
    <w:rsid w:val="0093373D"/>
    <w:rsid w:val="0093456C"/>
    <w:rsid w:val="0093462D"/>
    <w:rsid w:val="00934778"/>
    <w:rsid w:val="0093491D"/>
    <w:rsid w:val="009356C1"/>
    <w:rsid w:val="00935B33"/>
    <w:rsid w:val="009415EB"/>
    <w:rsid w:val="00941BB7"/>
    <w:rsid w:val="0094244A"/>
    <w:rsid w:val="009437E9"/>
    <w:rsid w:val="00943A67"/>
    <w:rsid w:val="00943BB1"/>
    <w:rsid w:val="00943EFA"/>
    <w:rsid w:val="00944FB4"/>
    <w:rsid w:val="0094630D"/>
    <w:rsid w:val="0094735E"/>
    <w:rsid w:val="0094743F"/>
    <w:rsid w:val="00947C07"/>
    <w:rsid w:val="00950161"/>
    <w:rsid w:val="00950382"/>
    <w:rsid w:val="00951443"/>
    <w:rsid w:val="0095159B"/>
    <w:rsid w:val="00951A0A"/>
    <w:rsid w:val="00951DA5"/>
    <w:rsid w:val="00952078"/>
    <w:rsid w:val="00952282"/>
    <w:rsid w:val="009526B8"/>
    <w:rsid w:val="00953446"/>
    <w:rsid w:val="009534CC"/>
    <w:rsid w:val="00953CA5"/>
    <w:rsid w:val="00954742"/>
    <w:rsid w:val="0095537B"/>
    <w:rsid w:val="009553C6"/>
    <w:rsid w:val="00955F2D"/>
    <w:rsid w:val="00956341"/>
    <w:rsid w:val="009566FF"/>
    <w:rsid w:val="00956F82"/>
    <w:rsid w:val="0095745C"/>
    <w:rsid w:val="00960CD0"/>
    <w:rsid w:val="00960F94"/>
    <w:rsid w:val="009611F2"/>
    <w:rsid w:val="00961E1B"/>
    <w:rsid w:val="009635E7"/>
    <w:rsid w:val="00963870"/>
    <w:rsid w:val="00963E16"/>
    <w:rsid w:val="00964467"/>
    <w:rsid w:val="00965010"/>
    <w:rsid w:val="00965C96"/>
    <w:rsid w:val="00965F4F"/>
    <w:rsid w:val="00966D46"/>
    <w:rsid w:val="009678F5"/>
    <w:rsid w:val="00967D30"/>
    <w:rsid w:val="00970341"/>
    <w:rsid w:val="009706B2"/>
    <w:rsid w:val="0097078D"/>
    <w:rsid w:val="009709BF"/>
    <w:rsid w:val="00972124"/>
    <w:rsid w:val="00972442"/>
    <w:rsid w:val="00974B9D"/>
    <w:rsid w:val="009754A0"/>
    <w:rsid w:val="00975876"/>
    <w:rsid w:val="00975A3C"/>
    <w:rsid w:val="00976350"/>
    <w:rsid w:val="0097671A"/>
    <w:rsid w:val="009774B8"/>
    <w:rsid w:val="00977B85"/>
    <w:rsid w:val="0098003F"/>
    <w:rsid w:val="00980064"/>
    <w:rsid w:val="00980810"/>
    <w:rsid w:val="0098181B"/>
    <w:rsid w:val="009821AF"/>
    <w:rsid w:val="00982A58"/>
    <w:rsid w:val="00982D59"/>
    <w:rsid w:val="00983E83"/>
    <w:rsid w:val="00983FE2"/>
    <w:rsid w:val="00984301"/>
    <w:rsid w:val="009844B5"/>
    <w:rsid w:val="009846E6"/>
    <w:rsid w:val="00985804"/>
    <w:rsid w:val="00986037"/>
    <w:rsid w:val="00986244"/>
    <w:rsid w:val="009866DB"/>
    <w:rsid w:val="00986B99"/>
    <w:rsid w:val="00986EE8"/>
    <w:rsid w:val="0098712B"/>
    <w:rsid w:val="009901EF"/>
    <w:rsid w:val="009909CA"/>
    <w:rsid w:val="009914D8"/>
    <w:rsid w:val="009922FC"/>
    <w:rsid w:val="00992A44"/>
    <w:rsid w:val="009936FF"/>
    <w:rsid w:val="0099447D"/>
    <w:rsid w:val="00995398"/>
    <w:rsid w:val="00995746"/>
    <w:rsid w:val="00995E40"/>
    <w:rsid w:val="0099603A"/>
    <w:rsid w:val="00996A55"/>
    <w:rsid w:val="00996DD5"/>
    <w:rsid w:val="00997510"/>
    <w:rsid w:val="00997807"/>
    <w:rsid w:val="00997B72"/>
    <w:rsid w:val="009A0216"/>
    <w:rsid w:val="009A02AB"/>
    <w:rsid w:val="009A0C0A"/>
    <w:rsid w:val="009A1058"/>
    <w:rsid w:val="009A157A"/>
    <w:rsid w:val="009A2965"/>
    <w:rsid w:val="009A3621"/>
    <w:rsid w:val="009A37D2"/>
    <w:rsid w:val="009A3EAF"/>
    <w:rsid w:val="009A3F1F"/>
    <w:rsid w:val="009A49C9"/>
    <w:rsid w:val="009A4BAC"/>
    <w:rsid w:val="009A5641"/>
    <w:rsid w:val="009A5F4B"/>
    <w:rsid w:val="009A70E0"/>
    <w:rsid w:val="009A73FF"/>
    <w:rsid w:val="009B013E"/>
    <w:rsid w:val="009B0853"/>
    <w:rsid w:val="009B26D1"/>
    <w:rsid w:val="009B2EB4"/>
    <w:rsid w:val="009B4FDA"/>
    <w:rsid w:val="009B5DB6"/>
    <w:rsid w:val="009B6005"/>
    <w:rsid w:val="009B6586"/>
    <w:rsid w:val="009B6C2A"/>
    <w:rsid w:val="009B739A"/>
    <w:rsid w:val="009C0E2A"/>
    <w:rsid w:val="009C1D42"/>
    <w:rsid w:val="009C2256"/>
    <w:rsid w:val="009C2B83"/>
    <w:rsid w:val="009C4033"/>
    <w:rsid w:val="009C5632"/>
    <w:rsid w:val="009C60CE"/>
    <w:rsid w:val="009D1412"/>
    <w:rsid w:val="009D1DF5"/>
    <w:rsid w:val="009D292D"/>
    <w:rsid w:val="009D31F8"/>
    <w:rsid w:val="009D378C"/>
    <w:rsid w:val="009D3860"/>
    <w:rsid w:val="009D5CE3"/>
    <w:rsid w:val="009D626D"/>
    <w:rsid w:val="009D6400"/>
    <w:rsid w:val="009D72C2"/>
    <w:rsid w:val="009E0726"/>
    <w:rsid w:val="009E08BB"/>
    <w:rsid w:val="009E2199"/>
    <w:rsid w:val="009E2382"/>
    <w:rsid w:val="009E3024"/>
    <w:rsid w:val="009E38AF"/>
    <w:rsid w:val="009E39EA"/>
    <w:rsid w:val="009E3CC2"/>
    <w:rsid w:val="009E4023"/>
    <w:rsid w:val="009E43D9"/>
    <w:rsid w:val="009E44CB"/>
    <w:rsid w:val="009E50A6"/>
    <w:rsid w:val="009E58E6"/>
    <w:rsid w:val="009E7157"/>
    <w:rsid w:val="009F181B"/>
    <w:rsid w:val="009F1D24"/>
    <w:rsid w:val="009F23BB"/>
    <w:rsid w:val="009F3208"/>
    <w:rsid w:val="009F348B"/>
    <w:rsid w:val="009F37D6"/>
    <w:rsid w:val="009F3F0F"/>
    <w:rsid w:val="009F4106"/>
    <w:rsid w:val="009F415D"/>
    <w:rsid w:val="009F67E9"/>
    <w:rsid w:val="009F6D6C"/>
    <w:rsid w:val="009F79A2"/>
    <w:rsid w:val="00A017B3"/>
    <w:rsid w:val="00A01A4A"/>
    <w:rsid w:val="00A01C3F"/>
    <w:rsid w:val="00A01E85"/>
    <w:rsid w:val="00A02C45"/>
    <w:rsid w:val="00A03EFA"/>
    <w:rsid w:val="00A042A8"/>
    <w:rsid w:val="00A06AB0"/>
    <w:rsid w:val="00A06C95"/>
    <w:rsid w:val="00A06EFB"/>
    <w:rsid w:val="00A1023C"/>
    <w:rsid w:val="00A10548"/>
    <w:rsid w:val="00A10714"/>
    <w:rsid w:val="00A111ED"/>
    <w:rsid w:val="00A117F6"/>
    <w:rsid w:val="00A120BC"/>
    <w:rsid w:val="00A12278"/>
    <w:rsid w:val="00A12638"/>
    <w:rsid w:val="00A13A83"/>
    <w:rsid w:val="00A13CE1"/>
    <w:rsid w:val="00A13E00"/>
    <w:rsid w:val="00A14932"/>
    <w:rsid w:val="00A1498C"/>
    <w:rsid w:val="00A14B29"/>
    <w:rsid w:val="00A1628F"/>
    <w:rsid w:val="00A163A2"/>
    <w:rsid w:val="00A16C89"/>
    <w:rsid w:val="00A171A9"/>
    <w:rsid w:val="00A17B7C"/>
    <w:rsid w:val="00A20096"/>
    <w:rsid w:val="00A20642"/>
    <w:rsid w:val="00A20643"/>
    <w:rsid w:val="00A217D2"/>
    <w:rsid w:val="00A21EF8"/>
    <w:rsid w:val="00A22677"/>
    <w:rsid w:val="00A23384"/>
    <w:rsid w:val="00A241E8"/>
    <w:rsid w:val="00A24479"/>
    <w:rsid w:val="00A255FA"/>
    <w:rsid w:val="00A26AB9"/>
    <w:rsid w:val="00A26EB1"/>
    <w:rsid w:val="00A27325"/>
    <w:rsid w:val="00A2772B"/>
    <w:rsid w:val="00A3031B"/>
    <w:rsid w:val="00A3056B"/>
    <w:rsid w:val="00A30602"/>
    <w:rsid w:val="00A31439"/>
    <w:rsid w:val="00A31F80"/>
    <w:rsid w:val="00A327A7"/>
    <w:rsid w:val="00A32D79"/>
    <w:rsid w:val="00A33203"/>
    <w:rsid w:val="00A33C81"/>
    <w:rsid w:val="00A3455E"/>
    <w:rsid w:val="00A3674D"/>
    <w:rsid w:val="00A36770"/>
    <w:rsid w:val="00A37025"/>
    <w:rsid w:val="00A4096D"/>
    <w:rsid w:val="00A40EE1"/>
    <w:rsid w:val="00A40EE2"/>
    <w:rsid w:val="00A42D29"/>
    <w:rsid w:val="00A430B5"/>
    <w:rsid w:val="00A46D6B"/>
    <w:rsid w:val="00A47064"/>
    <w:rsid w:val="00A47616"/>
    <w:rsid w:val="00A47C7A"/>
    <w:rsid w:val="00A50F85"/>
    <w:rsid w:val="00A51737"/>
    <w:rsid w:val="00A51FF7"/>
    <w:rsid w:val="00A526BE"/>
    <w:rsid w:val="00A52ABB"/>
    <w:rsid w:val="00A52D95"/>
    <w:rsid w:val="00A52D97"/>
    <w:rsid w:val="00A534AF"/>
    <w:rsid w:val="00A540E9"/>
    <w:rsid w:val="00A55630"/>
    <w:rsid w:val="00A5616C"/>
    <w:rsid w:val="00A56320"/>
    <w:rsid w:val="00A564E2"/>
    <w:rsid w:val="00A56893"/>
    <w:rsid w:val="00A56AE9"/>
    <w:rsid w:val="00A56D10"/>
    <w:rsid w:val="00A5723B"/>
    <w:rsid w:val="00A57479"/>
    <w:rsid w:val="00A57F1B"/>
    <w:rsid w:val="00A6039B"/>
    <w:rsid w:val="00A6067D"/>
    <w:rsid w:val="00A60C3E"/>
    <w:rsid w:val="00A60CE6"/>
    <w:rsid w:val="00A619BE"/>
    <w:rsid w:val="00A62987"/>
    <w:rsid w:val="00A62C1E"/>
    <w:rsid w:val="00A62D75"/>
    <w:rsid w:val="00A62E72"/>
    <w:rsid w:val="00A63636"/>
    <w:rsid w:val="00A639B7"/>
    <w:rsid w:val="00A63D66"/>
    <w:rsid w:val="00A651F2"/>
    <w:rsid w:val="00A654B8"/>
    <w:rsid w:val="00A658E3"/>
    <w:rsid w:val="00A65E3A"/>
    <w:rsid w:val="00A66738"/>
    <w:rsid w:val="00A6688C"/>
    <w:rsid w:val="00A67B22"/>
    <w:rsid w:val="00A67CEE"/>
    <w:rsid w:val="00A70663"/>
    <w:rsid w:val="00A7106F"/>
    <w:rsid w:val="00A71F5F"/>
    <w:rsid w:val="00A725EA"/>
    <w:rsid w:val="00A73E5C"/>
    <w:rsid w:val="00A741CC"/>
    <w:rsid w:val="00A74AAC"/>
    <w:rsid w:val="00A74C59"/>
    <w:rsid w:val="00A761EF"/>
    <w:rsid w:val="00A76B10"/>
    <w:rsid w:val="00A801EB"/>
    <w:rsid w:val="00A80FEB"/>
    <w:rsid w:val="00A81191"/>
    <w:rsid w:val="00A813AC"/>
    <w:rsid w:val="00A813DA"/>
    <w:rsid w:val="00A850D2"/>
    <w:rsid w:val="00A85B3D"/>
    <w:rsid w:val="00A85B6E"/>
    <w:rsid w:val="00A863D5"/>
    <w:rsid w:val="00A86C9C"/>
    <w:rsid w:val="00A86E16"/>
    <w:rsid w:val="00A8716C"/>
    <w:rsid w:val="00A87560"/>
    <w:rsid w:val="00A87DE5"/>
    <w:rsid w:val="00A87E71"/>
    <w:rsid w:val="00A9009F"/>
    <w:rsid w:val="00A90364"/>
    <w:rsid w:val="00A90581"/>
    <w:rsid w:val="00A91940"/>
    <w:rsid w:val="00A91AFF"/>
    <w:rsid w:val="00A9216B"/>
    <w:rsid w:val="00A9217C"/>
    <w:rsid w:val="00A92650"/>
    <w:rsid w:val="00A928D3"/>
    <w:rsid w:val="00A92F94"/>
    <w:rsid w:val="00A93979"/>
    <w:rsid w:val="00A94C55"/>
    <w:rsid w:val="00A95533"/>
    <w:rsid w:val="00A95CF9"/>
    <w:rsid w:val="00A966A5"/>
    <w:rsid w:val="00A96A21"/>
    <w:rsid w:val="00A96CE2"/>
    <w:rsid w:val="00A97229"/>
    <w:rsid w:val="00A9742C"/>
    <w:rsid w:val="00AA010F"/>
    <w:rsid w:val="00AA07A0"/>
    <w:rsid w:val="00AA0C6C"/>
    <w:rsid w:val="00AA0F67"/>
    <w:rsid w:val="00AA1A12"/>
    <w:rsid w:val="00AA2BB8"/>
    <w:rsid w:val="00AA3463"/>
    <w:rsid w:val="00AA3769"/>
    <w:rsid w:val="00AA3A28"/>
    <w:rsid w:val="00AA5D23"/>
    <w:rsid w:val="00AA67C0"/>
    <w:rsid w:val="00AA76F1"/>
    <w:rsid w:val="00AB01E2"/>
    <w:rsid w:val="00AB0431"/>
    <w:rsid w:val="00AB08B1"/>
    <w:rsid w:val="00AB200C"/>
    <w:rsid w:val="00AB24A4"/>
    <w:rsid w:val="00AB3582"/>
    <w:rsid w:val="00AB380D"/>
    <w:rsid w:val="00AB38B4"/>
    <w:rsid w:val="00AB4BBB"/>
    <w:rsid w:val="00AB4C0E"/>
    <w:rsid w:val="00AB4C33"/>
    <w:rsid w:val="00AB4F35"/>
    <w:rsid w:val="00AB527A"/>
    <w:rsid w:val="00AB5291"/>
    <w:rsid w:val="00AB52AD"/>
    <w:rsid w:val="00AB5F48"/>
    <w:rsid w:val="00AB65CA"/>
    <w:rsid w:val="00AB7284"/>
    <w:rsid w:val="00AB7B8B"/>
    <w:rsid w:val="00AB7E25"/>
    <w:rsid w:val="00AC0489"/>
    <w:rsid w:val="00AC0646"/>
    <w:rsid w:val="00AC1418"/>
    <w:rsid w:val="00AC161E"/>
    <w:rsid w:val="00AC2111"/>
    <w:rsid w:val="00AC23D5"/>
    <w:rsid w:val="00AC2D23"/>
    <w:rsid w:val="00AC41BF"/>
    <w:rsid w:val="00AC5429"/>
    <w:rsid w:val="00AC5922"/>
    <w:rsid w:val="00AC5AB3"/>
    <w:rsid w:val="00AC79E3"/>
    <w:rsid w:val="00AC7BB6"/>
    <w:rsid w:val="00AD0841"/>
    <w:rsid w:val="00AD10DA"/>
    <w:rsid w:val="00AD1594"/>
    <w:rsid w:val="00AD16DC"/>
    <w:rsid w:val="00AD1FBC"/>
    <w:rsid w:val="00AD282D"/>
    <w:rsid w:val="00AD3ABC"/>
    <w:rsid w:val="00AD5BCB"/>
    <w:rsid w:val="00AD634D"/>
    <w:rsid w:val="00AD67C2"/>
    <w:rsid w:val="00AD6891"/>
    <w:rsid w:val="00AD6DA0"/>
    <w:rsid w:val="00AD7470"/>
    <w:rsid w:val="00AD77EF"/>
    <w:rsid w:val="00AE0C10"/>
    <w:rsid w:val="00AE129E"/>
    <w:rsid w:val="00AE13A4"/>
    <w:rsid w:val="00AE1607"/>
    <w:rsid w:val="00AE1DB6"/>
    <w:rsid w:val="00AE2036"/>
    <w:rsid w:val="00AE2116"/>
    <w:rsid w:val="00AE232C"/>
    <w:rsid w:val="00AE24A6"/>
    <w:rsid w:val="00AE3220"/>
    <w:rsid w:val="00AE49DA"/>
    <w:rsid w:val="00AE621D"/>
    <w:rsid w:val="00AE62FE"/>
    <w:rsid w:val="00AE6466"/>
    <w:rsid w:val="00AE64F4"/>
    <w:rsid w:val="00AE6D30"/>
    <w:rsid w:val="00AE7123"/>
    <w:rsid w:val="00AE7452"/>
    <w:rsid w:val="00AE7952"/>
    <w:rsid w:val="00AE7F29"/>
    <w:rsid w:val="00AE7FC9"/>
    <w:rsid w:val="00AF101A"/>
    <w:rsid w:val="00AF11C2"/>
    <w:rsid w:val="00AF230A"/>
    <w:rsid w:val="00AF2A54"/>
    <w:rsid w:val="00AF2D63"/>
    <w:rsid w:val="00AF7190"/>
    <w:rsid w:val="00AF73DB"/>
    <w:rsid w:val="00B0123F"/>
    <w:rsid w:val="00B01334"/>
    <w:rsid w:val="00B01CEA"/>
    <w:rsid w:val="00B02670"/>
    <w:rsid w:val="00B02904"/>
    <w:rsid w:val="00B032DE"/>
    <w:rsid w:val="00B03B19"/>
    <w:rsid w:val="00B04149"/>
    <w:rsid w:val="00B0414E"/>
    <w:rsid w:val="00B05769"/>
    <w:rsid w:val="00B06A84"/>
    <w:rsid w:val="00B06B7E"/>
    <w:rsid w:val="00B06C3E"/>
    <w:rsid w:val="00B073DB"/>
    <w:rsid w:val="00B07423"/>
    <w:rsid w:val="00B0758A"/>
    <w:rsid w:val="00B07595"/>
    <w:rsid w:val="00B12A6D"/>
    <w:rsid w:val="00B13554"/>
    <w:rsid w:val="00B13B7A"/>
    <w:rsid w:val="00B15367"/>
    <w:rsid w:val="00B155D4"/>
    <w:rsid w:val="00B1599B"/>
    <w:rsid w:val="00B15FA1"/>
    <w:rsid w:val="00B20541"/>
    <w:rsid w:val="00B20856"/>
    <w:rsid w:val="00B20988"/>
    <w:rsid w:val="00B20D5E"/>
    <w:rsid w:val="00B22C72"/>
    <w:rsid w:val="00B2300A"/>
    <w:rsid w:val="00B2403F"/>
    <w:rsid w:val="00B240EA"/>
    <w:rsid w:val="00B24CA0"/>
    <w:rsid w:val="00B25161"/>
    <w:rsid w:val="00B25A9D"/>
    <w:rsid w:val="00B268B5"/>
    <w:rsid w:val="00B273D9"/>
    <w:rsid w:val="00B2754C"/>
    <w:rsid w:val="00B27BA5"/>
    <w:rsid w:val="00B312CC"/>
    <w:rsid w:val="00B33BA6"/>
    <w:rsid w:val="00B3462E"/>
    <w:rsid w:val="00B3489D"/>
    <w:rsid w:val="00B348A7"/>
    <w:rsid w:val="00B34D52"/>
    <w:rsid w:val="00B35A85"/>
    <w:rsid w:val="00B36ECA"/>
    <w:rsid w:val="00B37A83"/>
    <w:rsid w:val="00B37D47"/>
    <w:rsid w:val="00B40046"/>
    <w:rsid w:val="00B40185"/>
    <w:rsid w:val="00B408EE"/>
    <w:rsid w:val="00B409C3"/>
    <w:rsid w:val="00B40AB5"/>
    <w:rsid w:val="00B438CD"/>
    <w:rsid w:val="00B43A02"/>
    <w:rsid w:val="00B43B37"/>
    <w:rsid w:val="00B4459F"/>
    <w:rsid w:val="00B453D5"/>
    <w:rsid w:val="00B455C9"/>
    <w:rsid w:val="00B45AFC"/>
    <w:rsid w:val="00B46259"/>
    <w:rsid w:val="00B4665F"/>
    <w:rsid w:val="00B46857"/>
    <w:rsid w:val="00B505CD"/>
    <w:rsid w:val="00B50A83"/>
    <w:rsid w:val="00B50F8A"/>
    <w:rsid w:val="00B51029"/>
    <w:rsid w:val="00B5154D"/>
    <w:rsid w:val="00B51C5C"/>
    <w:rsid w:val="00B5224F"/>
    <w:rsid w:val="00B5226C"/>
    <w:rsid w:val="00B54491"/>
    <w:rsid w:val="00B54E6C"/>
    <w:rsid w:val="00B55A87"/>
    <w:rsid w:val="00B55C3D"/>
    <w:rsid w:val="00B56D0B"/>
    <w:rsid w:val="00B5712D"/>
    <w:rsid w:val="00B5766A"/>
    <w:rsid w:val="00B57976"/>
    <w:rsid w:val="00B605F5"/>
    <w:rsid w:val="00B60990"/>
    <w:rsid w:val="00B609A4"/>
    <w:rsid w:val="00B61551"/>
    <w:rsid w:val="00B61941"/>
    <w:rsid w:val="00B61DC4"/>
    <w:rsid w:val="00B63617"/>
    <w:rsid w:val="00B65217"/>
    <w:rsid w:val="00B659D3"/>
    <w:rsid w:val="00B666CF"/>
    <w:rsid w:val="00B670DF"/>
    <w:rsid w:val="00B67B96"/>
    <w:rsid w:val="00B67BA4"/>
    <w:rsid w:val="00B67F4C"/>
    <w:rsid w:val="00B709CA"/>
    <w:rsid w:val="00B70C7F"/>
    <w:rsid w:val="00B717AA"/>
    <w:rsid w:val="00B71866"/>
    <w:rsid w:val="00B71C5E"/>
    <w:rsid w:val="00B7212B"/>
    <w:rsid w:val="00B72189"/>
    <w:rsid w:val="00B72CF0"/>
    <w:rsid w:val="00B73BA4"/>
    <w:rsid w:val="00B73FC4"/>
    <w:rsid w:val="00B771D7"/>
    <w:rsid w:val="00B801B2"/>
    <w:rsid w:val="00B80BA1"/>
    <w:rsid w:val="00B8277D"/>
    <w:rsid w:val="00B83214"/>
    <w:rsid w:val="00B83404"/>
    <w:rsid w:val="00B842B5"/>
    <w:rsid w:val="00B8475D"/>
    <w:rsid w:val="00B84C5D"/>
    <w:rsid w:val="00B85251"/>
    <w:rsid w:val="00B853CC"/>
    <w:rsid w:val="00B8661E"/>
    <w:rsid w:val="00B86927"/>
    <w:rsid w:val="00B86B6B"/>
    <w:rsid w:val="00B86B8B"/>
    <w:rsid w:val="00B86E84"/>
    <w:rsid w:val="00B86E85"/>
    <w:rsid w:val="00B872D1"/>
    <w:rsid w:val="00B87A9B"/>
    <w:rsid w:val="00B905D2"/>
    <w:rsid w:val="00B910B1"/>
    <w:rsid w:val="00B91988"/>
    <w:rsid w:val="00B9293C"/>
    <w:rsid w:val="00B93074"/>
    <w:rsid w:val="00B934D2"/>
    <w:rsid w:val="00B93F6D"/>
    <w:rsid w:val="00B94815"/>
    <w:rsid w:val="00B94E9B"/>
    <w:rsid w:val="00B95C14"/>
    <w:rsid w:val="00B97669"/>
    <w:rsid w:val="00BA0429"/>
    <w:rsid w:val="00BA1F3D"/>
    <w:rsid w:val="00BA2104"/>
    <w:rsid w:val="00BA306B"/>
    <w:rsid w:val="00BA3CAD"/>
    <w:rsid w:val="00BA43D9"/>
    <w:rsid w:val="00BA44D7"/>
    <w:rsid w:val="00BA4780"/>
    <w:rsid w:val="00BA480A"/>
    <w:rsid w:val="00BA5482"/>
    <w:rsid w:val="00BA55AE"/>
    <w:rsid w:val="00BA57AA"/>
    <w:rsid w:val="00BA59DD"/>
    <w:rsid w:val="00BA6992"/>
    <w:rsid w:val="00BB07A1"/>
    <w:rsid w:val="00BB0ACE"/>
    <w:rsid w:val="00BB0D13"/>
    <w:rsid w:val="00BB1AA6"/>
    <w:rsid w:val="00BB2AAF"/>
    <w:rsid w:val="00BB32F3"/>
    <w:rsid w:val="00BB45A2"/>
    <w:rsid w:val="00BB4AAB"/>
    <w:rsid w:val="00BB54E7"/>
    <w:rsid w:val="00BB6859"/>
    <w:rsid w:val="00BB6EA4"/>
    <w:rsid w:val="00BB78B5"/>
    <w:rsid w:val="00BB7A07"/>
    <w:rsid w:val="00BC060A"/>
    <w:rsid w:val="00BC0656"/>
    <w:rsid w:val="00BC08DD"/>
    <w:rsid w:val="00BC0C42"/>
    <w:rsid w:val="00BC114A"/>
    <w:rsid w:val="00BC1F7F"/>
    <w:rsid w:val="00BC2EF9"/>
    <w:rsid w:val="00BC3A91"/>
    <w:rsid w:val="00BC5979"/>
    <w:rsid w:val="00BC62E7"/>
    <w:rsid w:val="00BC6E1E"/>
    <w:rsid w:val="00BC6FE3"/>
    <w:rsid w:val="00BD0303"/>
    <w:rsid w:val="00BD0401"/>
    <w:rsid w:val="00BD1456"/>
    <w:rsid w:val="00BD181F"/>
    <w:rsid w:val="00BD18C1"/>
    <w:rsid w:val="00BD192E"/>
    <w:rsid w:val="00BD1AD5"/>
    <w:rsid w:val="00BD26F5"/>
    <w:rsid w:val="00BD2E91"/>
    <w:rsid w:val="00BD3B5B"/>
    <w:rsid w:val="00BD516D"/>
    <w:rsid w:val="00BD528E"/>
    <w:rsid w:val="00BD55C7"/>
    <w:rsid w:val="00BD7718"/>
    <w:rsid w:val="00BD7835"/>
    <w:rsid w:val="00BE2F38"/>
    <w:rsid w:val="00BE326C"/>
    <w:rsid w:val="00BE4067"/>
    <w:rsid w:val="00BE571C"/>
    <w:rsid w:val="00BE6D35"/>
    <w:rsid w:val="00BE7036"/>
    <w:rsid w:val="00BE7103"/>
    <w:rsid w:val="00BE7A42"/>
    <w:rsid w:val="00BE7B1A"/>
    <w:rsid w:val="00BF006D"/>
    <w:rsid w:val="00BF00F3"/>
    <w:rsid w:val="00BF04FB"/>
    <w:rsid w:val="00BF0CF7"/>
    <w:rsid w:val="00BF1393"/>
    <w:rsid w:val="00BF2D9E"/>
    <w:rsid w:val="00BF3511"/>
    <w:rsid w:val="00BF3AB4"/>
    <w:rsid w:val="00BF4187"/>
    <w:rsid w:val="00BF45F7"/>
    <w:rsid w:val="00BF4652"/>
    <w:rsid w:val="00BF5B8F"/>
    <w:rsid w:val="00BF5EAB"/>
    <w:rsid w:val="00BF7CAB"/>
    <w:rsid w:val="00BF7D80"/>
    <w:rsid w:val="00C0025D"/>
    <w:rsid w:val="00C00467"/>
    <w:rsid w:val="00C010E4"/>
    <w:rsid w:val="00C01C38"/>
    <w:rsid w:val="00C02692"/>
    <w:rsid w:val="00C02EB9"/>
    <w:rsid w:val="00C02F12"/>
    <w:rsid w:val="00C02FF5"/>
    <w:rsid w:val="00C032C3"/>
    <w:rsid w:val="00C03CB4"/>
    <w:rsid w:val="00C03EC6"/>
    <w:rsid w:val="00C041AB"/>
    <w:rsid w:val="00C05F32"/>
    <w:rsid w:val="00C06B8F"/>
    <w:rsid w:val="00C07084"/>
    <w:rsid w:val="00C07AB1"/>
    <w:rsid w:val="00C10A6D"/>
    <w:rsid w:val="00C11043"/>
    <w:rsid w:val="00C11E87"/>
    <w:rsid w:val="00C12079"/>
    <w:rsid w:val="00C12403"/>
    <w:rsid w:val="00C12AD6"/>
    <w:rsid w:val="00C13FB5"/>
    <w:rsid w:val="00C146B3"/>
    <w:rsid w:val="00C149D9"/>
    <w:rsid w:val="00C14BC7"/>
    <w:rsid w:val="00C14F43"/>
    <w:rsid w:val="00C15786"/>
    <w:rsid w:val="00C1714A"/>
    <w:rsid w:val="00C17A3B"/>
    <w:rsid w:val="00C17E0E"/>
    <w:rsid w:val="00C2266A"/>
    <w:rsid w:val="00C227BD"/>
    <w:rsid w:val="00C23698"/>
    <w:rsid w:val="00C24E83"/>
    <w:rsid w:val="00C2539C"/>
    <w:rsid w:val="00C25621"/>
    <w:rsid w:val="00C25A87"/>
    <w:rsid w:val="00C25D8B"/>
    <w:rsid w:val="00C271E8"/>
    <w:rsid w:val="00C277AE"/>
    <w:rsid w:val="00C317C5"/>
    <w:rsid w:val="00C31AE4"/>
    <w:rsid w:val="00C31FA1"/>
    <w:rsid w:val="00C32917"/>
    <w:rsid w:val="00C332B5"/>
    <w:rsid w:val="00C334F4"/>
    <w:rsid w:val="00C3392D"/>
    <w:rsid w:val="00C3396A"/>
    <w:rsid w:val="00C33ED6"/>
    <w:rsid w:val="00C3454D"/>
    <w:rsid w:val="00C3681D"/>
    <w:rsid w:val="00C369E6"/>
    <w:rsid w:val="00C36C23"/>
    <w:rsid w:val="00C375EA"/>
    <w:rsid w:val="00C408F8"/>
    <w:rsid w:val="00C40904"/>
    <w:rsid w:val="00C410ED"/>
    <w:rsid w:val="00C43AD8"/>
    <w:rsid w:val="00C453F5"/>
    <w:rsid w:val="00C463E3"/>
    <w:rsid w:val="00C469A5"/>
    <w:rsid w:val="00C47352"/>
    <w:rsid w:val="00C476A6"/>
    <w:rsid w:val="00C47E1D"/>
    <w:rsid w:val="00C510C6"/>
    <w:rsid w:val="00C519FB"/>
    <w:rsid w:val="00C5413F"/>
    <w:rsid w:val="00C54943"/>
    <w:rsid w:val="00C5522F"/>
    <w:rsid w:val="00C55A80"/>
    <w:rsid w:val="00C55B98"/>
    <w:rsid w:val="00C571DA"/>
    <w:rsid w:val="00C57490"/>
    <w:rsid w:val="00C57BB2"/>
    <w:rsid w:val="00C57F17"/>
    <w:rsid w:val="00C613F4"/>
    <w:rsid w:val="00C61C2E"/>
    <w:rsid w:val="00C61E48"/>
    <w:rsid w:val="00C6242A"/>
    <w:rsid w:val="00C625CF"/>
    <w:rsid w:val="00C62E1E"/>
    <w:rsid w:val="00C63075"/>
    <w:rsid w:val="00C65558"/>
    <w:rsid w:val="00C6758D"/>
    <w:rsid w:val="00C67DD9"/>
    <w:rsid w:val="00C71021"/>
    <w:rsid w:val="00C71446"/>
    <w:rsid w:val="00C71F0B"/>
    <w:rsid w:val="00C72C4A"/>
    <w:rsid w:val="00C73133"/>
    <w:rsid w:val="00C73A67"/>
    <w:rsid w:val="00C744AB"/>
    <w:rsid w:val="00C74691"/>
    <w:rsid w:val="00C74DA6"/>
    <w:rsid w:val="00C74E3D"/>
    <w:rsid w:val="00C74E4D"/>
    <w:rsid w:val="00C74EEA"/>
    <w:rsid w:val="00C75A4F"/>
    <w:rsid w:val="00C75C3F"/>
    <w:rsid w:val="00C75DB4"/>
    <w:rsid w:val="00C766CC"/>
    <w:rsid w:val="00C779B5"/>
    <w:rsid w:val="00C77A39"/>
    <w:rsid w:val="00C814C0"/>
    <w:rsid w:val="00C81DA9"/>
    <w:rsid w:val="00C81FBD"/>
    <w:rsid w:val="00C82955"/>
    <w:rsid w:val="00C83443"/>
    <w:rsid w:val="00C83574"/>
    <w:rsid w:val="00C83769"/>
    <w:rsid w:val="00C83D00"/>
    <w:rsid w:val="00C8421D"/>
    <w:rsid w:val="00C843AF"/>
    <w:rsid w:val="00C84957"/>
    <w:rsid w:val="00C84CC8"/>
    <w:rsid w:val="00C85E4C"/>
    <w:rsid w:val="00C86149"/>
    <w:rsid w:val="00C86F8D"/>
    <w:rsid w:val="00C9207A"/>
    <w:rsid w:val="00C93FA8"/>
    <w:rsid w:val="00C94EBD"/>
    <w:rsid w:val="00C95503"/>
    <w:rsid w:val="00C958EA"/>
    <w:rsid w:val="00C96297"/>
    <w:rsid w:val="00C97484"/>
    <w:rsid w:val="00CA0148"/>
    <w:rsid w:val="00CA1448"/>
    <w:rsid w:val="00CA14C2"/>
    <w:rsid w:val="00CA15B6"/>
    <w:rsid w:val="00CA1CD9"/>
    <w:rsid w:val="00CA2834"/>
    <w:rsid w:val="00CA2A29"/>
    <w:rsid w:val="00CA32B2"/>
    <w:rsid w:val="00CA375A"/>
    <w:rsid w:val="00CA3CD2"/>
    <w:rsid w:val="00CA41C7"/>
    <w:rsid w:val="00CA4E1D"/>
    <w:rsid w:val="00CA5009"/>
    <w:rsid w:val="00CA64BC"/>
    <w:rsid w:val="00CA65C9"/>
    <w:rsid w:val="00CA7DE8"/>
    <w:rsid w:val="00CB0A72"/>
    <w:rsid w:val="00CB0DA3"/>
    <w:rsid w:val="00CB13C6"/>
    <w:rsid w:val="00CB18B4"/>
    <w:rsid w:val="00CB1ED7"/>
    <w:rsid w:val="00CB20E5"/>
    <w:rsid w:val="00CB34A2"/>
    <w:rsid w:val="00CB39E0"/>
    <w:rsid w:val="00CB3A6E"/>
    <w:rsid w:val="00CB50DD"/>
    <w:rsid w:val="00CB5BE6"/>
    <w:rsid w:val="00CB69D6"/>
    <w:rsid w:val="00CB6EE1"/>
    <w:rsid w:val="00CB7DBA"/>
    <w:rsid w:val="00CC0098"/>
    <w:rsid w:val="00CC00A0"/>
    <w:rsid w:val="00CC1408"/>
    <w:rsid w:val="00CC15AB"/>
    <w:rsid w:val="00CC190A"/>
    <w:rsid w:val="00CC21DE"/>
    <w:rsid w:val="00CC2356"/>
    <w:rsid w:val="00CC3F24"/>
    <w:rsid w:val="00CC3FED"/>
    <w:rsid w:val="00CC415E"/>
    <w:rsid w:val="00CC489E"/>
    <w:rsid w:val="00CC625A"/>
    <w:rsid w:val="00CC634E"/>
    <w:rsid w:val="00CC7263"/>
    <w:rsid w:val="00CC748C"/>
    <w:rsid w:val="00CC7B98"/>
    <w:rsid w:val="00CD0295"/>
    <w:rsid w:val="00CD071F"/>
    <w:rsid w:val="00CD0D03"/>
    <w:rsid w:val="00CD0FBC"/>
    <w:rsid w:val="00CD1148"/>
    <w:rsid w:val="00CD161C"/>
    <w:rsid w:val="00CD3D3A"/>
    <w:rsid w:val="00CD44AE"/>
    <w:rsid w:val="00CD4FE9"/>
    <w:rsid w:val="00CD6106"/>
    <w:rsid w:val="00CD6E4E"/>
    <w:rsid w:val="00CD73D9"/>
    <w:rsid w:val="00CD74B5"/>
    <w:rsid w:val="00CD79C5"/>
    <w:rsid w:val="00CE05AB"/>
    <w:rsid w:val="00CE100C"/>
    <w:rsid w:val="00CE1139"/>
    <w:rsid w:val="00CE1CE8"/>
    <w:rsid w:val="00CE2572"/>
    <w:rsid w:val="00CE25F8"/>
    <w:rsid w:val="00CE28F5"/>
    <w:rsid w:val="00CE2D39"/>
    <w:rsid w:val="00CE5122"/>
    <w:rsid w:val="00CE5A76"/>
    <w:rsid w:val="00CE61F3"/>
    <w:rsid w:val="00CE625C"/>
    <w:rsid w:val="00CE6EF5"/>
    <w:rsid w:val="00CE7219"/>
    <w:rsid w:val="00CE7EB2"/>
    <w:rsid w:val="00CF03E0"/>
    <w:rsid w:val="00CF0A94"/>
    <w:rsid w:val="00CF0AF1"/>
    <w:rsid w:val="00CF1749"/>
    <w:rsid w:val="00CF1E3D"/>
    <w:rsid w:val="00CF2696"/>
    <w:rsid w:val="00CF27C4"/>
    <w:rsid w:val="00CF289A"/>
    <w:rsid w:val="00CF3F95"/>
    <w:rsid w:val="00CF4EC7"/>
    <w:rsid w:val="00CF6299"/>
    <w:rsid w:val="00CF63C0"/>
    <w:rsid w:val="00CF69A7"/>
    <w:rsid w:val="00CF6F94"/>
    <w:rsid w:val="00CF723B"/>
    <w:rsid w:val="00D001D3"/>
    <w:rsid w:val="00D00430"/>
    <w:rsid w:val="00D018D5"/>
    <w:rsid w:val="00D020C1"/>
    <w:rsid w:val="00D02CFA"/>
    <w:rsid w:val="00D031B8"/>
    <w:rsid w:val="00D03701"/>
    <w:rsid w:val="00D03ABE"/>
    <w:rsid w:val="00D03DFD"/>
    <w:rsid w:val="00D0432D"/>
    <w:rsid w:val="00D04712"/>
    <w:rsid w:val="00D0481B"/>
    <w:rsid w:val="00D04D78"/>
    <w:rsid w:val="00D055F1"/>
    <w:rsid w:val="00D06052"/>
    <w:rsid w:val="00D06162"/>
    <w:rsid w:val="00D06420"/>
    <w:rsid w:val="00D0701F"/>
    <w:rsid w:val="00D077E3"/>
    <w:rsid w:val="00D07A59"/>
    <w:rsid w:val="00D11A66"/>
    <w:rsid w:val="00D12606"/>
    <w:rsid w:val="00D13146"/>
    <w:rsid w:val="00D131CE"/>
    <w:rsid w:val="00D15AA1"/>
    <w:rsid w:val="00D15B61"/>
    <w:rsid w:val="00D16794"/>
    <w:rsid w:val="00D17FD8"/>
    <w:rsid w:val="00D20529"/>
    <w:rsid w:val="00D20CBF"/>
    <w:rsid w:val="00D21052"/>
    <w:rsid w:val="00D21140"/>
    <w:rsid w:val="00D21EAA"/>
    <w:rsid w:val="00D21F29"/>
    <w:rsid w:val="00D228F8"/>
    <w:rsid w:val="00D22E02"/>
    <w:rsid w:val="00D2417D"/>
    <w:rsid w:val="00D24498"/>
    <w:rsid w:val="00D24615"/>
    <w:rsid w:val="00D24F15"/>
    <w:rsid w:val="00D25CBC"/>
    <w:rsid w:val="00D2679D"/>
    <w:rsid w:val="00D26F6F"/>
    <w:rsid w:val="00D27467"/>
    <w:rsid w:val="00D300B3"/>
    <w:rsid w:val="00D30AF1"/>
    <w:rsid w:val="00D30F33"/>
    <w:rsid w:val="00D31457"/>
    <w:rsid w:val="00D31AB5"/>
    <w:rsid w:val="00D31E59"/>
    <w:rsid w:val="00D32975"/>
    <w:rsid w:val="00D34C54"/>
    <w:rsid w:val="00D34E49"/>
    <w:rsid w:val="00D3555C"/>
    <w:rsid w:val="00D3572A"/>
    <w:rsid w:val="00D35DEE"/>
    <w:rsid w:val="00D37150"/>
    <w:rsid w:val="00D37C0C"/>
    <w:rsid w:val="00D37FA9"/>
    <w:rsid w:val="00D40767"/>
    <w:rsid w:val="00D409A1"/>
    <w:rsid w:val="00D41EAD"/>
    <w:rsid w:val="00D42148"/>
    <w:rsid w:val="00D427E5"/>
    <w:rsid w:val="00D427E8"/>
    <w:rsid w:val="00D43B22"/>
    <w:rsid w:val="00D44066"/>
    <w:rsid w:val="00D449C5"/>
    <w:rsid w:val="00D44E6F"/>
    <w:rsid w:val="00D44E98"/>
    <w:rsid w:val="00D453E5"/>
    <w:rsid w:val="00D45F98"/>
    <w:rsid w:val="00D4643F"/>
    <w:rsid w:val="00D4696A"/>
    <w:rsid w:val="00D4753F"/>
    <w:rsid w:val="00D475FE"/>
    <w:rsid w:val="00D50738"/>
    <w:rsid w:val="00D5103B"/>
    <w:rsid w:val="00D52AE0"/>
    <w:rsid w:val="00D53EE6"/>
    <w:rsid w:val="00D542B8"/>
    <w:rsid w:val="00D558DA"/>
    <w:rsid w:val="00D57298"/>
    <w:rsid w:val="00D57F7D"/>
    <w:rsid w:val="00D60294"/>
    <w:rsid w:val="00D60DDD"/>
    <w:rsid w:val="00D60F1D"/>
    <w:rsid w:val="00D614DB"/>
    <w:rsid w:val="00D62A08"/>
    <w:rsid w:val="00D62BE4"/>
    <w:rsid w:val="00D62DBA"/>
    <w:rsid w:val="00D63102"/>
    <w:rsid w:val="00D647C5"/>
    <w:rsid w:val="00D64954"/>
    <w:rsid w:val="00D6512E"/>
    <w:rsid w:val="00D651D5"/>
    <w:rsid w:val="00D66260"/>
    <w:rsid w:val="00D6658E"/>
    <w:rsid w:val="00D70630"/>
    <w:rsid w:val="00D708DA"/>
    <w:rsid w:val="00D70C7E"/>
    <w:rsid w:val="00D71B7C"/>
    <w:rsid w:val="00D71E9A"/>
    <w:rsid w:val="00D731C8"/>
    <w:rsid w:val="00D74080"/>
    <w:rsid w:val="00D74CAD"/>
    <w:rsid w:val="00D75831"/>
    <w:rsid w:val="00D75CBE"/>
    <w:rsid w:val="00D76A05"/>
    <w:rsid w:val="00D76C40"/>
    <w:rsid w:val="00D76EC9"/>
    <w:rsid w:val="00D77E41"/>
    <w:rsid w:val="00D80AB4"/>
    <w:rsid w:val="00D81639"/>
    <w:rsid w:val="00D819BF"/>
    <w:rsid w:val="00D82204"/>
    <w:rsid w:val="00D825E5"/>
    <w:rsid w:val="00D8338E"/>
    <w:rsid w:val="00D84540"/>
    <w:rsid w:val="00D84B8F"/>
    <w:rsid w:val="00D84F8A"/>
    <w:rsid w:val="00D84FE3"/>
    <w:rsid w:val="00D85879"/>
    <w:rsid w:val="00D85F7F"/>
    <w:rsid w:val="00D8608C"/>
    <w:rsid w:val="00D873C6"/>
    <w:rsid w:val="00D900AD"/>
    <w:rsid w:val="00D908BC"/>
    <w:rsid w:val="00D90EE2"/>
    <w:rsid w:val="00D91210"/>
    <w:rsid w:val="00D91F0C"/>
    <w:rsid w:val="00D93619"/>
    <w:rsid w:val="00D936DF"/>
    <w:rsid w:val="00D942CD"/>
    <w:rsid w:val="00D95BF2"/>
    <w:rsid w:val="00D96393"/>
    <w:rsid w:val="00D96943"/>
    <w:rsid w:val="00D96E31"/>
    <w:rsid w:val="00D97289"/>
    <w:rsid w:val="00D974E1"/>
    <w:rsid w:val="00DA0126"/>
    <w:rsid w:val="00DA14A7"/>
    <w:rsid w:val="00DA1AA7"/>
    <w:rsid w:val="00DA2081"/>
    <w:rsid w:val="00DA2B33"/>
    <w:rsid w:val="00DA2BCE"/>
    <w:rsid w:val="00DA3835"/>
    <w:rsid w:val="00DA4761"/>
    <w:rsid w:val="00DA4947"/>
    <w:rsid w:val="00DA5777"/>
    <w:rsid w:val="00DA65FF"/>
    <w:rsid w:val="00DA662F"/>
    <w:rsid w:val="00DA6A6C"/>
    <w:rsid w:val="00DA71D7"/>
    <w:rsid w:val="00DA79C9"/>
    <w:rsid w:val="00DA7CA0"/>
    <w:rsid w:val="00DB1D43"/>
    <w:rsid w:val="00DB27B0"/>
    <w:rsid w:val="00DB2B16"/>
    <w:rsid w:val="00DB2E4E"/>
    <w:rsid w:val="00DB3324"/>
    <w:rsid w:val="00DB4D82"/>
    <w:rsid w:val="00DB5063"/>
    <w:rsid w:val="00DB52AC"/>
    <w:rsid w:val="00DB5818"/>
    <w:rsid w:val="00DB61F6"/>
    <w:rsid w:val="00DB62B8"/>
    <w:rsid w:val="00DB635A"/>
    <w:rsid w:val="00DB7233"/>
    <w:rsid w:val="00DB7A74"/>
    <w:rsid w:val="00DC0682"/>
    <w:rsid w:val="00DC0E9B"/>
    <w:rsid w:val="00DC16A4"/>
    <w:rsid w:val="00DC1F76"/>
    <w:rsid w:val="00DC4B6C"/>
    <w:rsid w:val="00DC4D1E"/>
    <w:rsid w:val="00DC6125"/>
    <w:rsid w:val="00DC6D97"/>
    <w:rsid w:val="00DC7262"/>
    <w:rsid w:val="00DC7E05"/>
    <w:rsid w:val="00DD1311"/>
    <w:rsid w:val="00DD1B52"/>
    <w:rsid w:val="00DD1D55"/>
    <w:rsid w:val="00DD1EE7"/>
    <w:rsid w:val="00DD2119"/>
    <w:rsid w:val="00DD311B"/>
    <w:rsid w:val="00DD4294"/>
    <w:rsid w:val="00DD5B46"/>
    <w:rsid w:val="00DD6165"/>
    <w:rsid w:val="00DD6663"/>
    <w:rsid w:val="00DD6EB8"/>
    <w:rsid w:val="00DD7917"/>
    <w:rsid w:val="00DE01CB"/>
    <w:rsid w:val="00DE0E25"/>
    <w:rsid w:val="00DE189A"/>
    <w:rsid w:val="00DE328D"/>
    <w:rsid w:val="00DE3B9C"/>
    <w:rsid w:val="00DE5141"/>
    <w:rsid w:val="00DE58A0"/>
    <w:rsid w:val="00DE58DB"/>
    <w:rsid w:val="00DE5B71"/>
    <w:rsid w:val="00DE5B96"/>
    <w:rsid w:val="00DE6DA4"/>
    <w:rsid w:val="00DE73FB"/>
    <w:rsid w:val="00DF073E"/>
    <w:rsid w:val="00DF09CC"/>
    <w:rsid w:val="00DF14E7"/>
    <w:rsid w:val="00DF255B"/>
    <w:rsid w:val="00DF29F1"/>
    <w:rsid w:val="00DF2F4F"/>
    <w:rsid w:val="00DF3846"/>
    <w:rsid w:val="00DF4EB1"/>
    <w:rsid w:val="00DF52CD"/>
    <w:rsid w:val="00DF54BC"/>
    <w:rsid w:val="00DF5C66"/>
    <w:rsid w:val="00DF64D2"/>
    <w:rsid w:val="00DF6698"/>
    <w:rsid w:val="00DF77C4"/>
    <w:rsid w:val="00E00BB6"/>
    <w:rsid w:val="00E00F69"/>
    <w:rsid w:val="00E01C49"/>
    <w:rsid w:val="00E021FF"/>
    <w:rsid w:val="00E02FC9"/>
    <w:rsid w:val="00E02FFE"/>
    <w:rsid w:val="00E03916"/>
    <w:rsid w:val="00E039A5"/>
    <w:rsid w:val="00E0457E"/>
    <w:rsid w:val="00E0465B"/>
    <w:rsid w:val="00E049BD"/>
    <w:rsid w:val="00E04A01"/>
    <w:rsid w:val="00E04ECE"/>
    <w:rsid w:val="00E05AE5"/>
    <w:rsid w:val="00E06C1E"/>
    <w:rsid w:val="00E06D3C"/>
    <w:rsid w:val="00E0702C"/>
    <w:rsid w:val="00E07671"/>
    <w:rsid w:val="00E0798F"/>
    <w:rsid w:val="00E102FF"/>
    <w:rsid w:val="00E1124C"/>
    <w:rsid w:val="00E11B8F"/>
    <w:rsid w:val="00E11BB1"/>
    <w:rsid w:val="00E13F29"/>
    <w:rsid w:val="00E16198"/>
    <w:rsid w:val="00E16AB4"/>
    <w:rsid w:val="00E16BAA"/>
    <w:rsid w:val="00E17F49"/>
    <w:rsid w:val="00E20418"/>
    <w:rsid w:val="00E21412"/>
    <w:rsid w:val="00E22486"/>
    <w:rsid w:val="00E22993"/>
    <w:rsid w:val="00E229A0"/>
    <w:rsid w:val="00E230CB"/>
    <w:rsid w:val="00E23D5F"/>
    <w:rsid w:val="00E23E25"/>
    <w:rsid w:val="00E24547"/>
    <w:rsid w:val="00E25577"/>
    <w:rsid w:val="00E257B1"/>
    <w:rsid w:val="00E25AC1"/>
    <w:rsid w:val="00E26920"/>
    <w:rsid w:val="00E27408"/>
    <w:rsid w:val="00E30474"/>
    <w:rsid w:val="00E30972"/>
    <w:rsid w:val="00E30C17"/>
    <w:rsid w:val="00E30D86"/>
    <w:rsid w:val="00E3160B"/>
    <w:rsid w:val="00E31684"/>
    <w:rsid w:val="00E316D5"/>
    <w:rsid w:val="00E31E0B"/>
    <w:rsid w:val="00E32435"/>
    <w:rsid w:val="00E32B9B"/>
    <w:rsid w:val="00E3353E"/>
    <w:rsid w:val="00E3369B"/>
    <w:rsid w:val="00E3423F"/>
    <w:rsid w:val="00E34CDC"/>
    <w:rsid w:val="00E34D8D"/>
    <w:rsid w:val="00E368B4"/>
    <w:rsid w:val="00E37592"/>
    <w:rsid w:val="00E37FDF"/>
    <w:rsid w:val="00E4039F"/>
    <w:rsid w:val="00E415ED"/>
    <w:rsid w:val="00E440C8"/>
    <w:rsid w:val="00E440FE"/>
    <w:rsid w:val="00E444AA"/>
    <w:rsid w:val="00E447C5"/>
    <w:rsid w:val="00E44845"/>
    <w:rsid w:val="00E44DFC"/>
    <w:rsid w:val="00E451B3"/>
    <w:rsid w:val="00E46B43"/>
    <w:rsid w:val="00E46F5E"/>
    <w:rsid w:val="00E470D9"/>
    <w:rsid w:val="00E50124"/>
    <w:rsid w:val="00E50B80"/>
    <w:rsid w:val="00E50C0E"/>
    <w:rsid w:val="00E50D17"/>
    <w:rsid w:val="00E524D8"/>
    <w:rsid w:val="00E52597"/>
    <w:rsid w:val="00E525CB"/>
    <w:rsid w:val="00E52CF6"/>
    <w:rsid w:val="00E535A8"/>
    <w:rsid w:val="00E538FF"/>
    <w:rsid w:val="00E5396D"/>
    <w:rsid w:val="00E539AB"/>
    <w:rsid w:val="00E54407"/>
    <w:rsid w:val="00E55520"/>
    <w:rsid w:val="00E56E48"/>
    <w:rsid w:val="00E5784B"/>
    <w:rsid w:val="00E57C92"/>
    <w:rsid w:val="00E57D33"/>
    <w:rsid w:val="00E6079D"/>
    <w:rsid w:val="00E614E8"/>
    <w:rsid w:val="00E6158C"/>
    <w:rsid w:val="00E6243E"/>
    <w:rsid w:val="00E626FE"/>
    <w:rsid w:val="00E62A8A"/>
    <w:rsid w:val="00E62B92"/>
    <w:rsid w:val="00E6417D"/>
    <w:rsid w:val="00E64945"/>
    <w:rsid w:val="00E66495"/>
    <w:rsid w:val="00E664BA"/>
    <w:rsid w:val="00E67F3E"/>
    <w:rsid w:val="00E700F8"/>
    <w:rsid w:val="00E70266"/>
    <w:rsid w:val="00E702C2"/>
    <w:rsid w:val="00E70C3A"/>
    <w:rsid w:val="00E70F15"/>
    <w:rsid w:val="00E718ED"/>
    <w:rsid w:val="00E7229A"/>
    <w:rsid w:val="00E73CA5"/>
    <w:rsid w:val="00E75248"/>
    <w:rsid w:val="00E75EC1"/>
    <w:rsid w:val="00E76B1A"/>
    <w:rsid w:val="00E7729E"/>
    <w:rsid w:val="00E804F0"/>
    <w:rsid w:val="00E80C37"/>
    <w:rsid w:val="00E8119B"/>
    <w:rsid w:val="00E81924"/>
    <w:rsid w:val="00E81EE2"/>
    <w:rsid w:val="00E82126"/>
    <w:rsid w:val="00E82CA4"/>
    <w:rsid w:val="00E82D58"/>
    <w:rsid w:val="00E84077"/>
    <w:rsid w:val="00E84FF9"/>
    <w:rsid w:val="00E856C3"/>
    <w:rsid w:val="00E866D0"/>
    <w:rsid w:val="00E87031"/>
    <w:rsid w:val="00E872D3"/>
    <w:rsid w:val="00E87790"/>
    <w:rsid w:val="00E878D3"/>
    <w:rsid w:val="00E87D62"/>
    <w:rsid w:val="00E9116A"/>
    <w:rsid w:val="00E91570"/>
    <w:rsid w:val="00E928DD"/>
    <w:rsid w:val="00E93DFE"/>
    <w:rsid w:val="00E949DD"/>
    <w:rsid w:val="00E956A8"/>
    <w:rsid w:val="00E959A2"/>
    <w:rsid w:val="00E95FA9"/>
    <w:rsid w:val="00E9667F"/>
    <w:rsid w:val="00EA0143"/>
    <w:rsid w:val="00EA0390"/>
    <w:rsid w:val="00EA0E22"/>
    <w:rsid w:val="00EA12F7"/>
    <w:rsid w:val="00EA1891"/>
    <w:rsid w:val="00EA2918"/>
    <w:rsid w:val="00EA2984"/>
    <w:rsid w:val="00EA3E48"/>
    <w:rsid w:val="00EA4DAA"/>
    <w:rsid w:val="00EA5A14"/>
    <w:rsid w:val="00EA5BA9"/>
    <w:rsid w:val="00EA60FA"/>
    <w:rsid w:val="00EA65BC"/>
    <w:rsid w:val="00EA6A17"/>
    <w:rsid w:val="00EA7673"/>
    <w:rsid w:val="00EA7BE2"/>
    <w:rsid w:val="00EB0146"/>
    <w:rsid w:val="00EB057F"/>
    <w:rsid w:val="00EB0B26"/>
    <w:rsid w:val="00EB1354"/>
    <w:rsid w:val="00EB2BB1"/>
    <w:rsid w:val="00EB2F6F"/>
    <w:rsid w:val="00EB381C"/>
    <w:rsid w:val="00EB3D43"/>
    <w:rsid w:val="00EB446F"/>
    <w:rsid w:val="00EB4B7B"/>
    <w:rsid w:val="00EB66C5"/>
    <w:rsid w:val="00EB688A"/>
    <w:rsid w:val="00EB6C1F"/>
    <w:rsid w:val="00EB6D2B"/>
    <w:rsid w:val="00EB7CAF"/>
    <w:rsid w:val="00EC0636"/>
    <w:rsid w:val="00EC064D"/>
    <w:rsid w:val="00EC083A"/>
    <w:rsid w:val="00EC0F6D"/>
    <w:rsid w:val="00EC174C"/>
    <w:rsid w:val="00EC1ED8"/>
    <w:rsid w:val="00EC364B"/>
    <w:rsid w:val="00EC3746"/>
    <w:rsid w:val="00EC3FED"/>
    <w:rsid w:val="00EC41AA"/>
    <w:rsid w:val="00EC5281"/>
    <w:rsid w:val="00EC5A65"/>
    <w:rsid w:val="00EC5F63"/>
    <w:rsid w:val="00EC619B"/>
    <w:rsid w:val="00EC61AC"/>
    <w:rsid w:val="00EC63A2"/>
    <w:rsid w:val="00ED007C"/>
    <w:rsid w:val="00ED0C6A"/>
    <w:rsid w:val="00ED172B"/>
    <w:rsid w:val="00ED1C49"/>
    <w:rsid w:val="00ED2071"/>
    <w:rsid w:val="00ED272C"/>
    <w:rsid w:val="00ED2DDD"/>
    <w:rsid w:val="00ED3BCC"/>
    <w:rsid w:val="00ED48DA"/>
    <w:rsid w:val="00ED509B"/>
    <w:rsid w:val="00ED55AA"/>
    <w:rsid w:val="00ED6E79"/>
    <w:rsid w:val="00ED712A"/>
    <w:rsid w:val="00ED74EE"/>
    <w:rsid w:val="00ED7D12"/>
    <w:rsid w:val="00EE0221"/>
    <w:rsid w:val="00EE05B7"/>
    <w:rsid w:val="00EE0C65"/>
    <w:rsid w:val="00EE1DD1"/>
    <w:rsid w:val="00EE4E0F"/>
    <w:rsid w:val="00EE50A8"/>
    <w:rsid w:val="00EE58C0"/>
    <w:rsid w:val="00EE6372"/>
    <w:rsid w:val="00EE6F42"/>
    <w:rsid w:val="00EE7144"/>
    <w:rsid w:val="00EE7829"/>
    <w:rsid w:val="00EF09DF"/>
    <w:rsid w:val="00EF1AEF"/>
    <w:rsid w:val="00EF3463"/>
    <w:rsid w:val="00EF36A1"/>
    <w:rsid w:val="00EF45CC"/>
    <w:rsid w:val="00EF4A30"/>
    <w:rsid w:val="00EF4E00"/>
    <w:rsid w:val="00EF651C"/>
    <w:rsid w:val="00EF76FE"/>
    <w:rsid w:val="00F0087F"/>
    <w:rsid w:val="00F008FE"/>
    <w:rsid w:val="00F00C86"/>
    <w:rsid w:val="00F0119D"/>
    <w:rsid w:val="00F01254"/>
    <w:rsid w:val="00F01A8D"/>
    <w:rsid w:val="00F024C7"/>
    <w:rsid w:val="00F02E40"/>
    <w:rsid w:val="00F02E8A"/>
    <w:rsid w:val="00F03286"/>
    <w:rsid w:val="00F03E46"/>
    <w:rsid w:val="00F0433A"/>
    <w:rsid w:val="00F046B6"/>
    <w:rsid w:val="00F04F23"/>
    <w:rsid w:val="00F05ED0"/>
    <w:rsid w:val="00F0619B"/>
    <w:rsid w:val="00F06ADC"/>
    <w:rsid w:val="00F06EF8"/>
    <w:rsid w:val="00F11700"/>
    <w:rsid w:val="00F11F45"/>
    <w:rsid w:val="00F129DF"/>
    <w:rsid w:val="00F13C0D"/>
    <w:rsid w:val="00F13F8C"/>
    <w:rsid w:val="00F143C2"/>
    <w:rsid w:val="00F144F9"/>
    <w:rsid w:val="00F147FA"/>
    <w:rsid w:val="00F14D0B"/>
    <w:rsid w:val="00F14FB2"/>
    <w:rsid w:val="00F15AA8"/>
    <w:rsid w:val="00F1643E"/>
    <w:rsid w:val="00F178A0"/>
    <w:rsid w:val="00F20899"/>
    <w:rsid w:val="00F20E73"/>
    <w:rsid w:val="00F21D64"/>
    <w:rsid w:val="00F22006"/>
    <w:rsid w:val="00F2262B"/>
    <w:rsid w:val="00F22D09"/>
    <w:rsid w:val="00F2466D"/>
    <w:rsid w:val="00F24AC2"/>
    <w:rsid w:val="00F24DD0"/>
    <w:rsid w:val="00F25214"/>
    <w:rsid w:val="00F253FF"/>
    <w:rsid w:val="00F2548E"/>
    <w:rsid w:val="00F255D2"/>
    <w:rsid w:val="00F25965"/>
    <w:rsid w:val="00F3080C"/>
    <w:rsid w:val="00F32724"/>
    <w:rsid w:val="00F32751"/>
    <w:rsid w:val="00F32B6D"/>
    <w:rsid w:val="00F339CE"/>
    <w:rsid w:val="00F33E0A"/>
    <w:rsid w:val="00F33E76"/>
    <w:rsid w:val="00F342F9"/>
    <w:rsid w:val="00F3511E"/>
    <w:rsid w:val="00F3516E"/>
    <w:rsid w:val="00F35698"/>
    <w:rsid w:val="00F35C0E"/>
    <w:rsid w:val="00F360F2"/>
    <w:rsid w:val="00F3615E"/>
    <w:rsid w:val="00F366A6"/>
    <w:rsid w:val="00F36848"/>
    <w:rsid w:val="00F37E58"/>
    <w:rsid w:val="00F40121"/>
    <w:rsid w:val="00F40C9F"/>
    <w:rsid w:val="00F40F3D"/>
    <w:rsid w:val="00F4238C"/>
    <w:rsid w:val="00F42995"/>
    <w:rsid w:val="00F44638"/>
    <w:rsid w:val="00F4580C"/>
    <w:rsid w:val="00F45CB7"/>
    <w:rsid w:val="00F45CE5"/>
    <w:rsid w:val="00F47E58"/>
    <w:rsid w:val="00F507BE"/>
    <w:rsid w:val="00F50AD0"/>
    <w:rsid w:val="00F51011"/>
    <w:rsid w:val="00F51610"/>
    <w:rsid w:val="00F52B75"/>
    <w:rsid w:val="00F5303D"/>
    <w:rsid w:val="00F53631"/>
    <w:rsid w:val="00F53653"/>
    <w:rsid w:val="00F5435D"/>
    <w:rsid w:val="00F5460E"/>
    <w:rsid w:val="00F54F47"/>
    <w:rsid w:val="00F54FAA"/>
    <w:rsid w:val="00F55079"/>
    <w:rsid w:val="00F5591B"/>
    <w:rsid w:val="00F55CF9"/>
    <w:rsid w:val="00F563DA"/>
    <w:rsid w:val="00F571EB"/>
    <w:rsid w:val="00F607CC"/>
    <w:rsid w:val="00F61A89"/>
    <w:rsid w:val="00F627C0"/>
    <w:rsid w:val="00F63955"/>
    <w:rsid w:val="00F64287"/>
    <w:rsid w:val="00F651BC"/>
    <w:rsid w:val="00F66714"/>
    <w:rsid w:val="00F67355"/>
    <w:rsid w:val="00F6768C"/>
    <w:rsid w:val="00F67CCA"/>
    <w:rsid w:val="00F67FA4"/>
    <w:rsid w:val="00F702B4"/>
    <w:rsid w:val="00F703BF"/>
    <w:rsid w:val="00F70415"/>
    <w:rsid w:val="00F7071C"/>
    <w:rsid w:val="00F70AC4"/>
    <w:rsid w:val="00F70B2D"/>
    <w:rsid w:val="00F70B9C"/>
    <w:rsid w:val="00F71605"/>
    <w:rsid w:val="00F719E6"/>
    <w:rsid w:val="00F72C4B"/>
    <w:rsid w:val="00F73BE0"/>
    <w:rsid w:val="00F74CF3"/>
    <w:rsid w:val="00F74E2A"/>
    <w:rsid w:val="00F754D5"/>
    <w:rsid w:val="00F75864"/>
    <w:rsid w:val="00F765B8"/>
    <w:rsid w:val="00F7673F"/>
    <w:rsid w:val="00F76753"/>
    <w:rsid w:val="00F77D8B"/>
    <w:rsid w:val="00F80505"/>
    <w:rsid w:val="00F807FB"/>
    <w:rsid w:val="00F80C9C"/>
    <w:rsid w:val="00F80E12"/>
    <w:rsid w:val="00F81858"/>
    <w:rsid w:val="00F81A0B"/>
    <w:rsid w:val="00F81F86"/>
    <w:rsid w:val="00F825BA"/>
    <w:rsid w:val="00F82625"/>
    <w:rsid w:val="00F829C9"/>
    <w:rsid w:val="00F82A50"/>
    <w:rsid w:val="00F83228"/>
    <w:rsid w:val="00F83692"/>
    <w:rsid w:val="00F83727"/>
    <w:rsid w:val="00F83A6A"/>
    <w:rsid w:val="00F83F88"/>
    <w:rsid w:val="00F845CB"/>
    <w:rsid w:val="00F84A2C"/>
    <w:rsid w:val="00F84A82"/>
    <w:rsid w:val="00F84DDE"/>
    <w:rsid w:val="00F85027"/>
    <w:rsid w:val="00F857BB"/>
    <w:rsid w:val="00F85A5B"/>
    <w:rsid w:val="00F860F5"/>
    <w:rsid w:val="00F86456"/>
    <w:rsid w:val="00F8685E"/>
    <w:rsid w:val="00F86861"/>
    <w:rsid w:val="00F872DC"/>
    <w:rsid w:val="00F9062E"/>
    <w:rsid w:val="00F90A32"/>
    <w:rsid w:val="00F90BF8"/>
    <w:rsid w:val="00F939F8"/>
    <w:rsid w:val="00F95744"/>
    <w:rsid w:val="00F95AA3"/>
    <w:rsid w:val="00F95FEA"/>
    <w:rsid w:val="00F96996"/>
    <w:rsid w:val="00F969F9"/>
    <w:rsid w:val="00F9713C"/>
    <w:rsid w:val="00F97A57"/>
    <w:rsid w:val="00F97A99"/>
    <w:rsid w:val="00F97C7F"/>
    <w:rsid w:val="00FA1420"/>
    <w:rsid w:val="00FA2430"/>
    <w:rsid w:val="00FA283D"/>
    <w:rsid w:val="00FA30A3"/>
    <w:rsid w:val="00FA3375"/>
    <w:rsid w:val="00FA45A1"/>
    <w:rsid w:val="00FA46DF"/>
    <w:rsid w:val="00FA5E02"/>
    <w:rsid w:val="00FA69B8"/>
    <w:rsid w:val="00FA71CF"/>
    <w:rsid w:val="00FA7580"/>
    <w:rsid w:val="00FB10DF"/>
    <w:rsid w:val="00FB141D"/>
    <w:rsid w:val="00FB146D"/>
    <w:rsid w:val="00FB1F1C"/>
    <w:rsid w:val="00FB32A4"/>
    <w:rsid w:val="00FB39DD"/>
    <w:rsid w:val="00FB41C1"/>
    <w:rsid w:val="00FB483E"/>
    <w:rsid w:val="00FB4E79"/>
    <w:rsid w:val="00FB513B"/>
    <w:rsid w:val="00FB51A3"/>
    <w:rsid w:val="00FB5F22"/>
    <w:rsid w:val="00FB7AE9"/>
    <w:rsid w:val="00FC0549"/>
    <w:rsid w:val="00FC083E"/>
    <w:rsid w:val="00FC0A2B"/>
    <w:rsid w:val="00FC0AC7"/>
    <w:rsid w:val="00FC13CE"/>
    <w:rsid w:val="00FC1AA8"/>
    <w:rsid w:val="00FC1E9E"/>
    <w:rsid w:val="00FC298C"/>
    <w:rsid w:val="00FC2B12"/>
    <w:rsid w:val="00FC49D3"/>
    <w:rsid w:val="00FC5451"/>
    <w:rsid w:val="00FC576C"/>
    <w:rsid w:val="00FC5E20"/>
    <w:rsid w:val="00FC5FCB"/>
    <w:rsid w:val="00FC6292"/>
    <w:rsid w:val="00FC727D"/>
    <w:rsid w:val="00FC769C"/>
    <w:rsid w:val="00FC7972"/>
    <w:rsid w:val="00FD047C"/>
    <w:rsid w:val="00FD059E"/>
    <w:rsid w:val="00FD18B2"/>
    <w:rsid w:val="00FD2AA0"/>
    <w:rsid w:val="00FD3C8C"/>
    <w:rsid w:val="00FD4802"/>
    <w:rsid w:val="00FD4A6F"/>
    <w:rsid w:val="00FD53C0"/>
    <w:rsid w:val="00FD59F0"/>
    <w:rsid w:val="00FD66D6"/>
    <w:rsid w:val="00FD66D7"/>
    <w:rsid w:val="00FE08AC"/>
    <w:rsid w:val="00FE122D"/>
    <w:rsid w:val="00FE164A"/>
    <w:rsid w:val="00FE1B3A"/>
    <w:rsid w:val="00FE27FA"/>
    <w:rsid w:val="00FE2991"/>
    <w:rsid w:val="00FE3AA6"/>
    <w:rsid w:val="00FE3F4C"/>
    <w:rsid w:val="00FE3F69"/>
    <w:rsid w:val="00FE403B"/>
    <w:rsid w:val="00FE4661"/>
    <w:rsid w:val="00FE47B0"/>
    <w:rsid w:val="00FE6398"/>
    <w:rsid w:val="00FE6608"/>
    <w:rsid w:val="00FE7611"/>
    <w:rsid w:val="00FF026D"/>
    <w:rsid w:val="00FF155B"/>
    <w:rsid w:val="00FF2213"/>
    <w:rsid w:val="00FF244B"/>
    <w:rsid w:val="00FF2F0B"/>
    <w:rsid w:val="00FF3F3A"/>
    <w:rsid w:val="00FF4763"/>
    <w:rsid w:val="00FF54D0"/>
    <w:rsid w:val="00FF55B8"/>
    <w:rsid w:val="00FF5F8A"/>
    <w:rsid w:val="00FF6948"/>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A38461D"/>
  <w15:docId w15:val="{B61F946E-EA9B-40D6-9661-37BE67C3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830"/>
    <w:pPr>
      <w:spacing w:before="60" w:after="60" w:line="240" w:lineRule="auto"/>
    </w:pPr>
    <w:rPr>
      <w:rFonts w:ascii="Arial" w:hAnsi="Arial"/>
      <w:sz w:val="16"/>
    </w:rPr>
  </w:style>
  <w:style w:type="paragraph" w:styleId="Heading1">
    <w:name w:val="heading 1"/>
    <w:basedOn w:val="Normal"/>
    <w:next w:val="Normal"/>
    <w:link w:val="Heading1Char"/>
    <w:uiPriority w:val="9"/>
    <w:qFormat/>
    <w:rsid w:val="0077063D"/>
    <w:pPr>
      <w:keepNext/>
      <w:keepLines/>
      <w:spacing w:before="240" w:after="0"/>
      <w:outlineLvl w:val="0"/>
    </w:pPr>
    <w:rPr>
      <w:rFonts w:eastAsiaTheme="majorEastAsia" w:cstheme="majorBidi"/>
      <w:b/>
      <w:bCs/>
      <w:sz w:val="22"/>
      <w:szCs w:val="28"/>
    </w:rPr>
  </w:style>
  <w:style w:type="paragraph" w:styleId="Heading2">
    <w:name w:val="heading 2"/>
    <w:basedOn w:val="Normal"/>
    <w:next w:val="Normal"/>
    <w:link w:val="Heading2Char"/>
    <w:uiPriority w:val="9"/>
    <w:unhideWhenUsed/>
    <w:qFormat/>
    <w:rsid w:val="00F563DA"/>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E64945"/>
    <w:pPr>
      <w:keepNext/>
      <w:keepLines/>
      <w:spacing w:before="120" w:after="0"/>
      <w:outlineLvl w:val="2"/>
    </w:pPr>
    <w:rPr>
      <w:rFonts w:asciiTheme="majorHAnsi" w:eastAsiaTheme="majorEastAsia" w:hAnsiTheme="majorHAnsi" w:cstheme="majorBidi"/>
      <w:b/>
      <w:bCs/>
      <w:color w:val="365F91" w:themeColor="accent1" w:themeShade="BF"/>
      <w:sz w:val="22"/>
    </w:rPr>
  </w:style>
  <w:style w:type="paragraph" w:styleId="Heading4">
    <w:name w:val="heading 4"/>
    <w:basedOn w:val="Normal"/>
    <w:next w:val="Normal"/>
    <w:link w:val="Heading4Char"/>
    <w:uiPriority w:val="9"/>
    <w:unhideWhenUsed/>
    <w:qFormat/>
    <w:rsid w:val="00E64945"/>
    <w:pPr>
      <w:keepNext/>
      <w:keepLines/>
      <w:spacing w:before="40" w:after="0"/>
      <w:outlineLvl w:val="3"/>
    </w:pPr>
    <w:rPr>
      <w:rFonts w:asciiTheme="majorHAnsi" w:eastAsiaTheme="majorEastAsia" w:hAnsiTheme="majorHAnsi" w:cstheme="majorBidi"/>
      <w:b/>
      <w:iCs/>
      <w:color w:val="365F91" w:themeColor="accent1" w:themeShade="BF"/>
      <w:sz w:val="22"/>
    </w:rPr>
  </w:style>
  <w:style w:type="paragraph" w:styleId="Heading5">
    <w:name w:val="heading 5"/>
    <w:basedOn w:val="Normal"/>
    <w:next w:val="Normal"/>
    <w:link w:val="Heading5Char"/>
    <w:uiPriority w:val="9"/>
    <w:semiHidden/>
    <w:unhideWhenUsed/>
    <w:qFormat/>
    <w:rsid w:val="006362E6"/>
    <w:pPr>
      <w:keepNext/>
      <w:keepLines/>
      <w:spacing w:before="40" w:after="0" w:line="276" w:lineRule="auto"/>
      <w:outlineLvl w:val="4"/>
    </w:pPr>
    <w:rPr>
      <w:rFonts w:asciiTheme="majorHAnsi" w:eastAsiaTheme="majorEastAsia" w:hAnsiTheme="majorHAnsi" w:cstheme="majorBidi"/>
      <w:color w:val="365F91"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63D"/>
    <w:rPr>
      <w:rFonts w:ascii="Arial" w:eastAsiaTheme="majorEastAsia" w:hAnsi="Arial" w:cstheme="majorBidi"/>
      <w:b/>
      <w:bCs/>
      <w:szCs w:val="28"/>
    </w:rPr>
  </w:style>
  <w:style w:type="character" w:customStyle="1" w:styleId="Heading2Char">
    <w:name w:val="Heading 2 Char"/>
    <w:basedOn w:val="DefaultParagraphFont"/>
    <w:link w:val="Heading2"/>
    <w:uiPriority w:val="9"/>
    <w:rsid w:val="00F563DA"/>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E64945"/>
    <w:rPr>
      <w:rFonts w:asciiTheme="majorHAnsi" w:eastAsiaTheme="majorEastAsia" w:hAnsiTheme="majorHAnsi" w:cstheme="majorBidi"/>
      <w:b/>
      <w:bCs/>
      <w:color w:val="365F91" w:themeColor="accent1" w:themeShade="BF"/>
    </w:rPr>
  </w:style>
  <w:style w:type="table" w:styleId="TableGrid">
    <w:name w:val="Table Grid"/>
    <w:basedOn w:val="TableNormal"/>
    <w:uiPriority w:val="59"/>
    <w:rsid w:val="00B9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02FFE"/>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90AC9"/>
    <w:pPr>
      <w:pBdr>
        <w:top w:val="single" w:sz="8" w:space="1" w:color="4F81BD" w:themeColor="accent1"/>
        <w:bottom w:val="single" w:sz="8" w:space="4" w:color="4F81BD" w:themeColor="accent1"/>
      </w:pBdr>
      <w:spacing w:before="360" w:after="12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90AC9"/>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2FF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customStyle="1" w:styleId="FooterChar">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customStyle="1" w:styleId="CommentTextChar">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customStyle="1" w:styleId="CommentSubjectChar">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customStyle="1" w:styleId="FootnoteTextChar">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customStyle="1" w:styleId="PropNorm">
    <w:name w:val="PropNorm"/>
    <w:link w:val="PropNormChar"/>
    <w:rsid w:val="00441FB4"/>
    <w:pPr>
      <w:spacing w:after="180" w:line="240" w:lineRule="auto"/>
    </w:pPr>
    <w:rPr>
      <w:rFonts w:ascii="Times New Roman" w:eastAsia="Times New Roman" w:hAnsi="Times New Roman" w:cs="Times New Roman"/>
      <w:sz w:val="24"/>
      <w:szCs w:val="20"/>
    </w:rPr>
  </w:style>
  <w:style w:type="character" w:customStyle="1" w:styleId="PropNormChar">
    <w:name w:val="PropNorm Char"/>
    <w:basedOn w:val="DefaultParagraphFont"/>
    <w:link w:val="PropNorm"/>
    <w:locked/>
    <w:rsid w:val="00441FB4"/>
    <w:rPr>
      <w:rFonts w:ascii="Times New Roman" w:eastAsia="Times New Roman" w:hAnsi="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eastAsia="Times New Roman" w:hAnsi="Times New Roman" w:cs="Times New Roman"/>
      <w:szCs w:val="20"/>
    </w:rPr>
  </w:style>
  <w:style w:type="paragraph" w:customStyle="1" w:styleId="Technical4">
    <w:name w:val="Technical 4"/>
    <w:rsid w:val="00441FB4"/>
    <w:pPr>
      <w:tabs>
        <w:tab w:val="left" w:pos="-720"/>
      </w:tabs>
      <w:suppressAutoHyphens/>
      <w:spacing w:after="0" w:line="240" w:lineRule="auto"/>
    </w:pPr>
    <w:rPr>
      <w:rFonts w:ascii="Times New Roman" w:eastAsia="Times New Roman" w:hAnsi="Times New Roman" w:cs="Times New Roman"/>
      <w:b/>
      <w:sz w:val="24"/>
      <w:szCs w:val="20"/>
    </w:rPr>
  </w:style>
  <w:style w:type="character" w:styleId="PlaceholderText">
    <w:name w:val="Placeholder Text"/>
    <w:basedOn w:val="DefaultParagraphFont"/>
    <w:uiPriority w:val="99"/>
    <w:semiHidden/>
    <w:rsid w:val="00F0619B"/>
    <w:rPr>
      <w:color w:val="808080"/>
    </w:rPr>
  </w:style>
  <w:style w:type="paragraph" w:customStyle="1" w:styleId="RadioButtonBullet">
    <w:name w:val="Radio Button Bullet"/>
    <w:basedOn w:val="ListParagraph"/>
    <w:qFormat/>
    <w:rsid w:val="00D03701"/>
    <w:pPr>
      <w:numPr>
        <w:numId w:val="1"/>
      </w:numPr>
      <w:ind w:left="360"/>
    </w:pPr>
  </w:style>
  <w:style w:type="paragraph" w:customStyle="1" w:styleId="Title-notfirst">
    <w:name w:val="Title - not first"/>
    <w:basedOn w:val="Title"/>
    <w:qFormat/>
    <w:rsid w:val="00D03701"/>
    <w:pPr>
      <w:spacing w:before="60"/>
    </w:pPr>
  </w:style>
  <w:style w:type="paragraph" w:customStyle="1" w:styleId="Figure">
    <w:name w:val="Figure"/>
    <w:basedOn w:val="Normal"/>
    <w:next w:val="Normal"/>
    <w:qFormat/>
    <w:rsid w:val="00D03701"/>
    <w:pPr>
      <w:spacing w:before="0" w:after="0"/>
      <w:jc w:val="center"/>
    </w:pPr>
    <w:rPr>
      <w:noProof/>
    </w:rPr>
  </w:style>
  <w:style w:type="paragraph" w:customStyle="1" w:styleId="FigureCaption">
    <w:name w:val="Figure Caption"/>
    <w:basedOn w:val="Figure"/>
    <w:next w:val="Normal"/>
    <w:qFormat/>
    <w:rsid w:val="00D03701"/>
    <w:pPr>
      <w:numPr>
        <w:numId w:val="2"/>
      </w:numPr>
      <w:spacing w:after="240"/>
      <w:ind w:left="360"/>
    </w:pPr>
    <w:rPr>
      <w:b/>
      <w:i/>
      <w:sz w:val="20"/>
    </w:rPr>
  </w:style>
  <w:style w:type="paragraph" w:customStyle="1" w:styleId="SysNote">
    <w:name w:val="SysNote"/>
    <w:basedOn w:val="Normal"/>
    <w:link w:val="SysNoteChar"/>
    <w:qFormat/>
    <w:rsid w:val="009D3860"/>
    <w:rPr>
      <w:i/>
    </w:rPr>
  </w:style>
  <w:style w:type="character" w:customStyle="1" w:styleId="SysNoteChar">
    <w:name w:val="SysNote Char"/>
    <w:basedOn w:val="DefaultParagraphFont"/>
    <w:link w:val="SysNote"/>
    <w:rsid w:val="009D3860"/>
    <w:rPr>
      <w:i/>
    </w:rPr>
  </w:style>
  <w:style w:type="table" w:customStyle="1" w:styleId="TableGrid1">
    <w:name w:val="Table Grid1"/>
    <w:basedOn w:val="TableNormal"/>
    <w:next w:val="TableGrid"/>
    <w:uiPriority w:val="59"/>
    <w:rsid w:val="007B5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cator-section-title">
    <w:name w:val="indicator-section-title"/>
    <w:basedOn w:val="Normal"/>
    <w:rsid w:val="00D16794"/>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D16794"/>
    <w:pPr>
      <w:spacing w:before="100" w:beforeAutospacing="1" w:after="100" w:afterAutospacing="1"/>
    </w:pPr>
    <w:rPr>
      <w:rFonts w:ascii="Times New Roman" w:eastAsia="Times New Roman" w:hAnsi="Times New Roman" w:cs="Times New Roman"/>
      <w:sz w:val="24"/>
      <w:szCs w:val="24"/>
    </w:rPr>
  </w:style>
  <w:style w:type="paragraph" w:customStyle="1" w:styleId="panel-header">
    <w:name w:val="panel-header"/>
    <w:basedOn w:val="Normal"/>
    <w:rsid w:val="006628E4"/>
    <w:pPr>
      <w:spacing w:before="100" w:beforeAutospacing="1" w:after="100" w:afterAutospacing="1"/>
    </w:pPr>
    <w:rPr>
      <w:rFonts w:ascii="Times New Roman" w:eastAsia="Times New Roman" w:hAnsi="Times New Roman" w:cs="Times New Roman"/>
      <w:sz w:val="24"/>
      <w:szCs w:val="24"/>
    </w:rPr>
  </w:style>
  <w:style w:type="character" w:customStyle="1" w:styleId="panel-sub">
    <w:name w:val="panel-sub"/>
    <w:basedOn w:val="DefaultParagraphFont"/>
    <w:rsid w:val="00F83F88"/>
  </w:style>
  <w:style w:type="paragraph" w:customStyle="1" w:styleId="panel-sub1">
    <w:name w:val="panel-sub1"/>
    <w:basedOn w:val="Normal"/>
    <w:rsid w:val="00F83F88"/>
    <w:pPr>
      <w:spacing w:before="100" w:beforeAutospacing="1" w:after="100" w:afterAutospacing="1"/>
    </w:pPr>
    <w:rPr>
      <w:rFonts w:ascii="Times New Roman" w:eastAsia="Times New Roman" w:hAnsi="Times New Roman" w:cs="Times New Roman"/>
      <w:sz w:val="24"/>
      <w:szCs w:val="24"/>
    </w:rPr>
  </w:style>
  <w:style w:type="paragraph" w:customStyle="1" w:styleId="instruction-heading">
    <w:name w:val="instruction-heading"/>
    <w:basedOn w:val="Normal"/>
    <w:rsid w:val="006F7D1B"/>
    <w:pPr>
      <w:spacing w:before="100" w:beforeAutospacing="1" w:after="100" w:afterAutospacing="1"/>
    </w:pPr>
    <w:rPr>
      <w:rFonts w:ascii="Times New Roman" w:eastAsia="Times New Roman" w:hAnsi="Times New Roman" w:cs="Times New Roman"/>
      <w:sz w:val="24"/>
      <w:szCs w:val="24"/>
    </w:rPr>
  </w:style>
  <w:style w:type="paragraph" w:customStyle="1" w:styleId="Subhed">
    <w:name w:val="Subhed"/>
    <w:basedOn w:val="Normal"/>
    <w:next w:val="Normal"/>
    <w:qFormat/>
    <w:rsid w:val="00042EBF"/>
    <w:pPr>
      <w:keepNext/>
      <w:spacing w:after="0"/>
    </w:pPr>
    <w:rPr>
      <w:rFonts w:cs="Arial"/>
      <w:b/>
      <w:szCs w:val="16"/>
    </w:rPr>
  </w:style>
  <w:style w:type="paragraph" w:customStyle="1" w:styleId="Italic">
    <w:name w:val="Italic"/>
    <w:basedOn w:val="Normal"/>
    <w:next w:val="Normal"/>
    <w:qFormat/>
    <w:rsid w:val="00133698"/>
    <w:pPr>
      <w:keepNext/>
    </w:pPr>
    <w:rPr>
      <w:i/>
    </w:rPr>
  </w:style>
  <w:style w:type="paragraph" w:customStyle="1" w:styleId="Explain">
    <w:name w:val="Explain"/>
    <w:basedOn w:val="Normal"/>
    <w:qFormat/>
    <w:rsid w:val="002A2966"/>
    <w:rPr>
      <w:color w:val="C00000"/>
    </w:rPr>
  </w:style>
  <w:style w:type="paragraph" w:customStyle="1" w:styleId="TableHead">
    <w:name w:val="Table Head"/>
    <w:basedOn w:val="Normal"/>
    <w:qFormat/>
    <w:rsid w:val="00715B7C"/>
    <w:pPr>
      <w:jc w:val="center"/>
    </w:pPr>
    <w:rPr>
      <w:rFonts w:cs="Arial"/>
      <w:b/>
      <w:szCs w:val="16"/>
    </w:rPr>
  </w:style>
  <w:style w:type="paragraph" w:styleId="Revision">
    <w:name w:val="Revision"/>
    <w:hidden/>
    <w:uiPriority w:val="99"/>
    <w:semiHidden/>
    <w:rsid w:val="00D37FA9"/>
    <w:pPr>
      <w:spacing w:after="0" w:line="240" w:lineRule="auto"/>
    </w:pPr>
    <w:rPr>
      <w:rFonts w:ascii="Arial" w:hAnsi="Arial"/>
      <w:sz w:val="18"/>
    </w:rPr>
  </w:style>
  <w:style w:type="paragraph" w:customStyle="1" w:styleId="Bold">
    <w:name w:val="Bold"/>
    <w:basedOn w:val="Normal"/>
    <w:qFormat/>
    <w:rsid w:val="002F1A9A"/>
    <w:pPr>
      <w:keepNext/>
      <w:spacing w:after="0"/>
    </w:pPr>
    <w:rPr>
      <w:b/>
    </w:rPr>
  </w:style>
  <w:style w:type="character" w:styleId="Strong">
    <w:name w:val="Strong"/>
    <w:basedOn w:val="DefaultParagraphFont"/>
    <w:uiPriority w:val="22"/>
    <w:qFormat/>
    <w:rsid w:val="00DC16A4"/>
    <w:rPr>
      <w:b/>
      <w:bCs/>
    </w:rPr>
  </w:style>
  <w:style w:type="character" w:styleId="UnresolvedMention">
    <w:name w:val="Unresolved Mention"/>
    <w:basedOn w:val="DefaultParagraphFont"/>
    <w:uiPriority w:val="99"/>
    <w:semiHidden/>
    <w:unhideWhenUsed/>
    <w:rsid w:val="004F20A4"/>
    <w:rPr>
      <w:color w:val="605E5C"/>
      <w:shd w:val="clear" w:color="auto" w:fill="E1DFDD"/>
    </w:rPr>
  </w:style>
  <w:style w:type="character" w:customStyle="1" w:styleId="Heading4Char">
    <w:name w:val="Heading 4 Char"/>
    <w:basedOn w:val="DefaultParagraphFont"/>
    <w:link w:val="Heading4"/>
    <w:uiPriority w:val="9"/>
    <w:rsid w:val="00E64945"/>
    <w:rPr>
      <w:rFonts w:asciiTheme="majorHAnsi" w:eastAsiaTheme="majorEastAsia" w:hAnsiTheme="majorHAnsi" w:cstheme="majorBidi"/>
      <w:b/>
      <w:iCs/>
      <w:color w:val="365F91" w:themeColor="accent1" w:themeShade="BF"/>
    </w:rPr>
  </w:style>
  <w:style w:type="paragraph" w:customStyle="1" w:styleId="Default">
    <w:name w:val="Default"/>
    <w:rsid w:val="000135C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RIRequirement">
    <w:name w:val="BRI Requirement"/>
    <w:basedOn w:val="Normal"/>
    <w:qFormat/>
    <w:rsid w:val="000135C2"/>
    <w:pPr>
      <w:ind w:left="360" w:hanging="360"/>
      <w:contextualSpacing/>
    </w:pPr>
  </w:style>
  <w:style w:type="paragraph" w:customStyle="1" w:styleId="CRIRequirement">
    <w:name w:val="CRI Requirement"/>
    <w:basedOn w:val="Normal"/>
    <w:qFormat/>
    <w:rsid w:val="000135C2"/>
    <w:pPr>
      <w:ind w:left="720" w:hanging="720"/>
      <w:contextualSpacing/>
    </w:pPr>
  </w:style>
  <w:style w:type="paragraph" w:customStyle="1" w:styleId="BCIRequirement">
    <w:name w:val="BCI Requirement"/>
    <w:basedOn w:val="Normal"/>
    <w:qFormat/>
    <w:rsid w:val="000135C2"/>
    <w:pPr>
      <w:ind w:left="720" w:hanging="720"/>
      <w:contextualSpacing/>
    </w:pPr>
  </w:style>
  <w:style w:type="paragraph" w:customStyle="1" w:styleId="IndNoteBullet">
    <w:name w:val="Ind Note Bullet"/>
    <w:basedOn w:val="Default"/>
    <w:qFormat/>
    <w:rsid w:val="000135C2"/>
    <w:pPr>
      <w:ind w:left="360" w:hanging="360"/>
    </w:pPr>
    <w:rPr>
      <w:rFonts w:asciiTheme="minorHAnsi" w:hAnsiTheme="minorHAnsi"/>
      <w:color w:val="auto"/>
      <w:sz w:val="20"/>
      <w:szCs w:val="20"/>
    </w:rPr>
  </w:style>
  <w:style w:type="paragraph" w:customStyle="1" w:styleId="Explanation">
    <w:name w:val="Explanation"/>
    <w:basedOn w:val="Normal"/>
    <w:qFormat/>
    <w:rsid w:val="000135C2"/>
    <w:rPr>
      <w:i/>
      <w:color w:val="5F497A" w:themeColor="accent4" w:themeShade="BF"/>
    </w:rPr>
  </w:style>
  <w:style w:type="paragraph" w:customStyle="1" w:styleId="panel-paragraph">
    <w:name w:val="panel-paragraph"/>
    <w:basedOn w:val="Normal"/>
    <w:rsid w:val="000135C2"/>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0135C2"/>
    <w:pPr>
      <w:spacing w:after="0" w:line="240" w:lineRule="auto"/>
    </w:pPr>
  </w:style>
  <w:style w:type="paragraph" w:customStyle="1" w:styleId="Numbering">
    <w:name w:val="Numbering"/>
    <w:basedOn w:val="Normal"/>
    <w:qFormat/>
    <w:rsid w:val="000135C2"/>
    <w:pPr>
      <w:spacing w:before="0" w:after="0"/>
    </w:pPr>
    <w:rPr>
      <w:rFonts w:eastAsia="Times New Roman" w:cs="Arial"/>
      <w:color w:val="222222"/>
      <w:szCs w:val="16"/>
    </w:rPr>
  </w:style>
  <w:style w:type="character" w:styleId="Emphasis">
    <w:name w:val="Emphasis"/>
    <w:basedOn w:val="DefaultParagraphFont"/>
    <w:uiPriority w:val="20"/>
    <w:qFormat/>
    <w:rsid w:val="000135C2"/>
    <w:rPr>
      <w:i/>
      <w:iCs/>
    </w:rPr>
  </w:style>
  <w:style w:type="paragraph" w:customStyle="1" w:styleId="msonormal0">
    <w:name w:val="msonormal"/>
    <w:basedOn w:val="Normal"/>
    <w:rsid w:val="000135C2"/>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0135C2"/>
    <w:pPr>
      <w:widowControl w:val="0"/>
      <w:autoSpaceDE w:val="0"/>
      <w:autoSpaceDN w:val="0"/>
      <w:spacing w:before="0" w:after="0"/>
    </w:pPr>
    <w:rPr>
      <w:rFonts w:ascii="Carlito" w:eastAsia="Carlito" w:hAnsi="Carlito" w:cs="Carlito"/>
      <w:sz w:val="22"/>
    </w:rPr>
  </w:style>
  <w:style w:type="character" w:customStyle="1" w:styleId="BodyTextChar">
    <w:name w:val="Body Text Char"/>
    <w:basedOn w:val="DefaultParagraphFont"/>
    <w:link w:val="BodyText"/>
    <w:uiPriority w:val="1"/>
    <w:rsid w:val="000135C2"/>
    <w:rPr>
      <w:rFonts w:ascii="Carlito" w:eastAsia="Carlito" w:hAnsi="Carlito" w:cs="Carlito"/>
    </w:rPr>
  </w:style>
  <w:style w:type="paragraph" w:customStyle="1" w:styleId="TableParagraph">
    <w:name w:val="Table Paragraph"/>
    <w:basedOn w:val="Normal"/>
    <w:uiPriority w:val="1"/>
    <w:qFormat/>
    <w:rsid w:val="000135C2"/>
    <w:pPr>
      <w:widowControl w:val="0"/>
      <w:autoSpaceDE w:val="0"/>
      <w:autoSpaceDN w:val="0"/>
      <w:spacing w:before="29" w:after="0"/>
      <w:ind w:left="101" w:right="100"/>
      <w:jc w:val="center"/>
    </w:pPr>
    <w:rPr>
      <w:rFonts w:ascii="Carlito" w:eastAsia="Carlito" w:hAnsi="Carlito" w:cs="Carlito"/>
      <w:sz w:val="22"/>
    </w:rPr>
  </w:style>
  <w:style w:type="character" w:styleId="FollowedHyperlink">
    <w:name w:val="FollowedHyperlink"/>
    <w:basedOn w:val="DefaultParagraphFont"/>
    <w:uiPriority w:val="99"/>
    <w:semiHidden/>
    <w:unhideWhenUsed/>
    <w:rsid w:val="000135C2"/>
    <w:rPr>
      <w:color w:val="800080"/>
      <w:u w:val="single"/>
    </w:rPr>
  </w:style>
  <w:style w:type="table" w:styleId="LightGrid-Accent1">
    <w:name w:val="Light Grid Accent 1"/>
    <w:basedOn w:val="TableNormal"/>
    <w:uiPriority w:val="62"/>
    <w:rsid w:val="000135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Table2">
    <w:name w:val="List Table 2"/>
    <w:basedOn w:val="TableNormal"/>
    <w:uiPriority w:val="47"/>
    <w:rsid w:val="000135C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0135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0135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2-Accent4">
    <w:name w:val="List Table 2 Accent 4"/>
    <w:basedOn w:val="TableNormal"/>
    <w:uiPriority w:val="47"/>
    <w:rsid w:val="002163B7"/>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Heading5Char">
    <w:name w:val="Heading 5 Char"/>
    <w:basedOn w:val="DefaultParagraphFont"/>
    <w:link w:val="Heading5"/>
    <w:uiPriority w:val="9"/>
    <w:semiHidden/>
    <w:rsid w:val="006362E6"/>
    <w:rPr>
      <w:rFonts w:asciiTheme="majorHAnsi" w:eastAsiaTheme="majorEastAsia" w:hAnsiTheme="majorHAnsi" w:cstheme="majorBidi"/>
      <w:color w:val="365F91" w:themeColor="accent1" w:themeShade="BF"/>
    </w:rPr>
  </w:style>
  <w:style w:type="table" w:customStyle="1" w:styleId="TableGrid2">
    <w:name w:val="Table Grid2"/>
    <w:basedOn w:val="TableNormal"/>
    <w:next w:val="TableGrid"/>
    <w:uiPriority w:val="59"/>
    <w:rsid w:val="00D614D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next w:val="LightGrid-Accent1"/>
    <w:uiPriority w:val="62"/>
    <w:semiHidden/>
    <w:unhideWhenUsed/>
    <w:rsid w:val="00D614DB"/>
    <w:pPr>
      <w:spacing w:after="0" w:line="240" w:lineRule="auto"/>
    </w:pPr>
    <w:rPr>
      <w:rFonts w:ascii="Calibri" w:eastAsia="Calibri" w:hAnsi="Calibri" w:cs="Times New Roman"/>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1">
    <w:name w:val="No List1"/>
    <w:next w:val="NoList"/>
    <w:uiPriority w:val="99"/>
    <w:semiHidden/>
    <w:unhideWhenUsed/>
    <w:rsid w:val="00D614DB"/>
  </w:style>
  <w:style w:type="character" w:customStyle="1" w:styleId="cf01">
    <w:name w:val="cf01"/>
    <w:basedOn w:val="DefaultParagraphFont"/>
    <w:rsid w:val="00437F97"/>
    <w:rPr>
      <w:rFonts w:ascii="Segoe UI" w:hAnsi="Segoe UI" w:cs="Segoe UI" w:hint="default"/>
      <w:b/>
      <w:bCs/>
      <w:color w:val="172B4D"/>
      <w:sz w:val="18"/>
      <w:szCs w:val="18"/>
      <w:shd w:val="clear" w:color="auto" w:fill="FFFFFF"/>
    </w:rPr>
  </w:style>
  <w:style w:type="character" w:customStyle="1" w:styleId="cf21">
    <w:name w:val="cf21"/>
    <w:basedOn w:val="DefaultParagraphFont"/>
    <w:rsid w:val="00437F97"/>
    <w:rPr>
      <w:rFonts w:ascii="Segoe UI" w:hAnsi="Segoe UI" w:cs="Segoe UI" w:hint="default"/>
      <w:b/>
      <w:bCs/>
      <w:color w:val="172B4D"/>
      <w:sz w:val="18"/>
      <w:szCs w:val="18"/>
      <w:shd w:val="clear" w:color="auto" w:fill="FFFFFF"/>
    </w:rPr>
  </w:style>
  <w:style w:type="character" w:customStyle="1" w:styleId="ui-provider">
    <w:name w:val="ui-provider"/>
    <w:basedOn w:val="DefaultParagraphFont"/>
    <w:rsid w:val="00B93074"/>
  </w:style>
  <w:style w:type="character" w:customStyle="1" w:styleId="normaltextrun">
    <w:name w:val="normaltextrun"/>
    <w:basedOn w:val="DefaultParagraphFont"/>
    <w:rsid w:val="00D21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90274">
      <w:bodyDiv w:val="1"/>
      <w:marLeft w:val="0"/>
      <w:marRight w:val="0"/>
      <w:marTop w:val="0"/>
      <w:marBottom w:val="0"/>
      <w:divBdr>
        <w:top w:val="none" w:sz="0" w:space="0" w:color="auto"/>
        <w:left w:val="none" w:sz="0" w:space="0" w:color="auto"/>
        <w:bottom w:val="none" w:sz="0" w:space="0" w:color="auto"/>
        <w:right w:val="none" w:sz="0" w:space="0" w:color="auto"/>
      </w:divBdr>
    </w:div>
    <w:div w:id="88818912">
      <w:bodyDiv w:val="1"/>
      <w:marLeft w:val="0"/>
      <w:marRight w:val="0"/>
      <w:marTop w:val="0"/>
      <w:marBottom w:val="0"/>
      <w:divBdr>
        <w:top w:val="none" w:sz="0" w:space="0" w:color="auto"/>
        <w:left w:val="none" w:sz="0" w:space="0" w:color="auto"/>
        <w:bottom w:val="none" w:sz="0" w:space="0" w:color="auto"/>
        <w:right w:val="none" w:sz="0" w:space="0" w:color="auto"/>
      </w:divBdr>
    </w:div>
    <w:div w:id="98263081">
      <w:bodyDiv w:val="1"/>
      <w:marLeft w:val="0"/>
      <w:marRight w:val="0"/>
      <w:marTop w:val="0"/>
      <w:marBottom w:val="0"/>
      <w:divBdr>
        <w:top w:val="none" w:sz="0" w:space="0" w:color="auto"/>
        <w:left w:val="none" w:sz="0" w:space="0" w:color="auto"/>
        <w:bottom w:val="none" w:sz="0" w:space="0" w:color="auto"/>
        <w:right w:val="none" w:sz="0" w:space="0" w:color="auto"/>
      </w:divBdr>
    </w:div>
    <w:div w:id="98571529">
      <w:bodyDiv w:val="1"/>
      <w:marLeft w:val="0"/>
      <w:marRight w:val="0"/>
      <w:marTop w:val="0"/>
      <w:marBottom w:val="0"/>
      <w:divBdr>
        <w:top w:val="none" w:sz="0" w:space="0" w:color="auto"/>
        <w:left w:val="none" w:sz="0" w:space="0" w:color="auto"/>
        <w:bottom w:val="none" w:sz="0" w:space="0" w:color="auto"/>
        <w:right w:val="none" w:sz="0" w:space="0" w:color="auto"/>
      </w:divBdr>
    </w:div>
    <w:div w:id="124590139">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186992083">
      <w:bodyDiv w:val="1"/>
      <w:marLeft w:val="0"/>
      <w:marRight w:val="0"/>
      <w:marTop w:val="0"/>
      <w:marBottom w:val="0"/>
      <w:divBdr>
        <w:top w:val="none" w:sz="0" w:space="0" w:color="auto"/>
        <w:left w:val="none" w:sz="0" w:space="0" w:color="auto"/>
        <w:bottom w:val="none" w:sz="0" w:space="0" w:color="auto"/>
        <w:right w:val="none" w:sz="0" w:space="0" w:color="auto"/>
      </w:divBdr>
    </w:div>
    <w:div w:id="203641106">
      <w:bodyDiv w:val="1"/>
      <w:marLeft w:val="0"/>
      <w:marRight w:val="0"/>
      <w:marTop w:val="0"/>
      <w:marBottom w:val="0"/>
      <w:divBdr>
        <w:top w:val="none" w:sz="0" w:space="0" w:color="auto"/>
        <w:left w:val="none" w:sz="0" w:space="0" w:color="auto"/>
        <w:bottom w:val="none" w:sz="0" w:space="0" w:color="auto"/>
        <w:right w:val="none" w:sz="0" w:space="0" w:color="auto"/>
      </w:divBdr>
    </w:div>
    <w:div w:id="206914686">
      <w:bodyDiv w:val="1"/>
      <w:marLeft w:val="0"/>
      <w:marRight w:val="0"/>
      <w:marTop w:val="0"/>
      <w:marBottom w:val="0"/>
      <w:divBdr>
        <w:top w:val="none" w:sz="0" w:space="0" w:color="auto"/>
        <w:left w:val="none" w:sz="0" w:space="0" w:color="auto"/>
        <w:bottom w:val="none" w:sz="0" w:space="0" w:color="auto"/>
        <w:right w:val="none" w:sz="0" w:space="0" w:color="auto"/>
      </w:divBdr>
    </w:div>
    <w:div w:id="226571660">
      <w:bodyDiv w:val="1"/>
      <w:marLeft w:val="0"/>
      <w:marRight w:val="0"/>
      <w:marTop w:val="0"/>
      <w:marBottom w:val="0"/>
      <w:divBdr>
        <w:top w:val="none" w:sz="0" w:space="0" w:color="auto"/>
        <w:left w:val="none" w:sz="0" w:space="0" w:color="auto"/>
        <w:bottom w:val="none" w:sz="0" w:space="0" w:color="auto"/>
        <w:right w:val="none" w:sz="0" w:space="0" w:color="auto"/>
      </w:divBdr>
      <w:divsChild>
        <w:div w:id="861626775">
          <w:marLeft w:val="0"/>
          <w:marRight w:val="0"/>
          <w:marTop w:val="0"/>
          <w:marBottom w:val="0"/>
          <w:divBdr>
            <w:top w:val="none" w:sz="0" w:space="0" w:color="auto"/>
            <w:left w:val="none" w:sz="0" w:space="0" w:color="auto"/>
            <w:bottom w:val="none" w:sz="0" w:space="0" w:color="auto"/>
            <w:right w:val="none" w:sz="0" w:space="0" w:color="auto"/>
          </w:divBdr>
        </w:div>
      </w:divsChild>
    </w:div>
    <w:div w:id="268126668">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27099528">
      <w:bodyDiv w:val="1"/>
      <w:marLeft w:val="0"/>
      <w:marRight w:val="0"/>
      <w:marTop w:val="0"/>
      <w:marBottom w:val="0"/>
      <w:divBdr>
        <w:top w:val="none" w:sz="0" w:space="0" w:color="auto"/>
        <w:left w:val="none" w:sz="0" w:space="0" w:color="auto"/>
        <w:bottom w:val="none" w:sz="0" w:space="0" w:color="auto"/>
        <w:right w:val="none" w:sz="0" w:space="0" w:color="auto"/>
      </w:divBdr>
    </w:div>
    <w:div w:id="338386791">
      <w:bodyDiv w:val="1"/>
      <w:marLeft w:val="0"/>
      <w:marRight w:val="0"/>
      <w:marTop w:val="0"/>
      <w:marBottom w:val="0"/>
      <w:divBdr>
        <w:top w:val="none" w:sz="0" w:space="0" w:color="auto"/>
        <w:left w:val="none" w:sz="0" w:space="0" w:color="auto"/>
        <w:bottom w:val="none" w:sz="0" w:space="0" w:color="auto"/>
        <w:right w:val="none" w:sz="0" w:space="0" w:color="auto"/>
      </w:divBdr>
    </w:div>
    <w:div w:id="417095266">
      <w:bodyDiv w:val="1"/>
      <w:marLeft w:val="0"/>
      <w:marRight w:val="0"/>
      <w:marTop w:val="0"/>
      <w:marBottom w:val="0"/>
      <w:divBdr>
        <w:top w:val="none" w:sz="0" w:space="0" w:color="auto"/>
        <w:left w:val="none" w:sz="0" w:space="0" w:color="auto"/>
        <w:bottom w:val="none" w:sz="0" w:space="0" w:color="auto"/>
        <w:right w:val="none" w:sz="0" w:space="0" w:color="auto"/>
      </w:divBdr>
    </w:div>
    <w:div w:id="426732260">
      <w:bodyDiv w:val="1"/>
      <w:marLeft w:val="0"/>
      <w:marRight w:val="0"/>
      <w:marTop w:val="0"/>
      <w:marBottom w:val="0"/>
      <w:divBdr>
        <w:top w:val="none" w:sz="0" w:space="0" w:color="auto"/>
        <w:left w:val="none" w:sz="0" w:space="0" w:color="auto"/>
        <w:bottom w:val="none" w:sz="0" w:space="0" w:color="auto"/>
        <w:right w:val="none" w:sz="0" w:space="0" w:color="auto"/>
      </w:divBdr>
      <w:divsChild>
        <w:div w:id="30155413">
          <w:marLeft w:val="0"/>
          <w:marRight w:val="0"/>
          <w:marTop w:val="0"/>
          <w:marBottom w:val="150"/>
          <w:divBdr>
            <w:top w:val="none" w:sz="0" w:space="0" w:color="auto"/>
            <w:left w:val="none" w:sz="0" w:space="0" w:color="auto"/>
            <w:bottom w:val="none" w:sz="0" w:space="0" w:color="auto"/>
            <w:right w:val="none" w:sz="0" w:space="0" w:color="auto"/>
          </w:divBdr>
        </w:div>
        <w:div w:id="1158839132">
          <w:marLeft w:val="0"/>
          <w:marRight w:val="0"/>
          <w:marTop w:val="0"/>
          <w:marBottom w:val="600"/>
          <w:divBdr>
            <w:top w:val="none" w:sz="0" w:space="0" w:color="auto"/>
            <w:left w:val="none" w:sz="0" w:space="0" w:color="auto"/>
            <w:bottom w:val="none" w:sz="0" w:space="0" w:color="auto"/>
            <w:right w:val="none" w:sz="0" w:space="0" w:color="auto"/>
          </w:divBdr>
        </w:div>
      </w:divsChild>
    </w:div>
    <w:div w:id="479885149">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16499963">
      <w:bodyDiv w:val="1"/>
      <w:marLeft w:val="0"/>
      <w:marRight w:val="0"/>
      <w:marTop w:val="0"/>
      <w:marBottom w:val="0"/>
      <w:divBdr>
        <w:top w:val="none" w:sz="0" w:space="0" w:color="auto"/>
        <w:left w:val="none" w:sz="0" w:space="0" w:color="auto"/>
        <w:bottom w:val="none" w:sz="0" w:space="0" w:color="auto"/>
        <w:right w:val="none" w:sz="0" w:space="0" w:color="auto"/>
      </w:divBdr>
    </w:div>
    <w:div w:id="539056657">
      <w:bodyDiv w:val="1"/>
      <w:marLeft w:val="0"/>
      <w:marRight w:val="0"/>
      <w:marTop w:val="0"/>
      <w:marBottom w:val="0"/>
      <w:divBdr>
        <w:top w:val="none" w:sz="0" w:space="0" w:color="auto"/>
        <w:left w:val="none" w:sz="0" w:space="0" w:color="auto"/>
        <w:bottom w:val="none" w:sz="0" w:space="0" w:color="auto"/>
        <w:right w:val="none" w:sz="0" w:space="0" w:color="auto"/>
      </w:divBdr>
    </w:div>
    <w:div w:id="547110261">
      <w:bodyDiv w:val="1"/>
      <w:marLeft w:val="0"/>
      <w:marRight w:val="0"/>
      <w:marTop w:val="0"/>
      <w:marBottom w:val="0"/>
      <w:divBdr>
        <w:top w:val="none" w:sz="0" w:space="0" w:color="auto"/>
        <w:left w:val="none" w:sz="0" w:space="0" w:color="auto"/>
        <w:bottom w:val="none" w:sz="0" w:space="0" w:color="auto"/>
        <w:right w:val="none" w:sz="0" w:space="0" w:color="auto"/>
      </w:divBdr>
    </w:div>
    <w:div w:id="607932155">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654143220">
      <w:bodyDiv w:val="1"/>
      <w:marLeft w:val="0"/>
      <w:marRight w:val="0"/>
      <w:marTop w:val="0"/>
      <w:marBottom w:val="0"/>
      <w:divBdr>
        <w:top w:val="none" w:sz="0" w:space="0" w:color="auto"/>
        <w:left w:val="none" w:sz="0" w:space="0" w:color="auto"/>
        <w:bottom w:val="none" w:sz="0" w:space="0" w:color="auto"/>
        <w:right w:val="none" w:sz="0" w:space="0" w:color="auto"/>
      </w:divBdr>
    </w:div>
    <w:div w:id="732315992">
      <w:bodyDiv w:val="1"/>
      <w:marLeft w:val="0"/>
      <w:marRight w:val="0"/>
      <w:marTop w:val="0"/>
      <w:marBottom w:val="0"/>
      <w:divBdr>
        <w:top w:val="none" w:sz="0" w:space="0" w:color="auto"/>
        <w:left w:val="none" w:sz="0" w:space="0" w:color="auto"/>
        <w:bottom w:val="none" w:sz="0" w:space="0" w:color="auto"/>
        <w:right w:val="none" w:sz="0" w:space="0" w:color="auto"/>
      </w:divBdr>
    </w:div>
    <w:div w:id="776143650">
      <w:bodyDiv w:val="1"/>
      <w:marLeft w:val="0"/>
      <w:marRight w:val="0"/>
      <w:marTop w:val="0"/>
      <w:marBottom w:val="0"/>
      <w:divBdr>
        <w:top w:val="none" w:sz="0" w:space="0" w:color="auto"/>
        <w:left w:val="none" w:sz="0" w:space="0" w:color="auto"/>
        <w:bottom w:val="none" w:sz="0" w:space="0" w:color="auto"/>
        <w:right w:val="none" w:sz="0" w:space="0" w:color="auto"/>
      </w:divBdr>
    </w:div>
    <w:div w:id="812912749">
      <w:bodyDiv w:val="1"/>
      <w:marLeft w:val="0"/>
      <w:marRight w:val="0"/>
      <w:marTop w:val="0"/>
      <w:marBottom w:val="0"/>
      <w:divBdr>
        <w:top w:val="none" w:sz="0" w:space="0" w:color="auto"/>
        <w:left w:val="none" w:sz="0" w:space="0" w:color="auto"/>
        <w:bottom w:val="none" w:sz="0" w:space="0" w:color="auto"/>
        <w:right w:val="none" w:sz="0" w:space="0" w:color="auto"/>
      </w:divBdr>
      <w:divsChild>
        <w:div w:id="1843083726">
          <w:marLeft w:val="0"/>
          <w:marRight w:val="0"/>
          <w:marTop w:val="0"/>
          <w:marBottom w:val="600"/>
          <w:divBdr>
            <w:top w:val="none" w:sz="0" w:space="0" w:color="auto"/>
            <w:left w:val="none" w:sz="0" w:space="0" w:color="auto"/>
            <w:bottom w:val="none" w:sz="0" w:space="0" w:color="auto"/>
            <w:right w:val="none" w:sz="0" w:space="0" w:color="auto"/>
          </w:divBdr>
        </w:div>
        <w:div w:id="1902859793">
          <w:marLeft w:val="0"/>
          <w:marRight w:val="0"/>
          <w:marTop w:val="0"/>
          <w:marBottom w:val="150"/>
          <w:divBdr>
            <w:top w:val="none" w:sz="0" w:space="0" w:color="auto"/>
            <w:left w:val="none" w:sz="0" w:space="0" w:color="auto"/>
            <w:bottom w:val="none" w:sz="0" w:space="0" w:color="auto"/>
            <w:right w:val="none" w:sz="0" w:space="0" w:color="auto"/>
          </w:divBdr>
        </w:div>
      </w:divsChild>
    </w:div>
    <w:div w:id="866287290">
      <w:bodyDiv w:val="1"/>
      <w:marLeft w:val="0"/>
      <w:marRight w:val="0"/>
      <w:marTop w:val="0"/>
      <w:marBottom w:val="0"/>
      <w:divBdr>
        <w:top w:val="none" w:sz="0" w:space="0" w:color="auto"/>
        <w:left w:val="none" w:sz="0" w:space="0" w:color="auto"/>
        <w:bottom w:val="none" w:sz="0" w:space="0" w:color="auto"/>
        <w:right w:val="none" w:sz="0" w:space="0" w:color="auto"/>
      </w:divBdr>
    </w:div>
    <w:div w:id="869494079">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896237526">
      <w:bodyDiv w:val="1"/>
      <w:marLeft w:val="0"/>
      <w:marRight w:val="0"/>
      <w:marTop w:val="0"/>
      <w:marBottom w:val="0"/>
      <w:divBdr>
        <w:top w:val="none" w:sz="0" w:space="0" w:color="auto"/>
        <w:left w:val="none" w:sz="0" w:space="0" w:color="auto"/>
        <w:bottom w:val="none" w:sz="0" w:space="0" w:color="auto"/>
        <w:right w:val="none" w:sz="0" w:space="0" w:color="auto"/>
      </w:divBdr>
    </w:div>
    <w:div w:id="916475403">
      <w:bodyDiv w:val="1"/>
      <w:marLeft w:val="0"/>
      <w:marRight w:val="0"/>
      <w:marTop w:val="0"/>
      <w:marBottom w:val="0"/>
      <w:divBdr>
        <w:top w:val="none" w:sz="0" w:space="0" w:color="auto"/>
        <w:left w:val="none" w:sz="0" w:space="0" w:color="auto"/>
        <w:bottom w:val="none" w:sz="0" w:space="0" w:color="auto"/>
        <w:right w:val="none" w:sz="0" w:space="0" w:color="auto"/>
      </w:divBdr>
    </w:div>
    <w:div w:id="962266489">
      <w:bodyDiv w:val="1"/>
      <w:marLeft w:val="0"/>
      <w:marRight w:val="0"/>
      <w:marTop w:val="0"/>
      <w:marBottom w:val="0"/>
      <w:divBdr>
        <w:top w:val="none" w:sz="0" w:space="0" w:color="auto"/>
        <w:left w:val="none" w:sz="0" w:space="0" w:color="auto"/>
        <w:bottom w:val="none" w:sz="0" w:space="0" w:color="auto"/>
        <w:right w:val="none" w:sz="0" w:space="0" w:color="auto"/>
      </w:divBdr>
      <w:divsChild>
        <w:div w:id="448202557">
          <w:marLeft w:val="0"/>
          <w:marRight w:val="0"/>
          <w:marTop w:val="0"/>
          <w:marBottom w:val="150"/>
          <w:divBdr>
            <w:top w:val="none" w:sz="0" w:space="0" w:color="auto"/>
            <w:left w:val="none" w:sz="0" w:space="0" w:color="auto"/>
            <w:bottom w:val="none" w:sz="0" w:space="0" w:color="auto"/>
            <w:right w:val="none" w:sz="0" w:space="0" w:color="auto"/>
          </w:divBdr>
        </w:div>
      </w:divsChild>
    </w:div>
    <w:div w:id="979577611">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75739839">
      <w:bodyDiv w:val="1"/>
      <w:marLeft w:val="0"/>
      <w:marRight w:val="0"/>
      <w:marTop w:val="0"/>
      <w:marBottom w:val="0"/>
      <w:divBdr>
        <w:top w:val="none" w:sz="0" w:space="0" w:color="auto"/>
        <w:left w:val="none" w:sz="0" w:space="0" w:color="auto"/>
        <w:bottom w:val="none" w:sz="0" w:space="0" w:color="auto"/>
        <w:right w:val="none" w:sz="0" w:space="0" w:color="auto"/>
      </w:divBdr>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40920212">
      <w:bodyDiv w:val="1"/>
      <w:marLeft w:val="0"/>
      <w:marRight w:val="0"/>
      <w:marTop w:val="0"/>
      <w:marBottom w:val="0"/>
      <w:divBdr>
        <w:top w:val="none" w:sz="0" w:space="0" w:color="auto"/>
        <w:left w:val="none" w:sz="0" w:space="0" w:color="auto"/>
        <w:bottom w:val="none" w:sz="0" w:space="0" w:color="auto"/>
        <w:right w:val="none" w:sz="0" w:space="0" w:color="auto"/>
      </w:divBdr>
    </w:div>
    <w:div w:id="1151605141">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
    <w:div w:id="1231577302">
      <w:bodyDiv w:val="1"/>
      <w:marLeft w:val="0"/>
      <w:marRight w:val="0"/>
      <w:marTop w:val="0"/>
      <w:marBottom w:val="0"/>
      <w:divBdr>
        <w:top w:val="none" w:sz="0" w:space="0" w:color="auto"/>
        <w:left w:val="none" w:sz="0" w:space="0" w:color="auto"/>
        <w:bottom w:val="none" w:sz="0" w:space="0" w:color="auto"/>
        <w:right w:val="none" w:sz="0" w:space="0" w:color="auto"/>
      </w:divBdr>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44953311">
      <w:bodyDiv w:val="1"/>
      <w:marLeft w:val="0"/>
      <w:marRight w:val="0"/>
      <w:marTop w:val="0"/>
      <w:marBottom w:val="0"/>
      <w:divBdr>
        <w:top w:val="none" w:sz="0" w:space="0" w:color="auto"/>
        <w:left w:val="none" w:sz="0" w:space="0" w:color="auto"/>
        <w:bottom w:val="none" w:sz="0" w:space="0" w:color="auto"/>
        <w:right w:val="none" w:sz="0" w:space="0" w:color="auto"/>
      </w:divBdr>
      <w:divsChild>
        <w:div w:id="1904562337">
          <w:marLeft w:val="0"/>
          <w:marRight w:val="0"/>
          <w:marTop w:val="0"/>
          <w:marBottom w:val="0"/>
          <w:divBdr>
            <w:top w:val="none" w:sz="0" w:space="0" w:color="auto"/>
            <w:left w:val="none" w:sz="0" w:space="0" w:color="auto"/>
            <w:bottom w:val="none" w:sz="0" w:space="0" w:color="auto"/>
            <w:right w:val="none" w:sz="0" w:space="0" w:color="auto"/>
          </w:divBdr>
        </w:div>
      </w:divsChild>
    </w:div>
    <w:div w:id="1286347974">
      <w:bodyDiv w:val="1"/>
      <w:marLeft w:val="0"/>
      <w:marRight w:val="0"/>
      <w:marTop w:val="0"/>
      <w:marBottom w:val="0"/>
      <w:divBdr>
        <w:top w:val="none" w:sz="0" w:space="0" w:color="auto"/>
        <w:left w:val="none" w:sz="0" w:space="0" w:color="auto"/>
        <w:bottom w:val="none" w:sz="0" w:space="0" w:color="auto"/>
        <w:right w:val="none" w:sz="0" w:space="0" w:color="auto"/>
      </w:divBdr>
    </w:div>
    <w:div w:id="1355882381">
      <w:bodyDiv w:val="1"/>
      <w:marLeft w:val="0"/>
      <w:marRight w:val="0"/>
      <w:marTop w:val="0"/>
      <w:marBottom w:val="0"/>
      <w:divBdr>
        <w:top w:val="none" w:sz="0" w:space="0" w:color="auto"/>
        <w:left w:val="none" w:sz="0" w:space="0" w:color="auto"/>
        <w:bottom w:val="none" w:sz="0" w:space="0" w:color="auto"/>
        <w:right w:val="none" w:sz="0" w:space="0" w:color="auto"/>
      </w:divBdr>
      <w:divsChild>
        <w:div w:id="876351037">
          <w:marLeft w:val="0"/>
          <w:marRight w:val="0"/>
          <w:marTop w:val="0"/>
          <w:marBottom w:val="210"/>
          <w:divBdr>
            <w:top w:val="none" w:sz="0" w:space="0" w:color="auto"/>
            <w:left w:val="none" w:sz="0" w:space="0" w:color="auto"/>
            <w:bottom w:val="none" w:sz="0" w:space="0" w:color="auto"/>
            <w:right w:val="none" w:sz="0" w:space="0" w:color="auto"/>
          </w:divBdr>
        </w:div>
        <w:div w:id="1206214170">
          <w:marLeft w:val="0"/>
          <w:marRight w:val="0"/>
          <w:marTop w:val="0"/>
          <w:marBottom w:val="210"/>
          <w:divBdr>
            <w:top w:val="none" w:sz="0" w:space="0" w:color="auto"/>
            <w:left w:val="none" w:sz="0" w:space="0" w:color="auto"/>
            <w:bottom w:val="none" w:sz="0" w:space="0" w:color="auto"/>
            <w:right w:val="none" w:sz="0" w:space="0" w:color="auto"/>
          </w:divBdr>
        </w:div>
        <w:div w:id="1221749176">
          <w:marLeft w:val="0"/>
          <w:marRight w:val="0"/>
          <w:marTop w:val="0"/>
          <w:marBottom w:val="210"/>
          <w:divBdr>
            <w:top w:val="none" w:sz="0" w:space="0" w:color="auto"/>
            <w:left w:val="none" w:sz="0" w:space="0" w:color="auto"/>
            <w:bottom w:val="none" w:sz="0" w:space="0" w:color="auto"/>
            <w:right w:val="none" w:sz="0" w:space="0" w:color="auto"/>
          </w:divBdr>
        </w:div>
      </w:divsChild>
    </w:div>
    <w:div w:id="1374502971">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51431977">
      <w:bodyDiv w:val="1"/>
      <w:marLeft w:val="0"/>
      <w:marRight w:val="0"/>
      <w:marTop w:val="0"/>
      <w:marBottom w:val="0"/>
      <w:divBdr>
        <w:top w:val="none" w:sz="0" w:space="0" w:color="auto"/>
        <w:left w:val="none" w:sz="0" w:space="0" w:color="auto"/>
        <w:bottom w:val="none" w:sz="0" w:space="0" w:color="auto"/>
        <w:right w:val="none" w:sz="0" w:space="0" w:color="auto"/>
      </w:divBdr>
    </w:div>
    <w:div w:id="1485050864">
      <w:bodyDiv w:val="1"/>
      <w:marLeft w:val="0"/>
      <w:marRight w:val="0"/>
      <w:marTop w:val="0"/>
      <w:marBottom w:val="0"/>
      <w:divBdr>
        <w:top w:val="none" w:sz="0" w:space="0" w:color="auto"/>
        <w:left w:val="none" w:sz="0" w:space="0" w:color="auto"/>
        <w:bottom w:val="none" w:sz="0" w:space="0" w:color="auto"/>
        <w:right w:val="none" w:sz="0" w:space="0" w:color="auto"/>
      </w:divBdr>
    </w:div>
    <w:div w:id="1498156103">
      <w:bodyDiv w:val="1"/>
      <w:marLeft w:val="0"/>
      <w:marRight w:val="0"/>
      <w:marTop w:val="0"/>
      <w:marBottom w:val="0"/>
      <w:divBdr>
        <w:top w:val="none" w:sz="0" w:space="0" w:color="auto"/>
        <w:left w:val="none" w:sz="0" w:space="0" w:color="auto"/>
        <w:bottom w:val="none" w:sz="0" w:space="0" w:color="auto"/>
        <w:right w:val="none" w:sz="0" w:space="0" w:color="auto"/>
      </w:divBdr>
    </w:div>
    <w:div w:id="1508136820">
      <w:bodyDiv w:val="1"/>
      <w:marLeft w:val="0"/>
      <w:marRight w:val="0"/>
      <w:marTop w:val="0"/>
      <w:marBottom w:val="0"/>
      <w:divBdr>
        <w:top w:val="none" w:sz="0" w:space="0" w:color="auto"/>
        <w:left w:val="none" w:sz="0" w:space="0" w:color="auto"/>
        <w:bottom w:val="none" w:sz="0" w:space="0" w:color="auto"/>
        <w:right w:val="none" w:sz="0" w:space="0" w:color="auto"/>
      </w:divBdr>
    </w:div>
    <w:div w:id="1520924405">
      <w:bodyDiv w:val="1"/>
      <w:marLeft w:val="0"/>
      <w:marRight w:val="0"/>
      <w:marTop w:val="0"/>
      <w:marBottom w:val="0"/>
      <w:divBdr>
        <w:top w:val="none" w:sz="0" w:space="0" w:color="auto"/>
        <w:left w:val="none" w:sz="0" w:space="0" w:color="auto"/>
        <w:bottom w:val="none" w:sz="0" w:space="0" w:color="auto"/>
        <w:right w:val="none" w:sz="0" w:space="0" w:color="auto"/>
      </w:divBdr>
    </w:div>
    <w:div w:id="1546872785">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96665078">
      <w:bodyDiv w:val="1"/>
      <w:marLeft w:val="0"/>
      <w:marRight w:val="0"/>
      <w:marTop w:val="0"/>
      <w:marBottom w:val="0"/>
      <w:divBdr>
        <w:top w:val="none" w:sz="0" w:space="0" w:color="auto"/>
        <w:left w:val="none" w:sz="0" w:space="0" w:color="auto"/>
        <w:bottom w:val="none" w:sz="0" w:space="0" w:color="auto"/>
        <w:right w:val="none" w:sz="0" w:space="0" w:color="auto"/>
      </w:divBdr>
      <w:divsChild>
        <w:div w:id="49809430">
          <w:marLeft w:val="0"/>
          <w:marRight w:val="0"/>
          <w:marTop w:val="0"/>
          <w:marBottom w:val="150"/>
          <w:divBdr>
            <w:top w:val="none" w:sz="0" w:space="0" w:color="auto"/>
            <w:left w:val="none" w:sz="0" w:space="0" w:color="auto"/>
            <w:bottom w:val="none" w:sz="0" w:space="0" w:color="auto"/>
            <w:right w:val="none" w:sz="0" w:space="0" w:color="auto"/>
          </w:divBdr>
        </w:div>
        <w:div w:id="1073704373">
          <w:marLeft w:val="0"/>
          <w:marRight w:val="0"/>
          <w:marTop w:val="0"/>
          <w:marBottom w:val="600"/>
          <w:divBdr>
            <w:top w:val="none" w:sz="0" w:space="0" w:color="auto"/>
            <w:left w:val="none" w:sz="0" w:space="0" w:color="auto"/>
            <w:bottom w:val="none" w:sz="0" w:space="0" w:color="auto"/>
            <w:right w:val="none" w:sz="0" w:space="0" w:color="auto"/>
          </w:divBdr>
        </w:div>
      </w:divsChild>
    </w:div>
    <w:div w:id="1626766259">
      <w:bodyDiv w:val="1"/>
      <w:marLeft w:val="0"/>
      <w:marRight w:val="0"/>
      <w:marTop w:val="0"/>
      <w:marBottom w:val="0"/>
      <w:divBdr>
        <w:top w:val="none" w:sz="0" w:space="0" w:color="auto"/>
        <w:left w:val="none" w:sz="0" w:space="0" w:color="auto"/>
        <w:bottom w:val="none" w:sz="0" w:space="0" w:color="auto"/>
        <w:right w:val="none" w:sz="0" w:space="0" w:color="auto"/>
      </w:divBdr>
    </w:div>
    <w:div w:id="1670668868">
      <w:bodyDiv w:val="1"/>
      <w:marLeft w:val="0"/>
      <w:marRight w:val="0"/>
      <w:marTop w:val="0"/>
      <w:marBottom w:val="0"/>
      <w:divBdr>
        <w:top w:val="none" w:sz="0" w:space="0" w:color="auto"/>
        <w:left w:val="none" w:sz="0" w:space="0" w:color="auto"/>
        <w:bottom w:val="none" w:sz="0" w:space="0" w:color="auto"/>
        <w:right w:val="none" w:sz="0" w:space="0" w:color="auto"/>
      </w:divBdr>
    </w:div>
    <w:div w:id="1685551984">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722250086">
      <w:bodyDiv w:val="1"/>
      <w:marLeft w:val="0"/>
      <w:marRight w:val="0"/>
      <w:marTop w:val="0"/>
      <w:marBottom w:val="0"/>
      <w:divBdr>
        <w:top w:val="none" w:sz="0" w:space="0" w:color="auto"/>
        <w:left w:val="none" w:sz="0" w:space="0" w:color="auto"/>
        <w:bottom w:val="none" w:sz="0" w:space="0" w:color="auto"/>
        <w:right w:val="none" w:sz="0" w:space="0" w:color="auto"/>
      </w:divBdr>
    </w:div>
    <w:div w:id="1725182586">
      <w:bodyDiv w:val="1"/>
      <w:marLeft w:val="0"/>
      <w:marRight w:val="0"/>
      <w:marTop w:val="0"/>
      <w:marBottom w:val="0"/>
      <w:divBdr>
        <w:top w:val="none" w:sz="0" w:space="0" w:color="auto"/>
        <w:left w:val="none" w:sz="0" w:space="0" w:color="auto"/>
        <w:bottom w:val="none" w:sz="0" w:space="0" w:color="auto"/>
        <w:right w:val="none" w:sz="0" w:space="0" w:color="auto"/>
      </w:divBdr>
      <w:divsChild>
        <w:div w:id="177237439">
          <w:marLeft w:val="0"/>
          <w:marRight w:val="0"/>
          <w:marTop w:val="0"/>
          <w:marBottom w:val="150"/>
          <w:divBdr>
            <w:top w:val="none" w:sz="0" w:space="0" w:color="auto"/>
            <w:left w:val="none" w:sz="0" w:space="0" w:color="auto"/>
            <w:bottom w:val="none" w:sz="0" w:space="0" w:color="auto"/>
            <w:right w:val="none" w:sz="0" w:space="0" w:color="auto"/>
          </w:divBdr>
        </w:div>
      </w:divsChild>
    </w:div>
    <w:div w:id="1746997996">
      <w:bodyDiv w:val="1"/>
      <w:marLeft w:val="0"/>
      <w:marRight w:val="0"/>
      <w:marTop w:val="0"/>
      <w:marBottom w:val="0"/>
      <w:divBdr>
        <w:top w:val="none" w:sz="0" w:space="0" w:color="auto"/>
        <w:left w:val="none" w:sz="0" w:space="0" w:color="auto"/>
        <w:bottom w:val="none" w:sz="0" w:space="0" w:color="auto"/>
        <w:right w:val="none" w:sz="0" w:space="0" w:color="auto"/>
      </w:divBdr>
    </w:div>
    <w:div w:id="1749421515">
      <w:bodyDiv w:val="1"/>
      <w:marLeft w:val="0"/>
      <w:marRight w:val="0"/>
      <w:marTop w:val="0"/>
      <w:marBottom w:val="0"/>
      <w:divBdr>
        <w:top w:val="none" w:sz="0" w:space="0" w:color="auto"/>
        <w:left w:val="none" w:sz="0" w:space="0" w:color="auto"/>
        <w:bottom w:val="none" w:sz="0" w:space="0" w:color="auto"/>
        <w:right w:val="none" w:sz="0" w:space="0" w:color="auto"/>
      </w:divBdr>
    </w:div>
    <w:div w:id="1789425249">
      <w:bodyDiv w:val="1"/>
      <w:marLeft w:val="0"/>
      <w:marRight w:val="0"/>
      <w:marTop w:val="0"/>
      <w:marBottom w:val="0"/>
      <w:divBdr>
        <w:top w:val="none" w:sz="0" w:space="0" w:color="auto"/>
        <w:left w:val="none" w:sz="0" w:space="0" w:color="auto"/>
        <w:bottom w:val="none" w:sz="0" w:space="0" w:color="auto"/>
        <w:right w:val="none" w:sz="0" w:space="0" w:color="auto"/>
      </w:divBdr>
    </w:div>
    <w:div w:id="1806971353">
      <w:bodyDiv w:val="1"/>
      <w:marLeft w:val="0"/>
      <w:marRight w:val="0"/>
      <w:marTop w:val="0"/>
      <w:marBottom w:val="0"/>
      <w:divBdr>
        <w:top w:val="none" w:sz="0" w:space="0" w:color="auto"/>
        <w:left w:val="none" w:sz="0" w:space="0" w:color="auto"/>
        <w:bottom w:val="none" w:sz="0" w:space="0" w:color="auto"/>
        <w:right w:val="none" w:sz="0" w:space="0" w:color="auto"/>
      </w:divBdr>
      <w:divsChild>
        <w:div w:id="892541046">
          <w:marLeft w:val="0"/>
          <w:marRight w:val="0"/>
          <w:marTop w:val="0"/>
          <w:marBottom w:val="600"/>
          <w:divBdr>
            <w:top w:val="none" w:sz="0" w:space="0" w:color="auto"/>
            <w:left w:val="none" w:sz="0" w:space="0" w:color="auto"/>
            <w:bottom w:val="none" w:sz="0" w:space="0" w:color="auto"/>
            <w:right w:val="none" w:sz="0" w:space="0" w:color="auto"/>
          </w:divBdr>
        </w:div>
        <w:div w:id="1319000959">
          <w:marLeft w:val="0"/>
          <w:marRight w:val="0"/>
          <w:marTop w:val="0"/>
          <w:marBottom w:val="150"/>
          <w:divBdr>
            <w:top w:val="none" w:sz="0" w:space="0" w:color="auto"/>
            <w:left w:val="none" w:sz="0" w:space="0" w:color="auto"/>
            <w:bottom w:val="none" w:sz="0" w:space="0" w:color="auto"/>
            <w:right w:val="none" w:sz="0" w:space="0" w:color="auto"/>
          </w:divBdr>
        </w:div>
      </w:divsChild>
    </w:div>
    <w:div w:id="1872575532">
      <w:bodyDiv w:val="1"/>
      <w:marLeft w:val="0"/>
      <w:marRight w:val="0"/>
      <w:marTop w:val="0"/>
      <w:marBottom w:val="0"/>
      <w:divBdr>
        <w:top w:val="none" w:sz="0" w:space="0" w:color="auto"/>
        <w:left w:val="none" w:sz="0" w:space="0" w:color="auto"/>
        <w:bottom w:val="none" w:sz="0" w:space="0" w:color="auto"/>
        <w:right w:val="none" w:sz="0" w:space="0" w:color="auto"/>
      </w:divBdr>
    </w:div>
    <w:div w:id="1918243971">
      <w:bodyDiv w:val="1"/>
      <w:marLeft w:val="0"/>
      <w:marRight w:val="0"/>
      <w:marTop w:val="0"/>
      <w:marBottom w:val="0"/>
      <w:divBdr>
        <w:top w:val="none" w:sz="0" w:space="0" w:color="auto"/>
        <w:left w:val="none" w:sz="0" w:space="0" w:color="auto"/>
        <w:bottom w:val="none" w:sz="0" w:space="0" w:color="auto"/>
        <w:right w:val="none" w:sz="0" w:space="0" w:color="auto"/>
      </w:divBdr>
      <w:divsChild>
        <w:div w:id="392585356">
          <w:marLeft w:val="0"/>
          <w:marRight w:val="0"/>
          <w:marTop w:val="0"/>
          <w:marBottom w:val="600"/>
          <w:divBdr>
            <w:top w:val="none" w:sz="0" w:space="0" w:color="auto"/>
            <w:left w:val="none" w:sz="0" w:space="0" w:color="auto"/>
            <w:bottom w:val="none" w:sz="0" w:space="0" w:color="auto"/>
            <w:right w:val="none" w:sz="0" w:space="0" w:color="auto"/>
          </w:divBdr>
        </w:div>
        <w:div w:id="2110004687">
          <w:marLeft w:val="0"/>
          <w:marRight w:val="0"/>
          <w:marTop w:val="0"/>
          <w:marBottom w:val="150"/>
          <w:divBdr>
            <w:top w:val="none" w:sz="0" w:space="0" w:color="auto"/>
            <w:left w:val="none" w:sz="0" w:space="0" w:color="auto"/>
            <w:bottom w:val="none" w:sz="0" w:space="0" w:color="auto"/>
            <w:right w:val="none" w:sz="0" w:space="0" w:color="auto"/>
          </w:divBdr>
        </w:div>
      </w:divsChild>
    </w:div>
    <w:div w:id="1951888240">
      <w:bodyDiv w:val="1"/>
      <w:marLeft w:val="0"/>
      <w:marRight w:val="0"/>
      <w:marTop w:val="0"/>
      <w:marBottom w:val="0"/>
      <w:divBdr>
        <w:top w:val="none" w:sz="0" w:space="0" w:color="auto"/>
        <w:left w:val="none" w:sz="0" w:space="0" w:color="auto"/>
        <w:bottom w:val="none" w:sz="0" w:space="0" w:color="auto"/>
        <w:right w:val="none" w:sz="0" w:space="0" w:color="auto"/>
      </w:divBdr>
    </w:div>
    <w:div w:id="1977644359">
      <w:bodyDiv w:val="1"/>
      <w:marLeft w:val="0"/>
      <w:marRight w:val="0"/>
      <w:marTop w:val="0"/>
      <w:marBottom w:val="0"/>
      <w:divBdr>
        <w:top w:val="none" w:sz="0" w:space="0" w:color="auto"/>
        <w:left w:val="none" w:sz="0" w:space="0" w:color="auto"/>
        <w:bottom w:val="none" w:sz="0" w:space="0" w:color="auto"/>
        <w:right w:val="none" w:sz="0" w:space="0" w:color="auto"/>
      </w:divBdr>
    </w:div>
    <w:div w:id="2000767799">
      <w:bodyDiv w:val="1"/>
      <w:marLeft w:val="0"/>
      <w:marRight w:val="0"/>
      <w:marTop w:val="0"/>
      <w:marBottom w:val="0"/>
      <w:divBdr>
        <w:top w:val="none" w:sz="0" w:space="0" w:color="auto"/>
        <w:left w:val="none" w:sz="0" w:space="0" w:color="auto"/>
        <w:bottom w:val="none" w:sz="0" w:space="0" w:color="auto"/>
        <w:right w:val="none" w:sz="0" w:space="0" w:color="auto"/>
      </w:divBdr>
    </w:div>
    <w:div w:id="2021006887">
      <w:bodyDiv w:val="1"/>
      <w:marLeft w:val="0"/>
      <w:marRight w:val="0"/>
      <w:marTop w:val="0"/>
      <w:marBottom w:val="0"/>
      <w:divBdr>
        <w:top w:val="none" w:sz="0" w:space="0" w:color="auto"/>
        <w:left w:val="none" w:sz="0" w:space="0" w:color="auto"/>
        <w:bottom w:val="none" w:sz="0" w:space="0" w:color="auto"/>
        <w:right w:val="none" w:sz="0" w:space="0" w:color="auto"/>
      </w:divBdr>
      <w:divsChild>
        <w:div w:id="91439345">
          <w:marLeft w:val="0"/>
          <w:marRight w:val="0"/>
          <w:marTop w:val="0"/>
          <w:marBottom w:val="600"/>
          <w:divBdr>
            <w:top w:val="none" w:sz="0" w:space="0" w:color="auto"/>
            <w:left w:val="none" w:sz="0" w:space="0" w:color="auto"/>
            <w:bottom w:val="none" w:sz="0" w:space="0" w:color="auto"/>
            <w:right w:val="none" w:sz="0" w:space="0" w:color="auto"/>
          </w:divBdr>
        </w:div>
        <w:div w:id="790586685">
          <w:marLeft w:val="0"/>
          <w:marRight w:val="0"/>
          <w:marTop w:val="0"/>
          <w:marBottom w:val="150"/>
          <w:divBdr>
            <w:top w:val="none" w:sz="0" w:space="0" w:color="auto"/>
            <w:left w:val="none" w:sz="0" w:space="0" w:color="auto"/>
            <w:bottom w:val="none" w:sz="0" w:space="0" w:color="auto"/>
            <w:right w:val="none" w:sz="0" w:space="0" w:color="auto"/>
          </w:divBdr>
        </w:div>
      </w:divsChild>
    </w:div>
    <w:div w:id="2041005922">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98402620">
      <w:bodyDiv w:val="1"/>
      <w:marLeft w:val="0"/>
      <w:marRight w:val="0"/>
      <w:marTop w:val="0"/>
      <w:marBottom w:val="0"/>
      <w:divBdr>
        <w:top w:val="none" w:sz="0" w:space="0" w:color="auto"/>
        <w:left w:val="none" w:sz="0" w:space="0" w:color="auto"/>
        <w:bottom w:val="none" w:sz="0" w:space="0" w:color="auto"/>
        <w:right w:val="none" w:sz="0" w:space="0" w:color="auto"/>
      </w:divBdr>
      <w:divsChild>
        <w:div w:id="289634185">
          <w:marLeft w:val="0"/>
          <w:marRight w:val="0"/>
          <w:marTop w:val="0"/>
          <w:marBottom w:val="600"/>
          <w:divBdr>
            <w:top w:val="none" w:sz="0" w:space="0" w:color="auto"/>
            <w:left w:val="none" w:sz="0" w:space="0" w:color="auto"/>
            <w:bottom w:val="none" w:sz="0" w:space="0" w:color="auto"/>
            <w:right w:val="none" w:sz="0" w:space="0" w:color="auto"/>
          </w:divBdr>
        </w:div>
        <w:div w:id="350379008">
          <w:marLeft w:val="0"/>
          <w:marRight w:val="0"/>
          <w:marTop w:val="0"/>
          <w:marBottom w:val="150"/>
          <w:divBdr>
            <w:top w:val="none" w:sz="0" w:space="0" w:color="auto"/>
            <w:left w:val="none" w:sz="0" w:space="0" w:color="auto"/>
            <w:bottom w:val="none" w:sz="0" w:space="0" w:color="auto"/>
            <w:right w:val="none" w:sz="0" w:space="0" w:color="auto"/>
          </w:divBdr>
        </w:div>
        <w:div w:id="682510119">
          <w:marLeft w:val="0"/>
          <w:marRight w:val="0"/>
          <w:marTop w:val="0"/>
          <w:marBottom w:val="150"/>
          <w:divBdr>
            <w:top w:val="none" w:sz="0" w:space="0" w:color="auto"/>
            <w:left w:val="none" w:sz="0" w:space="0" w:color="auto"/>
            <w:bottom w:val="none" w:sz="0" w:space="0" w:color="auto"/>
            <w:right w:val="none" w:sz="0" w:space="0" w:color="auto"/>
          </w:divBdr>
        </w:div>
        <w:div w:id="1363822401">
          <w:marLeft w:val="0"/>
          <w:marRight w:val="0"/>
          <w:marTop w:val="0"/>
          <w:marBottom w:val="600"/>
          <w:divBdr>
            <w:top w:val="none" w:sz="0" w:space="0" w:color="auto"/>
            <w:left w:val="none" w:sz="0" w:space="0" w:color="auto"/>
            <w:bottom w:val="none" w:sz="0" w:space="0" w:color="auto"/>
            <w:right w:val="none" w:sz="0" w:space="0" w:color="auto"/>
          </w:divBdr>
        </w:div>
      </w:divsChild>
    </w:div>
    <w:div w:id="212935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s://sites.ed.gov/idea/how-the-department-made-determin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hyperlink" Target="https://emaps.ed.gov/suite/"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tes.ed.gov/idea/how-the-department-made-determin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3A0F89BB9954C8B253FD585569827" ma:contentTypeVersion="7" ma:contentTypeDescription="Create a new document." ma:contentTypeScope="" ma:versionID="a81cf9d4b13597e61b9efcf1db968191">
  <xsd:schema xmlns:xsd="http://www.w3.org/2001/XMLSchema" xmlns:xs="http://www.w3.org/2001/XMLSchema" xmlns:p="http://schemas.microsoft.com/office/2006/metadata/properties" xmlns:ns1="http://schemas.microsoft.com/sharepoint/v3" xmlns:ns2="b4311169-ef95-4eb4-ad55-0b8e815ccd7b" xmlns:ns3="626a857a-181d-4963-b522-a6055312c9f6" targetNamespace="http://schemas.microsoft.com/office/2006/metadata/properties" ma:root="true" ma:fieldsID="502f16f298c31747db7e96094745dff6" ns1:_="" ns2:_="" ns3:_="">
    <xsd:import namespace="http://schemas.microsoft.com/sharepoint/v3"/>
    <xsd:import namespace="b4311169-ef95-4eb4-ad55-0b8e815ccd7b"/>
    <xsd:import namespace="626a857a-181d-4963-b522-a6055312c9f6"/>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11169-ef95-4eb4-ad55-0b8e815ccd7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626a857a-181d-4963-b522-a6055312c9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b4311169-ef95-4eb4-ad55-0b8e815ccd7b" xsi:nil="true"/>
    <Priority xmlns="b4311169-ef95-4eb4-ad55-0b8e815ccd7b" xsi:nil="true"/>
    <Remediation_x0020_Date xmlns="b4311169-ef95-4eb4-ad55-0b8e815ccd7b">2024-09-04T23:21:31+00:00</Remediation_x0020_Date>
  </documentManagement>
</p:properties>
</file>

<file path=customXml/itemProps1.xml><?xml version="1.0" encoding="utf-8"?>
<ds:datastoreItem xmlns:ds="http://schemas.openxmlformats.org/officeDocument/2006/customXml" ds:itemID="{2661B22F-9650-4A1B-8C2A-A35420D4DB14}"/>
</file>

<file path=customXml/itemProps2.xml><?xml version="1.0" encoding="utf-8"?>
<ds:datastoreItem xmlns:ds="http://schemas.openxmlformats.org/officeDocument/2006/customXml" ds:itemID="{7881BCB8-03D0-4290-935D-F6B299B61C87}">
  <ds:schemaRefs>
    <ds:schemaRef ds:uri="http://schemas.microsoft.com/sharepoint/v3/contenttype/forms"/>
  </ds:schemaRefs>
</ds:datastoreItem>
</file>

<file path=customXml/itemProps3.xml><?xml version="1.0" encoding="utf-8"?>
<ds:datastoreItem xmlns:ds="http://schemas.openxmlformats.org/officeDocument/2006/customXml" ds:itemID="{6D3EA648-3B63-4970-B56F-40D6EC89E419}">
  <ds:schemaRefs>
    <ds:schemaRef ds:uri="http://schemas.openxmlformats.org/officeDocument/2006/bibliography"/>
  </ds:schemaRefs>
</ds:datastoreItem>
</file>

<file path=customXml/itemProps4.xml><?xml version="1.0" encoding="utf-8"?>
<ds:datastoreItem xmlns:ds="http://schemas.openxmlformats.org/officeDocument/2006/customXml" ds:itemID="{E34A9DCB-E3D8-4048-BDD4-1F7881EB959B}">
  <ds:schemaRefs>
    <ds:schemaRef ds:uri="http://schemas.microsoft.com/office/2006/metadata/properties"/>
    <ds:schemaRef ds:uri="http://schemas.microsoft.com/office/infopath/2007/PartnerControls"/>
    <ds:schemaRef ds:uri="http://schemas.microsoft.com/sharepoint/v3"/>
    <ds:schemaRef ds:uri="292db1e8-b3d0-4356-8ef3-2a6d7ed77883"/>
    <ds:schemaRef ds:uri="4f36bac4-6705-4a36-974b-7c07450fedf2"/>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Template>
  <TotalTime>2</TotalTime>
  <Pages>53</Pages>
  <Words>33732</Words>
  <Characters>192276</Characters>
  <Application>Microsoft Office Word</Application>
  <DocSecurity>0</DocSecurity>
  <Lines>1602</Lines>
  <Paragraphs>451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O'Grady</dc:creator>
  <cp:lastModifiedBy>TURNBULL Mariana * ODE</cp:lastModifiedBy>
  <cp:revision>2</cp:revision>
  <cp:lastPrinted>2014-08-19T16:56:00Z</cp:lastPrinted>
  <dcterms:created xsi:type="dcterms:W3CDTF">2024-09-04T22:54:00Z</dcterms:created>
  <dcterms:modified xsi:type="dcterms:W3CDTF">2024-09-04T22:54:00Z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0x01010054E3A0F89BB9954C8B253FD585569827</vt:lpwstr>
  </property>
  <property fmtid="{D5CDD505-2E9C-101B-9397-08002B2CF9AE}" pid="3" name="_dlc_DocIdItemGuid">
    <vt:lpwstr>b82c75b5-a88e-491a-8e63-d2888e9ba736</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Order">
    <vt:r8>41299000</vt:r8>
  </property>
  <property fmtid="{D5CDD505-2E9C-101B-9397-08002B2CF9AE}" pid="8" name="Body">
    <vt:lpwstr/>
  </property>
  <property fmtid="{D5CDD505-2E9C-101B-9397-08002B2CF9AE}" pid="9" name="TaskStatus">
    <vt:lpwstr/>
  </property>
  <property fmtid="{D5CDD505-2E9C-101B-9397-08002B2CF9AE}" pid="10" name="WorkflowName">
    <vt:lpwstr/>
  </property>
  <property fmtid="{D5CDD505-2E9C-101B-9397-08002B2CF9AE}" pid="11" name="Document Notes">
    <vt:lpwstr/>
  </property>
  <property fmtid="{D5CDD505-2E9C-101B-9397-08002B2CF9AE}" pid="12" name="Document Notes0">
    <vt:lpwstr/>
  </property>
  <property fmtid="{D5CDD505-2E9C-101B-9397-08002B2CF9AE}" pid="13" name="Priority">
    <vt:lpwstr/>
  </property>
  <property fmtid="{D5CDD505-2E9C-101B-9397-08002B2CF9AE}" pid="14" name="_CopySource">
    <vt:lpwstr>https://sharepoint.aemcorp.com/ed/EDMITS/Shared Documents/51 - APR/SPP APR/FFY 2021 - TO-Q/40 IT/01 Requirements/Part 1 - APR Tool/Part C/Part C SPP-APR FFY 2021 Form with abbreviations.docx</vt:lpwstr>
  </property>
  <property fmtid="{D5CDD505-2E9C-101B-9397-08002B2CF9AE}" pid="15" name="MediaServiceImageTags">
    <vt:lpwstr/>
  </property>
  <property fmtid="{D5CDD505-2E9C-101B-9397-08002B2CF9AE}" pid="16" name="Predecessors">
    <vt:lpwstr/>
  </property>
  <property fmtid="{D5CDD505-2E9C-101B-9397-08002B2CF9AE}" pid="17" name="AssignedTo">
    <vt:lpwstr/>
  </property>
  <property fmtid="{D5CDD505-2E9C-101B-9397-08002B2CF9AE}" pid="18" name="MSIP_Label_7730ea53-6f5e-4160-81a5-992a9105450a_Enabled">
    <vt:lpwstr>true</vt:lpwstr>
  </property>
  <property fmtid="{D5CDD505-2E9C-101B-9397-08002B2CF9AE}" pid="19" name="MSIP_Label_7730ea53-6f5e-4160-81a5-992a9105450a_SetDate">
    <vt:lpwstr>2024-09-03T16:15:29Z</vt:lpwstr>
  </property>
  <property fmtid="{D5CDD505-2E9C-101B-9397-08002B2CF9AE}" pid="20" name="MSIP_Label_7730ea53-6f5e-4160-81a5-992a9105450a_Method">
    <vt:lpwstr>Standard</vt:lpwstr>
  </property>
  <property fmtid="{D5CDD505-2E9C-101B-9397-08002B2CF9AE}" pid="21" name="MSIP_Label_7730ea53-6f5e-4160-81a5-992a9105450a_Name">
    <vt:lpwstr>Level 2 - Limited (Items)</vt:lpwstr>
  </property>
  <property fmtid="{D5CDD505-2E9C-101B-9397-08002B2CF9AE}" pid="22" name="MSIP_Label_7730ea53-6f5e-4160-81a5-992a9105450a_SiteId">
    <vt:lpwstr>b4f51418-b269-49a2-935a-fa54bf584fc8</vt:lpwstr>
  </property>
  <property fmtid="{D5CDD505-2E9C-101B-9397-08002B2CF9AE}" pid="23" name="MSIP_Label_7730ea53-6f5e-4160-81a5-992a9105450a_ActionId">
    <vt:lpwstr>f57f0eb1-77ea-4135-a321-a947253d7d97</vt:lpwstr>
  </property>
  <property fmtid="{D5CDD505-2E9C-101B-9397-08002B2CF9AE}" pid="24" name="MSIP_Label_7730ea53-6f5e-4160-81a5-992a9105450a_ContentBits">
    <vt:lpwstr>0</vt:lpwstr>
  </property>
</Properties>
</file>