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1E56" w14:textId="77777777" w:rsidR="007B35BE" w:rsidRPr="005B40C0" w:rsidRDefault="007B35BE" w:rsidP="005B40C0">
      <w:pPr>
        <w:pStyle w:val="Heading1"/>
      </w:pPr>
      <w:bookmarkStart w:id="0" w:name="_Hlk121691473"/>
      <w:bookmarkStart w:id="1" w:name="_Toc382082357"/>
      <w:bookmarkStart w:id="2" w:name="_Toc392159258"/>
      <w:bookmarkStart w:id="3" w:name="_Hlk110866287"/>
      <w:bookmarkEnd w:id="0"/>
      <w:r w:rsidRPr="005B40C0">
        <w:t>State Performance Plan / Annual Performance Report: Part B</w:t>
      </w:r>
    </w:p>
    <w:p w14:paraId="775F9C1C" w14:textId="05570B0D"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for STATE FORMULA GRANT PROGRAMS under the Individuals with Disabilities Education Act</w:t>
      </w:r>
    </w:p>
    <w:p w14:paraId="29F4DA54" w14:textId="4B34FCD1" w:rsidR="007B35BE" w:rsidRPr="00781112" w:rsidRDefault="007B35BE" w:rsidP="007B35BE">
      <w:pPr>
        <w:autoSpaceDE w:val="0"/>
        <w:autoSpaceDN w:val="0"/>
        <w:adjustRightInd w:val="0"/>
        <w:spacing w:before="360"/>
        <w:jc w:val="center"/>
        <w:rPr>
          <w:rFonts w:cs="Arial"/>
          <w:b/>
          <w:bCs/>
          <w:color w:val="000000" w:themeColor="text1"/>
          <w:sz w:val="28"/>
          <w:szCs w:val="28"/>
        </w:rPr>
      </w:pPr>
      <w:r w:rsidRPr="00781112">
        <w:rPr>
          <w:rFonts w:cs="Arial"/>
          <w:b/>
          <w:bCs/>
          <w:color w:val="000000" w:themeColor="text1"/>
          <w:sz w:val="24"/>
          <w:szCs w:val="24"/>
        </w:rPr>
        <w:t xml:space="preserve">For reporting on </w:t>
      </w:r>
      <w:r w:rsidRPr="00781112">
        <w:rPr>
          <w:rFonts w:cs="Arial"/>
          <w:b/>
          <w:bCs/>
          <w:color w:val="000000" w:themeColor="text1"/>
          <w:sz w:val="24"/>
          <w:szCs w:val="24"/>
        </w:rPr>
        <w:br/>
      </w:r>
      <w:r w:rsidRPr="00781112">
        <w:rPr>
          <w:rFonts w:cs="Arial"/>
          <w:b/>
          <w:bCs/>
          <w:color w:val="000000" w:themeColor="text1"/>
          <w:sz w:val="28"/>
          <w:szCs w:val="28"/>
        </w:rPr>
        <w:t xml:space="preserve">FFY </w:t>
      </w:r>
      <w:r w:rsidR="00F46F21">
        <w:rPr>
          <w:rFonts w:cs="Arial"/>
          <w:b/>
          <w:bCs/>
          <w:color w:val="000000" w:themeColor="text1"/>
          <w:sz w:val="28"/>
          <w:szCs w:val="28"/>
        </w:rPr>
        <w:t>202</w:t>
      </w:r>
      <w:r w:rsidR="00CC5489">
        <w:rPr>
          <w:rFonts w:cs="Arial"/>
          <w:b/>
          <w:bCs/>
          <w:color w:val="000000" w:themeColor="text1"/>
          <w:sz w:val="28"/>
          <w:szCs w:val="28"/>
        </w:rPr>
        <w:t>3</w:t>
      </w:r>
    </w:p>
    <w:p w14:paraId="3168A19B" w14:textId="77777777" w:rsidR="007B35BE" w:rsidRPr="00781112" w:rsidRDefault="007B35BE" w:rsidP="007B35BE">
      <w:pPr>
        <w:autoSpaceDE w:val="0"/>
        <w:autoSpaceDN w:val="0"/>
        <w:adjustRightInd w:val="0"/>
        <w:spacing w:before="360"/>
        <w:jc w:val="center"/>
        <w:rPr>
          <w:rFonts w:cs="Arial"/>
          <w:b/>
          <w:bCs/>
          <w:color w:val="000000" w:themeColor="text1"/>
          <w:sz w:val="32"/>
          <w:szCs w:val="32"/>
        </w:rPr>
      </w:pPr>
      <w:r w:rsidRPr="00781112">
        <w:rPr>
          <w:rFonts w:cs="Arial"/>
          <w:b/>
          <w:bCs/>
          <w:color w:val="000000" w:themeColor="text1"/>
          <w:sz w:val="32"/>
          <w:szCs w:val="32"/>
        </w:rPr>
        <w:t>Oregon</w:t>
      </w:r>
    </w:p>
    <w:p w14:paraId="160C9007" w14:textId="77777777"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noProof/>
          <w:color w:val="000000" w:themeColor="text1"/>
          <w:sz w:val="24"/>
          <w:szCs w:val="24"/>
        </w:rPr>
        <w:drawing>
          <wp:inline distT="0" distB="0" distL="0" distR="0" wp14:anchorId="135639EF" wp14:editId="6DF93301">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7AFE126A" w14:textId="38FB37D5" w:rsidR="007B35BE" w:rsidRPr="00781112" w:rsidRDefault="007B35BE" w:rsidP="007B35BE">
      <w:pPr>
        <w:autoSpaceDE w:val="0"/>
        <w:autoSpaceDN w:val="0"/>
        <w:adjustRightInd w:val="0"/>
        <w:spacing w:before="360"/>
        <w:jc w:val="center"/>
        <w:rPr>
          <w:rFonts w:cs="Arial"/>
          <w:b/>
          <w:bCs/>
          <w:color w:val="000000" w:themeColor="text1"/>
          <w:sz w:val="24"/>
          <w:szCs w:val="24"/>
        </w:rPr>
      </w:pPr>
      <w:r w:rsidRPr="00781112">
        <w:rPr>
          <w:rFonts w:cs="Arial"/>
          <w:b/>
          <w:bCs/>
          <w:color w:val="000000" w:themeColor="text1"/>
          <w:sz w:val="24"/>
          <w:szCs w:val="24"/>
        </w:rPr>
        <w:t>PART B DUE February 3, 2025</w:t>
      </w:r>
    </w:p>
    <w:p w14:paraId="00155D5B" w14:textId="77777777" w:rsidR="007B35BE" w:rsidRPr="00781112" w:rsidRDefault="007B35BE" w:rsidP="007B35BE">
      <w:pPr>
        <w:autoSpaceDE w:val="0"/>
        <w:autoSpaceDN w:val="0"/>
        <w:adjustRightInd w:val="0"/>
        <w:spacing w:before="360"/>
        <w:jc w:val="center"/>
        <w:rPr>
          <w:rFonts w:cs="Arial"/>
          <w:b/>
          <w:bCs/>
          <w:color w:val="000000" w:themeColor="text1"/>
          <w:sz w:val="18"/>
          <w:szCs w:val="18"/>
        </w:rPr>
      </w:pPr>
      <w:r w:rsidRPr="00781112">
        <w:rPr>
          <w:rFonts w:cs="Arial"/>
          <w:b/>
          <w:bCs/>
          <w:color w:val="000000" w:themeColor="text1"/>
          <w:sz w:val="18"/>
          <w:szCs w:val="18"/>
        </w:rPr>
        <w:t>U.S. DEPARTMENT OF EDUCATION</w:t>
      </w:r>
    </w:p>
    <w:p w14:paraId="4EAB0E73" w14:textId="660D4F64" w:rsidR="007B35BE" w:rsidRPr="00781112" w:rsidRDefault="007B35BE" w:rsidP="007B35BE">
      <w:pPr>
        <w:jc w:val="center"/>
        <w:rPr>
          <w:rFonts w:cs="Arial"/>
          <w:b/>
          <w:bCs/>
          <w:color w:val="000000" w:themeColor="text1"/>
          <w:sz w:val="18"/>
          <w:szCs w:val="18"/>
        </w:rPr>
      </w:pPr>
      <w:r w:rsidRPr="00781112">
        <w:rPr>
          <w:rFonts w:cs="Arial"/>
          <w:b/>
          <w:bCs/>
          <w:color w:val="000000" w:themeColor="text1"/>
          <w:sz w:val="18"/>
          <w:szCs w:val="18"/>
        </w:rPr>
        <w:t>WASHINGTON, DC 20202</w:t>
      </w:r>
    </w:p>
    <w:p w14:paraId="27ABABDC" w14:textId="7FECEC69" w:rsidR="00AB39FB" w:rsidRPr="00781112" w:rsidRDefault="00AB39FB">
      <w:pPr>
        <w:spacing w:before="0" w:after="200" w:line="276" w:lineRule="auto"/>
        <w:rPr>
          <w:rFonts w:cs="Arial"/>
          <w:b/>
          <w:bCs/>
          <w:color w:val="000000" w:themeColor="text1"/>
          <w:sz w:val="18"/>
          <w:szCs w:val="18"/>
        </w:rPr>
      </w:pPr>
      <w:r w:rsidRPr="00781112">
        <w:rPr>
          <w:rFonts w:cs="Arial"/>
          <w:b/>
          <w:bCs/>
          <w:color w:val="000000" w:themeColor="text1"/>
          <w:sz w:val="18"/>
          <w:szCs w:val="18"/>
        </w:rPr>
        <w:br w:type="page"/>
      </w:r>
    </w:p>
    <w:p w14:paraId="3F368203" w14:textId="77777777" w:rsidR="00AB39FB" w:rsidRPr="00781112" w:rsidRDefault="00AB39FB" w:rsidP="007B35BE">
      <w:pPr>
        <w:jc w:val="center"/>
        <w:rPr>
          <w:rFonts w:cs="Arial"/>
          <w:b/>
          <w:bCs/>
          <w:color w:val="000000" w:themeColor="text1"/>
          <w:sz w:val="18"/>
          <w:szCs w:val="18"/>
        </w:rPr>
      </w:pPr>
    </w:p>
    <w:p w14:paraId="0E7D29A1" w14:textId="2C077CCB" w:rsidR="00AF5649" w:rsidRPr="00781112" w:rsidRDefault="00AF5649" w:rsidP="005B40C0">
      <w:pPr>
        <w:pStyle w:val="Heading2"/>
      </w:pPr>
      <w:r w:rsidRPr="00781112">
        <w:rPr>
          <w:rFonts w:cs="Arial"/>
          <w:color w:val="000000" w:themeColor="text1"/>
          <w:szCs w:val="20"/>
        </w:rPr>
        <w:t>Introduction</w:t>
      </w:r>
    </w:p>
    <w:p w14:paraId="5B9171B6" w14:textId="014DD19D" w:rsidR="007742F1" w:rsidRPr="002C274F" w:rsidRDefault="007742F1" w:rsidP="002C274F">
      <w:pPr>
        <w:rPr>
          <w:rFonts w:asciiTheme="majorHAnsi" w:hAnsiTheme="majorHAnsi"/>
          <w:b/>
          <w:bCs/>
          <w:sz w:val="20"/>
          <w:szCs w:val="20"/>
        </w:rPr>
      </w:pPr>
      <w:r w:rsidRPr="002C274F">
        <w:rPr>
          <w:b/>
          <w:bCs/>
          <w:sz w:val="20"/>
          <w:szCs w:val="20"/>
        </w:rPr>
        <w:t>Instructions</w:t>
      </w:r>
    </w:p>
    <w:p w14:paraId="696881EF" w14:textId="783B44AF" w:rsidR="00AA4DAF" w:rsidRPr="00781112" w:rsidRDefault="00AA4DAF" w:rsidP="00A84FF8">
      <w:pPr>
        <w:rPr>
          <w:rFonts w:cs="Arial"/>
          <w:color w:val="000000" w:themeColor="text1"/>
          <w:szCs w:val="16"/>
        </w:rPr>
      </w:pPr>
      <w:r w:rsidRPr="00781112">
        <w:rPr>
          <w:rFonts w:cs="Arial"/>
          <w:color w:val="000000" w:themeColor="text1"/>
          <w:szCs w:val="16"/>
          <w:shd w:val="clear" w:color="auto" w:fill="FFFFFF"/>
        </w:rPr>
        <w:t>Provide sufficient detail to ensure that the Secretary and the public are informed of and understand the State’s systems designed to drive improved results for students with disabilities and to ensure that the State Educational Agency (SEA) and Local Educational Agencies (LEAs) meet the requirements of IDEA Part B. This introduction must include descriptions of the State’s General Supervision System, Technical Assistance System, Professional Development System, Stakeholder Involvement, and Reporting to the Public.</w:t>
      </w:r>
    </w:p>
    <w:p w14:paraId="4A333302" w14:textId="1EA6D8FF" w:rsidR="007742F1" w:rsidRPr="00781112" w:rsidRDefault="00684B51" w:rsidP="005B40C0">
      <w:pPr>
        <w:pStyle w:val="Heading3"/>
      </w:pPr>
      <w:r w:rsidRPr="00781112">
        <w:t xml:space="preserve">Intro - </w:t>
      </w:r>
      <w:r w:rsidR="007742F1" w:rsidRPr="00781112">
        <w:t>Indicator Data</w:t>
      </w:r>
    </w:p>
    <w:p w14:paraId="72B2C3E7" w14:textId="53819907" w:rsidR="00AF5649" w:rsidRPr="00781112" w:rsidRDefault="00AF5649" w:rsidP="004369B2">
      <w:pPr>
        <w:rPr>
          <w:color w:val="000000" w:themeColor="text1"/>
        </w:rPr>
      </w:pPr>
      <w:r w:rsidRPr="00781112">
        <w:rPr>
          <w:b/>
          <w:color w:val="000000" w:themeColor="text1"/>
        </w:rPr>
        <w:t xml:space="preserve">Executive Summary </w:t>
      </w:r>
    </w:p>
    <w:p w14:paraId="04B2974F" w14:textId="0DF01750" w:rsidR="000C24C2" w:rsidRPr="00781112" w:rsidRDefault="002B7490" w:rsidP="00AF5649">
      <w:pPr>
        <w:rPr>
          <w:rFonts w:cs="Arial"/>
          <w:color w:val="000000" w:themeColor="text1"/>
          <w:szCs w:val="16"/>
        </w:rPr>
      </w:pPr>
      <w:r w:rsidRPr="00781112">
        <w:rPr>
          <w:rFonts w:cs="Arial"/>
          <w:color w:val="000000" w:themeColor="text1"/>
          <w:szCs w:val="16"/>
        </w:rPr>
        <w:t xml:space="preserve">Data reported in this FFY 2023 SPP/APR report reflects the successes of preschool inclusion efforts and investments in transition supports.  </w:t>
      </w:r>
      <w:r w:rsidRPr="00781112">
        <w:rPr>
          <w:rFonts w:cs="Arial"/>
          <w:color w:val="000000" w:themeColor="text1"/>
          <w:szCs w:val="16"/>
        </w:rPr>
        <w:br/>
      </w:r>
      <w:r w:rsidRPr="00781112">
        <w:rPr>
          <w:rFonts w:cs="Arial"/>
          <w:color w:val="000000" w:themeColor="text1"/>
          <w:szCs w:val="16"/>
        </w:rPr>
        <w:br/>
        <w:t xml:space="preserve">More preschool students received services within a regular early childhood program than in prior years, at 55.40% of students, compared to the target of 48.30% of students, and an increase over 52.94% in FFY 2022. Oregon exceeded the target of 58% set for post school outcomes for students enrolled in higher education or competitively employed within one year of leaving high school, with 62.24% of respondents participating in one of these options. Graduation rates improved and dropout rates decreased, with 72.2% of students with disabilities exiting special education due to graduating with a regular diploma in FFY 2023, an increase over 66.91% of students in FFY 2022. Another notable success was that the percentage of students with IEPs compliant with all secondary transition standards increased by 8% from FFY 2022. Data reported in the area of assessment confirm the need for Oregon to continue focusing efforts on increasing outcomes for students experiencing disability.  </w:t>
      </w:r>
      <w:r w:rsidRPr="00781112">
        <w:rPr>
          <w:rFonts w:cs="Arial"/>
          <w:color w:val="000000" w:themeColor="text1"/>
          <w:szCs w:val="16"/>
        </w:rPr>
        <w:br/>
      </w:r>
      <w:r w:rsidRPr="00781112">
        <w:rPr>
          <w:rFonts w:cs="Arial"/>
          <w:color w:val="000000" w:themeColor="text1"/>
          <w:szCs w:val="16"/>
        </w:rPr>
        <w:br/>
        <w:t xml:space="preserve">This FFY 2023 SPP/APR report includes expanded information describing Oregon’s general supervision system, and noncompliance related to the related requirements of compliance indicators identified because of monitoring activities conducted therein. This FFY 2023 report is the first year of the State reporting additional findings for requirements related to the SPP/APR indicators. The State includes descriptions of general supervision activities contributing to the monitoring findings in the subsequent sections of this FFY 2023 introduction, and the number of findings and corrections completed within one year in B18. The Oregon Department of Education, or the State, serves 197 districts, or local educational agencies. In this report, the terms district and LEA are both used to refer to the local agencies serving students.  </w:t>
      </w:r>
    </w:p>
    <w:p w14:paraId="223A8781" w14:textId="77777777" w:rsidR="00757D21" w:rsidRPr="00781112" w:rsidRDefault="00757D21" w:rsidP="002536C1">
      <w:pPr>
        <w:rPr>
          <w:b/>
          <w:bCs/>
        </w:rPr>
      </w:pPr>
      <w:r w:rsidRPr="00781112">
        <w:rPr>
          <w:b/>
          <w:bCs/>
        </w:rPr>
        <w:t>Additional information related to data collection and reporting</w:t>
      </w:r>
    </w:p>
    <w:p w14:paraId="614EAC72" w14:textId="596641E7" w:rsidR="00757D21" w:rsidRPr="00781112" w:rsidRDefault="00757D21">
      <w:pPr>
        <w:rPr>
          <w:b/>
          <w:color w:val="000000" w:themeColor="text1"/>
        </w:rPr>
      </w:pPr>
    </w:p>
    <w:p w14:paraId="4ADBDC7F" w14:textId="2CA8C307" w:rsidR="00C01339" w:rsidRPr="00781112" w:rsidRDefault="00AF5649">
      <w:pPr>
        <w:rPr>
          <w:b/>
          <w:color w:val="000000" w:themeColor="text1"/>
        </w:rPr>
      </w:pPr>
      <w:r w:rsidRPr="00781112">
        <w:rPr>
          <w:b/>
          <w:color w:val="000000" w:themeColor="text1"/>
        </w:rPr>
        <w:t xml:space="preserve">Number of Districts in your State/Territory during reporting year </w:t>
      </w:r>
    </w:p>
    <w:p w14:paraId="36C38539" w14:textId="1E194795" w:rsidR="00AF5649" w:rsidRPr="00781112" w:rsidRDefault="002B7490" w:rsidP="004369B2">
      <w:pPr>
        <w:rPr>
          <w:color w:val="000000" w:themeColor="text1"/>
        </w:rPr>
      </w:pPr>
      <w:r w:rsidRPr="00781112">
        <w:rPr>
          <w:color w:val="000000" w:themeColor="text1"/>
        </w:rPr>
        <w:t>197</w:t>
      </w:r>
    </w:p>
    <w:p w14:paraId="785B8E3E" w14:textId="5E29FFD5" w:rsidR="00AF5649" w:rsidRPr="00781112" w:rsidRDefault="00AF5649" w:rsidP="004369B2">
      <w:pPr>
        <w:rPr>
          <w:color w:val="000000" w:themeColor="text1"/>
        </w:rPr>
      </w:pPr>
      <w:r w:rsidRPr="00781112">
        <w:rPr>
          <w:b/>
          <w:color w:val="000000" w:themeColor="text1"/>
        </w:rPr>
        <w:t>General Supervision System:</w:t>
      </w:r>
    </w:p>
    <w:p w14:paraId="626FCC62" w14:textId="55F0525C" w:rsidR="00731910" w:rsidRPr="00781112" w:rsidRDefault="004A7084" w:rsidP="00AF5649">
      <w:pPr>
        <w:rPr>
          <w:rFonts w:cs="Arial"/>
          <w:b/>
          <w:color w:val="000000" w:themeColor="text1"/>
          <w:szCs w:val="16"/>
        </w:rPr>
      </w:pPr>
      <w:r w:rsidRPr="00BA3DBE">
        <w:rPr>
          <w:b/>
          <w:bCs/>
        </w:rPr>
        <w:t xml:space="preserve">The systems that are in place to ensure that the IDEA Part B requirements are met (e.g., integrated monitoring activities; data on processes and results; the SPP/APR; fiscal management; policies, procedures, and practices resulting in effective implementation; and improvement, correction, incentives, and sanctions). </w:t>
      </w:r>
      <w:r w:rsidR="00256572" w:rsidRPr="006A35F9">
        <w:rPr>
          <w:b/>
          <w:bCs/>
          <w:szCs w:val="16"/>
        </w:rPr>
        <w:t>Include a description of all the mechanisms the State uses to identify and verify correction of noncompliance and improve results. This should include, but not be limited to, State monitoring, State database/data system, dispute resolution, fiscal management systems as well as other mechanisms through which the State is able to determine compliance and/or issue written findings of noncompliance. The State should include the following elements:</w:t>
      </w:r>
    </w:p>
    <w:p w14:paraId="6ED4E205" w14:textId="2E339254" w:rsidR="00256572" w:rsidRPr="00680744" w:rsidRDefault="00256572" w:rsidP="00680744">
      <w:pPr>
        <w:rPr>
          <w:b/>
          <w:bCs/>
        </w:rPr>
      </w:pPr>
      <w:r w:rsidRPr="00680744">
        <w:rPr>
          <w:b/>
          <w:bCs/>
        </w:rPr>
        <w:t>Describe the process the State uses to select LEAs for monitoring, the schedule, and number of LEAs monitored per year.</w:t>
      </w:r>
    </w:p>
    <w:p w14:paraId="77EFC6FC" w14:textId="1967493C" w:rsidR="00256572" w:rsidRPr="00A964C2" w:rsidRDefault="00256572" w:rsidP="00680744">
      <w:pPr>
        <w:rPr>
          <w:bCs/>
        </w:rPr>
      </w:pPr>
      <w:r w:rsidRPr="00A964C2">
        <w:rPr>
          <w:bCs/>
        </w:rPr>
        <w:t xml:space="preserve">The State conducts programmatic and fiscal monitoring activities annually and separately. The State monitors school age programs and programs serving children birth to five years using processes and tools in compliance with OSEP's 23-01 guidance. The following sections describe how LEAs are selected for programmatic and fiscal monitoring activities. </w:t>
      </w:r>
      <w:r w:rsidRPr="00A964C2">
        <w:rPr>
          <w:bCs/>
        </w:rPr>
        <w:br/>
      </w:r>
      <w:r w:rsidRPr="00A964C2">
        <w:rPr>
          <w:bCs/>
        </w:rPr>
        <w:br/>
        <w:t xml:space="preserve">Programmatic Monitoring Overview </w:t>
      </w:r>
      <w:r w:rsidRPr="00A964C2">
        <w:rPr>
          <w:bCs/>
        </w:rPr>
        <w:br/>
        <w:t xml:space="preserve">Oregon has a three-tiered system for monitoring LEAs. All LEAs participate in universal monitoring every year. Universal programmatic monitoring includes review of data submitted as a part of the SPP/APR. The programmatic indicator activities include reviewing all indicator data and completing any required follow-up activities based on this data. Some examples include engaging in a policy, procedure, and practice review for indicators B4a, B9, B10, and B11, submitting subsequent data for B11, and accessing technical assistance as required in annual determinations. All 197 LEAs complete these activities on an annual basis. </w:t>
      </w:r>
      <w:r w:rsidRPr="00A964C2">
        <w:rPr>
          <w:bCs/>
        </w:rPr>
        <w:br/>
      </w:r>
      <w:r w:rsidRPr="00A964C2">
        <w:rPr>
          <w:bCs/>
        </w:rPr>
        <w:br/>
        <w:t xml:space="preserve">Process of Selection of LEAs for Cyclical Monitoring </w:t>
      </w:r>
      <w:r w:rsidRPr="00A964C2">
        <w:rPr>
          <w:bCs/>
        </w:rPr>
        <w:br/>
        <w:t>LEAs are assigned by the State to participate in cyclical monitoring once every three years. The cohort assignment is based on the cohort schedule established for the parent survey, as this sample design was developed to ensure a representative sample. LEAs participate in cyclical monitoring activities according to the following schedule and may be selected to participate in additional focused monitoring activities.</w:t>
      </w:r>
      <w:r w:rsidRPr="00A964C2">
        <w:rPr>
          <w:bCs/>
        </w:rPr>
        <w:br/>
      </w:r>
      <w:r w:rsidRPr="00A964C2">
        <w:rPr>
          <w:bCs/>
        </w:rPr>
        <w:br/>
        <w:t xml:space="preserve">Annual Cyclical Monitoring Cohort Schedule </w:t>
      </w:r>
      <w:r w:rsidRPr="00A964C2">
        <w:rPr>
          <w:bCs/>
        </w:rPr>
        <w:br/>
        <w:t xml:space="preserve">The dates below represent the timeline followed on an annual basis for the process of cyclical monitoring. If one of these dates falls on a weekend, the due date is adjusted to be the last working day prior to the date. </w:t>
      </w:r>
      <w:r w:rsidRPr="00A964C2">
        <w:rPr>
          <w:bCs/>
        </w:rPr>
        <w:br/>
      </w:r>
      <w:r w:rsidRPr="00A964C2">
        <w:rPr>
          <w:bCs/>
        </w:rPr>
        <w:br/>
        <w:t xml:space="preserve">August 15 – LEAs and Programs Notified of Selection for Cyclical Monitoring </w:t>
      </w:r>
      <w:r w:rsidRPr="00A964C2">
        <w:rPr>
          <w:bCs/>
        </w:rPr>
        <w:br/>
        <w:t xml:space="preserve">August 16 – October 15 – All LEAs and Programs Participate in a Cyclical Monitoring Training </w:t>
      </w:r>
      <w:r w:rsidRPr="00A964C2">
        <w:rPr>
          <w:bCs/>
        </w:rPr>
        <w:br/>
        <w:t>January 15 – LEA and Program Review Workbooks Due</w:t>
      </w:r>
      <w:r w:rsidRPr="00A964C2">
        <w:rPr>
          <w:bCs/>
        </w:rPr>
        <w:br/>
        <w:t xml:space="preserve">January 31 – ODE Requests File Validation Sample </w:t>
      </w:r>
      <w:r w:rsidRPr="00A964C2">
        <w:rPr>
          <w:bCs/>
        </w:rPr>
        <w:br/>
        <w:t xml:space="preserve">February 15 – LEA File Evidence is Due </w:t>
      </w:r>
      <w:r w:rsidRPr="00A964C2">
        <w:rPr>
          <w:bCs/>
        </w:rPr>
        <w:br/>
        <w:t xml:space="preserve">March 31 – Due Diligence Report Shared with LEA </w:t>
      </w:r>
      <w:r w:rsidRPr="00A964C2">
        <w:rPr>
          <w:bCs/>
        </w:rPr>
        <w:br/>
        <w:t xml:space="preserve">April 15 – Final LEA File Evidence Due </w:t>
      </w:r>
      <w:r w:rsidRPr="00A964C2">
        <w:rPr>
          <w:bCs/>
        </w:rPr>
        <w:br/>
        <w:t xml:space="preserve">May 15 – LEA Findings of Noncompliance Issued </w:t>
      </w:r>
      <w:r w:rsidRPr="00A964C2">
        <w:rPr>
          <w:bCs/>
        </w:rPr>
        <w:br/>
        <w:t xml:space="preserve">June 30 – March 15 – Quarterly Checkpoints Occur </w:t>
      </w:r>
      <w:r w:rsidRPr="00A964C2">
        <w:rPr>
          <w:bCs/>
        </w:rPr>
        <w:br/>
        <w:t xml:space="preserve">May 1 – All Evidence of Correction Due to ODE for Review </w:t>
      </w:r>
      <w:r w:rsidRPr="00A964C2">
        <w:rPr>
          <w:bCs/>
        </w:rPr>
        <w:br/>
        <w:t xml:space="preserve">May 14 – Last Day to Demonstrate Compliance within One Year </w:t>
      </w:r>
      <w:r w:rsidRPr="00A964C2">
        <w:rPr>
          <w:bCs/>
        </w:rPr>
        <w:br/>
      </w:r>
      <w:r w:rsidRPr="00A964C2">
        <w:rPr>
          <w:bCs/>
        </w:rPr>
        <w:br/>
        <w:t xml:space="preserve">Number of LEAs Reviewed – Cyclical Monitoring </w:t>
      </w:r>
      <w:r w:rsidRPr="00A964C2">
        <w:rPr>
          <w:bCs/>
        </w:rPr>
        <w:br/>
      </w:r>
      <w:r w:rsidRPr="00A964C2">
        <w:rPr>
          <w:bCs/>
        </w:rPr>
        <w:lastRenderedPageBreak/>
        <w:t xml:space="preserve">2022-23 School Year Cohort A – 66* LEAs </w:t>
      </w:r>
      <w:r w:rsidRPr="00A964C2">
        <w:rPr>
          <w:bCs/>
        </w:rPr>
        <w:br/>
        <w:t xml:space="preserve">2023-24 School Year Cohort B – 65 LEAs </w:t>
      </w:r>
      <w:r w:rsidRPr="00A964C2">
        <w:rPr>
          <w:bCs/>
        </w:rPr>
        <w:br/>
        <w:t>2024-25 School Year Cohort C – 65 LEAs</w:t>
      </w:r>
      <w:r w:rsidRPr="00A964C2">
        <w:rPr>
          <w:bCs/>
        </w:rPr>
        <w:br/>
      </w:r>
      <w:r w:rsidRPr="00A964C2">
        <w:rPr>
          <w:bCs/>
        </w:rPr>
        <w:br/>
        <w:t xml:space="preserve">One Cohort A LEA was not monitored in 2022-2023, as it participated in a pilot monitoring activity with the State during the prior spring. This LEA will be monitored during the 2025-26 school year. Adult Corrections Education Programs, Juvenile Detention Education Programs, Youth Corrections Education Programs, and Pediatric Nursing Facilities are monitored during the Cohort C year. Hospital Programs, Private Schools, Long Term Care and Treatment Programs, and Oregon School for the Deaf are monitored when the LEA responsible for FAPE is monitored. </w:t>
      </w:r>
      <w:r w:rsidRPr="00A964C2">
        <w:rPr>
          <w:bCs/>
        </w:rPr>
        <w:br/>
      </w:r>
      <w:r w:rsidRPr="00A964C2">
        <w:rPr>
          <w:bCs/>
        </w:rPr>
        <w:br/>
        <w:t xml:space="preserve">Process of Selection of LEAs for Focused Monitoring </w:t>
      </w:r>
      <w:r w:rsidRPr="00A964C2">
        <w:rPr>
          <w:bCs/>
        </w:rPr>
        <w:br/>
        <w:t xml:space="preserve">LEAs are selected for focused monitoring using a data informed process that includes a programmatic risk assessment. LEAs are assigned to focused monitoring based on this process to identify elevated risk factors, and regardless of year of participation in cohort cyclical monitoring. All LEAs were scored for the following factors for monitoring during the 2022-23 school year using the most recent data available for the following areas: </w:t>
      </w:r>
      <w:r w:rsidRPr="00A964C2">
        <w:rPr>
          <w:bCs/>
        </w:rPr>
        <w:br/>
      </w:r>
      <w:r w:rsidRPr="00A964C2">
        <w:rPr>
          <w:bCs/>
        </w:rPr>
        <w:br/>
        <w:t>School Age Environments (B5), Secondary Transition (B13), Significant Disproportionality, Fiscal Risk Assessment Results, Post School Outcomes (Indicator B14), Second Year Noncompliance, Length of Tenure of Special Education Director, Qualifications of Special Education Staff, ESSA Identification (Takes into account grad rates, assessment results, ELA growth, and chronic absenteeism) as well as timely and accurate data, corrective actions from state complaints, extended assessment participation and length of time since focused monitoring.</w:t>
      </w:r>
      <w:r w:rsidRPr="00A964C2">
        <w:rPr>
          <w:bCs/>
        </w:rPr>
        <w:br/>
        <w:t xml:space="preserve"> </w:t>
      </w:r>
      <w:r w:rsidRPr="00A964C2">
        <w:rPr>
          <w:bCs/>
        </w:rPr>
        <w:br/>
        <w:t xml:space="preserve">Annual Focused Monitoring Schedule </w:t>
      </w:r>
      <w:r w:rsidRPr="00A964C2">
        <w:rPr>
          <w:bCs/>
        </w:rPr>
        <w:br/>
        <w:t xml:space="preserve">August 15 – LEAs are notified that they have been selected for focused monitoring </w:t>
      </w:r>
      <w:r w:rsidRPr="00A964C2">
        <w:rPr>
          <w:bCs/>
        </w:rPr>
        <w:br/>
        <w:t xml:space="preserve">September 30 – Initial Meeting with LEAs has occurred </w:t>
      </w:r>
      <w:r w:rsidRPr="00A964C2">
        <w:rPr>
          <w:bCs/>
        </w:rPr>
        <w:br/>
        <w:t xml:space="preserve">October 31 – Data review meeting held with LEA and activities are determined </w:t>
      </w:r>
      <w:r w:rsidRPr="00A964C2">
        <w:rPr>
          <w:bCs/>
        </w:rPr>
        <w:br/>
        <w:t xml:space="preserve">November 30 – Activities are selected based on data </w:t>
      </w:r>
      <w:r w:rsidRPr="00A964C2">
        <w:rPr>
          <w:bCs/>
        </w:rPr>
        <w:br/>
        <w:t xml:space="preserve">December - January – On-site monitoring occurs </w:t>
      </w:r>
      <w:r w:rsidRPr="00A964C2">
        <w:rPr>
          <w:bCs/>
        </w:rPr>
        <w:br/>
        <w:t xml:space="preserve">60 days following onsite visit – Due diligence report issued </w:t>
      </w:r>
      <w:r w:rsidRPr="00A964C2">
        <w:rPr>
          <w:bCs/>
        </w:rPr>
        <w:br/>
        <w:t xml:space="preserve">75 days following onsite visit – Final evidence from LEA due </w:t>
      </w:r>
      <w:r w:rsidRPr="00A964C2">
        <w:rPr>
          <w:bCs/>
        </w:rPr>
        <w:br/>
        <w:t xml:space="preserve">90 days following onsite visit – Findings and Recommendations Report Issued </w:t>
      </w:r>
      <w:r w:rsidRPr="00A964C2">
        <w:rPr>
          <w:bCs/>
        </w:rPr>
        <w:br/>
        <w:t xml:space="preserve">Quarterly Checkpoints – Meetings occur at a minimum of quarterly to ensure district is supported with improvements and corrections </w:t>
      </w:r>
      <w:r w:rsidRPr="00A964C2">
        <w:rPr>
          <w:bCs/>
        </w:rPr>
        <w:br/>
        <w:t xml:space="preserve">No more than one year from report of findings – All findings must be corrected, or the district is considered as having a second-year noncompliance </w:t>
      </w:r>
      <w:r w:rsidRPr="00A964C2">
        <w:rPr>
          <w:bCs/>
        </w:rPr>
        <w:br/>
      </w:r>
      <w:r w:rsidRPr="00A964C2">
        <w:rPr>
          <w:bCs/>
        </w:rPr>
        <w:br/>
        <w:t xml:space="preserve">Number of LEAs Reviewed for Focused Monitoring </w:t>
      </w:r>
      <w:r w:rsidRPr="00A964C2">
        <w:rPr>
          <w:bCs/>
        </w:rPr>
        <w:br/>
        <w:t xml:space="preserve">2022-23 School Year – 3 LEAs </w:t>
      </w:r>
      <w:r w:rsidRPr="00A964C2">
        <w:rPr>
          <w:bCs/>
        </w:rPr>
        <w:br/>
        <w:t xml:space="preserve">2023-24 School Year Cohort B – 3 LEAs </w:t>
      </w:r>
      <w:r w:rsidRPr="00A964C2">
        <w:rPr>
          <w:bCs/>
        </w:rPr>
        <w:br/>
        <w:t>2024-25 School Year Cohort C – 3 LEAs</w:t>
      </w:r>
      <w:r w:rsidRPr="00A964C2">
        <w:rPr>
          <w:bCs/>
        </w:rPr>
        <w:br/>
      </w:r>
      <w:r w:rsidRPr="00A964C2">
        <w:rPr>
          <w:bCs/>
        </w:rPr>
        <w:br/>
        <w:t xml:space="preserve">Process for Selection of LEAs for Fiscal Monitoring </w:t>
      </w:r>
      <w:r w:rsidRPr="00A964C2">
        <w:rPr>
          <w:bCs/>
        </w:rPr>
        <w:br/>
        <w:t xml:space="preserve">All LEAS participate in an annual, Tier 1 (universal) monitoring process via the IDEA LEA Application of Funds which includes the Fiscal Risk Assessment. Approximately ? of LEAs each year will partake in Tier 2 (targeted/ cyclical) monitoring via a Sampling Claims Documentation Process (every 3 years). </w:t>
      </w:r>
      <w:r w:rsidRPr="00A964C2">
        <w:rPr>
          <w:bCs/>
        </w:rPr>
        <w:br/>
      </w:r>
      <w:r w:rsidRPr="00A964C2">
        <w:rPr>
          <w:bCs/>
        </w:rPr>
        <w:br/>
        <w:t xml:space="preserve">In addition to Tier 1 (universal) and Tier 2 (targeted/cyclical) monitoring, LEAs may be selected for Tier 3 (intensive/focused) monitoring when the risk assessments results indicate a need for increased support and monitoring regardless of whether they are part of that year's cycle. </w:t>
      </w:r>
      <w:r w:rsidRPr="00A964C2">
        <w:rPr>
          <w:bCs/>
        </w:rPr>
        <w:br/>
      </w:r>
      <w:r w:rsidRPr="00A964C2">
        <w:rPr>
          <w:bCs/>
        </w:rPr>
        <w:br/>
        <w:t xml:space="preserve">Tier 3 monitoring is a result of indicators discovered by the SEA through alternative methods. The SEA reserves the right to monitor any LEA at any time regardless of the risk assessment results or the annual monitoring cycle. If an LEA is identified as “High Risk”, two or more consecutive years, the initial Tier 3 Monitoring window will be extended. </w:t>
      </w:r>
      <w:r w:rsidRPr="00A964C2">
        <w:rPr>
          <w:bCs/>
        </w:rPr>
        <w:br/>
      </w:r>
      <w:r w:rsidRPr="00A964C2">
        <w:rPr>
          <w:bCs/>
        </w:rPr>
        <w:br/>
        <w:t xml:space="preserve">Schedule for Fiscal Monitoring of LEAS </w:t>
      </w:r>
      <w:r w:rsidRPr="00A964C2">
        <w:rPr>
          <w:bCs/>
        </w:rPr>
        <w:br/>
        <w:t xml:space="preserve">All LEAs in the state will take part in either a Tier II (targeted/cyclical) or Tier III (intensive/focused) fiscal monitoring experience at least once every six years, in addition to the universal fiscal monitoring activities conducted annually. </w:t>
      </w:r>
      <w:r w:rsidRPr="00A964C2">
        <w:rPr>
          <w:bCs/>
        </w:rPr>
        <w:br/>
      </w:r>
      <w:r w:rsidRPr="00A964C2">
        <w:rPr>
          <w:bCs/>
        </w:rPr>
        <w:br/>
        <w:t xml:space="preserve">Tier 1: Annually </w:t>
      </w:r>
      <w:r w:rsidRPr="00A964C2">
        <w:rPr>
          <w:bCs/>
        </w:rPr>
        <w:br/>
        <w:t xml:space="preserve">Tier 2: Cyclical; Every 3 years </w:t>
      </w:r>
      <w:r w:rsidRPr="00A964C2">
        <w:rPr>
          <w:bCs/>
        </w:rPr>
        <w:br/>
        <w:t xml:space="preserve">Tier 3: If selected by ODE Office of Enhancing Student Opportunities (OESO) IDEA Fiscal Team </w:t>
      </w:r>
      <w:r w:rsidRPr="00A964C2">
        <w:rPr>
          <w:bCs/>
        </w:rPr>
        <w:br/>
      </w:r>
      <w:r w:rsidRPr="00A964C2">
        <w:rPr>
          <w:bCs/>
        </w:rPr>
        <w:br/>
        <w:t xml:space="preserve">Number of LEAs Monitored per year: IDEA Fiscal Monitoring </w:t>
      </w:r>
      <w:r w:rsidRPr="00A964C2">
        <w:rPr>
          <w:bCs/>
        </w:rPr>
        <w:br/>
        <w:t xml:space="preserve">Tier 1: All Districts (197) </w:t>
      </w:r>
      <w:r w:rsidRPr="00A964C2">
        <w:rPr>
          <w:bCs/>
        </w:rPr>
        <w:br/>
        <w:t xml:space="preserve">Tier 2: 67 Districts per year (3-year cycle) </w:t>
      </w:r>
      <w:r w:rsidRPr="00A964C2">
        <w:rPr>
          <w:bCs/>
        </w:rPr>
        <w:br/>
        <w:t xml:space="preserve">Tier 3: 3-5 Districts per year </w:t>
      </w:r>
    </w:p>
    <w:p w14:paraId="44B1A469" w14:textId="63AD8ACD" w:rsidR="00256572" w:rsidRPr="00680744" w:rsidRDefault="00256572" w:rsidP="00680744">
      <w:pPr>
        <w:rPr>
          <w:b/>
          <w:bCs/>
        </w:rPr>
      </w:pPr>
      <w:r w:rsidRPr="00680744">
        <w:rPr>
          <w:b/>
          <w:bCs/>
        </w:rPr>
        <w:t>Describe how student files are chosen, including the number of student files that are selected, as part of the State’s process for determining an LEA’s compliance with IDEA requirements and verifying the LEA’s correction of any identified compliance.</w:t>
      </w:r>
    </w:p>
    <w:p w14:paraId="6DFD3B84" w14:textId="3A7AA03B" w:rsidR="00256572" w:rsidRPr="00A964C2" w:rsidRDefault="00256572" w:rsidP="00680744">
      <w:pPr>
        <w:rPr>
          <w:bCs/>
        </w:rPr>
      </w:pPr>
      <w:r w:rsidRPr="00A964C2">
        <w:rPr>
          <w:bCs/>
        </w:rPr>
        <w:t xml:space="preserve">The State applies different criteria for file selection depending on if the district is completing focused or cyclical monitoring. </w:t>
      </w:r>
      <w:r w:rsidRPr="00A964C2">
        <w:rPr>
          <w:bCs/>
        </w:rPr>
        <w:br/>
      </w:r>
      <w:r w:rsidRPr="00A964C2">
        <w:rPr>
          <w:bCs/>
        </w:rPr>
        <w:br/>
        <w:t xml:space="preserve">Total Number of Files Reviewed for Cyclical Monitoring </w:t>
      </w:r>
      <w:r w:rsidRPr="00A964C2">
        <w:rPr>
          <w:bCs/>
        </w:rPr>
        <w:br/>
        <w:t xml:space="preserve">Each LEA file review sample size is based on the prior year’s Special Education Child Count numbers. The State used the same sample size for the 2022-23, 2023-24, and 2024-25 school years. Below are the minimum number of files to be reviewed based on an LEA’s Special Education Child Count data collection. </w:t>
      </w:r>
      <w:r w:rsidRPr="00A964C2">
        <w:rPr>
          <w:bCs/>
        </w:rPr>
        <w:br/>
      </w:r>
      <w:r w:rsidRPr="00A964C2">
        <w:rPr>
          <w:bCs/>
        </w:rPr>
        <w:br/>
        <w:t xml:space="preserve">SECC: Total Files Required </w:t>
      </w:r>
      <w:r w:rsidRPr="00A964C2">
        <w:rPr>
          <w:bCs/>
        </w:rPr>
        <w:br/>
        <w:t xml:space="preserve">Less than 20: All files </w:t>
      </w:r>
      <w:r w:rsidRPr="00A964C2">
        <w:rPr>
          <w:bCs/>
        </w:rPr>
        <w:br/>
        <w:t xml:space="preserve">20-100: 20 files </w:t>
      </w:r>
      <w:r w:rsidRPr="00A964C2">
        <w:rPr>
          <w:bCs/>
        </w:rPr>
        <w:br/>
        <w:t xml:space="preserve">101-250: 30 files </w:t>
      </w:r>
      <w:r w:rsidRPr="00A964C2">
        <w:rPr>
          <w:bCs/>
        </w:rPr>
        <w:br/>
        <w:t xml:space="preserve">251-500: 40 files </w:t>
      </w:r>
      <w:r w:rsidRPr="00A964C2">
        <w:rPr>
          <w:bCs/>
        </w:rPr>
        <w:br/>
        <w:t xml:space="preserve">501-750: 60 files </w:t>
      </w:r>
      <w:r w:rsidRPr="00A964C2">
        <w:rPr>
          <w:bCs/>
        </w:rPr>
        <w:br/>
        <w:t xml:space="preserve">751 or More: 80 files </w:t>
      </w:r>
      <w:r w:rsidRPr="00A964C2">
        <w:rPr>
          <w:bCs/>
        </w:rPr>
        <w:br/>
      </w:r>
      <w:r w:rsidRPr="00A964C2">
        <w:rPr>
          <w:bCs/>
        </w:rPr>
        <w:br/>
      </w:r>
      <w:r w:rsidRPr="00A964C2">
        <w:rPr>
          <w:bCs/>
        </w:rPr>
        <w:lastRenderedPageBreak/>
        <w:t xml:space="preserve">Cyclical Monitoring File Selection Criteria  </w:t>
      </w:r>
      <w:r w:rsidRPr="00A964C2">
        <w:rPr>
          <w:bCs/>
        </w:rPr>
        <w:br/>
        <w:t xml:space="preserve">The individual file sample is selected through a data informed process that takes into account areas for which the LEA demonstrates risk of noncompliance. Each LEA must meet the minimum file size and files must address any criteria for which apply to the LEA. </w:t>
      </w:r>
      <w:r w:rsidRPr="00A964C2">
        <w:rPr>
          <w:bCs/>
        </w:rPr>
        <w:br/>
      </w:r>
      <w:r w:rsidRPr="00A964C2">
        <w:rPr>
          <w:bCs/>
        </w:rPr>
        <w:br/>
        <w:t xml:space="preserve">2022-23 School Year </w:t>
      </w:r>
      <w:r w:rsidRPr="00A964C2">
        <w:rPr>
          <w:bCs/>
        </w:rPr>
        <w:br/>
        <w:t xml:space="preserve">Criteria 1: Initial Evaluation and Placement – If an LEA has an initial evaluation and placement in the past year, they must comprise at least 10% of the sample. </w:t>
      </w:r>
      <w:r w:rsidRPr="00A964C2">
        <w:rPr>
          <w:bCs/>
        </w:rPr>
        <w:br/>
      </w:r>
      <w:r w:rsidRPr="00A964C2">
        <w:rPr>
          <w:bCs/>
        </w:rPr>
        <w:br/>
        <w:t xml:space="preserve">Criteria 2: 16 or Older When IEP in Effect: If the LEA has any students that are age 16 and older, they must comprise at least 10% of the sample. </w:t>
      </w:r>
      <w:r w:rsidRPr="00A964C2">
        <w:rPr>
          <w:bCs/>
        </w:rPr>
        <w:br/>
      </w:r>
      <w:r w:rsidRPr="00A964C2">
        <w:rPr>
          <w:bCs/>
        </w:rPr>
        <w:br/>
        <w:t xml:space="preserve">Criteria 3: Indicator 4a – If the LEA was identified as having or at risk for having a significant discrepancy in suspension and expulsion rates (Indicator 4) for any year within the past three years, then at least 10% of the files must be from students who were suspended or expelled for 10 or more days. </w:t>
      </w:r>
      <w:r w:rsidRPr="00A964C2">
        <w:rPr>
          <w:bCs/>
        </w:rPr>
        <w:br/>
      </w:r>
      <w:r w:rsidRPr="00A964C2">
        <w:rPr>
          <w:bCs/>
        </w:rPr>
        <w:br/>
        <w:t xml:space="preserve">Criteria 4: Indicator B9/10 – If the LEA was identified as having, or flagged for being at risk of, having significant disproportionality, or noncompliance with Indicator 9 and/or 10, for any year within the past three years, then at least 20% of the file sample must be students from the race/ethnicity groups and areas of disproportionality identified must comprise at least 20% of sample </w:t>
      </w:r>
      <w:r w:rsidRPr="00A964C2">
        <w:rPr>
          <w:bCs/>
        </w:rPr>
        <w:br/>
      </w:r>
      <w:r w:rsidRPr="00A964C2">
        <w:rPr>
          <w:bCs/>
        </w:rPr>
        <w:br/>
        <w:t xml:space="preserve">Criteria 5: Outside Placement – If the LEA had any students placed by the IEP team outside of the district, the sample must contain at least one file from each out of district program and location used by the LEA (but not more than 20% of the sample). </w:t>
      </w:r>
      <w:r w:rsidRPr="00A964C2">
        <w:rPr>
          <w:bCs/>
        </w:rPr>
        <w:br/>
      </w:r>
      <w:r w:rsidRPr="00A964C2">
        <w:rPr>
          <w:bCs/>
        </w:rPr>
        <w:br/>
        <w:t xml:space="preserve">Criteria 6: Extended Assessment – If the LEA had any student who was designated to participate in the alternate assessment, the sample must include at least one student file. </w:t>
      </w:r>
      <w:r w:rsidRPr="00A964C2">
        <w:rPr>
          <w:bCs/>
        </w:rPr>
        <w:br/>
      </w:r>
      <w:r w:rsidRPr="00A964C2">
        <w:rPr>
          <w:bCs/>
        </w:rPr>
        <w:br/>
        <w:t>2023-24 School Year</w:t>
      </w:r>
      <w:r w:rsidRPr="00A964C2">
        <w:rPr>
          <w:bCs/>
        </w:rPr>
        <w:br/>
        <w:t xml:space="preserve">All file selection criteria remained the same. </w:t>
      </w:r>
      <w:r w:rsidRPr="00A964C2">
        <w:rPr>
          <w:bCs/>
        </w:rPr>
        <w:br/>
      </w:r>
      <w:r w:rsidRPr="00A964C2">
        <w:rPr>
          <w:bCs/>
        </w:rPr>
        <w:br/>
        <w:t xml:space="preserve">2024-25 School Year </w:t>
      </w:r>
      <w:r w:rsidRPr="00A964C2">
        <w:rPr>
          <w:bCs/>
        </w:rPr>
        <w:br/>
        <w:t xml:space="preserve">Additional criteria were added to ensure that the file sample explicitly addressed Long Term Care and Treatment Programs, Charter Schools, and Hospital Programs. Some criteria were renumbered. </w:t>
      </w:r>
      <w:r w:rsidRPr="00A964C2">
        <w:rPr>
          <w:bCs/>
        </w:rPr>
        <w:br/>
      </w:r>
      <w:r w:rsidRPr="00A964C2">
        <w:rPr>
          <w:bCs/>
        </w:rPr>
        <w:br/>
        <w:t xml:space="preserve">Criteria 5: Long Term Care and Treatment Programs – If the district operates a Long Term Care and Treatment Program at least one file must be from a student served by the program. </w:t>
      </w:r>
      <w:r w:rsidRPr="00A964C2">
        <w:rPr>
          <w:bCs/>
        </w:rPr>
        <w:br/>
      </w:r>
      <w:r w:rsidRPr="00A964C2">
        <w:rPr>
          <w:bCs/>
        </w:rPr>
        <w:br/>
        <w:t xml:space="preserve">Criteria 6: Hospital Programs – If the district operates a Hospital Program, at least one file must be from a student served by this program. </w:t>
      </w:r>
      <w:r w:rsidRPr="00A964C2">
        <w:rPr>
          <w:bCs/>
        </w:rPr>
        <w:br/>
      </w:r>
      <w:r w:rsidRPr="00A964C2">
        <w:rPr>
          <w:bCs/>
        </w:rPr>
        <w:br/>
        <w:t xml:space="preserve">Criteria 7: Charter Schools – If the district sponsors a Charter School at least one file must be from a student served by each charter school program sponsored by the district. </w:t>
      </w:r>
      <w:r w:rsidRPr="00A964C2">
        <w:rPr>
          <w:bCs/>
        </w:rPr>
        <w:br/>
      </w:r>
      <w:r w:rsidRPr="00A964C2">
        <w:rPr>
          <w:bCs/>
        </w:rPr>
        <w:br/>
        <w:t xml:space="preserve">Criteria 8: Other Outside Placements – Renumbered. </w:t>
      </w:r>
      <w:r w:rsidRPr="00A964C2">
        <w:rPr>
          <w:bCs/>
        </w:rPr>
        <w:br/>
      </w:r>
      <w:r w:rsidRPr="00A964C2">
        <w:rPr>
          <w:bCs/>
        </w:rPr>
        <w:br/>
        <w:t>Criteria 9: Extended Assessment - Renumbered.</w:t>
      </w:r>
      <w:r w:rsidRPr="00A964C2">
        <w:rPr>
          <w:bCs/>
        </w:rPr>
        <w:br/>
      </w:r>
      <w:r w:rsidRPr="00A964C2">
        <w:rPr>
          <w:bCs/>
        </w:rPr>
        <w:br/>
        <w:t xml:space="preserve">Cyclical Monitoring Protocol Assignment </w:t>
      </w:r>
      <w:r w:rsidRPr="00A964C2">
        <w:rPr>
          <w:bCs/>
        </w:rPr>
        <w:br/>
        <w:t xml:space="preserve">The State currently utilizes five protocols that may be assigned to an LEA based on their individual data. These protocols include the standards by which each of the student files will be reviewed along with clear criteria for determining whether a file is compliant (Yes or N/A responses in protocols) are considered compliant and a no response is considered not compliant.). The current protocol areas include Least Restrictive Environment, Individual Education Plan Development, Free Appropriate Public Education, Discipline, and Secondary Transition. Additional protocols may be developed based on need. During the risk assessment process, each District Support Specialist reviews their assigned districts to determine which protocols should be used based on risk associated with each protocol area. </w:t>
      </w:r>
      <w:r w:rsidRPr="00A964C2">
        <w:rPr>
          <w:bCs/>
        </w:rPr>
        <w:br/>
      </w:r>
      <w:r w:rsidRPr="00A964C2">
        <w:rPr>
          <w:bCs/>
        </w:rPr>
        <w:br/>
        <w:t xml:space="preserve">Cyclical Monitoring Validation Process </w:t>
      </w:r>
      <w:r w:rsidRPr="00A964C2">
        <w:rPr>
          <w:bCs/>
        </w:rPr>
        <w:br/>
        <w:t xml:space="preserve">ODE uses a validation process to ensure data submitted is accurate. ODE requests LEAs to submit 20% of the files reviewed. Files are randomly selected based on established priorities. For example, during the 2023-24 monitoring year, secondary transition, discipline, and extended assessment were prioritized. The first files were selected at random based on all students that met the sample criteria for those areas. Additional files are selected at random until the 20% minimum is met. ODE staff then reviews at least the first two files to determine if there is 90% agreement or more between raters. If there is, the review is completed. If not, ODE continues to review files until 90% agreement is met or the validation sample is exhausted. </w:t>
      </w:r>
      <w:r w:rsidRPr="00A964C2">
        <w:rPr>
          <w:bCs/>
        </w:rPr>
        <w:br/>
      </w:r>
      <w:r w:rsidRPr="00A964C2">
        <w:rPr>
          <w:bCs/>
        </w:rPr>
        <w:br/>
        <w:t xml:space="preserve">Cyclical Monitoring Verification of Correction of Noncompliance </w:t>
      </w:r>
      <w:r w:rsidRPr="00A964C2">
        <w:rPr>
          <w:bCs/>
        </w:rPr>
        <w:br/>
        <w:t xml:space="preserve">LEAs are issued findings and are required to correct both individual instances of noncompliance and systems corrections that demonstrate the district is subsequently implementing the regulations correctly. To demonstrate individual correction of noncompliance the LEA must submit file evidence that each individual instance has been corrected. </w:t>
      </w:r>
      <w:r w:rsidRPr="00A964C2">
        <w:rPr>
          <w:bCs/>
        </w:rPr>
        <w:br/>
      </w:r>
      <w:r w:rsidRPr="00A964C2">
        <w:rPr>
          <w:bCs/>
        </w:rPr>
        <w:br/>
        <w:t xml:space="preserve">The State required each LEA with identified noncompliance conduct a root cause analysis, address the root cause of the noncompliance with follow-up actions, collect subsequent evidence in the form of additional student records based on the number of instances of noncompliance that were initially found, and submit the evidence to the State for review. The State verified that the LEA then correctly implemented the regulatory requirements through review of these records. ODE reviewed the submission to ensure that the newly submitted file is compliant with the required standard and that it demonstrated that the district is now implementing the regulation correctly. </w:t>
      </w:r>
      <w:r w:rsidRPr="00A964C2">
        <w:rPr>
          <w:bCs/>
        </w:rPr>
        <w:br/>
      </w:r>
      <w:r w:rsidRPr="00A964C2">
        <w:rPr>
          <w:bCs/>
        </w:rPr>
        <w:br/>
        <w:t xml:space="preserve">The State considers compliance corrected within one year when both the individual instance of noncompliance is corrected, and the district submits additional evidence that demonstrates the district has subsequently implemented the regulation correctly. </w:t>
      </w:r>
      <w:r w:rsidRPr="00A964C2">
        <w:rPr>
          <w:bCs/>
        </w:rPr>
        <w:br/>
      </w:r>
      <w:r w:rsidRPr="00A964C2">
        <w:rPr>
          <w:bCs/>
        </w:rPr>
        <w:br/>
        <w:t xml:space="preserve">The following sections address differences between cyclical and focused monitoring file selection criteria. </w:t>
      </w:r>
      <w:r w:rsidRPr="00A964C2">
        <w:rPr>
          <w:bCs/>
        </w:rPr>
        <w:br/>
      </w:r>
      <w:r w:rsidRPr="00A964C2">
        <w:rPr>
          <w:bCs/>
        </w:rPr>
        <w:br/>
        <w:t xml:space="preserve">Focused Monitoring Total Number of Files Reviewed  </w:t>
      </w:r>
      <w:r w:rsidRPr="00A964C2">
        <w:rPr>
          <w:bCs/>
        </w:rPr>
        <w:br/>
        <w:t xml:space="preserve">Districts submit half the number of files required for cyclical monitoring. </w:t>
      </w:r>
      <w:r w:rsidRPr="00A964C2">
        <w:rPr>
          <w:bCs/>
        </w:rPr>
        <w:br/>
      </w:r>
      <w:r w:rsidRPr="00A964C2">
        <w:rPr>
          <w:bCs/>
        </w:rPr>
        <w:br/>
        <w:t xml:space="preserve">Focused Monitoring File Selection Criteria  </w:t>
      </w:r>
      <w:r w:rsidRPr="00A964C2">
        <w:rPr>
          <w:bCs/>
        </w:rPr>
        <w:br/>
      </w:r>
      <w:r w:rsidRPr="00A964C2">
        <w:rPr>
          <w:bCs/>
        </w:rPr>
        <w:lastRenderedPageBreak/>
        <w:t xml:space="preserve">All cyclical monitoring criteria are considered, but some may be found to not be relevant to the concerns that led to the focused monitoring visit. Additional criteria may also be added based on the data that led to the LEA being selected for focused monitoring. </w:t>
      </w:r>
      <w:r w:rsidRPr="00A964C2">
        <w:rPr>
          <w:bCs/>
        </w:rPr>
        <w:br/>
      </w:r>
      <w:r w:rsidRPr="00A964C2">
        <w:rPr>
          <w:bCs/>
        </w:rPr>
        <w:br/>
        <w:t xml:space="preserve">Focused Monitoring Protocol Assignment  </w:t>
      </w:r>
      <w:r w:rsidRPr="00A964C2">
        <w:rPr>
          <w:bCs/>
        </w:rPr>
        <w:br/>
        <w:t xml:space="preserve">The State uses items from the five protocols mentioned in the cyclical monitoring section to create a custom protocol based on areas where there were concerns that led to the selection of the LEA for monitoring. The focused monitoring team at ODE determines what individual items will be used. </w:t>
      </w:r>
      <w:r w:rsidRPr="00A964C2">
        <w:rPr>
          <w:bCs/>
        </w:rPr>
        <w:br/>
      </w:r>
      <w:r w:rsidRPr="00A964C2">
        <w:rPr>
          <w:bCs/>
        </w:rPr>
        <w:br/>
        <w:t xml:space="preserve">Focused Monitoring Validation Process  </w:t>
      </w:r>
      <w:r w:rsidRPr="00A964C2">
        <w:rPr>
          <w:bCs/>
        </w:rPr>
        <w:br/>
        <w:t xml:space="preserve">ODE staff review all files to determine whether or not compliance exists. Additional monitoring activities may include classroom visits, staff and family interviews, policy, procedure and practice reviews and other necessary activities as determined by the assigned focused monitoring team. </w:t>
      </w:r>
      <w:r w:rsidRPr="00A964C2">
        <w:rPr>
          <w:bCs/>
        </w:rPr>
        <w:br/>
      </w:r>
      <w:r w:rsidRPr="00A964C2">
        <w:rPr>
          <w:bCs/>
        </w:rPr>
        <w:br/>
        <w:t xml:space="preserve">Focused Monitoring Verification of Correction of Noncompliance  </w:t>
      </w:r>
      <w:r w:rsidRPr="00A964C2">
        <w:rPr>
          <w:bCs/>
        </w:rPr>
        <w:br/>
        <w:t>Verification of noncompliance for focused monitoring of LEAs mirrors the process for cyclical monitoring. One difference is the level of involvement of the District Support Specialist in supporting the correction of noncompliance. LEAs are given more explicit directions for correcting noncompliance and the DSS is more involved in the root cause analysis and direction of technical assistance activities to correct noncompliance.</w:t>
      </w:r>
    </w:p>
    <w:p w14:paraId="26E11BF5" w14:textId="77777777" w:rsidR="00256572" w:rsidRPr="00680744" w:rsidRDefault="00256572" w:rsidP="00680744">
      <w:pPr>
        <w:rPr>
          <w:b/>
          <w:bCs/>
        </w:rPr>
      </w:pPr>
      <w:r w:rsidRPr="00680744">
        <w:rPr>
          <w:b/>
          <w:bCs/>
        </w:rPr>
        <w:t xml:space="preserve">Describe the data system(s) the State uses to collect monitoring and SPP/APR data, and the period from which records are reviewed.  </w:t>
      </w:r>
    </w:p>
    <w:p w14:paraId="24FA5A26" w14:textId="06547BBE" w:rsidR="00256572" w:rsidRPr="00A964C2" w:rsidRDefault="00256572" w:rsidP="00680744">
      <w:pPr>
        <w:rPr>
          <w:bCs/>
        </w:rPr>
      </w:pPr>
      <w:r w:rsidRPr="00A964C2">
        <w:rPr>
          <w:bCs/>
        </w:rPr>
        <w:t xml:space="preserve">The State uses multiple data systems to collect and analyze monitoring and SPP/APR data. Section 618 data that is used for SPP/APR is primarily collected through applications within Oregon Department of Education’s (ODE) central data collection system. Other applications are used for Assessment data that is collected through Oregon's State Assessment System, and Dispute Resolution data is collected through ODE’s Dispute Resolution System.  All data collection systems are located within the state’s secure website and meet accessibility requirements, including Section 508. In addition, Oregon contracts with an outside agency to conduct its parent survey. Monitoring data is collected using a network of secure spreadsheets and reviewed as it becomes available. At minimum, monitoring and SPP/APR data are reviewed annually as available.  </w:t>
      </w:r>
    </w:p>
    <w:p w14:paraId="33613CF8" w14:textId="13B2B690" w:rsidR="00256572" w:rsidRPr="00680744" w:rsidRDefault="00256572" w:rsidP="00680744">
      <w:pPr>
        <w:rPr>
          <w:b/>
          <w:bCs/>
        </w:rPr>
      </w:pPr>
      <w:r w:rsidRPr="00680744">
        <w:rPr>
          <w:b/>
          <w:bCs/>
        </w:rPr>
        <w:t>Describe how the State issues findings: by number of instances or by LEAs.</w:t>
      </w:r>
    </w:p>
    <w:p w14:paraId="346CD5C7" w14:textId="7CA1B2ED" w:rsidR="00256572" w:rsidRPr="00A964C2" w:rsidRDefault="00256572" w:rsidP="00680744">
      <w:pPr>
        <w:rPr>
          <w:bCs/>
        </w:rPr>
      </w:pPr>
      <w:r w:rsidRPr="00A964C2">
        <w:rPr>
          <w:bCs/>
        </w:rPr>
        <w:t xml:space="preserve">The State uses a variety of ways to issue and count findings issued within general supervision. Data submitted in the FFY 2023 SPP/APR includes instances of LEA noncompliance with IDEA resulting in findings issued either by LEA, or according to each individual instance of noncompliance within an LEA. The State issues findings based on instance or by LEA particular to each indicator as follows. </w:t>
      </w:r>
      <w:r w:rsidRPr="00A964C2">
        <w:rPr>
          <w:bCs/>
        </w:rPr>
        <w:br/>
      </w:r>
      <w:r w:rsidRPr="00A964C2">
        <w:rPr>
          <w:bCs/>
        </w:rPr>
        <w:br/>
        <w:t xml:space="preserve">For indicators B4b, B9, and B10, the State did not identify any noncompliance for these indicators in the current FFY 2023 submission, or in the prior year FFY 2022 submission. If the State had issued findings for noncompliance with B4b, B9, or B10, the State would issue these findings for these indicators by LEA. These findings would include notice of specific individual instances of noncompliance and require individual and systems level correction using the State established correction process. </w:t>
      </w:r>
      <w:r w:rsidRPr="00A964C2">
        <w:rPr>
          <w:bCs/>
        </w:rPr>
        <w:br/>
      </w:r>
      <w:r w:rsidRPr="00A964C2">
        <w:rPr>
          <w:bCs/>
        </w:rPr>
        <w:br/>
        <w:t xml:space="preserve">For noncompliance associated with indicators B11 and B13, findings are issued to the district and require correction of each instance of noncompliance. One LEA might have multiple findings of noncompliance requiring correction within a reporting year. </w:t>
      </w:r>
      <w:r w:rsidRPr="00A964C2">
        <w:rPr>
          <w:bCs/>
        </w:rPr>
        <w:br/>
      </w:r>
      <w:r w:rsidRPr="00A964C2">
        <w:rPr>
          <w:bCs/>
        </w:rPr>
        <w:br/>
        <w:t xml:space="preserve">IDEA Fiscal findings are issued by LEA. </w:t>
      </w:r>
      <w:r w:rsidRPr="00A964C2">
        <w:rPr>
          <w:bCs/>
        </w:rPr>
        <w:br/>
      </w:r>
      <w:r w:rsidRPr="00A964C2">
        <w:rPr>
          <w:bCs/>
        </w:rPr>
        <w:br/>
        <w:t>For instances of noncompliance associated with related requirements of compliance indicators and reported under B18, the State provided counts of individual instances of findings of noncompliance.</w:t>
      </w:r>
      <w:r w:rsidRPr="00A964C2">
        <w:rPr>
          <w:bCs/>
        </w:rPr>
        <w:br/>
      </w:r>
      <w:r w:rsidRPr="00A964C2">
        <w:rPr>
          <w:bCs/>
        </w:rPr>
        <w:br/>
        <w:t xml:space="preserve">IDEA dispute resolution activities that result in a substantiated finding of a violation of IDEA requires corrective action activities to be completed within one year. For indicator B18, the State counted each dispute resolution case with substantiated findings and required correction action as one finding.    </w:t>
      </w:r>
    </w:p>
    <w:p w14:paraId="4E520B68" w14:textId="4A126EDB" w:rsidR="00256572" w:rsidRPr="00FD2125" w:rsidRDefault="00256572" w:rsidP="00680744">
      <w:pPr>
        <w:rPr>
          <w:b/>
          <w:bCs/>
        </w:rPr>
      </w:pPr>
      <w:r w:rsidRPr="00FD2125">
        <w:rPr>
          <w:b/>
          <w:bCs/>
        </w:rPr>
        <w:t>If applicable, describe the adopted procedures that permit its LEAs to correct noncompliance prior to the State’s issuance of a finding (i.e., pre-finding correction).</w:t>
      </w:r>
    </w:p>
    <w:p w14:paraId="3C8C8600" w14:textId="664C4570" w:rsidR="00256572" w:rsidRPr="00A964C2" w:rsidRDefault="00256572" w:rsidP="00680744">
      <w:pPr>
        <w:rPr>
          <w:bCs/>
        </w:rPr>
      </w:pPr>
    </w:p>
    <w:p w14:paraId="75FD7315" w14:textId="166AA740" w:rsidR="00256572" w:rsidRPr="00FD2125" w:rsidRDefault="00256572" w:rsidP="00680744">
      <w:pPr>
        <w:rPr>
          <w:b/>
          <w:bCs/>
        </w:rPr>
      </w:pPr>
      <w:r w:rsidRPr="00FD2125">
        <w:rPr>
          <w:b/>
          <w:bCs/>
        </w:rPr>
        <w:t>Describe the State’s system of graduated and progressive sanctions to ensure the correction of identified noncompliance and to address areas in need of improvement, used as necessary and consistent with IDEA Part B’s enforcement provisions, the OMB Uniform Administrative Requirements, Cost Principles, and Audit Requirements for Federal Awards (Uniform Guidance), and State rules.</w:t>
      </w:r>
    </w:p>
    <w:p w14:paraId="1734D89A" w14:textId="0476937D" w:rsidR="00256572" w:rsidRPr="00A964C2" w:rsidRDefault="00256572" w:rsidP="00680744">
      <w:pPr>
        <w:rPr>
          <w:bCs/>
        </w:rPr>
      </w:pPr>
      <w:r w:rsidRPr="00A964C2">
        <w:rPr>
          <w:bCs/>
        </w:rPr>
        <w:t xml:space="preserve">The State’s system of graduated and progressive sanctions to ensure the correction of identified noncompliance and to address areas in need of improvement are outlined in OAR § 581-015-2015 - General Supervision.  </w:t>
      </w:r>
      <w:r w:rsidRPr="00A964C2">
        <w:rPr>
          <w:bCs/>
        </w:rPr>
        <w:br/>
      </w:r>
      <w:r w:rsidRPr="00A964C2">
        <w:rPr>
          <w:bCs/>
        </w:rPr>
        <w:br/>
        <w:t xml:space="preserve">Shortening the duration allowed to complete correction of noncompliance and corrective action is one progressive measure embedded in the General Supervision OAR. Some instances of noncompliance must be acted upon by both the State and LEA in a timeframe shorter than federally required. When the State identifies any noncompliance that could cause a student to be denied 10 or more instructional days (whether partial or full days) consecutively or cumulatively within any one school year, as compared to the majority of general education students who are in the same grade within the attending school district or program as the child or student with a disability, the State must notify the district within 30 days of its identification. For all other instances of noncompliance identified, the State notifies any LEA or program of any noncompliance identified through the General Supervision system, in writing, within three months of its identification. This notification shall include any required corrective action to be completed by the district or program and the timeline within which corrective action must be completed. Providing expedited timelines for certain instances of noncompliance that impact FAPE is an embedded sanction in Oregon's General Supervision system. </w:t>
      </w:r>
      <w:r w:rsidRPr="00A964C2">
        <w:rPr>
          <w:bCs/>
        </w:rPr>
        <w:br/>
      </w:r>
      <w:r w:rsidRPr="00A964C2">
        <w:rPr>
          <w:bCs/>
        </w:rPr>
        <w:br/>
        <w:t xml:space="preserve">All other identified noncompliance must be corrected as soon as possible, and in no case later than 60 days after the State notifies the school district or program of noncompliance that could cause a student to be denied 10 or more instructional days (whether partial or full days) consecutively or cumulatively within any one school year, as compared to the majority of general education students who are in the same grade within the attending school district or program as the child or student with a disability.  </w:t>
      </w:r>
      <w:r w:rsidRPr="00A964C2">
        <w:rPr>
          <w:bCs/>
        </w:rPr>
        <w:br/>
      </w:r>
      <w:r w:rsidRPr="00A964C2">
        <w:rPr>
          <w:bCs/>
        </w:rPr>
        <w:br/>
        <w:t xml:space="preserve">LEAs that do not complete corrective actions and/or correct noncompliance may be subjected to enforcement measures, including but not limited to additional reporting requirements, technical assistance, a corrective action plan or improvement plan, conditions on funding, and/or withholding funds, in whole or in part, by the State.  </w:t>
      </w:r>
      <w:r w:rsidRPr="00A964C2">
        <w:rPr>
          <w:bCs/>
        </w:rPr>
        <w:br/>
      </w:r>
      <w:r w:rsidRPr="00A964C2">
        <w:rPr>
          <w:bCs/>
        </w:rPr>
        <w:br/>
        <w:t xml:space="preserve">When the State identifies noncompliance related specifically to fiscal requirements, the following progression of activities and possible enforcement actions to ensure the correction of noncompliance is applied.  </w:t>
      </w:r>
      <w:r w:rsidRPr="00A964C2">
        <w:rPr>
          <w:bCs/>
        </w:rPr>
        <w:br/>
      </w:r>
      <w:r w:rsidRPr="00A964C2">
        <w:rPr>
          <w:bCs/>
        </w:rPr>
        <w:br/>
        <w:t xml:space="preserve">Each finding of noncompliance must be addressed as soon as possible and no later than one year from the date of the monitoring report [34 CFR § 300.600(e)]. Depending on the severity of the noncompliance, LEAs may be required to submit a detailed corrective action plan and timeline within 30 </w:t>
      </w:r>
      <w:r w:rsidRPr="00A964C2">
        <w:rPr>
          <w:bCs/>
        </w:rPr>
        <w:lastRenderedPageBreak/>
        <w:t xml:space="preserve">days of the notification. If the review of risk reveals material weaknesses in internal controls, an improvement plan will be developed.  </w:t>
      </w:r>
      <w:r w:rsidRPr="00A964C2">
        <w:rPr>
          <w:bCs/>
        </w:rPr>
        <w:br/>
      </w:r>
      <w:r w:rsidRPr="00A964C2">
        <w:rPr>
          <w:bCs/>
        </w:rPr>
        <w:br/>
        <w:t xml:space="preserve">The State may take enforcement actions as part of a corrective action or for noncompliance with a previous corrective action. The Uniform Grant Guidance 2 CFR§200.339 authorizes the State to use enforcement mechanisms that may include but are not limited to the following:  </w:t>
      </w:r>
      <w:r w:rsidRPr="00A964C2">
        <w:rPr>
          <w:bCs/>
        </w:rPr>
        <w:br/>
      </w:r>
      <w:r w:rsidRPr="00A964C2">
        <w:rPr>
          <w:bCs/>
        </w:rPr>
        <w:br/>
        <w:t xml:space="preserve">• Temporarily withhold cash payments pending correction of the deficiency or more severe enforcement action </w:t>
      </w:r>
      <w:r w:rsidRPr="00A964C2">
        <w:rPr>
          <w:bCs/>
        </w:rPr>
        <w:br/>
      </w:r>
      <w:r w:rsidRPr="00A964C2">
        <w:rPr>
          <w:bCs/>
        </w:rPr>
        <w:br/>
        <w:t xml:space="preserve">• Disallow all or part of the cost of the activity or action not in compliance  </w:t>
      </w:r>
      <w:r w:rsidRPr="00A964C2">
        <w:rPr>
          <w:bCs/>
        </w:rPr>
        <w:br/>
      </w:r>
      <w:r w:rsidRPr="00A964C2">
        <w:rPr>
          <w:bCs/>
        </w:rPr>
        <w:br/>
        <w:t xml:space="preserve">• Wholly or partly suspend or terminate the federal award </w:t>
      </w:r>
      <w:r w:rsidRPr="00A964C2">
        <w:rPr>
          <w:bCs/>
        </w:rPr>
        <w:br/>
      </w:r>
      <w:r w:rsidRPr="00A964C2">
        <w:rPr>
          <w:bCs/>
        </w:rPr>
        <w:br/>
        <w:t xml:space="preserve">• Initiate suspension or debarment proceedings  </w:t>
      </w:r>
      <w:r w:rsidRPr="00A964C2">
        <w:rPr>
          <w:bCs/>
        </w:rPr>
        <w:br/>
      </w:r>
      <w:r w:rsidRPr="00A964C2">
        <w:rPr>
          <w:bCs/>
        </w:rPr>
        <w:br/>
        <w:t xml:space="preserve">• Withhold further federal awards for the grant </w:t>
      </w:r>
      <w:r w:rsidRPr="00A964C2">
        <w:rPr>
          <w:bCs/>
        </w:rPr>
        <w:br/>
      </w:r>
      <w:r w:rsidRPr="00A964C2">
        <w:rPr>
          <w:bCs/>
        </w:rPr>
        <w:br/>
        <w:t xml:space="preserve">• Take other remedies that may be legally available  </w:t>
      </w:r>
      <w:r w:rsidRPr="00A964C2">
        <w:rPr>
          <w:bCs/>
        </w:rPr>
        <w:br/>
      </w:r>
      <w:r w:rsidRPr="00A964C2">
        <w:rPr>
          <w:bCs/>
        </w:rPr>
        <w:br/>
        <w:t xml:space="preserve">• The State may deny a grant application for federal funding as an enforcement action </w:t>
      </w:r>
    </w:p>
    <w:p w14:paraId="61665C0B" w14:textId="30937A43" w:rsidR="00256572" w:rsidRPr="00FD2125" w:rsidRDefault="00256572" w:rsidP="00680744">
      <w:pPr>
        <w:rPr>
          <w:b/>
          <w:bCs/>
        </w:rPr>
      </w:pPr>
      <w:r w:rsidRPr="00FD2125">
        <w:rPr>
          <w:b/>
          <w:bCs/>
        </w:rPr>
        <w:t>Describe how the State makes annual determinations of LEA performance, including the criteria the State uses and the schedule for notifying LEAs of their determinations. If the determinations are made public, include a web link for the most recent determinations.</w:t>
      </w:r>
    </w:p>
    <w:p w14:paraId="2EE5F281" w14:textId="602F2521" w:rsidR="00256572" w:rsidRPr="00A964C2" w:rsidRDefault="00256572" w:rsidP="00680744">
      <w:pPr>
        <w:rPr>
          <w:bCs/>
        </w:rPr>
      </w:pPr>
      <w:r w:rsidRPr="00A964C2">
        <w:rPr>
          <w:bCs/>
        </w:rPr>
        <w:t>The State makes annual determinations for the performance of each LEA. The State uses four categories of determinations: Meets Requirements, Needs Assistance, Needs Intervention, and Needs Substantial Intervention. The State aggregates data from multiple sources for each LEA, and total scores and consideration of additional factors yield placement in one of four categories of determination. The State includes data related to each LEA’s outcomes regarding compliance indicators 4b, 9, 10, 11, and 13, submission of valid and reliable data, correction of identified noncompliance, and correction of relevant fiscal audit findings.</w:t>
      </w:r>
      <w:r w:rsidRPr="00A964C2">
        <w:rPr>
          <w:bCs/>
        </w:rPr>
        <w:br/>
      </w:r>
      <w:r w:rsidRPr="00A964C2">
        <w:rPr>
          <w:bCs/>
        </w:rPr>
        <w:br/>
        <w:t xml:space="preserve">Point Assignment </w:t>
      </w:r>
      <w:r w:rsidRPr="00A964C2">
        <w:rPr>
          <w:bCs/>
        </w:rPr>
        <w:br/>
        <w:t xml:space="preserve">Points are awarded and totaled, with total points determining the highest category of determination. If a district has late or inaccurate data or has an outstanding audit finding that has not been corrected within one year, the maximum determination level the district can achieve is Needs Intervention. </w:t>
      </w:r>
      <w:r w:rsidRPr="00A964C2">
        <w:rPr>
          <w:bCs/>
        </w:rPr>
        <w:br/>
      </w:r>
      <w:r w:rsidRPr="00A964C2">
        <w:rPr>
          <w:bCs/>
        </w:rPr>
        <w:br/>
        <w:t xml:space="preserve">The State issues points for each of the data points using the following matrix: </w:t>
      </w:r>
      <w:r w:rsidRPr="00A964C2">
        <w:rPr>
          <w:bCs/>
        </w:rPr>
        <w:br/>
      </w:r>
      <w:r w:rsidRPr="00A964C2">
        <w:rPr>
          <w:bCs/>
        </w:rPr>
        <w:br/>
        <w:t xml:space="preserve">Indicators B4b, 9, and 10 </w:t>
      </w:r>
      <w:r w:rsidRPr="00A964C2">
        <w:rPr>
          <w:bCs/>
        </w:rPr>
        <w:br/>
        <w:t xml:space="preserve">Two points awarded for 100% compliance. Zero points if &lt;100% or if longstanding noncompliance reported. </w:t>
      </w:r>
      <w:r w:rsidRPr="00A964C2">
        <w:rPr>
          <w:bCs/>
        </w:rPr>
        <w:br/>
      </w:r>
      <w:r w:rsidRPr="00A964C2">
        <w:rPr>
          <w:bCs/>
        </w:rPr>
        <w:br/>
        <w:t xml:space="preserve">Indicators B11 and 13 </w:t>
      </w:r>
      <w:r w:rsidRPr="00A964C2">
        <w:rPr>
          <w:bCs/>
        </w:rPr>
        <w:br/>
        <w:t xml:space="preserve">Two points awarded for greater than or equal to 90% compliance, or for districts with no initial evaluations to complete. One point awarded for at least 50% compliance but less than 90% compliance. Zero points for &lt;50% compliance or if longstanding noncompliance reported. </w:t>
      </w:r>
      <w:r w:rsidRPr="00A964C2">
        <w:rPr>
          <w:bCs/>
        </w:rPr>
        <w:br/>
      </w:r>
      <w:r w:rsidRPr="00A964C2">
        <w:rPr>
          <w:bCs/>
        </w:rPr>
        <w:br/>
        <w:t xml:space="preserve">LEA correction of identified noncompliance </w:t>
      </w:r>
      <w:r w:rsidRPr="00A964C2">
        <w:rPr>
          <w:bCs/>
        </w:rPr>
        <w:br/>
        <w:t xml:space="preserve">Districts must correct identified noncompliance as soon as possible, but in no case later than one year from it being identified. If a district fails to correct identified noncompliance within one year, it is considered long-standing noncompliance. Points can be awarded for related indicator(s) when districts do not have long-standing noncompliance in related indicator(s). Districts cannot receive points when there is long-standing noncompliance in related indicator(s). Districts must continue working to correct long-standing noncompliance as soon as possible. </w:t>
      </w:r>
      <w:r w:rsidRPr="00A964C2">
        <w:rPr>
          <w:bCs/>
        </w:rPr>
        <w:br/>
      </w:r>
      <w:r w:rsidRPr="00A964C2">
        <w:rPr>
          <w:bCs/>
        </w:rPr>
        <w:br/>
        <w:t xml:space="preserve">Additional Factors that Impact Final Determination Status </w:t>
      </w:r>
      <w:r w:rsidRPr="00A964C2">
        <w:rPr>
          <w:bCs/>
        </w:rPr>
        <w:br/>
      </w:r>
      <w:r w:rsidRPr="00A964C2">
        <w:rPr>
          <w:bCs/>
        </w:rPr>
        <w:br/>
        <w:t xml:space="preserve">LEA correction of relevant audit findings </w:t>
      </w:r>
      <w:r w:rsidRPr="00A964C2">
        <w:rPr>
          <w:bCs/>
        </w:rPr>
        <w:br/>
        <w:t xml:space="preserve">Districts must correct any relevant audit findings as soon as possible, but in no case later than one year from notification. Districts are automatically assigned a determination of Needs Intervention when audit findings are still outstanding after one year. Districts must continue working to correct audit findings as soon as possible. </w:t>
      </w:r>
      <w:r w:rsidRPr="00A964C2">
        <w:rPr>
          <w:bCs/>
        </w:rPr>
        <w:br/>
      </w:r>
      <w:r w:rsidRPr="00A964C2">
        <w:rPr>
          <w:bCs/>
        </w:rPr>
        <w:br/>
        <w:t xml:space="preserve">LEA submission of timely and accurate data </w:t>
      </w:r>
      <w:r w:rsidRPr="00A964C2">
        <w:rPr>
          <w:bCs/>
        </w:rPr>
        <w:br/>
        <w:t xml:space="preserve">Districts are automatically assigned a determination of Needs Intervention when data used in the determinations process cannot be determined to be timely and accurate. </w:t>
      </w:r>
      <w:r w:rsidRPr="00A964C2">
        <w:rPr>
          <w:bCs/>
        </w:rPr>
        <w:br/>
      </w:r>
      <w:r w:rsidRPr="00A964C2">
        <w:rPr>
          <w:bCs/>
        </w:rPr>
        <w:br/>
        <w:t xml:space="preserve">Districts are assigned a determination of Needs Intervention when: </w:t>
      </w:r>
      <w:r w:rsidRPr="00A964C2">
        <w:rPr>
          <w:bCs/>
        </w:rPr>
        <w:br/>
        <w:t xml:space="preserve">A data collection is submitted after the collection close date, or </w:t>
      </w:r>
      <w:r w:rsidRPr="00A964C2">
        <w:rPr>
          <w:bCs/>
        </w:rPr>
        <w:br/>
        <w:t xml:space="preserve">A data collection is verified after the collection close date, or </w:t>
      </w:r>
      <w:r w:rsidRPr="00A964C2">
        <w:rPr>
          <w:bCs/>
        </w:rPr>
        <w:br/>
        <w:t xml:space="preserve">A Final Submission Form for December Special Education Child Count or June Special Education Exit, and their respective Review Windows, is submitted after the due date, or </w:t>
      </w:r>
      <w:r w:rsidRPr="00A964C2">
        <w:rPr>
          <w:bCs/>
        </w:rPr>
        <w:br/>
        <w:t xml:space="preserve">A data collection is submitted inaccurately. </w:t>
      </w:r>
      <w:r w:rsidRPr="00A964C2">
        <w:rPr>
          <w:bCs/>
        </w:rPr>
        <w:br/>
      </w:r>
      <w:r w:rsidRPr="00A964C2">
        <w:rPr>
          <w:bCs/>
        </w:rPr>
        <w:br/>
        <w:t xml:space="preserve">Meets Requirements </w:t>
      </w:r>
      <w:r w:rsidRPr="00A964C2">
        <w:rPr>
          <w:bCs/>
        </w:rPr>
        <w:br/>
        <w:t xml:space="preserve">Unless Oregon determines that a district Needs Substantial Intervention consistent with the description below, if a district earns at least 80% of available points in the LEA Determinations Matrix and has provided timely, reliable, and accurate special education data, Oregon considers the district as Meets Requirements. If a district provides ODE with untimely or inaccurate special education data, or fails to correct audit findings, the district cannot be considered Meets Requirements. </w:t>
      </w:r>
      <w:r w:rsidRPr="00A964C2">
        <w:rPr>
          <w:bCs/>
        </w:rPr>
        <w:br/>
      </w:r>
      <w:r w:rsidRPr="00A964C2">
        <w:rPr>
          <w:bCs/>
        </w:rPr>
        <w:br/>
        <w:t xml:space="preserve">Needs Assistance </w:t>
      </w:r>
      <w:r w:rsidRPr="00A964C2">
        <w:rPr>
          <w:bCs/>
        </w:rPr>
        <w:br/>
        <w:t xml:space="preserve">Unless Oregon determines that a district Needs Substantial Intervention consistent with the description below, if a district earns at least 50% but less than 80% of available points in the LEA Determinations Matrix and has provided timely, reliable, and accurate special education data, Oregon considers the district as Needs Assistance. If a district provides ODE with untimely or inaccurate special education data, the district cannot be considered Needs Assistance. </w:t>
      </w:r>
      <w:r w:rsidRPr="00A964C2">
        <w:rPr>
          <w:bCs/>
        </w:rPr>
        <w:br/>
      </w:r>
      <w:r w:rsidRPr="00A964C2">
        <w:rPr>
          <w:bCs/>
        </w:rPr>
        <w:br/>
        <w:t xml:space="preserve">Needs Intervention </w:t>
      </w:r>
      <w:r w:rsidRPr="00A964C2">
        <w:rPr>
          <w:bCs/>
        </w:rPr>
        <w:br/>
        <w:t xml:space="preserve">Unless Oregon determines that a district Needs Substantial Intervention consistent with the description below, if a district earns less than 50% of </w:t>
      </w:r>
      <w:r w:rsidRPr="00A964C2">
        <w:rPr>
          <w:bCs/>
        </w:rPr>
        <w:lastRenderedPageBreak/>
        <w:t xml:space="preserve">available points in the LEA Determinations Matrix, was unable to provide timely and accurate special education data, or did not correct audit findings within one year of notification, Oregon considers the district as Needs Intervention. </w:t>
      </w:r>
      <w:r w:rsidRPr="00A964C2">
        <w:rPr>
          <w:bCs/>
        </w:rPr>
        <w:br/>
      </w:r>
      <w:r w:rsidRPr="00A964C2">
        <w:rPr>
          <w:bCs/>
        </w:rPr>
        <w:br/>
        <w:t xml:space="preserve">Needs Substantial Intervention </w:t>
      </w:r>
      <w:r w:rsidRPr="00A964C2">
        <w:rPr>
          <w:bCs/>
        </w:rPr>
        <w:br/>
        <w:t xml:space="preserve">Oregon considers a district to be in Needs Substantial Intervention if the district’s failure affected the core requirements of the program, such as the delivery of services to children experiencing disabilities or if the district informed ODE that it was unwilling to comply with the State’s general supervision activities. Oregon reserves the right to identify any LEA for Needs Substantial Intervention at any time. </w:t>
      </w:r>
      <w:r w:rsidRPr="00A964C2">
        <w:rPr>
          <w:bCs/>
        </w:rPr>
        <w:br/>
      </w:r>
      <w:r w:rsidRPr="00A964C2">
        <w:rPr>
          <w:bCs/>
        </w:rPr>
        <w:br/>
        <w:t xml:space="preserve">Required Actions Based on Determinations </w:t>
      </w:r>
      <w:r w:rsidRPr="00A964C2">
        <w:rPr>
          <w:bCs/>
        </w:rPr>
        <w:br/>
        <w:t xml:space="preserve">The State then assigns actions based on the category of determination and the number of years an LEA has been assigned that category. Required actions on the continuum include actions such as requiring a district to access technical assistance in the area(s) for which they did not receive points, prohibiting the reduction of maintenance of effort, designating an LEA a high risk grantee, requiring the creation and completion of a corrective action plan, withholding of IDEA funds, etc. The District Support Specialist assigned to the district supports the LEA as they engage in required actions. </w:t>
      </w:r>
      <w:r w:rsidRPr="00A964C2">
        <w:rPr>
          <w:bCs/>
        </w:rPr>
        <w:br/>
      </w:r>
      <w:r w:rsidRPr="00A964C2">
        <w:rPr>
          <w:bCs/>
        </w:rPr>
        <w:br/>
        <w:t xml:space="preserve">Publication of Annual Determinations </w:t>
      </w:r>
      <w:r w:rsidRPr="00A964C2">
        <w:rPr>
          <w:bCs/>
        </w:rPr>
        <w:br/>
        <w:t xml:space="preserve">The State does not publicize annual determinations. </w:t>
      </w:r>
      <w:r w:rsidRPr="00A964C2">
        <w:rPr>
          <w:bCs/>
        </w:rPr>
        <w:br/>
      </w:r>
      <w:r w:rsidRPr="00A964C2">
        <w:rPr>
          <w:bCs/>
        </w:rPr>
        <w:br/>
        <w:t xml:space="preserve">Timeline for Issuing Determinations </w:t>
      </w:r>
      <w:r w:rsidRPr="00A964C2">
        <w:rPr>
          <w:bCs/>
        </w:rPr>
        <w:br/>
        <w:t>The State issues determinations annually, in June. The State engaged with stakeholders during the 2024-25 school year and based on this engagement, during the 2025-26 school year, the state will move to issuing determinations in November instead of June.</w:t>
      </w:r>
    </w:p>
    <w:p w14:paraId="469516E7" w14:textId="77777777" w:rsidR="00256572" w:rsidRPr="00FD2125" w:rsidRDefault="00256572" w:rsidP="00680744">
      <w:pPr>
        <w:rPr>
          <w:b/>
          <w:bCs/>
        </w:rPr>
      </w:pPr>
      <w:r w:rsidRPr="00FD2125">
        <w:rPr>
          <w:b/>
          <w:bCs/>
        </w:rPr>
        <w:t>Provide the web link to information about the State’s general supervision policies, procedures, and process that is made available to the public.</w:t>
      </w:r>
    </w:p>
    <w:p w14:paraId="609C862A" w14:textId="6B09554B" w:rsidR="00256572" w:rsidRPr="00A964C2" w:rsidRDefault="00256572" w:rsidP="00680744">
      <w:pPr>
        <w:rPr>
          <w:bCs/>
        </w:rPr>
      </w:pPr>
      <w:r w:rsidRPr="00A964C2">
        <w:rPr>
          <w:bCs/>
        </w:rPr>
        <w:t xml:space="preserve">https://www.oregon.gov/ode/students-and-family/specialeducation/generalsupervision/pages/default.aspx  </w:t>
      </w:r>
    </w:p>
    <w:p w14:paraId="26D57A13" w14:textId="214088C3" w:rsidR="00AF5649" w:rsidRPr="00781112" w:rsidRDefault="00AF5649" w:rsidP="004369B2">
      <w:pPr>
        <w:rPr>
          <w:color w:val="000000" w:themeColor="text1"/>
        </w:rPr>
      </w:pPr>
      <w:r w:rsidRPr="00781112">
        <w:rPr>
          <w:b/>
          <w:color w:val="000000" w:themeColor="text1"/>
        </w:rPr>
        <w:t>Technical Assistance System:</w:t>
      </w:r>
    </w:p>
    <w:p w14:paraId="66B8EA84" w14:textId="60BE563C" w:rsidR="00AF5649" w:rsidRPr="00781112" w:rsidRDefault="00AF5649" w:rsidP="00AF5649">
      <w:pPr>
        <w:rPr>
          <w:rFonts w:cs="Arial"/>
          <w:b/>
          <w:color w:val="000000" w:themeColor="text1"/>
          <w:szCs w:val="16"/>
        </w:rPr>
      </w:pPr>
      <w:r w:rsidRPr="00781112">
        <w:rPr>
          <w:rFonts w:cs="Arial"/>
          <w:b/>
          <w:color w:val="000000" w:themeColor="text1"/>
          <w:szCs w:val="16"/>
        </w:rPr>
        <w:t>The mechanisms that the State has in place to ensure the timely delivery of high quality, evidence-based technical assistance, and support to LEAs.</w:t>
      </w:r>
    </w:p>
    <w:p w14:paraId="46AFA65A" w14:textId="31299B5B" w:rsidR="000C24C2" w:rsidRPr="00781112" w:rsidRDefault="002B7490" w:rsidP="007925C6">
      <w:pPr>
        <w:rPr>
          <w:rFonts w:cs="Arial"/>
          <w:color w:val="000000" w:themeColor="text1"/>
          <w:szCs w:val="16"/>
        </w:rPr>
      </w:pPr>
      <w:r w:rsidRPr="00781112">
        <w:rPr>
          <w:rFonts w:cs="Arial"/>
          <w:color w:val="000000" w:themeColor="text1"/>
          <w:szCs w:val="16"/>
        </w:rPr>
        <w:t xml:space="preserve">The State employs multiple mechanisms to provide evidence-based technical assistance (TA) to Local Educational Agencies (LEAs). A key pathway for delivering this support is through District Support Specialists (DSS) and district partnerships. Each district is assigned a specialist at the State level who offers direct TA on monitoring activities and compliance with the Individuals with Disabilities Education Act (IDEA). DSSs provide targeted assistance to district special education directors and leadership teams based on district-specific needs identified through monitoring activities, dispute resolution processes, and SPP/APR data analysis. </w:t>
      </w:r>
      <w:r w:rsidRPr="00781112">
        <w:rPr>
          <w:rFonts w:cs="Arial"/>
          <w:color w:val="000000" w:themeColor="text1"/>
          <w:szCs w:val="16"/>
        </w:rPr>
        <w:br/>
      </w:r>
      <w:r w:rsidRPr="00781112">
        <w:rPr>
          <w:rFonts w:cs="Arial"/>
          <w:color w:val="000000" w:themeColor="text1"/>
          <w:szCs w:val="16"/>
        </w:rPr>
        <w:br/>
        <w:t xml:space="preserve">DSSs also participate in monthly meetings with special education directors, offering technical assistance on relevant topics. During the FFY 2023 reporting period, these discussions covered requirements for documenting abbreviated school day placements and best practices for record-keeping in monitoring activities. Additionally, they support districts in monitoring and correcting noncompliance issues through regular checkpoints with LEAs. </w:t>
      </w:r>
      <w:r w:rsidRPr="00781112">
        <w:rPr>
          <w:rFonts w:cs="Arial"/>
          <w:color w:val="000000" w:themeColor="text1"/>
          <w:szCs w:val="16"/>
        </w:rPr>
        <w:br/>
      </w:r>
      <w:r w:rsidRPr="00781112">
        <w:rPr>
          <w:rFonts w:cs="Arial"/>
          <w:color w:val="000000" w:themeColor="text1"/>
          <w:szCs w:val="16"/>
        </w:rPr>
        <w:br/>
        <w:t xml:space="preserve">Data Collection Systems </w:t>
      </w:r>
      <w:r w:rsidRPr="00781112">
        <w:rPr>
          <w:rFonts w:cs="Arial"/>
          <w:color w:val="000000" w:themeColor="text1"/>
          <w:szCs w:val="16"/>
        </w:rPr>
        <w:br/>
        <w:t xml:space="preserve">To support the collection of high-quality data, the State offers a range of online training sessions and resources throughout the year. A new data submitter boot camp is held in early fall, providing in-depth training on data collection procedures and application usage. Additionally, data collection webinars are conducted in the fall, winter, and spring. A team of Research Analysts offers year-round technical assistance via phone and email, ensuring ongoing support for data submitters. Further TA resources, including collection and application manuals, FAQs, scripted PowerPoint presentations, recorded webinars, and YouTube videos, are available online. </w:t>
      </w:r>
      <w:r w:rsidRPr="00781112">
        <w:rPr>
          <w:rFonts w:cs="Arial"/>
          <w:color w:val="000000" w:themeColor="text1"/>
          <w:szCs w:val="16"/>
        </w:rPr>
        <w:br/>
      </w:r>
      <w:r w:rsidRPr="00781112">
        <w:rPr>
          <w:rFonts w:cs="Arial"/>
          <w:color w:val="000000" w:themeColor="text1"/>
          <w:szCs w:val="16"/>
        </w:rPr>
        <w:br/>
        <w:t xml:space="preserve">Regional Technical Assistance </w:t>
      </w:r>
      <w:r w:rsidRPr="00781112">
        <w:rPr>
          <w:rFonts w:cs="Arial"/>
          <w:color w:val="000000" w:themeColor="text1"/>
          <w:szCs w:val="16"/>
        </w:rPr>
        <w:br/>
        <w:t xml:space="preserve">Each Education Service District (ESD) offers targeted TA to special education teachers, case managers, and directors. A Regional Technical Assistance Provider (RTAP) is designated for each ESD service area to support IDEA implementation. RTAPs work closely with State specialists to deliver customized TA on topics such as writing high-quality IEP goals and implementing proactive strategies to reduce informal student removals from school. This support is provided at no cost to districts and is available both in-person and virtually. </w:t>
      </w:r>
      <w:r w:rsidRPr="00781112">
        <w:rPr>
          <w:rFonts w:cs="Arial"/>
          <w:color w:val="000000" w:themeColor="text1"/>
          <w:szCs w:val="16"/>
        </w:rPr>
        <w:br/>
      </w:r>
      <w:r w:rsidRPr="00781112">
        <w:rPr>
          <w:rFonts w:cs="Arial"/>
          <w:color w:val="000000" w:themeColor="text1"/>
          <w:szCs w:val="16"/>
        </w:rPr>
        <w:br/>
        <w:t>Districts may access TA from either the DSS or RTAP at any time. Additionally, under general supervision requirements, some districts are mandated to engage in State-provided technical assistance. Specifically, if a district receives a Needs Assistance designation for two consecutive years in its annual determinations, it must participate in required TA activities.</w:t>
      </w:r>
    </w:p>
    <w:p w14:paraId="31C31C58" w14:textId="6D9367D0" w:rsidR="00AF5649" w:rsidRPr="00781112" w:rsidRDefault="00AF5649" w:rsidP="004369B2">
      <w:pPr>
        <w:rPr>
          <w:color w:val="000000" w:themeColor="text1"/>
        </w:rPr>
      </w:pPr>
      <w:r w:rsidRPr="00781112">
        <w:rPr>
          <w:b/>
          <w:color w:val="000000" w:themeColor="text1"/>
        </w:rPr>
        <w:t>Professional Development System:</w:t>
      </w:r>
    </w:p>
    <w:p w14:paraId="25232CAB" w14:textId="27BBB727" w:rsidR="00AF5649" w:rsidRPr="00781112" w:rsidRDefault="00AF5649" w:rsidP="00AF5649">
      <w:pPr>
        <w:rPr>
          <w:rFonts w:cs="Arial"/>
          <w:b/>
          <w:color w:val="000000" w:themeColor="text1"/>
          <w:szCs w:val="16"/>
        </w:rPr>
      </w:pPr>
      <w:r w:rsidRPr="00781112">
        <w:rPr>
          <w:rFonts w:cs="Arial"/>
          <w:b/>
          <w:color w:val="000000" w:themeColor="text1"/>
          <w:szCs w:val="16"/>
        </w:rPr>
        <w:t>The mechanisms the State has in place to ensure that service providers have the skills to effectively provide services that improve results for children with disabilities.</w:t>
      </w:r>
    </w:p>
    <w:p w14:paraId="0B77B8C1" w14:textId="3CE3A35D" w:rsidR="007742F1" w:rsidRPr="00781112" w:rsidRDefault="002B7490" w:rsidP="007925C6">
      <w:pPr>
        <w:rPr>
          <w:rFonts w:cs="Arial"/>
          <w:color w:val="000000" w:themeColor="text1"/>
          <w:szCs w:val="16"/>
        </w:rPr>
      </w:pPr>
      <w:r w:rsidRPr="00781112">
        <w:rPr>
          <w:rFonts w:cs="Arial"/>
          <w:color w:val="000000" w:themeColor="text1"/>
          <w:szCs w:val="16"/>
        </w:rPr>
        <w:t xml:space="preserve">The State has established multiple systems to provide professional development (PD) to its 197 school districts. Through comprehensive professional development efforts, the State enhances the skills, knowledge, and capacity of educators, administrators, and families to support students with disabilities effectively. In addition to the structured initiatives outlined below, the State develops and delivers additional professional learning opportunities and technical assistance in response to emerging needs throughout the school year. </w:t>
      </w:r>
      <w:r w:rsidRPr="00781112">
        <w:rPr>
          <w:rFonts w:cs="Arial"/>
          <w:color w:val="000000" w:themeColor="text1"/>
          <w:szCs w:val="16"/>
        </w:rPr>
        <w:br/>
      </w:r>
      <w:r w:rsidRPr="00781112">
        <w:rPr>
          <w:rFonts w:cs="Arial"/>
          <w:color w:val="000000" w:themeColor="text1"/>
          <w:szCs w:val="16"/>
        </w:rPr>
        <w:br/>
        <w:t xml:space="preserve">District Support Specialists (DSS) </w:t>
      </w:r>
      <w:r w:rsidRPr="00781112">
        <w:rPr>
          <w:rFonts w:cs="Arial"/>
          <w:color w:val="000000" w:themeColor="text1"/>
          <w:szCs w:val="16"/>
        </w:rPr>
        <w:br/>
        <w:t xml:space="preserve">District Support Specialists (DSS) serve as a key resource for professional development. They offer both virtual and in-person PD based on identified areas of improvement and district requests. DSSs also play an integral role within the regional infrastructure by participating in monthly regional special education director meetings, where they provide contextually relevant professional learning. </w:t>
      </w:r>
      <w:r w:rsidRPr="00781112">
        <w:rPr>
          <w:rFonts w:cs="Arial"/>
          <w:color w:val="000000" w:themeColor="text1"/>
          <w:szCs w:val="16"/>
        </w:rPr>
        <w:br/>
      </w:r>
      <w:r w:rsidRPr="00781112">
        <w:rPr>
          <w:rFonts w:cs="Arial"/>
          <w:color w:val="000000" w:themeColor="text1"/>
          <w:szCs w:val="16"/>
        </w:rPr>
        <w:br/>
        <w:t xml:space="preserve">Regular Special Education Director Calls </w:t>
      </w:r>
      <w:r w:rsidRPr="00781112">
        <w:rPr>
          <w:rFonts w:cs="Arial"/>
          <w:color w:val="000000" w:themeColor="text1"/>
          <w:szCs w:val="16"/>
        </w:rPr>
        <w:br/>
        <w:t xml:space="preserve">To ensure ongoing professional learning and dissemination of critical information, the State conducts bi-monthly and monthly calls with LEA Special Education Directors. These sessions focus on foundational standards of practice, IDEA implementation, and statewide monitoring updates. In addition, the State offers monthly support calls for new special education directors to help build their knowledge and capacity in implementing IDEA with fidelity. These calls provide targeted guidance and peer support to enhance leadership effectiveness. </w:t>
      </w:r>
      <w:r w:rsidRPr="00781112">
        <w:rPr>
          <w:rFonts w:cs="Arial"/>
          <w:color w:val="000000" w:themeColor="text1"/>
          <w:szCs w:val="16"/>
        </w:rPr>
        <w:br/>
      </w:r>
      <w:r w:rsidRPr="00781112">
        <w:rPr>
          <w:rFonts w:cs="Arial"/>
          <w:color w:val="000000" w:themeColor="text1"/>
          <w:szCs w:val="16"/>
        </w:rPr>
        <w:br/>
        <w:t xml:space="preserve">Regional Technical Assistance Providers (RTAPs) </w:t>
      </w:r>
      <w:r w:rsidRPr="00781112">
        <w:rPr>
          <w:rFonts w:cs="Arial"/>
          <w:color w:val="000000" w:themeColor="text1"/>
          <w:szCs w:val="16"/>
        </w:rPr>
        <w:br/>
        <w:t xml:space="preserve">During the 2023-24 school year, the State introduced the Regional Technical Assistance Provider (RTAP) structure. Each Educational Service District (ESD) has a designated RTAP who receives monthly training and ongoing support from the Oregon Department of Education (ODE). ODE develops and shares training content with RTAPs, who then deliver professional development to their respective ESD regions. Participants include administrators, </w:t>
      </w:r>
      <w:r w:rsidRPr="00781112">
        <w:rPr>
          <w:rFonts w:cs="Arial"/>
          <w:color w:val="000000" w:themeColor="text1"/>
          <w:szCs w:val="16"/>
        </w:rPr>
        <w:lastRenderedPageBreak/>
        <w:t xml:space="preserve">general education and special education teachers, paraprofessionals, and other specialists. </w:t>
      </w:r>
      <w:r w:rsidRPr="00781112">
        <w:rPr>
          <w:rFonts w:cs="Arial"/>
          <w:color w:val="000000" w:themeColor="text1"/>
          <w:szCs w:val="16"/>
        </w:rPr>
        <w:br/>
      </w:r>
      <w:r w:rsidRPr="00781112">
        <w:rPr>
          <w:rFonts w:cs="Arial"/>
          <w:color w:val="000000" w:themeColor="text1"/>
          <w:szCs w:val="16"/>
        </w:rPr>
        <w:br/>
        <w:t xml:space="preserve">Secondary Transition Support </w:t>
      </w:r>
      <w:r w:rsidRPr="00781112">
        <w:rPr>
          <w:rFonts w:cs="Arial"/>
          <w:color w:val="000000" w:themeColor="text1"/>
          <w:szCs w:val="16"/>
        </w:rPr>
        <w:br/>
        <w:t xml:space="preserve">The State's secondary transition specialist leads the development of an annual transition conference, which builds the capacity of educators to design and deliver individualized transition services for students with disabilities. Additionally, the Statewide Transition Technical Assistance Network (TTAN) provides professional development, technical assistance, and resources to support districts in serving secondary and post-secondary students with disabilities. This includes training on transition-related curricula, outcome-based planning, and interagency collaboration. </w:t>
      </w:r>
      <w:r w:rsidRPr="00781112">
        <w:rPr>
          <w:rFonts w:cs="Arial"/>
          <w:color w:val="000000" w:themeColor="text1"/>
          <w:szCs w:val="16"/>
        </w:rPr>
        <w:br/>
      </w:r>
      <w:r w:rsidRPr="00781112">
        <w:rPr>
          <w:rFonts w:cs="Arial"/>
          <w:color w:val="000000" w:themeColor="text1"/>
          <w:szCs w:val="16"/>
        </w:rPr>
        <w:br/>
        <w:t xml:space="preserve">Statewide Professional Development Initiatives </w:t>
      </w:r>
      <w:r w:rsidRPr="00781112">
        <w:rPr>
          <w:rFonts w:cs="Arial"/>
          <w:color w:val="000000" w:themeColor="text1"/>
          <w:szCs w:val="16"/>
        </w:rPr>
        <w:br/>
        <w:t xml:space="preserve">Recognizing that special education students are general education students first, the State ensures that professional development and school improvement initiatives are inclusive of students served under IDEA. Various state and federal program units within the Oregon Department of Education lead improvement efforts focusing on historically marginalized student groups, including students with disabilities. </w:t>
      </w:r>
      <w:r w:rsidRPr="00781112">
        <w:rPr>
          <w:rFonts w:cs="Arial"/>
          <w:color w:val="000000" w:themeColor="text1"/>
          <w:szCs w:val="16"/>
        </w:rPr>
        <w:br/>
      </w:r>
      <w:r w:rsidRPr="00781112">
        <w:rPr>
          <w:rFonts w:cs="Arial"/>
          <w:color w:val="000000" w:themeColor="text1"/>
          <w:szCs w:val="16"/>
        </w:rPr>
        <w:br/>
        <w:t xml:space="preserve">The Oregon Response to Instruction and Intervention (ORTIi) initiative is one such program, funded through IDEA discretionary funds. ORTIi provides targeted professional development and coaching to district teams implementing multi-tiered systems of support (MTSS) for academic interventions at the elementary and middle school levels. </w:t>
      </w:r>
      <w:r w:rsidRPr="00781112">
        <w:rPr>
          <w:rFonts w:cs="Arial"/>
          <w:color w:val="000000" w:themeColor="text1"/>
          <w:szCs w:val="16"/>
        </w:rPr>
        <w:br/>
      </w:r>
      <w:r w:rsidRPr="00781112">
        <w:rPr>
          <w:rFonts w:cs="Arial"/>
          <w:color w:val="000000" w:themeColor="text1"/>
          <w:szCs w:val="16"/>
        </w:rPr>
        <w:br/>
        <w:t xml:space="preserve">FACT Oregon Partnership </w:t>
      </w:r>
      <w:r w:rsidRPr="00781112">
        <w:rPr>
          <w:rFonts w:cs="Arial"/>
          <w:color w:val="000000" w:themeColor="text1"/>
          <w:szCs w:val="16"/>
        </w:rPr>
        <w:br/>
        <w:t xml:space="preserve">To further support families and community engagement, the State partners with FACT Oregon, the State’s Parent Training and Information Center. FACT Oregon provides professional learning opportunities tailored to families, districts, and students. Workshops are offered annually in both English and Spanish, covering topics such as: </w:t>
      </w:r>
      <w:r w:rsidRPr="00781112">
        <w:rPr>
          <w:rFonts w:cs="Arial"/>
          <w:color w:val="000000" w:themeColor="text1"/>
          <w:szCs w:val="16"/>
        </w:rPr>
        <w:br/>
        <w:t xml:space="preserve">“Activate Your Advocacy” – a multi-session training program for families </w:t>
      </w:r>
      <w:r w:rsidRPr="00781112">
        <w:rPr>
          <w:rFonts w:cs="Arial"/>
          <w:color w:val="000000" w:themeColor="text1"/>
          <w:szCs w:val="16"/>
        </w:rPr>
        <w:br/>
        <w:t xml:space="preserve">“Financial Empowerment for Youth with Disabilities” </w:t>
      </w:r>
      <w:r w:rsidRPr="00781112">
        <w:rPr>
          <w:rFonts w:cs="Arial"/>
          <w:color w:val="000000" w:themeColor="text1"/>
          <w:szCs w:val="16"/>
        </w:rPr>
        <w:br/>
        <w:t xml:space="preserve">Understanding the IEP process and participation </w:t>
      </w:r>
      <w:r w:rsidRPr="00781112">
        <w:rPr>
          <w:rFonts w:cs="Arial"/>
          <w:color w:val="000000" w:themeColor="text1"/>
          <w:szCs w:val="16"/>
        </w:rPr>
        <w:br/>
        <w:t>Oregon’s abbreviated school day regulations (SB 819)</w:t>
      </w:r>
    </w:p>
    <w:p w14:paraId="0D25C7E9" w14:textId="57CCC112" w:rsidR="00AF5649" w:rsidRPr="00781112" w:rsidRDefault="00F72E24" w:rsidP="004369B2">
      <w:pPr>
        <w:rPr>
          <w:color w:val="000000" w:themeColor="text1"/>
        </w:rPr>
      </w:pPr>
      <w:r w:rsidRPr="00781112">
        <w:rPr>
          <w:b/>
          <w:color w:val="000000" w:themeColor="text1"/>
        </w:rPr>
        <w:t>Stakeholder Engagement:</w:t>
      </w:r>
    </w:p>
    <w:p w14:paraId="0EB1658A" w14:textId="58A43615" w:rsidR="006457D1" w:rsidRPr="006457D1" w:rsidRDefault="00EE0EC5" w:rsidP="006457D1">
      <w:pPr>
        <w:rPr>
          <w:rFonts w:cs="Arial"/>
          <w:b/>
          <w:color w:val="000000" w:themeColor="text1"/>
          <w:szCs w:val="16"/>
        </w:rPr>
      </w:pPr>
      <w:r w:rsidRPr="00BA3DBE">
        <w:rPr>
          <w:b/>
        </w:rPr>
        <w:t>The mechanisms for broad stakeholder engagement, including activities carried out to obtain input from, and build the capacity of, a diverse group of parents to support the implementation activities designed to improve outcomes, including target setting and any subsequent revisions to targets, analyzing data, developing improvement strategies, and evaluating progress.</w:t>
      </w:r>
    </w:p>
    <w:p w14:paraId="7621D9ED" w14:textId="6E2BA22E" w:rsidR="000C24C2" w:rsidRPr="00781112" w:rsidRDefault="002B7490" w:rsidP="000C24C2">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159721AE" w14:textId="2EBB96BA" w:rsidR="00084FF1" w:rsidRPr="00781112" w:rsidRDefault="00084FF1" w:rsidP="000C24C2">
      <w:pPr>
        <w:rPr>
          <w:rFonts w:cs="Arial"/>
          <w:b/>
          <w:color w:val="000000" w:themeColor="text1"/>
          <w:szCs w:val="16"/>
        </w:rPr>
      </w:pPr>
      <w:r w:rsidRPr="00781112">
        <w:rPr>
          <w:rFonts w:cs="Arial"/>
          <w:b/>
          <w:color w:val="000000" w:themeColor="text1"/>
          <w:szCs w:val="16"/>
        </w:rPr>
        <w:t>Apply stakeholder engagement from introduction to all Part B results indicators (y/n)</w:t>
      </w:r>
    </w:p>
    <w:p w14:paraId="2E10E7B0" w14:textId="00B67F00" w:rsidR="00FB0D0A" w:rsidRPr="00781112" w:rsidRDefault="002B7490" w:rsidP="004369B2">
      <w:pPr>
        <w:rPr>
          <w:color w:val="000000" w:themeColor="text1"/>
        </w:rPr>
      </w:pPr>
      <w:r w:rsidRPr="00781112">
        <w:rPr>
          <w:color w:val="000000" w:themeColor="text1"/>
        </w:rPr>
        <w:t>YES</w:t>
      </w:r>
    </w:p>
    <w:p w14:paraId="039304C3" w14:textId="77777777" w:rsidR="00F72E24" w:rsidRPr="00781112" w:rsidRDefault="00F72E24" w:rsidP="00F72E24">
      <w:pPr>
        <w:rPr>
          <w:b/>
          <w:color w:val="000000" w:themeColor="text1"/>
        </w:rPr>
      </w:pPr>
      <w:r w:rsidRPr="00781112">
        <w:rPr>
          <w:b/>
          <w:color w:val="000000" w:themeColor="text1"/>
        </w:rPr>
        <w:t>Number of Parent Members:</w:t>
      </w:r>
    </w:p>
    <w:p w14:paraId="3A2A60D7" w14:textId="5F5224C2" w:rsidR="00F72E24" w:rsidRPr="00781112" w:rsidRDefault="00F72E24" w:rsidP="00F72E24">
      <w:pPr>
        <w:rPr>
          <w:color w:val="000000" w:themeColor="text1"/>
          <w:szCs w:val="16"/>
        </w:rPr>
      </w:pPr>
      <w:r w:rsidRPr="00781112">
        <w:rPr>
          <w:color w:val="000000" w:themeColor="text1"/>
          <w:szCs w:val="16"/>
        </w:rPr>
        <w:t>88</w:t>
      </w:r>
    </w:p>
    <w:p w14:paraId="06D1F432" w14:textId="77777777" w:rsidR="00F72E24" w:rsidRPr="00781112" w:rsidRDefault="00F72E24" w:rsidP="00F72E24">
      <w:pPr>
        <w:rPr>
          <w:b/>
          <w:color w:val="000000" w:themeColor="text1"/>
        </w:rPr>
      </w:pPr>
      <w:r w:rsidRPr="00781112">
        <w:rPr>
          <w:b/>
          <w:color w:val="000000" w:themeColor="text1"/>
        </w:rPr>
        <w:t>Parent Members Engagement:</w:t>
      </w:r>
    </w:p>
    <w:p w14:paraId="243421D1" w14:textId="676E0957" w:rsidR="00F72E24" w:rsidRPr="00781112" w:rsidRDefault="00F72E24" w:rsidP="00F72E24">
      <w:pPr>
        <w:rPr>
          <w:b/>
          <w:color w:val="000000" w:themeColor="text1"/>
        </w:rPr>
      </w:pPr>
      <w:r w:rsidRPr="00781112">
        <w:rPr>
          <w:b/>
          <w:color w:val="000000" w:themeColor="text1"/>
        </w:rPr>
        <w:t>Describe how the parent members of the State Advisory Panel, parent center staff, parents from local and statewide advocacy and advisory committees, and individual parents were engaged in setting targets, analyzing data, developing improvement strategies, and evaluating progress.</w:t>
      </w:r>
    </w:p>
    <w:p w14:paraId="5A19969A" w14:textId="0D5C2CEC" w:rsidR="00F72E24" w:rsidRPr="00781112" w:rsidRDefault="00F72E24" w:rsidP="00F72E24">
      <w:pPr>
        <w:rPr>
          <w:color w:val="000000" w:themeColor="text1"/>
          <w:szCs w:val="16"/>
        </w:rPr>
      </w:pPr>
      <w:r w:rsidRPr="00781112">
        <w:rPr>
          <w:color w:val="000000" w:themeColor="text1"/>
          <w:szCs w:val="16"/>
        </w:rPr>
        <w:t xml:space="preserve">Parent and family members engaged with the Agency to set SPP/APR targets and analyze data in the prior reporting period. These engagement efforts were reported in the FFY 2021 submission. </w:t>
      </w:r>
      <w:r w:rsidRPr="00781112">
        <w:rPr>
          <w:color w:val="000000" w:themeColor="text1"/>
          <w:szCs w:val="16"/>
        </w:rPr>
        <w:br/>
      </w:r>
      <w:r w:rsidRPr="00781112">
        <w:rPr>
          <w:color w:val="000000" w:themeColor="text1"/>
          <w:szCs w:val="16"/>
        </w:rPr>
        <w:br/>
        <w:t xml:space="preserve">During the current reporting period, the State continues to maintain an ongoing partnership with the State Advisory Panel, including parent members, to </w:t>
      </w:r>
      <w:r w:rsidRPr="00781112">
        <w:rPr>
          <w:color w:val="000000" w:themeColor="text1"/>
          <w:szCs w:val="16"/>
        </w:rPr>
        <w:lastRenderedPageBreak/>
        <w:t xml:space="preserve">continue to develop improvement strategies. Parent members engage in analyzing data to support the development of improvement strategies and evaluate progress. These discussions with the State Advisory Panel help to inform statewide improvement strategies as reflected in the SPP/APR. Topics addressed in 2023-2024 included regular legislative session updates, updates and involvement in the general supervision system changes, and education and discussion on Oregon Abbreviated School Day Placements under Senate Bill 819 law and its impacts on special education services. </w:t>
      </w:r>
    </w:p>
    <w:p w14:paraId="22B36B69" w14:textId="77777777" w:rsidR="00F72E24" w:rsidRPr="00781112" w:rsidRDefault="00F72E24" w:rsidP="00F72E24">
      <w:pPr>
        <w:rPr>
          <w:b/>
          <w:color w:val="000000" w:themeColor="text1"/>
        </w:rPr>
      </w:pPr>
      <w:r w:rsidRPr="00781112">
        <w:rPr>
          <w:b/>
          <w:color w:val="000000" w:themeColor="text1"/>
        </w:rPr>
        <w:t>Activities to Improve Outcomes for Children with Disabilities:</w:t>
      </w:r>
    </w:p>
    <w:p w14:paraId="362D1ECF" w14:textId="77777777" w:rsidR="006457D1" w:rsidRPr="006457D1" w:rsidRDefault="006457D1" w:rsidP="006457D1">
      <w:pPr>
        <w:rPr>
          <w:b/>
          <w:color w:val="000000" w:themeColor="text1"/>
        </w:rPr>
      </w:pPr>
      <w:r w:rsidRPr="006457D1">
        <w:rPr>
          <w:b/>
          <w:color w:val="000000" w:themeColor="text1"/>
        </w:rPr>
        <w:t>The activities conducted to increase the capacity of diverse groups of parents to support the development of implementation activities designed to improve outcomes for children with disabilities.</w:t>
      </w:r>
    </w:p>
    <w:p w14:paraId="3BDE813D" w14:textId="522F6FB0" w:rsidR="00F72E24" w:rsidRPr="00781112" w:rsidRDefault="00F72E24" w:rsidP="00F72E24">
      <w:pPr>
        <w:rPr>
          <w:color w:val="000000" w:themeColor="text1"/>
          <w:szCs w:val="16"/>
        </w:rPr>
      </w:pPr>
      <w:r w:rsidRPr="00781112">
        <w:rPr>
          <w:color w:val="000000" w:themeColor="text1"/>
          <w:szCs w:val="16"/>
        </w:rPr>
        <w:t xml:space="preserve">The State partnered with FACT Oregon, the State’s Parent Training and Information Center, to offer professional learning and resources throughout this reporting period. </w:t>
      </w:r>
      <w:r w:rsidRPr="00781112">
        <w:rPr>
          <w:color w:val="000000" w:themeColor="text1"/>
          <w:szCs w:val="16"/>
        </w:rPr>
        <w:br/>
      </w:r>
      <w:r w:rsidRPr="00781112">
        <w:rPr>
          <w:color w:val="000000" w:themeColor="text1"/>
          <w:szCs w:val="16"/>
        </w:rPr>
        <w:br/>
        <w:t xml:space="preserve">The State also continues to share and update information about the revisions to the statewide general supervision system with the Parent Training and Information Center staff and the State Advisory Panel. The State includes and informs leaders of organizations who support parents so that they are informed and included in the changes to statewide monitoring and can better support practices. The State practice of inclusion created leaders who are better able to facilitate understanding of statewide improvement efforts and opportunities for input with parents and community members. </w:t>
      </w:r>
    </w:p>
    <w:p w14:paraId="6210CD83" w14:textId="77777777" w:rsidR="00F72E24" w:rsidRPr="00781112" w:rsidRDefault="00F72E24" w:rsidP="00F72E24">
      <w:pPr>
        <w:rPr>
          <w:b/>
          <w:color w:val="000000" w:themeColor="text1"/>
        </w:rPr>
      </w:pPr>
      <w:r w:rsidRPr="00781112">
        <w:rPr>
          <w:b/>
          <w:color w:val="000000" w:themeColor="text1"/>
        </w:rPr>
        <w:t>Soliciting Public Input:</w:t>
      </w:r>
    </w:p>
    <w:p w14:paraId="39A8F7F4" w14:textId="036934F6" w:rsidR="00F72E24" w:rsidRPr="00781112" w:rsidRDefault="00F72E24" w:rsidP="00F72E24">
      <w:pPr>
        <w:rPr>
          <w:b/>
          <w:color w:val="000000" w:themeColor="text1"/>
        </w:rPr>
      </w:pPr>
      <w:r w:rsidRPr="00781112">
        <w:rPr>
          <w:b/>
          <w:color w:val="000000" w:themeColor="text1"/>
        </w:rPr>
        <w:t>The mechanisms and timelines for soliciting public input for setting targets, analyzing data, developing improvement strategies, and evaluating progress.</w:t>
      </w:r>
    </w:p>
    <w:p w14:paraId="223D0B8E" w14:textId="16A98311" w:rsidR="00F72E24" w:rsidRPr="00781112" w:rsidRDefault="00F72E24" w:rsidP="00F72E24">
      <w:pPr>
        <w:rPr>
          <w:color w:val="000000" w:themeColor="text1"/>
          <w:szCs w:val="16"/>
        </w:rPr>
      </w:pPr>
      <w:r w:rsidRPr="00781112">
        <w:rPr>
          <w:color w:val="000000" w:themeColor="text1"/>
          <w:szCs w:val="16"/>
        </w:rPr>
        <w:t xml:space="preserve">The State solicited public input for setting targets, analyzing data, developing improvement strategies, and evaluating progress. The State analyzed data to set targets during FFY 2020. During this time, the State used a set of indicator dashboards to share information and collect information from stakeholders. A dashboard for each indicator was created to serve as an ongoing communication mechanism, sharing data, activities, target options, and collecting stakeholder input on targets and ideas for improvement strategies. These dashboards were published in November 2021, and the State continues to use them as an ongoing communication mechanism in this reporting period as well.  </w:t>
      </w:r>
      <w:r w:rsidRPr="00781112">
        <w:rPr>
          <w:color w:val="000000" w:themeColor="text1"/>
          <w:szCs w:val="16"/>
        </w:rPr>
        <w:br/>
      </w:r>
      <w:r w:rsidRPr="00781112">
        <w:rPr>
          <w:color w:val="000000" w:themeColor="text1"/>
          <w:szCs w:val="16"/>
        </w:rPr>
        <w:br/>
        <w:t xml:space="preserve">The State regularly reports to the State Advisory Council for Special Education (SACSE), keeping the Council informed of current issues in special education in the State, as well as local needs and topics of interest. The State engages with both SACSE and the State Interagency Coordinating Council (SICC) to share data updates and refine the statewide improvement strategies related to inclusion and results for students experiencing disability. The State and the SACSE also work together on topics as they arise, such as issues and work arising from legislative actions (e.g. the passing of the Abbreviated School Day Bill, Senate Bill 819, detailed on the following web page: https://www.oregon.gov/ode/students-and-family/specialeducation/pages/abbreviatedschoolday-sb819.aspx), to inviting partners to present on topics of interest to families with students who experience disability (e.g. school safety, emergency management, and regional updates). </w:t>
      </w:r>
      <w:r w:rsidRPr="00781112">
        <w:rPr>
          <w:color w:val="000000" w:themeColor="text1"/>
          <w:szCs w:val="16"/>
        </w:rPr>
        <w:br/>
      </w:r>
      <w:r w:rsidRPr="00781112">
        <w:rPr>
          <w:color w:val="000000" w:themeColor="text1"/>
          <w:szCs w:val="16"/>
        </w:rPr>
        <w:br/>
        <w:t xml:space="preserve">The State continues to work with SACSE/SICC on their joint goals in support of inclusion and improving performance of students experiencing disability in this reporting period. This work will include planning a joint meeting for the advisory councils in the spring of 2024, as well as working with the Center for Technical Assistance for Excellence in Special Education (TAESE) to receive additional training support.  </w:t>
      </w:r>
      <w:r w:rsidRPr="00781112">
        <w:rPr>
          <w:color w:val="000000" w:themeColor="text1"/>
          <w:szCs w:val="16"/>
        </w:rPr>
        <w:br/>
      </w:r>
      <w:r w:rsidRPr="00781112">
        <w:rPr>
          <w:color w:val="000000" w:themeColor="text1"/>
          <w:szCs w:val="16"/>
        </w:rPr>
        <w:br/>
        <w:t xml:space="preserve">The SACSE maintains a standing agenda item on the Parent Survey for continuous review and improvement. A work group of ODE staff, SACSE, and FACT members have been convened to put the survey initiative forward. The Parent Survey Work Group implemented recent survey enhancements to increase family engagement including the use of QR codes, text messaging, and emails, thereby improving parent involvement and access, including the ability to access the survey from their personal mobile devices.  </w:t>
      </w:r>
      <w:r w:rsidRPr="00781112">
        <w:rPr>
          <w:color w:val="000000" w:themeColor="text1"/>
          <w:szCs w:val="16"/>
        </w:rPr>
        <w:br/>
      </w:r>
      <w:r w:rsidRPr="00781112">
        <w:rPr>
          <w:color w:val="000000" w:themeColor="text1"/>
          <w:szCs w:val="16"/>
        </w:rPr>
        <w:br/>
        <w:t xml:space="preserve">The State also solicits public input annually on the Part B budget and use of state set aside funds through virtual mechanisms. This input informs the use of specific improvement strategies within the SPP/APR and SSIP.  </w:t>
      </w:r>
      <w:r w:rsidRPr="00781112">
        <w:rPr>
          <w:color w:val="000000" w:themeColor="text1"/>
          <w:szCs w:val="16"/>
        </w:rPr>
        <w:br/>
      </w:r>
      <w:r w:rsidRPr="00781112">
        <w:rPr>
          <w:color w:val="000000" w:themeColor="text1"/>
          <w:szCs w:val="16"/>
        </w:rPr>
        <w:br/>
        <w:t xml:space="preserve">During 2023, the State staff continued to present information to the SACSE at the quarterly Council meetings. The information was presented by staff experts, using in-person meetings as well as appropriate technologies to share information and encourage input. The State continues to solicit public input at SACSE meetings to inform changes to state efforts and involvements, including providing regular updates on pending legislation. </w:t>
      </w:r>
    </w:p>
    <w:p w14:paraId="60517C6B" w14:textId="77777777" w:rsidR="001628C0" w:rsidRPr="00781112" w:rsidRDefault="001628C0" w:rsidP="001628C0">
      <w:pPr>
        <w:rPr>
          <w:b/>
          <w:color w:val="000000" w:themeColor="text1"/>
        </w:rPr>
      </w:pPr>
      <w:r w:rsidRPr="00781112">
        <w:rPr>
          <w:b/>
          <w:color w:val="000000" w:themeColor="text1"/>
        </w:rPr>
        <w:t>Making Results Available to the Public:</w:t>
      </w:r>
    </w:p>
    <w:p w14:paraId="311EF023" w14:textId="34EDFFF0" w:rsidR="001628C0" w:rsidRPr="00781112" w:rsidRDefault="001628C0" w:rsidP="001628C0">
      <w:pPr>
        <w:rPr>
          <w:b/>
          <w:color w:val="000000" w:themeColor="text1"/>
        </w:rPr>
      </w:pPr>
      <w:r w:rsidRPr="00781112">
        <w:rPr>
          <w:b/>
          <w:color w:val="000000" w:themeColor="text1"/>
        </w:rPr>
        <w:t>The mechanisms and timelines for making the results of the target setting, data analysis, development of the improvement strategies, and evaluation available to the public.</w:t>
      </w:r>
    </w:p>
    <w:p w14:paraId="0AEF38F9" w14:textId="1C0CFAA1" w:rsidR="001628C0" w:rsidRPr="00781112" w:rsidRDefault="001628C0" w:rsidP="001628C0">
      <w:pPr>
        <w:rPr>
          <w:color w:val="000000" w:themeColor="text1"/>
          <w:szCs w:val="16"/>
        </w:rPr>
      </w:pPr>
      <w:r w:rsidRPr="00781112">
        <w:rPr>
          <w:color w:val="000000" w:themeColor="text1"/>
          <w:szCs w:val="16"/>
        </w:rPr>
        <w:t xml:space="preserve">The State established the SPP/APR website (found here: https://www.oregon.gov/ode/reports-and-data/SpEdReports/Pages/spp2020-25.aspx) and indicator dashboards as a communication mechanism for making results available to the public. The State also reports this information to the public by posting the SPP/APR annually on this site: https://www.oregon.gov/ode/reports-and-data/SpEdReports/Pages/State-Performance-Plan-and-Annual-Performance-Report-for-Special-Education.aspx. </w:t>
      </w:r>
      <w:r w:rsidRPr="00781112">
        <w:rPr>
          <w:color w:val="000000" w:themeColor="text1"/>
          <w:szCs w:val="16"/>
        </w:rPr>
        <w:br/>
      </w:r>
      <w:r w:rsidRPr="00781112">
        <w:rPr>
          <w:color w:val="000000" w:themeColor="text1"/>
          <w:szCs w:val="16"/>
        </w:rPr>
        <w:br/>
        <w:t>The State does not solely rely on the website to meet the requirements for making results available to the public; in addition, the State also distributed the SPP/APR News Release to the media and public agencies on January 23, 2025, as required by 34 C.F.R §§ 300.602(b)(1)(i)(B) and 303.702(b)(1)(i)(B). This News Release provided web links, an explanation of the basis for the APR, and Key Highlights of Oregon’s APR</w:t>
      </w:r>
    </w:p>
    <w:p w14:paraId="7432C5B0" w14:textId="77777777" w:rsidR="00F72E24" w:rsidRPr="00781112" w:rsidRDefault="00F72E24" w:rsidP="004369B2">
      <w:pPr>
        <w:rPr>
          <w:color w:val="000000" w:themeColor="text1"/>
        </w:rPr>
      </w:pPr>
    </w:p>
    <w:p w14:paraId="41976EFD" w14:textId="52C6C218" w:rsidR="00AF5649" w:rsidRPr="00781112" w:rsidRDefault="00AF5649" w:rsidP="004369B2">
      <w:pPr>
        <w:rPr>
          <w:color w:val="000000" w:themeColor="text1"/>
        </w:rPr>
      </w:pPr>
      <w:r w:rsidRPr="00781112">
        <w:rPr>
          <w:b/>
          <w:color w:val="000000" w:themeColor="text1"/>
        </w:rPr>
        <w:t>Reporting to the Public</w:t>
      </w:r>
    </w:p>
    <w:p w14:paraId="6989C68F" w14:textId="66A1D600" w:rsidR="00AF5649" w:rsidRPr="00781112" w:rsidRDefault="00AF5649" w:rsidP="004369B2">
      <w:pPr>
        <w:rPr>
          <w:b/>
          <w:color w:val="000000" w:themeColor="text1"/>
        </w:rPr>
      </w:pPr>
      <w:r w:rsidRPr="00781112">
        <w:rPr>
          <w:b/>
          <w:color w:val="000000" w:themeColor="text1"/>
        </w:rPr>
        <w:t>How and where the State reported to the public on the FFY 2022 performance of each LEA located in the State on the targets in the SPP/APR as soon as practicable, but no later than 120 days following the State’s submission of its FFY 2022 APR, as required by 34 CFR §300.602(b)(1)(i)(A); and a description of where, on its Web site, a complete copy of the State’s SPP/APR, including any revisions if the State has revised the targets that it submitted with its FFY 2022 APR in 2024, is available.</w:t>
      </w:r>
    </w:p>
    <w:p w14:paraId="4B111ECA" w14:textId="48A73890" w:rsidR="000C24C2" w:rsidRPr="00781112" w:rsidRDefault="002B7490" w:rsidP="007925C6">
      <w:pPr>
        <w:rPr>
          <w:rFonts w:cs="Arial"/>
          <w:color w:val="000000" w:themeColor="text1"/>
          <w:szCs w:val="16"/>
        </w:rPr>
      </w:pPr>
      <w:r w:rsidRPr="00781112">
        <w:rPr>
          <w:rFonts w:cs="Arial"/>
          <w:color w:val="000000" w:themeColor="text1"/>
          <w:szCs w:val="16"/>
        </w:rPr>
        <w:t xml:space="preserve">The State produces At-A-Glance Special Education Profiles for each of the 197 school districts and 35 Early Intervention/Early Childhood Special Education (EI/ECSE) county programs. An additional EI/ECSE profile is produced for the Confederated Tribes of Warm Springs and a combined report card for Sherman, Gilliam, and Wheeler counties. These report cards display the indicators in the Annual Performance Report that are required for public reporting.  </w:t>
      </w:r>
      <w:r w:rsidRPr="00781112">
        <w:rPr>
          <w:rFonts w:cs="Arial"/>
          <w:color w:val="000000" w:themeColor="text1"/>
          <w:szCs w:val="16"/>
        </w:rPr>
        <w:br/>
        <w:t xml:space="preserve"> </w:t>
      </w:r>
      <w:r w:rsidRPr="00781112">
        <w:rPr>
          <w:rFonts w:cs="Arial"/>
          <w:color w:val="000000" w:themeColor="text1"/>
          <w:szCs w:val="16"/>
        </w:rPr>
        <w:br/>
        <w:t xml:space="preserve">The State reports on Indicators B6, B7, B8, and B12 to the public on the EI/ECSE profiles. The State requires that districts distribute the profiles to all parents of students with IFSPs or IEPs. At-A-Glance Special Education Profiles are released to the public within 120 days of the APR submission to the Office of Special Education Programs (OSEP).  </w:t>
      </w:r>
      <w:r w:rsidRPr="00781112">
        <w:rPr>
          <w:rFonts w:cs="Arial"/>
          <w:color w:val="000000" w:themeColor="text1"/>
          <w:szCs w:val="16"/>
        </w:rPr>
        <w:br/>
        <w:t xml:space="preserve"> </w:t>
      </w:r>
      <w:r w:rsidRPr="00781112">
        <w:rPr>
          <w:rFonts w:cs="Arial"/>
          <w:color w:val="000000" w:themeColor="text1"/>
          <w:szCs w:val="16"/>
        </w:rPr>
        <w:br/>
        <w:t xml:space="preserve">The At-A-Glance Special Education Profiles are available alongside the accountability reports required through ESSA for each LEA: At-A-Glance School </w:t>
      </w:r>
      <w:r w:rsidRPr="00781112">
        <w:rPr>
          <w:rFonts w:cs="Arial"/>
          <w:color w:val="000000" w:themeColor="text1"/>
          <w:szCs w:val="16"/>
        </w:rPr>
        <w:lastRenderedPageBreak/>
        <w:t xml:space="preserve">and District Profiles and Accountability Details - Oregon Department of Education. Additional information about the At-A-Glance Special Education Profiles (e.g., technical assistance documents) is available at: https://www.oregon.gov/ode/schools-and-districts/reportcards/SpEdReportCards/Pages/default.aspx. </w:t>
      </w:r>
      <w:r w:rsidRPr="00781112">
        <w:rPr>
          <w:rFonts w:cs="Arial"/>
          <w:color w:val="000000" w:themeColor="text1"/>
          <w:szCs w:val="16"/>
        </w:rPr>
        <w:br/>
      </w:r>
      <w:r w:rsidRPr="00781112">
        <w:rPr>
          <w:rFonts w:cs="Arial"/>
          <w:color w:val="000000" w:themeColor="text1"/>
          <w:szCs w:val="16"/>
        </w:rPr>
        <w:br/>
        <w:t xml:space="preserve">The State’s SPP/APR includes revised targets and is posted at: https://www.oregon.gov/ode/reports-and-data/SpEdReports/Pages/State-Performance-Plan-and-Annual-Performance-Report-for-Special-Education.aspx. </w:t>
      </w:r>
    </w:p>
    <w:p w14:paraId="5231B97D" w14:textId="77777777" w:rsidR="00466646" w:rsidRPr="00781112" w:rsidRDefault="00466646" w:rsidP="007925C6">
      <w:pPr>
        <w:rPr>
          <w:rFonts w:cs="Arial"/>
          <w:color w:val="000000" w:themeColor="text1"/>
          <w:szCs w:val="16"/>
        </w:rPr>
      </w:pPr>
    </w:p>
    <w:p w14:paraId="149B9F3D" w14:textId="71D786D9" w:rsidR="00AA4DAF" w:rsidRPr="00781112" w:rsidRDefault="00684B51" w:rsidP="005B40C0">
      <w:pPr>
        <w:pStyle w:val="Heading3"/>
      </w:pPr>
      <w:r w:rsidRPr="00781112">
        <w:t xml:space="preserve">Intro - </w:t>
      </w:r>
      <w:r w:rsidR="006B0FD9" w:rsidRPr="00781112">
        <w:t xml:space="preserve">Prior FFY Required </w:t>
      </w:r>
      <w:r w:rsidR="00AA4DAF" w:rsidRPr="00781112">
        <w:t xml:space="preserve">Actions </w:t>
      </w:r>
    </w:p>
    <w:p w14:paraId="66CEC339" w14:textId="2D6DB901" w:rsidR="000C24C2" w:rsidRPr="00781112" w:rsidRDefault="002B7490" w:rsidP="000B4AA4">
      <w:pPr>
        <w:rPr>
          <w:rFonts w:cs="Arial"/>
          <w:color w:val="000000" w:themeColor="text1"/>
          <w:szCs w:val="16"/>
        </w:rPr>
      </w:pPr>
      <w:r w:rsidRPr="00781112">
        <w:rPr>
          <w:rFonts w:cs="Arial"/>
          <w:color w:val="000000" w:themeColor="text1"/>
          <w:szCs w:val="16"/>
        </w:rPr>
        <w:t>The State's IDEA Part B determination for both 2023 and 2024 is Needs Assistance. In the State's 2024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2023 SPP/APR submission, due February 1, 2025, on: (1) the technical assistance sources from which the State received assistance; and (2) the actions the State took as a result of that technical assistance.</w:t>
      </w:r>
    </w:p>
    <w:p w14:paraId="6ECA4985" w14:textId="77777777" w:rsidR="008C56EE" w:rsidRPr="00781112" w:rsidRDefault="008C56EE" w:rsidP="000B4AA4">
      <w:pPr>
        <w:rPr>
          <w:rFonts w:cs="Arial"/>
          <w:color w:val="000000" w:themeColor="text1"/>
          <w:szCs w:val="16"/>
        </w:rPr>
      </w:pPr>
    </w:p>
    <w:p w14:paraId="615D9F24" w14:textId="699B9DD5" w:rsidR="009F764E" w:rsidRPr="00781112" w:rsidRDefault="007639D7" w:rsidP="004369B2">
      <w:pPr>
        <w:rPr>
          <w:b/>
          <w:color w:val="000000" w:themeColor="text1"/>
        </w:rPr>
      </w:pPr>
      <w:r>
        <w:rPr>
          <w:b/>
          <w:color w:val="000000" w:themeColor="text1"/>
        </w:rPr>
        <w:t>Response to actions required in FFY 2022 SPP/APR</w:t>
      </w:r>
    </w:p>
    <w:p w14:paraId="3302C1DF" w14:textId="2D8F36EA" w:rsidR="000C24C2" w:rsidRPr="00781112" w:rsidRDefault="002B7490" w:rsidP="000E33D0">
      <w:pPr>
        <w:rPr>
          <w:rFonts w:cs="Arial"/>
          <w:color w:val="000000" w:themeColor="text1"/>
          <w:szCs w:val="16"/>
        </w:rPr>
      </w:pPr>
      <w:r w:rsidRPr="00781112">
        <w:rPr>
          <w:rFonts w:cs="Arial"/>
          <w:color w:val="000000" w:themeColor="text1"/>
          <w:szCs w:val="16"/>
        </w:rPr>
        <w:t xml:space="preserve">During FFY 2023, the State continued partnership with the following OSEP-funded technical assistance centers: CIFR, DaSy, DCASD, IDC, NCSI, and TAESE. The State participated regularly in virtual and in-person communities of practice, guidance writing workshops, and strategic planning sessions with technical assistance partners. Central areas of inquiry and support addressed through these partnerships were student placement in the least restrictive environment, disproportionality in special education, and postsecondary transition. </w:t>
      </w:r>
      <w:r w:rsidRPr="00781112">
        <w:rPr>
          <w:rFonts w:cs="Arial"/>
          <w:color w:val="000000" w:themeColor="text1"/>
          <w:szCs w:val="16"/>
        </w:rPr>
        <w:br/>
      </w:r>
      <w:r w:rsidRPr="00781112">
        <w:rPr>
          <w:rFonts w:cs="Arial"/>
          <w:color w:val="000000" w:themeColor="text1"/>
          <w:szCs w:val="16"/>
        </w:rPr>
        <w:br/>
        <w:t xml:space="preserve">Outputs of these partnerships included actions to revise documentation of State policies and procedures related to monitoring the implementation of IDEA and general supervision, including fiscal monitoring activities. The State also revised the annual LEA determination process. Additionally, the State enhanced systems for ensuring correction of 100% of student and systems level noncompliance in accordance with OSEP’s revisions in Memo 23-01. </w:t>
      </w:r>
    </w:p>
    <w:p w14:paraId="4A252D01" w14:textId="7879CF0B" w:rsidR="00CE6EB0" w:rsidRPr="00781112" w:rsidRDefault="00684B51" w:rsidP="005B40C0">
      <w:pPr>
        <w:pStyle w:val="Heading3"/>
      </w:pPr>
      <w:r w:rsidRPr="00781112">
        <w:t xml:space="preserve">Intro - </w:t>
      </w:r>
      <w:r w:rsidR="00CE6EB0" w:rsidRPr="00781112">
        <w:t>OSEP Response</w:t>
      </w:r>
    </w:p>
    <w:p w14:paraId="75883DD0" w14:textId="26E7A768" w:rsidR="000C24C2" w:rsidRPr="00781112" w:rsidRDefault="002B7490" w:rsidP="001F692C">
      <w:pPr>
        <w:rPr>
          <w:rFonts w:cs="Arial"/>
          <w:color w:val="000000" w:themeColor="text1"/>
          <w:szCs w:val="16"/>
        </w:rPr>
      </w:pPr>
      <w:r w:rsidRPr="00781112">
        <w:rPr>
          <w:rFonts w:cs="Arial"/>
          <w:color w:val="000000" w:themeColor="text1"/>
          <w:szCs w:val="16"/>
        </w:rPr>
        <w:t>The State's determinations for both 2023 and 2024 were Needs Assistance. Pursuant to section 616(e)(1) of the IDEA and 34 C.F.R. § 300.604(a), OSEP's June 21, 2024 determination letter informed the State that it must report with its FFY 2023 SPP/APR submission, due February 3, 2025, on: (1) the technical assistance sources from which the State received assistance; and (2) the actions the State took as a result of that technical assistance. The State provided the required information.</w:t>
      </w:r>
    </w:p>
    <w:p w14:paraId="53B509C2" w14:textId="7458BB00" w:rsidR="00CE6EB0" w:rsidRPr="00781112" w:rsidRDefault="00684B51" w:rsidP="005B40C0">
      <w:pPr>
        <w:pStyle w:val="Heading3"/>
      </w:pPr>
      <w:r w:rsidRPr="00781112">
        <w:t>Intro - Required Actions</w:t>
      </w:r>
    </w:p>
    <w:p w14:paraId="4593FA49" w14:textId="4CE6B2B1" w:rsidR="000C24C2" w:rsidRPr="00781112" w:rsidRDefault="002B7490" w:rsidP="001F692C">
      <w:pPr>
        <w:rPr>
          <w:rFonts w:cs="Arial"/>
          <w:color w:val="000000" w:themeColor="text1"/>
          <w:szCs w:val="16"/>
        </w:rPr>
      </w:pPr>
      <w:r w:rsidRPr="00781112">
        <w:rPr>
          <w:rFonts w:cs="Arial"/>
          <w:color w:val="000000" w:themeColor="text1"/>
          <w:szCs w:val="16"/>
        </w:rPr>
        <w:t>The State's IDEA Part B determination for both 2024 and 2025 is Needs Assistance. In the State's 2025 determination letter, the Department advised the State of available sources of technical assistance, including OSEP-funded technical assistance centers, and required the State to work with appropriate entities. The Department directed the State to determine the results elements and/or compliance indicators, and improvement strategies, on which it will focus its use of available technical assistance, in order to improve its performance. The State must report, with its FFY 2024 SPP/APR submission, due February 1, 2026, on: (1) the technical assistance sources from which the State received assistance; and (2) the actions the State took as a result of that technical assistance.</w:t>
      </w:r>
    </w:p>
    <w:p w14:paraId="42393C4C"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8F1108C" w14:textId="1387D8AF" w:rsidR="00EB0146" w:rsidRPr="00781112" w:rsidRDefault="00EB0146" w:rsidP="005B40C0">
      <w:pPr>
        <w:pStyle w:val="Heading2"/>
      </w:pPr>
      <w:r w:rsidRPr="00781112">
        <w:rPr>
          <w:color w:val="000000" w:themeColor="text1"/>
          <w:sz w:val="22"/>
        </w:rPr>
        <w:lastRenderedPageBreak/>
        <w:t>Indicator 1: Graduation</w:t>
      </w:r>
      <w:bookmarkEnd w:id="1"/>
      <w:bookmarkEnd w:id="2"/>
    </w:p>
    <w:p w14:paraId="5D906D37" w14:textId="78FAD2CB" w:rsidR="009A62A4" w:rsidRPr="002C274F" w:rsidRDefault="009A62A4" w:rsidP="002C274F">
      <w:pPr>
        <w:rPr>
          <w:b/>
          <w:bCs/>
          <w:sz w:val="20"/>
          <w:szCs w:val="20"/>
        </w:rPr>
      </w:pPr>
      <w:r w:rsidRPr="002C274F">
        <w:rPr>
          <w:b/>
          <w:bCs/>
          <w:sz w:val="20"/>
          <w:szCs w:val="20"/>
        </w:rPr>
        <w:t>Instructions and Measurement</w:t>
      </w:r>
    </w:p>
    <w:p w14:paraId="13149CC2" w14:textId="77777777" w:rsidR="004B782D" w:rsidRPr="00781112" w:rsidRDefault="004B782D" w:rsidP="004369B2">
      <w:pPr>
        <w:rPr>
          <w:color w:val="000000" w:themeColor="text1"/>
        </w:rPr>
      </w:pPr>
      <w:bookmarkStart w:id="4" w:name="_Toc392159259"/>
      <w:r w:rsidRPr="00781112">
        <w:rPr>
          <w:b/>
          <w:color w:val="000000" w:themeColor="text1"/>
        </w:rPr>
        <w:t>Monitoring Priority:</w:t>
      </w:r>
      <w:r w:rsidRPr="00781112">
        <w:rPr>
          <w:color w:val="000000" w:themeColor="text1"/>
        </w:rPr>
        <w:t xml:space="preserve"> FAPE in the LRE </w:t>
      </w:r>
    </w:p>
    <w:p w14:paraId="18CE8669" w14:textId="0A91E220" w:rsidR="00531ED7" w:rsidRPr="00781112" w:rsidRDefault="004B782D" w:rsidP="009340E3">
      <w:pPr>
        <w:rPr>
          <w:color w:val="000000" w:themeColor="text1"/>
        </w:rPr>
      </w:pPr>
      <w:r w:rsidRPr="00781112">
        <w:rPr>
          <w:b/>
          <w:color w:val="000000" w:themeColor="text1"/>
        </w:rPr>
        <w:t>Results indicator:</w:t>
      </w:r>
      <w:r w:rsidRPr="00781112">
        <w:rPr>
          <w:color w:val="000000" w:themeColor="text1"/>
        </w:rPr>
        <w:t xml:space="preserve"> Percent of youth with</w:t>
      </w:r>
      <w:r w:rsidR="005F5514" w:rsidRPr="00781112">
        <w:rPr>
          <w:color w:val="000000" w:themeColor="text1"/>
        </w:rPr>
        <w:t xml:space="preserve"> Individualized Education </w:t>
      </w:r>
      <w:r w:rsidR="00DA7FAE" w:rsidRPr="00781112">
        <w:rPr>
          <w:color w:val="000000" w:themeColor="text1"/>
        </w:rPr>
        <w:t>Programs</w:t>
      </w:r>
      <w:r w:rsidRPr="00781112">
        <w:rPr>
          <w:color w:val="000000" w:themeColor="text1"/>
        </w:rPr>
        <w:t xml:space="preserve"> </w:t>
      </w:r>
      <w:r w:rsidR="005F5514" w:rsidRPr="00781112">
        <w:rPr>
          <w:color w:val="000000" w:themeColor="text1"/>
        </w:rPr>
        <w:t>(</w:t>
      </w:r>
      <w:r w:rsidRPr="00781112">
        <w:rPr>
          <w:color w:val="000000" w:themeColor="text1"/>
        </w:rPr>
        <w:t>IEPs</w:t>
      </w:r>
      <w:r w:rsidR="005F5514" w:rsidRPr="00781112">
        <w:rPr>
          <w:color w:val="000000" w:themeColor="text1"/>
        </w:rPr>
        <w:t>)</w:t>
      </w:r>
      <w:r w:rsidRPr="00781112">
        <w:rPr>
          <w:color w:val="000000" w:themeColor="text1"/>
        </w:rPr>
        <w:t xml:space="preserve"> </w:t>
      </w:r>
      <w:r w:rsidR="003068D4" w:rsidRPr="00781112">
        <w:rPr>
          <w:color w:val="000000" w:themeColor="text1"/>
        </w:rPr>
        <w:t>exiting</w:t>
      </w:r>
      <w:r w:rsidR="00EF4CAF" w:rsidRPr="00781112">
        <w:rPr>
          <w:color w:val="000000" w:themeColor="text1"/>
        </w:rPr>
        <w:t xml:space="preserve"> </w:t>
      </w:r>
      <w:r w:rsidR="00EF4CAF" w:rsidRPr="00781112">
        <w:rPr>
          <w:rFonts w:cs="Arial"/>
          <w:szCs w:val="16"/>
        </w:rPr>
        <w:t>special education due to graduating</w:t>
      </w:r>
      <w:r w:rsidR="003068D4" w:rsidRPr="00781112">
        <w:rPr>
          <w:color w:val="000000" w:themeColor="text1"/>
        </w:rPr>
        <w:t xml:space="preserve"> </w:t>
      </w:r>
      <w:r w:rsidRPr="00781112">
        <w:rPr>
          <w:color w:val="000000" w:themeColor="text1"/>
        </w:rPr>
        <w:t>with a regular</w:t>
      </w:r>
      <w:r w:rsidR="005F5514" w:rsidRPr="00781112">
        <w:rPr>
          <w:color w:val="000000" w:themeColor="text1"/>
        </w:rPr>
        <w:t xml:space="preserve"> high school diploma</w:t>
      </w:r>
      <w:r w:rsidRPr="00781112">
        <w:rPr>
          <w:color w:val="000000" w:themeColor="text1"/>
        </w:rPr>
        <w:t>.</w:t>
      </w:r>
      <w:r w:rsidR="00552927" w:rsidRPr="00781112">
        <w:rPr>
          <w:color w:val="000000" w:themeColor="text1"/>
        </w:rPr>
        <w:t xml:space="preserve"> </w:t>
      </w:r>
      <w:r w:rsidRPr="00781112">
        <w:rPr>
          <w:color w:val="000000" w:themeColor="text1"/>
        </w:rPr>
        <w:t>(20 U.S.C. 1416 (a)(3)(A))</w:t>
      </w:r>
    </w:p>
    <w:p w14:paraId="6446BBA4" w14:textId="09E75AD8" w:rsidR="005F5514" w:rsidRPr="00781112" w:rsidRDefault="00460298" w:rsidP="004369B2">
      <w:pPr>
        <w:rPr>
          <w:rFonts w:cs="Arial"/>
          <w:bCs/>
          <w:color w:val="000000" w:themeColor="text1"/>
          <w:szCs w:val="16"/>
        </w:rPr>
      </w:pPr>
      <w:r w:rsidRPr="00781112">
        <w:rPr>
          <w:rFonts w:cs="Arial"/>
          <w:b/>
          <w:bCs/>
          <w:color w:val="000000" w:themeColor="text1"/>
          <w:szCs w:val="16"/>
        </w:rPr>
        <w:t>Data Source</w:t>
      </w:r>
    </w:p>
    <w:p w14:paraId="08997539" w14:textId="281A6713" w:rsidR="005F5514" w:rsidRPr="00781112" w:rsidRDefault="00460298" w:rsidP="003A6167">
      <w:pPr>
        <w:rPr>
          <w:rFonts w:cs="Arial"/>
          <w:color w:val="000000" w:themeColor="text1"/>
          <w:szCs w:val="16"/>
        </w:rPr>
      </w:pPr>
      <w:r w:rsidRPr="00781112">
        <w:rPr>
          <w:rFonts w:cs="Arial"/>
          <w:color w:val="000000" w:themeColor="text1"/>
          <w:szCs w:val="16"/>
          <w:shd w:val="clear" w:color="auto" w:fill="FFFFFF"/>
        </w:rPr>
        <w:t xml:space="preserve">Same data as used for reporting to the Department </w:t>
      </w:r>
      <w:r w:rsidR="001A0C28" w:rsidRPr="00781112">
        <w:rPr>
          <w:rFonts w:cs="Arial"/>
          <w:szCs w:val="16"/>
          <w:shd w:val="clear" w:color="auto" w:fill="FFFFFF"/>
        </w:rPr>
        <w:t>under section 618 of the Individuals with Disabilities Education Act (IDEA), using the definitions in ED</w:t>
      </w:r>
      <w:r w:rsidR="001A0C28" w:rsidRPr="00BA3DBE">
        <w:rPr>
          <w:rFonts w:cs="Arial"/>
          <w:i/>
          <w:iCs/>
          <w:szCs w:val="16"/>
          <w:shd w:val="clear" w:color="auto" w:fill="FFFFFF"/>
        </w:rPr>
        <w:t>Facts</w:t>
      </w:r>
      <w:r w:rsidR="001A0C28" w:rsidRPr="00781112">
        <w:rPr>
          <w:rFonts w:cs="Arial"/>
          <w:szCs w:val="16"/>
          <w:shd w:val="clear" w:color="auto" w:fill="FFFFFF"/>
        </w:rPr>
        <w:t xml:space="preserve"> file specification FS009</w:t>
      </w:r>
      <w:r w:rsidRPr="00781112">
        <w:rPr>
          <w:rFonts w:cs="Arial"/>
          <w:color w:val="000000" w:themeColor="text1"/>
          <w:szCs w:val="16"/>
          <w:shd w:val="clear" w:color="auto" w:fill="FFFFFF"/>
        </w:rPr>
        <w:t>.</w:t>
      </w:r>
    </w:p>
    <w:p w14:paraId="453C54CF" w14:textId="0B94BC61" w:rsidR="005F5514" w:rsidRPr="00781112" w:rsidRDefault="005F5514" w:rsidP="004369B2">
      <w:pPr>
        <w:rPr>
          <w:color w:val="000000" w:themeColor="text1"/>
        </w:rPr>
      </w:pPr>
      <w:r w:rsidRPr="00781112">
        <w:rPr>
          <w:b/>
          <w:color w:val="000000" w:themeColor="text1"/>
        </w:rPr>
        <w:t>Measurement</w:t>
      </w:r>
    </w:p>
    <w:p w14:paraId="368E5D32" w14:textId="2D879251" w:rsidR="005F5514" w:rsidRPr="00781112" w:rsidRDefault="005F5514" w:rsidP="003A6167">
      <w:pPr>
        <w:rPr>
          <w:rFonts w:cs="Arial"/>
          <w:color w:val="000000" w:themeColor="text1"/>
          <w:szCs w:val="16"/>
        </w:rPr>
      </w:pPr>
      <w:r w:rsidRPr="00781112">
        <w:rPr>
          <w:rFonts w:cs="Arial"/>
          <w:color w:val="000000" w:themeColor="text1"/>
          <w:szCs w:val="16"/>
          <w:shd w:val="clear" w:color="auto" w:fill="FFFFFF"/>
        </w:rPr>
        <w:t xml:space="preserve">States </w:t>
      </w:r>
      <w:r w:rsidR="0084727C" w:rsidRPr="00781112">
        <w:rPr>
          <w:rFonts w:cs="Arial"/>
          <w:szCs w:val="16"/>
          <w:shd w:val="clear" w:color="auto" w:fill="FFFFFF"/>
        </w:rPr>
        <w:t xml:space="preserve">must report a percentage using the number of youth with IEPs (ages 14-21) who exited special education due to graduating with a regular high school diploma in the numerator and the number of all youth with IEPs who </w:t>
      </w:r>
      <w:r w:rsidR="00CB505C" w:rsidRPr="00781112">
        <w:rPr>
          <w:rFonts w:cs="Arial"/>
          <w:szCs w:val="16"/>
          <w:shd w:val="clear" w:color="auto" w:fill="FFFFFF"/>
        </w:rPr>
        <w:t>exited</w:t>
      </w:r>
      <w:r w:rsidR="0084727C" w:rsidRPr="00781112">
        <w:rPr>
          <w:rFonts w:cs="Arial"/>
          <w:szCs w:val="16"/>
          <w:shd w:val="clear" w:color="auto" w:fill="FFFFFF"/>
        </w:rPr>
        <w:t xml:space="preserve"> high school (ages 14-21) in the denominator</w:t>
      </w:r>
      <w:r w:rsidRPr="00781112">
        <w:rPr>
          <w:rFonts w:cs="Arial"/>
          <w:color w:val="000000" w:themeColor="text1"/>
          <w:szCs w:val="16"/>
          <w:shd w:val="clear" w:color="auto" w:fill="FFFFFF"/>
        </w:rPr>
        <w:t>.</w:t>
      </w:r>
    </w:p>
    <w:p w14:paraId="3C528AFB" w14:textId="76079BAD" w:rsidR="005F5514" w:rsidRPr="00781112" w:rsidRDefault="005F5514" w:rsidP="004369B2">
      <w:pPr>
        <w:rPr>
          <w:color w:val="000000" w:themeColor="text1"/>
        </w:rPr>
      </w:pPr>
      <w:r w:rsidRPr="00781112">
        <w:rPr>
          <w:b/>
          <w:color w:val="000000" w:themeColor="text1"/>
        </w:rPr>
        <w:t>Instructions</w:t>
      </w:r>
    </w:p>
    <w:p w14:paraId="675BD796" w14:textId="6D333C0C" w:rsidR="005F5514" w:rsidRPr="00781112" w:rsidRDefault="005F5514" w:rsidP="004369B2">
      <w:pPr>
        <w:rPr>
          <w:i/>
          <w:color w:val="000000" w:themeColor="text1"/>
        </w:rPr>
      </w:pPr>
      <w:r w:rsidRPr="00781112">
        <w:rPr>
          <w:i/>
          <w:color w:val="000000" w:themeColor="text1"/>
        </w:rPr>
        <w:t>Sampling is not allowed.</w:t>
      </w:r>
    </w:p>
    <w:p w14:paraId="496A7DDE" w14:textId="56F504E4" w:rsidR="005F5514" w:rsidRPr="00781112" w:rsidRDefault="00815B9B" w:rsidP="003A6167">
      <w:pPr>
        <w:rPr>
          <w:rFonts w:cs="Arial"/>
          <w:color w:val="000000" w:themeColor="text1"/>
          <w:szCs w:val="16"/>
        </w:rPr>
      </w:pPr>
      <w:r w:rsidRPr="00781112">
        <w:t xml:space="preserve">Data for this indicator are “lag” data. </w:t>
      </w:r>
      <w:r w:rsidR="005F5514" w:rsidRPr="00781112">
        <w:rPr>
          <w:rFonts w:cs="Arial"/>
          <w:color w:val="000000" w:themeColor="text1"/>
          <w:szCs w:val="16"/>
        </w:rPr>
        <w:t xml:space="preserve">Describe the results of the State’s examination of the data for the year before the reporting year (e.g., for </w:t>
      </w:r>
      <w:r w:rsidR="007639D7">
        <w:rPr>
          <w:rFonts w:cs="Arial"/>
          <w:color w:val="000000" w:themeColor="text1"/>
          <w:szCs w:val="16"/>
        </w:rPr>
        <w:t>the FFY 202</w:t>
      </w:r>
      <w:r w:rsidR="000D428C">
        <w:rPr>
          <w:rFonts w:cs="Arial"/>
          <w:color w:val="000000" w:themeColor="text1"/>
          <w:szCs w:val="16"/>
        </w:rPr>
        <w:t>3</w:t>
      </w:r>
      <w:r w:rsidR="007639D7">
        <w:rPr>
          <w:rFonts w:cs="Arial"/>
          <w:color w:val="000000" w:themeColor="text1"/>
          <w:szCs w:val="16"/>
        </w:rPr>
        <w:t xml:space="preserve"> SPP/APR, use data from 202</w:t>
      </w:r>
      <w:r w:rsidR="000D428C">
        <w:rPr>
          <w:rFonts w:cs="Arial"/>
          <w:color w:val="000000" w:themeColor="text1"/>
          <w:szCs w:val="16"/>
        </w:rPr>
        <w:t>2</w:t>
      </w:r>
      <w:r w:rsidR="007639D7">
        <w:rPr>
          <w:rFonts w:cs="Arial"/>
          <w:color w:val="000000" w:themeColor="text1"/>
          <w:szCs w:val="16"/>
        </w:rPr>
        <w:t>-202</w:t>
      </w:r>
      <w:r w:rsidR="000D428C">
        <w:rPr>
          <w:rFonts w:cs="Arial"/>
          <w:color w:val="000000" w:themeColor="text1"/>
          <w:szCs w:val="16"/>
        </w:rPr>
        <w:t>3</w:t>
      </w:r>
      <w:r w:rsidR="005F5514" w:rsidRPr="00781112">
        <w:rPr>
          <w:rFonts w:cs="Arial"/>
          <w:color w:val="000000" w:themeColor="text1"/>
          <w:szCs w:val="16"/>
        </w:rPr>
        <w:t xml:space="preserve">), and compare the results to the target. </w:t>
      </w:r>
    </w:p>
    <w:p w14:paraId="7E94BD74" w14:textId="77777777" w:rsidR="003069AE" w:rsidRPr="00781112" w:rsidRDefault="003069AE" w:rsidP="003069AE">
      <w:r w:rsidRPr="00781112">
        <w:t xml:space="preserve">Include in the denominator the following exiting categories: (a) graduated with a regular high school diploma; (b) graduated with a state-defined alternate diploma; (c) received a certificate; (d) reached maximum age; or (e) dropped out. </w:t>
      </w:r>
    </w:p>
    <w:p w14:paraId="6D62B3B3" w14:textId="4F597FD3" w:rsidR="003069AE" w:rsidRPr="00781112" w:rsidRDefault="003069AE" w:rsidP="003A6167">
      <w:r w:rsidRPr="00781112">
        <w:t xml:space="preserve">Do not include in the denominator the number of youths with IEPs who exited special education due to: (a) transferring to regular education; or (b) who moved but are known to be continuing in an educational program. </w:t>
      </w:r>
    </w:p>
    <w:p w14:paraId="156B8877" w14:textId="52998CDB" w:rsidR="005F5514" w:rsidRPr="00781112" w:rsidRDefault="005F5514" w:rsidP="003A6167">
      <w:pPr>
        <w:rPr>
          <w:rFonts w:cs="Arial"/>
          <w:color w:val="000000" w:themeColor="text1"/>
          <w:szCs w:val="16"/>
        </w:rPr>
      </w:pPr>
      <w:r w:rsidRPr="00781112">
        <w:rPr>
          <w:rFonts w:cs="Arial"/>
          <w:color w:val="000000" w:themeColor="text1"/>
          <w:szCs w:val="16"/>
        </w:rPr>
        <w:t>Provide a narrative that describes the conditions youth must meet in order to graduate with a regular high school diploma. If the conditions that youth with IEPs must meet in order to graduate with a regular high school diploma are different, please explain.</w:t>
      </w:r>
    </w:p>
    <w:p w14:paraId="17C36F54" w14:textId="0B0AD4FB" w:rsidR="00B34EE6" w:rsidRPr="00781112" w:rsidRDefault="00B0742B" w:rsidP="005B40C0">
      <w:pPr>
        <w:pStyle w:val="Heading3"/>
      </w:pPr>
      <w:r w:rsidRPr="00781112">
        <w:t>1</w:t>
      </w:r>
      <w:r w:rsidR="00684B51" w:rsidRPr="00781112">
        <w:t xml:space="preserve"> </w:t>
      </w:r>
      <w:r w:rsidRPr="00781112">
        <w:t xml:space="preserve">- </w:t>
      </w:r>
      <w:r w:rsidR="007742F1" w:rsidRPr="00781112">
        <w:t xml:space="preserve">Indicator </w:t>
      </w:r>
      <w:r w:rsidR="00B34EE6" w:rsidRPr="00781112">
        <w:t xml:space="preserve">Data </w:t>
      </w:r>
    </w:p>
    <w:bookmarkEnd w:id="4"/>
    <w:p w14:paraId="7BB99CB8" w14:textId="21DBB15E" w:rsidR="005E59DB" w:rsidRPr="00781112" w:rsidRDefault="005E59DB" w:rsidP="00B65C2C">
      <w:pPr>
        <w:rPr>
          <w:b/>
          <w:color w:val="000000" w:themeColor="text1"/>
        </w:rPr>
      </w:pPr>
      <w:r w:rsidRPr="00781112">
        <w:rPr>
          <w:b/>
          <w:color w:val="000000" w:themeColor="text1"/>
        </w:rPr>
        <w:t>Historical Data</w:t>
      </w:r>
      <w:r w:rsidR="00A6012B">
        <w:rPr>
          <w:rStyle w:val="FootnoteReference"/>
          <w:b/>
          <w:color w:val="000000" w:themeColor="text1"/>
        </w:rPr>
        <w:footnoteReference w:id="2"/>
      </w:r>
    </w:p>
    <w:tbl>
      <w:tblPr>
        <w:tblStyle w:val="TableGrid"/>
        <w:tblW w:w="0" w:type="auto"/>
        <w:tblLayout w:type="fixed"/>
        <w:tblLook w:val="04A0" w:firstRow="1" w:lastRow="0" w:firstColumn="1" w:lastColumn="0" w:noHBand="0" w:noVBand="1"/>
        <w:tblCaption w:val="B01BASELINEDATA"/>
      </w:tblPr>
      <w:tblGrid>
        <w:gridCol w:w="1797"/>
        <w:gridCol w:w="1798"/>
      </w:tblGrid>
      <w:tr w:rsidR="008F3F33" w:rsidRPr="00781112" w14:paraId="58873103" w14:textId="77777777" w:rsidTr="0033429D">
        <w:trPr>
          <w:trHeight w:val="311"/>
          <w:tblHeader/>
        </w:trPr>
        <w:tc>
          <w:tcPr>
            <w:tcW w:w="1797" w:type="dxa"/>
          </w:tcPr>
          <w:p w14:paraId="3521E7AE" w14:textId="2CED297B" w:rsidR="008F3F33" w:rsidRPr="00781112" w:rsidRDefault="008F3F33" w:rsidP="0033429D">
            <w:pPr>
              <w:jc w:val="center"/>
              <w:rPr>
                <w:b/>
                <w:color w:val="000000" w:themeColor="text1"/>
              </w:rPr>
            </w:pPr>
            <w:r w:rsidRPr="00781112">
              <w:rPr>
                <w:rFonts w:cs="Arial"/>
                <w:b/>
                <w:color w:val="000000" w:themeColor="text1"/>
                <w:szCs w:val="16"/>
              </w:rPr>
              <w:t>Baseline Year</w:t>
            </w:r>
          </w:p>
        </w:tc>
        <w:tc>
          <w:tcPr>
            <w:tcW w:w="1798" w:type="dxa"/>
          </w:tcPr>
          <w:p w14:paraId="70C1DEA4" w14:textId="362D12BF" w:rsidR="008F3F33" w:rsidRPr="00781112" w:rsidRDefault="008F3F33" w:rsidP="0033429D">
            <w:pPr>
              <w:jc w:val="center"/>
              <w:rPr>
                <w:b/>
                <w:color w:val="000000" w:themeColor="text1"/>
              </w:rPr>
            </w:pPr>
            <w:r w:rsidRPr="00781112">
              <w:rPr>
                <w:b/>
                <w:color w:val="000000" w:themeColor="text1"/>
              </w:rPr>
              <w:t>Baseline Data</w:t>
            </w:r>
          </w:p>
        </w:tc>
      </w:tr>
      <w:tr w:rsidR="008F3F33" w:rsidRPr="00781112" w14:paraId="1079C891" w14:textId="77777777" w:rsidTr="0033429D">
        <w:trPr>
          <w:trHeight w:val="311"/>
        </w:trPr>
        <w:tc>
          <w:tcPr>
            <w:tcW w:w="1797" w:type="dxa"/>
            <w:vAlign w:val="center"/>
          </w:tcPr>
          <w:p w14:paraId="55702E9C" w14:textId="3300C91F" w:rsidR="008F3F33" w:rsidRPr="00781112" w:rsidRDefault="008F3F33" w:rsidP="0033429D">
            <w:pPr>
              <w:jc w:val="center"/>
              <w:rPr>
                <w:b/>
                <w:color w:val="000000" w:themeColor="text1"/>
              </w:rPr>
            </w:pPr>
            <w:r w:rsidRPr="00781112">
              <w:rPr>
                <w:rFonts w:cs="Arial"/>
                <w:color w:val="000000" w:themeColor="text1"/>
                <w:szCs w:val="16"/>
              </w:rPr>
              <w:t>2020</w:t>
            </w:r>
          </w:p>
        </w:tc>
        <w:tc>
          <w:tcPr>
            <w:tcW w:w="1798" w:type="dxa"/>
            <w:vAlign w:val="center"/>
          </w:tcPr>
          <w:p w14:paraId="4BB8ED70" w14:textId="40307D5C" w:rsidR="008F3F33" w:rsidRPr="00781112" w:rsidRDefault="008F3F33" w:rsidP="0033429D">
            <w:pPr>
              <w:jc w:val="center"/>
              <w:rPr>
                <w:b/>
                <w:color w:val="000000" w:themeColor="text1"/>
              </w:rPr>
            </w:pPr>
            <w:r w:rsidRPr="00781112">
              <w:rPr>
                <w:rFonts w:cs="Arial"/>
                <w:color w:val="000000" w:themeColor="text1"/>
                <w:szCs w:val="16"/>
              </w:rPr>
              <w:t>75.37%</w:t>
            </w:r>
          </w:p>
        </w:tc>
      </w:tr>
    </w:tbl>
    <w:p w14:paraId="04BDDA65" w14:textId="77777777" w:rsidR="008F3F33" w:rsidRPr="00781112" w:rsidRDefault="008F3F33" w:rsidP="00B65C2C">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HISTDATA"/>
      </w:tblPr>
      <w:tblGrid>
        <w:gridCol w:w="1798"/>
        <w:gridCol w:w="1798"/>
        <w:gridCol w:w="1798"/>
        <w:gridCol w:w="1798"/>
        <w:gridCol w:w="1798"/>
        <w:gridCol w:w="1800"/>
      </w:tblGrid>
      <w:tr w:rsidR="005C29F8" w:rsidRPr="00781112" w14:paraId="6EF7C6D0" w14:textId="1CEAEBAE" w:rsidTr="00087EB9">
        <w:trPr>
          <w:trHeight w:val="350"/>
        </w:trPr>
        <w:tc>
          <w:tcPr>
            <w:tcW w:w="833" w:type="pct"/>
            <w:tcBorders>
              <w:bottom w:val="single" w:sz="4" w:space="0" w:color="auto"/>
            </w:tcBorders>
            <w:shd w:val="clear" w:color="auto" w:fill="auto"/>
          </w:tcPr>
          <w:p w14:paraId="4483C39A" w14:textId="77777777" w:rsidR="007F24E2" w:rsidRPr="00781112" w:rsidRDefault="007F24E2" w:rsidP="00CD2DF5">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0DF3D5A6" w14:textId="2DA8A75D" w:rsidR="007F24E2" w:rsidRPr="00781112" w:rsidRDefault="002B7490" w:rsidP="00894709">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5E57E797" w14:textId="6309195B" w:rsidR="007F24E2" w:rsidRPr="00781112" w:rsidRDefault="002B7490" w:rsidP="00894709">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6D5C8516" w14:textId="2F8BF9E2" w:rsidR="007F24E2" w:rsidRPr="00781112" w:rsidRDefault="002B7490" w:rsidP="00894709">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116A9927" w14:textId="1D308C81" w:rsidR="007F24E2" w:rsidRPr="00781112" w:rsidRDefault="002B7490" w:rsidP="00894709">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41821FE5" w14:textId="02E4CA44" w:rsidR="007F24E2" w:rsidRPr="00781112" w:rsidRDefault="002B7490" w:rsidP="00894709">
            <w:pPr>
              <w:jc w:val="center"/>
              <w:rPr>
                <w:rFonts w:cs="Arial"/>
                <w:b/>
                <w:color w:val="000000" w:themeColor="text1"/>
                <w:szCs w:val="16"/>
              </w:rPr>
            </w:pPr>
            <w:r w:rsidRPr="00781112">
              <w:rPr>
                <w:rFonts w:cs="Arial"/>
                <w:b/>
                <w:color w:val="000000" w:themeColor="text1"/>
                <w:szCs w:val="16"/>
              </w:rPr>
              <w:t>2022</w:t>
            </w:r>
          </w:p>
        </w:tc>
      </w:tr>
      <w:tr w:rsidR="005C29F8" w:rsidRPr="00781112" w14:paraId="69850889" w14:textId="5FBD9A23" w:rsidTr="0033429D">
        <w:trPr>
          <w:trHeight w:val="357"/>
        </w:trPr>
        <w:tc>
          <w:tcPr>
            <w:tcW w:w="833" w:type="pct"/>
            <w:shd w:val="clear" w:color="auto" w:fill="auto"/>
            <w:vAlign w:val="center"/>
          </w:tcPr>
          <w:p w14:paraId="329304B6" w14:textId="1D4FEA84" w:rsidR="007F24E2" w:rsidRPr="00781112" w:rsidRDefault="007F24E2"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vAlign w:val="center"/>
          </w:tcPr>
          <w:p w14:paraId="4D288A5D" w14:textId="1DE49DCD" w:rsidR="007F24E2" w:rsidRPr="00781112" w:rsidRDefault="002B7490" w:rsidP="00E0321D">
            <w:pPr>
              <w:jc w:val="center"/>
              <w:rPr>
                <w:rFonts w:cs="Arial"/>
                <w:color w:val="000000" w:themeColor="text1"/>
                <w:szCs w:val="16"/>
              </w:rPr>
            </w:pPr>
            <w:r w:rsidRPr="00781112">
              <w:rPr>
                <w:rFonts w:cs="Arial"/>
                <w:color w:val="000000" w:themeColor="text1"/>
                <w:szCs w:val="16"/>
              </w:rPr>
              <w:t>84.00%</w:t>
            </w:r>
          </w:p>
        </w:tc>
        <w:tc>
          <w:tcPr>
            <w:tcW w:w="833" w:type="pct"/>
            <w:shd w:val="clear" w:color="auto" w:fill="auto"/>
            <w:vAlign w:val="center"/>
          </w:tcPr>
          <w:p w14:paraId="2751003B" w14:textId="66867EC3" w:rsidR="007F24E2" w:rsidRPr="00781112" w:rsidRDefault="002B7490" w:rsidP="00E0321D">
            <w:pPr>
              <w:jc w:val="center"/>
              <w:rPr>
                <w:rFonts w:cs="Arial"/>
                <w:color w:val="000000" w:themeColor="text1"/>
                <w:szCs w:val="16"/>
              </w:rPr>
            </w:pPr>
            <w:r w:rsidRPr="00781112">
              <w:rPr>
                <w:rFonts w:cs="Arial"/>
                <w:color w:val="000000" w:themeColor="text1"/>
                <w:szCs w:val="16"/>
              </w:rPr>
              <w:t>86.00%</w:t>
            </w:r>
          </w:p>
        </w:tc>
        <w:tc>
          <w:tcPr>
            <w:tcW w:w="833" w:type="pct"/>
            <w:shd w:val="clear" w:color="auto" w:fill="auto"/>
            <w:vAlign w:val="center"/>
          </w:tcPr>
          <w:p w14:paraId="6982A73B" w14:textId="50B9EF02" w:rsidR="007F24E2" w:rsidRPr="00781112" w:rsidRDefault="002B7490" w:rsidP="00E0321D">
            <w:pPr>
              <w:jc w:val="center"/>
              <w:rPr>
                <w:rFonts w:cs="Arial"/>
                <w:color w:val="000000" w:themeColor="text1"/>
                <w:szCs w:val="16"/>
              </w:rPr>
            </w:pPr>
            <w:r w:rsidRPr="00781112">
              <w:rPr>
                <w:rFonts w:cs="Arial"/>
                <w:color w:val="000000" w:themeColor="text1"/>
                <w:szCs w:val="16"/>
              </w:rPr>
              <w:t>75.37%</w:t>
            </w:r>
          </w:p>
        </w:tc>
        <w:tc>
          <w:tcPr>
            <w:tcW w:w="833" w:type="pct"/>
            <w:shd w:val="clear" w:color="auto" w:fill="auto"/>
            <w:vAlign w:val="center"/>
          </w:tcPr>
          <w:p w14:paraId="54566D6E" w14:textId="0812F659" w:rsidR="007F24E2" w:rsidRPr="00781112" w:rsidRDefault="002B7490" w:rsidP="00E0321D">
            <w:pPr>
              <w:jc w:val="center"/>
              <w:rPr>
                <w:rFonts w:cs="Arial"/>
                <w:color w:val="000000" w:themeColor="text1"/>
                <w:szCs w:val="16"/>
              </w:rPr>
            </w:pPr>
            <w:r w:rsidRPr="00781112">
              <w:rPr>
                <w:rFonts w:cs="Arial"/>
                <w:color w:val="000000" w:themeColor="text1"/>
                <w:szCs w:val="16"/>
              </w:rPr>
              <w:t>80.00%</w:t>
            </w:r>
          </w:p>
        </w:tc>
        <w:tc>
          <w:tcPr>
            <w:tcW w:w="834" w:type="pct"/>
            <w:shd w:val="clear" w:color="auto" w:fill="auto"/>
            <w:vAlign w:val="center"/>
          </w:tcPr>
          <w:p w14:paraId="12B0FD7D" w14:textId="7E3C835D" w:rsidR="007F24E2" w:rsidRPr="00781112" w:rsidRDefault="002B7490" w:rsidP="00E0321D">
            <w:pPr>
              <w:jc w:val="center"/>
              <w:rPr>
                <w:rFonts w:cs="Arial"/>
                <w:color w:val="000000" w:themeColor="text1"/>
                <w:szCs w:val="16"/>
              </w:rPr>
            </w:pPr>
            <w:r w:rsidRPr="00781112">
              <w:rPr>
                <w:rFonts w:cs="Arial"/>
                <w:color w:val="000000" w:themeColor="text1"/>
                <w:szCs w:val="16"/>
              </w:rPr>
              <w:t>81.00%</w:t>
            </w:r>
          </w:p>
        </w:tc>
      </w:tr>
      <w:tr w:rsidR="005C29F8" w:rsidRPr="00781112" w14:paraId="146BC5C2" w14:textId="426AC9C6" w:rsidTr="0033429D">
        <w:trPr>
          <w:trHeight w:val="85"/>
        </w:trPr>
        <w:tc>
          <w:tcPr>
            <w:tcW w:w="833" w:type="pct"/>
            <w:shd w:val="clear" w:color="auto" w:fill="auto"/>
            <w:vAlign w:val="center"/>
          </w:tcPr>
          <w:p w14:paraId="2FA56C27" w14:textId="77777777" w:rsidR="007F24E2" w:rsidRPr="00781112" w:rsidRDefault="007F24E2"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7832DBB9" w14:textId="0E41C477" w:rsidR="007F24E2" w:rsidRPr="00781112" w:rsidRDefault="002B7490" w:rsidP="00E0321D">
            <w:pPr>
              <w:jc w:val="center"/>
              <w:rPr>
                <w:rFonts w:cs="Arial"/>
                <w:color w:val="000000" w:themeColor="text1"/>
                <w:szCs w:val="16"/>
              </w:rPr>
            </w:pPr>
            <w:r w:rsidRPr="00781112">
              <w:rPr>
                <w:rFonts w:cs="Arial"/>
                <w:color w:val="000000" w:themeColor="text1"/>
                <w:szCs w:val="16"/>
              </w:rPr>
              <w:t>60.57%</w:t>
            </w:r>
          </w:p>
        </w:tc>
        <w:tc>
          <w:tcPr>
            <w:tcW w:w="833" w:type="pct"/>
            <w:shd w:val="clear" w:color="auto" w:fill="auto"/>
            <w:vAlign w:val="center"/>
          </w:tcPr>
          <w:p w14:paraId="522433F4" w14:textId="4A22F221" w:rsidR="007F24E2" w:rsidRPr="00781112" w:rsidRDefault="002B7490" w:rsidP="00E0321D">
            <w:pPr>
              <w:jc w:val="center"/>
              <w:rPr>
                <w:rFonts w:cs="Arial"/>
                <w:color w:val="000000" w:themeColor="text1"/>
                <w:szCs w:val="16"/>
              </w:rPr>
            </w:pPr>
            <w:r w:rsidRPr="00781112">
              <w:rPr>
                <w:rFonts w:cs="Arial"/>
                <w:color w:val="000000" w:themeColor="text1"/>
                <w:szCs w:val="16"/>
              </w:rPr>
              <w:t>63.</w:t>
            </w:r>
            <w:r w:rsidR="00C30279">
              <w:rPr>
                <w:rFonts w:cs="Arial"/>
                <w:color w:val="000000" w:themeColor="text1"/>
                <w:szCs w:val="16"/>
              </w:rPr>
              <w:t>4</w:t>
            </w:r>
            <w:r w:rsidRPr="00781112">
              <w:rPr>
                <w:rFonts w:cs="Arial"/>
                <w:color w:val="000000" w:themeColor="text1"/>
                <w:szCs w:val="16"/>
              </w:rPr>
              <w:t>%</w:t>
            </w:r>
            <w:r w:rsidR="00E24FD8">
              <w:rPr>
                <w:rStyle w:val="FootnoteReference"/>
                <w:rFonts w:cs="Arial"/>
                <w:color w:val="000000" w:themeColor="text1"/>
                <w:szCs w:val="16"/>
              </w:rPr>
              <w:footnoteReference w:id="3"/>
            </w:r>
          </w:p>
        </w:tc>
        <w:tc>
          <w:tcPr>
            <w:tcW w:w="833" w:type="pct"/>
            <w:tcBorders>
              <w:bottom w:val="single" w:sz="4" w:space="0" w:color="auto"/>
            </w:tcBorders>
            <w:shd w:val="clear" w:color="auto" w:fill="auto"/>
            <w:vAlign w:val="center"/>
          </w:tcPr>
          <w:p w14:paraId="51E9F945" w14:textId="1DED232A" w:rsidR="007F24E2" w:rsidRPr="00781112" w:rsidRDefault="002B7490" w:rsidP="00E0321D">
            <w:pPr>
              <w:jc w:val="center"/>
              <w:rPr>
                <w:rFonts w:cs="Arial"/>
                <w:color w:val="000000" w:themeColor="text1"/>
                <w:szCs w:val="16"/>
              </w:rPr>
            </w:pPr>
            <w:r w:rsidRPr="00781112">
              <w:rPr>
                <w:rFonts w:cs="Arial"/>
                <w:color w:val="000000" w:themeColor="text1"/>
                <w:szCs w:val="16"/>
              </w:rPr>
              <w:t>75.37%</w:t>
            </w:r>
          </w:p>
        </w:tc>
        <w:tc>
          <w:tcPr>
            <w:tcW w:w="833" w:type="pct"/>
            <w:tcBorders>
              <w:bottom w:val="single" w:sz="4" w:space="0" w:color="auto"/>
            </w:tcBorders>
            <w:shd w:val="clear" w:color="auto" w:fill="auto"/>
            <w:vAlign w:val="center"/>
          </w:tcPr>
          <w:p w14:paraId="180CBFE9" w14:textId="01D5E7B3" w:rsidR="007F24E2" w:rsidRPr="00781112" w:rsidRDefault="002B7490" w:rsidP="00E0321D">
            <w:pPr>
              <w:jc w:val="center"/>
              <w:rPr>
                <w:rFonts w:cs="Arial"/>
                <w:color w:val="000000" w:themeColor="text1"/>
                <w:szCs w:val="16"/>
              </w:rPr>
            </w:pPr>
            <w:r w:rsidRPr="00781112">
              <w:rPr>
                <w:rFonts w:cs="Arial"/>
                <w:color w:val="000000" w:themeColor="text1"/>
                <w:szCs w:val="16"/>
              </w:rPr>
              <w:t>79.97%</w:t>
            </w:r>
          </w:p>
        </w:tc>
        <w:tc>
          <w:tcPr>
            <w:tcW w:w="834" w:type="pct"/>
            <w:tcBorders>
              <w:bottom w:val="single" w:sz="4" w:space="0" w:color="auto"/>
            </w:tcBorders>
            <w:shd w:val="clear" w:color="auto" w:fill="auto"/>
            <w:vAlign w:val="center"/>
          </w:tcPr>
          <w:p w14:paraId="3C2AFA14" w14:textId="153E7CE5" w:rsidR="007F24E2" w:rsidRPr="00781112" w:rsidRDefault="002B7490" w:rsidP="00E0321D">
            <w:pPr>
              <w:jc w:val="center"/>
              <w:rPr>
                <w:rFonts w:cs="Arial"/>
                <w:color w:val="000000" w:themeColor="text1"/>
                <w:szCs w:val="16"/>
              </w:rPr>
            </w:pPr>
            <w:r w:rsidRPr="00781112">
              <w:rPr>
                <w:rFonts w:cs="Arial"/>
                <w:color w:val="000000" w:themeColor="text1"/>
                <w:szCs w:val="16"/>
              </w:rPr>
              <w:t>66.91%</w:t>
            </w:r>
          </w:p>
        </w:tc>
      </w:tr>
    </w:tbl>
    <w:p w14:paraId="43E7AA4B" w14:textId="77777777" w:rsidR="00654A4B" w:rsidRPr="00781112" w:rsidRDefault="00654A4B" w:rsidP="00B65C2C">
      <w:pPr>
        <w:rPr>
          <w:color w:val="000000" w:themeColor="text1"/>
        </w:rPr>
      </w:pPr>
    </w:p>
    <w:p w14:paraId="058E572E" w14:textId="747B93F2" w:rsidR="005E59DB" w:rsidRPr="00781112" w:rsidRDefault="005E59DB" w:rsidP="00B65C2C">
      <w:pPr>
        <w:rPr>
          <w:b/>
          <w:color w:val="000000" w:themeColor="text1"/>
        </w:rPr>
      </w:pPr>
      <w:r w:rsidRPr="00781112">
        <w:rPr>
          <w:b/>
          <w:color w:val="000000" w:themeColor="text1"/>
        </w:rPr>
        <w:t>Targets</w:t>
      </w:r>
    </w:p>
    <w:tbl>
      <w:tblPr>
        <w:tblW w:w="27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TARGETS"/>
      </w:tblPr>
      <w:tblGrid>
        <w:gridCol w:w="1157"/>
        <w:gridCol w:w="1612"/>
        <w:gridCol w:w="1612"/>
        <w:gridCol w:w="1610"/>
      </w:tblGrid>
      <w:tr w:rsidR="0094481B" w:rsidRPr="00781112" w14:paraId="2AA1A231" w14:textId="4E09135F" w:rsidTr="00FE4611">
        <w:trPr>
          <w:trHeight w:val="366"/>
        </w:trPr>
        <w:tc>
          <w:tcPr>
            <w:tcW w:w="966" w:type="pct"/>
            <w:tcBorders>
              <w:bottom w:val="single" w:sz="4" w:space="0" w:color="auto"/>
            </w:tcBorders>
            <w:shd w:val="clear" w:color="auto" w:fill="auto"/>
          </w:tcPr>
          <w:p w14:paraId="40B33FED" w14:textId="77777777" w:rsidR="0094481B" w:rsidRPr="00781112" w:rsidRDefault="0094481B" w:rsidP="00373F78">
            <w:pPr>
              <w:jc w:val="center"/>
              <w:rPr>
                <w:b/>
                <w:color w:val="000000" w:themeColor="text1"/>
              </w:rPr>
            </w:pPr>
            <w:r w:rsidRPr="00781112">
              <w:rPr>
                <w:b/>
                <w:color w:val="000000" w:themeColor="text1"/>
              </w:rPr>
              <w:t>FFY</w:t>
            </w:r>
          </w:p>
        </w:tc>
        <w:tc>
          <w:tcPr>
            <w:tcW w:w="1345" w:type="pct"/>
            <w:shd w:val="clear" w:color="auto" w:fill="auto"/>
          </w:tcPr>
          <w:p w14:paraId="71086D9D" w14:textId="38ED494E" w:rsidR="0094481B" w:rsidRPr="00781112" w:rsidRDefault="0094481B" w:rsidP="00373F78">
            <w:pPr>
              <w:jc w:val="center"/>
              <w:rPr>
                <w:b/>
                <w:color w:val="000000" w:themeColor="text1"/>
              </w:rPr>
            </w:pPr>
            <w:r w:rsidRPr="00781112">
              <w:rPr>
                <w:b/>
                <w:color w:val="000000" w:themeColor="text1"/>
              </w:rPr>
              <w:t>2023</w:t>
            </w:r>
          </w:p>
        </w:tc>
        <w:tc>
          <w:tcPr>
            <w:tcW w:w="1345" w:type="pct"/>
          </w:tcPr>
          <w:p w14:paraId="4D39066B" w14:textId="301F6A49" w:rsidR="0094481B" w:rsidRPr="00781112" w:rsidRDefault="0094481B" w:rsidP="00373F78">
            <w:pPr>
              <w:jc w:val="center"/>
              <w:rPr>
                <w:b/>
                <w:color w:val="000000" w:themeColor="text1"/>
              </w:rPr>
            </w:pPr>
            <w:r w:rsidRPr="00781112">
              <w:rPr>
                <w:rFonts w:cs="Arial"/>
                <w:b/>
                <w:color w:val="000000" w:themeColor="text1"/>
                <w:szCs w:val="16"/>
              </w:rPr>
              <w:t>2024</w:t>
            </w:r>
          </w:p>
        </w:tc>
        <w:tc>
          <w:tcPr>
            <w:tcW w:w="1345" w:type="pct"/>
          </w:tcPr>
          <w:p w14:paraId="1FB807B9" w14:textId="403D43E4"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30C65E4A" w14:textId="7AB118F2" w:rsidTr="00FE4611">
        <w:trPr>
          <w:trHeight w:val="374"/>
        </w:trPr>
        <w:tc>
          <w:tcPr>
            <w:tcW w:w="966" w:type="pct"/>
            <w:shd w:val="clear" w:color="auto" w:fill="auto"/>
            <w:vAlign w:val="center"/>
          </w:tcPr>
          <w:p w14:paraId="15D80559" w14:textId="5A8166E8" w:rsidR="0094481B" w:rsidRPr="00781112" w:rsidRDefault="0094481B" w:rsidP="00BA3DBE">
            <w:pPr>
              <w:jc w:val="center"/>
              <w:rPr>
                <w:rFonts w:cs="Arial"/>
                <w:color w:val="000000" w:themeColor="text1"/>
                <w:szCs w:val="16"/>
              </w:rPr>
            </w:pPr>
            <w:r w:rsidRPr="00781112">
              <w:rPr>
                <w:rFonts w:cs="Arial"/>
                <w:color w:val="000000" w:themeColor="text1"/>
                <w:szCs w:val="16"/>
              </w:rPr>
              <w:t>Target &gt;=</w:t>
            </w:r>
          </w:p>
        </w:tc>
        <w:tc>
          <w:tcPr>
            <w:tcW w:w="1345" w:type="pct"/>
            <w:shd w:val="clear" w:color="auto" w:fill="auto"/>
            <w:vAlign w:val="center"/>
          </w:tcPr>
          <w:p w14:paraId="5C1E2097" w14:textId="7100F4DF" w:rsidR="0094481B" w:rsidRPr="00781112" w:rsidRDefault="0094481B" w:rsidP="00373F78">
            <w:pPr>
              <w:jc w:val="center"/>
              <w:rPr>
                <w:rFonts w:cs="Arial"/>
                <w:color w:val="000000" w:themeColor="text1"/>
                <w:szCs w:val="16"/>
              </w:rPr>
            </w:pPr>
            <w:r w:rsidRPr="00781112">
              <w:rPr>
                <w:rFonts w:cs="Arial"/>
                <w:color w:val="000000" w:themeColor="text1"/>
                <w:szCs w:val="16"/>
              </w:rPr>
              <w:t>82.00%</w:t>
            </w:r>
          </w:p>
        </w:tc>
        <w:tc>
          <w:tcPr>
            <w:tcW w:w="1345" w:type="pct"/>
          </w:tcPr>
          <w:p w14:paraId="7717027B" w14:textId="1C4C1650" w:rsidR="0094481B" w:rsidRPr="00781112" w:rsidRDefault="0094481B" w:rsidP="00373F78">
            <w:pPr>
              <w:jc w:val="center"/>
              <w:rPr>
                <w:rFonts w:cs="Arial"/>
                <w:color w:val="000000" w:themeColor="text1"/>
                <w:szCs w:val="16"/>
              </w:rPr>
            </w:pPr>
            <w:r w:rsidRPr="00781112">
              <w:rPr>
                <w:color w:val="000000" w:themeColor="text1"/>
                <w:szCs w:val="16"/>
              </w:rPr>
              <w:t>83.00%</w:t>
            </w:r>
          </w:p>
        </w:tc>
        <w:tc>
          <w:tcPr>
            <w:tcW w:w="1345" w:type="pct"/>
          </w:tcPr>
          <w:p w14:paraId="48C73194" w14:textId="78C93C75" w:rsidR="0094481B" w:rsidRPr="00781112" w:rsidRDefault="0094481B" w:rsidP="00373F78">
            <w:pPr>
              <w:jc w:val="center"/>
              <w:rPr>
                <w:rFonts w:cs="Arial"/>
                <w:color w:val="000000" w:themeColor="text1"/>
                <w:szCs w:val="16"/>
              </w:rPr>
            </w:pPr>
            <w:r w:rsidRPr="00781112">
              <w:rPr>
                <w:color w:val="000000" w:themeColor="text1"/>
                <w:szCs w:val="16"/>
              </w:rPr>
              <w:t>84.00%</w:t>
            </w:r>
          </w:p>
        </w:tc>
      </w:tr>
    </w:tbl>
    <w:p w14:paraId="346A80A2" w14:textId="77777777" w:rsidR="00654A4B" w:rsidRPr="00781112" w:rsidRDefault="00654A4B" w:rsidP="004369B2">
      <w:pPr>
        <w:rPr>
          <w:color w:val="000000" w:themeColor="text1"/>
        </w:rPr>
      </w:pPr>
    </w:p>
    <w:p w14:paraId="451C0051" w14:textId="1929A141" w:rsidR="005E59DB" w:rsidRPr="00781112" w:rsidRDefault="005E59DB">
      <w:pPr>
        <w:rPr>
          <w:b/>
          <w:color w:val="000000" w:themeColor="text1"/>
        </w:rPr>
      </w:pPr>
      <w:r w:rsidRPr="00781112">
        <w:rPr>
          <w:b/>
          <w:color w:val="000000" w:themeColor="text1"/>
        </w:rPr>
        <w:t xml:space="preserve">Targets: Description of Stakeholder Input </w:t>
      </w:r>
    </w:p>
    <w:p w14:paraId="2B946CE6" w14:textId="3BAAFC14" w:rsidR="0051170F" w:rsidRPr="00781112" w:rsidRDefault="0051170F" w:rsidP="004369B2">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w:t>
      </w:r>
      <w:r w:rsidRPr="00781112">
        <w:rPr>
          <w:rFonts w:cs="Arial"/>
          <w:color w:val="000000" w:themeColor="text1"/>
          <w:szCs w:val="16"/>
        </w:rPr>
        <w:lastRenderedPageBreak/>
        <w:t xml:space="preserve">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6F475956" w14:textId="6AAE3895" w:rsidR="000C24C2" w:rsidRPr="00781112" w:rsidRDefault="000C24C2" w:rsidP="001011BB">
      <w:pPr>
        <w:rPr>
          <w:rFonts w:cs="Arial"/>
          <w:color w:val="000000" w:themeColor="text1"/>
          <w:szCs w:val="16"/>
        </w:rPr>
      </w:pPr>
    </w:p>
    <w:p w14:paraId="4026D322" w14:textId="77777777" w:rsidR="00654A4B" w:rsidRPr="00781112" w:rsidRDefault="00654A4B" w:rsidP="00B65C2C">
      <w:pPr>
        <w:rPr>
          <w:color w:val="000000" w:themeColor="text1"/>
        </w:rPr>
      </w:pPr>
    </w:p>
    <w:p w14:paraId="5BFE0C1F" w14:textId="74D590F4" w:rsidR="00995737" w:rsidRPr="00781112" w:rsidRDefault="00995737" w:rsidP="00B65C2C">
      <w:pPr>
        <w:rPr>
          <w:b/>
          <w:bCs/>
          <w:color w:val="000000" w:themeColor="text1"/>
        </w:rPr>
      </w:pPr>
      <w:r w:rsidRPr="00781112">
        <w:rPr>
          <w:b/>
          <w:bCs/>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1PREPOPDATA"/>
      </w:tblPr>
      <w:tblGrid>
        <w:gridCol w:w="2909"/>
        <w:gridCol w:w="2130"/>
        <w:gridCol w:w="3507"/>
        <w:gridCol w:w="2244"/>
      </w:tblGrid>
      <w:tr w:rsidR="005C29F8" w:rsidRPr="00781112" w14:paraId="30F51C80" w14:textId="4B2A2ADB" w:rsidTr="00044B5C">
        <w:trPr>
          <w:trHeight w:val="372"/>
          <w:tblHeader/>
        </w:trPr>
        <w:tc>
          <w:tcPr>
            <w:tcW w:w="1348" w:type="pct"/>
            <w:shd w:val="clear" w:color="auto" w:fill="auto"/>
          </w:tcPr>
          <w:p w14:paraId="323D50E8" w14:textId="6779F814"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1C2B5F0" w14:textId="1D5140A6"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Date</w:t>
            </w:r>
          </w:p>
        </w:tc>
        <w:tc>
          <w:tcPr>
            <w:tcW w:w="1625" w:type="pct"/>
            <w:shd w:val="clear" w:color="auto" w:fill="auto"/>
          </w:tcPr>
          <w:p w14:paraId="1FC5546A" w14:textId="059B9945"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Description</w:t>
            </w:r>
          </w:p>
        </w:tc>
        <w:tc>
          <w:tcPr>
            <w:tcW w:w="1040" w:type="pct"/>
            <w:shd w:val="clear" w:color="auto" w:fill="auto"/>
          </w:tcPr>
          <w:p w14:paraId="189AD2F4" w14:textId="2C14B569" w:rsidR="00866B4D" w:rsidRPr="00781112" w:rsidRDefault="00866B4D" w:rsidP="000B4AA4">
            <w:pPr>
              <w:spacing w:after="0"/>
              <w:jc w:val="center"/>
              <w:rPr>
                <w:rFonts w:cs="Arial"/>
                <w:b/>
                <w:color w:val="000000" w:themeColor="text1"/>
                <w:szCs w:val="16"/>
              </w:rPr>
            </w:pPr>
            <w:r w:rsidRPr="00781112">
              <w:rPr>
                <w:rFonts w:cs="Arial"/>
                <w:b/>
                <w:color w:val="000000" w:themeColor="text1"/>
                <w:szCs w:val="16"/>
              </w:rPr>
              <w:t>Data</w:t>
            </w:r>
          </w:p>
        </w:tc>
      </w:tr>
      <w:tr w:rsidR="005A75AD" w:rsidRPr="00781112" w14:paraId="30B629CE" w14:textId="3D9C8EF1" w:rsidTr="00044B5C">
        <w:trPr>
          <w:trHeight w:val="380"/>
        </w:trPr>
        <w:tc>
          <w:tcPr>
            <w:tcW w:w="1348" w:type="pct"/>
            <w:shd w:val="clear" w:color="auto" w:fill="auto"/>
          </w:tcPr>
          <w:p w14:paraId="73323AED" w14:textId="61550716"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5E976CB4" w14:textId="15FDC9EF"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01C211E9" w14:textId="4BA1367C"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regular high school diploma (a)</w:t>
            </w:r>
          </w:p>
        </w:tc>
        <w:tc>
          <w:tcPr>
            <w:tcW w:w="1040" w:type="pct"/>
            <w:shd w:val="clear" w:color="auto" w:fill="auto"/>
          </w:tcPr>
          <w:p w14:paraId="18434B19" w14:textId="3271491A" w:rsidR="005A75AD" w:rsidRPr="00781112" w:rsidRDefault="005A75AD" w:rsidP="005A75AD">
            <w:pPr>
              <w:jc w:val="center"/>
              <w:rPr>
                <w:rFonts w:cs="Arial"/>
                <w:color w:val="000000" w:themeColor="text1"/>
                <w:szCs w:val="16"/>
              </w:rPr>
            </w:pPr>
            <w:r w:rsidRPr="00781112">
              <w:rPr>
                <w:rFonts w:cs="Arial"/>
                <w:color w:val="000000" w:themeColor="text1"/>
                <w:szCs w:val="16"/>
              </w:rPr>
              <w:t>3,887</w:t>
            </w:r>
          </w:p>
        </w:tc>
      </w:tr>
      <w:tr w:rsidR="005A75AD" w:rsidRPr="00781112" w14:paraId="2E9BAC4B" w14:textId="77777777" w:rsidTr="00044B5C">
        <w:trPr>
          <w:trHeight w:val="380"/>
        </w:trPr>
        <w:tc>
          <w:tcPr>
            <w:tcW w:w="1348" w:type="pct"/>
            <w:shd w:val="clear" w:color="auto" w:fill="auto"/>
          </w:tcPr>
          <w:p w14:paraId="019DE2CA" w14:textId="1C16E7CC"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21121509" w14:textId="35C72B6A"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4DBDAFD8" w14:textId="70B6722B"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1040" w:type="pct"/>
            <w:shd w:val="clear" w:color="auto" w:fill="auto"/>
          </w:tcPr>
          <w:p w14:paraId="010FD1F1" w14:textId="7C43793B" w:rsidR="005A75AD" w:rsidRPr="00781112" w:rsidRDefault="005A75AD" w:rsidP="005A75AD">
            <w:pPr>
              <w:jc w:val="center"/>
              <w:rPr>
                <w:rFonts w:cs="Arial"/>
                <w:color w:val="000000" w:themeColor="text1"/>
                <w:szCs w:val="16"/>
              </w:rPr>
            </w:pPr>
          </w:p>
        </w:tc>
      </w:tr>
      <w:tr w:rsidR="005A75AD" w:rsidRPr="00781112" w14:paraId="032776B0" w14:textId="77777777" w:rsidTr="00044B5C">
        <w:trPr>
          <w:trHeight w:val="380"/>
        </w:trPr>
        <w:tc>
          <w:tcPr>
            <w:tcW w:w="1348" w:type="pct"/>
            <w:shd w:val="clear" w:color="auto" w:fill="auto"/>
          </w:tcPr>
          <w:p w14:paraId="5813DAD1" w14:textId="06D60F55" w:rsidR="005A75AD" w:rsidRPr="00781112" w:rsidRDefault="005A75AD" w:rsidP="005A75AD">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0CBE5647" w14:textId="5D16DC3C" w:rsidR="005A75AD" w:rsidRPr="00781112" w:rsidRDefault="005A75AD" w:rsidP="005A75AD">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7D0086CE" w14:textId="510BD804" w:rsidR="005A75AD" w:rsidRPr="00781112" w:rsidRDefault="005A75AD" w:rsidP="005A75AD">
            <w:pPr>
              <w:rPr>
                <w:rFonts w:cs="Arial"/>
                <w:color w:val="000000" w:themeColor="text1"/>
                <w:szCs w:val="16"/>
              </w:rPr>
            </w:pPr>
            <w:r w:rsidRPr="00781112">
              <w:rPr>
                <w:rFonts w:cs="Arial"/>
                <w:szCs w:val="16"/>
              </w:rPr>
              <w:t>Number of youth with IEPs (ages 14-21) who exited special education by receiving a certificate (c)</w:t>
            </w:r>
          </w:p>
        </w:tc>
        <w:tc>
          <w:tcPr>
            <w:tcW w:w="1040" w:type="pct"/>
            <w:shd w:val="clear" w:color="auto" w:fill="auto"/>
          </w:tcPr>
          <w:p w14:paraId="184082B3" w14:textId="438EC66B" w:rsidR="005A75AD" w:rsidRPr="00781112" w:rsidRDefault="005A75AD" w:rsidP="005A75AD">
            <w:pPr>
              <w:jc w:val="center"/>
              <w:rPr>
                <w:rFonts w:cs="Arial"/>
                <w:color w:val="000000" w:themeColor="text1"/>
                <w:szCs w:val="16"/>
              </w:rPr>
            </w:pPr>
            <w:r w:rsidRPr="00781112">
              <w:rPr>
                <w:rFonts w:cs="Arial"/>
                <w:color w:val="000000" w:themeColor="text1"/>
                <w:szCs w:val="16"/>
              </w:rPr>
              <w:t>367</w:t>
            </w:r>
          </w:p>
        </w:tc>
      </w:tr>
      <w:tr w:rsidR="00E1624B" w:rsidRPr="00781112" w14:paraId="73AB7466" w14:textId="77777777" w:rsidTr="00044B5C">
        <w:trPr>
          <w:trHeight w:val="380"/>
        </w:trPr>
        <w:tc>
          <w:tcPr>
            <w:tcW w:w="1348" w:type="pct"/>
            <w:shd w:val="clear" w:color="auto" w:fill="auto"/>
          </w:tcPr>
          <w:p w14:paraId="4B56ED01" w14:textId="0B62D17A" w:rsidR="00E1624B" w:rsidRPr="00781112" w:rsidRDefault="00E1624B" w:rsidP="00E1624B">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60CF2903" w14:textId="690ADEAE" w:rsidR="00E1624B" w:rsidRPr="00781112" w:rsidRDefault="00E1624B" w:rsidP="00E1624B">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06653647" w14:textId="36FF0607" w:rsidR="00E1624B" w:rsidRPr="00781112" w:rsidRDefault="00E1624B">
            <w:pPr>
              <w:rPr>
                <w:rFonts w:cs="Arial"/>
                <w:szCs w:val="16"/>
              </w:rPr>
            </w:pPr>
            <w:r w:rsidRPr="00781112">
              <w:rPr>
                <w:rFonts w:cs="Arial"/>
                <w:szCs w:val="16"/>
              </w:rPr>
              <w:t>Number of youth with IEPs (ages 14-21) who exited special education by reaching maximum age (d)</w:t>
            </w:r>
          </w:p>
        </w:tc>
        <w:tc>
          <w:tcPr>
            <w:tcW w:w="1040" w:type="pct"/>
            <w:shd w:val="clear" w:color="auto" w:fill="auto"/>
          </w:tcPr>
          <w:p w14:paraId="73E001A1" w14:textId="747191F4" w:rsidR="00E1624B" w:rsidRPr="00781112" w:rsidRDefault="00E1624B" w:rsidP="00E1624B">
            <w:pPr>
              <w:jc w:val="center"/>
              <w:rPr>
                <w:rFonts w:cs="Arial"/>
                <w:color w:val="000000" w:themeColor="text1"/>
                <w:szCs w:val="16"/>
              </w:rPr>
            </w:pPr>
            <w:r w:rsidRPr="00781112">
              <w:rPr>
                <w:rFonts w:cs="Arial"/>
                <w:color w:val="000000" w:themeColor="text1"/>
                <w:szCs w:val="16"/>
              </w:rPr>
              <w:t>103</w:t>
            </w:r>
          </w:p>
        </w:tc>
      </w:tr>
      <w:tr w:rsidR="00E1624B" w:rsidRPr="00781112" w14:paraId="14CC53E0" w14:textId="77777777" w:rsidTr="00044B5C">
        <w:trPr>
          <w:trHeight w:val="380"/>
        </w:trPr>
        <w:tc>
          <w:tcPr>
            <w:tcW w:w="1348" w:type="pct"/>
            <w:shd w:val="clear" w:color="auto" w:fill="auto"/>
          </w:tcPr>
          <w:p w14:paraId="3B200D0B" w14:textId="610D9D3D" w:rsidR="00E1624B" w:rsidRPr="00781112" w:rsidRDefault="00E1624B" w:rsidP="00E1624B">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57A125A7" w14:textId="625619CE" w:rsidR="00E1624B" w:rsidRPr="00781112" w:rsidRDefault="00E1624B" w:rsidP="00E1624B">
            <w:pPr>
              <w:jc w:val="center"/>
              <w:rPr>
                <w:rFonts w:cs="Arial"/>
                <w:color w:val="000000" w:themeColor="text1"/>
                <w:szCs w:val="16"/>
              </w:rPr>
            </w:pPr>
            <w:r w:rsidRPr="00781112">
              <w:rPr>
                <w:rFonts w:cs="Arial"/>
                <w:color w:val="000000" w:themeColor="text1"/>
                <w:szCs w:val="16"/>
              </w:rPr>
              <w:t>02/21/2024</w:t>
            </w:r>
          </w:p>
        </w:tc>
        <w:tc>
          <w:tcPr>
            <w:tcW w:w="1625" w:type="pct"/>
            <w:shd w:val="clear" w:color="auto" w:fill="auto"/>
          </w:tcPr>
          <w:p w14:paraId="5C2E5C85" w14:textId="316DABB1" w:rsidR="00E1624B" w:rsidRPr="00781112" w:rsidRDefault="00E1624B" w:rsidP="00E1624B">
            <w:pPr>
              <w:rPr>
                <w:rFonts w:cs="Arial"/>
                <w:szCs w:val="16"/>
              </w:rPr>
            </w:pPr>
            <w:r w:rsidRPr="00781112">
              <w:rPr>
                <w:rFonts w:cs="Arial"/>
                <w:szCs w:val="16"/>
              </w:rPr>
              <w:t>Number of youth with IEPs (ages 14-21) who exited special education due to dropping out (e)</w:t>
            </w:r>
          </w:p>
        </w:tc>
        <w:tc>
          <w:tcPr>
            <w:tcW w:w="1040" w:type="pct"/>
            <w:shd w:val="clear" w:color="auto" w:fill="auto"/>
          </w:tcPr>
          <w:p w14:paraId="79A046E2" w14:textId="17FE2759" w:rsidR="00E1624B" w:rsidRPr="00781112" w:rsidRDefault="00E1624B" w:rsidP="00E1624B">
            <w:pPr>
              <w:jc w:val="center"/>
              <w:rPr>
                <w:rFonts w:cs="Arial"/>
                <w:color w:val="000000" w:themeColor="text1"/>
                <w:szCs w:val="16"/>
              </w:rPr>
            </w:pPr>
            <w:r w:rsidRPr="00781112">
              <w:rPr>
                <w:rFonts w:cs="Arial"/>
                <w:color w:val="000000" w:themeColor="text1"/>
                <w:szCs w:val="16"/>
              </w:rPr>
              <w:t>1,040</w:t>
            </w:r>
          </w:p>
        </w:tc>
      </w:tr>
    </w:tbl>
    <w:p w14:paraId="0D2CDC7B" w14:textId="77777777" w:rsidR="00654A4B" w:rsidRPr="00781112" w:rsidRDefault="00654A4B" w:rsidP="00B65C2C">
      <w:pPr>
        <w:rPr>
          <w:color w:val="000000" w:themeColor="text1"/>
        </w:rPr>
      </w:pPr>
    </w:p>
    <w:p w14:paraId="7939D078" w14:textId="587AB3CE" w:rsidR="00995737" w:rsidRPr="00781112" w:rsidRDefault="0047313F" w:rsidP="00C74928">
      <w:pPr>
        <w:keepNext/>
        <w:rPr>
          <w:b/>
          <w:bCs/>
          <w:color w:val="000000" w:themeColor="text1"/>
        </w:rPr>
      </w:pPr>
      <w:r>
        <w:rPr>
          <w:b/>
          <w:bCs/>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1CFFYAPRDATA"/>
      </w:tblPr>
      <w:tblGrid>
        <w:gridCol w:w="1502"/>
        <w:gridCol w:w="1688"/>
        <w:gridCol w:w="1344"/>
        <w:gridCol w:w="2022"/>
        <w:gridCol w:w="1208"/>
        <w:gridCol w:w="1539"/>
        <w:gridCol w:w="1487"/>
      </w:tblGrid>
      <w:tr w:rsidR="0047313F" w:rsidRPr="00781112" w14:paraId="02722994" w14:textId="4BCF686A" w:rsidTr="0047313F">
        <w:trPr>
          <w:trHeight w:val="333"/>
          <w:tblHeader/>
        </w:trPr>
        <w:tc>
          <w:tcPr>
            <w:tcW w:w="696" w:type="pct"/>
            <w:shd w:val="clear" w:color="auto" w:fill="auto"/>
            <w:vAlign w:val="bottom"/>
          </w:tcPr>
          <w:p w14:paraId="272BBF68" w14:textId="161B6D1A"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Number of youth with IEPs (ages 14-21) who exited special education due to graduating with a regular high school diploma</w:t>
            </w:r>
          </w:p>
        </w:tc>
        <w:tc>
          <w:tcPr>
            <w:tcW w:w="782" w:type="pct"/>
            <w:shd w:val="clear" w:color="auto" w:fill="auto"/>
            <w:vAlign w:val="bottom"/>
          </w:tcPr>
          <w:p w14:paraId="055EF61F" w14:textId="6ADAF307" w:rsidR="0047313F" w:rsidRPr="00781112" w:rsidRDefault="0047313F" w:rsidP="0047313F">
            <w:pPr>
              <w:spacing w:after="0"/>
              <w:jc w:val="center"/>
              <w:rPr>
                <w:rFonts w:cs="Arial"/>
                <w:b/>
                <w:bCs/>
                <w:color w:val="000000" w:themeColor="text1"/>
                <w:szCs w:val="16"/>
              </w:rPr>
            </w:pPr>
            <w:r w:rsidRPr="00781112">
              <w:rPr>
                <w:b/>
                <w:bCs/>
              </w:rPr>
              <w:t xml:space="preserve">Number of all youth with IEPs who exited special education (ages 14-21)  </w:t>
            </w:r>
          </w:p>
        </w:tc>
        <w:tc>
          <w:tcPr>
            <w:tcW w:w="623" w:type="pct"/>
            <w:shd w:val="clear" w:color="auto" w:fill="auto"/>
            <w:vAlign w:val="bottom"/>
          </w:tcPr>
          <w:p w14:paraId="74998318" w14:textId="7650D028" w:rsidR="0047313F" w:rsidRPr="00073BD7" w:rsidRDefault="0047313F" w:rsidP="0047313F">
            <w:pPr>
              <w:spacing w:after="0"/>
              <w:jc w:val="center"/>
              <w:rPr>
                <w:rFonts w:cs="Arial"/>
                <w:b/>
                <w:bCs/>
                <w:color w:val="000000" w:themeColor="text1"/>
                <w:szCs w:val="16"/>
              </w:rPr>
            </w:pPr>
            <w:r w:rsidRPr="00073BD7">
              <w:rPr>
                <w:b/>
                <w:bCs/>
              </w:rPr>
              <w:t>FFY 2022 Data</w:t>
            </w:r>
          </w:p>
        </w:tc>
        <w:tc>
          <w:tcPr>
            <w:tcW w:w="937" w:type="pct"/>
            <w:shd w:val="clear" w:color="auto" w:fill="auto"/>
            <w:vAlign w:val="bottom"/>
          </w:tcPr>
          <w:p w14:paraId="5A1C61A6" w14:textId="154E8512" w:rsidR="0047313F" w:rsidRPr="00073BD7" w:rsidRDefault="0047313F" w:rsidP="0047313F">
            <w:pPr>
              <w:spacing w:after="0"/>
              <w:jc w:val="center"/>
              <w:rPr>
                <w:rFonts w:cs="Arial"/>
                <w:b/>
                <w:bCs/>
                <w:color w:val="000000" w:themeColor="text1"/>
                <w:szCs w:val="16"/>
              </w:rPr>
            </w:pPr>
            <w:r w:rsidRPr="00073BD7">
              <w:rPr>
                <w:b/>
                <w:bCs/>
              </w:rPr>
              <w:t>FFY 2023 Target</w:t>
            </w:r>
          </w:p>
        </w:tc>
        <w:tc>
          <w:tcPr>
            <w:tcW w:w="560" w:type="pct"/>
            <w:shd w:val="clear" w:color="auto" w:fill="auto"/>
            <w:vAlign w:val="bottom"/>
          </w:tcPr>
          <w:p w14:paraId="51DD5A1B" w14:textId="0053C4CE" w:rsidR="0047313F" w:rsidRPr="00073BD7" w:rsidRDefault="0047313F" w:rsidP="0047313F">
            <w:pPr>
              <w:spacing w:after="0"/>
              <w:jc w:val="center"/>
              <w:rPr>
                <w:rFonts w:cs="Arial"/>
                <w:b/>
                <w:bCs/>
                <w:color w:val="000000" w:themeColor="text1"/>
                <w:szCs w:val="16"/>
              </w:rPr>
            </w:pPr>
            <w:r w:rsidRPr="00073BD7">
              <w:rPr>
                <w:b/>
                <w:bCs/>
              </w:rPr>
              <w:t>FFY 2023 Data</w:t>
            </w:r>
          </w:p>
        </w:tc>
        <w:tc>
          <w:tcPr>
            <w:tcW w:w="713" w:type="pct"/>
            <w:shd w:val="clear" w:color="auto" w:fill="auto"/>
            <w:vAlign w:val="bottom"/>
          </w:tcPr>
          <w:p w14:paraId="23C86FAA" w14:textId="7FC8D54B"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Status</w:t>
            </w:r>
          </w:p>
        </w:tc>
        <w:tc>
          <w:tcPr>
            <w:tcW w:w="690" w:type="pct"/>
            <w:shd w:val="clear" w:color="auto" w:fill="auto"/>
            <w:vAlign w:val="bottom"/>
          </w:tcPr>
          <w:p w14:paraId="6EE58552" w14:textId="4AA8F220" w:rsidR="0047313F" w:rsidRPr="00781112" w:rsidRDefault="0047313F" w:rsidP="0047313F">
            <w:pPr>
              <w:spacing w:after="0"/>
              <w:jc w:val="center"/>
              <w:rPr>
                <w:rFonts w:cs="Arial"/>
                <w:b/>
                <w:color w:val="000000" w:themeColor="text1"/>
                <w:szCs w:val="16"/>
              </w:rPr>
            </w:pPr>
            <w:r w:rsidRPr="00781112">
              <w:rPr>
                <w:rFonts w:cs="Arial"/>
                <w:b/>
                <w:color w:val="000000" w:themeColor="text1"/>
                <w:szCs w:val="16"/>
              </w:rPr>
              <w:t>Slippage</w:t>
            </w:r>
          </w:p>
        </w:tc>
      </w:tr>
      <w:tr w:rsidR="005C29F8" w:rsidRPr="00781112" w14:paraId="601A0599" w14:textId="76387A52" w:rsidTr="0047313F">
        <w:trPr>
          <w:trHeight w:val="340"/>
        </w:trPr>
        <w:tc>
          <w:tcPr>
            <w:tcW w:w="696" w:type="pct"/>
            <w:shd w:val="clear" w:color="auto" w:fill="auto"/>
            <w:vAlign w:val="center"/>
          </w:tcPr>
          <w:p w14:paraId="70B1C138" w14:textId="6CAA41C3" w:rsidR="0098478C" w:rsidRPr="00781112" w:rsidRDefault="002B7490" w:rsidP="00A018D4">
            <w:pPr>
              <w:jc w:val="center"/>
              <w:rPr>
                <w:rFonts w:cs="Arial"/>
                <w:color w:val="000000" w:themeColor="text1"/>
                <w:szCs w:val="16"/>
              </w:rPr>
            </w:pPr>
            <w:r w:rsidRPr="00781112">
              <w:rPr>
                <w:rFonts w:cs="Arial"/>
                <w:color w:val="000000" w:themeColor="text1"/>
                <w:szCs w:val="16"/>
              </w:rPr>
              <w:t>3,887</w:t>
            </w:r>
          </w:p>
        </w:tc>
        <w:tc>
          <w:tcPr>
            <w:tcW w:w="782" w:type="pct"/>
            <w:shd w:val="clear" w:color="auto" w:fill="auto"/>
          </w:tcPr>
          <w:p w14:paraId="614E7B59" w14:textId="5AA9B72C" w:rsidR="0098478C" w:rsidRPr="00781112" w:rsidRDefault="002B7490" w:rsidP="00A018D4">
            <w:pPr>
              <w:jc w:val="center"/>
              <w:rPr>
                <w:rFonts w:cs="Arial"/>
                <w:color w:val="000000" w:themeColor="text1"/>
                <w:szCs w:val="16"/>
              </w:rPr>
            </w:pPr>
            <w:r w:rsidRPr="00781112">
              <w:rPr>
                <w:rFonts w:cs="Arial"/>
                <w:color w:val="000000" w:themeColor="text1"/>
                <w:szCs w:val="16"/>
              </w:rPr>
              <w:t>5,397</w:t>
            </w:r>
          </w:p>
        </w:tc>
        <w:tc>
          <w:tcPr>
            <w:tcW w:w="623" w:type="pct"/>
            <w:shd w:val="clear" w:color="auto" w:fill="auto"/>
          </w:tcPr>
          <w:p w14:paraId="02406DF0" w14:textId="52BAECC6" w:rsidR="0098478C" w:rsidRPr="00781112" w:rsidRDefault="002B7490" w:rsidP="00A018D4">
            <w:pPr>
              <w:jc w:val="center"/>
              <w:rPr>
                <w:rFonts w:cs="Arial"/>
                <w:color w:val="000000" w:themeColor="text1"/>
                <w:szCs w:val="16"/>
              </w:rPr>
            </w:pPr>
            <w:r w:rsidRPr="00781112">
              <w:rPr>
                <w:rFonts w:cs="Arial"/>
                <w:color w:val="000000" w:themeColor="text1"/>
                <w:szCs w:val="16"/>
              </w:rPr>
              <w:t>66.91%</w:t>
            </w:r>
          </w:p>
        </w:tc>
        <w:tc>
          <w:tcPr>
            <w:tcW w:w="937" w:type="pct"/>
            <w:shd w:val="clear" w:color="auto" w:fill="auto"/>
          </w:tcPr>
          <w:p w14:paraId="2398C001" w14:textId="76ED9E04" w:rsidR="0098478C" w:rsidRPr="00781112" w:rsidRDefault="002B7490" w:rsidP="00A018D4">
            <w:pPr>
              <w:jc w:val="center"/>
              <w:rPr>
                <w:rFonts w:cs="Arial"/>
                <w:color w:val="000000" w:themeColor="text1"/>
                <w:szCs w:val="16"/>
              </w:rPr>
            </w:pPr>
            <w:r w:rsidRPr="00781112">
              <w:rPr>
                <w:rFonts w:cs="Arial"/>
                <w:color w:val="000000" w:themeColor="text1"/>
                <w:szCs w:val="16"/>
              </w:rPr>
              <w:t>82.00%</w:t>
            </w:r>
          </w:p>
        </w:tc>
        <w:tc>
          <w:tcPr>
            <w:tcW w:w="560" w:type="pct"/>
            <w:shd w:val="clear" w:color="auto" w:fill="auto"/>
          </w:tcPr>
          <w:p w14:paraId="4A53AF2D" w14:textId="3BE4EB07" w:rsidR="0098478C" w:rsidRPr="00781112" w:rsidRDefault="002B7490" w:rsidP="00A018D4">
            <w:pPr>
              <w:jc w:val="center"/>
              <w:rPr>
                <w:rFonts w:cs="Arial"/>
                <w:color w:val="000000" w:themeColor="text1"/>
                <w:szCs w:val="16"/>
              </w:rPr>
            </w:pPr>
            <w:r w:rsidRPr="00781112">
              <w:rPr>
                <w:rFonts w:cs="Arial"/>
                <w:color w:val="000000" w:themeColor="text1"/>
                <w:szCs w:val="16"/>
              </w:rPr>
              <w:t>72.02%</w:t>
            </w:r>
          </w:p>
        </w:tc>
        <w:tc>
          <w:tcPr>
            <w:tcW w:w="713" w:type="pct"/>
            <w:shd w:val="clear" w:color="auto" w:fill="auto"/>
          </w:tcPr>
          <w:p w14:paraId="0A60DC85" w14:textId="479F7096" w:rsidR="0098478C"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90" w:type="pct"/>
            <w:shd w:val="clear" w:color="auto" w:fill="auto"/>
          </w:tcPr>
          <w:p w14:paraId="6FB98C67" w14:textId="68AEDB07" w:rsidR="0098478C"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BB119D0" w14:textId="387277D1" w:rsidR="005E59DB" w:rsidRPr="00781112" w:rsidRDefault="005E59DB" w:rsidP="004369B2">
      <w:pPr>
        <w:rPr>
          <w:color w:val="000000" w:themeColor="text1"/>
        </w:rPr>
      </w:pPr>
      <w:r w:rsidRPr="00781112">
        <w:rPr>
          <w:b/>
          <w:color w:val="000000" w:themeColor="text1"/>
        </w:rPr>
        <w:t xml:space="preserve">Graduation Conditions </w:t>
      </w:r>
    </w:p>
    <w:p w14:paraId="44381070" w14:textId="5786BC0C" w:rsidR="005E59DB" w:rsidRPr="00781112" w:rsidRDefault="00C14D48" w:rsidP="00552927">
      <w:pPr>
        <w:rPr>
          <w:rFonts w:cs="Arial"/>
          <w:b/>
          <w:i/>
          <w:color w:val="000000" w:themeColor="text1"/>
          <w:szCs w:val="16"/>
        </w:rPr>
      </w:pPr>
      <w:r w:rsidRPr="00781112">
        <w:rPr>
          <w:rFonts w:cs="Arial"/>
          <w:b/>
          <w:color w:val="000000" w:themeColor="text1"/>
          <w:szCs w:val="16"/>
        </w:rPr>
        <w:t xml:space="preserve">Provide a narrative that describes the conditions youth must meet in order to graduate with a regular high school diploma. </w:t>
      </w:r>
    </w:p>
    <w:p w14:paraId="7C1B3984" w14:textId="08BD1460" w:rsidR="002D145D" w:rsidRPr="00781112" w:rsidRDefault="002B7490" w:rsidP="006618C8">
      <w:pPr>
        <w:rPr>
          <w:rFonts w:cs="Arial"/>
          <w:color w:val="000000" w:themeColor="text1"/>
          <w:szCs w:val="16"/>
        </w:rPr>
      </w:pPr>
      <w:r w:rsidRPr="00781112">
        <w:rPr>
          <w:rFonts w:cs="Arial"/>
          <w:color w:val="000000" w:themeColor="text1"/>
          <w:szCs w:val="16"/>
        </w:rPr>
        <w:t xml:space="preserve">The State offers two different regular diplomas available to K-12 students: the Oregon Diploma and the modified Oregon Diploma. The requirements for a student to earn either the Oregon Diploma or modified Oregon Diploma are the same for all students, regardless of whether they receive special education support through an IEP. </w:t>
      </w:r>
      <w:r w:rsidRPr="00781112">
        <w:rPr>
          <w:rFonts w:cs="Arial"/>
          <w:color w:val="000000" w:themeColor="text1"/>
          <w:szCs w:val="16"/>
        </w:rPr>
        <w:br/>
        <w:t xml:space="preserve">  </w:t>
      </w:r>
      <w:r w:rsidRPr="00781112">
        <w:rPr>
          <w:rFonts w:cs="Arial"/>
          <w:color w:val="000000" w:themeColor="text1"/>
          <w:szCs w:val="16"/>
        </w:rPr>
        <w:br/>
        <w:t xml:space="preserve">Graduation requirements for the regular Oregon Diploma are comprised of three distinct components: (1) achieving high academic expectations by meeting credit requirements, (2) demonstrating proficiency in the Essential Skills, and (3) completing personalized learning requirements. A student can demonstrate that they have met the requirement for high academic expectations through completion of at least 24 credits, with specific requirements for different subject areas. Generally, students are also required to demonstrate proficiency in the Essential Skills of reading, writing, and math. However, Essential Skills requirements were suspended for all students receiving a high school diploma during the 2021-22, 2022-23, and 2023-24 school years due to the pandemic. In December 2023, the Oregon State Board of Education voted to continue the suspension to 2027, citing that the way the assessments were being used was marginalizing students of color and students with disabilities. Students are expected to personalize their learning pathway through the development and implementation of an education plan and education profile. Personalized Learning requirements also include career-related learning experiences and the ability and opportunity for students to apply and extend their knowledge in skills in ways that help them pursue their post-school goals. </w:t>
      </w:r>
      <w:r w:rsidRPr="00781112">
        <w:rPr>
          <w:rFonts w:cs="Arial"/>
          <w:color w:val="000000" w:themeColor="text1"/>
          <w:szCs w:val="16"/>
        </w:rPr>
        <w:br/>
        <w:t xml:space="preserve">  </w:t>
      </w:r>
      <w:r w:rsidRPr="00781112">
        <w:rPr>
          <w:rFonts w:cs="Arial"/>
          <w:color w:val="000000" w:themeColor="text1"/>
          <w:szCs w:val="16"/>
        </w:rPr>
        <w:br/>
        <w:t xml:space="preserve">The modified Oregon Diploma is earned by students who have demonstrated an inability to meet the full set of academic content standards required for the regular Oregon Diploma, even with reasonable accommodations. To earn a modified Oregon Diploma, students are required to earn 24 credits in courses modified per student need, complete the personalized learning requirements, and demonstrate proficiency in the required Essential Skills (suspended for all students receiving a high school diploma in Oregon through 2027). To be eligible to pursue a modified Oregon Diploma, a student must have a documented history of an inability to maintain grade level achievement due to significant learning and instructional barriers or a documented history of a medical condition that creates a barrier to achievement. These graduation requirements apply to all students, including those students with IEPs. </w:t>
      </w:r>
    </w:p>
    <w:p w14:paraId="58C36CC8" w14:textId="7DE9B0CE" w:rsidR="00F672DF" w:rsidRPr="00781112" w:rsidRDefault="00F672DF" w:rsidP="006618C8">
      <w:pPr>
        <w:rPr>
          <w:rFonts w:cs="Arial"/>
          <w:b/>
          <w:color w:val="000000" w:themeColor="text1"/>
          <w:szCs w:val="16"/>
        </w:rPr>
      </w:pPr>
      <w:r w:rsidRPr="00781112">
        <w:rPr>
          <w:rFonts w:cs="Arial"/>
          <w:b/>
          <w:color w:val="000000" w:themeColor="text1"/>
          <w:szCs w:val="16"/>
        </w:rPr>
        <w:t>Are the conditions that youth with IEPs must meet to graduate with a regular high school diploma different from the conditions noted above? (yes/no)</w:t>
      </w:r>
    </w:p>
    <w:p w14:paraId="0930BD95" w14:textId="4EF39A81" w:rsidR="00F672DF" w:rsidRPr="00781112" w:rsidRDefault="00F672DF" w:rsidP="006618C8">
      <w:pPr>
        <w:rPr>
          <w:rFonts w:cs="Arial"/>
          <w:color w:val="000000" w:themeColor="text1"/>
          <w:szCs w:val="16"/>
        </w:rPr>
      </w:pPr>
      <w:r w:rsidRPr="00781112">
        <w:rPr>
          <w:rFonts w:cs="Arial"/>
          <w:color w:val="000000" w:themeColor="text1"/>
          <w:szCs w:val="16"/>
        </w:rPr>
        <w:t>NO</w:t>
      </w:r>
    </w:p>
    <w:p w14:paraId="51BF8B64" w14:textId="746664C9" w:rsidR="0098478C" w:rsidRPr="00781112" w:rsidRDefault="0098478C" w:rsidP="004369B2">
      <w:pPr>
        <w:rPr>
          <w:b/>
          <w:color w:val="000000" w:themeColor="text1"/>
        </w:rPr>
      </w:pPr>
      <w:r w:rsidRPr="00781112">
        <w:rPr>
          <w:b/>
          <w:color w:val="000000" w:themeColor="text1"/>
        </w:rPr>
        <w:lastRenderedPageBreak/>
        <w:t>Provide additional information about this indicator (optional)</w:t>
      </w:r>
    </w:p>
    <w:p w14:paraId="2CDAC437" w14:textId="58A5CDB2" w:rsidR="002D145D" w:rsidRPr="00781112" w:rsidRDefault="002D145D" w:rsidP="000E33D0">
      <w:pPr>
        <w:rPr>
          <w:rFonts w:cs="Arial"/>
          <w:color w:val="000000" w:themeColor="text1"/>
          <w:szCs w:val="16"/>
        </w:rPr>
      </w:pPr>
    </w:p>
    <w:p w14:paraId="7D2A5658" w14:textId="39995CE7" w:rsidR="000C60E1" w:rsidRPr="00781112" w:rsidRDefault="00B0742B" w:rsidP="005B40C0">
      <w:pPr>
        <w:pStyle w:val="Heading3"/>
      </w:pPr>
      <w:bookmarkStart w:id="5" w:name="_Toc382082358"/>
      <w:r w:rsidRPr="00781112">
        <w:t>1</w:t>
      </w:r>
      <w:r w:rsidR="00684B51" w:rsidRPr="00781112">
        <w:t xml:space="preserve"> </w:t>
      </w:r>
      <w:r w:rsidRPr="00781112">
        <w:t xml:space="preserve">- </w:t>
      </w:r>
      <w:r w:rsidR="002D145D" w:rsidRPr="00781112">
        <w:t>Prior FFY Required Actions</w:t>
      </w:r>
    </w:p>
    <w:p w14:paraId="42534530" w14:textId="7BEF428C" w:rsidR="002D145D" w:rsidRPr="00781112" w:rsidRDefault="002B7490" w:rsidP="00CE5723">
      <w:pPr>
        <w:rPr>
          <w:rFonts w:cs="Arial"/>
          <w:color w:val="000000" w:themeColor="text1"/>
          <w:szCs w:val="16"/>
        </w:rPr>
      </w:pPr>
      <w:r w:rsidRPr="00781112">
        <w:rPr>
          <w:rFonts w:cs="Arial"/>
          <w:color w:val="000000" w:themeColor="text1"/>
          <w:szCs w:val="16"/>
        </w:rPr>
        <w:t>None</w:t>
      </w:r>
    </w:p>
    <w:p w14:paraId="12317A47" w14:textId="75A98BEA" w:rsidR="00A2794A" w:rsidRPr="00781112" w:rsidRDefault="00A2794A" w:rsidP="00CE5723">
      <w:pPr>
        <w:rPr>
          <w:rFonts w:cs="Arial"/>
          <w:color w:val="000000" w:themeColor="text1"/>
          <w:szCs w:val="16"/>
        </w:rPr>
      </w:pPr>
    </w:p>
    <w:p w14:paraId="0D99EF95" w14:textId="4B8DDAD7" w:rsidR="004C462E" w:rsidRPr="00781112" w:rsidRDefault="00862B20" w:rsidP="005B40C0">
      <w:pPr>
        <w:pStyle w:val="Heading3"/>
      </w:pPr>
      <w:r w:rsidRPr="00781112">
        <w:t>1</w:t>
      </w:r>
      <w:r w:rsidR="00684B51" w:rsidRPr="00781112">
        <w:t xml:space="preserve"> </w:t>
      </w:r>
      <w:r w:rsidRPr="00781112">
        <w:t xml:space="preserve">- </w:t>
      </w:r>
      <w:r w:rsidR="004C462E" w:rsidRPr="00781112">
        <w:t>OSEP Response</w:t>
      </w:r>
    </w:p>
    <w:p w14:paraId="47549565" w14:textId="0718C089" w:rsidR="002D145D" w:rsidRPr="00781112" w:rsidRDefault="002D145D" w:rsidP="001F692C">
      <w:pPr>
        <w:rPr>
          <w:rFonts w:cs="Arial"/>
          <w:color w:val="000000" w:themeColor="text1"/>
          <w:szCs w:val="16"/>
        </w:rPr>
      </w:pPr>
    </w:p>
    <w:p w14:paraId="5F7376D0" w14:textId="1C114A8A" w:rsidR="004C462E" w:rsidRPr="00781112" w:rsidRDefault="00B0742B" w:rsidP="005B40C0">
      <w:pPr>
        <w:pStyle w:val="Heading3"/>
      </w:pPr>
      <w:bookmarkStart w:id="6" w:name="_Hlk21352084"/>
      <w:r w:rsidRPr="00781112">
        <w:t xml:space="preserve">1 - </w:t>
      </w:r>
      <w:bookmarkEnd w:id="6"/>
      <w:r w:rsidR="004C462E" w:rsidRPr="00781112">
        <w:t>Required Actions</w:t>
      </w:r>
    </w:p>
    <w:p w14:paraId="1EB5204A" w14:textId="0BB66F29" w:rsidR="002D145D" w:rsidRPr="00781112" w:rsidRDefault="002D145D" w:rsidP="001F692C">
      <w:pPr>
        <w:rPr>
          <w:rFonts w:cs="Arial"/>
          <w:color w:val="000000" w:themeColor="text1"/>
          <w:szCs w:val="16"/>
        </w:rPr>
      </w:pPr>
    </w:p>
    <w:p w14:paraId="14062900" w14:textId="77777777" w:rsidR="00D37BF0" w:rsidRPr="00781112" w:rsidRDefault="00D37BF0">
      <w:pPr>
        <w:spacing w:before="0" w:after="200" w:line="276" w:lineRule="auto"/>
        <w:rPr>
          <w:rFonts w:eastAsiaTheme="majorEastAsia" w:cs="Arial"/>
          <w:b/>
          <w:bCs/>
          <w:color w:val="000000" w:themeColor="text1"/>
          <w:szCs w:val="16"/>
        </w:rPr>
      </w:pPr>
      <w:bookmarkStart w:id="7" w:name="_Toc392159262"/>
      <w:r w:rsidRPr="00781112">
        <w:rPr>
          <w:rFonts w:cs="Arial"/>
          <w:color w:val="000000" w:themeColor="text1"/>
          <w:szCs w:val="16"/>
        </w:rPr>
        <w:br w:type="page"/>
      </w:r>
    </w:p>
    <w:p w14:paraId="06F42DD3" w14:textId="793A19C1" w:rsidR="00D21EAA" w:rsidRPr="00781112" w:rsidRDefault="00D21EAA" w:rsidP="005B40C0">
      <w:pPr>
        <w:pStyle w:val="Heading2"/>
      </w:pPr>
      <w:r w:rsidRPr="00781112">
        <w:rPr>
          <w:color w:val="000000" w:themeColor="text1"/>
          <w:sz w:val="22"/>
        </w:rPr>
        <w:lastRenderedPageBreak/>
        <w:t>Indicator 2: Drop Out</w:t>
      </w:r>
      <w:bookmarkEnd w:id="5"/>
      <w:bookmarkEnd w:id="7"/>
    </w:p>
    <w:p w14:paraId="7F31959F" w14:textId="2F015437" w:rsidR="002C60D5" w:rsidRPr="002C274F" w:rsidRDefault="002C60D5" w:rsidP="002C274F">
      <w:pPr>
        <w:rPr>
          <w:b/>
          <w:bCs/>
          <w:sz w:val="20"/>
          <w:szCs w:val="20"/>
        </w:rPr>
      </w:pPr>
      <w:r w:rsidRPr="002C274F">
        <w:rPr>
          <w:b/>
          <w:bCs/>
          <w:sz w:val="20"/>
          <w:szCs w:val="20"/>
        </w:rPr>
        <w:t>Instructions and Measurement</w:t>
      </w:r>
    </w:p>
    <w:p w14:paraId="135DFB11" w14:textId="77777777" w:rsidR="00820751" w:rsidRPr="00651E83" w:rsidRDefault="00820751" w:rsidP="00820751">
      <w:pPr>
        <w:pStyle w:val="Subhed"/>
      </w:pPr>
      <w:bookmarkStart w:id="8" w:name="_Toc392159263"/>
      <w:r w:rsidRPr="00651E83">
        <w:t xml:space="preserve">Monitoring Priority: </w:t>
      </w:r>
      <w:r w:rsidRPr="004A6DE5">
        <w:rPr>
          <w:b w:val="0"/>
        </w:rPr>
        <w:t>FAPE in the LRE</w:t>
      </w:r>
    </w:p>
    <w:p w14:paraId="1775856F" w14:textId="77777777" w:rsidR="00820751" w:rsidRPr="00651E83" w:rsidRDefault="00820751" w:rsidP="00820751">
      <w:pPr>
        <w:rPr>
          <w:rFonts w:cs="Arial"/>
          <w:szCs w:val="16"/>
        </w:rPr>
      </w:pPr>
      <w:r w:rsidRPr="00DC263A">
        <w:rPr>
          <w:rFonts w:cs="Arial"/>
          <w:b/>
          <w:szCs w:val="16"/>
        </w:rPr>
        <w:t>Results indicator</w:t>
      </w:r>
      <w:r w:rsidRPr="00651E83">
        <w:rPr>
          <w:rFonts w:cs="Arial"/>
          <w:szCs w:val="16"/>
        </w:rPr>
        <w:t>: Percent of youth with IEPs</w:t>
      </w:r>
      <w:r>
        <w:rPr>
          <w:rFonts w:cs="Arial"/>
          <w:szCs w:val="16"/>
        </w:rPr>
        <w:t xml:space="preserve"> who exited special education due to</w:t>
      </w:r>
      <w:r w:rsidRPr="00651E83">
        <w:rPr>
          <w:rFonts w:cs="Arial"/>
          <w:szCs w:val="16"/>
        </w:rPr>
        <w:t xml:space="preserve"> dropping out. (20 U.S.C. 1416 (a)(3)(A))</w:t>
      </w:r>
    </w:p>
    <w:p w14:paraId="128CA707" w14:textId="77777777" w:rsidR="00820751" w:rsidRPr="00651E83" w:rsidRDefault="00820751" w:rsidP="00820751">
      <w:pPr>
        <w:pStyle w:val="Subhed"/>
      </w:pPr>
      <w:r w:rsidRPr="00651E83">
        <w:t>Data Source</w:t>
      </w:r>
    </w:p>
    <w:p w14:paraId="38F077C2" w14:textId="77777777" w:rsidR="00820751" w:rsidRPr="00651E83" w:rsidRDefault="00820751" w:rsidP="00820751">
      <w:pPr>
        <w:rPr>
          <w:rFonts w:cs="Arial"/>
          <w:szCs w:val="16"/>
        </w:rPr>
      </w:pPr>
      <w:bookmarkStart w:id="9" w:name="_Hlk51055176"/>
      <w:r w:rsidRPr="00651E83">
        <w:rPr>
          <w:rFonts w:cs="Arial"/>
          <w:szCs w:val="16"/>
        </w:rPr>
        <w:t>Same data as used for reporting to the Department under section 618 of the Individuals with Disabilities Education Act (IDEA), using the definitions in ED</w:t>
      </w:r>
      <w:r w:rsidRPr="00BA3DBE">
        <w:rPr>
          <w:rFonts w:cs="Arial"/>
          <w:i/>
          <w:iCs/>
          <w:szCs w:val="16"/>
        </w:rPr>
        <w:t>Facts</w:t>
      </w:r>
      <w:r w:rsidRPr="00651E83">
        <w:rPr>
          <w:rFonts w:cs="Arial"/>
          <w:szCs w:val="16"/>
        </w:rPr>
        <w:t xml:space="preserve"> file specification FS009.</w:t>
      </w:r>
    </w:p>
    <w:bookmarkEnd w:id="9"/>
    <w:p w14:paraId="36189637" w14:textId="77777777" w:rsidR="00820751" w:rsidRPr="00651E83" w:rsidRDefault="00820751" w:rsidP="00820751">
      <w:pPr>
        <w:pStyle w:val="Subhed"/>
      </w:pPr>
      <w:r w:rsidRPr="00651E83">
        <w:t>Measurement</w:t>
      </w:r>
    </w:p>
    <w:p w14:paraId="68477D3E" w14:textId="77777777" w:rsidR="00820751" w:rsidRPr="00651E83" w:rsidRDefault="00820751" w:rsidP="00820751">
      <w:pPr>
        <w:rPr>
          <w:rFonts w:cs="Arial"/>
          <w:szCs w:val="16"/>
        </w:rPr>
      </w:pPr>
      <w:r w:rsidRPr="00651E83">
        <w:rPr>
          <w:rFonts w:cs="Arial"/>
          <w:szCs w:val="16"/>
        </w:rPr>
        <w:t>States must report a percentage using the number of youth with IEPs (ages 14-21) who exited special education due to dropping out in the numerator and the number of all youth with IEPs who exited special education (ages 14-21) in the denominator.</w:t>
      </w:r>
    </w:p>
    <w:p w14:paraId="199C9562" w14:textId="77777777" w:rsidR="00820751" w:rsidRPr="00651E83" w:rsidRDefault="00820751" w:rsidP="00820751">
      <w:pPr>
        <w:pStyle w:val="Subhed"/>
      </w:pPr>
      <w:r w:rsidRPr="00651E83">
        <w:t>Instructions</w:t>
      </w:r>
    </w:p>
    <w:p w14:paraId="271B8C9F" w14:textId="77777777" w:rsidR="00820751" w:rsidRPr="00FE4C6C" w:rsidRDefault="00820751" w:rsidP="00820751">
      <w:pPr>
        <w:rPr>
          <w:rFonts w:cs="Arial"/>
          <w:i/>
          <w:iCs/>
          <w:szCs w:val="16"/>
        </w:rPr>
      </w:pPr>
      <w:r w:rsidRPr="00FE4C6C">
        <w:rPr>
          <w:rFonts w:cs="Arial"/>
          <w:i/>
          <w:iCs/>
          <w:szCs w:val="16"/>
        </w:rPr>
        <w:t>Sampling is not allowed.</w:t>
      </w:r>
    </w:p>
    <w:p w14:paraId="66EE7631" w14:textId="482E3D6F" w:rsidR="00820751" w:rsidRDefault="00820751" w:rsidP="00820751">
      <w:pPr>
        <w:rPr>
          <w:rFonts w:cs="Arial"/>
          <w:szCs w:val="16"/>
        </w:rPr>
      </w:pPr>
      <w:r w:rsidRPr="00937503">
        <w:rPr>
          <w:rFonts w:cs="Arial"/>
          <w:szCs w:val="16"/>
        </w:rPr>
        <w:t>Data for this indicator are “lag” data. Describe the results of the State’s examination of the section 618 exiting data for the year before the reporting year (e.g., for the FFY 2023 SPP/APR, use data from 2022-2023), and compare the results to the target.</w:t>
      </w:r>
    </w:p>
    <w:p w14:paraId="5D5E271B" w14:textId="3F25DDFB" w:rsidR="00820751" w:rsidRPr="00651E83" w:rsidRDefault="00820751" w:rsidP="00820751">
      <w:pPr>
        <w:rPr>
          <w:rFonts w:cs="Arial"/>
          <w:szCs w:val="16"/>
        </w:rPr>
      </w:pPr>
      <w:r w:rsidRPr="00651E83">
        <w:rPr>
          <w:rFonts w:cs="Arial"/>
          <w:szCs w:val="16"/>
        </w:rPr>
        <w:t xml:space="preserve">Include in the denominator the following exiting categories: (a) graduated with a regular high school diploma; (b) graduated with a state-defined alternate diploma; (c) received a certificate; (d) reached maximum age; or (e) dropped out. </w:t>
      </w:r>
    </w:p>
    <w:p w14:paraId="000F1718" w14:textId="77777777" w:rsidR="00820751" w:rsidRPr="00651E83" w:rsidRDefault="00820751" w:rsidP="00820751">
      <w:pPr>
        <w:rPr>
          <w:rFonts w:cs="Arial"/>
          <w:szCs w:val="16"/>
        </w:rPr>
      </w:pPr>
      <w:r w:rsidRPr="00651E83">
        <w:rPr>
          <w:rFonts w:cs="Arial"/>
          <w:szCs w:val="16"/>
        </w:rPr>
        <w:t>Do not include in the denominator the number of youths with IEPs who exited special education due to: (a) transferring to regular education; or (b) who moved but are known to be continuing in an educational program.</w:t>
      </w:r>
    </w:p>
    <w:p w14:paraId="37EF3DEB" w14:textId="77777777" w:rsidR="00820751" w:rsidRDefault="00820751" w:rsidP="00820751">
      <w:pPr>
        <w:rPr>
          <w:rFonts w:cs="Arial"/>
          <w:szCs w:val="16"/>
        </w:rPr>
      </w:pPr>
      <w:r w:rsidRPr="0019013F">
        <w:rPr>
          <w:rFonts w:cs="Arial"/>
          <w:szCs w:val="16"/>
        </w:rPr>
        <w:t>Provide a narrative that describes what counts as dropping out for all youth. Please explain if there is a difference between what counts as dropping out for all students and what counts as dropping out for students with IEPs.</w:t>
      </w:r>
    </w:p>
    <w:bookmarkEnd w:id="8"/>
    <w:p w14:paraId="7F3C4C70" w14:textId="5E656134" w:rsidR="002C60D5" w:rsidRPr="00781112" w:rsidRDefault="00F914B4" w:rsidP="005B40C0">
      <w:pPr>
        <w:pStyle w:val="Heading3"/>
      </w:pPr>
      <w:r w:rsidRPr="00781112">
        <w:t>2</w:t>
      </w:r>
      <w:r w:rsidR="00684B51" w:rsidRPr="00781112">
        <w:t xml:space="preserve"> </w:t>
      </w:r>
      <w:r w:rsidRPr="00781112">
        <w:t xml:space="preserve">- </w:t>
      </w:r>
      <w:r w:rsidR="002C60D5" w:rsidRPr="00781112">
        <w:t>Indicator Data</w:t>
      </w:r>
    </w:p>
    <w:p w14:paraId="6F5DCECF" w14:textId="010D8D2A" w:rsidR="00907A35" w:rsidRPr="00781112" w:rsidRDefault="00907A35" w:rsidP="004369B2">
      <w:pPr>
        <w:rPr>
          <w:b/>
          <w:color w:val="000000" w:themeColor="text1"/>
        </w:rPr>
      </w:pPr>
      <w:r w:rsidRPr="00781112">
        <w:rPr>
          <w:b/>
          <w:color w:val="000000" w:themeColor="text1"/>
        </w:rPr>
        <w:t>Historical Data</w:t>
      </w:r>
      <w:r w:rsidR="00A6012B">
        <w:rPr>
          <w:rStyle w:val="FootnoteReference"/>
          <w:b/>
          <w:color w:val="000000" w:themeColor="text1"/>
        </w:rPr>
        <w:footnoteReference w:id="4"/>
      </w:r>
    </w:p>
    <w:tbl>
      <w:tblPr>
        <w:tblStyle w:val="TableGrid"/>
        <w:tblW w:w="0" w:type="auto"/>
        <w:tblLayout w:type="fixed"/>
        <w:tblLook w:val="04A0" w:firstRow="1" w:lastRow="0" w:firstColumn="1" w:lastColumn="0" w:noHBand="0" w:noVBand="1"/>
        <w:tblCaption w:val="B02BASELINEDATA"/>
      </w:tblPr>
      <w:tblGrid>
        <w:gridCol w:w="1797"/>
        <w:gridCol w:w="1798"/>
      </w:tblGrid>
      <w:tr w:rsidR="008F3F33" w:rsidRPr="00781112" w14:paraId="628BEDAF" w14:textId="77777777" w:rsidTr="0033429D">
        <w:trPr>
          <w:trHeight w:val="311"/>
          <w:tblHeader/>
        </w:trPr>
        <w:tc>
          <w:tcPr>
            <w:tcW w:w="1797" w:type="dxa"/>
          </w:tcPr>
          <w:p w14:paraId="43FEF78C" w14:textId="77777777" w:rsidR="008F3F33" w:rsidRPr="00781112" w:rsidRDefault="008F3F33" w:rsidP="002B6965">
            <w:pPr>
              <w:jc w:val="center"/>
              <w:rPr>
                <w:b/>
                <w:color w:val="000000" w:themeColor="text1"/>
              </w:rPr>
            </w:pPr>
            <w:r w:rsidRPr="00781112">
              <w:rPr>
                <w:rFonts w:cs="Arial"/>
                <w:b/>
                <w:color w:val="000000" w:themeColor="text1"/>
                <w:szCs w:val="16"/>
              </w:rPr>
              <w:t>Baseline Year</w:t>
            </w:r>
          </w:p>
        </w:tc>
        <w:tc>
          <w:tcPr>
            <w:tcW w:w="1798" w:type="dxa"/>
          </w:tcPr>
          <w:p w14:paraId="276B82F6" w14:textId="77777777" w:rsidR="008F3F33" w:rsidRPr="00781112" w:rsidRDefault="008F3F33" w:rsidP="002B6965">
            <w:pPr>
              <w:jc w:val="center"/>
              <w:rPr>
                <w:b/>
                <w:color w:val="000000" w:themeColor="text1"/>
              </w:rPr>
            </w:pPr>
            <w:r w:rsidRPr="00781112">
              <w:rPr>
                <w:b/>
                <w:color w:val="000000" w:themeColor="text1"/>
              </w:rPr>
              <w:t>Baseline Data</w:t>
            </w:r>
          </w:p>
        </w:tc>
      </w:tr>
      <w:tr w:rsidR="008F3F33" w:rsidRPr="00781112" w14:paraId="4706A01B" w14:textId="77777777" w:rsidTr="0033429D">
        <w:trPr>
          <w:trHeight w:val="311"/>
        </w:trPr>
        <w:tc>
          <w:tcPr>
            <w:tcW w:w="1797" w:type="dxa"/>
            <w:vAlign w:val="center"/>
          </w:tcPr>
          <w:p w14:paraId="2D2A3601" w14:textId="2E05C132" w:rsidR="008F3F33" w:rsidRPr="00781112" w:rsidRDefault="008F3F33" w:rsidP="002B6965">
            <w:pPr>
              <w:jc w:val="center"/>
              <w:rPr>
                <w:bCs/>
                <w:color w:val="000000" w:themeColor="text1"/>
              </w:rPr>
            </w:pPr>
            <w:r w:rsidRPr="00781112">
              <w:rPr>
                <w:bCs/>
                <w:color w:val="000000" w:themeColor="text1"/>
              </w:rPr>
              <w:t>2020</w:t>
            </w:r>
          </w:p>
        </w:tc>
        <w:tc>
          <w:tcPr>
            <w:tcW w:w="1798" w:type="dxa"/>
            <w:vAlign w:val="center"/>
          </w:tcPr>
          <w:p w14:paraId="47669FA0" w14:textId="71ECEF5D" w:rsidR="008F3F33" w:rsidRPr="00781112" w:rsidRDefault="008F3F33" w:rsidP="002B6965">
            <w:pPr>
              <w:jc w:val="center"/>
              <w:rPr>
                <w:bCs/>
                <w:color w:val="000000" w:themeColor="text1"/>
              </w:rPr>
            </w:pPr>
            <w:r w:rsidRPr="00781112">
              <w:rPr>
                <w:bCs/>
                <w:color w:val="000000" w:themeColor="text1"/>
              </w:rPr>
              <w:t>12.87%</w:t>
            </w:r>
          </w:p>
        </w:tc>
      </w:tr>
    </w:tbl>
    <w:p w14:paraId="1D724648" w14:textId="77777777" w:rsidR="008F3F33" w:rsidRPr="00781112" w:rsidRDefault="008F3F33"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HISTDATA"/>
      </w:tblPr>
      <w:tblGrid>
        <w:gridCol w:w="1798"/>
        <w:gridCol w:w="1798"/>
        <w:gridCol w:w="1798"/>
        <w:gridCol w:w="1798"/>
        <w:gridCol w:w="1798"/>
        <w:gridCol w:w="1800"/>
      </w:tblGrid>
      <w:tr w:rsidR="005C29F8" w:rsidRPr="00781112" w14:paraId="4B5BBF62" w14:textId="77777777" w:rsidTr="00DF4C35">
        <w:trPr>
          <w:trHeight w:val="350"/>
        </w:trPr>
        <w:tc>
          <w:tcPr>
            <w:tcW w:w="833" w:type="pct"/>
            <w:tcBorders>
              <w:bottom w:val="single" w:sz="4" w:space="0" w:color="auto"/>
            </w:tcBorders>
            <w:shd w:val="clear" w:color="auto" w:fill="auto"/>
          </w:tcPr>
          <w:p w14:paraId="7CE940CD" w14:textId="77777777" w:rsidR="00907A35" w:rsidRPr="00781112" w:rsidRDefault="00907A35" w:rsidP="004369B2">
            <w:pPr>
              <w:jc w:val="center"/>
              <w:rPr>
                <w:b/>
                <w:color w:val="000000" w:themeColor="text1"/>
              </w:rPr>
            </w:pPr>
            <w:r w:rsidRPr="00781112">
              <w:rPr>
                <w:b/>
                <w:color w:val="000000" w:themeColor="text1"/>
              </w:rPr>
              <w:t>FFY</w:t>
            </w:r>
          </w:p>
        </w:tc>
        <w:tc>
          <w:tcPr>
            <w:tcW w:w="833" w:type="pct"/>
            <w:shd w:val="clear" w:color="auto" w:fill="auto"/>
          </w:tcPr>
          <w:p w14:paraId="1B67E69F" w14:textId="56F9072E" w:rsidR="00907A35" w:rsidRPr="00781112" w:rsidRDefault="002B7490" w:rsidP="00894709">
            <w:pPr>
              <w:jc w:val="center"/>
              <w:rPr>
                <w:b/>
                <w:color w:val="000000" w:themeColor="text1"/>
              </w:rPr>
            </w:pPr>
            <w:r w:rsidRPr="00781112">
              <w:rPr>
                <w:b/>
                <w:color w:val="000000" w:themeColor="text1"/>
              </w:rPr>
              <w:t>2018</w:t>
            </w:r>
          </w:p>
        </w:tc>
        <w:tc>
          <w:tcPr>
            <w:tcW w:w="833" w:type="pct"/>
            <w:shd w:val="clear" w:color="auto" w:fill="auto"/>
          </w:tcPr>
          <w:p w14:paraId="7C0715D5" w14:textId="197F633E" w:rsidR="00907A35" w:rsidRPr="00781112" w:rsidRDefault="002B7490" w:rsidP="00894709">
            <w:pPr>
              <w:jc w:val="center"/>
              <w:rPr>
                <w:b/>
                <w:color w:val="000000" w:themeColor="text1"/>
              </w:rPr>
            </w:pPr>
            <w:r w:rsidRPr="00781112">
              <w:rPr>
                <w:b/>
                <w:color w:val="000000" w:themeColor="text1"/>
              </w:rPr>
              <w:t>2019</w:t>
            </w:r>
          </w:p>
        </w:tc>
        <w:tc>
          <w:tcPr>
            <w:tcW w:w="833" w:type="pct"/>
            <w:shd w:val="clear" w:color="auto" w:fill="auto"/>
          </w:tcPr>
          <w:p w14:paraId="36DD95CC" w14:textId="1D95C11E" w:rsidR="00907A35" w:rsidRPr="00781112" w:rsidRDefault="002B7490" w:rsidP="00894709">
            <w:pPr>
              <w:jc w:val="center"/>
              <w:rPr>
                <w:b/>
                <w:color w:val="000000" w:themeColor="text1"/>
              </w:rPr>
            </w:pPr>
            <w:r w:rsidRPr="00781112">
              <w:rPr>
                <w:b/>
                <w:color w:val="000000" w:themeColor="text1"/>
              </w:rPr>
              <w:t>2020</w:t>
            </w:r>
          </w:p>
        </w:tc>
        <w:tc>
          <w:tcPr>
            <w:tcW w:w="833" w:type="pct"/>
            <w:shd w:val="clear" w:color="auto" w:fill="auto"/>
          </w:tcPr>
          <w:p w14:paraId="6DC8920B" w14:textId="560E0E60" w:rsidR="00907A35" w:rsidRPr="00781112" w:rsidRDefault="002B7490" w:rsidP="00894709">
            <w:pPr>
              <w:jc w:val="center"/>
              <w:rPr>
                <w:b/>
                <w:color w:val="000000" w:themeColor="text1"/>
              </w:rPr>
            </w:pPr>
            <w:r w:rsidRPr="00781112">
              <w:rPr>
                <w:b/>
                <w:color w:val="000000" w:themeColor="text1"/>
              </w:rPr>
              <w:t>2021</w:t>
            </w:r>
          </w:p>
        </w:tc>
        <w:tc>
          <w:tcPr>
            <w:tcW w:w="834" w:type="pct"/>
            <w:shd w:val="clear" w:color="auto" w:fill="auto"/>
          </w:tcPr>
          <w:p w14:paraId="42978F28" w14:textId="43280835" w:rsidR="00907A35" w:rsidRPr="00781112" w:rsidRDefault="002B7490" w:rsidP="00894709">
            <w:pPr>
              <w:jc w:val="center"/>
              <w:rPr>
                <w:b/>
                <w:color w:val="000000" w:themeColor="text1"/>
              </w:rPr>
            </w:pPr>
            <w:r w:rsidRPr="00781112">
              <w:rPr>
                <w:b/>
                <w:color w:val="000000" w:themeColor="text1"/>
              </w:rPr>
              <w:t>2022</w:t>
            </w:r>
          </w:p>
        </w:tc>
      </w:tr>
      <w:tr w:rsidR="005C29F8" w:rsidRPr="00781112" w14:paraId="58F3D93E" w14:textId="77777777" w:rsidTr="00DF4C35">
        <w:trPr>
          <w:trHeight w:val="357"/>
        </w:trPr>
        <w:tc>
          <w:tcPr>
            <w:tcW w:w="833" w:type="pct"/>
            <w:shd w:val="clear" w:color="auto" w:fill="auto"/>
            <w:vAlign w:val="center"/>
          </w:tcPr>
          <w:p w14:paraId="19C9E1E1" w14:textId="72240B64" w:rsidR="00907A35" w:rsidRPr="00781112" w:rsidRDefault="00907A35" w:rsidP="00BA3DBE">
            <w:pPr>
              <w:jc w:val="center"/>
              <w:rPr>
                <w:rFonts w:cs="Arial"/>
                <w:color w:val="000000" w:themeColor="text1"/>
                <w:szCs w:val="16"/>
              </w:rPr>
            </w:pPr>
            <w:r w:rsidRPr="00781112">
              <w:rPr>
                <w:rFonts w:cs="Arial"/>
                <w:color w:val="000000" w:themeColor="text1"/>
                <w:szCs w:val="16"/>
              </w:rPr>
              <w:t xml:space="preserve">Target </w:t>
            </w:r>
            <w:r w:rsidR="0051170F" w:rsidRPr="00781112">
              <w:rPr>
                <w:rFonts w:cs="Arial"/>
                <w:color w:val="000000" w:themeColor="text1"/>
                <w:szCs w:val="16"/>
                <w:shd w:val="clear" w:color="auto" w:fill="FFFFFF"/>
              </w:rPr>
              <w:t>&lt;=</w:t>
            </w:r>
          </w:p>
        </w:tc>
        <w:tc>
          <w:tcPr>
            <w:tcW w:w="833" w:type="pct"/>
            <w:shd w:val="clear" w:color="auto" w:fill="auto"/>
            <w:vAlign w:val="center"/>
          </w:tcPr>
          <w:p w14:paraId="70EB2EF4" w14:textId="3E0F0873" w:rsidR="00907A35" w:rsidRPr="00781112" w:rsidRDefault="002B7490" w:rsidP="00E0321D">
            <w:pPr>
              <w:jc w:val="center"/>
              <w:rPr>
                <w:rFonts w:cs="Arial"/>
                <w:color w:val="000000" w:themeColor="text1"/>
                <w:szCs w:val="16"/>
              </w:rPr>
            </w:pPr>
            <w:r w:rsidRPr="00781112">
              <w:rPr>
                <w:rFonts w:cs="Arial"/>
                <w:color w:val="000000" w:themeColor="text1"/>
                <w:szCs w:val="16"/>
              </w:rPr>
              <w:t>3.10%</w:t>
            </w:r>
          </w:p>
        </w:tc>
        <w:tc>
          <w:tcPr>
            <w:tcW w:w="833" w:type="pct"/>
            <w:shd w:val="clear" w:color="auto" w:fill="auto"/>
            <w:vAlign w:val="center"/>
          </w:tcPr>
          <w:p w14:paraId="09754C04" w14:textId="6AA1C908" w:rsidR="00907A35" w:rsidRPr="00781112" w:rsidRDefault="002B7490" w:rsidP="00E0321D">
            <w:pPr>
              <w:jc w:val="center"/>
              <w:rPr>
                <w:rFonts w:cs="Arial"/>
                <w:color w:val="000000" w:themeColor="text1"/>
                <w:szCs w:val="16"/>
              </w:rPr>
            </w:pPr>
            <w:r w:rsidRPr="00781112">
              <w:rPr>
                <w:rFonts w:cs="Arial"/>
                <w:color w:val="000000" w:themeColor="text1"/>
                <w:szCs w:val="16"/>
              </w:rPr>
              <w:t>3.10%</w:t>
            </w:r>
          </w:p>
        </w:tc>
        <w:tc>
          <w:tcPr>
            <w:tcW w:w="833" w:type="pct"/>
            <w:shd w:val="clear" w:color="auto" w:fill="auto"/>
            <w:vAlign w:val="center"/>
          </w:tcPr>
          <w:p w14:paraId="73F1F537" w14:textId="213B7CF6" w:rsidR="00907A35" w:rsidRPr="00781112" w:rsidRDefault="002B7490" w:rsidP="00E0321D">
            <w:pPr>
              <w:jc w:val="center"/>
              <w:rPr>
                <w:rFonts w:cs="Arial"/>
                <w:color w:val="000000" w:themeColor="text1"/>
                <w:szCs w:val="16"/>
              </w:rPr>
            </w:pPr>
            <w:r w:rsidRPr="00781112">
              <w:rPr>
                <w:rFonts w:cs="Arial"/>
                <w:color w:val="000000" w:themeColor="text1"/>
                <w:szCs w:val="16"/>
              </w:rPr>
              <w:t>12.87%</w:t>
            </w:r>
          </w:p>
        </w:tc>
        <w:tc>
          <w:tcPr>
            <w:tcW w:w="833" w:type="pct"/>
            <w:shd w:val="clear" w:color="auto" w:fill="auto"/>
            <w:vAlign w:val="center"/>
          </w:tcPr>
          <w:p w14:paraId="24592EED" w14:textId="5BE30DC5" w:rsidR="00907A35" w:rsidRPr="00781112" w:rsidRDefault="002B7490" w:rsidP="00E0321D">
            <w:pPr>
              <w:jc w:val="center"/>
              <w:rPr>
                <w:rFonts w:cs="Arial"/>
                <w:color w:val="000000" w:themeColor="text1"/>
                <w:szCs w:val="16"/>
              </w:rPr>
            </w:pPr>
            <w:r w:rsidRPr="00781112">
              <w:rPr>
                <w:rFonts w:cs="Arial"/>
                <w:color w:val="000000" w:themeColor="text1"/>
                <w:szCs w:val="16"/>
              </w:rPr>
              <w:t>12.52%</w:t>
            </w:r>
          </w:p>
        </w:tc>
        <w:tc>
          <w:tcPr>
            <w:tcW w:w="834" w:type="pct"/>
            <w:shd w:val="clear" w:color="auto" w:fill="auto"/>
            <w:vAlign w:val="center"/>
          </w:tcPr>
          <w:p w14:paraId="0C69FBF7" w14:textId="5FED7341" w:rsidR="00907A35" w:rsidRPr="00781112" w:rsidRDefault="002B7490" w:rsidP="00E0321D">
            <w:pPr>
              <w:jc w:val="center"/>
              <w:rPr>
                <w:rFonts w:cs="Arial"/>
                <w:color w:val="000000" w:themeColor="text1"/>
                <w:szCs w:val="16"/>
              </w:rPr>
            </w:pPr>
            <w:r w:rsidRPr="00781112">
              <w:rPr>
                <w:rFonts w:cs="Arial"/>
                <w:color w:val="000000" w:themeColor="text1"/>
                <w:szCs w:val="16"/>
              </w:rPr>
              <w:t>12.17%</w:t>
            </w:r>
          </w:p>
        </w:tc>
      </w:tr>
      <w:tr w:rsidR="005C29F8" w:rsidRPr="00781112" w14:paraId="06558B7E" w14:textId="77777777" w:rsidTr="00DF4C35">
        <w:trPr>
          <w:trHeight w:val="85"/>
        </w:trPr>
        <w:tc>
          <w:tcPr>
            <w:tcW w:w="833" w:type="pct"/>
            <w:shd w:val="clear" w:color="auto" w:fill="auto"/>
            <w:vAlign w:val="center"/>
          </w:tcPr>
          <w:p w14:paraId="1DE2074D" w14:textId="77777777" w:rsidR="00907A35" w:rsidRPr="00781112" w:rsidRDefault="00907A3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33EDE68" w14:textId="28E51F4E" w:rsidR="00907A35" w:rsidRPr="00781112" w:rsidRDefault="002B7490" w:rsidP="00E0321D">
            <w:pPr>
              <w:jc w:val="center"/>
              <w:rPr>
                <w:rFonts w:cs="Arial"/>
                <w:color w:val="000000" w:themeColor="text1"/>
                <w:szCs w:val="16"/>
              </w:rPr>
            </w:pPr>
            <w:r w:rsidRPr="00781112">
              <w:rPr>
                <w:rFonts w:cs="Arial"/>
                <w:color w:val="000000" w:themeColor="text1"/>
                <w:szCs w:val="16"/>
              </w:rPr>
              <w:t>4.86%</w:t>
            </w:r>
          </w:p>
        </w:tc>
        <w:tc>
          <w:tcPr>
            <w:tcW w:w="833" w:type="pct"/>
            <w:shd w:val="clear" w:color="auto" w:fill="auto"/>
            <w:vAlign w:val="center"/>
          </w:tcPr>
          <w:p w14:paraId="1DE6EF8F" w14:textId="2C6399B2" w:rsidR="00907A35" w:rsidRPr="00781112" w:rsidRDefault="002B7490" w:rsidP="00E0321D">
            <w:pPr>
              <w:jc w:val="center"/>
              <w:rPr>
                <w:rFonts w:cs="Arial"/>
                <w:color w:val="000000" w:themeColor="text1"/>
                <w:szCs w:val="16"/>
              </w:rPr>
            </w:pPr>
            <w:r w:rsidRPr="00781112">
              <w:rPr>
                <w:rFonts w:cs="Arial"/>
                <w:color w:val="000000" w:themeColor="text1"/>
                <w:szCs w:val="16"/>
              </w:rPr>
              <w:t>4.70%</w:t>
            </w:r>
          </w:p>
        </w:tc>
        <w:tc>
          <w:tcPr>
            <w:tcW w:w="833" w:type="pct"/>
            <w:tcBorders>
              <w:bottom w:val="single" w:sz="4" w:space="0" w:color="auto"/>
            </w:tcBorders>
            <w:shd w:val="clear" w:color="auto" w:fill="auto"/>
            <w:vAlign w:val="center"/>
          </w:tcPr>
          <w:p w14:paraId="3F810822" w14:textId="70D15FEC" w:rsidR="00907A35" w:rsidRPr="00781112" w:rsidRDefault="002B7490" w:rsidP="00E0321D">
            <w:pPr>
              <w:jc w:val="center"/>
              <w:rPr>
                <w:rFonts w:cs="Arial"/>
                <w:color w:val="000000" w:themeColor="text1"/>
                <w:szCs w:val="16"/>
              </w:rPr>
            </w:pPr>
            <w:r w:rsidRPr="00781112">
              <w:rPr>
                <w:rFonts w:cs="Arial"/>
                <w:color w:val="000000" w:themeColor="text1"/>
                <w:szCs w:val="16"/>
              </w:rPr>
              <w:t>12.87%</w:t>
            </w:r>
          </w:p>
        </w:tc>
        <w:tc>
          <w:tcPr>
            <w:tcW w:w="833" w:type="pct"/>
            <w:tcBorders>
              <w:bottom w:val="single" w:sz="4" w:space="0" w:color="auto"/>
            </w:tcBorders>
            <w:shd w:val="clear" w:color="auto" w:fill="auto"/>
            <w:vAlign w:val="center"/>
          </w:tcPr>
          <w:p w14:paraId="5421E042" w14:textId="6AE010E9" w:rsidR="00907A35" w:rsidRPr="00781112" w:rsidRDefault="002B7490" w:rsidP="00E0321D">
            <w:pPr>
              <w:jc w:val="center"/>
              <w:rPr>
                <w:rFonts w:cs="Arial"/>
                <w:color w:val="000000" w:themeColor="text1"/>
                <w:szCs w:val="16"/>
              </w:rPr>
            </w:pPr>
            <w:r w:rsidRPr="00781112">
              <w:rPr>
                <w:rFonts w:cs="Arial"/>
                <w:color w:val="000000" w:themeColor="text1"/>
                <w:szCs w:val="16"/>
              </w:rPr>
              <w:t>8.16%</w:t>
            </w:r>
          </w:p>
        </w:tc>
        <w:tc>
          <w:tcPr>
            <w:tcW w:w="834" w:type="pct"/>
            <w:tcBorders>
              <w:bottom w:val="single" w:sz="4" w:space="0" w:color="auto"/>
            </w:tcBorders>
            <w:shd w:val="clear" w:color="auto" w:fill="auto"/>
            <w:vAlign w:val="center"/>
          </w:tcPr>
          <w:p w14:paraId="32A53100" w14:textId="125B9065" w:rsidR="00907A35" w:rsidRPr="00781112" w:rsidRDefault="002B7490" w:rsidP="00E0321D">
            <w:pPr>
              <w:jc w:val="center"/>
              <w:rPr>
                <w:rFonts w:cs="Arial"/>
                <w:color w:val="000000" w:themeColor="text1"/>
                <w:szCs w:val="16"/>
              </w:rPr>
            </w:pPr>
            <w:r w:rsidRPr="00781112">
              <w:rPr>
                <w:rFonts w:cs="Arial"/>
                <w:color w:val="000000" w:themeColor="text1"/>
                <w:szCs w:val="16"/>
              </w:rPr>
              <w:t>23.52%</w:t>
            </w:r>
          </w:p>
        </w:tc>
      </w:tr>
    </w:tbl>
    <w:p w14:paraId="2E8ED284" w14:textId="77777777" w:rsidR="00654A4B" w:rsidRPr="00781112" w:rsidRDefault="00654A4B" w:rsidP="004369B2">
      <w:pPr>
        <w:rPr>
          <w:color w:val="000000" w:themeColor="text1"/>
        </w:rPr>
      </w:pPr>
    </w:p>
    <w:p w14:paraId="1AD526FC" w14:textId="0D130AB7" w:rsidR="00907A35" w:rsidRPr="00781112" w:rsidRDefault="00907A35" w:rsidP="004369B2">
      <w:pPr>
        <w:rPr>
          <w:color w:val="000000" w:themeColor="text1"/>
        </w:rPr>
      </w:pPr>
      <w:r w:rsidRPr="00781112">
        <w:rPr>
          <w:b/>
          <w:color w:val="000000" w:themeColor="text1"/>
        </w:rPr>
        <w:t>Targets</w:t>
      </w:r>
    </w:p>
    <w:tbl>
      <w:tblPr>
        <w:tblW w:w="2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TARGETS"/>
      </w:tblPr>
      <w:tblGrid>
        <w:gridCol w:w="734"/>
        <w:gridCol w:w="1677"/>
        <w:gridCol w:w="1677"/>
        <w:gridCol w:w="1676"/>
      </w:tblGrid>
      <w:tr w:rsidR="0094481B" w:rsidRPr="00781112" w14:paraId="029A4CCE" w14:textId="7CD6FC1B" w:rsidTr="00FE4611">
        <w:trPr>
          <w:trHeight w:val="378"/>
        </w:trPr>
        <w:tc>
          <w:tcPr>
            <w:tcW w:w="636" w:type="pct"/>
            <w:tcBorders>
              <w:bottom w:val="single" w:sz="4" w:space="0" w:color="auto"/>
            </w:tcBorders>
            <w:shd w:val="clear" w:color="auto" w:fill="auto"/>
          </w:tcPr>
          <w:p w14:paraId="7E454C96" w14:textId="77777777" w:rsidR="0094481B" w:rsidRPr="00781112" w:rsidRDefault="0094481B" w:rsidP="00373F78">
            <w:pPr>
              <w:jc w:val="center"/>
              <w:rPr>
                <w:b/>
                <w:color w:val="000000" w:themeColor="text1"/>
              </w:rPr>
            </w:pPr>
            <w:r w:rsidRPr="00781112">
              <w:rPr>
                <w:b/>
                <w:color w:val="000000" w:themeColor="text1"/>
              </w:rPr>
              <w:t>FFY</w:t>
            </w:r>
          </w:p>
        </w:tc>
        <w:tc>
          <w:tcPr>
            <w:tcW w:w="1455" w:type="pct"/>
            <w:shd w:val="clear" w:color="auto" w:fill="auto"/>
            <w:vAlign w:val="center"/>
          </w:tcPr>
          <w:p w14:paraId="43981BCA" w14:textId="46BADE94" w:rsidR="0094481B" w:rsidRPr="00781112" w:rsidRDefault="0094481B" w:rsidP="00373F78">
            <w:pPr>
              <w:jc w:val="center"/>
              <w:rPr>
                <w:b/>
                <w:color w:val="000000" w:themeColor="text1"/>
              </w:rPr>
            </w:pPr>
            <w:r w:rsidRPr="00781112">
              <w:rPr>
                <w:b/>
                <w:color w:val="000000" w:themeColor="text1"/>
              </w:rPr>
              <w:t>2023</w:t>
            </w:r>
          </w:p>
        </w:tc>
        <w:tc>
          <w:tcPr>
            <w:tcW w:w="1455" w:type="pct"/>
          </w:tcPr>
          <w:p w14:paraId="5E92A3B3" w14:textId="014BC7EC" w:rsidR="0094481B" w:rsidRPr="00781112" w:rsidRDefault="0094481B" w:rsidP="00373F78">
            <w:pPr>
              <w:jc w:val="center"/>
              <w:rPr>
                <w:b/>
                <w:color w:val="000000" w:themeColor="text1"/>
              </w:rPr>
            </w:pPr>
            <w:r w:rsidRPr="00781112">
              <w:rPr>
                <w:rFonts w:cs="Arial"/>
                <w:b/>
                <w:color w:val="000000" w:themeColor="text1"/>
                <w:szCs w:val="16"/>
              </w:rPr>
              <w:t>2024</w:t>
            </w:r>
          </w:p>
        </w:tc>
        <w:tc>
          <w:tcPr>
            <w:tcW w:w="1455" w:type="pct"/>
          </w:tcPr>
          <w:p w14:paraId="3A9EE8AA" w14:textId="53416CB2"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74AFE5A4" w14:textId="4CB3606D" w:rsidTr="00FE4611">
        <w:trPr>
          <w:trHeight w:val="386"/>
        </w:trPr>
        <w:tc>
          <w:tcPr>
            <w:tcW w:w="636" w:type="pct"/>
            <w:shd w:val="clear" w:color="auto" w:fill="auto"/>
            <w:vAlign w:val="center"/>
          </w:tcPr>
          <w:p w14:paraId="74812D09" w14:textId="3A67082C" w:rsidR="0094481B" w:rsidRPr="00781112" w:rsidRDefault="0094481B" w:rsidP="00BA3DBE">
            <w:pPr>
              <w:jc w:val="center"/>
              <w:rPr>
                <w:rFonts w:cs="Arial"/>
                <w:color w:val="000000" w:themeColor="text1"/>
                <w:szCs w:val="16"/>
              </w:rPr>
            </w:pPr>
            <w:r w:rsidRPr="00781112">
              <w:rPr>
                <w:rFonts w:cs="Arial"/>
                <w:color w:val="000000" w:themeColor="text1"/>
                <w:szCs w:val="16"/>
              </w:rPr>
              <w:t>Target &lt;=</w:t>
            </w:r>
          </w:p>
        </w:tc>
        <w:tc>
          <w:tcPr>
            <w:tcW w:w="1455" w:type="pct"/>
            <w:shd w:val="clear" w:color="auto" w:fill="auto"/>
            <w:vAlign w:val="center"/>
          </w:tcPr>
          <w:p w14:paraId="1AA9A6F0" w14:textId="23F8F955" w:rsidR="0094481B" w:rsidRPr="00781112" w:rsidRDefault="0094481B" w:rsidP="00373F78">
            <w:pPr>
              <w:jc w:val="center"/>
              <w:rPr>
                <w:rFonts w:cs="Arial"/>
                <w:color w:val="000000" w:themeColor="text1"/>
                <w:szCs w:val="16"/>
              </w:rPr>
            </w:pPr>
            <w:r w:rsidRPr="00781112">
              <w:rPr>
                <w:rFonts w:cs="Arial"/>
                <w:color w:val="000000" w:themeColor="text1"/>
                <w:szCs w:val="16"/>
              </w:rPr>
              <w:t>11.82%</w:t>
            </w:r>
          </w:p>
        </w:tc>
        <w:tc>
          <w:tcPr>
            <w:tcW w:w="1455" w:type="pct"/>
          </w:tcPr>
          <w:p w14:paraId="1887156F" w14:textId="2A53DFD8" w:rsidR="0094481B" w:rsidRPr="00781112" w:rsidRDefault="0094481B" w:rsidP="00373F78">
            <w:pPr>
              <w:jc w:val="center"/>
              <w:rPr>
                <w:rFonts w:cs="Arial"/>
                <w:color w:val="000000" w:themeColor="text1"/>
                <w:szCs w:val="16"/>
              </w:rPr>
            </w:pPr>
            <w:r w:rsidRPr="00781112">
              <w:rPr>
                <w:color w:val="000000" w:themeColor="text1"/>
                <w:szCs w:val="16"/>
              </w:rPr>
              <w:t>11.47%</w:t>
            </w:r>
          </w:p>
        </w:tc>
        <w:tc>
          <w:tcPr>
            <w:tcW w:w="1455" w:type="pct"/>
          </w:tcPr>
          <w:p w14:paraId="114E0304" w14:textId="3D4B66CA" w:rsidR="0094481B" w:rsidRPr="00781112" w:rsidRDefault="0094481B" w:rsidP="00373F78">
            <w:pPr>
              <w:jc w:val="center"/>
              <w:rPr>
                <w:rFonts w:cs="Arial"/>
                <w:color w:val="000000" w:themeColor="text1"/>
                <w:szCs w:val="16"/>
              </w:rPr>
            </w:pPr>
            <w:r w:rsidRPr="00781112">
              <w:rPr>
                <w:color w:val="000000" w:themeColor="text1"/>
                <w:szCs w:val="16"/>
              </w:rPr>
              <w:t>11.12%</w:t>
            </w:r>
          </w:p>
        </w:tc>
      </w:tr>
    </w:tbl>
    <w:p w14:paraId="23C212C7" w14:textId="54B31D84" w:rsidR="002D145D" w:rsidRPr="00781112" w:rsidRDefault="002D145D">
      <w:pPr>
        <w:rPr>
          <w:b/>
          <w:color w:val="000000" w:themeColor="text1"/>
        </w:rPr>
      </w:pPr>
      <w:r w:rsidRPr="00781112">
        <w:rPr>
          <w:b/>
          <w:color w:val="000000" w:themeColor="text1"/>
        </w:rPr>
        <w:t>Targets: Description of Stakeholder Input</w:t>
      </w:r>
    </w:p>
    <w:p w14:paraId="713FE3D9" w14:textId="115A66E3" w:rsidR="0051170F" w:rsidRPr="00781112" w:rsidRDefault="0051170F" w:rsidP="004369B2">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w:t>
      </w:r>
      <w:r w:rsidRPr="00781112">
        <w:rPr>
          <w:rFonts w:cs="Arial"/>
          <w:color w:val="000000" w:themeColor="text1"/>
          <w:szCs w:val="16"/>
        </w:rPr>
        <w:lastRenderedPageBreak/>
        <w:t xml:space="preserve">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1646393A" w14:textId="2F9E8E4A" w:rsidR="002D145D" w:rsidRPr="00781112" w:rsidRDefault="002D145D" w:rsidP="002D145D">
      <w:pPr>
        <w:rPr>
          <w:rFonts w:cs="Arial"/>
          <w:color w:val="000000" w:themeColor="text1"/>
          <w:szCs w:val="16"/>
        </w:rPr>
      </w:pPr>
    </w:p>
    <w:p w14:paraId="554CBC97" w14:textId="77777777" w:rsidR="00650510" w:rsidRDefault="00650510" w:rsidP="004369B2">
      <w:pPr>
        <w:rPr>
          <w:b/>
          <w:color w:val="000000" w:themeColor="text1"/>
        </w:rPr>
      </w:pPr>
    </w:p>
    <w:p w14:paraId="68E34693" w14:textId="408BFBEE" w:rsidR="00002962" w:rsidRPr="00781112" w:rsidRDefault="00002962"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2PREPOPDATA"/>
      </w:tblPr>
      <w:tblGrid>
        <w:gridCol w:w="2164"/>
        <w:gridCol w:w="2130"/>
        <w:gridCol w:w="4929"/>
        <w:gridCol w:w="1567"/>
      </w:tblGrid>
      <w:tr w:rsidR="005C29F8" w:rsidRPr="00781112" w14:paraId="60D7260E" w14:textId="77777777" w:rsidTr="0011161A">
        <w:trPr>
          <w:trHeight w:val="372"/>
          <w:tblHeader/>
        </w:trPr>
        <w:tc>
          <w:tcPr>
            <w:tcW w:w="1003" w:type="pct"/>
            <w:shd w:val="clear" w:color="auto" w:fill="auto"/>
          </w:tcPr>
          <w:p w14:paraId="7217614C"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Source</w:t>
            </w:r>
          </w:p>
        </w:tc>
        <w:tc>
          <w:tcPr>
            <w:tcW w:w="987" w:type="pct"/>
            <w:shd w:val="clear" w:color="auto" w:fill="auto"/>
          </w:tcPr>
          <w:p w14:paraId="05FC9008"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Date</w:t>
            </w:r>
          </w:p>
        </w:tc>
        <w:tc>
          <w:tcPr>
            <w:tcW w:w="2284" w:type="pct"/>
            <w:shd w:val="clear" w:color="auto" w:fill="auto"/>
          </w:tcPr>
          <w:p w14:paraId="452E3A47"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Description</w:t>
            </w:r>
          </w:p>
        </w:tc>
        <w:tc>
          <w:tcPr>
            <w:tcW w:w="726" w:type="pct"/>
            <w:shd w:val="clear" w:color="auto" w:fill="auto"/>
          </w:tcPr>
          <w:p w14:paraId="197E988D" w14:textId="77777777" w:rsidR="001D55EC" w:rsidRPr="00781112" w:rsidRDefault="001D55EC" w:rsidP="000B4AA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20549B53" w14:textId="77777777" w:rsidTr="0011161A">
        <w:trPr>
          <w:trHeight w:val="380"/>
        </w:trPr>
        <w:tc>
          <w:tcPr>
            <w:tcW w:w="1003" w:type="pct"/>
            <w:shd w:val="clear" w:color="auto" w:fill="auto"/>
          </w:tcPr>
          <w:p w14:paraId="38DBE1E5" w14:textId="4B654FBA" w:rsidR="001D55EC" w:rsidRPr="00781112" w:rsidRDefault="008A2533" w:rsidP="00A018D4">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6675DCDD" w14:textId="08B07A76" w:rsidR="001D55EC" w:rsidRPr="00781112" w:rsidRDefault="008A2533" w:rsidP="00A018D4">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52A6FFD9" w14:textId="722CDF17" w:rsidR="001D55EC" w:rsidRPr="00781112" w:rsidRDefault="00E619AC" w:rsidP="001D55EC">
            <w:pPr>
              <w:rPr>
                <w:rFonts w:cs="Arial"/>
                <w:color w:val="000000" w:themeColor="text1"/>
                <w:szCs w:val="16"/>
              </w:rPr>
            </w:pPr>
            <w:r w:rsidRPr="00781112">
              <w:rPr>
                <w:rFonts w:cs="Arial"/>
                <w:color w:val="000000" w:themeColor="text1"/>
                <w:szCs w:val="16"/>
              </w:rPr>
              <w:t>Number of youth with IEPs (ages 14-21) who exited special education by graduating with a regular high school diploma (a)</w:t>
            </w:r>
          </w:p>
        </w:tc>
        <w:tc>
          <w:tcPr>
            <w:tcW w:w="726" w:type="pct"/>
            <w:shd w:val="clear" w:color="auto" w:fill="auto"/>
          </w:tcPr>
          <w:p w14:paraId="6BB20172" w14:textId="20DA3C25" w:rsidR="001D55EC" w:rsidRPr="00781112" w:rsidRDefault="002B7490" w:rsidP="00A018D4">
            <w:pPr>
              <w:jc w:val="center"/>
              <w:rPr>
                <w:rFonts w:cs="Arial"/>
                <w:color w:val="000000" w:themeColor="text1"/>
                <w:szCs w:val="16"/>
              </w:rPr>
            </w:pPr>
            <w:r w:rsidRPr="00781112">
              <w:rPr>
                <w:rFonts w:cs="Arial"/>
                <w:color w:val="000000" w:themeColor="text1"/>
                <w:szCs w:val="16"/>
              </w:rPr>
              <w:t>3,887</w:t>
            </w:r>
          </w:p>
        </w:tc>
      </w:tr>
      <w:tr w:rsidR="00FE0F05" w:rsidRPr="00781112" w14:paraId="442FFC23" w14:textId="77777777" w:rsidTr="0011161A">
        <w:trPr>
          <w:trHeight w:val="380"/>
        </w:trPr>
        <w:tc>
          <w:tcPr>
            <w:tcW w:w="1003" w:type="pct"/>
            <w:shd w:val="clear" w:color="auto" w:fill="auto"/>
          </w:tcPr>
          <w:p w14:paraId="6CF34AAB" w14:textId="0F679619" w:rsidR="00FE0F05" w:rsidRPr="00781112" w:rsidRDefault="00FE0F05" w:rsidP="00FE0F05">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4C847D87" w14:textId="13F5F6DB" w:rsidR="00FE0F05" w:rsidRPr="00781112" w:rsidRDefault="00FE0F05" w:rsidP="00FE0F05">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11D0842E" w14:textId="2246C25A" w:rsidR="00FE0F05" w:rsidRPr="00781112" w:rsidRDefault="00FE0F05" w:rsidP="00FE0F05">
            <w:pPr>
              <w:rPr>
                <w:rFonts w:cs="Arial"/>
                <w:color w:val="000000" w:themeColor="text1"/>
                <w:szCs w:val="16"/>
              </w:rPr>
            </w:pPr>
            <w:r w:rsidRPr="00781112">
              <w:rPr>
                <w:rFonts w:cs="Arial"/>
                <w:szCs w:val="16"/>
              </w:rPr>
              <w:t>Number of youth with IEPs (ages 14-21) who exited special education by graduating with a state-defined alternate diploma (b)</w:t>
            </w:r>
          </w:p>
        </w:tc>
        <w:tc>
          <w:tcPr>
            <w:tcW w:w="726" w:type="pct"/>
            <w:shd w:val="clear" w:color="auto" w:fill="auto"/>
          </w:tcPr>
          <w:p w14:paraId="076B8DEA" w14:textId="2D1A3AE9" w:rsidR="00FE0F05" w:rsidRPr="00781112" w:rsidRDefault="00FE0F05" w:rsidP="00FE0F05">
            <w:pPr>
              <w:jc w:val="center"/>
              <w:rPr>
                <w:rFonts w:cs="Arial"/>
                <w:color w:val="000000" w:themeColor="text1"/>
                <w:szCs w:val="16"/>
              </w:rPr>
            </w:pPr>
          </w:p>
        </w:tc>
      </w:tr>
      <w:tr w:rsidR="0011161A" w:rsidRPr="00781112" w14:paraId="7531005B" w14:textId="77777777" w:rsidTr="0011161A">
        <w:trPr>
          <w:trHeight w:val="380"/>
        </w:trPr>
        <w:tc>
          <w:tcPr>
            <w:tcW w:w="1003" w:type="pct"/>
            <w:shd w:val="clear" w:color="auto" w:fill="auto"/>
          </w:tcPr>
          <w:p w14:paraId="68D79338" w14:textId="7556C19A" w:rsidR="0011161A" w:rsidRPr="00781112" w:rsidRDefault="0011161A" w:rsidP="0011161A">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3137C3E8" w14:textId="1C4E2EC1" w:rsidR="0011161A" w:rsidRPr="00781112" w:rsidRDefault="0011161A" w:rsidP="0011161A">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436358B9" w14:textId="1F75CF67"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receiving a certificate (c)</w:t>
            </w:r>
          </w:p>
        </w:tc>
        <w:tc>
          <w:tcPr>
            <w:tcW w:w="726" w:type="pct"/>
            <w:shd w:val="clear" w:color="auto" w:fill="auto"/>
          </w:tcPr>
          <w:p w14:paraId="554F88F2" w14:textId="623A3342" w:rsidR="0011161A" w:rsidRPr="00781112" w:rsidRDefault="0011161A" w:rsidP="0011161A">
            <w:pPr>
              <w:jc w:val="center"/>
              <w:rPr>
                <w:rFonts w:cs="Arial"/>
                <w:color w:val="000000" w:themeColor="text1"/>
                <w:szCs w:val="16"/>
              </w:rPr>
            </w:pPr>
            <w:r w:rsidRPr="00781112">
              <w:rPr>
                <w:rFonts w:cs="Arial"/>
                <w:color w:val="000000" w:themeColor="text1"/>
                <w:szCs w:val="16"/>
              </w:rPr>
              <w:t>367</w:t>
            </w:r>
          </w:p>
        </w:tc>
      </w:tr>
      <w:tr w:rsidR="0011161A" w:rsidRPr="00781112" w14:paraId="56B284E9" w14:textId="77777777" w:rsidTr="0011161A">
        <w:trPr>
          <w:trHeight w:val="380"/>
        </w:trPr>
        <w:tc>
          <w:tcPr>
            <w:tcW w:w="1003" w:type="pct"/>
            <w:shd w:val="clear" w:color="auto" w:fill="auto"/>
          </w:tcPr>
          <w:p w14:paraId="73E78D27" w14:textId="6A11D514" w:rsidR="0011161A" w:rsidRPr="00781112" w:rsidRDefault="0011161A" w:rsidP="0011161A">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151F192A" w14:textId="492844E5" w:rsidR="0011161A" w:rsidRPr="00781112" w:rsidRDefault="0011161A" w:rsidP="0011161A">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65152DCF" w14:textId="4124B416" w:rsidR="0011161A" w:rsidRPr="00781112" w:rsidRDefault="0011161A" w:rsidP="0011161A">
            <w:pPr>
              <w:rPr>
                <w:rFonts w:cs="Arial"/>
                <w:color w:val="000000" w:themeColor="text1"/>
                <w:szCs w:val="16"/>
              </w:rPr>
            </w:pPr>
            <w:r w:rsidRPr="00781112">
              <w:rPr>
                <w:rFonts w:cs="Arial"/>
                <w:color w:val="000000" w:themeColor="text1"/>
                <w:szCs w:val="16"/>
              </w:rPr>
              <w:t>Number of youth with IEPs (ages 14-21) who exited special education by reaching maximum age (d)</w:t>
            </w:r>
          </w:p>
        </w:tc>
        <w:tc>
          <w:tcPr>
            <w:tcW w:w="726" w:type="pct"/>
            <w:shd w:val="clear" w:color="auto" w:fill="auto"/>
          </w:tcPr>
          <w:p w14:paraId="788B37F6" w14:textId="1E312572" w:rsidR="0011161A" w:rsidRPr="00781112" w:rsidRDefault="0011161A" w:rsidP="0011161A">
            <w:pPr>
              <w:jc w:val="center"/>
              <w:rPr>
                <w:rFonts w:cs="Arial"/>
                <w:color w:val="000000" w:themeColor="text1"/>
                <w:szCs w:val="16"/>
              </w:rPr>
            </w:pPr>
            <w:r w:rsidRPr="00781112">
              <w:rPr>
                <w:rFonts w:cs="Arial"/>
                <w:color w:val="000000" w:themeColor="text1"/>
                <w:szCs w:val="16"/>
              </w:rPr>
              <w:t>103</w:t>
            </w:r>
          </w:p>
        </w:tc>
      </w:tr>
      <w:tr w:rsidR="005C29F8" w:rsidRPr="00781112" w14:paraId="245FE023" w14:textId="77777777" w:rsidTr="0011161A">
        <w:trPr>
          <w:trHeight w:val="380"/>
        </w:trPr>
        <w:tc>
          <w:tcPr>
            <w:tcW w:w="1003" w:type="pct"/>
            <w:shd w:val="clear" w:color="auto" w:fill="auto"/>
          </w:tcPr>
          <w:p w14:paraId="67B529F8" w14:textId="28E7DCDC" w:rsidR="00C470E8" w:rsidRPr="00781112" w:rsidRDefault="008A2533" w:rsidP="00A018D4">
            <w:pPr>
              <w:jc w:val="center"/>
              <w:rPr>
                <w:rFonts w:cs="Arial"/>
                <w:color w:val="000000" w:themeColor="text1"/>
                <w:szCs w:val="16"/>
              </w:rPr>
            </w:pPr>
            <w:r w:rsidRPr="00781112">
              <w:rPr>
                <w:rFonts w:cs="Arial"/>
                <w:color w:val="000000" w:themeColor="text1"/>
                <w:szCs w:val="16"/>
              </w:rPr>
              <w:t>SY 2022-23 Exiting Data Groups (EDFacts file spec FS009; Data Group 85)</w:t>
            </w:r>
          </w:p>
        </w:tc>
        <w:tc>
          <w:tcPr>
            <w:tcW w:w="987" w:type="pct"/>
            <w:shd w:val="clear" w:color="auto" w:fill="auto"/>
          </w:tcPr>
          <w:p w14:paraId="2C17EFE7" w14:textId="6210AB54" w:rsidR="00C470E8" w:rsidRPr="00781112" w:rsidRDefault="008A2533" w:rsidP="00A018D4">
            <w:pPr>
              <w:jc w:val="center"/>
              <w:rPr>
                <w:rFonts w:cs="Arial"/>
                <w:color w:val="000000" w:themeColor="text1"/>
                <w:szCs w:val="16"/>
              </w:rPr>
            </w:pPr>
            <w:r w:rsidRPr="00781112">
              <w:rPr>
                <w:rFonts w:cs="Arial"/>
                <w:color w:val="000000" w:themeColor="text1"/>
                <w:szCs w:val="16"/>
              </w:rPr>
              <w:t>02/21/2024</w:t>
            </w:r>
          </w:p>
        </w:tc>
        <w:tc>
          <w:tcPr>
            <w:tcW w:w="2284" w:type="pct"/>
            <w:shd w:val="clear" w:color="auto" w:fill="auto"/>
          </w:tcPr>
          <w:p w14:paraId="2D5B3E78" w14:textId="5F9109CF" w:rsidR="00C470E8" w:rsidRPr="00781112" w:rsidRDefault="00C470E8" w:rsidP="00C470E8">
            <w:pPr>
              <w:rPr>
                <w:rFonts w:cs="Arial"/>
                <w:color w:val="000000" w:themeColor="text1"/>
                <w:szCs w:val="16"/>
              </w:rPr>
            </w:pPr>
            <w:r w:rsidRPr="00781112">
              <w:rPr>
                <w:rFonts w:cs="Arial"/>
                <w:color w:val="000000" w:themeColor="text1"/>
                <w:szCs w:val="16"/>
              </w:rPr>
              <w:t>Number of youth with IEPs (ages 14-21) who exited special education due to dropping out (e)</w:t>
            </w:r>
          </w:p>
        </w:tc>
        <w:tc>
          <w:tcPr>
            <w:tcW w:w="726" w:type="pct"/>
            <w:shd w:val="clear" w:color="auto" w:fill="auto"/>
          </w:tcPr>
          <w:p w14:paraId="20785B5C" w14:textId="176AF317" w:rsidR="00C470E8" w:rsidRPr="00781112" w:rsidRDefault="00FE0F05" w:rsidP="00A018D4">
            <w:pPr>
              <w:jc w:val="center"/>
              <w:rPr>
                <w:rFonts w:cs="Arial"/>
                <w:color w:val="000000" w:themeColor="text1"/>
                <w:szCs w:val="16"/>
              </w:rPr>
            </w:pPr>
            <w:r w:rsidRPr="00781112">
              <w:rPr>
                <w:rFonts w:cs="Arial"/>
                <w:color w:val="000000" w:themeColor="text1"/>
                <w:szCs w:val="16"/>
              </w:rPr>
              <w:t>1,040</w:t>
            </w:r>
          </w:p>
        </w:tc>
      </w:tr>
    </w:tbl>
    <w:p w14:paraId="7CE42756" w14:textId="445D9372" w:rsidR="00654A4B" w:rsidRPr="00781112" w:rsidRDefault="00654A4B" w:rsidP="004369B2">
      <w:pPr>
        <w:rPr>
          <w:color w:val="000000" w:themeColor="text1"/>
        </w:rPr>
      </w:pPr>
    </w:p>
    <w:p w14:paraId="4463AFB2" w14:textId="646E1E7D" w:rsidR="00C96339" w:rsidRPr="00781112" w:rsidRDefault="0047313F" w:rsidP="004369B2">
      <w:pPr>
        <w:rPr>
          <w:color w:val="000000" w:themeColor="text1"/>
        </w:rPr>
      </w:pPr>
      <w:r>
        <w:rPr>
          <w:b/>
          <w:color w:val="000000" w:themeColor="text1"/>
        </w:rPr>
        <w:t xml:space="preserve">FFY 2023 SPP/APR Data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2CFFYAPRDATAOPT1"/>
      </w:tblPr>
      <w:tblGrid>
        <w:gridCol w:w="1528"/>
        <w:gridCol w:w="1507"/>
        <w:gridCol w:w="1367"/>
        <w:gridCol w:w="2088"/>
        <w:gridCol w:w="1228"/>
        <w:gridCol w:w="1563"/>
        <w:gridCol w:w="1513"/>
      </w:tblGrid>
      <w:tr w:rsidR="0047313F" w:rsidRPr="00781112" w14:paraId="5C4D1C2F" w14:textId="77777777" w:rsidTr="004D0044">
        <w:trPr>
          <w:trHeight w:val="359"/>
          <w:tblHeader/>
        </w:trPr>
        <w:tc>
          <w:tcPr>
            <w:tcW w:w="708" w:type="pct"/>
            <w:shd w:val="clear" w:color="auto" w:fill="auto"/>
            <w:vAlign w:val="bottom"/>
          </w:tcPr>
          <w:p w14:paraId="3F5808F2" w14:textId="257E84C8" w:rsidR="0047313F" w:rsidRPr="00781112" w:rsidRDefault="0047313F" w:rsidP="0047313F">
            <w:pPr>
              <w:jc w:val="center"/>
              <w:rPr>
                <w:rFonts w:cs="Arial"/>
                <w:b/>
                <w:color w:val="000000" w:themeColor="text1"/>
                <w:szCs w:val="16"/>
              </w:rPr>
            </w:pPr>
            <w:r w:rsidRPr="00781112">
              <w:rPr>
                <w:rFonts w:cs="Arial"/>
                <w:b/>
                <w:color w:val="000000" w:themeColor="text1"/>
                <w:szCs w:val="16"/>
              </w:rPr>
              <w:t>Number of youth with IEPs (ages 14-21) who exited special education due to dropping out</w:t>
            </w:r>
          </w:p>
        </w:tc>
        <w:tc>
          <w:tcPr>
            <w:tcW w:w="698" w:type="pct"/>
            <w:shd w:val="clear" w:color="auto" w:fill="auto"/>
            <w:vAlign w:val="bottom"/>
          </w:tcPr>
          <w:p w14:paraId="2F5BF81E" w14:textId="25314F83" w:rsidR="0047313F" w:rsidRPr="00781112" w:rsidRDefault="0047313F" w:rsidP="0047313F">
            <w:pPr>
              <w:jc w:val="center"/>
              <w:rPr>
                <w:rFonts w:cs="Arial"/>
                <w:color w:val="000000" w:themeColor="text1"/>
                <w:szCs w:val="16"/>
              </w:rPr>
            </w:pPr>
            <w:r w:rsidRPr="008137CC">
              <w:rPr>
                <w:rFonts w:cs="Arial"/>
                <w:b/>
                <w:color w:val="000000" w:themeColor="text1"/>
                <w:szCs w:val="16"/>
              </w:rPr>
              <w:t xml:space="preserve">Number of all youth with IEPs who exited special education (ages 14-21)  </w:t>
            </w:r>
          </w:p>
        </w:tc>
        <w:tc>
          <w:tcPr>
            <w:tcW w:w="633" w:type="pct"/>
            <w:shd w:val="clear" w:color="auto" w:fill="auto"/>
            <w:vAlign w:val="bottom"/>
          </w:tcPr>
          <w:p w14:paraId="764A6652" w14:textId="6F948523" w:rsidR="0047313F" w:rsidRPr="00073BD7" w:rsidRDefault="0047313F" w:rsidP="0047313F">
            <w:pPr>
              <w:jc w:val="center"/>
              <w:rPr>
                <w:rFonts w:cs="Arial"/>
                <w:b/>
                <w:bCs/>
                <w:color w:val="000000" w:themeColor="text1"/>
                <w:szCs w:val="16"/>
              </w:rPr>
            </w:pPr>
            <w:r w:rsidRPr="00073BD7">
              <w:rPr>
                <w:b/>
                <w:bCs/>
              </w:rPr>
              <w:t>FFY 2022 Data</w:t>
            </w:r>
          </w:p>
        </w:tc>
        <w:tc>
          <w:tcPr>
            <w:tcW w:w="967" w:type="pct"/>
            <w:shd w:val="clear" w:color="auto" w:fill="auto"/>
            <w:vAlign w:val="bottom"/>
          </w:tcPr>
          <w:p w14:paraId="1F444650" w14:textId="2FC486DA" w:rsidR="0047313F" w:rsidRPr="00073BD7" w:rsidRDefault="0047313F" w:rsidP="0047313F">
            <w:pPr>
              <w:jc w:val="center"/>
              <w:rPr>
                <w:rFonts w:cs="Arial"/>
                <w:b/>
                <w:bCs/>
                <w:color w:val="000000" w:themeColor="text1"/>
                <w:szCs w:val="16"/>
              </w:rPr>
            </w:pPr>
            <w:r w:rsidRPr="00073BD7">
              <w:rPr>
                <w:b/>
                <w:bCs/>
              </w:rPr>
              <w:t>FFY 2023 Target</w:t>
            </w:r>
          </w:p>
        </w:tc>
        <w:tc>
          <w:tcPr>
            <w:tcW w:w="569" w:type="pct"/>
            <w:shd w:val="clear" w:color="auto" w:fill="auto"/>
            <w:vAlign w:val="bottom"/>
          </w:tcPr>
          <w:p w14:paraId="194A1B8B" w14:textId="21762BD8" w:rsidR="0047313F" w:rsidRPr="00073BD7" w:rsidRDefault="0047313F" w:rsidP="0047313F">
            <w:pPr>
              <w:jc w:val="center"/>
              <w:rPr>
                <w:rFonts w:cs="Arial"/>
                <w:b/>
                <w:bCs/>
                <w:color w:val="000000" w:themeColor="text1"/>
                <w:szCs w:val="16"/>
              </w:rPr>
            </w:pPr>
            <w:r w:rsidRPr="00073BD7">
              <w:rPr>
                <w:b/>
                <w:bCs/>
              </w:rPr>
              <w:t>FFY 2023 Data</w:t>
            </w:r>
          </w:p>
        </w:tc>
        <w:tc>
          <w:tcPr>
            <w:tcW w:w="724" w:type="pct"/>
            <w:shd w:val="clear" w:color="auto" w:fill="auto"/>
            <w:vAlign w:val="bottom"/>
          </w:tcPr>
          <w:p w14:paraId="4B0F6AF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Status</w:t>
            </w:r>
          </w:p>
        </w:tc>
        <w:tc>
          <w:tcPr>
            <w:tcW w:w="701" w:type="pct"/>
            <w:shd w:val="clear" w:color="auto" w:fill="auto"/>
            <w:vAlign w:val="bottom"/>
          </w:tcPr>
          <w:p w14:paraId="2987DD9A" w14:textId="77777777" w:rsidR="0047313F" w:rsidRPr="00781112" w:rsidRDefault="0047313F" w:rsidP="0047313F">
            <w:pPr>
              <w:jc w:val="center"/>
              <w:rPr>
                <w:rFonts w:cs="Arial"/>
                <w:b/>
                <w:color w:val="000000" w:themeColor="text1"/>
                <w:szCs w:val="16"/>
              </w:rPr>
            </w:pPr>
            <w:r w:rsidRPr="00781112">
              <w:rPr>
                <w:rFonts w:cs="Arial"/>
                <w:b/>
                <w:color w:val="000000" w:themeColor="text1"/>
                <w:szCs w:val="16"/>
              </w:rPr>
              <w:t>Slippage</w:t>
            </w:r>
          </w:p>
        </w:tc>
      </w:tr>
      <w:tr w:rsidR="005C29F8" w:rsidRPr="00781112" w14:paraId="2928907F" w14:textId="77777777" w:rsidTr="004D0044">
        <w:trPr>
          <w:trHeight w:val="366"/>
        </w:trPr>
        <w:tc>
          <w:tcPr>
            <w:tcW w:w="708" w:type="pct"/>
            <w:shd w:val="clear" w:color="auto" w:fill="auto"/>
            <w:vAlign w:val="center"/>
          </w:tcPr>
          <w:p w14:paraId="153F1C9B" w14:textId="5227014D" w:rsidR="00C96339" w:rsidRPr="00781112" w:rsidRDefault="002B7490" w:rsidP="00A018D4">
            <w:pPr>
              <w:jc w:val="center"/>
              <w:rPr>
                <w:rFonts w:cs="Arial"/>
                <w:color w:val="000000" w:themeColor="text1"/>
                <w:szCs w:val="16"/>
              </w:rPr>
            </w:pPr>
            <w:r w:rsidRPr="00781112">
              <w:rPr>
                <w:rFonts w:cs="Arial"/>
                <w:color w:val="000000" w:themeColor="text1"/>
                <w:szCs w:val="16"/>
              </w:rPr>
              <w:t>1,040</w:t>
            </w:r>
          </w:p>
        </w:tc>
        <w:tc>
          <w:tcPr>
            <w:tcW w:w="698" w:type="pct"/>
            <w:shd w:val="clear" w:color="auto" w:fill="auto"/>
            <w:vAlign w:val="center"/>
          </w:tcPr>
          <w:p w14:paraId="31391E82" w14:textId="0E0F2A0A" w:rsidR="00C96339" w:rsidRPr="00781112" w:rsidRDefault="002B7490" w:rsidP="00A018D4">
            <w:pPr>
              <w:jc w:val="center"/>
              <w:rPr>
                <w:rFonts w:cs="Arial"/>
                <w:color w:val="000000" w:themeColor="text1"/>
                <w:szCs w:val="16"/>
              </w:rPr>
            </w:pPr>
            <w:r w:rsidRPr="00781112">
              <w:rPr>
                <w:rFonts w:cs="Arial"/>
                <w:color w:val="000000" w:themeColor="text1"/>
                <w:szCs w:val="16"/>
              </w:rPr>
              <w:t>5,397</w:t>
            </w:r>
          </w:p>
        </w:tc>
        <w:tc>
          <w:tcPr>
            <w:tcW w:w="633" w:type="pct"/>
            <w:shd w:val="clear" w:color="auto" w:fill="auto"/>
          </w:tcPr>
          <w:p w14:paraId="77541D8A" w14:textId="254EC6F2" w:rsidR="00C96339" w:rsidRPr="00781112" w:rsidRDefault="002B7490" w:rsidP="00A018D4">
            <w:pPr>
              <w:jc w:val="center"/>
              <w:rPr>
                <w:rFonts w:cs="Arial"/>
                <w:color w:val="000000" w:themeColor="text1"/>
                <w:szCs w:val="16"/>
              </w:rPr>
            </w:pPr>
            <w:r w:rsidRPr="00781112">
              <w:rPr>
                <w:rFonts w:cs="Arial"/>
                <w:color w:val="000000" w:themeColor="text1"/>
                <w:szCs w:val="16"/>
              </w:rPr>
              <w:t>23.52%</w:t>
            </w:r>
          </w:p>
        </w:tc>
        <w:tc>
          <w:tcPr>
            <w:tcW w:w="967" w:type="pct"/>
            <w:shd w:val="clear" w:color="auto" w:fill="auto"/>
          </w:tcPr>
          <w:p w14:paraId="70FE3FCD" w14:textId="1A7F9FE0" w:rsidR="00C96339" w:rsidRPr="00781112" w:rsidRDefault="002B7490" w:rsidP="00A018D4">
            <w:pPr>
              <w:jc w:val="center"/>
              <w:rPr>
                <w:rFonts w:cs="Arial"/>
                <w:color w:val="000000" w:themeColor="text1"/>
                <w:szCs w:val="16"/>
              </w:rPr>
            </w:pPr>
            <w:r w:rsidRPr="00781112">
              <w:rPr>
                <w:rFonts w:cs="Arial"/>
                <w:color w:val="000000" w:themeColor="text1"/>
                <w:szCs w:val="16"/>
              </w:rPr>
              <w:t>11.82%</w:t>
            </w:r>
          </w:p>
        </w:tc>
        <w:tc>
          <w:tcPr>
            <w:tcW w:w="569" w:type="pct"/>
            <w:shd w:val="clear" w:color="auto" w:fill="auto"/>
          </w:tcPr>
          <w:p w14:paraId="64E2814C" w14:textId="135DB5EE" w:rsidR="00C96339" w:rsidRPr="00781112" w:rsidRDefault="002B7490" w:rsidP="00A018D4">
            <w:pPr>
              <w:jc w:val="center"/>
              <w:rPr>
                <w:rFonts w:cs="Arial"/>
                <w:color w:val="000000" w:themeColor="text1"/>
                <w:szCs w:val="16"/>
              </w:rPr>
            </w:pPr>
            <w:r w:rsidRPr="00781112">
              <w:rPr>
                <w:rFonts w:cs="Arial"/>
                <w:color w:val="000000" w:themeColor="text1"/>
                <w:szCs w:val="16"/>
              </w:rPr>
              <w:t>19.27%</w:t>
            </w:r>
          </w:p>
        </w:tc>
        <w:tc>
          <w:tcPr>
            <w:tcW w:w="724" w:type="pct"/>
            <w:shd w:val="clear" w:color="auto" w:fill="auto"/>
          </w:tcPr>
          <w:p w14:paraId="60873B1E" w14:textId="3A0A0AC5" w:rsidR="00C96339"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1" w:type="pct"/>
            <w:shd w:val="clear" w:color="auto" w:fill="auto"/>
          </w:tcPr>
          <w:p w14:paraId="3EF3C710" w14:textId="04969BC1" w:rsidR="00C96339"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27A2EAFB" w14:textId="5DAAB5B0" w:rsidR="00A87A9D" w:rsidRPr="00781112" w:rsidRDefault="0083500D" w:rsidP="00552927">
      <w:pPr>
        <w:rPr>
          <w:rFonts w:cs="Arial"/>
          <w:b/>
          <w:color w:val="000000" w:themeColor="text1"/>
          <w:szCs w:val="16"/>
        </w:rPr>
      </w:pPr>
      <w:r w:rsidRPr="00781112">
        <w:rPr>
          <w:rFonts w:cs="Arial"/>
          <w:b/>
          <w:color w:val="000000" w:themeColor="text1"/>
          <w:szCs w:val="16"/>
        </w:rPr>
        <w:t>Provide a narrative that describes what counts as dropping out for all youth</w:t>
      </w:r>
    </w:p>
    <w:p w14:paraId="32A15CDA" w14:textId="3CA05678" w:rsidR="00A869E9" w:rsidRPr="00781112" w:rsidRDefault="002B7490" w:rsidP="000E33D0">
      <w:pPr>
        <w:rPr>
          <w:rFonts w:cs="Arial"/>
          <w:color w:val="000000" w:themeColor="text1"/>
          <w:szCs w:val="16"/>
          <w:shd w:val="clear" w:color="auto" w:fill="FFFFFF"/>
        </w:rPr>
      </w:pPr>
      <w:r w:rsidRPr="00781112">
        <w:rPr>
          <w:rFonts w:cs="Arial"/>
          <w:color w:val="000000" w:themeColor="text1"/>
          <w:szCs w:val="16"/>
          <w:shd w:val="clear" w:color="auto" w:fill="FFFFFF"/>
        </w:rPr>
        <w:t xml:space="preserve">The State uses the same data as used for reporting to the Department of Education under section 618 of the Individuals with Disabilities Education Act (IDEA), using the definitions in EDFacts file specification FS009. According to EDFacts (file spec FS009; Data Group 85), the definition of dropouts, which the State is using, includes students who were enrolled at the start of the reporting period but were not enrolled at the end of the reporting period and did not exit special education through any of the other means. This includes dropouts, runaways, GED recipients (in cases where students are required to drop out of the secondary educational program in order to pursue the GED certificate), expulsions, status unknown, students who moved but are not known to be continuing in another educational program, and others that exit from special education. </w:t>
      </w:r>
    </w:p>
    <w:p w14:paraId="6E220BF0" w14:textId="157218DF" w:rsidR="00DD051F" w:rsidRPr="00781112" w:rsidRDefault="00DD051F" w:rsidP="000E33D0">
      <w:pPr>
        <w:rPr>
          <w:rFonts w:cs="Arial"/>
          <w:b/>
          <w:color w:val="000000" w:themeColor="text1"/>
          <w:szCs w:val="16"/>
        </w:rPr>
      </w:pPr>
      <w:r w:rsidRPr="00781112">
        <w:rPr>
          <w:rFonts w:cs="Arial"/>
          <w:b/>
          <w:color w:val="000000" w:themeColor="text1"/>
          <w:szCs w:val="16"/>
        </w:rPr>
        <w:t>Is there a difference in what counts as dropping out for youth with IEPs? (yes/no)</w:t>
      </w:r>
    </w:p>
    <w:p w14:paraId="5530CE18" w14:textId="2E8B8BC5" w:rsidR="00DD051F" w:rsidRPr="00781112" w:rsidRDefault="00DD051F" w:rsidP="000E33D0">
      <w:pPr>
        <w:rPr>
          <w:rFonts w:cs="Arial"/>
          <w:color w:val="000000" w:themeColor="text1"/>
          <w:szCs w:val="16"/>
        </w:rPr>
      </w:pPr>
      <w:r w:rsidRPr="00781112">
        <w:rPr>
          <w:rFonts w:cs="Arial"/>
          <w:color w:val="000000" w:themeColor="text1"/>
          <w:szCs w:val="16"/>
        </w:rPr>
        <w:t>NO</w:t>
      </w:r>
    </w:p>
    <w:p w14:paraId="4903B3F9" w14:textId="50D12777" w:rsidR="00E418E6" w:rsidRPr="00781112" w:rsidRDefault="00B7068F" w:rsidP="004369B2">
      <w:pPr>
        <w:rPr>
          <w:b/>
          <w:color w:val="000000" w:themeColor="text1"/>
        </w:rPr>
      </w:pPr>
      <w:r w:rsidRPr="00781112">
        <w:rPr>
          <w:b/>
          <w:color w:val="000000" w:themeColor="text1"/>
        </w:rPr>
        <w:t>If yes, explain the difference in what counts as dropping out for youth with IEPs.</w:t>
      </w:r>
    </w:p>
    <w:p w14:paraId="79A7C25A" w14:textId="1EDF1407" w:rsidR="00A869E9" w:rsidRPr="00781112" w:rsidRDefault="00A869E9" w:rsidP="000E33D0">
      <w:pPr>
        <w:rPr>
          <w:rFonts w:cs="Arial"/>
          <w:color w:val="000000" w:themeColor="text1"/>
          <w:szCs w:val="16"/>
          <w:shd w:val="clear" w:color="auto" w:fill="FFFFFF"/>
        </w:rPr>
      </w:pPr>
    </w:p>
    <w:p w14:paraId="44F7B282" w14:textId="77777777" w:rsidR="00F56834" w:rsidRPr="00781112" w:rsidRDefault="00F56834" w:rsidP="004369B2">
      <w:pPr>
        <w:rPr>
          <w:b/>
          <w:color w:val="000000" w:themeColor="text1"/>
        </w:rPr>
      </w:pPr>
      <w:bookmarkStart w:id="10" w:name="_Toc382082362"/>
      <w:bookmarkStart w:id="11" w:name="_Toc392159270"/>
      <w:bookmarkStart w:id="12" w:name="_Toc365403651"/>
      <w:r w:rsidRPr="00781112">
        <w:rPr>
          <w:b/>
          <w:color w:val="000000" w:themeColor="text1"/>
        </w:rPr>
        <w:t>Provide additional information about this indicator (optional)</w:t>
      </w:r>
    </w:p>
    <w:p w14:paraId="4492AB5A" w14:textId="63C5DA7E" w:rsidR="00A869E9" w:rsidRPr="00781112" w:rsidRDefault="00A869E9" w:rsidP="000E33D0">
      <w:pPr>
        <w:rPr>
          <w:rFonts w:cs="Arial"/>
          <w:color w:val="000000" w:themeColor="text1"/>
          <w:szCs w:val="16"/>
        </w:rPr>
      </w:pPr>
    </w:p>
    <w:p w14:paraId="6E187388" w14:textId="724EF642" w:rsidR="000A2C83" w:rsidRPr="00781112" w:rsidRDefault="00F914B4" w:rsidP="005B40C0">
      <w:pPr>
        <w:pStyle w:val="Heading3"/>
      </w:pPr>
      <w:r w:rsidRPr="00781112">
        <w:t>2</w:t>
      </w:r>
      <w:r w:rsidR="00684B51" w:rsidRPr="00781112">
        <w:t xml:space="preserve"> </w:t>
      </w:r>
      <w:r w:rsidRPr="00781112">
        <w:t xml:space="preserve">- </w:t>
      </w:r>
      <w:r w:rsidR="000A2C83" w:rsidRPr="00781112">
        <w:t>Prior FFY Required Actions</w:t>
      </w:r>
    </w:p>
    <w:p w14:paraId="3B152B02" w14:textId="0A6719CC" w:rsidR="000A2C83" w:rsidRPr="00781112" w:rsidRDefault="002B7490" w:rsidP="000A2C83">
      <w:pPr>
        <w:rPr>
          <w:rFonts w:cs="Arial"/>
          <w:color w:val="000000" w:themeColor="text1"/>
          <w:szCs w:val="16"/>
        </w:rPr>
      </w:pPr>
      <w:r w:rsidRPr="00781112">
        <w:rPr>
          <w:rFonts w:cs="Arial"/>
          <w:color w:val="000000" w:themeColor="text1"/>
          <w:szCs w:val="16"/>
        </w:rPr>
        <w:t>None</w:t>
      </w:r>
    </w:p>
    <w:p w14:paraId="7896DD52" w14:textId="585814D8" w:rsidR="00DD051F" w:rsidRPr="00781112" w:rsidRDefault="00DD051F" w:rsidP="000A2C83">
      <w:pPr>
        <w:rPr>
          <w:rFonts w:cs="Arial"/>
          <w:color w:val="000000" w:themeColor="text1"/>
          <w:szCs w:val="16"/>
        </w:rPr>
      </w:pPr>
    </w:p>
    <w:p w14:paraId="306FF021" w14:textId="5A4A312B" w:rsidR="00F56834" w:rsidRPr="00781112" w:rsidRDefault="000D2287" w:rsidP="005B40C0">
      <w:pPr>
        <w:pStyle w:val="Heading3"/>
      </w:pPr>
      <w:r w:rsidRPr="00781112">
        <w:t>2</w:t>
      </w:r>
      <w:r w:rsidR="00684B51" w:rsidRPr="00781112">
        <w:t xml:space="preserve"> </w:t>
      </w:r>
      <w:r w:rsidRPr="00781112">
        <w:t xml:space="preserve">- </w:t>
      </w:r>
      <w:r w:rsidR="00F56834" w:rsidRPr="00781112">
        <w:t>OSEP Response</w:t>
      </w:r>
    </w:p>
    <w:p w14:paraId="079F48D0" w14:textId="5CDDFF24" w:rsidR="00A869E9" w:rsidRPr="00781112" w:rsidRDefault="00A869E9" w:rsidP="001F692C">
      <w:pPr>
        <w:rPr>
          <w:rFonts w:cs="Arial"/>
          <w:color w:val="000000" w:themeColor="text1"/>
          <w:szCs w:val="16"/>
        </w:rPr>
      </w:pPr>
    </w:p>
    <w:p w14:paraId="6A1E3D87" w14:textId="6B4D2DBD" w:rsidR="00F56834" w:rsidRPr="00781112" w:rsidRDefault="000105C5" w:rsidP="005B40C0">
      <w:pPr>
        <w:pStyle w:val="Heading3"/>
      </w:pPr>
      <w:r w:rsidRPr="00781112">
        <w:t>2 - Required Actions</w:t>
      </w:r>
    </w:p>
    <w:p w14:paraId="6C7960E7" w14:textId="06463459" w:rsidR="00A869E9" w:rsidRPr="00781112" w:rsidRDefault="00A869E9" w:rsidP="001F692C">
      <w:pPr>
        <w:rPr>
          <w:rFonts w:cs="Arial"/>
          <w:color w:val="000000" w:themeColor="text1"/>
          <w:szCs w:val="16"/>
        </w:rPr>
      </w:pPr>
    </w:p>
    <w:p w14:paraId="735D3BB6" w14:textId="20B8192A" w:rsidR="00553A47" w:rsidRPr="00781112" w:rsidRDefault="00D37BF0" w:rsidP="005B40C0">
      <w:pPr>
        <w:pStyle w:val="Heading2"/>
      </w:pPr>
      <w:r w:rsidRPr="00781112">
        <w:rPr>
          <w:color w:val="000000" w:themeColor="text1"/>
          <w:szCs w:val="16"/>
        </w:rPr>
        <w:br w:type="page"/>
      </w:r>
      <w:r w:rsidR="00553A47" w:rsidRPr="00781112">
        <w:rPr>
          <w:color w:val="000000" w:themeColor="text1"/>
          <w:sz w:val="22"/>
        </w:rPr>
        <w:lastRenderedPageBreak/>
        <w:t>Indicator 3A: Participation for Children with IEPs</w:t>
      </w:r>
    </w:p>
    <w:p w14:paraId="5AC89D57" w14:textId="7E142BFD" w:rsidR="00553A47" w:rsidRPr="002C274F" w:rsidRDefault="00553A47" w:rsidP="002C274F">
      <w:pPr>
        <w:rPr>
          <w:b/>
          <w:bCs/>
          <w:sz w:val="20"/>
          <w:szCs w:val="20"/>
        </w:rPr>
      </w:pPr>
      <w:r w:rsidRPr="002C274F">
        <w:rPr>
          <w:b/>
          <w:bCs/>
          <w:sz w:val="20"/>
          <w:szCs w:val="20"/>
        </w:rPr>
        <w:t>Instructions and Measurement</w:t>
      </w:r>
    </w:p>
    <w:p w14:paraId="5D4905EB" w14:textId="77777777" w:rsidR="00553A47" w:rsidRPr="00781112" w:rsidRDefault="00553A47" w:rsidP="00553A47">
      <w:pPr>
        <w:rPr>
          <w:color w:val="000000" w:themeColor="text1"/>
        </w:rPr>
      </w:pPr>
      <w:r w:rsidRPr="00781112">
        <w:rPr>
          <w:b/>
          <w:color w:val="000000" w:themeColor="text1"/>
        </w:rPr>
        <w:t>Monitoring Priority:</w:t>
      </w:r>
      <w:r w:rsidRPr="00781112">
        <w:rPr>
          <w:color w:val="000000" w:themeColor="text1"/>
        </w:rPr>
        <w:t xml:space="preserve"> FAPE in the LRE</w:t>
      </w:r>
    </w:p>
    <w:p w14:paraId="5574F71D" w14:textId="77777777" w:rsidR="00553A47" w:rsidRPr="00781112" w:rsidRDefault="00553A47" w:rsidP="00553A4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0338FF36" w14:textId="39B31752" w:rsidR="00553A47" w:rsidRPr="00781112" w:rsidRDefault="00553A47" w:rsidP="00553A47">
      <w:pPr>
        <w:ind w:firstLine="720"/>
        <w:rPr>
          <w:rFonts w:cs="Arial"/>
          <w:color w:val="000000" w:themeColor="text1"/>
          <w:szCs w:val="16"/>
        </w:rPr>
      </w:pPr>
      <w:r w:rsidRPr="00781112">
        <w:rPr>
          <w:rFonts w:cs="Arial"/>
          <w:color w:val="000000" w:themeColor="text1"/>
          <w:szCs w:val="16"/>
        </w:rPr>
        <w:t>A. Participation rate for children with IEPs.</w:t>
      </w:r>
    </w:p>
    <w:p w14:paraId="3CA36EC5" w14:textId="078762D9" w:rsidR="00553A47" w:rsidRPr="00781112" w:rsidRDefault="00553A47" w:rsidP="00553A47">
      <w:pPr>
        <w:ind w:firstLine="720"/>
        <w:rPr>
          <w:rFonts w:cs="Arial"/>
          <w:color w:val="000000" w:themeColor="text1"/>
          <w:szCs w:val="16"/>
        </w:rPr>
      </w:pPr>
      <w:r w:rsidRPr="00781112">
        <w:rPr>
          <w:rFonts w:cs="Arial"/>
          <w:color w:val="000000" w:themeColor="text1"/>
          <w:szCs w:val="16"/>
        </w:rPr>
        <w:t xml:space="preserve">B. </w:t>
      </w:r>
      <w:r w:rsidR="001A2D6A" w:rsidRPr="00781112">
        <w:rPr>
          <w:rFonts w:cs="Arial"/>
          <w:szCs w:val="16"/>
        </w:rPr>
        <w:t>Proficiency rate for children with IEPs against grade level academic achievement standards.</w:t>
      </w:r>
    </w:p>
    <w:p w14:paraId="64DD3F3A" w14:textId="04853D07" w:rsidR="00553A47" w:rsidRPr="00781112" w:rsidRDefault="00553A47" w:rsidP="00553A4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0682F204" w14:textId="1717FB60" w:rsidR="00EB7555" w:rsidRPr="00781112" w:rsidRDefault="00EB7555" w:rsidP="00553A47">
      <w:pPr>
        <w:ind w:firstLine="720"/>
        <w:rPr>
          <w:rFonts w:cs="Arial"/>
          <w:color w:val="000000" w:themeColor="text1"/>
          <w:szCs w:val="16"/>
        </w:rPr>
      </w:pPr>
      <w:r w:rsidRPr="00781112">
        <w:rPr>
          <w:rFonts w:cs="Arial"/>
          <w:color w:val="000000" w:themeColor="text1"/>
          <w:szCs w:val="16"/>
        </w:rPr>
        <w:t>D.</w:t>
      </w:r>
      <w:r w:rsidR="00943CE1" w:rsidRPr="00781112">
        <w:rPr>
          <w:rFonts w:cs="Arial"/>
          <w:szCs w:val="16"/>
        </w:rPr>
        <w:t xml:space="preserve"> Gap in proficiency rates for children with IEPs and all students against grade level academic achievement standards.</w:t>
      </w:r>
    </w:p>
    <w:p w14:paraId="16CF85BD" w14:textId="77777777" w:rsidR="00553A47" w:rsidRPr="00781112" w:rsidRDefault="00553A47" w:rsidP="00553A47">
      <w:pPr>
        <w:rPr>
          <w:rFonts w:cs="Arial"/>
          <w:color w:val="000000" w:themeColor="text1"/>
          <w:szCs w:val="16"/>
        </w:rPr>
      </w:pPr>
      <w:r w:rsidRPr="00781112">
        <w:rPr>
          <w:rFonts w:cs="Arial"/>
          <w:color w:val="000000" w:themeColor="text1"/>
          <w:szCs w:val="16"/>
        </w:rPr>
        <w:t>(20 U.S.C. 1416 (a)(3)(A))</w:t>
      </w:r>
    </w:p>
    <w:p w14:paraId="324A6C31" w14:textId="77777777" w:rsidR="00553A47" w:rsidRPr="00781112" w:rsidRDefault="00553A47" w:rsidP="00553A47">
      <w:pPr>
        <w:rPr>
          <w:color w:val="000000" w:themeColor="text1"/>
        </w:rPr>
      </w:pPr>
      <w:r w:rsidRPr="00781112">
        <w:rPr>
          <w:b/>
          <w:color w:val="000000" w:themeColor="text1"/>
        </w:rPr>
        <w:t>Data Source</w:t>
      </w:r>
    </w:p>
    <w:p w14:paraId="6C25670B" w14:textId="158BF188" w:rsidR="00553A47" w:rsidRPr="00781112" w:rsidRDefault="00553A47" w:rsidP="00553A47">
      <w:pPr>
        <w:rPr>
          <w:rFonts w:cs="Arial"/>
          <w:color w:val="000000" w:themeColor="text1"/>
          <w:szCs w:val="16"/>
        </w:rPr>
      </w:pPr>
      <w:r w:rsidRPr="00781112">
        <w:rPr>
          <w:rFonts w:cs="Arial"/>
          <w:color w:val="000000" w:themeColor="text1"/>
          <w:szCs w:val="16"/>
        </w:rPr>
        <w:t>3A.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FS185 and 188.</w:t>
      </w:r>
    </w:p>
    <w:p w14:paraId="71EF09A1" w14:textId="77777777" w:rsidR="00553A47" w:rsidRPr="00781112" w:rsidRDefault="00553A47" w:rsidP="00553A47">
      <w:pPr>
        <w:rPr>
          <w:color w:val="000000" w:themeColor="text1"/>
        </w:rPr>
      </w:pPr>
      <w:r w:rsidRPr="00781112">
        <w:rPr>
          <w:b/>
          <w:color w:val="000000" w:themeColor="text1"/>
        </w:rPr>
        <w:t>Measurement</w:t>
      </w:r>
    </w:p>
    <w:p w14:paraId="7A515068" w14:textId="2DA214AF" w:rsidR="00553A47" w:rsidRPr="00781112" w:rsidRDefault="00943CE1" w:rsidP="00553A47">
      <w:pPr>
        <w:rPr>
          <w:rFonts w:cs="Arial"/>
          <w:color w:val="000000" w:themeColor="text1"/>
          <w:szCs w:val="16"/>
        </w:rPr>
      </w:pPr>
      <w:r w:rsidRPr="00781112">
        <w:rPr>
          <w:rFonts w:cs="Arial"/>
          <w:color w:val="000000" w:themeColor="text1"/>
          <w:szCs w:val="16"/>
        </w:rPr>
        <w:t>A. Participation rate percent = [(# of children with IEPs participating in an assessment) divided by the (total # of children with IEPs enrolled during the testing window)]. Calculate separately for reading and math. Calculate separately for grades 4, 8, and high school. The participation rate is based on all children with IEPs, including both children with IEPs enrolled for a full academic year and those not enrolled for a full academic year.</w:t>
      </w:r>
    </w:p>
    <w:p w14:paraId="1C86ADC7" w14:textId="77777777" w:rsidR="00553A47" w:rsidRPr="00781112" w:rsidRDefault="00553A47" w:rsidP="00553A47">
      <w:pPr>
        <w:rPr>
          <w:color w:val="000000" w:themeColor="text1"/>
        </w:rPr>
      </w:pPr>
      <w:r w:rsidRPr="00781112">
        <w:rPr>
          <w:b/>
          <w:color w:val="000000" w:themeColor="text1"/>
        </w:rPr>
        <w:t>Instructions</w:t>
      </w:r>
    </w:p>
    <w:p w14:paraId="2E7C9B5C" w14:textId="459F8E70" w:rsidR="001B75FD" w:rsidRPr="00781112" w:rsidRDefault="001B75FD" w:rsidP="001B75FD">
      <w:pPr>
        <w:pStyle w:val="Subhed"/>
        <w:rPr>
          <w:b w:val="0"/>
          <w:bCs/>
        </w:rPr>
      </w:pPr>
      <w:r w:rsidRPr="00781112">
        <w:rPr>
          <w:b w:val="0"/>
          <w:bCs/>
        </w:rPr>
        <w:t>Describe the results of the calculations and compare the results to the targets. Provide the actual numbers used in the calculation.</w:t>
      </w:r>
    </w:p>
    <w:p w14:paraId="7D60E85E" w14:textId="77777777" w:rsidR="001B75FD" w:rsidRPr="00781112" w:rsidRDefault="001B75FD" w:rsidP="001B75FD">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7A7658A6" w14:textId="15282F50" w:rsidR="00553A47" w:rsidRPr="00781112" w:rsidRDefault="001B75FD" w:rsidP="001B75FD">
      <w:pPr>
        <w:rPr>
          <w:rFonts w:cs="Arial"/>
          <w:color w:val="000000" w:themeColor="text1"/>
          <w:szCs w:val="16"/>
        </w:rPr>
      </w:pPr>
      <w:r w:rsidRPr="00781112">
        <w:rPr>
          <w:bCs/>
        </w:rPr>
        <w:t>Indicator 3A: Provide separate reading/language arts and mathematics participation rates for children with IEPs for each of the following grades: 4, 8, &amp; high school. Account for ALL children with IEPs, in grades 4, 8, and high school, including children not participating in assessments and those not enrolled for a full academic year. Only include children with disabilities who had an IEP at the time of testing</w:t>
      </w:r>
      <w:r w:rsidR="00553A47" w:rsidRPr="00781112">
        <w:rPr>
          <w:rFonts w:cs="Arial"/>
          <w:color w:val="000000" w:themeColor="text1"/>
          <w:szCs w:val="16"/>
        </w:rPr>
        <w:t>.</w:t>
      </w:r>
    </w:p>
    <w:p w14:paraId="2933C3C1" w14:textId="76D8DB4D" w:rsidR="00553A47" w:rsidRPr="00781112" w:rsidRDefault="00553A47" w:rsidP="005B40C0">
      <w:pPr>
        <w:pStyle w:val="Heading3"/>
      </w:pPr>
      <w:r w:rsidRPr="00781112">
        <w:t>3A - Indicator Data</w:t>
      </w:r>
    </w:p>
    <w:p w14:paraId="1E2CE8D4" w14:textId="48F23E39" w:rsidR="00361CFA" w:rsidRPr="00781112" w:rsidRDefault="00CB348D" w:rsidP="00360DD6">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HISTDATA"/>
      </w:tblPr>
      <w:tblGrid>
        <w:gridCol w:w="1588"/>
        <w:gridCol w:w="1588"/>
        <w:gridCol w:w="2538"/>
        <w:gridCol w:w="2538"/>
        <w:gridCol w:w="2538"/>
      </w:tblGrid>
      <w:tr w:rsidR="0050331E" w:rsidRPr="00781112" w14:paraId="640BEE62" w14:textId="0ABABB4E" w:rsidTr="009725F4">
        <w:trPr>
          <w:trHeight w:val="368"/>
          <w:tblHeader/>
        </w:trPr>
        <w:tc>
          <w:tcPr>
            <w:tcW w:w="736" w:type="pct"/>
            <w:tcBorders>
              <w:top w:val="single" w:sz="4" w:space="0" w:color="auto"/>
            </w:tcBorders>
            <w:vAlign w:val="center"/>
          </w:tcPr>
          <w:p w14:paraId="41D9612B" w14:textId="31CE748B" w:rsidR="00E5212B" w:rsidRPr="00781112" w:rsidRDefault="00E5212B"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7F27E97C" w14:textId="557342E0"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39353288" w14:textId="77777777"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48E0683E" w14:textId="7AFDFE4C" w:rsidR="00E5212B" w:rsidRPr="00781112" w:rsidRDefault="00E5212B"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8B04ED7" w14:textId="46EC1601" w:rsidR="00E5212B" w:rsidRPr="00781112" w:rsidRDefault="00E5212B" w:rsidP="00827FF4">
            <w:pPr>
              <w:jc w:val="center"/>
              <w:rPr>
                <w:rFonts w:cs="Arial"/>
                <w:b/>
                <w:color w:val="000000" w:themeColor="text1"/>
                <w:szCs w:val="16"/>
              </w:rPr>
            </w:pPr>
            <w:r w:rsidRPr="00781112">
              <w:rPr>
                <w:rFonts w:cs="Arial"/>
                <w:b/>
                <w:color w:val="000000" w:themeColor="text1"/>
                <w:szCs w:val="16"/>
              </w:rPr>
              <w:t>Baseline Data</w:t>
            </w:r>
          </w:p>
        </w:tc>
      </w:tr>
      <w:tr w:rsidR="0050331E" w:rsidRPr="00781112" w14:paraId="24FC0173" w14:textId="04F4BEEC" w:rsidTr="00360DD6">
        <w:trPr>
          <w:trHeight w:val="368"/>
        </w:trPr>
        <w:tc>
          <w:tcPr>
            <w:tcW w:w="736" w:type="pct"/>
            <w:vAlign w:val="center"/>
          </w:tcPr>
          <w:p w14:paraId="5EFBA3AC" w14:textId="71314A80" w:rsidR="0044716A" w:rsidRPr="00781112" w:rsidRDefault="0044716A" w:rsidP="0044716A">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38C519F7" w14:textId="44BB42BA" w:rsidR="0044716A" w:rsidRPr="00781112" w:rsidRDefault="0044716A" w:rsidP="0044716A">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C81F5F0" w14:textId="67FBA765" w:rsidR="0044716A" w:rsidRPr="00781112" w:rsidRDefault="0044716A" w:rsidP="0044716A">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3F4068A9" w14:textId="08EF8DB7" w:rsidR="0044716A" w:rsidRPr="00781112" w:rsidRDefault="0044716A"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C4D03F4" w14:textId="691C6AA3" w:rsidR="0044716A" w:rsidRPr="00781112" w:rsidRDefault="0044716A" w:rsidP="0044716A">
            <w:pPr>
              <w:spacing w:before="0" w:after="0"/>
              <w:jc w:val="center"/>
              <w:rPr>
                <w:color w:val="000000" w:themeColor="text1"/>
              </w:rPr>
            </w:pPr>
            <w:r w:rsidRPr="00781112">
              <w:rPr>
                <w:rFonts w:cs="Arial"/>
                <w:color w:val="000000" w:themeColor="text1"/>
                <w:szCs w:val="16"/>
              </w:rPr>
              <w:t>3.34%</w:t>
            </w:r>
          </w:p>
        </w:tc>
      </w:tr>
      <w:tr w:rsidR="0050331E" w:rsidRPr="00781112" w14:paraId="4F9BC9D4" w14:textId="17B65B8C" w:rsidTr="00360DD6">
        <w:trPr>
          <w:trHeight w:val="368"/>
        </w:trPr>
        <w:tc>
          <w:tcPr>
            <w:tcW w:w="736" w:type="pct"/>
            <w:vAlign w:val="center"/>
          </w:tcPr>
          <w:p w14:paraId="7AB33ACC" w14:textId="0B04094A"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72D05B63" w14:textId="45D6CED5"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E4ED129" w14:textId="1B77E470"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0BAF6D2" w14:textId="6183503D"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E2C5F4" w14:textId="05AA23CF"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3.54%</w:t>
            </w:r>
          </w:p>
        </w:tc>
      </w:tr>
      <w:tr w:rsidR="0050331E" w:rsidRPr="00781112" w14:paraId="0B899335" w14:textId="7CB02598" w:rsidTr="00360DD6">
        <w:trPr>
          <w:trHeight w:val="368"/>
        </w:trPr>
        <w:tc>
          <w:tcPr>
            <w:tcW w:w="736" w:type="pct"/>
            <w:vAlign w:val="center"/>
          </w:tcPr>
          <w:p w14:paraId="6148FD1E" w14:textId="34E507DE" w:rsidR="005246CC" w:rsidRPr="00781112" w:rsidRDefault="005246CC" w:rsidP="005246CC">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69AA774" w14:textId="3B2C9DD9"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616D407" w14:textId="20B9E90F" w:rsidR="005246CC" w:rsidRPr="00781112" w:rsidRDefault="005246CC" w:rsidP="005246CC">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705909C" w14:textId="172EAC9C" w:rsidR="005246CC" w:rsidRPr="00781112" w:rsidRDefault="005246CC"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C9F3B59" w14:textId="74A08D13" w:rsidR="005246CC" w:rsidRPr="00781112" w:rsidRDefault="005246CC" w:rsidP="005246CC">
            <w:pPr>
              <w:spacing w:before="0" w:after="0"/>
              <w:jc w:val="center"/>
              <w:rPr>
                <w:rFonts w:cs="Arial"/>
                <w:color w:val="000000" w:themeColor="text1"/>
                <w:szCs w:val="16"/>
              </w:rPr>
            </w:pPr>
            <w:r w:rsidRPr="00781112">
              <w:rPr>
                <w:rFonts w:cs="Arial"/>
                <w:color w:val="000000" w:themeColor="text1"/>
                <w:szCs w:val="16"/>
              </w:rPr>
              <w:t>11.11%</w:t>
            </w:r>
          </w:p>
        </w:tc>
      </w:tr>
      <w:tr w:rsidR="00312480" w:rsidRPr="00781112" w14:paraId="3D1AAF73" w14:textId="678EC166" w:rsidTr="00360DD6">
        <w:trPr>
          <w:trHeight w:val="368"/>
        </w:trPr>
        <w:tc>
          <w:tcPr>
            <w:tcW w:w="736" w:type="pct"/>
            <w:vAlign w:val="center"/>
          </w:tcPr>
          <w:p w14:paraId="49AF9334" w14:textId="516B9B07"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7E10643" w14:textId="3D4CDCC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EBA000C" w14:textId="1E09C3E7"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0A09FAE" w14:textId="4A9CE939"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A9E42AA" w14:textId="63810B5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32.88%</w:t>
            </w:r>
          </w:p>
        </w:tc>
      </w:tr>
      <w:tr w:rsidR="00312480" w:rsidRPr="00781112" w14:paraId="4B0C895C" w14:textId="6CF5FA93" w:rsidTr="00360DD6">
        <w:trPr>
          <w:trHeight w:val="368"/>
        </w:trPr>
        <w:tc>
          <w:tcPr>
            <w:tcW w:w="736" w:type="pct"/>
            <w:vAlign w:val="center"/>
          </w:tcPr>
          <w:p w14:paraId="6ED5896C" w14:textId="28272B0B"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43C9B56E" w14:textId="3D5B99D0"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C4210F5" w14:textId="3BFF9BEC" w:rsidR="00312480" w:rsidRPr="00781112" w:rsidRDefault="00312480" w:rsidP="00312480">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D91523A" w14:textId="169DAD5C"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39ABC62" w14:textId="1E7FF874"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23.96%</w:t>
            </w:r>
          </w:p>
        </w:tc>
      </w:tr>
      <w:tr w:rsidR="00312480" w:rsidRPr="00781112" w14:paraId="43BF7697" w14:textId="58F9CE70" w:rsidTr="00360DD6">
        <w:trPr>
          <w:trHeight w:val="368"/>
        </w:trPr>
        <w:tc>
          <w:tcPr>
            <w:tcW w:w="736" w:type="pct"/>
            <w:vAlign w:val="center"/>
          </w:tcPr>
          <w:p w14:paraId="10E5C656" w14:textId="01AB1420" w:rsidR="00312480" w:rsidRPr="00781112" w:rsidRDefault="00312480" w:rsidP="00312480">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AFE65DD" w14:textId="56799213"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C96A826" w14:textId="656222C9"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6848966B" w14:textId="49F3A33A" w:rsidR="00312480" w:rsidRPr="00781112" w:rsidRDefault="00312480" w:rsidP="00360DD6">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71898A" w14:textId="300CF132" w:rsidR="00312480" w:rsidRPr="00781112" w:rsidRDefault="00312480" w:rsidP="00312480">
            <w:pPr>
              <w:spacing w:before="0" w:after="0"/>
              <w:jc w:val="center"/>
              <w:rPr>
                <w:rFonts w:cs="Arial"/>
                <w:color w:val="000000" w:themeColor="text1"/>
                <w:szCs w:val="16"/>
              </w:rPr>
            </w:pPr>
            <w:r w:rsidRPr="00781112">
              <w:rPr>
                <w:rFonts w:cs="Arial"/>
                <w:color w:val="000000" w:themeColor="text1"/>
                <w:szCs w:val="16"/>
              </w:rPr>
              <w:t>10.92%</w:t>
            </w:r>
          </w:p>
        </w:tc>
      </w:tr>
    </w:tbl>
    <w:p w14:paraId="1049ED79" w14:textId="19F4A63B" w:rsidR="00E023E6" w:rsidRPr="00781112" w:rsidRDefault="00E023E6" w:rsidP="00FE4611">
      <w:pPr>
        <w:spacing w:before="0" w:after="0" w:line="276" w:lineRule="auto"/>
        <w:rPr>
          <w:b/>
          <w:color w:val="000000" w:themeColor="text1"/>
        </w:rPr>
      </w:pPr>
    </w:p>
    <w:p w14:paraId="7F4B46FE" w14:textId="3489D438" w:rsidR="0034094E" w:rsidRPr="00781112" w:rsidRDefault="0034094E" w:rsidP="0034094E">
      <w:pPr>
        <w:rPr>
          <w:b/>
          <w:color w:val="000000" w:themeColor="text1"/>
        </w:rPr>
      </w:pPr>
      <w:r w:rsidRPr="00781112">
        <w:rPr>
          <w:b/>
          <w:color w:val="000000" w:themeColor="text1"/>
        </w:rPr>
        <w:t>Targets</w:t>
      </w:r>
    </w:p>
    <w:tbl>
      <w:tblPr>
        <w:tblW w:w="3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TARGETS"/>
      </w:tblPr>
      <w:tblGrid>
        <w:gridCol w:w="897"/>
        <w:gridCol w:w="721"/>
        <w:gridCol w:w="1171"/>
        <w:gridCol w:w="1334"/>
        <w:gridCol w:w="1334"/>
        <w:gridCol w:w="1334"/>
      </w:tblGrid>
      <w:tr w:rsidR="0094481B" w:rsidRPr="00781112" w14:paraId="61B13027" w14:textId="7E8C0770" w:rsidTr="00FE4611">
        <w:tc>
          <w:tcPr>
            <w:tcW w:w="660" w:type="pct"/>
            <w:tcBorders>
              <w:bottom w:val="single" w:sz="4" w:space="0" w:color="auto"/>
            </w:tcBorders>
            <w:shd w:val="clear" w:color="auto" w:fill="auto"/>
            <w:vAlign w:val="center"/>
          </w:tcPr>
          <w:p w14:paraId="41C1EDA8" w14:textId="77777777" w:rsidR="0094481B" w:rsidRPr="00781112" w:rsidRDefault="0094481B" w:rsidP="00FD5357">
            <w:pPr>
              <w:jc w:val="center"/>
              <w:rPr>
                <w:b/>
                <w:color w:val="000000" w:themeColor="text1"/>
              </w:rPr>
            </w:pPr>
            <w:r w:rsidRPr="00781112">
              <w:rPr>
                <w:b/>
                <w:color w:val="000000" w:themeColor="text1"/>
              </w:rPr>
              <w:t>Subject</w:t>
            </w:r>
          </w:p>
        </w:tc>
        <w:tc>
          <w:tcPr>
            <w:tcW w:w="531" w:type="pct"/>
            <w:tcBorders>
              <w:bottom w:val="single" w:sz="4" w:space="0" w:color="auto"/>
            </w:tcBorders>
            <w:shd w:val="clear" w:color="auto" w:fill="auto"/>
            <w:vAlign w:val="center"/>
          </w:tcPr>
          <w:p w14:paraId="47C72AA9" w14:textId="77777777" w:rsidR="0094481B" w:rsidRPr="00781112" w:rsidRDefault="0094481B" w:rsidP="00FD5357">
            <w:pPr>
              <w:jc w:val="center"/>
              <w:rPr>
                <w:b/>
                <w:color w:val="000000" w:themeColor="text1"/>
              </w:rPr>
            </w:pPr>
            <w:r w:rsidRPr="00781112">
              <w:rPr>
                <w:b/>
                <w:color w:val="000000" w:themeColor="text1"/>
              </w:rPr>
              <w:t>Group</w:t>
            </w:r>
          </w:p>
        </w:tc>
        <w:tc>
          <w:tcPr>
            <w:tcW w:w="862" w:type="pct"/>
            <w:shd w:val="clear" w:color="auto" w:fill="auto"/>
            <w:vAlign w:val="center"/>
          </w:tcPr>
          <w:p w14:paraId="3EBC6D10" w14:textId="77777777" w:rsidR="0094481B" w:rsidRPr="00781112" w:rsidDel="008E7B87" w:rsidRDefault="0094481B" w:rsidP="00FD5357">
            <w:pPr>
              <w:jc w:val="center"/>
              <w:rPr>
                <w:b/>
                <w:color w:val="000000" w:themeColor="text1"/>
              </w:rPr>
            </w:pPr>
            <w:r w:rsidRPr="00781112">
              <w:rPr>
                <w:b/>
                <w:color w:val="000000" w:themeColor="text1"/>
              </w:rPr>
              <w:t>Group Name</w:t>
            </w:r>
          </w:p>
        </w:tc>
        <w:tc>
          <w:tcPr>
            <w:tcW w:w="982" w:type="pct"/>
            <w:shd w:val="clear" w:color="auto" w:fill="auto"/>
            <w:vAlign w:val="center"/>
          </w:tcPr>
          <w:p w14:paraId="5DB0C638" w14:textId="77777777" w:rsidR="0094481B" w:rsidRPr="00781112" w:rsidRDefault="0094481B" w:rsidP="00FD5357">
            <w:pPr>
              <w:jc w:val="center"/>
              <w:rPr>
                <w:b/>
                <w:color w:val="000000" w:themeColor="text1"/>
              </w:rPr>
            </w:pPr>
            <w:r w:rsidRPr="00781112">
              <w:rPr>
                <w:b/>
                <w:color w:val="000000" w:themeColor="text1"/>
              </w:rPr>
              <w:t>2023</w:t>
            </w:r>
          </w:p>
        </w:tc>
        <w:tc>
          <w:tcPr>
            <w:tcW w:w="982" w:type="pct"/>
            <w:vAlign w:val="center"/>
          </w:tcPr>
          <w:p w14:paraId="2BCE0486" w14:textId="3C221AF8" w:rsidR="0094481B" w:rsidRPr="00781112" w:rsidRDefault="0094481B" w:rsidP="00FD5357">
            <w:pPr>
              <w:jc w:val="center"/>
              <w:rPr>
                <w:b/>
                <w:color w:val="000000" w:themeColor="text1"/>
              </w:rPr>
            </w:pPr>
            <w:r w:rsidRPr="00781112">
              <w:rPr>
                <w:rFonts w:cs="Arial"/>
                <w:b/>
                <w:color w:val="000000" w:themeColor="text1"/>
                <w:szCs w:val="16"/>
              </w:rPr>
              <w:t>2024</w:t>
            </w:r>
          </w:p>
        </w:tc>
        <w:tc>
          <w:tcPr>
            <w:tcW w:w="982" w:type="pct"/>
            <w:vAlign w:val="center"/>
          </w:tcPr>
          <w:p w14:paraId="1990502A" w14:textId="03716A79" w:rsidR="0094481B" w:rsidRPr="00781112" w:rsidRDefault="0094481B" w:rsidP="00FD5357">
            <w:pPr>
              <w:jc w:val="center"/>
              <w:rPr>
                <w:b/>
                <w:color w:val="000000" w:themeColor="text1"/>
              </w:rPr>
            </w:pPr>
            <w:r w:rsidRPr="00781112">
              <w:rPr>
                <w:rFonts w:cs="Arial"/>
                <w:b/>
                <w:color w:val="000000" w:themeColor="text1"/>
                <w:szCs w:val="16"/>
              </w:rPr>
              <w:t>2025</w:t>
            </w:r>
          </w:p>
        </w:tc>
      </w:tr>
      <w:tr w:rsidR="0094481B" w:rsidRPr="00781112" w14:paraId="5EF23A8E" w14:textId="333536B2" w:rsidTr="00FE4611">
        <w:tc>
          <w:tcPr>
            <w:tcW w:w="660" w:type="pct"/>
            <w:shd w:val="clear" w:color="auto" w:fill="auto"/>
            <w:vAlign w:val="center"/>
          </w:tcPr>
          <w:p w14:paraId="659131E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0E33DCFC"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A &gt;=</w:t>
            </w:r>
          </w:p>
        </w:tc>
        <w:tc>
          <w:tcPr>
            <w:tcW w:w="862" w:type="pct"/>
            <w:shd w:val="clear" w:color="auto" w:fill="auto"/>
            <w:vAlign w:val="center"/>
          </w:tcPr>
          <w:p w14:paraId="76B16B43" w14:textId="39FB8899"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0F6CE0A1" w14:textId="29A64BBD"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4A0A22E0" w14:textId="5285E879" w:rsidR="0094481B" w:rsidRPr="00FE4611" w:rsidRDefault="0094481B" w:rsidP="006369C2">
            <w:pPr>
              <w:jc w:val="center"/>
            </w:pPr>
            <w:r w:rsidRPr="00781112">
              <w:rPr>
                <w:rFonts w:cs="Arial"/>
                <w:color w:val="000000" w:themeColor="text1"/>
                <w:szCs w:val="16"/>
              </w:rPr>
              <w:t>95.00%</w:t>
            </w:r>
          </w:p>
        </w:tc>
        <w:tc>
          <w:tcPr>
            <w:tcW w:w="982" w:type="pct"/>
            <w:vAlign w:val="center"/>
          </w:tcPr>
          <w:p w14:paraId="01E8CE0F" w14:textId="037B9FF4"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0DC87485" w14:textId="7CEA602E" w:rsidTr="00FE4611">
        <w:tc>
          <w:tcPr>
            <w:tcW w:w="660" w:type="pct"/>
            <w:shd w:val="clear" w:color="auto" w:fill="auto"/>
            <w:vAlign w:val="center"/>
          </w:tcPr>
          <w:p w14:paraId="0DBD5106"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32DA1B30"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B &gt;=</w:t>
            </w:r>
          </w:p>
        </w:tc>
        <w:tc>
          <w:tcPr>
            <w:tcW w:w="862" w:type="pct"/>
            <w:shd w:val="clear" w:color="auto" w:fill="auto"/>
            <w:vAlign w:val="center"/>
          </w:tcPr>
          <w:p w14:paraId="7451C944" w14:textId="48D1DB42"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00A324D3" w14:textId="7CE00F34"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52AC2F70" w14:textId="3AB4351A"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32A4C051" w14:textId="2E65FFFC"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546837A9" w14:textId="0EC3B58A" w:rsidTr="00FE4611">
        <w:tc>
          <w:tcPr>
            <w:tcW w:w="660" w:type="pct"/>
            <w:shd w:val="clear" w:color="auto" w:fill="auto"/>
            <w:vAlign w:val="center"/>
          </w:tcPr>
          <w:p w14:paraId="5E2AB8D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2801904B"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C &gt;=</w:t>
            </w:r>
          </w:p>
        </w:tc>
        <w:tc>
          <w:tcPr>
            <w:tcW w:w="862" w:type="pct"/>
            <w:shd w:val="clear" w:color="auto" w:fill="auto"/>
            <w:vAlign w:val="center"/>
          </w:tcPr>
          <w:p w14:paraId="5F09655C" w14:textId="799E5EE7"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06826BA4" w14:textId="5829FE90"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4B1D7EC" w14:textId="5E17D245"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05B53368" w14:textId="52EA99DA"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42FB4D55" w14:textId="70E04CC1" w:rsidTr="00FE4611">
        <w:tc>
          <w:tcPr>
            <w:tcW w:w="660" w:type="pct"/>
            <w:shd w:val="clear" w:color="auto" w:fill="auto"/>
            <w:vAlign w:val="center"/>
          </w:tcPr>
          <w:p w14:paraId="5003C653"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3BDC476D"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A &gt;=</w:t>
            </w:r>
          </w:p>
        </w:tc>
        <w:tc>
          <w:tcPr>
            <w:tcW w:w="862" w:type="pct"/>
            <w:shd w:val="clear" w:color="auto" w:fill="auto"/>
            <w:vAlign w:val="center"/>
          </w:tcPr>
          <w:p w14:paraId="0CAD024F" w14:textId="139788C5"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643E3EC7" w14:textId="5E734881"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5C17E435" w14:textId="07B15AE7"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B9AA205" w14:textId="39F901D2"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36D735AC" w14:textId="5C55C170" w:rsidTr="00FE4611">
        <w:tc>
          <w:tcPr>
            <w:tcW w:w="660" w:type="pct"/>
            <w:shd w:val="clear" w:color="auto" w:fill="auto"/>
            <w:vAlign w:val="center"/>
          </w:tcPr>
          <w:p w14:paraId="3DD28514"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504829E1"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B &gt;=</w:t>
            </w:r>
          </w:p>
        </w:tc>
        <w:tc>
          <w:tcPr>
            <w:tcW w:w="862" w:type="pct"/>
            <w:shd w:val="clear" w:color="auto" w:fill="auto"/>
            <w:vAlign w:val="center"/>
          </w:tcPr>
          <w:p w14:paraId="7B7B7FDD" w14:textId="4EABA9DD"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4BE54D67" w14:textId="13C82F03"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113A8B0" w14:textId="01C04123"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3A3B0FBA" w14:textId="478F9449"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r w:rsidR="0094481B" w:rsidRPr="00781112" w14:paraId="6D5345B6" w14:textId="77468A6F" w:rsidTr="00FE4611">
        <w:tc>
          <w:tcPr>
            <w:tcW w:w="660" w:type="pct"/>
            <w:shd w:val="clear" w:color="auto" w:fill="auto"/>
            <w:vAlign w:val="center"/>
          </w:tcPr>
          <w:p w14:paraId="7932C55F"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2BCACF10" w14:textId="77777777" w:rsidR="0094481B" w:rsidRPr="00781112" w:rsidRDefault="0094481B" w:rsidP="00C362C0">
            <w:pPr>
              <w:spacing w:before="0" w:after="0"/>
              <w:jc w:val="center"/>
              <w:rPr>
                <w:rFonts w:cs="Arial"/>
                <w:color w:val="000000" w:themeColor="text1"/>
                <w:szCs w:val="16"/>
              </w:rPr>
            </w:pPr>
            <w:r w:rsidRPr="00781112">
              <w:rPr>
                <w:rFonts w:cs="Arial"/>
                <w:color w:val="000000" w:themeColor="text1"/>
                <w:szCs w:val="16"/>
              </w:rPr>
              <w:t>C &gt;=</w:t>
            </w:r>
          </w:p>
        </w:tc>
        <w:tc>
          <w:tcPr>
            <w:tcW w:w="862" w:type="pct"/>
            <w:shd w:val="clear" w:color="auto" w:fill="auto"/>
            <w:vAlign w:val="center"/>
          </w:tcPr>
          <w:p w14:paraId="1E7674E7" w14:textId="620A24D0" w:rsidR="0094481B" w:rsidRPr="00781112" w:rsidDel="00DB0A73" w:rsidRDefault="0094481B" w:rsidP="00C362C0">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416F7E76" w14:textId="5B460752"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7ADA18AC" w14:textId="2893C149"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c>
          <w:tcPr>
            <w:tcW w:w="982" w:type="pct"/>
            <w:vAlign w:val="center"/>
          </w:tcPr>
          <w:p w14:paraId="1BF168BC" w14:textId="476AE7F5" w:rsidR="0094481B" w:rsidRPr="00781112" w:rsidRDefault="0094481B" w:rsidP="00C362C0">
            <w:pPr>
              <w:jc w:val="center"/>
              <w:rPr>
                <w:rFonts w:cs="Arial"/>
                <w:color w:val="000000" w:themeColor="text1"/>
                <w:szCs w:val="16"/>
              </w:rPr>
            </w:pPr>
            <w:r w:rsidRPr="00781112">
              <w:rPr>
                <w:rFonts w:cs="Arial"/>
                <w:color w:val="000000" w:themeColor="text1"/>
                <w:szCs w:val="16"/>
              </w:rPr>
              <w:t>95.00%</w:t>
            </w:r>
          </w:p>
        </w:tc>
      </w:tr>
    </w:tbl>
    <w:p w14:paraId="504D6A43" w14:textId="77777777" w:rsidR="00480083" w:rsidRPr="00781112" w:rsidRDefault="00480083" w:rsidP="00480083">
      <w:pPr>
        <w:rPr>
          <w:b/>
          <w:color w:val="000000" w:themeColor="text1"/>
        </w:rPr>
      </w:pPr>
    </w:p>
    <w:p w14:paraId="3F503660" w14:textId="72C6CE84" w:rsidR="00480083" w:rsidRPr="00781112" w:rsidRDefault="00480083" w:rsidP="00480083">
      <w:pPr>
        <w:rPr>
          <w:b/>
          <w:color w:val="000000" w:themeColor="text1"/>
        </w:rPr>
      </w:pPr>
      <w:r w:rsidRPr="00781112">
        <w:rPr>
          <w:b/>
          <w:color w:val="000000" w:themeColor="text1"/>
        </w:rPr>
        <w:t xml:space="preserve">Targets: Description of Stakeholder Input </w:t>
      </w:r>
    </w:p>
    <w:p w14:paraId="361B382C" w14:textId="77777777" w:rsidR="00480083" w:rsidRPr="00781112" w:rsidRDefault="00480083" w:rsidP="00480083">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w:t>
      </w:r>
      <w:r w:rsidRPr="00781112">
        <w:rPr>
          <w:rFonts w:cs="Arial"/>
          <w:color w:val="000000" w:themeColor="text1"/>
          <w:szCs w:val="16"/>
        </w:rPr>
        <w:lastRenderedPageBreak/>
        <w:t xml:space="preserve">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2DB4239B" w14:textId="2F83DC57" w:rsidR="00480083" w:rsidRPr="00781112" w:rsidRDefault="00480083" w:rsidP="00480083">
      <w:pPr>
        <w:rPr>
          <w:rFonts w:cs="Arial"/>
          <w:color w:val="000000" w:themeColor="text1"/>
          <w:szCs w:val="16"/>
        </w:rPr>
      </w:pPr>
    </w:p>
    <w:p w14:paraId="51F0752D" w14:textId="77777777" w:rsidR="00650510" w:rsidRDefault="00650510" w:rsidP="004F4016">
      <w:pPr>
        <w:rPr>
          <w:b/>
          <w:color w:val="000000" w:themeColor="text1"/>
        </w:rPr>
      </w:pPr>
    </w:p>
    <w:p w14:paraId="185A3541" w14:textId="41ABD49F" w:rsidR="004F4016" w:rsidRPr="00781112" w:rsidRDefault="00FA33C9" w:rsidP="004F4016">
      <w:pPr>
        <w:rPr>
          <w:b/>
          <w:color w:val="000000" w:themeColor="text1"/>
        </w:rPr>
      </w:pPr>
      <w:r>
        <w:rPr>
          <w:b/>
          <w:color w:val="000000" w:themeColor="text1"/>
        </w:rPr>
        <w:t>FFY 2023 Data Disaggregation from ED</w:t>
      </w:r>
      <w:r w:rsidRPr="00BA3DBE">
        <w:rPr>
          <w:b/>
          <w:i/>
          <w:iCs/>
          <w:color w:val="000000" w:themeColor="text1"/>
        </w:rPr>
        <w:t>Facts</w:t>
      </w:r>
    </w:p>
    <w:p w14:paraId="0D0950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395788DA" w14:textId="4855F4A0" w:rsidR="004F4016" w:rsidRPr="00781112" w:rsidRDefault="004F4016" w:rsidP="004F4016">
      <w:pPr>
        <w:rPr>
          <w:rFonts w:cs="Arial"/>
          <w:color w:val="000000" w:themeColor="text1"/>
          <w:szCs w:val="16"/>
        </w:rPr>
      </w:pPr>
      <w:r w:rsidRPr="00781112">
        <w:rPr>
          <w:rFonts w:cs="Arial"/>
          <w:color w:val="000000" w:themeColor="text1"/>
          <w:szCs w:val="16"/>
        </w:rPr>
        <w:t>SY 2023-24 Assessment Data Groups - Reading  (EDFacts file spec FS188; Data Group: 589)</w:t>
      </w:r>
    </w:p>
    <w:p w14:paraId="6E29ED7B"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5988832A" w14:textId="77777777" w:rsidR="004F4016" w:rsidRPr="00781112" w:rsidRDefault="004F4016" w:rsidP="004F4016">
      <w:pPr>
        <w:rPr>
          <w:rFonts w:cs="Arial"/>
          <w:color w:val="000000" w:themeColor="text1"/>
          <w:szCs w:val="16"/>
        </w:rPr>
      </w:pPr>
      <w:r w:rsidRPr="00781112">
        <w:rPr>
          <w:rFonts w:cs="Arial"/>
          <w:color w:val="000000" w:themeColor="text1"/>
          <w:szCs w:val="16"/>
        </w:rPr>
        <w:t>01/08/2025</w:t>
      </w:r>
    </w:p>
    <w:p w14:paraId="651CC948" w14:textId="7845CFDF" w:rsidR="004F4016" w:rsidRPr="00781112" w:rsidRDefault="004F4016" w:rsidP="004F4016">
      <w:pPr>
        <w:rPr>
          <w:b/>
          <w:color w:val="000000" w:themeColor="text1"/>
        </w:rPr>
      </w:pPr>
      <w:r w:rsidRPr="00781112">
        <w:rPr>
          <w:b/>
          <w:color w:val="000000" w:themeColor="text1"/>
        </w:rPr>
        <w:t>Reading Assessment Participation Data by Grade (1)</w:t>
      </w:r>
    </w:p>
    <w:tbl>
      <w:tblPr>
        <w:tblStyle w:val="TableGrid"/>
        <w:tblW w:w="5000" w:type="pct"/>
        <w:tblLayout w:type="fixed"/>
        <w:tblLook w:val="04A0" w:firstRow="1" w:lastRow="0" w:firstColumn="1" w:lastColumn="0" w:noHBand="0" w:noVBand="1"/>
        <w:tblCaption w:val="B03ASSPARTDATABYGRDRLA"/>
      </w:tblPr>
      <w:tblGrid>
        <w:gridCol w:w="3326"/>
        <w:gridCol w:w="2488"/>
        <w:gridCol w:w="2488"/>
        <w:gridCol w:w="2488"/>
      </w:tblGrid>
      <w:tr w:rsidR="00DD7CEF" w:rsidRPr="00781112" w14:paraId="403AD72A" w14:textId="77777777" w:rsidTr="009E026B">
        <w:tc>
          <w:tcPr>
            <w:tcW w:w="1541" w:type="pct"/>
            <w:shd w:val="clear" w:color="auto" w:fill="auto"/>
            <w:vAlign w:val="center"/>
          </w:tcPr>
          <w:p w14:paraId="1C62C5FF" w14:textId="603ACFA1" w:rsidR="00DD7CEF" w:rsidRPr="00781112" w:rsidRDefault="00DD7CEF" w:rsidP="00827FF4">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3BC293C7" w14:textId="23FBE050" w:rsidR="00DD7CEF" w:rsidRPr="00781112" w:rsidRDefault="0014778D">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2B9E34ED" w14:textId="748CD695" w:rsidR="00DD7CEF" w:rsidRPr="00781112" w:rsidRDefault="009A58F2">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1C889EA5" w14:textId="5C3575D5" w:rsidR="00DD7CEF" w:rsidRPr="00781112" w:rsidRDefault="00641893">
            <w:pPr>
              <w:jc w:val="center"/>
              <w:rPr>
                <w:rFonts w:cs="Arial"/>
                <w:b/>
                <w:bCs/>
                <w:color w:val="000000" w:themeColor="text1"/>
                <w:szCs w:val="16"/>
              </w:rPr>
            </w:pPr>
            <w:r w:rsidRPr="00781112">
              <w:rPr>
                <w:rFonts w:cs="Arial"/>
                <w:b/>
                <w:bCs/>
                <w:color w:val="000000" w:themeColor="text1"/>
                <w:szCs w:val="16"/>
              </w:rPr>
              <w:t>Grade HS</w:t>
            </w:r>
          </w:p>
        </w:tc>
      </w:tr>
      <w:tr w:rsidR="00DD7CEF" w:rsidRPr="00781112" w14:paraId="384D4241" w14:textId="77777777" w:rsidTr="009E026B">
        <w:tc>
          <w:tcPr>
            <w:tcW w:w="1541" w:type="pct"/>
            <w:shd w:val="clear" w:color="auto" w:fill="auto"/>
            <w:vAlign w:val="center"/>
          </w:tcPr>
          <w:p w14:paraId="2C5D3B14" w14:textId="4D5910D7" w:rsidR="00DD7CEF" w:rsidRPr="00781112" w:rsidRDefault="00DD7CEF" w:rsidP="00827FF4">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76979ED3" w14:textId="29C55693" w:rsidR="00DD7CEF" w:rsidRPr="00781112" w:rsidRDefault="00DD7CEF" w:rsidP="00360DD6">
            <w:pPr>
              <w:jc w:val="center"/>
              <w:rPr>
                <w:rFonts w:cs="Arial"/>
                <w:color w:val="000000" w:themeColor="text1"/>
                <w:szCs w:val="16"/>
              </w:rPr>
            </w:pPr>
            <w:r w:rsidRPr="00781112">
              <w:rPr>
                <w:rFonts w:cs="Arial"/>
                <w:color w:val="000000" w:themeColor="text1"/>
                <w:szCs w:val="16"/>
              </w:rPr>
              <w:t>7,556</w:t>
            </w:r>
          </w:p>
        </w:tc>
        <w:tc>
          <w:tcPr>
            <w:tcW w:w="1153" w:type="pct"/>
            <w:shd w:val="clear" w:color="auto" w:fill="auto"/>
            <w:vAlign w:val="center"/>
          </w:tcPr>
          <w:p w14:paraId="35D7BA3B" w14:textId="1A0E2FBE" w:rsidR="00DD7CEF" w:rsidRPr="00781112" w:rsidRDefault="00DD7CEF" w:rsidP="00360DD6">
            <w:pPr>
              <w:jc w:val="center"/>
              <w:rPr>
                <w:rFonts w:cs="Arial"/>
                <w:color w:val="000000" w:themeColor="text1"/>
                <w:szCs w:val="16"/>
              </w:rPr>
            </w:pPr>
            <w:r w:rsidRPr="00781112">
              <w:rPr>
                <w:rFonts w:cs="Arial"/>
                <w:color w:val="000000" w:themeColor="text1"/>
                <w:szCs w:val="16"/>
              </w:rPr>
              <w:t>6,738</w:t>
            </w:r>
          </w:p>
        </w:tc>
        <w:tc>
          <w:tcPr>
            <w:tcW w:w="1153" w:type="pct"/>
            <w:shd w:val="clear" w:color="auto" w:fill="auto"/>
            <w:vAlign w:val="center"/>
          </w:tcPr>
          <w:p w14:paraId="052A06A3" w14:textId="4AC6D010" w:rsidR="00DD7CEF" w:rsidRPr="00781112" w:rsidRDefault="00DD7CEF" w:rsidP="00360DD6">
            <w:pPr>
              <w:jc w:val="center"/>
              <w:rPr>
                <w:rFonts w:cs="Arial"/>
                <w:color w:val="000000" w:themeColor="text1"/>
                <w:szCs w:val="16"/>
              </w:rPr>
            </w:pPr>
            <w:r w:rsidRPr="00781112">
              <w:rPr>
                <w:rFonts w:cs="Arial"/>
                <w:color w:val="000000" w:themeColor="text1"/>
                <w:szCs w:val="16"/>
              </w:rPr>
              <w:t>5,747</w:t>
            </w:r>
          </w:p>
        </w:tc>
      </w:tr>
      <w:tr w:rsidR="00DD7CEF" w:rsidRPr="00781112" w14:paraId="7B6E221D" w14:textId="77777777" w:rsidTr="009E026B">
        <w:tc>
          <w:tcPr>
            <w:tcW w:w="1541" w:type="pct"/>
            <w:shd w:val="clear" w:color="auto" w:fill="auto"/>
            <w:vAlign w:val="center"/>
          </w:tcPr>
          <w:p w14:paraId="06F38372" w14:textId="6CFF7C17" w:rsidR="00DD7CEF" w:rsidRPr="00781112" w:rsidRDefault="00DD7CEF" w:rsidP="00827FF4">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9910B66" w14:textId="372C2375" w:rsidR="00DD7CEF" w:rsidRPr="00781112" w:rsidRDefault="00DD7CEF" w:rsidP="00360DD6">
            <w:pPr>
              <w:jc w:val="center"/>
              <w:rPr>
                <w:rFonts w:cs="Arial"/>
                <w:color w:val="000000" w:themeColor="text1"/>
                <w:szCs w:val="16"/>
              </w:rPr>
            </w:pPr>
            <w:r w:rsidRPr="00781112">
              <w:rPr>
                <w:rFonts w:cs="Arial"/>
                <w:color w:val="000000" w:themeColor="text1"/>
                <w:szCs w:val="16"/>
              </w:rPr>
              <w:t>3,784</w:t>
            </w:r>
          </w:p>
        </w:tc>
        <w:tc>
          <w:tcPr>
            <w:tcW w:w="1153" w:type="pct"/>
            <w:shd w:val="clear" w:color="auto" w:fill="auto"/>
            <w:vAlign w:val="center"/>
          </w:tcPr>
          <w:p w14:paraId="58E61FB0" w14:textId="02C429C4" w:rsidR="00DD7CEF" w:rsidRPr="00781112" w:rsidRDefault="00DD7CEF" w:rsidP="00360DD6">
            <w:pPr>
              <w:jc w:val="center"/>
              <w:rPr>
                <w:rFonts w:cs="Arial"/>
                <w:color w:val="000000" w:themeColor="text1"/>
                <w:szCs w:val="16"/>
              </w:rPr>
            </w:pPr>
            <w:r w:rsidRPr="00781112">
              <w:rPr>
                <w:rFonts w:cs="Arial"/>
                <w:color w:val="000000" w:themeColor="text1"/>
                <w:szCs w:val="16"/>
              </w:rPr>
              <w:t>3,160</w:t>
            </w:r>
          </w:p>
        </w:tc>
        <w:tc>
          <w:tcPr>
            <w:tcW w:w="1153" w:type="pct"/>
            <w:shd w:val="clear" w:color="auto" w:fill="auto"/>
            <w:vAlign w:val="center"/>
          </w:tcPr>
          <w:p w14:paraId="60320EC9" w14:textId="6D87AECE" w:rsidR="00DD7CEF" w:rsidRPr="00781112" w:rsidRDefault="00DD7CEF" w:rsidP="00360DD6">
            <w:pPr>
              <w:jc w:val="center"/>
              <w:rPr>
                <w:rFonts w:cs="Arial"/>
                <w:color w:val="000000" w:themeColor="text1"/>
                <w:szCs w:val="16"/>
              </w:rPr>
            </w:pPr>
            <w:r w:rsidRPr="00781112">
              <w:rPr>
                <w:rFonts w:cs="Arial"/>
                <w:color w:val="000000" w:themeColor="text1"/>
                <w:szCs w:val="16"/>
              </w:rPr>
              <w:t>2,794</w:t>
            </w:r>
          </w:p>
        </w:tc>
      </w:tr>
      <w:tr w:rsidR="00DD7CEF" w:rsidRPr="00781112" w14:paraId="764B5297" w14:textId="77777777" w:rsidTr="009E026B">
        <w:tc>
          <w:tcPr>
            <w:tcW w:w="1541" w:type="pct"/>
            <w:shd w:val="clear" w:color="auto" w:fill="auto"/>
            <w:vAlign w:val="center"/>
          </w:tcPr>
          <w:p w14:paraId="4B1F9E5B" w14:textId="10333647" w:rsidR="00DD7CEF" w:rsidRPr="00781112" w:rsidRDefault="00DD7CEF" w:rsidP="00827FF4">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9E2C9E2" w14:textId="62074AB9" w:rsidR="00DD7CEF" w:rsidRPr="00781112" w:rsidRDefault="00DD7CEF" w:rsidP="00360DD6">
            <w:pPr>
              <w:jc w:val="center"/>
              <w:rPr>
                <w:rFonts w:cs="Arial"/>
                <w:color w:val="000000" w:themeColor="text1"/>
                <w:szCs w:val="16"/>
              </w:rPr>
            </w:pPr>
            <w:r w:rsidRPr="00781112">
              <w:rPr>
                <w:rFonts w:cs="Arial"/>
                <w:color w:val="000000" w:themeColor="text1"/>
                <w:szCs w:val="16"/>
              </w:rPr>
              <w:t>2,396</w:t>
            </w:r>
          </w:p>
        </w:tc>
        <w:tc>
          <w:tcPr>
            <w:tcW w:w="1153" w:type="pct"/>
            <w:shd w:val="clear" w:color="auto" w:fill="auto"/>
            <w:vAlign w:val="center"/>
          </w:tcPr>
          <w:p w14:paraId="3DB02599" w14:textId="2A0B712D" w:rsidR="00DD7CEF" w:rsidRPr="00781112" w:rsidRDefault="00DD7CEF" w:rsidP="00360DD6">
            <w:pPr>
              <w:jc w:val="center"/>
              <w:rPr>
                <w:rFonts w:cs="Arial"/>
                <w:color w:val="000000" w:themeColor="text1"/>
                <w:szCs w:val="16"/>
              </w:rPr>
            </w:pPr>
            <w:r w:rsidRPr="00781112">
              <w:rPr>
                <w:rFonts w:cs="Arial"/>
                <w:color w:val="000000" w:themeColor="text1"/>
                <w:szCs w:val="16"/>
              </w:rPr>
              <w:t>2,044</w:t>
            </w:r>
          </w:p>
        </w:tc>
        <w:tc>
          <w:tcPr>
            <w:tcW w:w="1153" w:type="pct"/>
            <w:shd w:val="clear" w:color="auto" w:fill="auto"/>
            <w:vAlign w:val="center"/>
          </w:tcPr>
          <w:p w14:paraId="4B5AD287" w14:textId="21E448FD" w:rsidR="00DD7CEF" w:rsidRPr="00781112" w:rsidRDefault="00DD7CEF" w:rsidP="00360DD6">
            <w:pPr>
              <w:jc w:val="center"/>
              <w:rPr>
                <w:rFonts w:cs="Arial"/>
                <w:color w:val="000000" w:themeColor="text1"/>
                <w:szCs w:val="16"/>
              </w:rPr>
            </w:pPr>
            <w:r w:rsidRPr="00781112">
              <w:rPr>
                <w:rFonts w:cs="Arial"/>
                <w:color w:val="000000" w:themeColor="text1"/>
                <w:szCs w:val="16"/>
              </w:rPr>
              <w:t>622</w:t>
            </w:r>
          </w:p>
        </w:tc>
      </w:tr>
      <w:tr w:rsidR="00DD7CEF" w:rsidRPr="00781112" w14:paraId="2174424F" w14:textId="77777777" w:rsidTr="009E026B">
        <w:tc>
          <w:tcPr>
            <w:tcW w:w="1541" w:type="pct"/>
            <w:shd w:val="clear" w:color="auto" w:fill="auto"/>
            <w:vAlign w:val="center"/>
          </w:tcPr>
          <w:p w14:paraId="42AC6AFC" w14:textId="1F1C0A89" w:rsidR="00DD7CEF" w:rsidRPr="00781112" w:rsidRDefault="00E67387" w:rsidP="00827FF4">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372F0481" w14:textId="200584A1" w:rsidR="00DD7CEF" w:rsidRPr="00781112" w:rsidRDefault="00DD7CEF" w:rsidP="00360DD6">
            <w:pPr>
              <w:jc w:val="center"/>
              <w:rPr>
                <w:rFonts w:cs="Arial"/>
                <w:color w:val="000000" w:themeColor="text1"/>
                <w:szCs w:val="16"/>
              </w:rPr>
            </w:pPr>
            <w:r w:rsidRPr="00781112">
              <w:rPr>
                <w:rFonts w:cs="Arial"/>
                <w:color w:val="000000" w:themeColor="text1"/>
                <w:szCs w:val="16"/>
              </w:rPr>
              <w:t>396</w:t>
            </w:r>
          </w:p>
        </w:tc>
        <w:tc>
          <w:tcPr>
            <w:tcW w:w="1153" w:type="pct"/>
            <w:shd w:val="clear" w:color="auto" w:fill="auto"/>
            <w:vAlign w:val="center"/>
          </w:tcPr>
          <w:p w14:paraId="74C112C5" w14:textId="5B153323" w:rsidR="00DD7CEF" w:rsidRPr="00781112" w:rsidRDefault="00DD7CEF" w:rsidP="00360DD6">
            <w:pPr>
              <w:jc w:val="center"/>
              <w:rPr>
                <w:rFonts w:cs="Arial"/>
                <w:color w:val="000000" w:themeColor="text1"/>
                <w:szCs w:val="16"/>
              </w:rPr>
            </w:pPr>
            <w:r w:rsidRPr="00781112">
              <w:rPr>
                <w:rFonts w:cs="Arial"/>
                <w:color w:val="000000" w:themeColor="text1"/>
                <w:szCs w:val="16"/>
              </w:rPr>
              <w:t>363</w:t>
            </w:r>
          </w:p>
        </w:tc>
        <w:tc>
          <w:tcPr>
            <w:tcW w:w="1153" w:type="pct"/>
            <w:shd w:val="clear" w:color="auto" w:fill="auto"/>
            <w:vAlign w:val="center"/>
          </w:tcPr>
          <w:p w14:paraId="37AA75C1" w14:textId="6F75A72A" w:rsidR="00DD7CEF" w:rsidRPr="00781112" w:rsidRDefault="00DD7CEF" w:rsidP="00360DD6">
            <w:pPr>
              <w:jc w:val="center"/>
              <w:rPr>
                <w:rFonts w:cs="Arial"/>
                <w:color w:val="000000" w:themeColor="text1"/>
                <w:szCs w:val="16"/>
              </w:rPr>
            </w:pPr>
            <w:r w:rsidRPr="00781112">
              <w:rPr>
                <w:rFonts w:cs="Arial"/>
                <w:color w:val="000000" w:themeColor="text1"/>
                <w:szCs w:val="16"/>
              </w:rPr>
              <w:t>288</w:t>
            </w:r>
          </w:p>
        </w:tc>
      </w:tr>
    </w:tbl>
    <w:p w14:paraId="2BFA9082" w14:textId="77777777" w:rsidR="003C0975" w:rsidRPr="00781112" w:rsidRDefault="003C0975" w:rsidP="004F4016">
      <w:pPr>
        <w:rPr>
          <w:b/>
          <w:color w:val="000000" w:themeColor="text1"/>
        </w:rPr>
      </w:pPr>
    </w:p>
    <w:p w14:paraId="7180C13A"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Data Source: </w:t>
      </w:r>
    </w:p>
    <w:p w14:paraId="7381D1CB" w14:textId="5EA62270" w:rsidR="004F4016" w:rsidRPr="00781112" w:rsidRDefault="004F4016" w:rsidP="004F4016">
      <w:pPr>
        <w:rPr>
          <w:rFonts w:cs="Arial"/>
          <w:color w:val="000000" w:themeColor="text1"/>
          <w:szCs w:val="16"/>
        </w:rPr>
      </w:pPr>
      <w:r w:rsidRPr="00781112">
        <w:rPr>
          <w:rFonts w:cs="Arial"/>
          <w:color w:val="000000" w:themeColor="text1"/>
          <w:szCs w:val="16"/>
        </w:rPr>
        <w:t>SY 2023-24 Assessment Data Groups - Math  (EDFacts file spec FS185; Data Group: 588)</w:t>
      </w:r>
    </w:p>
    <w:p w14:paraId="565A3F2C" w14:textId="77777777" w:rsidR="004F4016" w:rsidRPr="00781112" w:rsidRDefault="004F4016" w:rsidP="004F4016">
      <w:pPr>
        <w:rPr>
          <w:rFonts w:cs="Arial"/>
          <w:b/>
          <w:color w:val="000000" w:themeColor="text1"/>
          <w:szCs w:val="16"/>
        </w:rPr>
      </w:pPr>
      <w:r w:rsidRPr="00781112">
        <w:rPr>
          <w:rFonts w:cs="Arial"/>
          <w:b/>
          <w:color w:val="000000" w:themeColor="text1"/>
          <w:szCs w:val="16"/>
        </w:rPr>
        <w:t xml:space="preserve">Date: </w:t>
      </w:r>
    </w:p>
    <w:p w14:paraId="44216026" w14:textId="00B372B9" w:rsidR="004F4016" w:rsidRPr="00781112" w:rsidRDefault="004F4016" w:rsidP="004F4016">
      <w:pPr>
        <w:rPr>
          <w:rFonts w:cs="Arial"/>
          <w:color w:val="000000" w:themeColor="text1"/>
          <w:szCs w:val="16"/>
        </w:rPr>
      </w:pPr>
      <w:r w:rsidRPr="00781112">
        <w:rPr>
          <w:rFonts w:cs="Arial"/>
          <w:color w:val="000000" w:themeColor="text1"/>
          <w:szCs w:val="16"/>
        </w:rPr>
        <w:t>01/08/2025</w:t>
      </w:r>
    </w:p>
    <w:p w14:paraId="4F72747C" w14:textId="77777777" w:rsidR="004F4016" w:rsidRPr="00781112" w:rsidRDefault="004F4016" w:rsidP="004F4016">
      <w:pPr>
        <w:rPr>
          <w:b/>
          <w:color w:val="000000" w:themeColor="text1"/>
        </w:rPr>
      </w:pPr>
      <w:r w:rsidRPr="00781112">
        <w:rPr>
          <w:b/>
          <w:color w:val="000000" w:themeColor="text1"/>
        </w:rPr>
        <w:t>Math Assessment Participation Data by Grade</w:t>
      </w:r>
    </w:p>
    <w:tbl>
      <w:tblPr>
        <w:tblStyle w:val="TableGrid"/>
        <w:tblW w:w="5000" w:type="pct"/>
        <w:tblLayout w:type="fixed"/>
        <w:tblLook w:val="04A0" w:firstRow="1" w:lastRow="0" w:firstColumn="1" w:lastColumn="0" w:noHBand="0" w:noVBand="1"/>
        <w:tblCaption w:val="B03ASSPARTDATABYGRDMATH"/>
      </w:tblPr>
      <w:tblGrid>
        <w:gridCol w:w="3326"/>
        <w:gridCol w:w="2488"/>
        <w:gridCol w:w="2488"/>
        <w:gridCol w:w="2488"/>
      </w:tblGrid>
      <w:tr w:rsidR="00227E23" w:rsidRPr="00781112" w14:paraId="765286EB" w14:textId="77777777" w:rsidTr="009E026B">
        <w:tc>
          <w:tcPr>
            <w:tcW w:w="1541" w:type="pct"/>
            <w:shd w:val="clear" w:color="auto" w:fill="auto"/>
            <w:vAlign w:val="center"/>
          </w:tcPr>
          <w:p w14:paraId="74EB9B5A" w14:textId="0F9AEAED" w:rsidR="00227E23" w:rsidRPr="00781112" w:rsidRDefault="00835EAD" w:rsidP="00227E23">
            <w:pPr>
              <w:jc w:val="center"/>
              <w:rPr>
                <w:rFonts w:cs="Arial"/>
                <w:b/>
                <w:bCs/>
                <w:color w:val="000000" w:themeColor="text1"/>
                <w:szCs w:val="16"/>
              </w:rPr>
            </w:pPr>
            <w:r w:rsidRPr="00781112">
              <w:rPr>
                <w:rFonts w:cs="Arial"/>
                <w:b/>
                <w:bCs/>
                <w:color w:val="000000" w:themeColor="text1"/>
                <w:szCs w:val="16"/>
              </w:rPr>
              <w:t>Group</w:t>
            </w:r>
          </w:p>
        </w:tc>
        <w:tc>
          <w:tcPr>
            <w:tcW w:w="1153" w:type="pct"/>
            <w:shd w:val="clear" w:color="auto" w:fill="auto"/>
            <w:vAlign w:val="center"/>
          </w:tcPr>
          <w:p w14:paraId="0DB3B187" w14:textId="58265A3B" w:rsidR="00227E23" w:rsidRPr="00781112" w:rsidRDefault="00227E23">
            <w:pPr>
              <w:jc w:val="center"/>
              <w:rPr>
                <w:rFonts w:cs="Arial"/>
                <w:b/>
                <w:bCs/>
                <w:color w:val="000000" w:themeColor="text1"/>
                <w:szCs w:val="16"/>
              </w:rPr>
            </w:pPr>
            <w:r w:rsidRPr="00781112">
              <w:rPr>
                <w:rFonts w:cs="Arial"/>
                <w:b/>
                <w:bCs/>
                <w:color w:val="000000" w:themeColor="text1"/>
                <w:szCs w:val="16"/>
              </w:rPr>
              <w:t>Grade 4</w:t>
            </w:r>
          </w:p>
        </w:tc>
        <w:tc>
          <w:tcPr>
            <w:tcW w:w="1153" w:type="pct"/>
            <w:shd w:val="clear" w:color="auto" w:fill="auto"/>
            <w:vAlign w:val="center"/>
          </w:tcPr>
          <w:p w14:paraId="41AE35D3" w14:textId="574BC069" w:rsidR="00227E23" w:rsidRPr="00781112" w:rsidRDefault="00227E23">
            <w:pPr>
              <w:jc w:val="center"/>
              <w:rPr>
                <w:rFonts w:cs="Arial"/>
                <w:b/>
                <w:bCs/>
                <w:color w:val="000000" w:themeColor="text1"/>
                <w:szCs w:val="16"/>
              </w:rPr>
            </w:pPr>
            <w:r w:rsidRPr="00781112">
              <w:rPr>
                <w:rFonts w:cs="Arial"/>
                <w:b/>
                <w:bCs/>
                <w:color w:val="000000" w:themeColor="text1"/>
                <w:szCs w:val="16"/>
              </w:rPr>
              <w:t>Grade 8</w:t>
            </w:r>
          </w:p>
        </w:tc>
        <w:tc>
          <w:tcPr>
            <w:tcW w:w="1153" w:type="pct"/>
            <w:shd w:val="clear" w:color="auto" w:fill="auto"/>
            <w:vAlign w:val="center"/>
          </w:tcPr>
          <w:p w14:paraId="5353B8D1" w14:textId="6B6DA4E3" w:rsidR="00227E23" w:rsidRPr="00781112" w:rsidRDefault="00227E23">
            <w:pPr>
              <w:jc w:val="center"/>
              <w:rPr>
                <w:rFonts w:cs="Arial"/>
                <w:b/>
                <w:bCs/>
                <w:color w:val="000000" w:themeColor="text1"/>
                <w:szCs w:val="16"/>
              </w:rPr>
            </w:pPr>
            <w:r w:rsidRPr="00781112">
              <w:rPr>
                <w:rFonts w:cs="Arial"/>
                <w:b/>
                <w:bCs/>
                <w:color w:val="000000" w:themeColor="text1"/>
                <w:szCs w:val="16"/>
              </w:rPr>
              <w:t>Grade HS</w:t>
            </w:r>
          </w:p>
        </w:tc>
      </w:tr>
      <w:tr w:rsidR="00BA0CFF" w:rsidRPr="00781112" w14:paraId="3F5839E5" w14:textId="77777777" w:rsidTr="009E026B">
        <w:tc>
          <w:tcPr>
            <w:tcW w:w="1541" w:type="pct"/>
            <w:shd w:val="clear" w:color="auto" w:fill="auto"/>
            <w:vAlign w:val="center"/>
          </w:tcPr>
          <w:p w14:paraId="570ED876" w14:textId="6CE7F50C" w:rsidR="00BA0CFF" w:rsidRPr="00781112" w:rsidRDefault="00BA0CFF" w:rsidP="00BA0CFF">
            <w:pPr>
              <w:rPr>
                <w:rFonts w:cs="Arial"/>
                <w:color w:val="000000" w:themeColor="text1"/>
                <w:szCs w:val="16"/>
              </w:rPr>
            </w:pPr>
            <w:r w:rsidRPr="00781112">
              <w:rPr>
                <w:rFonts w:cs="Arial"/>
                <w:color w:val="000000" w:themeColor="text1"/>
                <w:szCs w:val="16"/>
              </w:rPr>
              <w:t>a. Children with IEPs (2)</w:t>
            </w:r>
          </w:p>
        </w:tc>
        <w:tc>
          <w:tcPr>
            <w:tcW w:w="1153" w:type="pct"/>
            <w:shd w:val="clear" w:color="auto" w:fill="auto"/>
            <w:vAlign w:val="center"/>
          </w:tcPr>
          <w:p w14:paraId="6F9300B4" w14:textId="685B8914" w:rsidR="00BA0CFF" w:rsidRPr="00781112" w:rsidRDefault="00BA0CFF" w:rsidP="00360DD6">
            <w:pPr>
              <w:jc w:val="center"/>
              <w:rPr>
                <w:rFonts w:cs="Arial"/>
                <w:color w:val="000000" w:themeColor="text1"/>
                <w:szCs w:val="16"/>
              </w:rPr>
            </w:pPr>
            <w:r w:rsidRPr="00781112">
              <w:rPr>
                <w:rFonts w:cs="Arial"/>
                <w:color w:val="000000" w:themeColor="text1"/>
                <w:szCs w:val="16"/>
              </w:rPr>
              <w:t>7,566</w:t>
            </w:r>
          </w:p>
        </w:tc>
        <w:tc>
          <w:tcPr>
            <w:tcW w:w="1153" w:type="pct"/>
            <w:shd w:val="clear" w:color="auto" w:fill="auto"/>
            <w:vAlign w:val="center"/>
          </w:tcPr>
          <w:p w14:paraId="758EF16C" w14:textId="1AA6C4C5" w:rsidR="00BA0CFF" w:rsidRPr="00781112" w:rsidRDefault="00BA0CFF" w:rsidP="00360DD6">
            <w:pPr>
              <w:jc w:val="center"/>
              <w:rPr>
                <w:rFonts w:cs="Arial"/>
                <w:color w:val="000000" w:themeColor="text1"/>
                <w:szCs w:val="16"/>
              </w:rPr>
            </w:pPr>
            <w:r w:rsidRPr="00781112">
              <w:rPr>
                <w:rFonts w:cs="Arial"/>
                <w:color w:val="000000" w:themeColor="text1"/>
                <w:szCs w:val="16"/>
              </w:rPr>
              <w:t>6,740</w:t>
            </w:r>
          </w:p>
        </w:tc>
        <w:tc>
          <w:tcPr>
            <w:tcW w:w="1153" w:type="pct"/>
            <w:shd w:val="clear" w:color="auto" w:fill="auto"/>
            <w:vAlign w:val="center"/>
          </w:tcPr>
          <w:p w14:paraId="07D0BC24" w14:textId="0AD780C0" w:rsidR="00BA0CFF" w:rsidRPr="00781112" w:rsidRDefault="00BA0CFF" w:rsidP="00360DD6">
            <w:pPr>
              <w:jc w:val="center"/>
              <w:rPr>
                <w:rFonts w:cs="Arial"/>
                <w:color w:val="000000" w:themeColor="text1"/>
                <w:szCs w:val="16"/>
              </w:rPr>
            </w:pPr>
            <w:r w:rsidRPr="00781112">
              <w:rPr>
                <w:rFonts w:cs="Arial"/>
                <w:color w:val="000000" w:themeColor="text1"/>
                <w:szCs w:val="16"/>
              </w:rPr>
              <w:t>5,746</w:t>
            </w:r>
          </w:p>
        </w:tc>
      </w:tr>
      <w:tr w:rsidR="003A67B1" w:rsidRPr="00781112" w14:paraId="1B3F669C" w14:textId="77777777" w:rsidTr="009E026B">
        <w:tc>
          <w:tcPr>
            <w:tcW w:w="1541" w:type="pct"/>
            <w:shd w:val="clear" w:color="auto" w:fill="auto"/>
            <w:vAlign w:val="center"/>
          </w:tcPr>
          <w:p w14:paraId="36B1CD39" w14:textId="0D04D4C9" w:rsidR="003A67B1" w:rsidRPr="00781112" w:rsidRDefault="003A67B1" w:rsidP="003A67B1">
            <w:pPr>
              <w:rPr>
                <w:rFonts w:cs="Arial"/>
                <w:color w:val="000000" w:themeColor="text1"/>
                <w:szCs w:val="16"/>
              </w:rPr>
            </w:pPr>
            <w:r w:rsidRPr="00781112">
              <w:rPr>
                <w:rFonts w:cs="Arial"/>
                <w:color w:val="000000" w:themeColor="text1"/>
                <w:szCs w:val="16"/>
              </w:rPr>
              <w:t>b. Children with IEPs in regular assessment with no accommodations (3)</w:t>
            </w:r>
          </w:p>
        </w:tc>
        <w:tc>
          <w:tcPr>
            <w:tcW w:w="1153" w:type="pct"/>
            <w:shd w:val="clear" w:color="auto" w:fill="auto"/>
            <w:vAlign w:val="center"/>
          </w:tcPr>
          <w:p w14:paraId="5E1AE50A" w14:textId="410612C1" w:rsidR="003A67B1" w:rsidRPr="00781112" w:rsidRDefault="003A67B1" w:rsidP="003A67B1">
            <w:pPr>
              <w:jc w:val="center"/>
              <w:rPr>
                <w:rFonts w:cs="Arial"/>
                <w:color w:val="000000" w:themeColor="text1"/>
                <w:szCs w:val="16"/>
              </w:rPr>
            </w:pPr>
            <w:r w:rsidRPr="00781112">
              <w:rPr>
                <w:rFonts w:cs="Arial"/>
                <w:color w:val="000000" w:themeColor="text1"/>
                <w:szCs w:val="16"/>
              </w:rPr>
              <w:t>4,541</w:t>
            </w:r>
          </w:p>
        </w:tc>
        <w:tc>
          <w:tcPr>
            <w:tcW w:w="1153" w:type="pct"/>
            <w:shd w:val="clear" w:color="auto" w:fill="auto"/>
            <w:vAlign w:val="center"/>
          </w:tcPr>
          <w:p w14:paraId="48D18899" w14:textId="210A5A25" w:rsidR="003A67B1" w:rsidRPr="00781112" w:rsidRDefault="003A67B1" w:rsidP="003A67B1">
            <w:pPr>
              <w:jc w:val="center"/>
              <w:rPr>
                <w:rFonts w:cs="Arial"/>
                <w:color w:val="000000" w:themeColor="text1"/>
                <w:szCs w:val="16"/>
              </w:rPr>
            </w:pPr>
            <w:r w:rsidRPr="00781112">
              <w:rPr>
                <w:rFonts w:cs="Arial"/>
                <w:color w:val="000000" w:themeColor="text1"/>
                <w:szCs w:val="16"/>
              </w:rPr>
              <w:t>3,696</w:t>
            </w:r>
          </w:p>
        </w:tc>
        <w:tc>
          <w:tcPr>
            <w:tcW w:w="1153" w:type="pct"/>
            <w:shd w:val="clear" w:color="auto" w:fill="auto"/>
            <w:vAlign w:val="center"/>
          </w:tcPr>
          <w:p w14:paraId="297238DD" w14:textId="253103BA" w:rsidR="003A67B1" w:rsidRPr="00781112" w:rsidRDefault="003A67B1" w:rsidP="003A67B1">
            <w:pPr>
              <w:jc w:val="center"/>
              <w:rPr>
                <w:rFonts w:cs="Arial"/>
                <w:color w:val="000000" w:themeColor="text1"/>
                <w:szCs w:val="16"/>
              </w:rPr>
            </w:pPr>
            <w:r w:rsidRPr="00781112">
              <w:rPr>
                <w:rFonts w:cs="Arial"/>
                <w:color w:val="000000" w:themeColor="text1"/>
                <w:szCs w:val="16"/>
              </w:rPr>
              <w:t>2,821</w:t>
            </w:r>
          </w:p>
        </w:tc>
      </w:tr>
      <w:tr w:rsidR="003A67B1" w:rsidRPr="00781112" w14:paraId="206D39D6" w14:textId="77777777" w:rsidTr="009E026B">
        <w:tc>
          <w:tcPr>
            <w:tcW w:w="1541" w:type="pct"/>
            <w:shd w:val="clear" w:color="auto" w:fill="auto"/>
            <w:vAlign w:val="center"/>
          </w:tcPr>
          <w:p w14:paraId="6A501FD3" w14:textId="1E096187" w:rsidR="003A67B1" w:rsidRPr="00781112" w:rsidRDefault="003A67B1" w:rsidP="003A67B1">
            <w:pPr>
              <w:rPr>
                <w:rFonts w:cs="Arial"/>
                <w:color w:val="000000" w:themeColor="text1"/>
                <w:szCs w:val="16"/>
              </w:rPr>
            </w:pPr>
            <w:r w:rsidRPr="00781112">
              <w:rPr>
                <w:rFonts w:cs="Arial"/>
                <w:color w:val="000000" w:themeColor="text1"/>
                <w:szCs w:val="16"/>
              </w:rPr>
              <w:t>c. Children with IEPs in regular assessment with accommodations (3)</w:t>
            </w:r>
          </w:p>
        </w:tc>
        <w:tc>
          <w:tcPr>
            <w:tcW w:w="1153" w:type="pct"/>
            <w:shd w:val="clear" w:color="auto" w:fill="auto"/>
            <w:vAlign w:val="center"/>
          </w:tcPr>
          <w:p w14:paraId="1EE1C17D" w14:textId="207E06F2" w:rsidR="003A67B1" w:rsidRPr="00781112" w:rsidRDefault="003A67B1" w:rsidP="003A67B1">
            <w:pPr>
              <w:jc w:val="center"/>
              <w:rPr>
                <w:rFonts w:cs="Arial"/>
                <w:color w:val="000000" w:themeColor="text1"/>
                <w:szCs w:val="16"/>
              </w:rPr>
            </w:pPr>
            <w:r w:rsidRPr="00781112">
              <w:rPr>
                <w:rFonts w:cs="Arial"/>
                <w:color w:val="000000" w:themeColor="text1"/>
                <w:szCs w:val="16"/>
              </w:rPr>
              <w:t>1,608</w:t>
            </w:r>
          </w:p>
        </w:tc>
        <w:tc>
          <w:tcPr>
            <w:tcW w:w="1153" w:type="pct"/>
            <w:shd w:val="clear" w:color="auto" w:fill="auto"/>
            <w:vAlign w:val="center"/>
          </w:tcPr>
          <w:p w14:paraId="55C89819" w14:textId="1DDD2B16" w:rsidR="003A67B1" w:rsidRPr="00781112" w:rsidRDefault="003A67B1" w:rsidP="003A67B1">
            <w:pPr>
              <w:jc w:val="center"/>
              <w:rPr>
                <w:rFonts w:cs="Arial"/>
                <w:color w:val="000000" w:themeColor="text1"/>
                <w:szCs w:val="16"/>
              </w:rPr>
            </w:pPr>
            <w:r w:rsidRPr="00781112">
              <w:rPr>
                <w:rFonts w:cs="Arial"/>
                <w:color w:val="000000" w:themeColor="text1"/>
                <w:szCs w:val="16"/>
              </w:rPr>
              <w:t>1,414</w:t>
            </w:r>
          </w:p>
        </w:tc>
        <w:tc>
          <w:tcPr>
            <w:tcW w:w="1153" w:type="pct"/>
            <w:shd w:val="clear" w:color="auto" w:fill="auto"/>
            <w:vAlign w:val="center"/>
          </w:tcPr>
          <w:p w14:paraId="0B7FE00F" w14:textId="48CAB52C" w:rsidR="003A67B1" w:rsidRPr="00781112" w:rsidRDefault="003A67B1" w:rsidP="003A67B1">
            <w:pPr>
              <w:jc w:val="center"/>
              <w:rPr>
                <w:rFonts w:cs="Arial"/>
                <w:color w:val="000000" w:themeColor="text1"/>
                <w:szCs w:val="16"/>
              </w:rPr>
            </w:pPr>
            <w:r w:rsidRPr="00781112">
              <w:rPr>
                <w:rFonts w:cs="Arial"/>
                <w:color w:val="000000" w:themeColor="text1"/>
                <w:szCs w:val="16"/>
              </w:rPr>
              <w:t>384</w:t>
            </w:r>
          </w:p>
        </w:tc>
      </w:tr>
      <w:tr w:rsidR="003A67B1" w:rsidRPr="00781112" w14:paraId="7C657E3A" w14:textId="77777777" w:rsidTr="009E026B">
        <w:tc>
          <w:tcPr>
            <w:tcW w:w="1541" w:type="pct"/>
            <w:shd w:val="clear" w:color="auto" w:fill="auto"/>
            <w:vAlign w:val="center"/>
          </w:tcPr>
          <w:p w14:paraId="19508B28" w14:textId="5DE1D8D0" w:rsidR="003A67B1" w:rsidRPr="00781112" w:rsidRDefault="003A67B1" w:rsidP="003A67B1">
            <w:pPr>
              <w:rPr>
                <w:rFonts w:cs="Arial"/>
                <w:color w:val="000000" w:themeColor="text1"/>
                <w:szCs w:val="16"/>
              </w:rPr>
            </w:pPr>
            <w:r w:rsidRPr="00781112">
              <w:rPr>
                <w:rFonts w:cs="Arial"/>
                <w:color w:val="000000" w:themeColor="text1"/>
                <w:szCs w:val="16"/>
              </w:rPr>
              <w:t xml:space="preserve">d. Children with IEPs in alternate assessment against alternate standards </w:t>
            </w:r>
          </w:p>
        </w:tc>
        <w:tc>
          <w:tcPr>
            <w:tcW w:w="1153" w:type="pct"/>
            <w:shd w:val="clear" w:color="auto" w:fill="auto"/>
            <w:vAlign w:val="center"/>
          </w:tcPr>
          <w:p w14:paraId="41F72ACA" w14:textId="2CC8E5F7" w:rsidR="003A67B1" w:rsidRPr="00781112" w:rsidRDefault="003A67B1" w:rsidP="003A67B1">
            <w:pPr>
              <w:jc w:val="center"/>
              <w:rPr>
                <w:rFonts w:cs="Arial"/>
                <w:color w:val="000000" w:themeColor="text1"/>
                <w:szCs w:val="16"/>
              </w:rPr>
            </w:pPr>
            <w:r w:rsidRPr="00781112">
              <w:rPr>
                <w:rFonts w:cs="Arial"/>
                <w:color w:val="000000" w:themeColor="text1"/>
                <w:szCs w:val="16"/>
              </w:rPr>
              <w:t>397</w:t>
            </w:r>
          </w:p>
        </w:tc>
        <w:tc>
          <w:tcPr>
            <w:tcW w:w="1153" w:type="pct"/>
            <w:shd w:val="clear" w:color="auto" w:fill="auto"/>
            <w:vAlign w:val="center"/>
          </w:tcPr>
          <w:p w14:paraId="42315622" w14:textId="322B0162" w:rsidR="003A67B1" w:rsidRPr="00781112" w:rsidRDefault="003A67B1" w:rsidP="003A67B1">
            <w:pPr>
              <w:jc w:val="center"/>
              <w:rPr>
                <w:rFonts w:cs="Arial"/>
                <w:color w:val="000000" w:themeColor="text1"/>
                <w:szCs w:val="16"/>
              </w:rPr>
            </w:pPr>
            <w:r w:rsidRPr="00781112">
              <w:rPr>
                <w:rFonts w:cs="Arial"/>
                <w:color w:val="000000" w:themeColor="text1"/>
                <w:szCs w:val="16"/>
              </w:rPr>
              <w:t>365</w:t>
            </w:r>
          </w:p>
        </w:tc>
        <w:tc>
          <w:tcPr>
            <w:tcW w:w="1153" w:type="pct"/>
            <w:shd w:val="clear" w:color="auto" w:fill="auto"/>
            <w:vAlign w:val="center"/>
          </w:tcPr>
          <w:p w14:paraId="79C22C84" w14:textId="36E0DF79" w:rsidR="003A67B1" w:rsidRPr="00781112" w:rsidRDefault="003A67B1" w:rsidP="003A67B1">
            <w:pPr>
              <w:jc w:val="center"/>
              <w:rPr>
                <w:rFonts w:cs="Arial"/>
                <w:color w:val="000000" w:themeColor="text1"/>
                <w:szCs w:val="16"/>
              </w:rPr>
            </w:pPr>
            <w:r w:rsidRPr="00781112">
              <w:rPr>
                <w:rFonts w:cs="Arial"/>
                <w:color w:val="000000" w:themeColor="text1"/>
                <w:szCs w:val="16"/>
              </w:rPr>
              <w:t>292</w:t>
            </w:r>
          </w:p>
        </w:tc>
      </w:tr>
    </w:tbl>
    <w:p w14:paraId="28134ACD" w14:textId="77777777" w:rsidR="004F2A22" w:rsidRDefault="004F2A22" w:rsidP="003E3AED"/>
    <w:p w14:paraId="042AB40E" w14:textId="7D37232C" w:rsidR="00AF1BC7" w:rsidRDefault="00AF1BC7" w:rsidP="006D1560">
      <w:r>
        <w:t>(1) The children with IEPs who are English learners and took the ELP in lieu of the regular reading/language arts assessment are not included in the prefilled data in this indicator.</w:t>
      </w:r>
    </w:p>
    <w:p w14:paraId="1074FBF7" w14:textId="7808B951" w:rsidR="003E3AED" w:rsidRDefault="006D1560" w:rsidP="006D1560">
      <w:r>
        <w:t>(</w:t>
      </w:r>
      <w:r w:rsidR="00AF1BC7">
        <w:t>2</w:t>
      </w:r>
      <w:r>
        <w:t xml:space="preserve">) </w:t>
      </w:r>
      <w:r w:rsidR="003C0975">
        <w:t xml:space="preserve">The children with IEPs count </w:t>
      </w:r>
      <w:r w:rsidR="003C0975" w:rsidRPr="007905E7">
        <w:t xml:space="preserve">excludes </w:t>
      </w:r>
      <w:r w:rsidR="003C0975">
        <w:t xml:space="preserve">children with disabilities </w:t>
      </w:r>
      <w:r w:rsidR="003C0975" w:rsidRPr="007905E7">
        <w:t>who were reported as exempt due to significant medical emergency</w:t>
      </w:r>
      <w:r w:rsidR="003E3AED">
        <w:t xml:space="preserve"> in row </w:t>
      </w:r>
      <w:r w:rsidR="007A3E26">
        <w:t>A</w:t>
      </w:r>
      <w:r w:rsidR="003E3AED">
        <w:t xml:space="preserve"> for all the prefilled data in this indicator.</w:t>
      </w:r>
    </w:p>
    <w:p w14:paraId="06016F5B" w14:textId="5AE2AD96" w:rsidR="006D1560" w:rsidRPr="006D1560" w:rsidRDefault="006D1560" w:rsidP="006D1560">
      <w:r>
        <w:t>(</w:t>
      </w:r>
      <w:r w:rsidR="00AF1BC7">
        <w:t>3</w:t>
      </w:r>
      <w:r>
        <w:t xml:space="preserve">) </w:t>
      </w:r>
      <w:r w:rsidR="00502870" w:rsidRPr="00416CC6">
        <w:t>The term</w:t>
      </w:r>
      <w:r w:rsidR="00502870" w:rsidRPr="00580D24">
        <w:rPr>
          <w:bCs/>
        </w:rPr>
        <w:t xml:space="preserve"> “regular assessment” is an aggregation of the following types of assessments</w:t>
      </w:r>
      <w:r w:rsidR="00502870">
        <w:rPr>
          <w:bCs/>
        </w:rPr>
        <w:t>, as applicable for each grade/ grade group</w:t>
      </w:r>
      <w:r w:rsidR="00502870" w:rsidRPr="00580D24">
        <w:rPr>
          <w:bCs/>
        </w:rPr>
        <w:t>: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p>
    <w:p w14:paraId="3B88B048" w14:textId="77777777" w:rsidR="006D1560" w:rsidRPr="00781112" w:rsidRDefault="006D1560" w:rsidP="004F4016">
      <w:pPr>
        <w:rPr>
          <w:color w:val="000000" w:themeColor="text1"/>
        </w:rPr>
      </w:pPr>
    </w:p>
    <w:p w14:paraId="44A15970" w14:textId="01BA454D" w:rsidR="004F4016" w:rsidRPr="00781112" w:rsidRDefault="0047313F" w:rsidP="004F4016">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RDATARLA"/>
      </w:tblPr>
      <w:tblGrid>
        <w:gridCol w:w="767"/>
        <w:gridCol w:w="1025"/>
        <w:gridCol w:w="1981"/>
        <w:gridCol w:w="1981"/>
        <w:gridCol w:w="1006"/>
        <w:gridCol w:w="1008"/>
        <w:gridCol w:w="1008"/>
        <w:gridCol w:w="1008"/>
        <w:gridCol w:w="1006"/>
      </w:tblGrid>
      <w:tr w:rsidR="00073BD7" w:rsidRPr="00781112" w14:paraId="3BAF6B00" w14:textId="77777777" w:rsidTr="0047313F">
        <w:trPr>
          <w:tblHeader/>
        </w:trPr>
        <w:tc>
          <w:tcPr>
            <w:tcW w:w="355" w:type="pct"/>
            <w:shd w:val="clear" w:color="auto" w:fill="auto"/>
            <w:vAlign w:val="bottom"/>
          </w:tcPr>
          <w:p w14:paraId="3F94C694" w14:textId="77777777" w:rsidR="00073BD7" w:rsidRPr="00781112" w:rsidRDefault="00073BD7" w:rsidP="00073BD7">
            <w:pPr>
              <w:jc w:val="center"/>
              <w:rPr>
                <w:b/>
                <w:color w:val="000000" w:themeColor="text1"/>
              </w:rPr>
            </w:pPr>
            <w:r w:rsidRPr="00781112">
              <w:rPr>
                <w:b/>
                <w:color w:val="000000" w:themeColor="text1"/>
              </w:rPr>
              <w:lastRenderedPageBreak/>
              <w:t>Group</w:t>
            </w:r>
          </w:p>
        </w:tc>
        <w:tc>
          <w:tcPr>
            <w:tcW w:w="475" w:type="pct"/>
            <w:shd w:val="clear" w:color="auto" w:fill="auto"/>
            <w:vAlign w:val="bottom"/>
          </w:tcPr>
          <w:p w14:paraId="4992F96D" w14:textId="77777777" w:rsidR="00073BD7" w:rsidRPr="00781112" w:rsidRDefault="00073BD7" w:rsidP="00073BD7">
            <w:pPr>
              <w:jc w:val="center"/>
              <w:rPr>
                <w:b/>
                <w:color w:val="000000" w:themeColor="text1"/>
              </w:rPr>
            </w:pPr>
            <w:r w:rsidRPr="00781112">
              <w:rPr>
                <w:b/>
                <w:color w:val="000000" w:themeColor="text1"/>
              </w:rPr>
              <w:t>Group Name</w:t>
            </w:r>
          </w:p>
        </w:tc>
        <w:tc>
          <w:tcPr>
            <w:tcW w:w="918" w:type="pct"/>
            <w:shd w:val="clear" w:color="auto" w:fill="auto"/>
            <w:vAlign w:val="bottom"/>
          </w:tcPr>
          <w:p w14:paraId="2677A663" w14:textId="57D25781" w:rsidR="00073BD7" w:rsidRPr="00781112" w:rsidRDefault="00073BD7" w:rsidP="00073BD7">
            <w:pPr>
              <w:jc w:val="center"/>
              <w:rPr>
                <w:b/>
                <w:color w:val="000000" w:themeColor="text1"/>
              </w:rPr>
            </w:pPr>
            <w:r w:rsidRPr="00781112">
              <w:rPr>
                <w:b/>
                <w:color w:val="000000" w:themeColor="text1"/>
              </w:rPr>
              <w:t>Number of Children with IEPs Participating</w:t>
            </w:r>
          </w:p>
        </w:tc>
        <w:tc>
          <w:tcPr>
            <w:tcW w:w="918" w:type="pct"/>
            <w:shd w:val="clear" w:color="auto" w:fill="auto"/>
            <w:vAlign w:val="bottom"/>
          </w:tcPr>
          <w:p w14:paraId="5736EAFF" w14:textId="26F0F47E" w:rsidR="00073BD7" w:rsidRPr="00781112" w:rsidRDefault="00073BD7" w:rsidP="00073BD7">
            <w:pPr>
              <w:jc w:val="center"/>
              <w:rPr>
                <w:b/>
                <w:color w:val="000000" w:themeColor="text1"/>
              </w:rPr>
            </w:pPr>
            <w:r w:rsidRPr="00781112">
              <w:rPr>
                <w:b/>
                <w:color w:val="000000" w:themeColor="text1"/>
              </w:rPr>
              <w:t>Number of Children with IEPs</w:t>
            </w:r>
          </w:p>
        </w:tc>
        <w:tc>
          <w:tcPr>
            <w:tcW w:w="466" w:type="pct"/>
            <w:shd w:val="clear" w:color="auto" w:fill="auto"/>
            <w:vAlign w:val="bottom"/>
          </w:tcPr>
          <w:p w14:paraId="70E219F7" w14:textId="62014B99" w:rsidR="00073BD7" w:rsidRPr="00781112" w:rsidRDefault="00073BD7" w:rsidP="00073BD7">
            <w:pPr>
              <w:jc w:val="center"/>
              <w:rPr>
                <w:b/>
                <w:color w:val="000000" w:themeColor="text1"/>
              </w:rPr>
            </w:pPr>
            <w:r w:rsidRPr="00073BD7">
              <w:rPr>
                <w:b/>
                <w:bCs/>
              </w:rPr>
              <w:t>FFY 2022 Data</w:t>
            </w:r>
          </w:p>
        </w:tc>
        <w:tc>
          <w:tcPr>
            <w:tcW w:w="467" w:type="pct"/>
            <w:shd w:val="clear" w:color="auto" w:fill="auto"/>
            <w:vAlign w:val="bottom"/>
          </w:tcPr>
          <w:p w14:paraId="2D0B1710" w14:textId="66BE285D" w:rsidR="00073BD7" w:rsidRPr="00781112" w:rsidRDefault="00073BD7" w:rsidP="00073BD7">
            <w:pPr>
              <w:jc w:val="center"/>
              <w:rPr>
                <w:b/>
                <w:color w:val="000000" w:themeColor="text1"/>
              </w:rPr>
            </w:pPr>
            <w:r w:rsidRPr="00073BD7">
              <w:rPr>
                <w:b/>
                <w:bCs/>
              </w:rPr>
              <w:t>FFY 2023 Target</w:t>
            </w:r>
          </w:p>
        </w:tc>
        <w:tc>
          <w:tcPr>
            <w:tcW w:w="467" w:type="pct"/>
            <w:shd w:val="clear" w:color="auto" w:fill="auto"/>
            <w:vAlign w:val="bottom"/>
          </w:tcPr>
          <w:p w14:paraId="1D807DE2" w14:textId="281F6B54" w:rsidR="00073BD7" w:rsidRPr="00781112" w:rsidRDefault="00073BD7" w:rsidP="00073BD7">
            <w:pPr>
              <w:jc w:val="center"/>
              <w:rPr>
                <w:b/>
                <w:color w:val="000000" w:themeColor="text1"/>
              </w:rPr>
            </w:pPr>
            <w:r w:rsidRPr="00073BD7">
              <w:rPr>
                <w:b/>
                <w:bCs/>
              </w:rPr>
              <w:t>FFY 2023 Data</w:t>
            </w:r>
          </w:p>
        </w:tc>
        <w:tc>
          <w:tcPr>
            <w:tcW w:w="467" w:type="pct"/>
            <w:shd w:val="clear" w:color="auto" w:fill="auto"/>
            <w:vAlign w:val="bottom"/>
          </w:tcPr>
          <w:p w14:paraId="6569FC00" w14:textId="77777777" w:rsidR="00073BD7" w:rsidRPr="00781112" w:rsidRDefault="00073BD7" w:rsidP="00073BD7">
            <w:pPr>
              <w:jc w:val="center"/>
              <w:rPr>
                <w:b/>
                <w:color w:val="000000" w:themeColor="text1"/>
              </w:rPr>
            </w:pPr>
            <w:r w:rsidRPr="00781112">
              <w:rPr>
                <w:b/>
                <w:color w:val="000000" w:themeColor="text1"/>
              </w:rPr>
              <w:t>Status</w:t>
            </w:r>
          </w:p>
        </w:tc>
        <w:tc>
          <w:tcPr>
            <w:tcW w:w="466" w:type="pct"/>
            <w:shd w:val="clear" w:color="auto" w:fill="auto"/>
            <w:vAlign w:val="bottom"/>
          </w:tcPr>
          <w:p w14:paraId="2DF56EFB" w14:textId="77777777" w:rsidR="00073BD7" w:rsidRPr="00781112" w:rsidRDefault="00073BD7" w:rsidP="00073BD7">
            <w:pPr>
              <w:jc w:val="center"/>
              <w:rPr>
                <w:b/>
                <w:color w:val="000000" w:themeColor="text1"/>
              </w:rPr>
            </w:pPr>
            <w:r w:rsidRPr="00781112">
              <w:rPr>
                <w:b/>
                <w:color w:val="000000" w:themeColor="text1"/>
              </w:rPr>
              <w:t>Slippage</w:t>
            </w:r>
          </w:p>
        </w:tc>
      </w:tr>
      <w:tr w:rsidR="00396BA3" w:rsidRPr="00781112" w14:paraId="376FC28A" w14:textId="77777777" w:rsidTr="0047313F">
        <w:tc>
          <w:tcPr>
            <w:tcW w:w="355" w:type="pct"/>
            <w:shd w:val="clear" w:color="auto" w:fill="auto"/>
            <w:vAlign w:val="center"/>
          </w:tcPr>
          <w:p w14:paraId="53A8B458"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A</w:t>
            </w:r>
          </w:p>
        </w:tc>
        <w:tc>
          <w:tcPr>
            <w:tcW w:w="475" w:type="pct"/>
            <w:shd w:val="clear" w:color="auto" w:fill="auto"/>
            <w:vAlign w:val="center"/>
          </w:tcPr>
          <w:p w14:paraId="0A1B698A" w14:textId="5AC06767"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8AC973E" w14:textId="3ED347A2" w:rsidR="00892DD7" w:rsidRPr="00781112" w:rsidRDefault="00892DD7" w:rsidP="00892DD7">
            <w:pPr>
              <w:jc w:val="center"/>
              <w:rPr>
                <w:rFonts w:cs="Arial"/>
                <w:color w:val="000000" w:themeColor="text1"/>
                <w:szCs w:val="16"/>
              </w:rPr>
            </w:pPr>
            <w:r w:rsidRPr="00781112">
              <w:rPr>
                <w:rFonts w:cs="Arial"/>
                <w:color w:val="000000"/>
                <w:szCs w:val="16"/>
              </w:rPr>
              <w:t>6,576</w:t>
            </w:r>
          </w:p>
        </w:tc>
        <w:tc>
          <w:tcPr>
            <w:tcW w:w="918" w:type="pct"/>
            <w:shd w:val="clear" w:color="auto" w:fill="auto"/>
            <w:vAlign w:val="center"/>
          </w:tcPr>
          <w:p w14:paraId="703303A1" w14:textId="4183E48D" w:rsidR="00892DD7" w:rsidRPr="00781112" w:rsidRDefault="00892DD7" w:rsidP="00892DD7">
            <w:pPr>
              <w:jc w:val="center"/>
              <w:rPr>
                <w:rFonts w:cs="Arial"/>
                <w:color w:val="000000" w:themeColor="text1"/>
                <w:szCs w:val="16"/>
              </w:rPr>
            </w:pPr>
            <w:r w:rsidRPr="00781112">
              <w:rPr>
                <w:rFonts w:cs="Arial"/>
                <w:color w:val="000000" w:themeColor="text1"/>
                <w:szCs w:val="16"/>
              </w:rPr>
              <w:t>7,556</w:t>
            </w:r>
          </w:p>
        </w:tc>
        <w:tc>
          <w:tcPr>
            <w:tcW w:w="466" w:type="pct"/>
            <w:shd w:val="clear" w:color="auto" w:fill="auto"/>
            <w:vAlign w:val="center"/>
          </w:tcPr>
          <w:p w14:paraId="701F3D15" w14:textId="6F1538C4" w:rsidR="00892DD7" w:rsidRPr="00781112" w:rsidRDefault="00892DD7" w:rsidP="00892DD7">
            <w:pPr>
              <w:jc w:val="center"/>
              <w:rPr>
                <w:rFonts w:cs="Arial"/>
                <w:color w:val="000000" w:themeColor="text1"/>
                <w:szCs w:val="16"/>
              </w:rPr>
            </w:pPr>
            <w:r w:rsidRPr="00781112">
              <w:rPr>
                <w:rFonts w:cs="Arial"/>
                <w:color w:val="000000" w:themeColor="text1"/>
                <w:szCs w:val="16"/>
              </w:rPr>
              <w:t>86.95%</w:t>
            </w:r>
          </w:p>
        </w:tc>
        <w:tc>
          <w:tcPr>
            <w:tcW w:w="467" w:type="pct"/>
            <w:shd w:val="clear" w:color="auto" w:fill="auto"/>
            <w:vAlign w:val="center"/>
          </w:tcPr>
          <w:p w14:paraId="797749BC" w14:textId="696E92A3"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70549BEB" w14:textId="587EEF17" w:rsidR="00892DD7" w:rsidRPr="00781112" w:rsidRDefault="00892DD7" w:rsidP="00892DD7">
            <w:pPr>
              <w:jc w:val="center"/>
              <w:rPr>
                <w:rFonts w:cs="Arial"/>
                <w:color w:val="000000" w:themeColor="text1"/>
                <w:szCs w:val="16"/>
              </w:rPr>
            </w:pPr>
            <w:r w:rsidRPr="00781112">
              <w:rPr>
                <w:rFonts w:cs="Arial"/>
                <w:color w:val="000000" w:themeColor="text1"/>
                <w:szCs w:val="16"/>
              </w:rPr>
              <w:t>87.03%</w:t>
            </w:r>
          </w:p>
        </w:tc>
        <w:tc>
          <w:tcPr>
            <w:tcW w:w="467" w:type="pct"/>
            <w:shd w:val="clear" w:color="auto" w:fill="auto"/>
            <w:vAlign w:val="center"/>
          </w:tcPr>
          <w:p w14:paraId="78EE727D" w14:textId="62F0BE75"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6EAB29CE" w14:textId="27C0C9B3"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56F1A9B2" w14:textId="77777777" w:rsidTr="0047313F">
        <w:tc>
          <w:tcPr>
            <w:tcW w:w="355" w:type="pct"/>
            <w:shd w:val="clear" w:color="auto" w:fill="auto"/>
            <w:vAlign w:val="center"/>
          </w:tcPr>
          <w:p w14:paraId="558707F7"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B</w:t>
            </w:r>
          </w:p>
        </w:tc>
        <w:tc>
          <w:tcPr>
            <w:tcW w:w="475" w:type="pct"/>
            <w:shd w:val="clear" w:color="auto" w:fill="auto"/>
            <w:vAlign w:val="center"/>
          </w:tcPr>
          <w:p w14:paraId="384974C9" w14:textId="0A4570C5"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751205A1" w14:textId="2503E0F4" w:rsidR="00892DD7" w:rsidRPr="00781112" w:rsidRDefault="00892DD7" w:rsidP="00892DD7">
            <w:pPr>
              <w:jc w:val="center"/>
              <w:rPr>
                <w:rFonts w:cs="Arial"/>
                <w:color w:val="000000" w:themeColor="text1"/>
                <w:szCs w:val="16"/>
              </w:rPr>
            </w:pPr>
            <w:r w:rsidRPr="00781112">
              <w:rPr>
                <w:rFonts w:cs="Arial"/>
                <w:color w:val="000000"/>
                <w:szCs w:val="16"/>
              </w:rPr>
              <w:t>5,567</w:t>
            </w:r>
          </w:p>
        </w:tc>
        <w:tc>
          <w:tcPr>
            <w:tcW w:w="918" w:type="pct"/>
            <w:shd w:val="clear" w:color="auto" w:fill="auto"/>
            <w:vAlign w:val="center"/>
          </w:tcPr>
          <w:p w14:paraId="4F6EDDAF" w14:textId="20D9AAA3" w:rsidR="00892DD7" w:rsidRPr="00781112" w:rsidRDefault="00892DD7" w:rsidP="00892DD7">
            <w:pPr>
              <w:jc w:val="center"/>
              <w:rPr>
                <w:rFonts w:cs="Arial"/>
                <w:color w:val="000000" w:themeColor="text1"/>
                <w:szCs w:val="16"/>
              </w:rPr>
            </w:pPr>
            <w:r w:rsidRPr="00781112">
              <w:rPr>
                <w:rFonts w:cs="Arial"/>
                <w:color w:val="000000" w:themeColor="text1"/>
                <w:szCs w:val="16"/>
              </w:rPr>
              <w:t>6,738</w:t>
            </w:r>
          </w:p>
        </w:tc>
        <w:tc>
          <w:tcPr>
            <w:tcW w:w="466" w:type="pct"/>
            <w:shd w:val="clear" w:color="auto" w:fill="auto"/>
            <w:vAlign w:val="center"/>
          </w:tcPr>
          <w:p w14:paraId="6B3B6780" w14:textId="51308AEA" w:rsidR="00892DD7" w:rsidRPr="00781112" w:rsidRDefault="00892DD7" w:rsidP="00892DD7">
            <w:pPr>
              <w:jc w:val="center"/>
              <w:rPr>
                <w:rFonts w:cs="Arial"/>
                <w:color w:val="000000" w:themeColor="text1"/>
                <w:szCs w:val="16"/>
              </w:rPr>
            </w:pPr>
            <w:r w:rsidRPr="00781112">
              <w:rPr>
                <w:rFonts w:cs="Arial"/>
                <w:color w:val="000000" w:themeColor="text1"/>
                <w:szCs w:val="16"/>
              </w:rPr>
              <w:t>82.62%</w:t>
            </w:r>
          </w:p>
        </w:tc>
        <w:tc>
          <w:tcPr>
            <w:tcW w:w="467" w:type="pct"/>
            <w:shd w:val="clear" w:color="auto" w:fill="auto"/>
            <w:vAlign w:val="center"/>
          </w:tcPr>
          <w:p w14:paraId="60FE8D0A" w14:textId="26748E4B"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20759612" w14:textId="360FBC9D" w:rsidR="00892DD7" w:rsidRPr="00781112" w:rsidRDefault="00892DD7" w:rsidP="00892DD7">
            <w:pPr>
              <w:jc w:val="center"/>
              <w:rPr>
                <w:rFonts w:cs="Arial"/>
                <w:color w:val="000000" w:themeColor="text1"/>
                <w:szCs w:val="16"/>
              </w:rPr>
            </w:pPr>
            <w:r w:rsidRPr="00781112">
              <w:rPr>
                <w:rFonts w:cs="Arial"/>
                <w:color w:val="000000" w:themeColor="text1"/>
                <w:szCs w:val="16"/>
              </w:rPr>
              <w:t>82.62%</w:t>
            </w:r>
          </w:p>
        </w:tc>
        <w:tc>
          <w:tcPr>
            <w:tcW w:w="467" w:type="pct"/>
            <w:shd w:val="clear" w:color="auto" w:fill="auto"/>
            <w:vAlign w:val="center"/>
          </w:tcPr>
          <w:p w14:paraId="5A0AF76C" w14:textId="316463B4"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71C2BDA0" w14:textId="22F354AD" w:rsidR="00892DD7" w:rsidRPr="00781112" w:rsidRDefault="00892DD7" w:rsidP="00892DD7">
            <w:pPr>
              <w:jc w:val="center"/>
              <w:rPr>
                <w:rFonts w:cs="Arial"/>
                <w:color w:val="000000" w:themeColor="text1"/>
                <w:szCs w:val="16"/>
              </w:rPr>
            </w:pPr>
            <w:r w:rsidRPr="00781112">
              <w:rPr>
                <w:rFonts w:cs="Arial"/>
                <w:color w:val="000000" w:themeColor="text1"/>
                <w:szCs w:val="16"/>
              </w:rPr>
              <w:t>No Slippage</w:t>
            </w:r>
          </w:p>
        </w:tc>
      </w:tr>
      <w:tr w:rsidR="00396BA3" w:rsidRPr="00781112" w14:paraId="7455692E" w14:textId="77777777" w:rsidTr="0047313F">
        <w:tc>
          <w:tcPr>
            <w:tcW w:w="355" w:type="pct"/>
            <w:shd w:val="clear" w:color="auto" w:fill="auto"/>
            <w:vAlign w:val="center"/>
          </w:tcPr>
          <w:p w14:paraId="1007F433" w14:textId="77777777" w:rsidR="00892DD7" w:rsidRPr="00781112" w:rsidRDefault="00892DD7" w:rsidP="00892DD7">
            <w:pPr>
              <w:pStyle w:val="Default"/>
              <w:jc w:val="center"/>
              <w:rPr>
                <w:rFonts w:eastAsiaTheme="minorHAnsi"/>
                <w:color w:val="000000" w:themeColor="text1"/>
                <w:sz w:val="16"/>
                <w:szCs w:val="16"/>
              </w:rPr>
            </w:pPr>
            <w:r w:rsidRPr="00781112">
              <w:rPr>
                <w:b/>
                <w:color w:val="000000" w:themeColor="text1"/>
                <w:sz w:val="16"/>
                <w:szCs w:val="16"/>
              </w:rPr>
              <w:t>C</w:t>
            </w:r>
          </w:p>
        </w:tc>
        <w:tc>
          <w:tcPr>
            <w:tcW w:w="475" w:type="pct"/>
            <w:shd w:val="clear" w:color="auto" w:fill="auto"/>
            <w:vAlign w:val="center"/>
          </w:tcPr>
          <w:p w14:paraId="1C2FF689" w14:textId="7B5617BF" w:rsidR="00892DD7" w:rsidRPr="00781112" w:rsidDel="00DE5045" w:rsidRDefault="00892DD7" w:rsidP="00892DD7">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7711AD79" w14:textId="30D9E4B6" w:rsidR="00892DD7" w:rsidRPr="00781112" w:rsidRDefault="00892DD7" w:rsidP="00892DD7">
            <w:pPr>
              <w:jc w:val="center"/>
              <w:rPr>
                <w:rFonts w:cs="Arial"/>
                <w:color w:val="000000" w:themeColor="text1"/>
                <w:szCs w:val="16"/>
              </w:rPr>
            </w:pPr>
            <w:r w:rsidRPr="00781112">
              <w:rPr>
                <w:rFonts w:cs="Arial"/>
                <w:color w:val="000000"/>
                <w:szCs w:val="16"/>
              </w:rPr>
              <w:t>3,704</w:t>
            </w:r>
          </w:p>
        </w:tc>
        <w:tc>
          <w:tcPr>
            <w:tcW w:w="918" w:type="pct"/>
            <w:shd w:val="clear" w:color="auto" w:fill="auto"/>
            <w:vAlign w:val="center"/>
          </w:tcPr>
          <w:p w14:paraId="7C38F4A3" w14:textId="3227EA5E" w:rsidR="00892DD7" w:rsidRPr="00781112" w:rsidRDefault="00892DD7" w:rsidP="00892DD7">
            <w:pPr>
              <w:jc w:val="center"/>
              <w:rPr>
                <w:rFonts w:cs="Arial"/>
                <w:color w:val="000000" w:themeColor="text1"/>
                <w:szCs w:val="16"/>
              </w:rPr>
            </w:pPr>
            <w:r w:rsidRPr="00781112">
              <w:rPr>
                <w:rFonts w:cs="Arial"/>
                <w:color w:val="000000" w:themeColor="text1"/>
                <w:szCs w:val="16"/>
              </w:rPr>
              <w:t>5,747</w:t>
            </w:r>
          </w:p>
        </w:tc>
        <w:tc>
          <w:tcPr>
            <w:tcW w:w="466" w:type="pct"/>
            <w:shd w:val="clear" w:color="auto" w:fill="auto"/>
            <w:vAlign w:val="center"/>
          </w:tcPr>
          <w:p w14:paraId="300E10D2" w14:textId="5FE5073B" w:rsidR="00892DD7" w:rsidRPr="00781112" w:rsidRDefault="00892DD7" w:rsidP="00892DD7">
            <w:pPr>
              <w:jc w:val="center"/>
              <w:rPr>
                <w:rFonts w:cs="Arial"/>
                <w:color w:val="000000" w:themeColor="text1"/>
                <w:szCs w:val="16"/>
              </w:rPr>
            </w:pPr>
            <w:r w:rsidRPr="00781112">
              <w:rPr>
                <w:rFonts w:cs="Arial"/>
                <w:color w:val="000000" w:themeColor="text1"/>
                <w:szCs w:val="16"/>
              </w:rPr>
              <w:t>65.71%</w:t>
            </w:r>
          </w:p>
        </w:tc>
        <w:tc>
          <w:tcPr>
            <w:tcW w:w="467" w:type="pct"/>
            <w:shd w:val="clear" w:color="auto" w:fill="auto"/>
            <w:vAlign w:val="center"/>
          </w:tcPr>
          <w:p w14:paraId="26A808A8" w14:textId="46CE5D7C" w:rsidR="00892DD7" w:rsidRPr="00781112" w:rsidRDefault="00892DD7" w:rsidP="00892DD7">
            <w:pPr>
              <w:jc w:val="center"/>
              <w:rPr>
                <w:rFonts w:cs="Arial"/>
                <w:color w:val="000000" w:themeColor="text1"/>
                <w:szCs w:val="16"/>
              </w:rPr>
            </w:pPr>
            <w:r w:rsidRPr="00781112">
              <w:rPr>
                <w:rFonts w:cs="Arial"/>
                <w:color w:val="000000" w:themeColor="text1"/>
                <w:szCs w:val="16"/>
              </w:rPr>
              <w:t>95.00%</w:t>
            </w:r>
          </w:p>
        </w:tc>
        <w:tc>
          <w:tcPr>
            <w:tcW w:w="467" w:type="pct"/>
            <w:shd w:val="clear" w:color="auto" w:fill="auto"/>
            <w:vAlign w:val="center"/>
          </w:tcPr>
          <w:p w14:paraId="1760C9A2" w14:textId="77DCB745" w:rsidR="00892DD7" w:rsidRPr="00781112" w:rsidRDefault="00892DD7" w:rsidP="00892DD7">
            <w:pPr>
              <w:jc w:val="center"/>
              <w:rPr>
                <w:rFonts w:cs="Arial"/>
                <w:color w:val="000000" w:themeColor="text1"/>
                <w:szCs w:val="16"/>
              </w:rPr>
            </w:pPr>
            <w:r w:rsidRPr="00781112">
              <w:rPr>
                <w:rFonts w:cs="Arial"/>
                <w:color w:val="000000" w:themeColor="text1"/>
                <w:szCs w:val="16"/>
              </w:rPr>
              <w:t>64.45%</w:t>
            </w:r>
          </w:p>
        </w:tc>
        <w:tc>
          <w:tcPr>
            <w:tcW w:w="467" w:type="pct"/>
            <w:shd w:val="clear" w:color="auto" w:fill="auto"/>
            <w:vAlign w:val="center"/>
          </w:tcPr>
          <w:p w14:paraId="772412F5" w14:textId="7F0E1366" w:rsidR="00892DD7" w:rsidRPr="00781112" w:rsidRDefault="00892DD7" w:rsidP="00892DD7">
            <w:pPr>
              <w:jc w:val="center"/>
              <w:rPr>
                <w:rFonts w:cs="Arial"/>
                <w:color w:val="000000" w:themeColor="text1"/>
                <w:szCs w:val="16"/>
              </w:rPr>
            </w:pPr>
            <w:r w:rsidRPr="00781112">
              <w:rPr>
                <w:rFonts w:cs="Arial"/>
                <w:color w:val="000000" w:themeColor="text1"/>
                <w:szCs w:val="16"/>
              </w:rPr>
              <w:t>Did not meet target</w:t>
            </w:r>
          </w:p>
        </w:tc>
        <w:tc>
          <w:tcPr>
            <w:tcW w:w="466" w:type="pct"/>
            <w:shd w:val="clear" w:color="auto" w:fill="auto"/>
            <w:vAlign w:val="center"/>
          </w:tcPr>
          <w:p w14:paraId="3DF8294E" w14:textId="7BA8B5E3" w:rsidR="00892DD7" w:rsidRPr="00781112" w:rsidRDefault="00892DD7" w:rsidP="00892DD7">
            <w:pPr>
              <w:jc w:val="center"/>
              <w:rPr>
                <w:rFonts w:cs="Arial"/>
                <w:color w:val="000000" w:themeColor="text1"/>
                <w:szCs w:val="16"/>
              </w:rPr>
            </w:pPr>
            <w:r w:rsidRPr="00781112">
              <w:rPr>
                <w:rFonts w:cs="Arial"/>
                <w:color w:val="000000" w:themeColor="text1"/>
                <w:szCs w:val="16"/>
              </w:rPr>
              <w:t>Slippage</w:t>
            </w:r>
          </w:p>
        </w:tc>
      </w:tr>
    </w:tbl>
    <w:p w14:paraId="1C3A5E7E" w14:textId="77777777" w:rsidR="007765EF" w:rsidRDefault="007765EF" w:rsidP="00802A46">
      <w:pPr>
        <w:rPr>
          <w:b/>
          <w:color w:val="000000" w:themeColor="text1"/>
        </w:rPr>
      </w:pPr>
    </w:p>
    <w:p w14:paraId="04940E25" w14:textId="64501C32" w:rsidR="000B3578" w:rsidRPr="00781112" w:rsidRDefault="000B3578" w:rsidP="000B3578">
      <w:pPr>
        <w:rPr>
          <w:b/>
          <w:color w:val="000000" w:themeColor="text1"/>
        </w:rPr>
      </w:pPr>
      <w:r w:rsidRPr="00781112">
        <w:rPr>
          <w:b/>
          <w:color w:val="000000" w:themeColor="text1"/>
        </w:rPr>
        <w:t>Provide reasons for slippage for Group C, if applicable</w:t>
      </w:r>
    </w:p>
    <w:p w14:paraId="3EEF51EC" w14:textId="0B461EEF" w:rsidR="000B3578" w:rsidRPr="00781112" w:rsidRDefault="000B3578" w:rsidP="000B3578">
      <w:pPr>
        <w:rPr>
          <w:rFonts w:cs="Arial"/>
          <w:color w:val="000000" w:themeColor="text1"/>
          <w:szCs w:val="16"/>
        </w:rPr>
      </w:pPr>
      <w:r w:rsidRPr="00781112">
        <w:rPr>
          <w:rFonts w:cs="Arial"/>
          <w:color w:val="000000" w:themeColor="text1"/>
          <w:szCs w:val="16"/>
        </w:rPr>
        <w:t xml:space="preserve">Statewide, Oregon students are permitted to opt out of participation in state assessment. Due to this regulation, student participation in statewide assessment varies unpredictably. Statewide, all students combined did not meet participation goals on the High School Language Arts assessment, with 71.5% of students participating in the 2023-24 school year. Observed slippage from FFY 2022 to FFY 2023 for this student group can be explained by the combined factors of overall low student participation and allowability of non-participation. </w:t>
      </w:r>
    </w:p>
    <w:p w14:paraId="4D76CCAA" w14:textId="77777777" w:rsidR="007A7E93" w:rsidRPr="00781112" w:rsidRDefault="007A7E93" w:rsidP="00FE4611">
      <w:pPr>
        <w:spacing w:before="0" w:after="0" w:line="276" w:lineRule="auto"/>
        <w:rPr>
          <w:b/>
          <w:color w:val="000000" w:themeColor="text1"/>
        </w:rPr>
      </w:pPr>
    </w:p>
    <w:p w14:paraId="68F24FCA" w14:textId="58652C70" w:rsidR="00F17D5E" w:rsidRPr="00781112" w:rsidRDefault="0047313F" w:rsidP="00F17D5E">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AFFYAPDATAMTH"/>
      </w:tblPr>
      <w:tblGrid>
        <w:gridCol w:w="715"/>
        <w:gridCol w:w="1080"/>
        <w:gridCol w:w="1982"/>
        <w:gridCol w:w="1960"/>
        <w:gridCol w:w="1011"/>
        <w:gridCol w:w="1010"/>
        <w:gridCol w:w="1010"/>
        <w:gridCol w:w="1010"/>
        <w:gridCol w:w="1012"/>
      </w:tblGrid>
      <w:tr w:rsidR="0047313F" w:rsidRPr="00781112" w14:paraId="681A67CD" w14:textId="77777777" w:rsidTr="00360DD6">
        <w:trPr>
          <w:tblHeader/>
        </w:trPr>
        <w:tc>
          <w:tcPr>
            <w:tcW w:w="331" w:type="pct"/>
            <w:shd w:val="clear" w:color="auto" w:fill="auto"/>
            <w:vAlign w:val="bottom"/>
          </w:tcPr>
          <w:p w14:paraId="32EBDF09" w14:textId="77777777" w:rsidR="0047313F" w:rsidRPr="00781112" w:rsidRDefault="0047313F" w:rsidP="0047313F">
            <w:pPr>
              <w:jc w:val="center"/>
              <w:rPr>
                <w:b/>
                <w:color w:val="000000" w:themeColor="text1"/>
              </w:rPr>
            </w:pPr>
            <w:r w:rsidRPr="00781112">
              <w:rPr>
                <w:b/>
                <w:color w:val="000000" w:themeColor="text1"/>
              </w:rPr>
              <w:t>Group</w:t>
            </w:r>
          </w:p>
        </w:tc>
        <w:tc>
          <w:tcPr>
            <w:tcW w:w="500" w:type="pct"/>
            <w:shd w:val="clear" w:color="auto" w:fill="auto"/>
            <w:vAlign w:val="bottom"/>
          </w:tcPr>
          <w:p w14:paraId="1DD83044" w14:textId="77777777" w:rsidR="0047313F" w:rsidRPr="00781112" w:rsidRDefault="0047313F" w:rsidP="0047313F">
            <w:pPr>
              <w:jc w:val="center"/>
              <w:rPr>
                <w:b/>
                <w:color w:val="000000" w:themeColor="text1"/>
              </w:rPr>
            </w:pPr>
            <w:r w:rsidRPr="00781112">
              <w:rPr>
                <w:b/>
                <w:color w:val="000000" w:themeColor="text1"/>
              </w:rPr>
              <w:t>Group Name</w:t>
            </w:r>
          </w:p>
        </w:tc>
        <w:tc>
          <w:tcPr>
            <w:tcW w:w="918" w:type="pct"/>
            <w:shd w:val="clear" w:color="auto" w:fill="auto"/>
            <w:vAlign w:val="bottom"/>
          </w:tcPr>
          <w:p w14:paraId="09C06BEF" w14:textId="77777777" w:rsidR="0047313F" w:rsidRPr="00781112" w:rsidRDefault="0047313F" w:rsidP="0047313F">
            <w:pPr>
              <w:jc w:val="center"/>
              <w:rPr>
                <w:b/>
                <w:color w:val="000000" w:themeColor="text1"/>
              </w:rPr>
            </w:pPr>
            <w:r w:rsidRPr="00781112">
              <w:rPr>
                <w:b/>
                <w:color w:val="000000" w:themeColor="text1"/>
              </w:rPr>
              <w:t>Number of Children with IEPs Participating</w:t>
            </w:r>
          </w:p>
        </w:tc>
        <w:tc>
          <w:tcPr>
            <w:tcW w:w="908" w:type="pct"/>
            <w:shd w:val="clear" w:color="auto" w:fill="auto"/>
            <w:vAlign w:val="bottom"/>
          </w:tcPr>
          <w:p w14:paraId="35F97163" w14:textId="77777777" w:rsidR="0047313F" w:rsidRPr="00781112" w:rsidRDefault="0047313F" w:rsidP="0047313F">
            <w:pPr>
              <w:jc w:val="center"/>
              <w:rPr>
                <w:b/>
                <w:color w:val="000000" w:themeColor="text1"/>
              </w:rPr>
            </w:pPr>
            <w:r w:rsidRPr="00781112">
              <w:rPr>
                <w:b/>
                <w:color w:val="000000" w:themeColor="text1"/>
              </w:rPr>
              <w:t>Number of Children with IEPs</w:t>
            </w:r>
          </w:p>
        </w:tc>
        <w:tc>
          <w:tcPr>
            <w:tcW w:w="468" w:type="pct"/>
            <w:shd w:val="clear" w:color="auto" w:fill="auto"/>
            <w:vAlign w:val="bottom"/>
          </w:tcPr>
          <w:p w14:paraId="3D7FBA55" w14:textId="3C66A3FF" w:rsidR="0047313F" w:rsidRPr="00073BD7" w:rsidRDefault="0047313F" w:rsidP="0047313F">
            <w:pPr>
              <w:jc w:val="center"/>
              <w:rPr>
                <w:b/>
                <w:bCs/>
                <w:color w:val="000000" w:themeColor="text1"/>
              </w:rPr>
            </w:pPr>
            <w:r w:rsidRPr="00073BD7">
              <w:rPr>
                <w:b/>
                <w:bCs/>
              </w:rPr>
              <w:t>FFY 2022 Data</w:t>
            </w:r>
          </w:p>
        </w:tc>
        <w:tc>
          <w:tcPr>
            <w:tcW w:w="468" w:type="pct"/>
            <w:shd w:val="clear" w:color="auto" w:fill="auto"/>
            <w:vAlign w:val="bottom"/>
          </w:tcPr>
          <w:p w14:paraId="681C20C6" w14:textId="48AE4946" w:rsidR="0047313F" w:rsidRPr="00073BD7" w:rsidRDefault="0047313F" w:rsidP="0047313F">
            <w:pPr>
              <w:jc w:val="center"/>
              <w:rPr>
                <w:b/>
                <w:bCs/>
                <w:color w:val="000000" w:themeColor="text1"/>
              </w:rPr>
            </w:pPr>
            <w:r w:rsidRPr="00073BD7">
              <w:rPr>
                <w:b/>
                <w:bCs/>
              </w:rPr>
              <w:t>FFY 2023 Target</w:t>
            </w:r>
          </w:p>
        </w:tc>
        <w:tc>
          <w:tcPr>
            <w:tcW w:w="468" w:type="pct"/>
            <w:shd w:val="clear" w:color="auto" w:fill="auto"/>
            <w:vAlign w:val="bottom"/>
          </w:tcPr>
          <w:p w14:paraId="1A223A3A" w14:textId="613DE1E3" w:rsidR="0047313F" w:rsidRPr="00073BD7" w:rsidRDefault="0047313F" w:rsidP="0047313F">
            <w:pPr>
              <w:jc w:val="center"/>
              <w:rPr>
                <w:b/>
                <w:bCs/>
                <w:color w:val="000000" w:themeColor="text1"/>
              </w:rPr>
            </w:pPr>
            <w:r w:rsidRPr="00073BD7">
              <w:rPr>
                <w:b/>
                <w:bCs/>
              </w:rPr>
              <w:t>FFY 2023 Data</w:t>
            </w:r>
          </w:p>
        </w:tc>
        <w:tc>
          <w:tcPr>
            <w:tcW w:w="468" w:type="pct"/>
            <w:shd w:val="clear" w:color="auto" w:fill="auto"/>
            <w:vAlign w:val="bottom"/>
          </w:tcPr>
          <w:p w14:paraId="2E2084EF" w14:textId="77777777" w:rsidR="0047313F" w:rsidRPr="00781112" w:rsidRDefault="0047313F" w:rsidP="0047313F">
            <w:pPr>
              <w:jc w:val="center"/>
              <w:rPr>
                <w:b/>
                <w:color w:val="000000" w:themeColor="text1"/>
              </w:rPr>
            </w:pPr>
            <w:r w:rsidRPr="00781112">
              <w:rPr>
                <w:b/>
                <w:color w:val="000000" w:themeColor="text1"/>
              </w:rPr>
              <w:t>Status</w:t>
            </w:r>
          </w:p>
        </w:tc>
        <w:tc>
          <w:tcPr>
            <w:tcW w:w="469" w:type="pct"/>
            <w:shd w:val="clear" w:color="auto" w:fill="auto"/>
            <w:vAlign w:val="bottom"/>
          </w:tcPr>
          <w:p w14:paraId="309891B4" w14:textId="77777777" w:rsidR="0047313F" w:rsidRPr="00781112" w:rsidRDefault="0047313F" w:rsidP="0047313F">
            <w:pPr>
              <w:jc w:val="center"/>
              <w:rPr>
                <w:b/>
                <w:color w:val="000000" w:themeColor="text1"/>
              </w:rPr>
            </w:pPr>
            <w:r w:rsidRPr="00781112">
              <w:rPr>
                <w:b/>
                <w:color w:val="000000" w:themeColor="text1"/>
              </w:rPr>
              <w:t>Slippage</w:t>
            </w:r>
          </w:p>
        </w:tc>
      </w:tr>
      <w:tr w:rsidR="00396BA3" w:rsidRPr="00781112" w14:paraId="1BDE8C09" w14:textId="77777777" w:rsidTr="00396BA3">
        <w:tc>
          <w:tcPr>
            <w:tcW w:w="331" w:type="pct"/>
            <w:shd w:val="clear" w:color="auto" w:fill="auto"/>
            <w:vAlign w:val="center"/>
          </w:tcPr>
          <w:p w14:paraId="580D1344"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A</w:t>
            </w:r>
          </w:p>
        </w:tc>
        <w:tc>
          <w:tcPr>
            <w:tcW w:w="500" w:type="pct"/>
            <w:shd w:val="clear" w:color="auto" w:fill="auto"/>
            <w:vAlign w:val="center"/>
          </w:tcPr>
          <w:p w14:paraId="08A8F1D8" w14:textId="4D1DB180"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4</w:t>
            </w:r>
          </w:p>
        </w:tc>
        <w:tc>
          <w:tcPr>
            <w:tcW w:w="918" w:type="pct"/>
            <w:shd w:val="clear" w:color="auto" w:fill="auto"/>
            <w:vAlign w:val="center"/>
          </w:tcPr>
          <w:p w14:paraId="5452B2A6" w14:textId="0D3478E5" w:rsidR="002C43CF" w:rsidRPr="00781112" w:rsidRDefault="002C43CF" w:rsidP="002C43CF">
            <w:pPr>
              <w:jc w:val="center"/>
              <w:rPr>
                <w:rFonts w:cs="Arial"/>
                <w:color w:val="000000" w:themeColor="text1"/>
                <w:szCs w:val="16"/>
              </w:rPr>
            </w:pPr>
            <w:r w:rsidRPr="00781112">
              <w:rPr>
                <w:rFonts w:cs="Arial"/>
                <w:color w:val="000000"/>
                <w:szCs w:val="16"/>
              </w:rPr>
              <w:t>6,546</w:t>
            </w:r>
          </w:p>
        </w:tc>
        <w:tc>
          <w:tcPr>
            <w:tcW w:w="908" w:type="pct"/>
            <w:shd w:val="clear" w:color="auto" w:fill="auto"/>
            <w:vAlign w:val="center"/>
          </w:tcPr>
          <w:p w14:paraId="039C7994" w14:textId="2644FC1F" w:rsidR="002C43CF" w:rsidRPr="00781112" w:rsidRDefault="002C43CF" w:rsidP="002C43CF">
            <w:pPr>
              <w:jc w:val="center"/>
              <w:rPr>
                <w:rFonts w:cs="Arial"/>
                <w:color w:val="000000" w:themeColor="text1"/>
                <w:szCs w:val="16"/>
              </w:rPr>
            </w:pPr>
            <w:r w:rsidRPr="00781112">
              <w:rPr>
                <w:rFonts w:cs="Arial"/>
                <w:color w:val="000000" w:themeColor="text1"/>
                <w:szCs w:val="16"/>
              </w:rPr>
              <w:t>7,566</w:t>
            </w:r>
          </w:p>
        </w:tc>
        <w:tc>
          <w:tcPr>
            <w:tcW w:w="468" w:type="pct"/>
            <w:shd w:val="clear" w:color="auto" w:fill="auto"/>
            <w:vAlign w:val="center"/>
          </w:tcPr>
          <w:p w14:paraId="24F0CC21" w14:textId="70B062C4" w:rsidR="002C43CF" w:rsidRPr="00781112" w:rsidRDefault="002C43CF" w:rsidP="002C43CF">
            <w:pPr>
              <w:jc w:val="center"/>
              <w:rPr>
                <w:rFonts w:cs="Arial"/>
                <w:color w:val="000000" w:themeColor="text1"/>
                <w:szCs w:val="16"/>
              </w:rPr>
            </w:pPr>
            <w:r w:rsidRPr="00781112">
              <w:rPr>
                <w:rFonts w:cs="Arial"/>
                <w:color w:val="000000" w:themeColor="text1"/>
                <w:szCs w:val="16"/>
              </w:rPr>
              <w:t>86.54%</w:t>
            </w:r>
          </w:p>
        </w:tc>
        <w:tc>
          <w:tcPr>
            <w:tcW w:w="468" w:type="pct"/>
            <w:shd w:val="clear" w:color="auto" w:fill="auto"/>
            <w:vAlign w:val="center"/>
          </w:tcPr>
          <w:p w14:paraId="44D3CBA8" w14:textId="716B803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0C38B251" w14:textId="6362D41B" w:rsidR="002C43CF" w:rsidRPr="00781112" w:rsidRDefault="002C43CF" w:rsidP="002C43CF">
            <w:pPr>
              <w:jc w:val="center"/>
              <w:rPr>
                <w:rFonts w:cs="Arial"/>
                <w:color w:val="000000" w:themeColor="text1"/>
                <w:szCs w:val="16"/>
              </w:rPr>
            </w:pPr>
            <w:r w:rsidRPr="00781112">
              <w:rPr>
                <w:rFonts w:cs="Arial"/>
                <w:color w:val="000000" w:themeColor="text1"/>
                <w:szCs w:val="16"/>
              </w:rPr>
              <w:t>86.52%</w:t>
            </w:r>
          </w:p>
        </w:tc>
        <w:tc>
          <w:tcPr>
            <w:tcW w:w="468" w:type="pct"/>
            <w:shd w:val="clear" w:color="auto" w:fill="auto"/>
            <w:vAlign w:val="center"/>
          </w:tcPr>
          <w:p w14:paraId="761D8F6F" w14:textId="46B9913C"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67149680" w14:textId="213ADF64"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1922D3D8" w14:textId="77777777" w:rsidTr="00396BA3">
        <w:tc>
          <w:tcPr>
            <w:tcW w:w="331" w:type="pct"/>
            <w:shd w:val="clear" w:color="auto" w:fill="auto"/>
            <w:vAlign w:val="center"/>
          </w:tcPr>
          <w:p w14:paraId="43AEFF73"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B</w:t>
            </w:r>
          </w:p>
        </w:tc>
        <w:tc>
          <w:tcPr>
            <w:tcW w:w="500" w:type="pct"/>
            <w:shd w:val="clear" w:color="auto" w:fill="auto"/>
            <w:vAlign w:val="center"/>
          </w:tcPr>
          <w:p w14:paraId="2B8AB1E0" w14:textId="3F093CFB"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8</w:t>
            </w:r>
          </w:p>
        </w:tc>
        <w:tc>
          <w:tcPr>
            <w:tcW w:w="918" w:type="pct"/>
            <w:shd w:val="clear" w:color="auto" w:fill="auto"/>
            <w:vAlign w:val="center"/>
          </w:tcPr>
          <w:p w14:paraId="02D6A2B7" w14:textId="310E9DB8" w:rsidR="002C43CF" w:rsidRPr="00781112" w:rsidRDefault="002C43CF" w:rsidP="002C43CF">
            <w:pPr>
              <w:jc w:val="center"/>
              <w:rPr>
                <w:rFonts w:cs="Arial"/>
                <w:color w:val="000000" w:themeColor="text1"/>
                <w:szCs w:val="16"/>
              </w:rPr>
            </w:pPr>
            <w:r w:rsidRPr="00781112">
              <w:rPr>
                <w:rFonts w:cs="Arial"/>
                <w:color w:val="000000"/>
                <w:szCs w:val="16"/>
              </w:rPr>
              <w:t>5,475</w:t>
            </w:r>
          </w:p>
        </w:tc>
        <w:tc>
          <w:tcPr>
            <w:tcW w:w="908" w:type="pct"/>
            <w:shd w:val="clear" w:color="auto" w:fill="auto"/>
            <w:vAlign w:val="center"/>
          </w:tcPr>
          <w:p w14:paraId="7F2CECC4" w14:textId="3F890748" w:rsidR="002C43CF" w:rsidRPr="00781112" w:rsidRDefault="002C43CF" w:rsidP="002C43CF">
            <w:pPr>
              <w:jc w:val="center"/>
              <w:rPr>
                <w:rFonts w:cs="Arial"/>
                <w:color w:val="000000" w:themeColor="text1"/>
                <w:szCs w:val="16"/>
              </w:rPr>
            </w:pPr>
            <w:r w:rsidRPr="00781112">
              <w:rPr>
                <w:rFonts w:cs="Arial"/>
                <w:color w:val="000000" w:themeColor="text1"/>
                <w:szCs w:val="16"/>
              </w:rPr>
              <w:t>6,740</w:t>
            </w:r>
          </w:p>
        </w:tc>
        <w:tc>
          <w:tcPr>
            <w:tcW w:w="468" w:type="pct"/>
            <w:shd w:val="clear" w:color="auto" w:fill="auto"/>
            <w:vAlign w:val="center"/>
          </w:tcPr>
          <w:p w14:paraId="79841470" w14:textId="267EECAA" w:rsidR="002C43CF" w:rsidRPr="00781112" w:rsidRDefault="002C43CF" w:rsidP="002C43CF">
            <w:pPr>
              <w:jc w:val="center"/>
              <w:rPr>
                <w:rFonts w:cs="Arial"/>
                <w:color w:val="000000" w:themeColor="text1"/>
                <w:szCs w:val="16"/>
              </w:rPr>
            </w:pPr>
            <w:r w:rsidRPr="00781112">
              <w:rPr>
                <w:rFonts w:cs="Arial"/>
                <w:color w:val="000000" w:themeColor="text1"/>
                <w:szCs w:val="16"/>
              </w:rPr>
              <w:t>80.69%</w:t>
            </w:r>
          </w:p>
        </w:tc>
        <w:tc>
          <w:tcPr>
            <w:tcW w:w="468" w:type="pct"/>
            <w:shd w:val="clear" w:color="auto" w:fill="auto"/>
            <w:vAlign w:val="center"/>
          </w:tcPr>
          <w:p w14:paraId="5B10F98F"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542B9F1" w14:textId="37C83969" w:rsidR="002C43CF" w:rsidRPr="00781112" w:rsidRDefault="002C43CF" w:rsidP="002C43CF">
            <w:pPr>
              <w:jc w:val="center"/>
              <w:rPr>
                <w:rFonts w:cs="Arial"/>
                <w:color w:val="000000" w:themeColor="text1"/>
                <w:szCs w:val="16"/>
              </w:rPr>
            </w:pPr>
            <w:r w:rsidRPr="00781112">
              <w:rPr>
                <w:rFonts w:cs="Arial"/>
                <w:color w:val="000000" w:themeColor="text1"/>
                <w:szCs w:val="16"/>
              </w:rPr>
              <w:t>81.23%</w:t>
            </w:r>
          </w:p>
        </w:tc>
        <w:tc>
          <w:tcPr>
            <w:tcW w:w="468" w:type="pct"/>
            <w:shd w:val="clear" w:color="auto" w:fill="auto"/>
            <w:vAlign w:val="center"/>
          </w:tcPr>
          <w:p w14:paraId="5BE427F8" w14:textId="56EB7A82"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5ADE31A1" w14:textId="6021CBB1"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r w:rsidR="00396BA3" w:rsidRPr="00781112" w14:paraId="2E1BAFB0" w14:textId="77777777" w:rsidTr="00396BA3">
        <w:tc>
          <w:tcPr>
            <w:tcW w:w="331" w:type="pct"/>
            <w:shd w:val="clear" w:color="auto" w:fill="auto"/>
            <w:vAlign w:val="center"/>
          </w:tcPr>
          <w:p w14:paraId="6825BD97" w14:textId="77777777" w:rsidR="002C43CF" w:rsidRPr="00781112" w:rsidRDefault="002C43CF" w:rsidP="002C43CF">
            <w:pPr>
              <w:pStyle w:val="Default"/>
              <w:jc w:val="center"/>
              <w:rPr>
                <w:rFonts w:eastAsiaTheme="minorHAnsi"/>
                <w:color w:val="000000" w:themeColor="text1"/>
                <w:sz w:val="16"/>
                <w:szCs w:val="16"/>
              </w:rPr>
            </w:pPr>
            <w:r w:rsidRPr="00781112">
              <w:rPr>
                <w:b/>
                <w:color w:val="000000" w:themeColor="text1"/>
                <w:sz w:val="16"/>
                <w:szCs w:val="16"/>
              </w:rPr>
              <w:t>C</w:t>
            </w:r>
          </w:p>
        </w:tc>
        <w:tc>
          <w:tcPr>
            <w:tcW w:w="500" w:type="pct"/>
            <w:shd w:val="clear" w:color="auto" w:fill="auto"/>
            <w:vAlign w:val="center"/>
          </w:tcPr>
          <w:p w14:paraId="0AE72592" w14:textId="0F597AAE" w:rsidR="002C43CF" w:rsidRPr="00781112" w:rsidDel="00DE5045" w:rsidRDefault="002C43CF" w:rsidP="002C43CF">
            <w:pPr>
              <w:jc w:val="center"/>
              <w:rPr>
                <w:rFonts w:cs="Arial"/>
                <w:color w:val="000000" w:themeColor="text1"/>
                <w:szCs w:val="16"/>
              </w:rPr>
            </w:pPr>
            <w:r w:rsidRPr="00781112">
              <w:rPr>
                <w:rFonts w:cs="Arial"/>
                <w:color w:val="000000" w:themeColor="text1"/>
                <w:szCs w:val="16"/>
              </w:rPr>
              <w:t>Grade HS</w:t>
            </w:r>
          </w:p>
        </w:tc>
        <w:tc>
          <w:tcPr>
            <w:tcW w:w="918" w:type="pct"/>
            <w:shd w:val="clear" w:color="auto" w:fill="auto"/>
            <w:vAlign w:val="center"/>
          </w:tcPr>
          <w:p w14:paraId="6099121A" w14:textId="18C55BFC" w:rsidR="002C43CF" w:rsidRPr="00781112" w:rsidRDefault="002C43CF" w:rsidP="002C43CF">
            <w:pPr>
              <w:jc w:val="center"/>
              <w:rPr>
                <w:rFonts w:cs="Arial"/>
                <w:color w:val="000000" w:themeColor="text1"/>
                <w:szCs w:val="16"/>
              </w:rPr>
            </w:pPr>
            <w:r w:rsidRPr="00781112">
              <w:rPr>
                <w:rFonts w:cs="Arial"/>
                <w:color w:val="000000"/>
                <w:szCs w:val="16"/>
              </w:rPr>
              <w:t>3,497</w:t>
            </w:r>
          </w:p>
        </w:tc>
        <w:tc>
          <w:tcPr>
            <w:tcW w:w="908" w:type="pct"/>
            <w:shd w:val="clear" w:color="auto" w:fill="auto"/>
            <w:vAlign w:val="center"/>
          </w:tcPr>
          <w:p w14:paraId="6B5854E5" w14:textId="06E91CB7" w:rsidR="002C43CF" w:rsidRPr="00781112" w:rsidRDefault="002C43CF" w:rsidP="002C43CF">
            <w:pPr>
              <w:jc w:val="center"/>
              <w:rPr>
                <w:rFonts w:cs="Arial"/>
                <w:color w:val="000000" w:themeColor="text1"/>
                <w:szCs w:val="16"/>
              </w:rPr>
            </w:pPr>
            <w:r w:rsidRPr="00781112">
              <w:rPr>
                <w:rFonts w:cs="Arial"/>
                <w:color w:val="000000" w:themeColor="text1"/>
                <w:szCs w:val="16"/>
              </w:rPr>
              <w:t>5,746</w:t>
            </w:r>
          </w:p>
        </w:tc>
        <w:tc>
          <w:tcPr>
            <w:tcW w:w="468" w:type="pct"/>
            <w:shd w:val="clear" w:color="auto" w:fill="auto"/>
            <w:vAlign w:val="center"/>
          </w:tcPr>
          <w:p w14:paraId="36BDD326" w14:textId="6EBA39BF" w:rsidR="002C43CF" w:rsidRPr="00781112" w:rsidRDefault="002C43CF" w:rsidP="002C43CF">
            <w:pPr>
              <w:jc w:val="center"/>
              <w:rPr>
                <w:rFonts w:cs="Arial"/>
                <w:color w:val="000000" w:themeColor="text1"/>
                <w:szCs w:val="16"/>
              </w:rPr>
            </w:pPr>
            <w:r w:rsidRPr="00781112">
              <w:rPr>
                <w:rFonts w:cs="Arial"/>
                <w:color w:val="000000" w:themeColor="text1"/>
                <w:szCs w:val="16"/>
              </w:rPr>
              <w:t>61.80%</w:t>
            </w:r>
          </w:p>
        </w:tc>
        <w:tc>
          <w:tcPr>
            <w:tcW w:w="468" w:type="pct"/>
            <w:shd w:val="clear" w:color="auto" w:fill="auto"/>
            <w:vAlign w:val="center"/>
          </w:tcPr>
          <w:p w14:paraId="2B5A1952" w14:textId="77777777" w:rsidR="002C43CF" w:rsidRPr="00781112" w:rsidRDefault="002C43CF" w:rsidP="002C43CF">
            <w:pPr>
              <w:jc w:val="center"/>
              <w:rPr>
                <w:rFonts w:cs="Arial"/>
                <w:color w:val="000000" w:themeColor="text1"/>
                <w:szCs w:val="16"/>
              </w:rPr>
            </w:pPr>
            <w:r w:rsidRPr="00781112">
              <w:rPr>
                <w:rFonts w:cs="Arial"/>
                <w:color w:val="000000" w:themeColor="text1"/>
                <w:szCs w:val="16"/>
              </w:rPr>
              <w:t>95.00%</w:t>
            </w:r>
          </w:p>
        </w:tc>
        <w:tc>
          <w:tcPr>
            <w:tcW w:w="468" w:type="pct"/>
            <w:shd w:val="clear" w:color="auto" w:fill="auto"/>
            <w:vAlign w:val="center"/>
          </w:tcPr>
          <w:p w14:paraId="3A8A2153" w14:textId="350CE279" w:rsidR="002C43CF" w:rsidRPr="00781112" w:rsidRDefault="002C43CF" w:rsidP="002C43CF">
            <w:pPr>
              <w:jc w:val="center"/>
              <w:rPr>
                <w:rFonts w:cs="Arial"/>
                <w:color w:val="000000" w:themeColor="text1"/>
                <w:szCs w:val="16"/>
              </w:rPr>
            </w:pPr>
            <w:r w:rsidRPr="00781112">
              <w:rPr>
                <w:rFonts w:cs="Arial"/>
                <w:color w:val="000000" w:themeColor="text1"/>
                <w:szCs w:val="16"/>
              </w:rPr>
              <w:t>60.86%</w:t>
            </w:r>
          </w:p>
        </w:tc>
        <w:tc>
          <w:tcPr>
            <w:tcW w:w="468" w:type="pct"/>
            <w:shd w:val="clear" w:color="auto" w:fill="auto"/>
            <w:vAlign w:val="center"/>
          </w:tcPr>
          <w:p w14:paraId="602D5261" w14:textId="54A65BCD" w:rsidR="002C43CF" w:rsidRPr="00781112" w:rsidRDefault="002C43CF" w:rsidP="002C43CF">
            <w:pPr>
              <w:jc w:val="center"/>
              <w:rPr>
                <w:rFonts w:cs="Arial"/>
                <w:color w:val="000000" w:themeColor="text1"/>
                <w:szCs w:val="16"/>
              </w:rPr>
            </w:pPr>
            <w:r w:rsidRPr="00781112">
              <w:rPr>
                <w:rFonts w:cs="Arial"/>
                <w:color w:val="000000" w:themeColor="text1"/>
                <w:szCs w:val="16"/>
              </w:rPr>
              <w:t>Did not meet target</w:t>
            </w:r>
          </w:p>
        </w:tc>
        <w:tc>
          <w:tcPr>
            <w:tcW w:w="469" w:type="pct"/>
            <w:shd w:val="clear" w:color="auto" w:fill="auto"/>
            <w:vAlign w:val="center"/>
          </w:tcPr>
          <w:p w14:paraId="45BE3C4A" w14:textId="1F06447F" w:rsidR="002C43CF" w:rsidRPr="00781112" w:rsidRDefault="002C43CF" w:rsidP="002C43CF">
            <w:pPr>
              <w:jc w:val="center"/>
              <w:rPr>
                <w:rFonts w:cs="Arial"/>
                <w:color w:val="000000" w:themeColor="text1"/>
                <w:szCs w:val="16"/>
              </w:rPr>
            </w:pPr>
            <w:r w:rsidRPr="00781112">
              <w:rPr>
                <w:rFonts w:cs="Arial"/>
                <w:color w:val="000000" w:themeColor="text1"/>
                <w:szCs w:val="16"/>
              </w:rPr>
              <w:t>No Slippage</w:t>
            </w:r>
          </w:p>
        </w:tc>
      </w:tr>
    </w:tbl>
    <w:p w14:paraId="0CDF2DF2" w14:textId="7E4745D3" w:rsidR="00F17D5E" w:rsidRPr="00781112" w:rsidRDefault="00F17D5E" w:rsidP="00FE4611">
      <w:pPr>
        <w:spacing w:before="0" w:after="0" w:line="276" w:lineRule="auto"/>
        <w:rPr>
          <w:b/>
          <w:color w:val="000000" w:themeColor="text1"/>
        </w:rPr>
      </w:pPr>
    </w:p>
    <w:p w14:paraId="13A59EA6" w14:textId="77777777" w:rsidR="00A134AA" w:rsidRPr="00781112" w:rsidRDefault="00A134AA" w:rsidP="00A134AA">
      <w:pPr>
        <w:rPr>
          <w:color w:val="000000" w:themeColor="text1"/>
        </w:rPr>
      </w:pPr>
      <w:r w:rsidRPr="00781112">
        <w:rPr>
          <w:b/>
          <w:color w:val="000000" w:themeColor="text1"/>
        </w:rPr>
        <w:t>Regulatory Information</w:t>
      </w:r>
    </w:p>
    <w:p w14:paraId="53C4149B" w14:textId="77777777" w:rsidR="00A134AA" w:rsidRPr="00781112" w:rsidRDefault="00A134AA" w:rsidP="00A134AA">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Pr="00781112">
        <w:rPr>
          <w:rFonts w:cs="Arial"/>
          <w:b/>
          <w:color w:val="000000" w:themeColor="text1"/>
          <w:szCs w:val="16"/>
          <w:shd w:val="clear" w:color="auto" w:fill="FFFFFF"/>
        </w:rPr>
        <w:t xml:space="preserve"> </w:t>
      </w:r>
    </w:p>
    <w:p w14:paraId="24575108" w14:textId="77777777" w:rsidR="00A134AA" w:rsidRPr="00781112" w:rsidRDefault="00A134AA" w:rsidP="00A134AA">
      <w:pPr>
        <w:rPr>
          <w:color w:val="000000" w:themeColor="text1"/>
        </w:rPr>
      </w:pPr>
    </w:p>
    <w:p w14:paraId="44CC67C3" w14:textId="77777777" w:rsidR="00A134AA" w:rsidRPr="00781112" w:rsidRDefault="00A134AA" w:rsidP="00A134AA">
      <w:pPr>
        <w:rPr>
          <w:color w:val="000000" w:themeColor="text1"/>
        </w:rPr>
      </w:pPr>
      <w:r w:rsidRPr="00781112">
        <w:rPr>
          <w:b/>
          <w:color w:val="000000" w:themeColor="text1"/>
        </w:rPr>
        <w:t>Public Reporting Information</w:t>
      </w:r>
    </w:p>
    <w:p w14:paraId="70B58518" w14:textId="77777777" w:rsidR="00A134AA" w:rsidRPr="00781112" w:rsidRDefault="00A134AA" w:rsidP="00A134AA">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7EBFE113" w14:textId="047A82C9" w:rsidR="00A134AA" w:rsidRPr="00781112" w:rsidRDefault="00A134AA" w:rsidP="00A134AA">
      <w:pPr>
        <w:rPr>
          <w:rFonts w:cs="Arial"/>
          <w:color w:val="000000" w:themeColor="text1"/>
          <w:szCs w:val="16"/>
        </w:rPr>
      </w:pPr>
      <w:r w:rsidRPr="00781112">
        <w:rPr>
          <w:rFonts w:cs="Arial"/>
          <w:color w:val="000000" w:themeColor="text1"/>
          <w:szCs w:val="16"/>
        </w:rPr>
        <w:t xml:space="preserve">Public reports of assessment results are provided at https://www.oregon.gov/ode/educator-resources/assessment/Pages/Assessment-Group-Reports.aspx. </w:t>
      </w:r>
      <w:r w:rsidRPr="00781112">
        <w:rPr>
          <w:rFonts w:cs="Arial"/>
          <w:color w:val="000000" w:themeColor="text1"/>
          <w:szCs w:val="16"/>
        </w:rPr>
        <w:br/>
      </w:r>
      <w:r w:rsidRPr="00781112">
        <w:rPr>
          <w:rFonts w:cs="Arial"/>
          <w:color w:val="000000" w:themeColor="text1"/>
          <w:szCs w:val="16"/>
        </w:rPr>
        <w:br/>
        <w:t xml:space="preserve">On this page, there are links to assessment data by subject and year. </w:t>
      </w:r>
      <w:r w:rsidRPr="00781112">
        <w:rPr>
          <w:rFonts w:cs="Arial"/>
          <w:color w:val="000000" w:themeColor="text1"/>
          <w:szCs w:val="16"/>
        </w:rPr>
        <w:br/>
      </w:r>
      <w:r w:rsidRPr="00781112">
        <w:rPr>
          <w:rFonts w:cs="Arial"/>
          <w:color w:val="000000" w:themeColor="text1"/>
          <w:szCs w:val="16"/>
        </w:rPr>
        <w:br/>
        <w:t xml:space="preserve">Statewide ELA assessment information is provided at https://www.oregon.gov/ode/educator-resources/assessment/Documents/TestResults2324/pagr_Districts_ELA_2324.xlsx. </w:t>
      </w:r>
      <w:r w:rsidRPr="00781112">
        <w:rPr>
          <w:rFonts w:cs="Arial"/>
          <w:color w:val="000000" w:themeColor="text1"/>
          <w:szCs w:val="16"/>
        </w:rPr>
        <w:br/>
      </w:r>
      <w:r w:rsidRPr="00781112">
        <w:rPr>
          <w:rFonts w:cs="Arial"/>
          <w:color w:val="000000" w:themeColor="text1"/>
          <w:szCs w:val="16"/>
        </w:rPr>
        <w:br/>
        <w:t xml:space="preserve">Statewide math assessment information is provided at https://www.oregon.gov/ode/educator-resources/assessment/Documents/TestResults2324/pagr_Districts_MATH_2324.xlsx. </w:t>
      </w:r>
    </w:p>
    <w:p w14:paraId="222AA3BE" w14:textId="77777777" w:rsidR="00A134AA" w:rsidRPr="00781112" w:rsidRDefault="00A134AA" w:rsidP="00A134AA">
      <w:pPr>
        <w:rPr>
          <w:b/>
          <w:color w:val="000000" w:themeColor="text1"/>
        </w:rPr>
      </w:pPr>
      <w:r w:rsidRPr="00781112">
        <w:rPr>
          <w:b/>
          <w:color w:val="000000" w:themeColor="text1"/>
        </w:rPr>
        <w:t>Provide additional information about this indicator (optional)</w:t>
      </w:r>
    </w:p>
    <w:p w14:paraId="58D88404" w14:textId="4712EC2F" w:rsidR="00A134AA" w:rsidRPr="00781112" w:rsidRDefault="00A134AA" w:rsidP="00A134AA">
      <w:pPr>
        <w:rPr>
          <w:rFonts w:cs="Arial"/>
          <w:color w:val="000000" w:themeColor="text1"/>
          <w:szCs w:val="16"/>
        </w:rPr>
      </w:pPr>
    </w:p>
    <w:p w14:paraId="0F4E9E40" w14:textId="77777777" w:rsidR="00B725C2" w:rsidRPr="00781112" w:rsidRDefault="00B725C2" w:rsidP="00FE4611">
      <w:pPr>
        <w:spacing w:before="0" w:after="0" w:line="276" w:lineRule="auto"/>
        <w:rPr>
          <w:b/>
          <w:color w:val="000000" w:themeColor="text1"/>
        </w:rPr>
      </w:pPr>
    </w:p>
    <w:p w14:paraId="3BECD360" w14:textId="5C269016" w:rsidR="00361CFA" w:rsidRPr="00781112" w:rsidRDefault="00361CFA" w:rsidP="005B40C0">
      <w:pPr>
        <w:pStyle w:val="Heading3"/>
      </w:pPr>
      <w:r w:rsidRPr="00781112">
        <w:t>3</w:t>
      </w:r>
      <w:r w:rsidR="00DD4E25" w:rsidRPr="00781112">
        <w:t>A</w:t>
      </w:r>
      <w:r w:rsidRPr="00781112">
        <w:t xml:space="preserve"> - Prior FFY Required Actions</w:t>
      </w:r>
    </w:p>
    <w:p w14:paraId="0775D2DC" w14:textId="32AC04CD" w:rsidR="00361CFA" w:rsidRPr="00781112" w:rsidRDefault="00361CFA" w:rsidP="00361CFA">
      <w:pPr>
        <w:rPr>
          <w:rFonts w:cs="Arial"/>
          <w:color w:val="000000" w:themeColor="text1"/>
          <w:szCs w:val="16"/>
        </w:rPr>
      </w:pPr>
      <w:r w:rsidRPr="00781112">
        <w:rPr>
          <w:rFonts w:cs="Arial"/>
          <w:color w:val="000000" w:themeColor="text1"/>
          <w:szCs w:val="16"/>
        </w:rPr>
        <w:t>None</w:t>
      </w:r>
    </w:p>
    <w:p w14:paraId="743B5B9F" w14:textId="1841BC80" w:rsidR="00361CFA" w:rsidRPr="00781112" w:rsidRDefault="00361CFA" w:rsidP="005B40C0">
      <w:pPr>
        <w:pStyle w:val="Heading3"/>
      </w:pPr>
      <w:r w:rsidRPr="00781112">
        <w:t>3</w:t>
      </w:r>
      <w:r w:rsidR="00DD4E25" w:rsidRPr="00781112">
        <w:t>A</w:t>
      </w:r>
      <w:r w:rsidRPr="00781112">
        <w:t xml:space="preserve"> - OSEP Response</w:t>
      </w:r>
    </w:p>
    <w:p w14:paraId="2436D21B" w14:textId="251DD46D" w:rsidR="00361CFA" w:rsidRPr="00781112" w:rsidRDefault="00361CFA" w:rsidP="00361CFA">
      <w:pPr>
        <w:rPr>
          <w:rFonts w:cs="Arial"/>
          <w:color w:val="000000" w:themeColor="text1"/>
          <w:szCs w:val="16"/>
        </w:rPr>
      </w:pPr>
    </w:p>
    <w:p w14:paraId="66272CA6" w14:textId="0C9AB332" w:rsidR="00361CFA" w:rsidRPr="00781112" w:rsidRDefault="00361CFA" w:rsidP="005B40C0">
      <w:pPr>
        <w:pStyle w:val="Heading3"/>
      </w:pPr>
      <w:r w:rsidRPr="00781112">
        <w:t>3</w:t>
      </w:r>
      <w:r w:rsidR="00DD4E25" w:rsidRPr="00781112">
        <w:t>A</w:t>
      </w:r>
      <w:r w:rsidRPr="00781112">
        <w:t xml:space="preserve"> - Required Actions</w:t>
      </w:r>
    </w:p>
    <w:p w14:paraId="07E8CA27" w14:textId="1D50FC01" w:rsidR="00361CFA" w:rsidRPr="00781112" w:rsidRDefault="00361CFA" w:rsidP="00361CFA">
      <w:pPr>
        <w:rPr>
          <w:rFonts w:cs="Arial"/>
          <w:color w:val="000000" w:themeColor="text1"/>
          <w:szCs w:val="16"/>
        </w:rPr>
      </w:pPr>
    </w:p>
    <w:p w14:paraId="4B525DFA" w14:textId="76C42186" w:rsidR="009D378C" w:rsidRPr="00781112" w:rsidRDefault="009D378C" w:rsidP="005B40C0">
      <w:pPr>
        <w:pStyle w:val="Heading2"/>
      </w:pPr>
      <w:r w:rsidRPr="00781112">
        <w:rPr>
          <w:color w:val="000000" w:themeColor="text1"/>
          <w:sz w:val="22"/>
        </w:rPr>
        <w:lastRenderedPageBreak/>
        <w:t xml:space="preserve">Indicator 3B: Proficiency for Children with IEPs (Grade Level Academic Achievement Standards) </w:t>
      </w:r>
      <w:bookmarkEnd w:id="10"/>
      <w:bookmarkEnd w:id="11"/>
    </w:p>
    <w:p w14:paraId="66C662B8" w14:textId="69AA9D25" w:rsidR="007C3C89" w:rsidRPr="002C274F" w:rsidRDefault="007C3C89" w:rsidP="002C274F">
      <w:pPr>
        <w:rPr>
          <w:b/>
          <w:bCs/>
          <w:sz w:val="20"/>
          <w:szCs w:val="20"/>
        </w:rPr>
      </w:pPr>
      <w:bookmarkStart w:id="13" w:name="_Toc392159271"/>
      <w:r w:rsidRPr="002C274F">
        <w:rPr>
          <w:b/>
          <w:bCs/>
          <w:sz w:val="20"/>
          <w:szCs w:val="20"/>
        </w:rPr>
        <w:t>Instructions and Measurement</w:t>
      </w:r>
    </w:p>
    <w:p w14:paraId="31EC23C7" w14:textId="5EB5B691" w:rsidR="0085119E" w:rsidRPr="00781112" w:rsidRDefault="0085119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F546D74" w14:textId="7751A5DC" w:rsidR="005873EB" w:rsidRPr="00781112" w:rsidRDefault="0085119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w:t>
      </w:r>
      <w:r w:rsidR="00131842" w:rsidRPr="00781112">
        <w:rPr>
          <w:rFonts w:cs="Arial"/>
          <w:color w:val="000000" w:themeColor="text1"/>
          <w:szCs w:val="16"/>
        </w:rPr>
        <w:t xml:space="preserve"> </w:t>
      </w:r>
      <w:r w:rsidR="005873EB" w:rsidRPr="00781112">
        <w:rPr>
          <w:rFonts w:cs="Arial"/>
          <w:color w:val="000000" w:themeColor="text1"/>
          <w:szCs w:val="16"/>
        </w:rPr>
        <w:t xml:space="preserve">Participation and performance </w:t>
      </w:r>
      <w:r w:rsidR="00C960B4" w:rsidRPr="00781112">
        <w:rPr>
          <w:rFonts w:cs="Arial"/>
          <w:color w:val="000000" w:themeColor="text1"/>
          <w:szCs w:val="16"/>
        </w:rPr>
        <w:t xml:space="preserve">of </w:t>
      </w:r>
      <w:r w:rsidR="005873EB" w:rsidRPr="00781112">
        <w:rPr>
          <w:rFonts w:cs="Arial"/>
          <w:color w:val="000000" w:themeColor="text1"/>
          <w:szCs w:val="16"/>
        </w:rPr>
        <w:t>children with IEPs on statewide</w:t>
      </w:r>
      <w:r w:rsidR="00A14AEA" w:rsidRPr="00781112">
        <w:rPr>
          <w:rFonts w:cs="Arial"/>
          <w:color w:val="000000" w:themeColor="text1"/>
          <w:szCs w:val="16"/>
        </w:rPr>
        <w:t xml:space="preserve"> assessments:</w:t>
      </w:r>
    </w:p>
    <w:p w14:paraId="4F752398"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A. Participation rate for children with IEPs.</w:t>
      </w:r>
    </w:p>
    <w:p w14:paraId="5BE34F5D"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3A689820"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59A0C855" w14:textId="77777777" w:rsidR="001B1437" w:rsidRPr="00781112" w:rsidRDefault="001B1437" w:rsidP="001B1437">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08325460" w14:textId="77777777" w:rsidR="001B1437" w:rsidRPr="00781112" w:rsidRDefault="001B1437" w:rsidP="001B1437">
      <w:pPr>
        <w:rPr>
          <w:rFonts w:cs="Arial"/>
          <w:color w:val="000000" w:themeColor="text1"/>
          <w:szCs w:val="16"/>
        </w:rPr>
      </w:pPr>
      <w:r w:rsidRPr="00781112">
        <w:rPr>
          <w:rFonts w:cs="Arial"/>
          <w:color w:val="000000" w:themeColor="text1"/>
          <w:szCs w:val="16"/>
        </w:rPr>
        <w:t>(20 U.S.C. 1416 (a)(3)(A))</w:t>
      </w:r>
    </w:p>
    <w:p w14:paraId="17F5F231" w14:textId="77777777" w:rsidR="005873EB" w:rsidRPr="00781112" w:rsidRDefault="005873EB" w:rsidP="004369B2">
      <w:pPr>
        <w:rPr>
          <w:color w:val="000000" w:themeColor="text1"/>
        </w:rPr>
      </w:pPr>
      <w:r w:rsidRPr="00781112">
        <w:rPr>
          <w:b/>
          <w:color w:val="000000" w:themeColor="text1"/>
        </w:rPr>
        <w:t>Data Source</w:t>
      </w:r>
    </w:p>
    <w:p w14:paraId="74E3B0EF" w14:textId="680BE39A" w:rsidR="00A14AEA" w:rsidRPr="0075451F" w:rsidRDefault="00A14AEA" w:rsidP="002621F6">
      <w:pPr>
        <w:rPr>
          <w:rFonts w:cs="Arial"/>
          <w:szCs w:val="16"/>
        </w:rPr>
      </w:pPr>
      <w:r w:rsidRPr="00781112">
        <w:rPr>
          <w:rFonts w:cs="Arial"/>
          <w:color w:val="000000" w:themeColor="text1"/>
          <w:szCs w:val="16"/>
        </w:rPr>
        <w:t>3B.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w:t>
      </w:r>
      <w:r w:rsidR="001B1437" w:rsidRPr="00781112">
        <w:rPr>
          <w:rFonts w:cs="Arial"/>
          <w:szCs w:val="16"/>
        </w:rPr>
        <w:t>FS175 and 178.</w:t>
      </w:r>
    </w:p>
    <w:p w14:paraId="58C69CDD" w14:textId="77777777" w:rsidR="005873EB" w:rsidRPr="00781112" w:rsidRDefault="005873EB" w:rsidP="004369B2">
      <w:pPr>
        <w:rPr>
          <w:color w:val="000000" w:themeColor="text1"/>
        </w:rPr>
      </w:pPr>
      <w:r w:rsidRPr="00781112">
        <w:rPr>
          <w:b/>
          <w:color w:val="000000" w:themeColor="text1"/>
        </w:rPr>
        <w:t>Measurement</w:t>
      </w:r>
    </w:p>
    <w:p w14:paraId="1B72B9D8" w14:textId="6F544A48" w:rsidR="00781112" w:rsidRPr="00781112" w:rsidRDefault="00A14AEA" w:rsidP="004369B2">
      <w:pPr>
        <w:rPr>
          <w:rFonts w:cs="Arial"/>
          <w:szCs w:val="16"/>
        </w:rPr>
      </w:pPr>
      <w:r w:rsidRPr="00781112">
        <w:rPr>
          <w:rFonts w:cs="Arial"/>
          <w:color w:val="000000" w:themeColor="text1"/>
          <w:szCs w:val="16"/>
        </w:rPr>
        <w:t xml:space="preserve">B. </w:t>
      </w:r>
      <w:r w:rsidR="001B1437" w:rsidRPr="00781112">
        <w:rPr>
          <w:rFonts w:cs="Arial"/>
          <w:szCs w:val="16"/>
        </w:rPr>
        <w:t>Proficiency rate percent = [(# of children with IEPs scoring at or above proficient against grade level academic achievement standards) divided by the (total # of children with IEPs who received a valid score and for whom a proficiency level was assigned for the regular assessment)]. Calculate separately for reading and math. Calculate separately for grades 4, 8, and high school. The proficiency rate includes both children with IEPs enrolled for a full academic year and those not enrolled for a full academic year</w:t>
      </w:r>
      <w:r w:rsidR="00C239D6" w:rsidRPr="00781112">
        <w:rPr>
          <w:rFonts w:cs="Arial"/>
          <w:szCs w:val="16"/>
        </w:rPr>
        <w:t>.</w:t>
      </w:r>
    </w:p>
    <w:p w14:paraId="13B81A44" w14:textId="77777777" w:rsidR="005873EB" w:rsidRPr="00781112" w:rsidRDefault="005873EB" w:rsidP="004369B2">
      <w:pPr>
        <w:rPr>
          <w:color w:val="000000" w:themeColor="text1"/>
        </w:rPr>
      </w:pPr>
      <w:r w:rsidRPr="00781112">
        <w:rPr>
          <w:b/>
          <w:color w:val="000000" w:themeColor="text1"/>
        </w:rPr>
        <w:t>Instructions</w:t>
      </w:r>
    </w:p>
    <w:p w14:paraId="5315B3F5" w14:textId="77777777" w:rsidR="00A14AEA" w:rsidRPr="00781112" w:rsidRDefault="00A14AEA" w:rsidP="002621F6">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02A5AC14" w14:textId="77777777" w:rsidR="00A14AEA" w:rsidRPr="00781112" w:rsidRDefault="00A14AEA" w:rsidP="002621F6">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28C72839" w14:textId="5218735C" w:rsidR="00A14AEA" w:rsidRPr="00781112" w:rsidRDefault="00A14AEA" w:rsidP="002621F6">
      <w:pPr>
        <w:rPr>
          <w:rFonts w:cs="Arial"/>
          <w:color w:val="000000" w:themeColor="text1"/>
          <w:szCs w:val="16"/>
        </w:rPr>
      </w:pPr>
      <w:r w:rsidRPr="00781112">
        <w:rPr>
          <w:rFonts w:cs="Arial"/>
          <w:color w:val="000000" w:themeColor="text1"/>
          <w:szCs w:val="16"/>
        </w:rPr>
        <w:t xml:space="preserve">Indicator 3B: </w:t>
      </w:r>
      <w:r w:rsidR="001B1437" w:rsidRPr="00781112">
        <w:rPr>
          <w:rFonts w:cs="Arial"/>
          <w:szCs w:val="16"/>
        </w:rPr>
        <w:t>Proficiency calculations in this SPP/APR must result in proficiency rates for children with IEPs on the regular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 of testing.</w:t>
      </w:r>
    </w:p>
    <w:p w14:paraId="4CDFE310" w14:textId="3FF11C15" w:rsidR="00677C8C" w:rsidRPr="00781112" w:rsidRDefault="00573F6C" w:rsidP="005B40C0">
      <w:pPr>
        <w:pStyle w:val="Heading3"/>
      </w:pPr>
      <w:r w:rsidRPr="00781112">
        <w:t>3B</w:t>
      </w:r>
      <w:r w:rsidR="00BB4FD7" w:rsidRPr="00781112">
        <w:t xml:space="preserve"> </w:t>
      </w:r>
      <w:r w:rsidRPr="00781112">
        <w:t xml:space="preserve">- </w:t>
      </w:r>
      <w:r w:rsidR="00677C8C" w:rsidRPr="00781112">
        <w:t>Indicator Data</w:t>
      </w:r>
    </w:p>
    <w:bookmarkEnd w:id="13"/>
    <w:p w14:paraId="515AEF58" w14:textId="26D7E3C2" w:rsidR="00E539AB" w:rsidRPr="00781112" w:rsidRDefault="00E539AB" w:rsidP="004369B2">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HISTDATA"/>
      </w:tblPr>
      <w:tblGrid>
        <w:gridCol w:w="1588"/>
        <w:gridCol w:w="1588"/>
        <w:gridCol w:w="2538"/>
        <w:gridCol w:w="2538"/>
        <w:gridCol w:w="2538"/>
      </w:tblGrid>
      <w:tr w:rsidR="00E87854" w:rsidRPr="00781112" w14:paraId="12417720" w14:textId="77777777" w:rsidTr="009725F4">
        <w:trPr>
          <w:trHeight w:val="368"/>
          <w:tblHeader/>
        </w:trPr>
        <w:tc>
          <w:tcPr>
            <w:tcW w:w="736" w:type="pct"/>
            <w:tcBorders>
              <w:top w:val="single" w:sz="4" w:space="0" w:color="auto"/>
            </w:tcBorders>
            <w:vAlign w:val="center"/>
          </w:tcPr>
          <w:p w14:paraId="7EC3C39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3734B1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7B7E2CD1"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328A387A"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7BA55F2F" w14:textId="77777777" w:rsidR="00E87854" w:rsidRPr="00781112" w:rsidRDefault="00E87854" w:rsidP="00827FF4">
            <w:pPr>
              <w:jc w:val="center"/>
              <w:rPr>
                <w:rFonts w:cs="Arial"/>
                <w:b/>
                <w:color w:val="000000" w:themeColor="text1"/>
                <w:szCs w:val="16"/>
              </w:rPr>
            </w:pPr>
            <w:r w:rsidRPr="00781112">
              <w:rPr>
                <w:rFonts w:cs="Arial"/>
                <w:b/>
                <w:color w:val="000000" w:themeColor="text1"/>
                <w:szCs w:val="16"/>
              </w:rPr>
              <w:t>Baseline Data</w:t>
            </w:r>
          </w:p>
        </w:tc>
      </w:tr>
      <w:tr w:rsidR="00E87854" w:rsidRPr="00781112" w14:paraId="4037BAD8" w14:textId="77777777" w:rsidTr="00360DD6">
        <w:trPr>
          <w:trHeight w:val="368"/>
        </w:trPr>
        <w:tc>
          <w:tcPr>
            <w:tcW w:w="736" w:type="pct"/>
            <w:vAlign w:val="center"/>
          </w:tcPr>
          <w:p w14:paraId="7483D39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589D2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62918043" w14:textId="606DEBBA" w:rsidR="00E87854" w:rsidRPr="00781112" w:rsidRDefault="00E87854"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2F272CC" w14:textId="71E3B85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A2A9F8D" w14:textId="7B983B8C" w:rsidR="00E87854" w:rsidRPr="00781112" w:rsidRDefault="00E87854" w:rsidP="00827FF4">
            <w:pPr>
              <w:spacing w:before="0" w:after="0"/>
              <w:jc w:val="center"/>
              <w:rPr>
                <w:color w:val="000000" w:themeColor="text1"/>
              </w:rPr>
            </w:pPr>
            <w:r w:rsidRPr="00781112">
              <w:rPr>
                <w:rFonts w:cs="Arial"/>
                <w:color w:val="000000" w:themeColor="text1"/>
                <w:szCs w:val="16"/>
              </w:rPr>
              <w:t>26.83%</w:t>
            </w:r>
          </w:p>
        </w:tc>
      </w:tr>
      <w:tr w:rsidR="00E87854" w:rsidRPr="00781112" w14:paraId="60278D71" w14:textId="77777777" w:rsidTr="00360DD6">
        <w:trPr>
          <w:trHeight w:val="368"/>
        </w:trPr>
        <w:tc>
          <w:tcPr>
            <w:tcW w:w="736" w:type="pct"/>
            <w:vAlign w:val="center"/>
          </w:tcPr>
          <w:p w14:paraId="3507BA0D"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4794670"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3B8FF5A1" w14:textId="37E21D7F"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1CCEEB25" w14:textId="1C22E745"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91FB31F" w14:textId="070EC95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15.24%</w:t>
            </w:r>
          </w:p>
        </w:tc>
      </w:tr>
      <w:tr w:rsidR="00E87854" w:rsidRPr="00781112" w14:paraId="2E17CFEC" w14:textId="77777777" w:rsidTr="00360DD6">
        <w:trPr>
          <w:trHeight w:val="368"/>
        </w:trPr>
        <w:tc>
          <w:tcPr>
            <w:tcW w:w="736" w:type="pct"/>
            <w:vAlign w:val="center"/>
          </w:tcPr>
          <w:p w14:paraId="686A187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9389293"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1A5BDDFB" w14:textId="2058F5F3" w:rsidR="00E87854" w:rsidRPr="00781112" w:rsidRDefault="00E87854"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515FB216" w14:textId="6B3B7253"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F3FCFE8" w14:textId="7784B726"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23.94%</w:t>
            </w:r>
          </w:p>
        </w:tc>
      </w:tr>
      <w:tr w:rsidR="00E87854" w:rsidRPr="00781112" w14:paraId="2DE181AC" w14:textId="77777777" w:rsidTr="00360DD6">
        <w:trPr>
          <w:trHeight w:val="368"/>
        </w:trPr>
        <w:tc>
          <w:tcPr>
            <w:tcW w:w="736" w:type="pct"/>
            <w:vAlign w:val="center"/>
          </w:tcPr>
          <w:p w14:paraId="62906600"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58A602F6"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73CC85F5" w14:textId="434951B5"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083C0C1B" w14:textId="1213FD2B"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2A92448" w14:textId="0F5F274D"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13.79%</w:t>
            </w:r>
          </w:p>
        </w:tc>
      </w:tr>
      <w:tr w:rsidR="00E87854" w:rsidRPr="00781112" w14:paraId="15831A3C" w14:textId="77777777" w:rsidTr="00360DD6">
        <w:trPr>
          <w:trHeight w:val="368"/>
        </w:trPr>
        <w:tc>
          <w:tcPr>
            <w:tcW w:w="736" w:type="pct"/>
            <w:vAlign w:val="center"/>
          </w:tcPr>
          <w:p w14:paraId="3F388113"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75BC7B5C"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AD560DF" w14:textId="6ED06A7D" w:rsidR="00E87854" w:rsidRPr="00781112" w:rsidRDefault="00E87854"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6F22CF1" w14:textId="7783498C"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3B302E6" w14:textId="2F431F68"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5.84%</w:t>
            </w:r>
          </w:p>
        </w:tc>
      </w:tr>
      <w:tr w:rsidR="00E87854" w:rsidRPr="00781112" w14:paraId="5866D3B1" w14:textId="77777777" w:rsidTr="00360DD6">
        <w:trPr>
          <w:trHeight w:val="368"/>
        </w:trPr>
        <w:tc>
          <w:tcPr>
            <w:tcW w:w="736" w:type="pct"/>
            <w:vAlign w:val="center"/>
          </w:tcPr>
          <w:p w14:paraId="619219C1" w14:textId="77777777" w:rsidR="00E87854" w:rsidRPr="00781112" w:rsidRDefault="00E87854"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3CF2F687" w14:textId="77777777"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4FE864B8" w14:textId="002FA991" w:rsidR="00E87854" w:rsidRPr="00781112" w:rsidRDefault="00E87854"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216CD238" w14:textId="75E8822F" w:rsidR="00E87854" w:rsidRPr="00781112" w:rsidRDefault="00E87854"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6C96CFB" w14:textId="33770ED2" w:rsidR="00E87854" w:rsidRPr="00781112" w:rsidRDefault="00480B96" w:rsidP="00827FF4">
            <w:pPr>
              <w:spacing w:before="0" w:after="0"/>
              <w:jc w:val="center"/>
              <w:rPr>
                <w:rFonts w:cs="Arial"/>
                <w:color w:val="000000" w:themeColor="text1"/>
                <w:szCs w:val="16"/>
              </w:rPr>
            </w:pPr>
            <w:r>
              <w:rPr>
                <w:rFonts w:cs="Arial"/>
                <w:color w:val="000000" w:themeColor="text1"/>
                <w:szCs w:val="16"/>
              </w:rPr>
              <w:t>x</w:t>
            </w:r>
            <w:bookmarkStart w:id="14" w:name="_Ref202188775"/>
            <w:r w:rsidR="00754C6F">
              <w:rPr>
                <w:rStyle w:val="FootnoteReference"/>
                <w:rFonts w:cs="Arial"/>
                <w:color w:val="000000" w:themeColor="text1"/>
                <w:szCs w:val="16"/>
              </w:rPr>
              <w:footnoteReference w:id="5"/>
            </w:r>
            <w:bookmarkEnd w:id="14"/>
          </w:p>
        </w:tc>
      </w:tr>
    </w:tbl>
    <w:p w14:paraId="4E5C7995" w14:textId="42FA95B5" w:rsidR="004D0044" w:rsidRPr="00781112" w:rsidRDefault="004D0044" w:rsidP="00AA3A41">
      <w:pPr>
        <w:tabs>
          <w:tab w:val="left" w:pos="2145"/>
        </w:tabs>
        <w:rPr>
          <w:color w:val="000000" w:themeColor="text1"/>
        </w:rPr>
      </w:pPr>
    </w:p>
    <w:p w14:paraId="38F110A8" w14:textId="3014A321" w:rsidR="00E539AB" w:rsidRPr="00781112" w:rsidRDefault="00E539AB" w:rsidP="004369B2">
      <w:pPr>
        <w:rPr>
          <w:b/>
          <w:color w:val="000000" w:themeColor="text1"/>
        </w:rPr>
      </w:pPr>
      <w:r w:rsidRPr="00781112">
        <w:rPr>
          <w:b/>
          <w:color w:val="000000" w:themeColor="text1"/>
        </w:rPr>
        <w:t>Targets</w:t>
      </w:r>
    </w:p>
    <w:tbl>
      <w:tblPr>
        <w:tblW w:w="3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TARGETS"/>
      </w:tblPr>
      <w:tblGrid>
        <w:gridCol w:w="1196"/>
        <w:gridCol w:w="1201"/>
        <w:gridCol w:w="1201"/>
        <w:gridCol w:w="1201"/>
        <w:gridCol w:w="1201"/>
        <w:gridCol w:w="1201"/>
      </w:tblGrid>
      <w:tr w:rsidR="0094481B" w:rsidRPr="00781112" w14:paraId="241559C7" w14:textId="3976E689" w:rsidTr="00FE4611">
        <w:tc>
          <w:tcPr>
            <w:tcW w:w="830" w:type="pct"/>
            <w:tcBorders>
              <w:bottom w:val="single" w:sz="4" w:space="0" w:color="auto"/>
            </w:tcBorders>
            <w:shd w:val="clear" w:color="auto" w:fill="auto"/>
            <w:vAlign w:val="center"/>
          </w:tcPr>
          <w:p w14:paraId="5F6C0247" w14:textId="02A2F5D1" w:rsidR="0094481B" w:rsidRPr="00781112" w:rsidRDefault="0094481B" w:rsidP="00536B0B">
            <w:pPr>
              <w:jc w:val="center"/>
              <w:rPr>
                <w:b/>
                <w:color w:val="000000" w:themeColor="text1"/>
              </w:rPr>
            </w:pPr>
            <w:r w:rsidRPr="00781112">
              <w:rPr>
                <w:b/>
                <w:color w:val="000000" w:themeColor="text1"/>
              </w:rPr>
              <w:t>Subject</w:t>
            </w:r>
          </w:p>
        </w:tc>
        <w:tc>
          <w:tcPr>
            <w:tcW w:w="834" w:type="pct"/>
            <w:tcBorders>
              <w:bottom w:val="single" w:sz="4" w:space="0" w:color="auto"/>
            </w:tcBorders>
            <w:shd w:val="clear" w:color="auto" w:fill="auto"/>
            <w:vAlign w:val="center"/>
          </w:tcPr>
          <w:p w14:paraId="1318C08B" w14:textId="57349DD9" w:rsidR="0094481B" w:rsidRPr="00781112" w:rsidRDefault="0094481B" w:rsidP="00536B0B">
            <w:pPr>
              <w:jc w:val="center"/>
              <w:rPr>
                <w:b/>
                <w:color w:val="000000" w:themeColor="text1"/>
              </w:rPr>
            </w:pPr>
            <w:r w:rsidRPr="00781112">
              <w:rPr>
                <w:b/>
                <w:color w:val="000000" w:themeColor="text1"/>
              </w:rPr>
              <w:t>Group</w:t>
            </w:r>
          </w:p>
        </w:tc>
        <w:tc>
          <w:tcPr>
            <w:tcW w:w="834" w:type="pct"/>
            <w:shd w:val="clear" w:color="auto" w:fill="auto"/>
            <w:vAlign w:val="center"/>
          </w:tcPr>
          <w:p w14:paraId="7EAB09FA" w14:textId="030EC418" w:rsidR="0094481B" w:rsidRPr="00781112" w:rsidDel="008E7B87" w:rsidRDefault="0094481B" w:rsidP="00536B0B">
            <w:pPr>
              <w:jc w:val="center"/>
              <w:rPr>
                <w:b/>
                <w:color w:val="000000" w:themeColor="text1"/>
              </w:rPr>
            </w:pPr>
            <w:r w:rsidRPr="00781112">
              <w:rPr>
                <w:b/>
                <w:color w:val="000000" w:themeColor="text1"/>
              </w:rPr>
              <w:t>Group Name</w:t>
            </w:r>
          </w:p>
        </w:tc>
        <w:tc>
          <w:tcPr>
            <w:tcW w:w="834" w:type="pct"/>
            <w:shd w:val="clear" w:color="auto" w:fill="auto"/>
            <w:vAlign w:val="center"/>
          </w:tcPr>
          <w:p w14:paraId="547F4988" w14:textId="1F981DE2" w:rsidR="0094481B" w:rsidRPr="00781112" w:rsidRDefault="0094481B" w:rsidP="00536B0B">
            <w:pPr>
              <w:jc w:val="center"/>
              <w:rPr>
                <w:b/>
                <w:color w:val="000000" w:themeColor="text1"/>
              </w:rPr>
            </w:pPr>
            <w:r w:rsidRPr="00781112">
              <w:rPr>
                <w:b/>
                <w:color w:val="000000" w:themeColor="text1"/>
              </w:rPr>
              <w:t>2023</w:t>
            </w:r>
          </w:p>
        </w:tc>
        <w:tc>
          <w:tcPr>
            <w:tcW w:w="834" w:type="pct"/>
            <w:vAlign w:val="center"/>
          </w:tcPr>
          <w:p w14:paraId="54E0670C" w14:textId="46A8862B" w:rsidR="0094481B" w:rsidRPr="00781112" w:rsidRDefault="0094481B" w:rsidP="00536B0B">
            <w:pPr>
              <w:jc w:val="center"/>
              <w:rPr>
                <w:b/>
                <w:color w:val="000000" w:themeColor="text1"/>
              </w:rPr>
            </w:pPr>
            <w:r w:rsidRPr="00781112">
              <w:rPr>
                <w:rFonts w:cs="Arial"/>
                <w:b/>
                <w:color w:val="000000" w:themeColor="text1"/>
                <w:szCs w:val="16"/>
              </w:rPr>
              <w:t>2024</w:t>
            </w:r>
          </w:p>
        </w:tc>
        <w:tc>
          <w:tcPr>
            <w:tcW w:w="834" w:type="pct"/>
            <w:vAlign w:val="center"/>
          </w:tcPr>
          <w:p w14:paraId="0317CAEF" w14:textId="4A2FF736" w:rsidR="0094481B" w:rsidRPr="00781112" w:rsidRDefault="0094481B" w:rsidP="00536B0B">
            <w:pPr>
              <w:jc w:val="center"/>
              <w:rPr>
                <w:b/>
                <w:color w:val="000000" w:themeColor="text1"/>
              </w:rPr>
            </w:pPr>
            <w:r w:rsidRPr="00781112">
              <w:rPr>
                <w:rFonts w:cs="Arial"/>
                <w:b/>
                <w:color w:val="000000" w:themeColor="text1"/>
                <w:szCs w:val="16"/>
              </w:rPr>
              <w:t>2025</w:t>
            </w:r>
          </w:p>
        </w:tc>
      </w:tr>
      <w:tr w:rsidR="0094481B" w:rsidRPr="00781112" w14:paraId="6D8B6989" w14:textId="160D0375" w:rsidTr="00FE4611">
        <w:tc>
          <w:tcPr>
            <w:tcW w:w="830" w:type="pct"/>
            <w:shd w:val="clear" w:color="auto" w:fill="auto"/>
            <w:vAlign w:val="center"/>
          </w:tcPr>
          <w:p w14:paraId="1B70FAC0" w14:textId="0849CE9C"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6221F405" w14:textId="189877A2"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A &gt;=</w:t>
            </w:r>
          </w:p>
        </w:tc>
        <w:tc>
          <w:tcPr>
            <w:tcW w:w="834" w:type="pct"/>
            <w:shd w:val="clear" w:color="auto" w:fill="auto"/>
            <w:vAlign w:val="center"/>
          </w:tcPr>
          <w:p w14:paraId="6D2C8AC8" w14:textId="0101FADC"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1794FDC8" w14:textId="2C32479D" w:rsidR="0094481B" w:rsidRPr="00781112" w:rsidRDefault="0094481B" w:rsidP="004E5C74">
            <w:pPr>
              <w:jc w:val="center"/>
              <w:rPr>
                <w:rFonts w:cs="Arial"/>
                <w:color w:val="000000" w:themeColor="text1"/>
                <w:szCs w:val="16"/>
              </w:rPr>
            </w:pPr>
            <w:r w:rsidRPr="00781112">
              <w:rPr>
                <w:rFonts w:cs="Arial"/>
                <w:color w:val="000000" w:themeColor="text1"/>
                <w:szCs w:val="16"/>
              </w:rPr>
              <w:t>26.93%</w:t>
            </w:r>
          </w:p>
        </w:tc>
        <w:tc>
          <w:tcPr>
            <w:tcW w:w="834" w:type="pct"/>
            <w:vAlign w:val="center"/>
          </w:tcPr>
          <w:p w14:paraId="609A7D0F" w14:textId="138D9671" w:rsidR="0094481B" w:rsidRPr="00781112" w:rsidRDefault="0094481B" w:rsidP="004E5C74">
            <w:pPr>
              <w:jc w:val="center"/>
              <w:rPr>
                <w:rFonts w:cs="Arial"/>
                <w:color w:val="000000" w:themeColor="text1"/>
                <w:szCs w:val="16"/>
              </w:rPr>
            </w:pPr>
            <w:r w:rsidRPr="00781112">
              <w:rPr>
                <w:rFonts w:cs="Arial"/>
                <w:color w:val="000000" w:themeColor="text1"/>
                <w:szCs w:val="16"/>
              </w:rPr>
              <w:t>26.97%</w:t>
            </w:r>
          </w:p>
        </w:tc>
        <w:tc>
          <w:tcPr>
            <w:tcW w:w="834" w:type="pct"/>
            <w:vAlign w:val="center"/>
          </w:tcPr>
          <w:p w14:paraId="3DF1FAFA" w14:textId="4C333171" w:rsidR="0094481B" w:rsidRPr="00781112" w:rsidRDefault="0094481B" w:rsidP="004E5C74">
            <w:pPr>
              <w:jc w:val="center"/>
              <w:rPr>
                <w:rFonts w:cs="Arial"/>
                <w:color w:val="000000" w:themeColor="text1"/>
                <w:szCs w:val="16"/>
              </w:rPr>
            </w:pPr>
            <w:r w:rsidRPr="00781112">
              <w:rPr>
                <w:rFonts w:cs="Arial"/>
                <w:color w:val="000000" w:themeColor="text1"/>
                <w:szCs w:val="16"/>
              </w:rPr>
              <w:t>27.00%</w:t>
            </w:r>
          </w:p>
        </w:tc>
      </w:tr>
      <w:tr w:rsidR="0094481B" w:rsidRPr="00781112" w14:paraId="6BD665D1" w14:textId="5FDF63E7" w:rsidTr="00FE4611">
        <w:tc>
          <w:tcPr>
            <w:tcW w:w="830" w:type="pct"/>
            <w:shd w:val="clear" w:color="auto" w:fill="auto"/>
            <w:vAlign w:val="center"/>
          </w:tcPr>
          <w:p w14:paraId="2A84087F" w14:textId="4E8F4953"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2646C0D6" w14:textId="23685D27"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B &gt;=</w:t>
            </w:r>
          </w:p>
        </w:tc>
        <w:tc>
          <w:tcPr>
            <w:tcW w:w="834" w:type="pct"/>
            <w:shd w:val="clear" w:color="auto" w:fill="auto"/>
            <w:vAlign w:val="center"/>
          </w:tcPr>
          <w:p w14:paraId="67079A1D" w14:textId="08C9FD02"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03609D46" w14:textId="75CA57B6" w:rsidR="0094481B" w:rsidRPr="00781112" w:rsidRDefault="0094481B" w:rsidP="004E5C74">
            <w:pPr>
              <w:jc w:val="center"/>
              <w:rPr>
                <w:rFonts w:cs="Arial"/>
                <w:color w:val="000000" w:themeColor="text1"/>
                <w:szCs w:val="16"/>
              </w:rPr>
            </w:pPr>
            <w:r w:rsidRPr="00781112">
              <w:rPr>
                <w:rFonts w:cs="Arial"/>
                <w:color w:val="000000" w:themeColor="text1"/>
                <w:szCs w:val="16"/>
              </w:rPr>
              <w:t>15.73%</w:t>
            </w:r>
          </w:p>
        </w:tc>
        <w:tc>
          <w:tcPr>
            <w:tcW w:w="834" w:type="pct"/>
            <w:vAlign w:val="center"/>
          </w:tcPr>
          <w:p w14:paraId="08D72C36" w14:textId="2621CBFF" w:rsidR="0094481B" w:rsidRPr="00781112" w:rsidRDefault="0094481B" w:rsidP="004E5C74">
            <w:pPr>
              <w:jc w:val="center"/>
              <w:rPr>
                <w:rFonts w:cs="Arial"/>
                <w:color w:val="000000" w:themeColor="text1"/>
                <w:szCs w:val="16"/>
              </w:rPr>
            </w:pPr>
            <w:r w:rsidRPr="00781112">
              <w:rPr>
                <w:rFonts w:cs="Arial"/>
                <w:color w:val="000000" w:themeColor="text1"/>
                <w:szCs w:val="16"/>
              </w:rPr>
              <w:t>15.84%</w:t>
            </w:r>
          </w:p>
        </w:tc>
        <w:tc>
          <w:tcPr>
            <w:tcW w:w="834" w:type="pct"/>
            <w:vAlign w:val="center"/>
          </w:tcPr>
          <w:p w14:paraId="60E9FAA2" w14:textId="0E1508C1" w:rsidR="0094481B" w:rsidRPr="00781112" w:rsidRDefault="0094481B" w:rsidP="004E5C74">
            <w:pPr>
              <w:jc w:val="center"/>
              <w:rPr>
                <w:rFonts w:cs="Arial"/>
                <w:color w:val="000000" w:themeColor="text1"/>
                <w:szCs w:val="16"/>
              </w:rPr>
            </w:pPr>
            <w:r w:rsidRPr="00781112">
              <w:rPr>
                <w:rFonts w:cs="Arial"/>
                <w:color w:val="000000" w:themeColor="text1"/>
                <w:szCs w:val="16"/>
              </w:rPr>
              <w:t>15.94%</w:t>
            </w:r>
          </w:p>
        </w:tc>
      </w:tr>
      <w:tr w:rsidR="0094481B" w:rsidRPr="00781112" w14:paraId="7A08D372" w14:textId="5FBBCE88" w:rsidTr="00FE4611">
        <w:tc>
          <w:tcPr>
            <w:tcW w:w="830" w:type="pct"/>
            <w:shd w:val="clear" w:color="auto" w:fill="auto"/>
            <w:vAlign w:val="center"/>
          </w:tcPr>
          <w:p w14:paraId="3C8DF435" w14:textId="69FCCDF1"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Reading</w:t>
            </w:r>
          </w:p>
        </w:tc>
        <w:tc>
          <w:tcPr>
            <w:tcW w:w="834" w:type="pct"/>
            <w:shd w:val="clear" w:color="auto" w:fill="auto"/>
            <w:vAlign w:val="center"/>
          </w:tcPr>
          <w:p w14:paraId="2CDE7790" w14:textId="3B90C904"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C &gt;=</w:t>
            </w:r>
          </w:p>
        </w:tc>
        <w:tc>
          <w:tcPr>
            <w:tcW w:w="834" w:type="pct"/>
            <w:shd w:val="clear" w:color="auto" w:fill="auto"/>
            <w:vAlign w:val="center"/>
          </w:tcPr>
          <w:p w14:paraId="69727A60" w14:textId="2476755A"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D9D8EC6" w14:textId="3C7C8315" w:rsidR="0094481B" w:rsidRPr="00781112" w:rsidRDefault="0094481B" w:rsidP="004E5C74">
            <w:pPr>
              <w:jc w:val="center"/>
              <w:rPr>
                <w:rFonts w:cs="Arial"/>
                <w:color w:val="000000" w:themeColor="text1"/>
                <w:szCs w:val="16"/>
              </w:rPr>
            </w:pPr>
            <w:r w:rsidRPr="00781112">
              <w:rPr>
                <w:rFonts w:cs="Arial"/>
                <w:color w:val="000000" w:themeColor="text1"/>
                <w:szCs w:val="16"/>
              </w:rPr>
              <w:t>27.53%</w:t>
            </w:r>
          </w:p>
        </w:tc>
        <w:tc>
          <w:tcPr>
            <w:tcW w:w="834" w:type="pct"/>
            <w:vAlign w:val="center"/>
          </w:tcPr>
          <w:p w14:paraId="6F53672D" w14:textId="674E45B1" w:rsidR="0094481B" w:rsidRPr="00781112" w:rsidRDefault="0094481B" w:rsidP="004E5C74">
            <w:pPr>
              <w:jc w:val="center"/>
              <w:rPr>
                <w:rFonts w:cs="Arial"/>
                <w:color w:val="000000" w:themeColor="text1"/>
                <w:szCs w:val="16"/>
              </w:rPr>
            </w:pPr>
            <w:r w:rsidRPr="00781112">
              <w:rPr>
                <w:rFonts w:cs="Arial"/>
                <w:color w:val="000000" w:themeColor="text1"/>
                <w:szCs w:val="16"/>
              </w:rPr>
              <w:t>28.24%</w:t>
            </w:r>
          </w:p>
        </w:tc>
        <w:tc>
          <w:tcPr>
            <w:tcW w:w="834" w:type="pct"/>
            <w:vAlign w:val="center"/>
          </w:tcPr>
          <w:p w14:paraId="1E839895" w14:textId="3633076A" w:rsidR="0094481B" w:rsidRPr="00781112" w:rsidRDefault="0094481B" w:rsidP="004E5C74">
            <w:pPr>
              <w:jc w:val="center"/>
              <w:rPr>
                <w:rFonts w:cs="Arial"/>
                <w:color w:val="000000" w:themeColor="text1"/>
                <w:szCs w:val="16"/>
              </w:rPr>
            </w:pPr>
            <w:r w:rsidRPr="00781112">
              <w:rPr>
                <w:rFonts w:cs="Arial"/>
                <w:color w:val="000000" w:themeColor="text1"/>
                <w:szCs w:val="16"/>
              </w:rPr>
              <w:t>28.94%</w:t>
            </w:r>
          </w:p>
        </w:tc>
      </w:tr>
      <w:tr w:rsidR="0094481B" w:rsidRPr="00781112" w14:paraId="734BCCC4" w14:textId="02B757A8" w:rsidTr="00FE4611">
        <w:tc>
          <w:tcPr>
            <w:tcW w:w="830" w:type="pct"/>
            <w:shd w:val="clear" w:color="auto" w:fill="auto"/>
            <w:vAlign w:val="center"/>
          </w:tcPr>
          <w:p w14:paraId="20286AC8" w14:textId="018C9C4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185C8DA8" w14:textId="6254892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A &gt;=</w:t>
            </w:r>
          </w:p>
        </w:tc>
        <w:tc>
          <w:tcPr>
            <w:tcW w:w="834" w:type="pct"/>
            <w:shd w:val="clear" w:color="auto" w:fill="auto"/>
            <w:vAlign w:val="center"/>
          </w:tcPr>
          <w:p w14:paraId="16FD84A2" w14:textId="1BD2010B"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0005999A" w14:textId="601F796F" w:rsidR="0094481B" w:rsidRPr="00781112" w:rsidRDefault="0094481B" w:rsidP="004E5C74">
            <w:pPr>
              <w:jc w:val="center"/>
              <w:rPr>
                <w:rFonts w:cs="Arial"/>
                <w:color w:val="000000" w:themeColor="text1"/>
                <w:szCs w:val="16"/>
              </w:rPr>
            </w:pPr>
            <w:r w:rsidRPr="00781112">
              <w:rPr>
                <w:rFonts w:cs="Arial"/>
                <w:color w:val="000000" w:themeColor="text1"/>
                <w:szCs w:val="16"/>
              </w:rPr>
              <w:t>20.10%</w:t>
            </w:r>
          </w:p>
        </w:tc>
        <w:tc>
          <w:tcPr>
            <w:tcW w:w="834" w:type="pct"/>
            <w:vAlign w:val="center"/>
          </w:tcPr>
          <w:p w14:paraId="2ADA59C0" w14:textId="7F027C54" w:rsidR="0094481B" w:rsidRPr="00781112" w:rsidRDefault="0094481B" w:rsidP="004E5C74">
            <w:pPr>
              <w:jc w:val="center"/>
              <w:rPr>
                <w:rFonts w:cs="Arial"/>
                <w:color w:val="000000" w:themeColor="text1"/>
                <w:szCs w:val="16"/>
              </w:rPr>
            </w:pPr>
            <w:r w:rsidRPr="00781112">
              <w:rPr>
                <w:rFonts w:cs="Arial"/>
                <w:color w:val="000000" w:themeColor="text1"/>
                <w:szCs w:val="16"/>
              </w:rPr>
              <w:t>20.29%</w:t>
            </w:r>
          </w:p>
        </w:tc>
        <w:tc>
          <w:tcPr>
            <w:tcW w:w="834" w:type="pct"/>
            <w:vAlign w:val="center"/>
          </w:tcPr>
          <w:p w14:paraId="63258519" w14:textId="524B5DC2" w:rsidR="0094481B" w:rsidRPr="00781112" w:rsidRDefault="0094481B" w:rsidP="004E5C74">
            <w:pPr>
              <w:jc w:val="center"/>
              <w:rPr>
                <w:rFonts w:cs="Arial"/>
                <w:color w:val="000000" w:themeColor="text1"/>
                <w:szCs w:val="16"/>
              </w:rPr>
            </w:pPr>
            <w:r w:rsidRPr="00781112">
              <w:rPr>
                <w:rFonts w:cs="Arial"/>
                <w:color w:val="000000" w:themeColor="text1"/>
                <w:szCs w:val="16"/>
              </w:rPr>
              <w:t>20.48%</w:t>
            </w:r>
          </w:p>
        </w:tc>
      </w:tr>
      <w:tr w:rsidR="0094481B" w:rsidRPr="00781112" w14:paraId="26043383" w14:textId="3D057A6F" w:rsidTr="00FE4611">
        <w:tc>
          <w:tcPr>
            <w:tcW w:w="830" w:type="pct"/>
            <w:shd w:val="clear" w:color="auto" w:fill="auto"/>
            <w:vAlign w:val="center"/>
          </w:tcPr>
          <w:p w14:paraId="2BCD3006" w14:textId="785241B2"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79B80F0C" w14:textId="52C31857"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B &gt;=</w:t>
            </w:r>
          </w:p>
        </w:tc>
        <w:tc>
          <w:tcPr>
            <w:tcW w:w="834" w:type="pct"/>
            <w:shd w:val="clear" w:color="auto" w:fill="auto"/>
            <w:vAlign w:val="center"/>
          </w:tcPr>
          <w:p w14:paraId="27B1E35D" w14:textId="336183AA"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25263A65" w14:textId="2189A9FC" w:rsidR="0094481B" w:rsidRPr="00781112" w:rsidRDefault="0094481B" w:rsidP="004E5C74">
            <w:pPr>
              <w:jc w:val="center"/>
              <w:rPr>
                <w:rFonts w:cs="Arial"/>
                <w:color w:val="000000" w:themeColor="text1"/>
                <w:szCs w:val="16"/>
              </w:rPr>
            </w:pPr>
            <w:r w:rsidRPr="00781112">
              <w:rPr>
                <w:rFonts w:cs="Arial"/>
                <w:color w:val="000000" w:themeColor="text1"/>
                <w:szCs w:val="16"/>
              </w:rPr>
              <w:t>9.75%</w:t>
            </w:r>
          </w:p>
        </w:tc>
        <w:tc>
          <w:tcPr>
            <w:tcW w:w="834" w:type="pct"/>
            <w:vAlign w:val="center"/>
          </w:tcPr>
          <w:p w14:paraId="558D49D9" w14:textId="56776B71" w:rsidR="0094481B" w:rsidRPr="00781112" w:rsidRDefault="0094481B" w:rsidP="004E5C74">
            <w:pPr>
              <w:jc w:val="center"/>
              <w:rPr>
                <w:rFonts w:cs="Arial"/>
                <w:color w:val="000000" w:themeColor="text1"/>
                <w:szCs w:val="16"/>
              </w:rPr>
            </w:pPr>
            <w:r w:rsidRPr="00781112">
              <w:rPr>
                <w:rFonts w:cs="Arial"/>
                <w:color w:val="000000" w:themeColor="text1"/>
                <w:szCs w:val="16"/>
              </w:rPr>
              <w:t>10.04%</w:t>
            </w:r>
          </w:p>
        </w:tc>
        <w:tc>
          <w:tcPr>
            <w:tcW w:w="834" w:type="pct"/>
            <w:vAlign w:val="center"/>
          </w:tcPr>
          <w:p w14:paraId="529C7F25" w14:textId="45E82B2D" w:rsidR="0094481B" w:rsidRPr="00781112" w:rsidRDefault="0094481B" w:rsidP="004E5C74">
            <w:pPr>
              <w:jc w:val="center"/>
              <w:rPr>
                <w:rFonts w:cs="Arial"/>
                <w:color w:val="000000" w:themeColor="text1"/>
                <w:szCs w:val="16"/>
              </w:rPr>
            </w:pPr>
            <w:r w:rsidRPr="00781112">
              <w:rPr>
                <w:rFonts w:cs="Arial"/>
                <w:color w:val="000000" w:themeColor="text1"/>
                <w:szCs w:val="16"/>
              </w:rPr>
              <w:t>10.32%</w:t>
            </w:r>
          </w:p>
        </w:tc>
      </w:tr>
      <w:tr w:rsidR="0094481B" w:rsidRPr="00781112" w14:paraId="169D5323" w14:textId="1CB4A506" w:rsidTr="00FE4611">
        <w:tc>
          <w:tcPr>
            <w:tcW w:w="830" w:type="pct"/>
            <w:shd w:val="clear" w:color="auto" w:fill="auto"/>
            <w:vAlign w:val="center"/>
          </w:tcPr>
          <w:p w14:paraId="21DAE194" w14:textId="06AF539C"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Math</w:t>
            </w:r>
          </w:p>
        </w:tc>
        <w:tc>
          <w:tcPr>
            <w:tcW w:w="834" w:type="pct"/>
            <w:shd w:val="clear" w:color="auto" w:fill="auto"/>
            <w:vAlign w:val="center"/>
          </w:tcPr>
          <w:p w14:paraId="650CB8D7" w14:textId="080D022D" w:rsidR="0094481B" w:rsidRPr="00781112" w:rsidRDefault="0094481B" w:rsidP="004E5C74">
            <w:pPr>
              <w:spacing w:before="0" w:after="0"/>
              <w:jc w:val="center"/>
              <w:rPr>
                <w:rFonts w:cs="Arial"/>
                <w:color w:val="000000" w:themeColor="text1"/>
                <w:szCs w:val="16"/>
              </w:rPr>
            </w:pPr>
            <w:r w:rsidRPr="00781112">
              <w:rPr>
                <w:rFonts w:cs="Arial"/>
                <w:color w:val="000000" w:themeColor="text1"/>
                <w:szCs w:val="16"/>
              </w:rPr>
              <w:t>C &gt;=</w:t>
            </w:r>
          </w:p>
        </w:tc>
        <w:tc>
          <w:tcPr>
            <w:tcW w:w="834" w:type="pct"/>
            <w:shd w:val="clear" w:color="auto" w:fill="auto"/>
            <w:vAlign w:val="center"/>
          </w:tcPr>
          <w:p w14:paraId="45DBFB21" w14:textId="372229DD" w:rsidR="0094481B" w:rsidRPr="00781112" w:rsidDel="00DB0A73" w:rsidRDefault="0094481B" w:rsidP="004E5C74">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341BF449" w14:textId="76191C29" w:rsidR="0094481B" w:rsidRPr="00781112" w:rsidRDefault="0094481B" w:rsidP="004E5C74">
            <w:pPr>
              <w:jc w:val="center"/>
              <w:rPr>
                <w:rFonts w:cs="Arial"/>
                <w:color w:val="000000" w:themeColor="text1"/>
                <w:szCs w:val="16"/>
              </w:rPr>
            </w:pPr>
            <w:r w:rsidRPr="00781112">
              <w:rPr>
                <w:rFonts w:cs="Arial"/>
                <w:color w:val="000000" w:themeColor="text1"/>
                <w:szCs w:val="16"/>
              </w:rPr>
              <w:t>6.12%</w:t>
            </w:r>
          </w:p>
        </w:tc>
        <w:tc>
          <w:tcPr>
            <w:tcW w:w="834" w:type="pct"/>
            <w:vAlign w:val="center"/>
          </w:tcPr>
          <w:p w14:paraId="5424FF66" w14:textId="7AB6DE06" w:rsidR="0094481B" w:rsidRPr="00781112" w:rsidRDefault="0094481B" w:rsidP="004E5C74">
            <w:pPr>
              <w:jc w:val="center"/>
              <w:rPr>
                <w:rFonts w:cs="Arial"/>
                <w:color w:val="000000" w:themeColor="text1"/>
                <w:szCs w:val="16"/>
              </w:rPr>
            </w:pPr>
            <w:r w:rsidRPr="00781112">
              <w:rPr>
                <w:rFonts w:cs="Arial"/>
                <w:color w:val="000000" w:themeColor="text1"/>
                <w:szCs w:val="16"/>
              </w:rPr>
              <w:t>6.39%</w:t>
            </w:r>
          </w:p>
        </w:tc>
        <w:tc>
          <w:tcPr>
            <w:tcW w:w="834" w:type="pct"/>
            <w:vAlign w:val="center"/>
          </w:tcPr>
          <w:p w14:paraId="552DC3D3" w14:textId="79B2C0C8" w:rsidR="0094481B" w:rsidRPr="00781112" w:rsidRDefault="0094481B" w:rsidP="004E5C74">
            <w:pPr>
              <w:jc w:val="center"/>
              <w:rPr>
                <w:rFonts w:cs="Arial"/>
                <w:color w:val="000000" w:themeColor="text1"/>
                <w:szCs w:val="16"/>
              </w:rPr>
            </w:pPr>
            <w:r w:rsidRPr="00781112">
              <w:rPr>
                <w:rFonts w:cs="Arial"/>
                <w:color w:val="000000" w:themeColor="text1"/>
                <w:szCs w:val="16"/>
              </w:rPr>
              <w:t>6.65%</w:t>
            </w:r>
          </w:p>
        </w:tc>
      </w:tr>
    </w:tbl>
    <w:p w14:paraId="102C9294" w14:textId="426FC0A1" w:rsidR="002D145D" w:rsidRPr="00781112" w:rsidRDefault="002D145D" w:rsidP="004369B2">
      <w:pPr>
        <w:rPr>
          <w:b/>
          <w:color w:val="000000" w:themeColor="text1"/>
        </w:rPr>
      </w:pPr>
      <w:r w:rsidRPr="00781112">
        <w:rPr>
          <w:b/>
          <w:color w:val="000000" w:themeColor="text1"/>
        </w:rPr>
        <w:t xml:space="preserve">Targets: Description of Stakeholder Input </w:t>
      </w:r>
    </w:p>
    <w:p w14:paraId="18FFE566" w14:textId="1BC11D3C" w:rsidR="002D145D" w:rsidRPr="00781112" w:rsidRDefault="002B7490" w:rsidP="002D145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w:t>
      </w:r>
      <w:r w:rsidRPr="00781112">
        <w:rPr>
          <w:rFonts w:cs="Arial"/>
          <w:color w:val="000000" w:themeColor="text1"/>
          <w:szCs w:val="16"/>
        </w:rPr>
        <w:lastRenderedPageBreak/>
        <w:t xml:space="preserve">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2C104549" w14:textId="03A0AB0D" w:rsidR="002D145D" w:rsidRPr="00781112" w:rsidRDefault="002D145D" w:rsidP="002D145D">
      <w:pPr>
        <w:rPr>
          <w:rFonts w:cs="Arial"/>
          <w:color w:val="000000" w:themeColor="text1"/>
          <w:szCs w:val="16"/>
        </w:rPr>
      </w:pPr>
    </w:p>
    <w:p w14:paraId="2446B7C2" w14:textId="77777777" w:rsidR="00F20369" w:rsidRPr="00781112" w:rsidRDefault="00F20369" w:rsidP="004369B2">
      <w:pPr>
        <w:rPr>
          <w:color w:val="000000" w:themeColor="text1"/>
        </w:rPr>
      </w:pPr>
      <w:bookmarkStart w:id="15" w:name="_Toc392159273"/>
    </w:p>
    <w:p w14:paraId="2F64E7B3" w14:textId="5A2175D9" w:rsidR="00344AE0" w:rsidRPr="00781112" w:rsidRDefault="00FA33C9">
      <w:pPr>
        <w:rPr>
          <w:b/>
          <w:color w:val="000000" w:themeColor="text1"/>
        </w:rPr>
      </w:pPr>
      <w:r>
        <w:rPr>
          <w:b/>
          <w:color w:val="000000" w:themeColor="text1"/>
        </w:rPr>
        <w:t>FFY 2023 Data Disaggregation from ED</w:t>
      </w:r>
      <w:r w:rsidRPr="00BA3DBE">
        <w:rPr>
          <w:b/>
          <w:i/>
          <w:iCs/>
          <w:color w:val="000000" w:themeColor="text1"/>
        </w:rPr>
        <w:t>Facts</w:t>
      </w:r>
    </w:p>
    <w:p w14:paraId="6BDCF123"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Data Source:  </w:t>
      </w:r>
    </w:p>
    <w:p w14:paraId="5EBDA348" w14:textId="24968275" w:rsidR="00C470E8" w:rsidRPr="00781112" w:rsidRDefault="002B7490" w:rsidP="00552927">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435988E5" w14:textId="77777777" w:rsidR="00C01339" w:rsidRPr="00781112" w:rsidRDefault="00344AE0" w:rsidP="00552927">
      <w:pPr>
        <w:rPr>
          <w:rFonts w:cs="Arial"/>
          <w:b/>
          <w:color w:val="000000" w:themeColor="text1"/>
          <w:szCs w:val="16"/>
        </w:rPr>
      </w:pPr>
      <w:r w:rsidRPr="00781112">
        <w:rPr>
          <w:rFonts w:cs="Arial"/>
          <w:b/>
          <w:color w:val="000000" w:themeColor="text1"/>
          <w:szCs w:val="16"/>
        </w:rPr>
        <w:t xml:space="preserve">Date: </w:t>
      </w:r>
    </w:p>
    <w:p w14:paraId="1E2D8106" w14:textId="34AD25B1" w:rsidR="00344AE0" w:rsidRPr="00781112" w:rsidRDefault="002B7490" w:rsidP="00552927">
      <w:pPr>
        <w:rPr>
          <w:rFonts w:cs="Arial"/>
          <w:color w:val="000000" w:themeColor="text1"/>
          <w:szCs w:val="16"/>
        </w:rPr>
      </w:pPr>
      <w:r w:rsidRPr="00781112">
        <w:rPr>
          <w:rFonts w:cs="Arial"/>
          <w:color w:val="000000" w:themeColor="text1"/>
          <w:szCs w:val="16"/>
        </w:rPr>
        <w:t>01/08/2025</w:t>
      </w:r>
    </w:p>
    <w:p w14:paraId="59BC6B2E" w14:textId="5FAC9B9E" w:rsidR="009D0D68" w:rsidRPr="00781112" w:rsidRDefault="00FE2056">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BASSPARTDATABYGRDRLA"/>
      </w:tblPr>
      <w:tblGrid>
        <w:gridCol w:w="2426"/>
        <w:gridCol w:w="2788"/>
        <w:gridCol w:w="2788"/>
        <w:gridCol w:w="2788"/>
      </w:tblGrid>
      <w:tr w:rsidR="00BB2745" w:rsidRPr="00781112" w14:paraId="35CB1461" w14:textId="77777777" w:rsidTr="009E026B">
        <w:tc>
          <w:tcPr>
            <w:tcW w:w="1124" w:type="pct"/>
            <w:shd w:val="clear" w:color="auto" w:fill="auto"/>
          </w:tcPr>
          <w:p w14:paraId="39D40F16" w14:textId="18178F77" w:rsidR="00BB2745" w:rsidRPr="00781112" w:rsidRDefault="00835EAD" w:rsidP="00BB2745">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17538CC6" w14:textId="5AE78718" w:rsidR="00BB2745" w:rsidRPr="00781112" w:rsidRDefault="00BB2745"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7B4C40DF" w14:textId="7F368CC4" w:rsidR="00BB2745" w:rsidRPr="00781112" w:rsidRDefault="00BB2745"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3761AD03" w14:textId="6AC32E5E" w:rsidR="00BB2745" w:rsidRPr="00781112" w:rsidRDefault="00BB2745" w:rsidP="00E14CF0">
            <w:pPr>
              <w:jc w:val="center"/>
              <w:rPr>
                <w:rFonts w:cs="Arial"/>
                <w:b/>
                <w:bCs/>
                <w:color w:val="000000" w:themeColor="text1"/>
                <w:szCs w:val="16"/>
              </w:rPr>
            </w:pPr>
            <w:r w:rsidRPr="00781112">
              <w:rPr>
                <w:rFonts w:cs="Arial"/>
                <w:b/>
                <w:bCs/>
                <w:color w:val="000000" w:themeColor="text1"/>
                <w:szCs w:val="16"/>
              </w:rPr>
              <w:t>Grade HS</w:t>
            </w:r>
          </w:p>
        </w:tc>
      </w:tr>
      <w:tr w:rsidR="003B0C91" w:rsidRPr="00781112" w14:paraId="568B2C00" w14:textId="77777777" w:rsidTr="009E026B">
        <w:tc>
          <w:tcPr>
            <w:tcW w:w="1124" w:type="pct"/>
            <w:shd w:val="clear" w:color="auto" w:fill="auto"/>
          </w:tcPr>
          <w:p w14:paraId="4AD99060" w14:textId="5CD6AD07" w:rsidR="003B0C91" w:rsidRPr="00781112" w:rsidRDefault="003B0C91" w:rsidP="003B0C91">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17848320" w14:textId="2D89B216" w:rsidR="003B0C91" w:rsidRPr="00781112" w:rsidRDefault="003B0C91" w:rsidP="00360DD6">
            <w:pPr>
              <w:jc w:val="center"/>
              <w:rPr>
                <w:rFonts w:cs="Arial"/>
                <w:color w:val="000000" w:themeColor="text1"/>
                <w:szCs w:val="16"/>
              </w:rPr>
            </w:pPr>
            <w:r w:rsidRPr="00781112">
              <w:rPr>
                <w:rFonts w:cs="Arial"/>
                <w:color w:val="000000" w:themeColor="text1"/>
                <w:szCs w:val="16"/>
              </w:rPr>
              <w:t>6,180</w:t>
            </w:r>
          </w:p>
        </w:tc>
        <w:tc>
          <w:tcPr>
            <w:tcW w:w="1292" w:type="pct"/>
            <w:shd w:val="clear" w:color="auto" w:fill="auto"/>
            <w:vAlign w:val="center"/>
          </w:tcPr>
          <w:p w14:paraId="51A72AB5" w14:textId="4469B046" w:rsidR="003B0C91" w:rsidRPr="00781112" w:rsidRDefault="003B0C91" w:rsidP="00360DD6">
            <w:pPr>
              <w:jc w:val="center"/>
              <w:rPr>
                <w:rFonts w:cs="Arial"/>
                <w:color w:val="000000" w:themeColor="text1"/>
                <w:szCs w:val="16"/>
              </w:rPr>
            </w:pPr>
            <w:r w:rsidRPr="00781112">
              <w:rPr>
                <w:rFonts w:cs="Arial"/>
                <w:color w:val="000000" w:themeColor="text1"/>
                <w:szCs w:val="16"/>
              </w:rPr>
              <w:t>5,204</w:t>
            </w:r>
          </w:p>
        </w:tc>
        <w:tc>
          <w:tcPr>
            <w:tcW w:w="1292" w:type="pct"/>
            <w:shd w:val="clear" w:color="auto" w:fill="auto"/>
            <w:vAlign w:val="center"/>
          </w:tcPr>
          <w:p w14:paraId="151E318E" w14:textId="46F9C307" w:rsidR="003B0C91" w:rsidRPr="00781112" w:rsidRDefault="003B0C91" w:rsidP="00360DD6">
            <w:pPr>
              <w:jc w:val="center"/>
              <w:rPr>
                <w:rFonts w:cs="Arial"/>
                <w:color w:val="000000" w:themeColor="text1"/>
                <w:szCs w:val="16"/>
              </w:rPr>
            </w:pPr>
            <w:r w:rsidRPr="00781112">
              <w:rPr>
                <w:rFonts w:cs="Arial"/>
                <w:color w:val="000000" w:themeColor="text1"/>
                <w:szCs w:val="16"/>
              </w:rPr>
              <w:t>3,416</w:t>
            </w:r>
          </w:p>
        </w:tc>
      </w:tr>
      <w:tr w:rsidR="003B0C91" w:rsidRPr="00781112" w14:paraId="4F287E15" w14:textId="77777777" w:rsidTr="009E026B">
        <w:tc>
          <w:tcPr>
            <w:tcW w:w="1124" w:type="pct"/>
            <w:shd w:val="clear" w:color="auto" w:fill="auto"/>
          </w:tcPr>
          <w:p w14:paraId="3423EDAB" w14:textId="76BBADB8" w:rsidR="003B0C91" w:rsidRPr="00781112" w:rsidRDefault="003B0C91" w:rsidP="003B0C91">
            <w:pPr>
              <w:rPr>
                <w:rFonts w:cs="Arial"/>
                <w:color w:val="000000" w:themeColor="text1"/>
                <w:szCs w:val="16"/>
              </w:rPr>
            </w:pPr>
            <w:r w:rsidRPr="00781112">
              <w:rPr>
                <w:rFonts w:cs="Arial"/>
                <w:szCs w:val="16"/>
                <w:shd w:val="clear" w:color="auto" w:fill="FFFFFF"/>
              </w:rPr>
              <w:t xml:space="preserve">b. </w:t>
            </w:r>
            <w:r w:rsidR="005527CB">
              <w:rPr>
                <w:rFonts w:cs="Arial"/>
                <w:color w:val="000000" w:themeColor="text1"/>
                <w:szCs w:val="16"/>
              </w:rPr>
              <w:t xml:space="preserve">Children with </w:t>
            </w:r>
            <w:r w:rsidRPr="00781112">
              <w:rPr>
                <w:rFonts w:cs="Arial"/>
                <w:szCs w:val="16"/>
                <w:shd w:val="clear" w:color="auto" w:fill="FFFFFF"/>
              </w:rPr>
              <w:t>IEPs in regular assessment with no accommodations scored at or above proficient against grade level</w:t>
            </w:r>
          </w:p>
        </w:tc>
        <w:tc>
          <w:tcPr>
            <w:tcW w:w="1292" w:type="pct"/>
            <w:shd w:val="clear" w:color="auto" w:fill="auto"/>
            <w:vAlign w:val="center"/>
          </w:tcPr>
          <w:p w14:paraId="616181A6" w14:textId="2B02EF7A" w:rsidR="003B0C91" w:rsidRPr="00781112" w:rsidRDefault="003B0C91" w:rsidP="00360DD6">
            <w:pPr>
              <w:jc w:val="center"/>
              <w:rPr>
                <w:rFonts w:cs="Arial"/>
                <w:color w:val="000000" w:themeColor="text1"/>
                <w:szCs w:val="16"/>
              </w:rPr>
            </w:pPr>
            <w:r w:rsidRPr="00781112">
              <w:rPr>
                <w:rFonts w:cs="Arial"/>
                <w:color w:val="000000" w:themeColor="text1"/>
                <w:szCs w:val="16"/>
              </w:rPr>
              <w:t>1,092</w:t>
            </w:r>
          </w:p>
        </w:tc>
        <w:tc>
          <w:tcPr>
            <w:tcW w:w="1292" w:type="pct"/>
            <w:shd w:val="clear" w:color="auto" w:fill="auto"/>
            <w:vAlign w:val="center"/>
          </w:tcPr>
          <w:p w14:paraId="74B7B6E9" w14:textId="4E36B377" w:rsidR="003B0C91" w:rsidRPr="00781112" w:rsidRDefault="003B0C91" w:rsidP="00360DD6">
            <w:pPr>
              <w:jc w:val="center"/>
              <w:rPr>
                <w:rFonts w:cs="Arial"/>
                <w:color w:val="000000" w:themeColor="text1"/>
                <w:szCs w:val="16"/>
              </w:rPr>
            </w:pPr>
            <w:r w:rsidRPr="00781112">
              <w:rPr>
                <w:rFonts w:cs="Arial"/>
                <w:color w:val="000000" w:themeColor="text1"/>
                <w:szCs w:val="16"/>
              </w:rPr>
              <w:t>526</w:t>
            </w:r>
          </w:p>
        </w:tc>
        <w:tc>
          <w:tcPr>
            <w:tcW w:w="1292" w:type="pct"/>
            <w:shd w:val="clear" w:color="auto" w:fill="auto"/>
            <w:vAlign w:val="center"/>
          </w:tcPr>
          <w:p w14:paraId="46F10147" w14:textId="1408D78A" w:rsidR="003B0C91" w:rsidRPr="00781112" w:rsidRDefault="003B0C91" w:rsidP="00360DD6">
            <w:pPr>
              <w:jc w:val="center"/>
              <w:rPr>
                <w:rFonts w:cs="Arial"/>
                <w:color w:val="000000" w:themeColor="text1"/>
                <w:szCs w:val="16"/>
              </w:rPr>
            </w:pPr>
            <w:r w:rsidRPr="00781112">
              <w:rPr>
                <w:rFonts w:cs="Arial"/>
                <w:color w:val="000000" w:themeColor="text1"/>
                <w:szCs w:val="16"/>
              </w:rPr>
              <w:t>475</w:t>
            </w:r>
          </w:p>
        </w:tc>
      </w:tr>
      <w:tr w:rsidR="003B0C91" w:rsidRPr="00781112" w14:paraId="41239D5E" w14:textId="77777777" w:rsidTr="009E026B">
        <w:tc>
          <w:tcPr>
            <w:tcW w:w="1124" w:type="pct"/>
            <w:shd w:val="clear" w:color="auto" w:fill="auto"/>
          </w:tcPr>
          <w:p w14:paraId="5F79CC0F" w14:textId="181C3E67" w:rsidR="003B0C91" w:rsidRPr="00781112" w:rsidRDefault="003B0C91" w:rsidP="003B0C91">
            <w:pPr>
              <w:rPr>
                <w:rFonts w:cs="Arial"/>
                <w:color w:val="000000" w:themeColor="text1"/>
                <w:szCs w:val="16"/>
              </w:rPr>
            </w:pPr>
            <w:r w:rsidRPr="00781112">
              <w:rPr>
                <w:rFonts w:cs="Arial"/>
                <w:szCs w:val="16"/>
                <w:shd w:val="clear" w:color="auto" w:fill="FFFFFF"/>
              </w:rPr>
              <w:t xml:space="preserve">c. </w:t>
            </w:r>
            <w:r w:rsidR="005527CB">
              <w:rPr>
                <w:rFonts w:cs="Arial"/>
                <w:color w:val="000000" w:themeColor="text1"/>
                <w:szCs w:val="16"/>
              </w:rPr>
              <w:t xml:space="preserve">Children with </w:t>
            </w:r>
            <w:r w:rsidRPr="00781112">
              <w:rPr>
                <w:rFonts w:cs="Arial"/>
                <w:szCs w:val="16"/>
                <w:shd w:val="clear" w:color="auto" w:fill="FFFFFF"/>
              </w:rPr>
              <w:t>IEPs in regular assessment with accommodations scored at or above proficient against grade level</w:t>
            </w:r>
          </w:p>
        </w:tc>
        <w:tc>
          <w:tcPr>
            <w:tcW w:w="1292" w:type="pct"/>
            <w:shd w:val="clear" w:color="auto" w:fill="auto"/>
            <w:vAlign w:val="center"/>
          </w:tcPr>
          <w:p w14:paraId="5E9652E2" w14:textId="24316F52" w:rsidR="003B0C91" w:rsidRPr="00781112" w:rsidRDefault="003B0C91" w:rsidP="00360DD6">
            <w:pPr>
              <w:jc w:val="center"/>
              <w:rPr>
                <w:rFonts w:cs="Arial"/>
                <w:color w:val="000000" w:themeColor="text1"/>
                <w:szCs w:val="16"/>
              </w:rPr>
            </w:pPr>
            <w:r w:rsidRPr="00781112">
              <w:rPr>
                <w:rFonts w:cs="Arial"/>
                <w:color w:val="000000" w:themeColor="text1"/>
                <w:szCs w:val="16"/>
              </w:rPr>
              <w:t>151</w:t>
            </w:r>
          </w:p>
        </w:tc>
        <w:tc>
          <w:tcPr>
            <w:tcW w:w="1292" w:type="pct"/>
            <w:shd w:val="clear" w:color="auto" w:fill="auto"/>
            <w:vAlign w:val="center"/>
          </w:tcPr>
          <w:p w14:paraId="47F69679" w14:textId="3EDB1646" w:rsidR="003B0C91" w:rsidRPr="00781112" w:rsidRDefault="003B0C91" w:rsidP="00360DD6">
            <w:pPr>
              <w:jc w:val="center"/>
              <w:rPr>
                <w:rFonts w:cs="Arial"/>
                <w:color w:val="000000" w:themeColor="text1"/>
                <w:szCs w:val="16"/>
              </w:rPr>
            </w:pPr>
            <w:r w:rsidRPr="00781112">
              <w:rPr>
                <w:rFonts w:cs="Arial"/>
                <w:color w:val="000000" w:themeColor="text1"/>
                <w:szCs w:val="16"/>
              </w:rPr>
              <w:t>154</w:t>
            </w:r>
          </w:p>
        </w:tc>
        <w:tc>
          <w:tcPr>
            <w:tcW w:w="1292" w:type="pct"/>
            <w:shd w:val="clear" w:color="auto" w:fill="auto"/>
            <w:vAlign w:val="center"/>
          </w:tcPr>
          <w:p w14:paraId="59F768C9" w14:textId="4401EA9F" w:rsidR="003B0C91" w:rsidRPr="00781112" w:rsidRDefault="003B0C91" w:rsidP="00360DD6">
            <w:pPr>
              <w:jc w:val="center"/>
              <w:rPr>
                <w:rFonts w:cs="Arial"/>
                <w:color w:val="000000" w:themeColor="text1"/>
                <w:szCs w:val="16"/>
              </w:rPr>
            </w:pPr>
            <w:r w:rsidRPr="00781112">
              <w:rPr>
                <w:rFonts w:cs="Arial"/>
                <w:color w:val="000000" w:themeColor="text1"/>
                <w:szCs w:val="16"/>
              </w:rPr>
              <w:t>45</w:t>
            </w:r>
          </w:p>
        </w:tc>
      </w:tr>
    </w:tbl>
    <w:p w14:paraId="5994F67E" w14:textId="77777777" w:rsidR="00346807" w:rsidRPr="00781112" w:rsidRDefault="00346807">
      <w:pPr>
        <w:rPr>
          <w:b/>
          <w:color w:val="000000" w:themeColor="text1"/>
        </w:rPr>
      </w:pPr>
    </w:p>
    <w:p w14:paraId="6D3557DD"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Data Source: </w:t>
      </w:r>
    </w:p>
    <w:p w14:paraId="1FB962F7" w14:textId="3D177E4C" w:rsidR="00C470E8" w:rsidRPr="00781112" w:rsidRDefault="002B7490" w:rsidP="00552927">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57CD97A4" w14:textId="77777777" w:rsidR="00C01339" w:rsidRPr="00781112" w:rsidRDefault="00382F22" w:rsidP="00552927">
      <w:pPr>
        <w:rPr>
          <w:rFonts w:cs="Arial"/>
          <w:b/>
          <w:color w:val="000000" w:themeColor="text1"/>
          <w:szCs w:val="16"/>
        </w:rPr>
      </w:pPr>
      <w:r w:rsidRPr="00781112">
        <w:rPr>
          <w:rFonts w:cs="Arial"/>
          <w:b/>
          <w:color w:val="000000" w:themeColor="text1"/>
          <w:szCs w:val="16"/>
        </w:rPr>
        <w:t xml:space="preserve">Date: </w:t>
      </w:r>
    </w:p>
    <w:p w14:paraId="33DEC24F" w14:textId="3FF3A0AF" w:rsidR="005D18BE" w:rsidRPr="00781112" w:rsidRDefault="002B7490" w:rsidP="00552927">
      <w:pPr>
        <w:rPr>
          <w:rFonts w:cs="Arial"/>
          <w:color w:val="000000" w:themeColor="text1"/>
          <w:szCs w:val="16"/>
        </w:rPr>
      </w:pPr>
      <w:r w:rsidRPr="00781112">
        <w:rPr>
          <w:rFonts w:cs="Arial"/>
          <w:color w:val="000000" w:themeColor="text1"/>
          <w:szCs w:val="16"/>
        </w:rPr>
        <w:t>01/08/2025</w:t>
      </w:r>
    </w:p>
    <w:p w14:paraId="5767F488" w14:textId="3F393894" w:rsidR="00FE2056" w:rsidRPr="00781112" w:rsidRDefault="00FE2056">
      <w:pPr>
        <w:rPr>
          <w:b/>
          <w:color w:val="000000" w:themeColor="text1"/>
        </w:rPr>
      </w:pPr>
      <w:r w:rsidRPr="00781112">
        <w:rPr>
          <w:b/>
          <w:color w:val="000000" w:themeColor="text1"/>
        </w:rPr>
        <w:t>Math Assessment Proficiency Data by Grade (1)</w:t>
      </w:r>
    </w:p>
    <w:tbl>
      <w:tblPr>
        <w:tblStyle w:val="TableGrid"/>
        <w:tblW w:w="4998" w:type="pct"/>
        <w:tblLayout w:type="fixed"/>
        <w:tblLook w:val="04A0" w:firstRow="1" w:lastRow="0" w:firstColumn="1" w:lastColumn="0" w:noHBand="0" w:noVBand="1"/>
        <w:tblCaption w:val="B03BASSPARTDATABYGRDMATH"/>
      </w:tblPr>
      <w:tblGrid>
        <w:gridCol w:w="2425"/>
        <w:gridCol w:w="2787"/>
        <w:gridCol w:w="2787"/>
        <w:gridCol w:w="2787"/>
      </w:tblGrid>
      <w:tr w:rsidR="00EB6900" w:rsidRPr="00781112" w14:paraId="1F3A5453" w14:textId="77777777" w:rsidTr="009E026B">
        <w:tc>
          <w:tcPr>
            <w:tcW w:w="1124" w:type="pct"/>
            <w:shd w:val="clear" w:color="auto" w:fill="auto"/>
          </w:tcPr>
          <w:p w14:paraId="5BF018F9" w14:textId="6FE6FA6F" w:rsidR="00EB6900" w:rsidRPr="00781112" w:rsidRDefault="00835EAD" w:rsidP="00EB6900">
            <w:pPr>
              <w:jc w:val="center"/>
              <w:rPr>
                <w:rFonts w:cs="Arial"/>
                <w:b/>
                <w:bCs/>
                <w:color w:val="000000" w:themeColor="text1"/>
                <w:szCs w:val="16"/>
              </w:rPr>
            </w:pPr>
            <w:r w:rsidRPr="00781112">
              <w:rPr>
                <w:rFonts w:cs="Arial"/>
                <w:b/>
                <w:bCs/>
                <w:color w:val="000000" w:themeColor="text1"/>
                <w:szCs w:val="16"/>
              </w:rPr>
              <w:t>Group</w:t>
            </w:r>
          </w:p>
        </w:tc>
        <w:tc>
          <w:tcPr>
            <w:tcW w:w="1292" w:type="pct"/>
            <w:shd w:val="clear" w:color="auto" w:fill="auto"/>
            <w:vAlign w:val="center"/>
          </w:tcPr>
          <w:p w14:paraId="24FAE140" w14:textId="0B22750E" w:rsidR="00EB6900" w:rsidRPr="00781112" w:rsidRDefault="00EB6900" w:rsidP="00196CE6">
            <w:pPr>
              <w:jc w:val="center"/>
              <w:rPr>
                <w:rFonts w:cs="Arial"/>
                <w:b/>
                <w:bCs/>
                <w:color w:val="000000" w:themeColor="text1"/>
                <w:szCs w:val="16"/>
              </w:rPr>
            </w:pPr>
            <w:r w:rsidRPr="00781112">
              <w:rPr>
                <w:rFonts w:cs="Arial"/>
                <w:b/>
                <w:bCs/>
                <w:color w:val="000000" w:themeColor="text1"/>
                <w:szCs w:val="16"/>
              </w:rPr>
              <w:t>Grade 4</w:t>
            </w:r>
          </w:p>
        </w:tc>
        <w:tc>
          <w:tcPr>
            <w:tcW w:w="1292" w:type="pct"/>
            <w:shd w:val="clear" w:color="auto" w:fill="auto"/>
            <w:vAlign w:val="center"/>
          </w:tcPr>
          <w:p w14:paraId="47A01117" w14:textId="43F14FF6" w:rsidR="00EB6900" w:rsidRPr="00781112" w:rsidRDefault="00EB6900" w:rsidP="00315E88">
            <w:pPr>
              <w:jc w:val="center"/>
              <w:rPr>
                <w:rFonts w:cs="Arial"/>
                <w:b/>
                <w:bCs/>
                <w:color w:val="000000" w:themeColor="text1"/>
                <w:szCs w:val="16"/>
              </w:rPr>
            </w:pPr>
            <w:r w:rsidRPr="00781112">
              <w:rPr>
                <w:rFonts w:cs="Arial"/>
                <w:b/>
                <w:bCs/>
                <w:color w:val="000000" w:themeColor="text1"/>
                <w:szCs w:val="16"/>
              </w:rPr>
              <w:t>Grade 8</w:t>
            </w:r>
          </w:p>
        </w:tc>
        <w:tc>
          <w:tcPr>
            <w:tcW w:w="1292" w:type="pct"/>
            <w:shd w:val="clear" w:color="auto" w:fill="auto"/>
            <w:vAlign w:val="center"/>
          </w:tcPr>
          <w:p w14:paraId="62BC8C13" w14:textId="1B955AD9" w:rsidR="00EB6900" w:rsidRPr="00781112" w:rsidRDefault="00EB6900" w:rsidP="00E14CF0">
            <w:pPr>
              <w:jc w:val="center"/>
              <w:rPr>
                <w:rFonts w:cs="Arial"/>
                <w:b/>
                <w:bCs/>
                <w:color w:val="000000" w:themeColor="text1"/>
                <w:szCs w:val="16"/>
              </w:rPr>
            </w:pPr>
            <w:r w:rsidRPr="00781112">
              <w:rPr>
                <w:rFonts w:cs="Arial"/>
                <w:b/>
                <w:bCs/>
                <w:color w:val="000000" w:themeColor="text1"/>
                <w:szCs w:val="16"/>
              </w:rPr>
              <w:t>Grade HS</w:t>
            </w:r>
          </w:p>
        </w:tc>
      </w:tr>
      <w:tr w:rsidR="00EB6900" w:rsidRPr="00781112" w14:paraId="3E50404B" w14:textId="77777777" w:rsidTr="009E026B">
        <w:tc>
          <w:tcPr>
            <w:tcW w:w="1124" w:type="pct"/>
            <w:shd w:val="clear" w:color="auto" w:fill="auto"/>
          </w:tcPr>
          <w:p w14:paraId="1BC1C3E1" w14:textId="4BCAFF70" w:rsidR="00EB6900" w:rsidRPr="00781112" w:rsidRDefault="00EB6900" w:rsidP="00EB6900">
            <w:pPr>
              <w:rPr>
                <w:rFonts w:cs="Arial"/>
                <w:color w:val="000000" w:themeColor="text1"/>
                <w:szCs w:val="16"/>
              </w:rPr>
            </w:pPr>
            <w:r w:rsidRPr="00781112">
              <w:rPr>
                <w:rFonts w:cs="Arial"/>
                <w:szCs w:val="16"/>
                <w:shd w:val="clear" w:color="auto" w:fill="FFFFFF"/>
              </w:rPr>
              <w:t>a. Children with IEPs who received a valid score and a proficiency level was assigned for the regular assessment</w:t>
            </w:r>
          </w:p>
        </w:tc>
        <w:tc>
          <w:tcPr>
            <w:tcW w:w="1292" w:type="pct"/>
            <w:shd w:val="clear" w:color="auto" w:fill="auto"/>
            <w:vAlign w:val="center"/>
          </w:tcPr>
          <w:p w14:paraId="73844C67" w14:textId="1DA65780" w:rsidR="00EB6900" w:rsidRPr="00781112" w:rsidRDefault="00EB6900" w:rsidP="00360DD6">
            <w:pPr>
              <w:jc w:val="center"/>
              <w:rPr>
                <w:rFonts w:cs="Arial"/>
                <w:color w:val="000000" w:themeColor="text1"/>
                <w:szCs w:val="16"/>
              </w:rPr>
            </w:pPr>
            <w:r w:rsidRPr="00781112">
              <w:rPr>
                <w:rFonts w:cs="Arial"/>
                <w:color w:val="000000" w:themeColor="text1"/>
                <w:szCs w:val="16"/>
              </w:rPr>
              <w:t>6,149</w:t>
            </w:r>
          </w:p>
        </w:tc>
        <w:tc>
          <w:tcPr>
            <w:tcW w:w="1292" w:type="pct"/>
            <w:shd w:val="clear" w:color="auto" w:fill="auto"/>
            <w:vAlign w:val="center"/>
          </w:tcPr>
          <w:p w14:paraId="3573F811" w14:textId="4BE7EE48" w:rsidR="00EB6900" w:rsidRPr="00781112" w:rsidRDefault="00EB6900" w:rsidP="00360DD6">
            <w:pPr>
              <w:jc w:val="center"/>
              <w:rPr>
                <w:rFonts w:cs="Arial"/>
                <w:color w:val="000000" w:themeColor="text1"/>
                <w:szCs w:val="16"/>
              </w:rPr>
            </w:pPr>
            <w:r w:rsidRPr="00781112">
              <w:rPr>
                <w:rFonts w:cs="Arial"/>
                <w:color w:val="000000" w:themeColor="text1"/>
                <w:szCs w:val="16"/>
              </w:rPr>
              <w:t>5,110</w:t>
            </w:r>
          </w:p>
        </w:tc>
        <w:tc>
          <w:tcPr>
            <w:tcW w:w="1292" w:type="pct"/>
            <w:shd w:val="clear" w:color="auto" w:fill="auto"/>
            <w:vAlign w:val="center"/>
          </w:tcPr>
          <w:p w14:paraId="3D006657" w14:textId="5E74B673" w:rsidR="00EB6900" w:rsidRPr="00781112" w:rsidRDefault="00EB6900" w:rsidP="00360DD6">
            <w:pPr>
              <w:jc w:val="center"/>
              <w:rPr>
                <w:rFonts w:cs="Arial"/>
                <w:color w:val="000000" w:themeColor="text1"/>
                <w:szCs w:val="16"/>
              </w:rPr>
            </w:pPr>
            <w:r w:rsidRPr="00781112">
              <w:rPr>
                <w:rFonts w:cs="Arial"/>
                <w:color w:val="000000" w:themeColor="text1"/>
                <w:szCs w:val="16"/>
              </w:rPr>
              <w:t>3,205</w:t>
            </w:r>
          </w:p>
        </w:tc>
      </w:tr>
      <w:tr w:rsidR="00EB6900" w:rsidRPr="00781112" w14:paraId="4482EF44" w14:textId="77777777" w:rsidTr="009E026B">
        <w:tc>
          <w:tcPr>
            <w:tcW w:w="1124" w:type="pct"/>
            <w:shd w:val="clear" w:color="auto" w:fill="auto"/>
          </w:tcPr>
          <w:p w14:paraId="27BF445B" w14:textId="0D33636A" w:rsidR="00EB6900" w:rsidRPr="00781112" w:rsidRDefault="00EB6900" w:rsidP="00EB6900">
            <w:pPr>
              <w:rPr>
                <w:rFonts w:cs="Arial"/>
                <w:color w:val="000000" w:themeColor="text1"/>
                <w:szCs w:val="16"/>
              </w:rPr>
            </w:pPr>
            <w:r w:rsidRPr="00781112">
              <w:rPr>
                <w:rFonts w:cs="Arial"/>
                <w:szCs w:val="16"/>
                <w:shd w:val="clear" w:color="auto" w:fill="FFFFFF"/>
              </w:rPr>
              <w:t>b. Children with IEPs in regular assessment with no accommodations scored at or above proficient against grade level</w:t>
            </w:r>
          </w:p>
        </w:tc>
        <w:tc>
          <w:tcPr>
            <w:tcW w:w="1292" w:type="pct"/>
            <w:shd w:val="clear" w:color="auto" w:fill="auto"/>
            <w:vAlign w:val="center"/>
          </w:tcPr>
          <w:p w14:paraId="6FAE18FE" w14:textId="45CDD134" w:rsidR="00EB6900" w:rsidRPr="00781112" w:rsidRDefault="00EB6900" w:rsidP="00360DD6">
            <w:pPr>
              <w:jc w:val="center"/>
              <w:rPr>
                <w:rFonts w:cs="Arial"/>
                <w:color w:val="000000" w:themeColor="text1"/>
                <w:szCs w:val="16"/>
              </w:rPr>
            </w:pPr>
            <w:r w:rsidRPr="00781112">
              <w:rPr>
                <w:rFonts w:cs="Arial"/>
                <w:color w:val="000000" w:themeColor="text1"/>
                <w:szCs w:val="16"/>
              </w:rPr>
              <w:t>1,135</w:t>
            </w:r>
          </w:p>
        </w:tc>
        <w:tc>
          <w:tcPr>
            <w:tcW w:w="1292" w:type="pct"/>
            <w:shd w:val="clear" w:color="auto" w:fill="auto"/>
            <w:vAlign w:val="center"/>
          </w:tcPr>
          <w:p w14:paraId="0501C27C" w14:textId="424208A4" w:rsidR="00EB6900" w:rsidRPr="00781112" w:rsidRDefault="00EB6900" w:rsidP="00360DD6">
            <w:pPr>
              <w:jc w:val="center"/>
              <w:rPr>
                <w:rFonts w:cs="Arial"/>
                <w:color w:val="000000" w:themeColor="text1"/>
                <w:szCs w:val="16"/>
              </w:rPr>
            </w:pPr>
            <w:r w:rsidRPr="00781112">
              <w:rPr>
                <w:rFonts w:cs="Arial"/>
                <w:color w:val="000000" w:themeColor="text1"/>
                <w:szCs w:val="16"/>
              </w:rPr>
              <w:t>366</w:t>
            </w:r>
          </w:p>
        </w:tc>
        <w:tc>
          <w:tcPr>
            <w:tcW w:w="1292" w:type="pct"/>
            <w:shd w:val="clear" w:color="auto" w:fill="auto"/>
            <w:vAlign w:val="center"/>
          </w:tcPr>
          <w:p w14:paraId="2F8ECC6A" w14:textId="065827BA" w:rsidR="00EB6900" w:rsidRPr="00781112" w:rsidRDefault="00EB6900" w:rsidP="00360DD6">
            <w:pPr>
              <w:jc w:val="center"/>
              <w:rPr>
                <w:rFonts w:cs="Arial"/>
                <w:color w:val="000000" w:themeColor="text1"/>
                <w:szCs w:val="16"/>
              </w:rPr>
            </w:pPr>
            <w:r w:rsidRPr="00781112">
              <w:rPr>
                <w:rFonts w:cs="Arial"/>
                <w:color w:val="000000" w:themeColor="text1"/>
                <w:szCs w:val="16"/>
              </w:rPr>
              <w:t>145</w:t>
            </w:r>
          </w:p>
        </w:tc>
      </w:tr>
      <w:tr w:rsidR="00EB6900" w:rsidRPr="00781112" w14:paraId="7ED983D3" w14:textId="77777777" w:rsidTr="009E026B">
        <w:tc>
          <w:tcPr>
            <w:tcW w:w="1124" w:type="pct"/>
            <w:shd w:val="clear" w:color="auto" w:fill="auto"/>
          </w:tcPr>
          <w:p w14:paraId="6E21D958" w14:textId="7EF8B281" w:rsidR="00EB6900" w:rsidRPr="00781112" w:rsidRDefault="00EB6900" w:rsidP="00EB6900">
            <w:pPr>
              <w:rPr>
                <w:rFonts w:cs="Arial"/>
                <w:color w:val="000000" w:themeColor="text1"/>
                <w:szCs w:val="16"/>
              </w:rPr>
            </w:pPr>
            <w:r w:rsidRPr="00781112">
              <w:rPr>
                <w:rFonts w:cs="Arial"/>
                <w:szCs w:val="16"/>
                <w:shd w:val="clear" w:color="auto" w:fill="FFFFFF"/>
              </w:rPr>
              <w:t xml:space="preserve">c. Children with IEPs in regular assessment with accommodations scored at or </w:t>
            </w:r>
            <w:r w:rsidRPr="00781112">
              <w:rPr>
                <w:rFonts w:cs="Arial"/>
                <w:szCs w:val="16"/>
                <w:shd w:val="clear" w:color="auto" w:fill="FFFFFF"/>
              </w:rPr>
              <w:lastRenderedPageBreak/>
              <w:t>above proficient against grade level</w:t>
            </w:r>
          </w:p>
        </w:tc>
        <w:tc>
          <w:tcPr>
            <w:tcW w:w="1292" w:type="pct"/>
            <w:shd w:val="clear" w:color="auto" w:fill="auto"/>
            <w:vAlign w:val="center"/>
          </w:tcPr>
          <w:p w14:paraId="239BF66A" w14:textId="489CBBAB" w:rsidR="00EB6900" w:rsidRPr="00781112" w:rsidRDefault="00EB6900" w:rsidP="00360DD6">
            <w:pPr>
              <w:jc w:val="center"/>
              <w:rPr>
                <w:rFonts w:cs="Arial"/>
                <w:color w:val="000000" w:themeColor="text1"/>
                <w:szCs w:val="16"/>
              </w:rPr>
            </w:pPr>
            <w:r w:rsidRPr="00781112">
              <w:rPr>
                <w:rFonts w:cs="Arial"/>
                <w:color w:val="000000" w:themeColor="text1"/>
                <w:szCs w:val="16"/>
              </w:rPr>
              <w:lastRenderedPageBreak/>
              <w:t>95</w:t>
            </w:r>
          </w:p>
        </w:tc>
        <w:tc>
          <w:tcPr>
            <w:tcW w:w="1292" w:type="pct"/>
            <w:shd w:val="clear" w:color="auto" w:fill="auto"/>
            <w:vAlign w:val="center"/>
          </w:tcPr>
          <w:p w14:paraId="3148F449" w14:textId="071E2D42" w:rsidR="00EB6900" w:rsidRPr="00781112" w:rsidRDefault="00EB6900" w:rsidP="00360DD6">
            <w:pPr>
              <w:jc w:val="center"/>
              <w:rPr>
                <w:rFonts w:cs="Arial"/>
                <w:color w:val="000000" w:themeColor="text1"/>
                <w:szCs w:val="16"/>
              </w:rPr>
            </w:pPr>
            <w:r w:rsidRPr="00781112">
              <w:rPr>
                <w:rFonts w:cs="Arial"/>
                <w:color w:val="000000" w:themeColor="text1"/>
                <w:szCs w:val="16"/>
              </w:rPr>
              <w:t>47</w:t>
            </w:r>
          </w:p>
        </w:tc>
        <w:tc>
          <w:tcPr>
            <w:tcW w:w="1292" w:type="pct"/>
            <w:shd w:val="clear" w:color="auto" w:fill="auto"/>
            <w:vAlign w:val="center"/>
          </w:tcPr>
          <w:p w14:paraId="56D05BB3" w14:textId="5F6BA567" w:rsidR="00EB6900" w:rsidRPr="00781112" w:rsidRDefault="00EB6900" w:rsidP="00360DD6">
            <w:pPr>
              <w:jc w:val="center"/>
              <w:rPr>
                <w:rFonts w:cs="Arial"/>
                <w:color w:val="000000" w:themeColor="text1"/>
                <w:szCs w:val="16"/>
              </w:rPr>
            </w:pPr>
            <w:r w:rsidRPr="00781112">
              <w:rPr>
                <w:rFonts w:cs="Arial"/>
                <w:color w:val="000000" w:themeColor="text1"/>
                <w:szCs w:val="16"/>
              </w:rPr>
              <w:t>10</w:t>
            </w:r>
          </w:p>
        </w:tc>
      </w:tr>
    </w:tbl>
    <w:bookmarkEnd w:id="15"/>
    <w:p w14:paraId="122AE711" w14:textId="77777777" w:rsidR="00502870" w:rsidRDefault="00502870" w:rsidP="00502870">
      <w:pPr>
        <w:pStyle w:val="Subhed"/>
        <w:rPr>
          <w:b w:val="0"/>
          <w:bCs/>
        </w:rPr>
      </w:pPr>
      <w:r w:rsidRPr="00580D24">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A4F8ED6" w14:textId="77777777" w:rsidR="00966232" w:rsidRPr="00781112" w:rsidRDefault="00966232" w:rsidP="004369B2">
      <w:pPr>
        <w:rPr>
          <w:color w:val="000000" w:themeColor="text1"/>
        </w:rPr>
      </w:pPr>
    </w:p>
    <w:p w14:paraId="1E1876C6" w14:textId="50B2F028" w:rsidR="00E539AB" w:rsidRPr="00781112" w:rsidRDefault="0047313F" w:rsidP="004369B2">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RLA"/>
      </w:tblPr>
      <w:tblGrid>
        <w:gridCol w:w="428"/>
        <w:gridCol w:w="888"/>
        <w:gridCol w:w="2027"/>
        <w:gridCol w:w="2026"/>
        <w:gridCol w:w="1085"/>
        <w:gridCol w:w="1085"/>
        <w:gridCol w:w="1085"/>
        <w:gridCol w:w="1085"/>
        <w:gridCol w:w="1081"/>
      </w:tblGrid>
      <w:tr w:rsidR="00FA33C9" w:rsidRPr="00781112" w14:paraId="52CF9222" w14:textId="5C9FC6C2" w:rsidTr="004B3F40">
        <w:trPr>
          <w:tblHeader/>
        </w:trPr>
        <w:tc>
          <w:tcPr>
            <w:tcW w:w="198" w:type="pct"/>
            <w:shd w:val="clear" w:color="auto" w:fill="auto"/>
            <w:vAlign w:val="bottom"/>
          </w:tcPr>
          <w:p w14:paraId="5B0C0A4E" w14:textId="31160362" w:rsidR="00FA33C9" w:rsidRPr="00781112" w:rsidRDefault="00FA33C9" w:rsidP="00FA33C9">
            <w:pPr>
              <w:jc w:val="center"/>
              <w:rPr>
                <w:b/>
                <w:color w:val="000000" w:themeColor="text1"/>
              </w:rPr>
            </w:pPr>
            <w:r w:rsidRPr="00781112">
              <w:rPr>
                <w:b/>
                <w:color w:val="000000" w:themeColor="text1"/>
              </w:rPr>
              <w:t>Group</w:t>
            </w:r>
          </w:p>
        </w:tc>
        <w:tc>
          <w:tcPr>
            <w:tcW w:w="411" w:type="pct"/>
            <w:shd w:val="clear" w:color="auto" w:fill="auto"/>
            <w:vAlign w:val="bottom"/>
          </w:tcPr>
          <w:p w14:paraId="08D526E5" w14:textId="4BDB327D" w:rsidR="00FA33C9" w:rsidRPr="00781112" w:rsidRDefault="00FA33C9" w:rsidP="00FA33C9">
            <w:pPr>
              <w:jc w:val="center"/>
              <w:rPr>
                <w:b/>
                <w:color w:val="000000" w:themeColor="text1"/>
              </w:rPr>
            </w:pPr>
            <w:r w:rsidRPr="00781112">
              <w:rPr>
                <w:b/>
                <w:color w:val="000000" w:themeColor="text1"/>
              </w:rPr>
              <w:t>Group Name</w:t>
            </w:r>
          </w:p>
        </w:tc>
        <w:tc>
          <w:tcPr>
            <w:tcW w:w="939" w:type="pct"/>
            <w:shd w:val="clear" w:color="auto" w:fill="auto"/>
          </w:tcPr>
          <w:p w14:paraId="198DD72E" w14:textId="3FB5565B" w:rsidR="00FA33C9" w:rsidRPr="00781112" w:rsidRDefault="00FA33C9" w:rsidP="00FA33C9">
            <w:pPr>
              <w:jc w:val="center"/>
              <w:rPr>
                <w:b/>
                <w:bCs/>
                <w:color w:val="000000" w:themeColor="text1"/>
              </w:rPr>
            </w:pPr>
            <w:r w:rsidRPr="00781112">
              <w:rPr>
                <w:b/>
                <w:bCs/>
              </w:rPr>
              <w:t>Number of Children with IEPs Scoring At or Above Proficient Against Grade Level Academic Achievement Standards</w:t>
            </w:r>
          </w:p>
        </w:tc>
        <w:tc>
          <w:tcPr>
            <w:tcW w:w="939" w:type="pct"/>
            <w:shd w:val="clear" w:color="auto" w:fill="auto"/>
          </w:tcPr>
          <w:p w14:paraId="43067EB5" w14:textId="1B6A6AEE" w:rsidR="00FA33C9" w:rsidRPr="00781112" w:rsidRDefault="00FA33C9" w:rsidP="00FA33C9">
            <w:pPr>
              <w:jc w:val="center"/>
              <w:rPr>
                <w:b/>
                <w:bCs/>
                <w:color w:val="000000" w:themeColor="text1"/>
              </w:rPr>
            </w:pPr>
            <w:r w:rsidRPr="00781112">
              <w:rPr>
                <w:b/>
                <w:bCs/>
              </w:rPr>
              <w:t>Number of Children with IEPs who Received a Valid Score and for whom a Proficiency Level was Assigned for the Regular Assessment</w:t>
            </w:r>
          </w:p>
        </w:tc>
        <w:tc>
          <w:tcPr>
            <w:tcW w:w="503" w:type="pct"/>
            <w:shd w:val="clear" w:color="auto" w:fill="auto"/>
            <w:vAlign w:val="bottom"/>
          </w:tcPr>
          <w:p w14:paraId="18374487" w14:textId="7BB3FEB4" w:rsidR="00FA33C9" w:rsidRPr="00073BD7" w:rsidRDefault="00FA33C9" w:rsidP="00FA33C9">
            <w:pPr>
              <w:jc w:val="center"/>
              <w:rPr>
                <w:b/>
                <w:bCs/>
                <w:color w:val="000000" w:themeColor="text1"/>
              </w:rPr>
            </w:pPr>
            <w:r w:rsidRPr="00073BD7">
              <w:rPr>
                <w:b/>
                <w:bCs/>
              </w:rPr>
              <w:t>FFY 2022 Data</w:t>
            </w:r>
          </w:p>
        </w:tc>
        <w:tc>
          <w:tcPr>
            <w:tcW w:w="503" w:type="pct"/>
            <w:shd w:val="clear" w:color="auto" w:fill="auto"/>
            <w:vAlign w:val="bottom"/>
          </w:tcPr>
          <w:p w14:paraId="3E51680E" w14:textId="433F26DE" w:rsidR="00FA33C9" w:rsidRPr="00073BD7" w:rsidRDefault="00FA33C9" w:rsidP="00FA33C9">
            <w:pPr>
              <w:jc w:val="center"/>
              <w:rPr>
                <w:b/>
                <w:bCs/>
                <w:color w:val="000000" w:themeColor="text1"/>
              </w:rPr>
            </w:pPr>
            <w:r w:rsidRPr="00073BD7">
              <w:rPr>
                <w:b/>
                <w:bCs/>
              </w:rPr>
              <w:t>FFY 2023 Target</w:t>
            </w:r>
          </w:p>
        </w:tc>
        <w:tc>
          <w:tcPr>
            <w:tcW w:w="503" w:type="pct"/>
            <w:shd w:val="clear" w:color="auto" w:fill="auto"/>
            <w:vAlign w:val="bottom"/>
          </w:tcPr>
          <w:p w14:paraId="29685ECA" w14:textId="68C2E6A4" w:rsidR="00FA33C9" w:rsidRPr="00073BD7" w:rsidRDefault="00FA33C9" w:rsidP="00FA33C9">
            <w:pPr>
              <w:jc w:val="center"/>
              <w:rPr>
                <w:b/>
                <w:bCs/>
                <w:color w:val="000000" w:themeColor="text1"/>
              </w:rPr>
            </w:pPr>
            <w:r w:rsidRPr="00073BD7">
              <w:rPr>
                <w:b/>
                <w:bCs/>
              </w:rPr>
              <w:t>FFY 2023 Data</w:t>
            </w:r>
          </w:p>
        </w:tc>
        <w:tc>
          <w:tcPr>
            <w:tcW w:w="503" w:type="pct"/>
            <w:shd w:val="clear" w:color="auto" w:fill="auto"/>
            <w:vAlign w:val="bottom"/>
          </w:tcPr>
          <w:p w14:paraId="5E9D6295" w14:textId="7F28EB50" w:rsidR="00FA33C9" w:rsidRPr="00781112" w:rsidRDefault="00FA33C9" w:rsidP="00FA33C9">
            <w:pPr>
              <w:jc w:val="center"/>
              <w:rPr>
                <w:b/>
                <w:color w:val="000000" w:themeColor="text1"/>
              </w:rPr>
            </w:pPr>
            <w:r w:rsidRPr="00781112">
              <w:rPr>
                <w:b/>
                <w:color w:val="000000" w:themeColor="text1"/>
              </w:rPr>
              <w:t>Status</w:t>
            </w:r>
          </w:p>
        </w:tc>
        <w:tc>
          <w:tcPr>
            <w:tcW w:w="501" w:type="pct"/>
            <w:shd w:val="clear" w:color="auto" w:fill="auto"/>
            <w:vAlign w:val="bottom"/>
          </w:tcPr>
          <w:p w14:paraId="7898EF38" w14:textId="75DFA010" w:rsidR="00FA33C9" w:rsidRPr="00781112" w:rsidRDefault="00FA33C9" w:rsidP="00FA33C9">
            <w:pPr>
              <w:jc w:val="center"/>
              <w:rPr>
                <w:b/>
                <w:color w:val="000000" w:themeColor="text1"/>
              </w:rPr>
            </w:pPr>
            <w:r w:rsidRPr="00781112">
              <w:rPr>
                <w:b/>
                <w:color w:val="000000" w:themeColor="text1"/>
              </w:rPr>
              <w:t>Slippage</w:t>
            </w:r>
          </w:p>
        </w:tc>
      </w:tr>
      <w:tr w:rsidR="00AD0E97" w:rsidRPr="00781112" w14:paraId="7760B96D" w14:textId="1E1E2305" w:rsidTr="004B3F40">
        <w:tc>
          <w:tcPr>
            <w:tcW w:w="198" w:type="pct"/>
            <w:shd w:val="clear" w:color="auto" w:fill="auto"/>
            <w:vAlign w:val="center"/>
          </w:tcPr>
          <w:p w14:paraId="6F54F4BD" w14:textId="3AB2A2E6"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A</w:t>
            </w:r>
          </w:p>
        </w:tc>
        <w:tc>
          <w:tcPr>
            <w:tcW w:w="411" w:type="pct"/>
            <w:shd w:val="clear" w:color="auto" w:fill="auto"/>
            <w:vAlign w:val="center"/>
          </w:tcPr>
          <w:p w14:paraId="1AF12AAB" w14:textId="02722A5C"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4</w:t>
            </w:r>
          </w:p>
        </w:tc>
        <w:tc>
          <w:tcPr>
            <w:tcW w:w="939" w:type="pct"/>
            <w:shd w:val="clear" w:color="auto" w:fill="auto"/>
            <w:vAlign w:val="center"/>
          </w:tcPr>
          <w:p w14:paraId="0D75EC1C" w14:textId="5C94E807" w:rsidR="00AD0E97" w:rsidRPr="00781112" w:rsidRDefault="00AD0E97" w:rsidP="00AD0E97">
            <w:pPr>
              <w:jc w:val="center"/>
              <w:rPr>
                <w:rFonts w:cs="Arial"/>
                <w:color w:val="000000" w:themeColor="text1"/>
                <w:szCs w:val="16"/>
              </w:rPr>
            </w:pPr>
            <w:r w:rsidRPr="00781112">
              <w:rPr>
                <w:rFonts w:cs="Arial"/>
                <w:color w:val="000000"/>
                <w:szCs w:val="16"/>
              </w:rPr>
              <w:t>1,243</w:t>
            </w:r>
          </w:p>
        </w:tc>
        <w:tc>
          <w:tcPr>
            <w:tcW w:w="939" w:type="pct"/>
            <w:shd w:val="clear" w:color="auto" w:fill="auto"/>
            <w:vAlign w:val="center"/>
          </w:tcPr>
          <w:p w14:paraId="7E6A021B" w14:textId="57963DE4" w:rsidR="00AD0E97" w:rsidRPr="00781112" w:rsidRDefault="00AD0E97" w:rsidP="00AD0E97">
            <w:pPr>
              <w:jc w:val="center"/>
              <w:rPr>
                <w:rFonts w:cs="Arial"/>
                <w:color w:val="000000" w:themeColor="text1"/>
                <w:szCs w:val="16"/>
              </w:rPr>
            </w:pPr>
            <w:r w:rsidRPr="00781112">
              <w:rPr>
                <w:rFonts w:cs="Arial"/>
                <w:color w:val="000000" w:themeColor="text1"/>
                <w:szCs w:val="16"/>
              </w:rPr>
              <w:t>6,180</w:t>
            </w:r>
          </w:p>
        </w:tc>
        <w:tc>
          <w:tcPr>
            <w:tcW w:w="503" w:type="pct"/>
            <w:shd w:val="clear" w:color="auto" w:fill="auto"/>
            <w:vAlign w:val="center"/>
          </w:tcPr>
          <w:p w14:paraId="69FD37B5" w14:textId="09B40B87" w:rsidR="00AD0E97" w:rsidRPr="00781112" w:rsidRDefault="00AD0E97" w:rsidP="00AD0E97">
            <w:pPr>
              <w:jc w:val="center"/>
              <w:rPr>
                <w:rFonts w:cs="Arial"/>
                <w:color w:val="000000" w:themeColor="text1"/>
                <w:szCs w:val="16"/>
              </w:rPr>
            </w:pPr>
            <w:r w:rsidRPr="00781112">
              <w:rPr>
                <w:rFonts w:cs="Arial"/>
                <w:color w:val="000000" w:themeColor="text1"/>
                <w:szCs w:val="16"/>
              </w:rPr>
              <w:t>20.20%</w:t>
            </w:r>
          </w:p>
        </w:tc>
        <w:tc>
          <w:tcPr>
            <w:tcW w:w="503" w:type="pct"/>
            <w:shd w:val="clear" w:color="auto" w:fill="auto"/>
            <w:vAlign w:val="center"/>
          </w:tcPr>
          <w:p w14:paraId="482B7D09" w14:textId="62AFAA78" w:rsidR="00AD0E97" w:rsidRPr="00781112" w:rsidRDefault="00AD0E97" w:rsidP="00AD0E97">
            <w:pPr>
              <w:jc w:val="center"/>
              <w:rPr>
                <w:rFonts w:cs="Arial"/>
                <w:color w:val="000000" w:themeColor="text1"/>
                <w:szCs w:val="16"/>
              </w:rPr>
            </w:pPr>
            <w:r w:rsidRPr="00781112">
              <w:rPr>
                <w:rFonts w:cs="Arial"/>
                <w:color w:val="000000" w:themeColor="text1"/>
                <w:szCs w:val="16"/>
              </w:rPr>
              <w:t>26.93%</w:t>
            </w:r>
          </w:p>
        </w:tc>
        <w:tc>
          <w:tcPr>
            <w:tcW w:w="503" w:type="pct"/>
            <w:shd w:val="clear" w:color="auto" w:fill="auto"/>
            <w:vAlign w:val="center"/>
          </w:tcPr>
          <w:p w14:paraId="120D94C1" w14:textId="45B7E096" w:rsidR="00AD0E97" w:rsidRPr="00781112" w:rsidRDefault="00AD0E97" w:rsidP="00AD0E97">
            <w:pPr>
              <w:jc w:val="center"/>
              <w:rPr>
                <w:rFonts w:cs="Arial"/>
                <w:color w:val="000000" w:themeColor="text1"/>
                <w:szCs w:val="16"/>
              </w:rPr>
            </w:pPr>
            <w:r w:rsidRPr="00781112">
              <w:rPr>
                <w:rFonts w:cs="Arial"/>
                <w:color w:val="000000" w:themeColor="text1"/>
                <w:szCs w:val="16"/>
              </w:rPr>
              <w:t>20.11%</w:t>
            </w:r>
          </w:p>
        </w:tc>
        <w:tc>
          <w:tcPr>
            <w:tcW w:w="503" w:type="pct"/>
            <w:shd w:val="clear" w:color="auto" w:fill="auto"/>
            <w:vAlign w:val="center"/>
          </w:tcPr>
          <w:p w14:paraId="4C985877" w14:textId="6C415586"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05322B0C" w14:textId="7DA1FCC0"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7A5387EE" w14:textId="77777777" w:rsidTr="004B3F40">
        <w:tc>
          <w:tcPr>
            <w:tcW w:w="198" w:type="pct"/>
            <w:shd w:val="clear" w:color="auto" w:fill="auto"/>
            <w:vAlign w:val="center"/>
          </w:tcPr>
          <w:p w14:paraId="729AFDF4" w14:textId="72203283"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B</w:t>
            </w:r>
          </w:p>
        </w:tc>
        <w:tc>
          <w:tcPr>
            <w:tcW w:w="411" w:type="pct"/>
            <w:shd w:val="clear" w:color="auto" w:fill="auto"/>
            <w:vAlign w:val="center"/>
          </w:tcPr>
          <w:p w14:paraId="33B7C97E" w14:textId="6E25E05B"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8</w:t>
            </w:r>
          </w:p>
        </w:tc>
        <w:tc>
          <w:tcPr>
            <w:tcW w:w="939" w:type="pct"/>
            <w:shd w:val="clear" w:color="auto" w:fill="auto"/>
            <w:vAlign w:val="center"/>
          </w:tcPr>
          <w:p w14:paraId="3F0D6576" w14:textId="39D13C81" w:rsidR="00AD0E97" w:rsidRPr="00781112" w:rsidRDefault="00AD0E97" w:rsidP="00AD0E97">
            <w:pPr>
              <w:jc w:val="center"/>
              <w:rPr>
                <w:rFonts w:cs="Arial"/>
                <w:color w:val="000000" w:themeColor="text1"/>
                <w:szCs w:val="16"/>
              </w:rPr>
            </w:pPr>
            <w:r w:rsidRPr="00781112">
              <w:rPr>
                <w:rFonts w:cs="Arial"/>
                <w:color w:val="000000"/>
                <w:szCs w:val="16"/>
              </w:rPr>
              <w:t>680</w:t>
            </w:r>
          </w:p>
        </w:tc>
        <w:tc>
          <w:tcPr>
            <w:tcW w:w="939" w:type="pct"/>
            <w:shd w:val="clear" w:color="auto" w:fill="auto"/>
            <w:vAlign w:val="center"/>
          </w:tcPr>
          <w:p w14:paraId="7FFA4863" w14:textId="2B0AF130" w:rsidR="00AD0E97" w:rsidRPr="00781112" w:rsidRDefault="00AD0E97" w:rsidP="00AD0E97">
            <w:pPr>
              <w:jc w:val="center"/>
              <w:rPr>
                <w:rFonts w:cs="Arial"/>
                <w:color w:val="000000" w:themeColor="text1"/>
                <w:szCs w:val="16"/>
              </w:rPr>
            </w:pPr>
            <w:r w:rsidRPr="00781112">
              <w:rPr>
                <w:rFonts w:cs="Arial"/>
                <w:color w:val="000000" w:themeColor="text1"/>
                <w:szCs w:val="16"/>
              </w:rPr>
              <w:t>5,204</w:t>
            </w:r>
          </w:p>
        </w:tc>
        <w:tc>
          <w:tcPr>
            <w:tcW w:w="503" w:type="pct"/>
            <w:shd w:val="clear" w:color="auto" w:fill="auto"/>
            <w:vAlign w:val="center"/>
          </w:tcPr>
          <w:p w14:paraId="3FB80D14" w14:textId="17D00589" w:rsidR="00AD0E97" w:rsidRPr="00781112" w:rsidRDefault="00AD0E97" w:rsidP="00AD0E97">
            <w:pPr>
              <w:jc w:val="center"/>
              <w:rPr>
                <w:rFonts w:cs="Arial"/>
                <w:color w:val="000000" w:themeColor="text1"/>
                <w:szCs w:val="16"/>
              </w:rPr>
            </w:pPr>
            <w:r w:rsidRPr="00781112">
              <w:rPr>
                <w:rFonts w:cs="Arial"/>
                <w:color w:val="000000" w:themeColor="text1"/>
                <w:szCs w:val="16"/>
              </w:rPr>
              <w:t>12.61%</w:t>
            </w:r>
          </w:p>
        </w:tc>
        <w:tc>
          <w:tcPr>
            <w:tcW w:w="503" w:type="pct"/>
            <w:shd w:val="clear" w:color="auto" w:fill="auto"/>
            <w:vAlign w:val="center"/>
          </w:tcPr>
          <w:p w14:paraId="12DA8FB6" w14:textId="2A9832BB" w:rsidR="00AD0E97" w:rsidRPr="00781112" w:rsidRDefault="00AD0E97" w:rsidP="00AD0E97">
            <w:pPr>
              <w:jc w:val="center"/>
              <w:rPr>
                <w:rFonts w:cs="Arial"/>
                <w:color w:val="000000" w:themeColor="text1"/>
                <w:szCs w:val="16"/>
              </w:rPr>
            </w:pPr>
            <w:r w:rsidRPr="00781112">
              <w:rPr>
                <w:rFonts w:cs="Arial"/>
                <w:color w:val="000000" w:themeColor="text1"/>
                <w:szCs w:val="16"/>
              </w:rPr>
              <w:t>15.73%</w:t>
            </w:r>
          </w:p>
        </w:tc>
        <w:tc>
          <w:tcPr>
            <w:tcW w:w="503" w:type="pct"/>
            <w:shd w:val="clear" w:color="auto" w:fill="auto"/>
            <w:vAlign w:val="center"/>
          </w:tcPr>
          <w:p w14:paraId="65C7EB9E" w14:textId="563BFA26" w:rsidR="00AD0E97" w:rsidRPr="00781112" w:rsidRDefault="00AD0E97" w:rsidP="00AD0E97">
            <w:pPr>
              <w:jc w:val="center"/>
              <w:rPr>
                <w:rFonts w:cs="Arial"/>
                <w:color w:val="000000" w:themeColor="text1"/>
                <w:szCs w:val="16"/>
              </w:rPr>
            </w:pPr>
            <w:r w:rsidRPr="00781112">
              <w:rPr>
                <w:rFonts w:cs="Arial"/>
                <w:color w:val="000000" w:themeColor="text1"/>
                <w:szCs w:val="16"/>
              </w:rPr>
              <w:t>13.07%</w:t>
            </w:r>
          </w:p>
        </w:tc>
        <w:tc>
          <w:tcPr>
            <w:tcW w:w="503" w:type="pct"/>
            <w:shd w:val="clear" w:color="auto" w:fill="auto"/>
            <w:vAlign w:val="center"/>
          </w:tcPr>
          <w:p w14:paraId="41A6F692" w14:textId="65CC6347"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3D4E27A4" w14:textId="7BDAA77C"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r w:rsidR="00AD0E97" w:rsidRPr="00781112" w14:paraId="26B346DD" w14:textId="77777777" w:rsidTr="004B3F40">
        <w:tc>
          <w:tcPr>
            <w:tcW w:w="198" w:type="pct"/>
            <w:shd w:val="clear" w:color="auto" w:fill="auto"/>
            <w:vAlign w:val="center"/>
          </w:tcPr>
          <w:p w14:paraId="2B13C665" w14:textId="583EB28A" w:rsidR="00AD0E97" w:rsidRPr="00781112" w:rsidRDefault="00AD0E97" w:rsidP="00AD0E97">
            <w:pPr>
              <w:pStyle w:val="Default"/>
              <w:jc w:val="center"/>
              <w:rPr>
                <w:rFonts w:eastAsiaTheme="minorHAnsi"/>
                <w:color w:val="000000" w:themeColor="text1"/>
                <w:sz w:val="16"/>
                <w:szCs w:val="16"/>
              </w:rPr>
            </w:pPr>
            <w:r w:rsidRPr="00781112">
              <w:rPr>
                <w:b/>
                <w:color w:val="000000" w:themeColor="text1"/>
                <w:sz w:val="16"/>
                <w:szCs w:val="16"/>
              </w:rPr>
              <w:t>C</w:t>
            </w:r>
          </w:p>
        </w:tc>
        <w:tc>
          <w:tcPr>
            <w:tcW w:w="411" w:type="pct"/>
            <w:shd w:val="clear" w:color="auto" w:fill="auto"/>
            <w:vAlign w:val="center"/>
          </w:tcPr>
          <w:p w14:paraId="6D97D346" w14:textId="75AC25C8" w:rsidR="00AD0E97" w:rsidRPr="00781112" w:rsidDel="00DE5045" w:rsidRDefault="00AD0E97" w:rsidP="00AD0E97">
            <w:pPr>
              <w:jc w:val="center"/>
              <w:rPr>
                <w:rFonts w:cs="Arial"/>
                <w:color w:val="000000" w:themeColor="text1"/>
                <w:szCs w:val="16"/>
              </w:rPr>
            </w:pPr>
            <w:r w:rsidRPr="00781112">
              <w:rPr>
                <w:rFonts w:cs="Arial"/>
                <w:color w:val="000000" w:themeColor="text1"/>
                <w:szCs w:val="16"/>
              </w:rPr>
              <w:t>Grade HS</w:t>
            </w:r>
          </w:p>
        </w:tc>
        <w:tc>
          <w:tcPr>
            <w:tcW w:w="939" w:type="pct"/>
            <w:shd w:val="clear" w:color="auto" w:fill="auto"/>
            <w:vAlign w:val="center"/>
          </w:tcPr>
          <w:p w14:paraId="30AED5C7" w14:textId="5DD38D7C" w:rsidR="00AD0E97" w:rsidRPr="00781112" w:rsidRDefault="00AD0E97" w:rsidP="00AD0E97">
            <w:pPr>
              <w:jc w:val="center"/>
              <w:rPr>
                <w:rFonts w:cs="Arial"/>
                <w:color w:val="000000" w:themeColor="text1"/>
                <w:szCs w:val="16"/>
              </w:rPr>
            </w:pPr>
            <w:r w:rsidRPr="00781112">
              <w:rPr>
                <w:rFonts w:cs="Arial"/>
                <w:color w:val="000000"/>
                <w:szCs w:val="16"/>
              </w:rPr>
              <w:t>520</w:t>
            </w:r>
          </w:p>
        </w:tc>
        <w:tc>
          <w:tcPr>
            <w:tcW w:w="939" w:type="pct"/>
            <w:shd w:val="clear" w:color="auto" w:fill="auto"/>
            <w:vAlign w:val="center"/>
          </w:tcPr>
          <w:p w14:paraId="3E4BF8E7" w14:textId="17E7C017" w:rsidR="00AD0E97" w:rsidRPr="00781112" w:rsidRDefault="00AD0E97" w:rsidP="00AD0E97">
            <w:pPr>
              <w:jc w:val="center"/>
              <w:rPr>
                <w:rFonts w:cs="Arial"/>
                <w:color w:val="000000" w:themeColor="text1"/>
                <w:szCs w:val="16"/>
              </w:rPr>
            </w:pPr>
            <w:r w:rsidRPr="00781112">
              <w:rPr>
                <w:rFonts w:cs="Arial"/>
                <w:color w:val="000000" w:themeColor="text1"/>
                <w:szCs w:val="16"/>
              </w:rPr>
              <w:t>3,416</w:t>
            </w:r>
          </w:p>
        </w:tc>
        <w:tc>
          <w:tcPr>
            <w:tcW w:w="503" w:type="pct"/>
            <w:shd w:val="clear" w:color="auto" w:fill="auto"/>
            <w:vAlign w:val="center"/>
          </w:tcPr>
          <w:p w14:paraId="039885F2" w14:textId="68486387" w:rsidR="00AD0E97" w:rsidRPr="00781112" w:rsidRDefault="00AD0E97" w:rsidP="00AD0E97">
            <w:pPr>
              <w:jc w:val="center"/>
              <w:rPr>
                <w:rFonts w:cs="Arial"/>
                <w:color w:val="000000" w:themeColor="text1"/>
                <w:szCs w:val="16"/>
              </w:rPr>
            </w:pPr>
            <w:r w:rsidRPr="00781112">
              <w:rPr>
                <w:rFonts w:cs="Arial"/>
                <w:color w:val="000000" w:themeColor="text1"/>
                <w:szCs w:val="16"/>
              </w:rPr>
              <w:t>15.84%</w:t>
            </w:r>
          </w:p>
        </w:tc>
        <w:tc>
          <w:tcPr>
            <w:tcW w:w="503" w:type="pct"/>
            <w:shd w:val="clear" w:color="auto" w:fill="auto"/>
            <w:vAlign w:val="center"/>
          </w:tcPr>
          <w:p w14:paraId="0D574818" w14:textId="0B8E29B8" w:rsidR="00AD0E97" w:rsidRPr="00781112" w:rsidRDefault="00AD0E97" w:rsidP="00AD0E97">
            <w:pPr>
              <w:jc w:val="center"/>
              <w:rPr>
                <w:rFonts w:cs="Arial"/>
                <w:color w:val="000000" w:themeColor="text1"/>
                <w:szCs w:val="16"/>
              </w:rPr>
            </w:pPr>
            <w:r w:rsidRPr="00781112">
              <w:rPr>
                <w:rFonts w:cs="Arial"/>
                <w:color w:val="000000" w:themeColor="text1"/>
                <w:szCs w:val="16"/>
              </w:rPr>
              <w:t>27.53%</w:t>
            </w:r>
          </w:p>
        </w:tc>
        <w:tc>
          <w:tcPr>
            <w:tcW w:w="503" w:type="pct"/>
            <w:shd w:val="clear" w:color="auto" w:fill="auto"/>
            <w:vAlign w:val="center"/>
          </w:tcPr>
          <w:p w14:paraId="68757684" w14:textId="14D897E8" w:rsidR="00AD0E97" w:rsidRPr="00781112" w:rsidRDefault="00AD0E97" w:rsidP="00AD0E97">
            <w:pPr>
              <w:jc w:val="center"/>
              <w:rPr>
                <w:rFonts w:cs="Arial"/>
                <w:color w:val="000000" w:themeColor="text1"/>
                <w:szCs w:val="16"/>
              </w:rPr>
            </w:pPr>
            <w:r w:rsidRPr="00781112">
              <w:rPr>
                <w:rFonts w:cs="Arial"/>
                <w:color w:val="000000" w:themeColor="text1"/>
                <w:szCs w:val="16"/>
              </w:rPr>
              <w:t>15.22%</w:t>
            </w:r>
          </w:p>
        </w:tc>
        <w:tc>
          <w:tcPr>
            <w:tcW w:w="503" w:type="pct"/>
            <w:shd w:val="clear" w:color="auto" w:fill="auto"/>
            <w:vAlign w:val="center"/>
          </w:tcPr>
          <w:p w14:paraId="7D508FD3" w14:textId="5052E8AD" w:rsidR="00AD0E97" w:rsidRPr="00781112" w:rsidRDefault="00AD0E97" w:rsidP="00AD0E97">
            <w:pPr>
              <w:jc w:val="center"/>
              <w:rPr>
                <w:rFonts w:cs="Arial"/>
                <w:color w:val="000000" w:themeColor="text1"/>
                <w:szCs w:val="16"/>
              </w:rPr>
            </w:pPr>
            <w:r w:rsidRPr="00781112">
              <w:rPr>
                <w:rFonts w:cs="Arial"/>
                <w:color w:val="000000" w:themeColor="text1"/>
                <w:szCs w:val="16"/>
              </w:rPr>
              <w:t>Did not meet target</w:t>
            </w:r>
          </w:p>
        </w:tc>
        <w:tc>
          <w:tcPr>
            <w:tcW w:w="501" w:type="pct"/>
            <w:shd w:val="clear" w:color="auto" w:fill="auto"/>
            <w:vAlign w:val="center"/>
          </w:tcPr>
          <w:p w14:paraId="16AA84BF" w14:textId="66A4BF3F" w:rsidR="00AD0E97" w:rsidRPr="00781112" w:rsidRDefault="00AD0E97" w:rsidP="00AD0E97">
            <w:pPr>
              <w:jc w:val="center"/>
              <w:rPr>
                <w:rFonts w:cs="Arial"/>
                <w:color w:val="000000" w:themeColor="text1"/>
                <w:szCs w:val="16"/>
              </w:rPr>
            </w:pPr>
            <w:r w:rsidRPr="00781112">
              <w:rPr>
                <w:rFonts w:cs="Arial"/>
                <w:color w:val="000000" w:themeColor="text1"/>
                <w:szCs w:val="16"/>
              </w:rPr>
              <w:t>No Slippage</w:t>
            </w:r>
          </w:p>
        </w:tc>
      </w:tr>
    </w:tbl>
    <w:p w14:paraId="1E0C977F" w14:textId="77777777" w:rsidR="005004AB" w:rsidRPr="00781112" w:rsidRDefault="005004AB" w:rsidP="005004AB">
      <w:pPr>
        <w:rPr>
          <w:color w:val="000000" w:themeColor="text1"/>
        </w:rPr>
      </w:pPr>
    </w:p>
    <w:p w14:paraId="324457C6" w14:textId="1817132C" w:rsidR="00497DE4" w:rsidRPr="00781112" w:rsidRDefault="0047313F" w:rsidP="004369B2">
      <w:pPr>
        <w:rPr>
          <w:b/>
          <w:color w:val="000000" w:themeColor="text1"/>
        </w:rPr>
      </w:pPr>
      <w:r>
        <w:rPr>
          <w:b/>
          <w:color w:val="000000" w:themeColor="text1"/>
        </w:rPr>
        <w:t>FFY 2023 SPP/APR Data: Math Assessment</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BFFYAPRDATAMATHASS"/>
      </w:tblPr>
      <w:tblGrid>
        <w:gridCol w:w="481"/>
        <w:gridCol w:w="1048"/>
        <w:gridCol w:w="1932"/>
        <w:gridCol w:w="1932"/>
        <w:gridCol w:w="1078"/>
        <w:gridCol w:w="1078"/>
        <w:gridCol w:w="1078"/>
        <w:gridCol w:w="1078"/>
        <w:gridCol w:w="1076"/>
      </w:tblGrid>
      <w:tr w:rsidR="00FA33C9" w:rsidRPr="00781112" w14:paraId="1ECD1184" w14:textId="77777777" w:rsidTr="00242D8A">
        <w:trPr>
          <w:tblHeader/>
          <w:jc w:val="center"/>
        </w:trPr>
        <w:tc>
          <w:tcPr>
            <w:tcW w:w="223" w:type="pct"/>
            <w:shd w:val="clear" w:color="auto" w:fill="auto"/>
            <w:vAlign w:val="bottom"/>
          </w:tcPr>
          <w:p w14:paraId="2B938423" w14:textId="01A79B33" w:rsidR="00FA33C9" w:rsidRPr="00781112" w:rsidRDefault="00FA33C9" w:rsidP="00FA33C9">
            <w:pPr>
              <w:jc w:val="center"/>
              <w:rPr>
                <w:b/>
                <w:color w:val="000000" w:themeColor="text1"/>
              </w:rPr>
            </w:pPr>
            <w:r w:rsidRPr="00781112">
              <w:rPr>
                <w:b/>
                <w:color w:val="000000" w:themeColor="text1"/>
              </w:rPr>
              <w:t>Group</w:t>
            </w:r>
          </w:p>
        </w:tc>
        <w:tc>
          <w:tcPr>
            <w:tcW w:w="486" w:type="pct"/>
            <w:shd w:val="clear" w:color="auto" w:fill="auto"/>
            <w:vAlign w:val="bottom"/>
          </w:tcPr>
          <w:p w14:paraId="45BFCF3F" w14:textId="3F4AB58B" w:rsidR="00FA33C9" w:rsidRPr="00781112" w:rsidRDefault="00FA33C9" w:rsidP="00FA33C9">
            <w:pPr>
              <w:jc w:val="center"/>
              <w:rPr>
                <w:b/>
                <w:color w:val="000000" w:themeColor="text1"/>
              </w:rPr>
            </w:pPr>
            <w:r w:rsidRPr="00781112">
              <w:rPr>
                <w:b/>
                <w:color w:val="000000" w:themeColor="text1"/>
              </w:rPr>
              <w:t>Group Name</w:t>
            </w:r>
          </w:p>
        </w:tc>
        <w:tc>
          <w:tcPr>
            <w:tcW w:w="896" w:type="pct"/>
            <w:shd w:val="clear" w:color="auto" w:fill="auto"/>
          </w:tcPr>
          <w:p w14:paraId="5541073C" w14:textId="30C0F75E" w:rsidR="00FA33C9" w:rsidRPr="00781112" w:rsidRDefault="00FA33C9" w:rsidP="00FA33C9">
            <w:pPr>
              <w:jc w:val="center"/>
              <w:rPr>
                <w:b/>
                <w:color w:val="000000" w:themeColor="text1"/>
              </w:rPr>
            </w:pPr>
            <w:r w:rsidRPr="00781112">
              <w:rPr>
                <w:b/>
                <w:bCs/>
              </w:rPr>
              <w:t>Number of Children with IEPs Scoring At or Above Proficient Against Grade Level Academic Achievement Standards</w:t>
            </w:r>
          </w:p>
        </w:tc>
        <w:tc>
          <w:tcPr>
            <w:tcW w:w="896" w:type="pct"/>
            <w:shd w:val="clear" w:color="auto" w:fill="auto"/>
          </w:tcPr>
          <w:p w14:paraId="3ABF5E71" w14:textId="763F0C86" w:rsidR="00FA33C9" w:rsidRPr="00781112" w:rsidRDefault="00FA33C9" w:rsidP="00FA33C9">
            <w:pPr>
              <w:jc w:val="center"/>
              <w:rPr>
                <w:b/>
                <w:color w:val="000000" w:themeColor="text1"/>
              </w:rPr>
            </w:pPr>
            <w:r w:rsidRPr="00781112">
              <w:rPr>
                <w:b/>
                <w:bCs/>
              </w:rPr>
              <w:t>Number of Children with IEPs who Received a Valid Score and for whom a Proficiency Level was Assigned for the Regular Assessment</w:t>
            </w:r>
          </w:p>
        </w:tc>
        <w:tc>
          <w:tcPr>
            <w:tcW w:w="500" w:type="pct"/>
            <w:shd w:val="clear" w:color="auto" w:fill="auto"/>
            <w:vAlign w:val="bottom"/>
          </w:tcPr>
          <w:p w14:paraId="5A96E021" w14:textId="4847408C" w:rsidR="00FA33C9" w:rsidRPr="00073BD7" w:rsidRDefault="00FA33C9" w:rsidP="00FA33C9">
            <w:pPr>
              <w:jc w:val="center"/>
              <w:rPr>
                <w:b/>
                <w:bCs/>
                <w:color w:val="000000" w:themeColor="text1"/>
              </w:rPr>
            </w:pPr>
            <w:r w:rsidRPr="00073BD7">
              <w:rPr>
                <w:b/>
                <w:bCs/>
              </w:rPr>
              <w:t>FFY 2022 Data</w:t>
            </w:r>
          </w:p>
        </w:tc>
        <w:tc>
          <w:tcPr>
            <w:tcW w:w="500" w:type="pct"/>
            <w:shd w:val="clear" w:color="auto" w:fill="auto"/>
            <w:vAlign w:val="bottom"/>
          </w:tcPr>
          <w:p w14:paraId="69212BFA" w14:textId="70841239" w:rsidR="00FA33C9" w:rsidRPr="00073BD7" w:rsidRDefault="00FA33C9" w:rsidP="00FA33C9">
            <w:pPr>
              <w:jc w:val="center"/>
              <w:rPr>
                <w:b/>
                <w:bCs/>
                <w:color w:val="000000" w:themeColor="text1"/>
              </w:rPr>
            </w:pPr>
            <w:r w:rsidRPr="00073BD7">
              <w:rPr>
                <w:b/>
                <w:bCs/>
              </w:rPr>
              <w:t>FFY 2023 Target</w:t>
            </w:r>
          </w:p>
        </w:tc>
        <w:tc>
          <w:tcPr>
            <w:tcW w:w="500" w:type="pct"/>
            <w:shd w:val="clear" w:color="auto" w:fill="auto"/>
            <w:vAlign w:val="bottom"/>
          </w:tcPr>
          <w:p w14:paraId="38A0F56E" w14:textId="15BC0CF8" w:rsidR="00FA33C9" w:rsidRPr="00073BD7" w:rsidRDefault="00FA33C9" w:rsidP="00FA33C9">
            <w:pPr>
              <w:jc w:val="center"/>
              <w:rPr>
                <w:b/>
                <w:bCs/>
                <w:color w:val="000000" w:themeColor="text1"/>
              </w:rPr>
            </w:pPr>
            <w:r w:rsidRPr="00073BD7">
              <w:rPr>
                <w:b/>
                <w:bCs/>
              </w:rPr>
              <w:t>FFY 2023 Data</w:t>
            </w:r>
          </w:p>
        </w:tc>
        <w:tc>
          <w:tcPr>
            <w:tcW w:w="500" w:type="pct"/>
            <w:shd w:val="clear" w:color="auto" w:fill="auto"/>
            <w:vAlign w:val="bottom"/>
          </w:tcPr>
          <w:p w14:paraId="11F44E1D" w14:textId="39A61F57" w:rsidR="00FA33C9" w:rsidRPr="00781112" w:rsidRDefault="00FA33C9" w:rsidP="00FA33C9">
            <w:pPr>
              <w:jc w:val="center"/>
              <w:rPr>
                <w:b/>
                <w:color w:val="000000" w:themeColor="text1"/>
              </w:rPr>
            </w:pPr>
            <w:r w:rsidRPr="00781112">
              <w:rPr>
                <w:b/>
                <w:color w:val="000000" w:themeColor="text1"/>
              </w:rPr>
              <w:t>Status</w:t>
            </w:r>
          </w:p>
        </w:tc>
        <w:tc>
          <w:tcPr>
            <w:tcW w:w="499" w:type="pct"/>
            <w:shd w:val="clear" w:color="auto" w:fill="auto"/>
            <w:vAlign w:val="bottom"/>
          </w:tcPr>
          <w:p w14:paraId="64655725" w14:textId="350D326F" w:rsidR="00FA33C9" w:rsidRPr="00781112" w:rsidRDefault="00FA33C9" w:rsidP="00FA33C9">
            <w:pPr>
              <w:jc w:val="center"/>
              <w:rPr>
                <w:b/>
                <w:color w:val="000000" w:themeColor="text1"/>
              </w:rPr>
            </w:pPr>
            <w:r w:rsidRPr="00781112">
              <w:rPr>
                <w:b/>
                <w:color w:val="000000" w:themeColor="text1"/>
              </w:rPr>
              <w:t>Slippage</w:t>
            </w:r>
          </w:p>
        </w:tc>
      </w:tr>
      <w:tr w:rsidR="00242D8A" w:rsidRPr="00781112" w14:paraId="14220C43" w14:textId="77777777" w:rsidTr="00242D8A">
        <w:trPr>
          <w:jc w:val="center"/>
        </w:trPr>
        <w:tc>
          <w:tcPr>
            <w:tcW w:w="223" w:type="pct"/>
            <w:shd w:val="clear" w:color="auto" w:fill="auto"/>
            <w:vAlign w:val="center"/>
          </w:tcPr>
          <w:p w14:paraId="16A9CDD2" w14:textId="5DBA3D3A" w:rsidR="00242D8A" w:rsidRPr="00781112" w:rsidRDefault="00242D8A" w:rsidP="00242D8A">
            <w:pPr>
              <w:pStyle w:val="Default"/>
              <w:jc w:val="center"/>
              <w:rPr>
                <w:b/>
                <w:color w:val="000000" w:themeColor="text1"/>
                <w:sz w:val="16"/>
                <w:szCs w:val="16"/>
              </w:rPr>
            </w:pPr>
            <w:r w:rsidRPr="00781112">
              <w:rPr>
                <w:rFonts w:eastAsiaTheme="minorHAnsi"/>
                <w:b/>
                <w:color w:val="000000" w:themeColor="text1"/>
                <w:sz w:val="16"/>
                <w:szCs w:val="16"/>
              </w:rPr>
              <w:t>A</w:t>
            </w:r>
          </w:p>
        </w:tc>
        <w:tc>
          <w:tcPr>
            <w:tcW w:w="486" w:type="pct"/>
            <w:shd w:val="clear" w:color="auto" w:fill="auto"/>
            <w:vAlign w:val="center"/>
          </w:tcPr>
          <w:p w14:paraId="1392C443" w14:textId="646DC1A9"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4</w:t>
            </w:r>
          </w:p>
        </w:tc>
        <w:tc>
          <w:tcPr>
            <w:tcW w:w="896" w:type="pct"/>
            <w:shd w:val="clear" w:color="auto" w:fill="auto"/>
            <w:vAlign w:val="center"/>
          </w:tcPr>
          <w:p w14:paraId="0B49B780" w14:textId="151DA31E" w:rsidR="00242D8A" w:rsidRPr="00781112" w:rsidRDefault="00242D8A" w:rsidP="00242D8A">
            <w:pPr>
              <w:jc w:val="center"/>
              <w:rPr>
                <w:rFonts w:cs="Arial"/>
                <w:color w:val="000000" w:themeColor="text1"/>
                <w:szCs w:val="16"/>
              </w:rPr>
            </w:pPr>
            <w:r w:rsidRPr="00781112">
              <w:rPr>
                <w:rFonts w:cs="Arial"/>
                <w:color w:val="000000" w:themeColor="text1"/>
                <w:szCs w:val="16"/>
              </w:rPr>
              <w:t>1,230</w:t>
            </w:r>
          </w:p>
        </w:tc>
        <w:tc>
          <w:tcPr>
            <w:tcW w:w="896" w:type="pct"/>
            <w:shd w:val="clear" w:color="auto" w:fill="auto"/>
            <w:vAlign w:val="center"/>
          </w:tcPr>
          <w:p w14:paraId="2611648C" w14:textId="77D930AD" w:rsidR="00242D8A" w:rsidRPr="00781112" w:rsidRDefault="00242D8A" w:rsidP="00242D8A">
            <w:pPr>
              <w:jc w:val="center"/>
              <w:rPr>
                <w:rFonts w:cs="Arial"/>
                <w:color w:val="000000" w:themeColor="text1"/>
                <w:szCs w:val="16"/>
              </w:rPr>
            </w:pPr>
            <w:r w:rsidRPr="00242D8A">
              <w:rPr>
                <w:rFonts w:cs="Arial"/>
                <w:color w:val="000000" w:themeColor="text1"/>
                <w:szCs w:val="16"/>
              </w:rPr>
              <w:t>6,149</w:t>
            </w:r>
          </w:p>
        </w:tc>
        <w:tc>
          <w:tcPr>
            <w:tcW w:w="500" w:type="pct"/>
            <w:shd w:val="clear" w:color="auto" w:fill="auto"/>
            <w:vAlign w:val="center"/>
          </w:tcPr>
          <w:p w14:paraId="044B076F" w14:textId="2D73EFD2" w:rsidR="00242D8A" w:rsidRPr="00781112" w:rsidRDefault="00242D8A" w:rsidP="00242D8A">
            <w:pPr>
              <w:jc w:val="center"/>
              <w:rPr>
                <w:rFonts w:cs="Arial"/>
                <w:color w:val="000000" w:themeColor="text1"/>
                <w:szCs w:val="16"/>
              </w:rPr>
            </w:pPr>
            <w:r w:rsidRPr="00781112">
              <w:rPr>
                <w:rFonts w:cs="Arial"/>
                <w:color w:val="000000" w:themeColor="text1"/>
                <w:szCs w:val="16"/>
              </w:rPr>
              <w:t>19.44%</w:t>
            </w:r>
          </w:p>
        </w:tc>
        <w:tc>
          <w:tcPr>
            <w:tcW w:w="500" w:type="pct"/>
            <w:shd w:val="clear" w:color="auto" w:fill="auto"/>
            <w:vAlign w:val="center"/>
          </w:tcPr>
          <w:p w14:paraId="4D68E61F" w14:textId="36DB0B83" w:rsidR="00242D8A" w:rsidRPr="00781112" w:rsidRDefault="00242D8A" w:rsidP="00242D8A">
            <w:pPr>
              <w:jc w:val="center"/>
              <w:rPr>
                <w:rFonts w:cs="Arial"/>
                <w:color w:val="000000" w:themeColor="text1"/>
                <w:szCs w:val="16"/>
              </w:rPr>
            </w:pPr>
            <w:r w:rsidRPr="00781112">
              <w:rPr>
                <w:rFonts w:cs="Arial"/>
                <w:color w:val="000000" w:themeColor="text1"/>
                <w:szCs w:val="16"/>
              </w:rPr>
              <w:t>20.10%</w:t>
            </w:r>
          </w:p>
        </w:tc>
        <w:tc>
          <w:tcPr>
            <w:tcW w:w="500" w:type="pct"/>
            <w:shd w:val="clear" w:color="auto" w:fill="auto"/>
            <w:vAlign w:val="center"/>
          </w:tcPr>
          <w:p w14:paraId="4C5100F6" w14:textId="23EB35C9" w:rsidR="00242D8A" w:rsidRPr="00781112" w:rsidRDefault="00242D8A" w:rsidP="00242D8A">
            <w:pPr>
              <w:jc w:val="center"/>
              <w:rPr>
                <w:rFonts w:cs="Arial"/>
                <w:color w:val="000000" w:themeColor="text1"/>
                <w:szCs w:val="16"/>
              </w:rPr>
            </w:pPr>
            <w:r w:rsidRPr="00781112">
              <w:rPr>
                <w:rFonts w:cs="Arial"/>
                <w:color w:val="000000" w:themeColor="text1"/>
                <w:szCs w:val="16"/>
              </w:rPr>
              <w:t>20.00%</w:t>
            </w:r>
          </w:p>
        </w:tc>
        <w:tc>
          <w:tcPr>
            <w:tcW w:w="500" w:type="pct"/>
            <w:shd w:val="clear" w:color="auto" w:fill="auto"/>
            <w:vAlign w:val="center"/>
          </w:tcPr>
          <w:p w14:paraId="5A9EC511" w14:textId="6D6B7DF8"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17FB0601" w14:textId="6AA7FF5B"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33C5CE6C" w14:textId="77777777" w:rsidTr="00242D8A">
        <w:trPr>
          <w:jc w:val="center"/>
        </w:trPr>
        <w:tc>
          <w:tcPr>
            <w:tcW w:w="223" w:type="pct"/>
            <w:shd w:val="clear" w:color="auto" w:fill="auto"/>
            <w:vAlign w:val="center"/>
          </w:tcPr>
          <w:p w14:paraId="17123B1B" w14:textId="50BB2C71" w:rsidR="00242D8A" w:rsidRPr="00781112" w:rsidRDefault="00242D8A" w:rsidP="00242D8A">
            <w:pPr>
              <w:pStyle w:val="Default"/>
              <w:jc w:val="center"/>
              <w:rPr>
                <w:b/>
                <w:color w:val="000000" w:themeColor="text1"/>
                <w:sz w:val="16"/>
                <w:szCs w:val="16"/>
              </w:rPr>
            </w:pPr>
            <w:r w:rsidRPr="00781112">
              <w:rPr>
                <w:b/>
                <w:color w:val="000000" w:themeColor="text1"/>
                <w:sz w:val="16"/>
                <w:szCs w:val="16"/>
              </w:rPr>
              <w:t>B</w:t>
            </w:r>
          </w:p>
        </w:tc>
        <w:tc>
          <w:tcPr>
            <w:tcW w:w="486" w:type="pct"/>
            <w:shd w:val="clear" w:color="auto" w:fill="auto"/>
            <w:vAlign w:val="center"/>
          </w:tcPr>
          <w:p w14:paraId="45DA42B4" w14:textId="04F51E55"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8</w:t>
            </w:r>
          </w:p>
        </w:tc>
        <w:tc>
          <w:tcPr>
            <w:tcW w:w="896" w:type="pct"/>
            <w:shd w:val="clear" w:color="auto" w:fill="auto"/>
            <w:vAlign w:val="center"/>
          </w:tcPr>
          <w:p w14:paraId="31722F1C" w14:textId="2D076448" w:rsidR="00242D8A" w:rsidRPr="00781112" w:rsidRDefault="00242D8A" w:rsidP="00242D8A">
            <w:pPr>
              <w:jc w:val="center"/>
              <w:rPr>
                <w:rFonts w:cs="Arial"/>
                <w:color w:val="000000" w:themeColor="text1"/>
                <w:szCs w:val="16"/>
              </w:rPr>
            </w:pPr>
            <w:r w:rsidRPr="00781112">
              <w:rPr>
                <w:rFonts w:cs="Arial"/>
                <w:color w:val="000000" w:themeColor="text1"/>
                <w:szCs w:val="16"/>
              </w:rPr>
              <w:t>413</w:t>
            </w:r>
          </w:p>
        </w:tc>
        <w:tc>
          <w:tcPr>
            <w:tcW w:w="896" w:type="pct"/>
            <w:shd w:val="clear" w:color="auto" w:fill="auto"/>
            <w:vAlign w:val="center"/>
          </w:tcPr>
          <w:p w14:paraId="048616C6" w14:textId="622D5B53" w:rsidR="00242D8A" w:rsidRPr="00781112" w:rsidRDefault="00242D8A" w:rsidP="00242D8A">
            <w:pPr>
              <w:jc w:val="center"/>
              <w:rPr>
                <w:rFonts w:cs="Arial"/>
                <w:color w:val="000000" w:themeColor="text1"/>
                <w:szCs w:val="16"/>
              </w:rPr>
            </w:pPr>
            <w:r w:rsidRPr="00242D8A">
              <w:rPr>
                <w:rFonts w:cs="Arial"/>
                <w:color w:val="000000" w:themeColor="text1"/>
                <w:szCs w:val="16"/>
              </w:rPr>
              <w:t>5,110</w:t>
            </w:r>
          </w:p>
        </w:tc>
        <w:tc>
          <w:tcPr>
            <w:tcW w:w="500" w:type="pct"/>
            <w:shd w:val="clear" w:color="auto" w:fill="auto"/>
            <w:vAlign w:val="center"/>
          </w:tcPr>
          <w:p w14:paraId="272455FD" w14:textId="25614537" w:rsidR="00242D8A" w:rsidRPr="00781112" w:rsidRDefault="00242D8A" w:rsidP="00242D8A">
            <w:pPr>
              <w:jc w:val="center"/>
              <w:rPr>
                <w:rFonts w:cs="Arial"/>
                <w:color w:val="000000" w:themeColor="text1"/>
                <w:szCs w:val="16"/>
              </w:rPr>
            </w:pPr>
            <w:r w:rsidRPr="00781112">
              <w:rPr>
                <w:rFonts w:cs="Arial"/>
                <w:color w:val="000000" w:themeColor="text1"/>
                <w:szCs w:val="16"/>
              </w:rPr>
              <w:t>6.68%</w:t>
            </w:r>
          </w:p>
        </w:tc>
        <w:tc>
          <w:tcPr>
            <w:tcW w:w="500" w:type="pct"/>
            <w:shd w:val="clear" w:color="auto" w:fill="auto"/>
            <w:vAlign w:val="center"/>
          </w:tcPr>
          <w:p w14:paraId="38039D42" w14:textId="45468742" w:rsidR="00242D8A" w:rsidRPr="00781112" w:rsidRDefault="00242D8A" w:rsidP="00242D8A">
            <w:pPr>
              <w:jc w:val="center"/>
              <w:rPr>
                <w:rFonts w:cs="Arial"/>
                <w:color w:val="000000" w:themeColor="text1"/>
                <w:szCs w:val="16"/>
              </w:rPr>
            </w:pPr>
            <w:r w:rsidRPr="00781112">
              <w:rPr>
                <w:rFonts w:cs="Arial"/>
                <w:color w:val="000000" w:themeColor="text1"/>
                <w:szCs w:val="16"/>
              </w:rPr>
              <w:t>9.75%</w:t>
            </w:r>
          </w:p>
        </w:tc>
        <w:tc>
          <w:tcPr>
            <w:tcW w:w="500" w:type="pct"/>
            <w:shd w:val="clear" w:color="auto" w:fill="auto"/>
            <w:vAlign w:val="center"/>
          </w:tcPr>
          <w:p w14:paraId="7DB4B85A" w14:textId="6DFB205A" w:rsidR="00242D8A" w:rsidRPr="00781112" w:rsidRDefault="00242D8A" w:rsidP="00242D8A">
            <w:pPr>
              <w:jc w:val="center"/>
              <w:rPr>
                <w:rFonts w:cs="Arial"/>
                <w:color w:val="000000" w:themeColor="text1"/>
                <w:szCs w:val="16"/>
              </w:rPr>
            </w:pPr>
            <w:r w:rsidRPr="00781112">
              <w:rPr>
                <w:rFonts w:cs="Arial"/>
                <w:color w:val="000000" w:themeColor="text1"/>
                <w:szCs w:val="16"/>
              </w:rPr>
              <w:t>8.08%</w:t>
            </w:r>
          </w:p>
        </w:tc>
        <w:tc>
          <w:tcPr>
            <w:tcW w:w="500" w:type="pct"/>
            <w:shd w:val="clear" w:color="auto" w:fill="auto"/>
            <w:vAlign w:val="center"/>
          </w:tcPr>
          <w:p w14:paraId="19114A8F" w14:textId="4F4B3C10"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47661F26" w14:textId="727C9546"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r w:rsidR="00242D8A" w:rsidRPr="00781112" w14:paraId="573A5711" w14:textId="77777777" w:rsidTr="00242D8A">
        <w:trPr>
          <w:jc w:val="center"/>
        </w:trPr>
        <w:tc>
          <w:tcPr>
            <w:tcW w:w="223" w:type="pct"/>
            <w:shd w:val="clear" w:color="auto" w:fill="auto"/>
            <w:vAlign w:val="center"/>
          </w:tcPr>
          <w:p w14:paraId="3C25BE15" w14:textId="77777777" w:rsidR="00242D8A" w:rsidRPr="00781112" w:rsidRDefault="00242D8A" w:rsidP="00242D8A">
            <w:pPr>
              <w:pStyle w:val="Default"/>
              <w:jc w:val="center"/>
              <w:rPr>
                <w:rFonts w:eastAsiaTheme="minorHAnsi"/>
                <w:color w:val="000000" w:themeColor="text1"/>
                <w:sz w:val="16"/>
                <w:szCs w:val="16"/>
              </w:rPr>
            </w:pPr>
            <w:r w:rsidRPr="00781112">
              <w:rPr>
                <w:b/>
                <w:color w:val="000000" w:themeColor="text1"/>
                <w:sz w:val="16"/>
                <w:szCs w:val="16"/>
              </w:rPr>
              <w:t>C</w:t>
            </w:r>
          </w:p>
        </w:tc>
        <w:tc>
          <w:tcPr>
            <w:tcW w:w="486" w:type="pct"/>
            <w:shd w:val="clear" w:color="auto" w:fill="auto"/>
            <w:vAlign w:val="center"/>
          </w:tcPr>
          <w:p w14:paraId="1B1F6BC3" w14:textId="7816ECC7" w:rsidR="00242D8A" w:rsidRPr="00781112" w:rsidDel="00DE5045" w:rsidRDefault="00242D8A" w:rsidP="00242D8A">
            <w:pPr>
              <w:jc w:val="center"/>
              <w:rPr>
                <w:rFonts w:cs="Arial"/>
                <w:color w:val="000000" w:themeColor="text1"/>
                <w:szCs w:val="16"/>
              </w:rPr>
            </w:pPr>
            <w:r w:rsidRPr="00781112">
              <w:rPr>
                <w:rFonts w:cs="Arial"/>
                <w:color w:val="000000" w:themeColor="text1"/>
                <w:szCs w:val="16"/>
              </w:rPr>
              <w:t>Grade HS</w:t>
            </w:r>
          </w:p>
        </w:tc>
        <w:tc>
          <w:tcPr>
            <w:tcW w:w="896" w:type="pct"/>
            <w:shd w:val="clear" w:color="auto" w:fill="auto"/>
            <w:vAlign w:val="center"/>
          </w:tcPr>
          <w:p w14:paraId="0EFA1043" w14:textId="0F9EE258" w:rsidR="00242D8A" w:rsidRPr="00781112" w:rsidRDefault="00242D8A" w:rsidP="00242D8A">
            <w:pPr>
              <w:jc w:val="center"/>
              <w:rPr>
                <w:rFonts w:cs="Arial"/>
                <w:color w:val="000000" w:themeColor="text1"/>
                <w:szCs w:val="16"/>
              </w:rPr>
            </w:pPr>
            <w:r w:rsidRPr="00781112">
              <w:rPr>
                <w:rFonts w:cs="Arial"/>
                <w:color w:val="000000" w:themeColor="text1"/>
                <w:szCs w:val="16"/>
              </w:rPr>
              <w:t>155</w:t>
            </w:r>
          </w:p>
        </w:tc>
        <w:tc>
          <w:tcPr>
            <w:tcW w:w="896" w:type="pct"/>
            <w:shd w:val="clear" w:color="auto" w:fill="auto"/>
            <w:vAlign w:val="center"/>
          </w:tcPr>
          <w:p w14:paraId="2A4E8BA5" w14:textId="01157060" w:rsidR="00242D8A" w:rsidRPr="00781112" w:rsidRDefault="00242D8A" w:rsidP="00242D8A">
            <w:pPr>
              <w:jc w:val="center"/>
              <w:rPr>
                <w:rFonts w:cs="Arial"/>
                <w:color w:val="000000" w:themeColor="text1"/>
                <w:szCs w:val="16"/>
              </w:rPr>
            </w:pPr>
            <w:r w:rsidRPr="00242D8A">
              <w:rPr>
                <w:rFonts w:cs="Arial"/>
                <w:color w:val="000000" w:themeColor="text1"/>
                <w:szCs w:val="16"/>
              </w:rPr>
              <w:t>3,205</w:t>
            </w:r>
          </w:p>
        </w:tc>
        <w:tc>
          <w:tcPr>
            <w:tcW w:w="500" w:type="pct"/>
            <w:shd w:val="clear" w:color="auto" w:fill="auto"/>
            <w:vAlign w:val="center"/>
          </w:tcPr>
          <w:p w14:paraId="2250005A" w14:textId="360EA34B" w:rsidR="00242D8A" w:rsidRPr="00781112" w:rsidRDefault="00242D8A" w:rsidP="00242D8A">
            <w:pPr>
              <w:jc w:val="center"/>
              <w:rPr>
                <w:rFonts w:cs="Arial"/>
                <w:color w:val="000000" w:themeColor="text1"/>
                <w:szCs w:val="16"/>
              </w:rPr>
            </w:pPr>
            <w:r w:rsidRPr="00781112">
              <w:rPr>
                <w:rFonts w:cs="Arial"/>
                <w:color w:val="000000" w:themeColor="text1"/>
                <w:szCs w:val="16"/>
              </w:rPr>
              <w:t>3.83%</w:t>
            </w:r>
          </w:p>
        </w:tc>
        <w:tc>
          <w:tcPr>
            <w:tcW w:w="500" w:type="pct"/>
            <w:shd w:val="clear" w:color="auto" w:fill="auto"/>
            <w:vAlign w:val="center"/>
          </w:tcPr>
          <w:p w14:paraId="722A3424" w14:textId="24478E1D" w:rsidR="00242D8A" w:rsidRPr="00781112" w:rsidRDefault="00242D8A" w:rsidP="00242D8A">
            <w:pPr>
              <w:jc w:val="center"/>
              <w:rPr>
                <w:rFonts w:cs="Arial"/>
                <w:color w:val="000000" w:themeColor="text1"/>
                <w:szCs w:val="16"/>
              </w:rPr>
            </w:pPr>
            <w:r w:rsidRPr="00781112">
              <w:rPr>
                <w:rFonts w:cs="Arial"/>
                <w:color w:val="000000" w:themeColor="text1"/>
                <w:szCs w:val="16"/>
              </w:rPr>
              <w:t>6.12%</w:t>
            </w:r>
          </w:p>
        </w:tc>
        <w:tc>
          <w:tcPr>
            <w:tcW w:w="500" w:type="pct"/>
            <w:shd w:val="clear" w:color="auto" w:fill="auto"/>
            <w:vAlign w:val="center"/>
          </w:tcPr>
          <w:p w14:paraId="581F32CD" w14:textId="4D615B60" w:rsidR="00242D8A" w:rsidRPr="00781112" w:rsidRDefault="00242D8A" w:rsidP="00242D8A">
            <w:pPr>
              <w:jc w:val="center"/>
              <w:rPr>
                <w:rFonts w:cs="Arial"/>
                <w:color w:val="000000" w:themeColor="text1"/>
                <w:szCs w:val="16"/>
              </w:rPr>
            </w:pPr>
            <w:r w:rsidRPr="00781112">
              <w:rPr>
                <w:rFonts w:cs="Arial"/>
                <w:color w:val="000000" w:themeColor="text1"/>
                <w:szCs w:val="16"/>
              </w:rPr>
              <w:t>4.84%</w:t>
            </w:r>
          </w:p>
        </w:tc>
        <w:tc>
          <w:tcPr>
            <w:tcW w:w="500" w:type="pct"/>
            <w:shd w:val="clear" w:color="auto" w:fill="auto"/>
            <w:vAlign w:val="center"/>
          </w:tcPr>
          <w:p w14:paraId="3FECC7B3" w14:textId="2C921A8F" w:rsidR="00242D8A" w:rsidRPr="00781112" w:rsidRDefault="00242D8A" w:rsidP="00242D8A">
            <w:pPr>
              <w:jc w:val="center"/>
              <w:rPr>
                <w:rFonts w:cs="Arial"/>
                <w:color w:val="000000" w:themeColor="text1"/>
                <w:szCs w:val="16"/>
              </w:rPr>
            </w:pPr>
            <w:r w:rsidRPr="00781112">
              <w:rPr>
                <w:rFonts w:cs="Arial"/>
                <w:color w:val="000000" w:themeColor="text1"/>
                <w:szCs w:val="16"/>
              </w:rPr>
              <w:t>Did not meet target</w:t>
            </w:r>
          </w:p>
        </w:tc>
        <w:tc>
          <w:tcPr>
            <w:tcW w:w="499" w:type="pct"/>
            <w:shd w:val="clear" w:color="auto" w:fill="auto"/>
            <w:vAlign w:val="center"/>
          </w:tcPr>
          <w:p w14:paraId="79B60713" w14:textId="20FD7180" w:rsidR="00242D8A" w:rsidRPr="00781112" w:rsidRDefault="00242D8A" w:rsidP="00242D8A">
            <w:pPr>
              <w:jc w:val="center"/>
              <w:rPr>
                <w:rFonts w:cs="Arial"/>
                <w:color w:val="000000" w:themeColor="text1"/>
                <w:szCs w:val="16"/>
              </w:rPr>
            </w:pPr>
            <w:r w:rsidRPr="00781112">
              <w:rPr>
                <w:rFonts w:cs="Arial"/>
                <w:color w:val="000000" w:themeColor="text1"/>
                <w:szCs w:val="16"/>
              </w:rPr>
              <w:t>No Slippage</w:t>
            </w:r>
          </w:p>
        </w:tc>
      </w:tr>
    </w:tbl>
    <w:p w14:paraId="197C30C8" w14:textId="77777777" w:rsidR="00CF57A2" w:rsidRPr="00781112" w:rsidRDefault="00CF57A2" w:rsidP="00580134">
      <w:pPr>
        <w:rPr>
          <w:rFonts w:cs="Arial"/>
          <w:iCs/>
          <w:color w:val="000000" w:themeColor="text1"/>
          <w:szCs w:val="16"/>
        </w:rPr>
      </w:pPr>
    </w:p>
    <w:p w14:paraId="3D6382E8" w14:textId="3FF585D4" w:rsidR="00497DE4" w:rsidRPr="00781112" w:rsidRDefault="00497DE4" w:rsidP="004369B2">
      <w:pPr>
        <w:rPr>
          <w:color w:val="000000" w:themeColor="text1"/>
        </w:rPr>
      </w:pPr>
      <w:r w:rsidRPr="00781112">
        <w:rPr>
          <w:b/>
          <w:color w:val="000000" w:themeColor="text1"/>
        </w:rPr>
        <w:t>Regulatory Information</w:t>
      </w:r>
    </w:p>
    <w:p w14:paraId="3C6B4961" w14:textId="47AFDEDF" w:rsidR="00497DE4" w:rsidRPr="00781112" w:rsidRDefault="00A14B5D" w:rsidP="00552927">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r w:rsidR="00497DE4" w:rsidRPr="00781112">
        <w:rPr>
          <w:rFonts w:cs="Arial"/>
          <w:b/>
          <w:color w:val="000000" w:themeColor="text1"/>
          <w:szCs w:val="16"/>
          <w:shd w:val="clear" w:color="auto" w:fill="FFFFFF"/>
        </w:rPr>
        <w:t xml:space="preserve"> </w:t>
      </w:r>
    </w:p>
    <w:p w14:paraId="0071F535" w14:textId="77777777" w:rsidR="00585959" w:rsidRPr="00781112" w:rsidRDefault="00585959" w:rsidP="004369B2">
      <w:pPr>
        <w:rPr>
          <w:color w:val="000000" w:themeColor="text1"/>
        </w:rPr>
      </w:pPr>
    </w:p>
    <w:p w14:paraId="36CE185D" w14:textId="50CA6AD9" w:rsidR="000A5A2E" w:rsidRPr="00781112" w:rsidRDefault="000A5A2E" w:rsidP="004369B2">
      <w:pPr>
        <w:rPr>
          <w:color w:val="000000" w:themeColor="text1"/>
        </w:rPr>
      </w:pPr>
      <w:r w:rsidRPr="00781112">
        <w:rPr>
          <w:b/>
          <w:color w:val="000000" w:themeColor="text1"/>
        </w:rPr>
        <w:t>Public Reporting Information</w:t>
      </w:r>
    </w:p>
    <w:p w14:paraId="09EDA537" w14:textId="77777777" w:rsidR="00E539AB" w:rsidRPr="00781112" w:rsidRDefault="00E539AB" w:rsidP="00E539AB">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11DD1A5" w14:textId="0E809EBD" w:rsidR="00A869E9" w:rsidRPr="00781112" w:rsidRDefault="002B7490" w:rsidP="00E539AB">
      <w:pPr>
        <w:rPr>
          <w:rFonts w:cs="Arial"/>
          <w:color w:val="000000" w:themeColor="text1"/>
          <w:szCs w:val="16"/>
        </w:rPr>
      </w:pPr>
      <w:r w:rsidRPr="00781112">
        <w:rPr>
          <w:rFonts w:cs="Arial"/>
          <w:color w:val="000000" w:themeColor="text1"/>
          <w:szCs w:val="16"/>
        </w:rPr>
        <w:t xml:space="preserve">Public reports of assessment results are provided at https://www.oregon.gov/ode/educator-resources/assessment/Pages/Assessment-Group-Reports.aspx. </w:t>
      </w:r>
      <w:r w:rsidRPr="00781112">
        <w:rPr>
          <w:rFonts w:cs="Arial"/>
          <w:color w:val="000000" w:themeColor="text1"/>
          <w:szCs w:val="16"/>
        </w:rPr>
        <w:br/>
      </w:r>
      <w:r w:rsidRPr="00781112">
        <w:rPr>
          <w:rFonts w:cs="Arial"/>
          <w:color w:val="000000" w:themeColor="text1"/>
          <w:szCs w:val="16"/>
        </w:rPr>
        <w:br/>
        <w:t xml:space="preserve">On this page, there are links to assessment data by subject and year. </w:t>
      </w:r>
      <w:r w:rsidRPr="00781112">
        <w:rPr>
          <w:rFonts w:cs="Arial"/>
          <w:color w:val="000000" w:themeColor="text1"/>
          <w:szCs w:val="16"/>
        </w:rPr>
        <w:br/>
      </w:r>
      <w:r w:rsidRPr="00781112">
        <w:rPr>
          <w:rFonts w:cs="Arial"/>
          <w:color w:val="000000" w:themeColor="text1"/>
          <w:szCs w:val="16"/>
        </w:rPr>
        <w:br/>
        <w:t xml:space="preserve">Statewide ELA assessment information is provided at https://www.oregon.gov/ode/educator-resources/assessment/Documents/TestResults2324/pagr_Districts_ELA_2324.xlsx. </w:t>
      </w:r>
      <w:r w:rsidRPr="00781112">
        <w:rPr>
          <w:rFonts w:cs="Arial"/>
          <w:color w:val="000000" w:themeColor="text1"/>
          <w:szCs w:val="16"/>
        </w:rPr>
        <w:br/>
      </w:r>
      <w:r w:rsidRPr="00781112">
        <w:rPr>
          <w:rFonts w:cs="Arial"/>
          <w:color w:val="000000" w:themeColor="text1"/>
          <w:szCs w:val="16"/>
        </w:rPr>
        <w:br/>
        <w:t xml:space="preserve">Statewide math assessment information is provided at https://www.oregon.gov/ode/educator-resources/assessment/Documents/TestResults2324/pagr_Districts_MATH_2324.xlsx. </w:t>
      </w:r>
    </w:p>
    <w:p w14:paraId="2BE473B4" w14:textId="77777777" w:rsidR="00053391" w:rsidRPr="00781112" w:rsidRDefault="00053391" w:rsidP="004369B2">
      <w:pPr>
        <w:rPr>
          <w:b/>
          <w:color w:val="000000" w:themeColor="text1"/>
        </w:rPr>
      </w:pPr>
      <w:bookmarkStart w:id="16" w:name="_Toc382082367"/>
      <w:bookmarkStart w:id="17" w:name="_Toc392159276"/>
      <w:r w:rsidRPr="00781112">
        <w:rPr>
          <w:b/>
          <w:color w:val="000000" w:themeColor="text1"/>
        </w:rPr>
        <w:t>Provide additional information about this indicator (optional)</w:t>
      </w:r>
    </w:p>
    <w:p w14:paraId="3E9E8793" w14:textId="126D5C73" w:rsidR="00A869E9" w:rsidRPr="00781112" w:rsidRDefault="00A869E9" w:rsidP="000E33D0">
      <w:pPr>
        <w:rPr>
          <w:rFonts w:cs="Arial"/>
          <w:color w:val="000000" w:themeColor="text1"/>
          <w:szCs w:val="16"/>
        </w:rPr>
      </w:pPr>
    </w:p>
    <w:p w14:paraId="7E90E47A" w14:textId="1FCF2660" w:rsidR="000A2C83" w:rsidRPr="00781112" w:rsidRDefault="00573F6C" w:rsidP="005B40C0">
      <w:pPr>
        <w:pStyle w:val="Heading3"/>
      </w:pPr>
      <w:r w:rsidRPr="00781112">
        <w:t>3B</w:t>
      </w:r>
      <w:r w:rsidR="00BB4FD7" w:rsidRPr="00781112">
        <w:t xml:space="preserve"> </w:t>
      </w:r>
      <w:r w:rsidRPr="00781112">
        <w:t xml:space="preserve">- </w:t>
      </w:r>
      <w:r w:rsidR="000A2C83" w:rsidRPr="00781112">
        <w:t>Prior FFY Required Actions</w:t>
      </w:r>
    </w:p>
    <w:p w14:paraId="020116A7" w14:textId="30989224" w:rsidR="00CA1E5A" w:rsidRPr="00781112" w:rsidRDefault="002B7490" w:rsidP="000A2C83">
      <w:pPr>
        <w:rPr>
          <w:rFonts w:cs="Arial"/>
          <w:color w:val="000000" w:themeColor="text1"/>
          <w:szCs w:val="16"/>
        </w:rPr>
      </w:pPr>
      <w:r w:rsidRPr="00781112">
        <w:rPr>
          <w:rFonts w:cs="Arial"/>
          <w:color w:val="000000" w:themeColor="text1"/>
          <w:szCs w:val="16"/>
        </w:rPr>
        <w:t>None</w:t>
      </w:r>
    </w:p>
    <w:p w14:paraId="40E83F51" w14:textId="68FFF50F" w:rsidR="00053391" w:rsidRPr="00781112" w:rsidRDefault="00573F6C" w:rsidP="005B40C0">
      <w:pPr>
        <w:pStyle w:val="Heading3"/>
      </w:pPr>
      <w:r w:rsidRPr="00781112">
        <w:lastRenderedPageBreak/>
        <w:t>3B - OSEP Response</w:t>
      </w:r>
    </w:p>
    <w:p w14:paraId="3ED35024" w14:textId="0A8D2725" w:rsidR="00A869E9" w:rsidRPr="00781112" w:rsidRDefault="00A869E9" w:rsidP="001F692C">
      <w:pPr>
        <w:rPr>
          <w:rFonts w:cs="Arial"/>
          <w:color w:val="000000" w:themeColor="text1"/>
          <w:szCs w:val="16"/>
        </w:rPr>
      </w:pPr>
    </w:p>
    <w:p w14:paraId="4E98DE68" w14:textId="3E692587" w:rsidR="00053391" w:rsidRPr="00781112" w:rsidRDefault="00573F6C" w:rsidP="005B40C0">
      <w:pPr>
        <w:pStyle w:val="Heading3"/>
      </w:pPr>
      <w:r w:rsidRPr="00781112">
        <w:t>3B - Required Actions</w:t>
      </w:r>
    </w:p>
    <w:p w14:paraId="54E3AE73" w14:textId="681577C9" w:rsidR="00A869E9" w:rsidRPr="00781112" w:rsidRDefault="00A869E9" w:rsidP="001F692C">
      <w:pPr>
        <w:rPr>
          <w:rFonts w:cs="Arial"/>
          <w:color w:val="000000" w:themeColor="text1"/>
          <w:szCs w:val="16"/>
        </w:rPr>
      </w:pPr>
    </w:p>
    <w:p w14:paraId="4DBC1CB9" w14:textId="77777777" w:rsidR="00D37BF0" w:rsidRPr="00781112" w:rsidRDefault="00D37BF0">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62E86A4" w14:textId="6BD07048" w:rsidR="009D378C" w:rsidRPr="00781112" w:rsidRDefault="009D378C" w:rsidP="005B40C0">
      <w:pPr>
        <w:pStyle w:val="Heading2"/>
      </w:pPr>
      <w:r w:rsidRPr="00781112">
        <w:rPr>
          <w:color w:val="000000" w:themeColor="text1"/>
          <w:sz w:val="22"/>
        </w:rPr>
        <w:lastRenderedPageBreak/>
        <w:t>Indicator 3C: Proficiency for Children with IEPs (Alternate Academic Achievement Standards)</w:t>
      </w:r>
      <w:bookmarkEnd w:id="16"/>
      <w:bookmarkEnd w:id="17"/>
    </w:p>
    <w:p w14:paraId="52EFBCBE" w14:textId="631E98F3" w:rsidR="008878CC" w:rsidRPr="002C274F" w:rsidRDefault="008878CC" w:rsidP="002C274F">
      <w:pPr>
        <w:rPr>
          <w:b/>
          <w:bCs/>
          <w:sz w:val="20"/>
          <w:szCs w:val="20"/>
        </w:rPr>
      </w:pPr>
      <w:r w:rsidRPr="002C274F">
        <w:rPr>
          <w:b/>
          <w:bCs/>
          <w:sz w:val="20"/>
          <w:szCs w:val="20"/>
        </w:rPr>
        <w:t xml:space="preserve">Instructions and Measurement </w:t>
      </w:r>
    </w:p>
    <w:p w14:paraId="241F1C78" w14:textId="77777777" w:rsidR="000A5A2E" w:rsidRPr="00781112" w:rsidRDefault="000A5A2E" w:rsidP="004369B2">
      <w:pPr>
        <w:rPr>
          <w:color w:val="000000" w:themeColor="text1"/>
        </w:rPr>
      </w:pPr>
      <w:bookmarkStart w:id="18" w:name="_Toc384383330"/>
      <w:bookmarkStart w:id="19" w:name="_Toc392159282"/>
      <w:bookmarkStart w:id="20" w:name="_Toc382082372"/>
      <w:r w:rsidRPr="00781112">
        <w:rPr>
          <w:b/>
          <w:color w:val="000000" w:themeColor="text1"/>
        </w:rPr>
        <w:t xml:space="preserve">Monitoring Priority: </w:t>
      </w:r>
      <w:r w:rsidRPr="00781112">
        <w:rPr>
          <w:color w:val="000000" w:themeColor="text1"/>
        </w:rPr>
        <w:t>FAPE in the LRE</w:t>
      </w:r>
    </w:p>
    <w:p w14:paraId="40B194E0" w14:textId="1AA1580D" w:rsidR="000A5A2E" w:rsidRPr="00781112" w:rsidRDefault="000A5A2E" w:rsidP="00552927">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Participation and performance </w:t>
      </w:r>
      <w:r w:rsidR="00DA7FAE" w:rsidRPr="00781112">
        <w:rPr>
          <w:rFonts w:cs="Arial"/>
          <w:color w:val="000000" w:themeColor="text1"/>
          <w:szCs w:val="16"/>
        </w:rPr>
        <w:t xml:space="preserve">of </w:t>
      </w:r>
      <w:r w:rsidRPr="00781112">
        <w:rPr>
          <w:rFonts w:cs="Arial"/>
          <w:color w:val="000000" w:themeColor="text1"/>
          <w:szCs w:val="16"/>
        </w:rPr>
        <w:t>children with IEPs on statewide assessments:</w:t>
      </w:r>
    </w:p>
    <w:p w14:paraId="7F5EE1F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A. Participation rate for children with IEPs.</w:t>
      </w:r>
    </w:p>
    <w:p w14:paraId="76102D80"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65AE871A"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7381D72B" w14:textId="77777777" w:rsidR="00385214" w:rsidRPr="00781112" w:rsidRDefault="00385214" w:rsidP="00385214">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57288DF2" w14:textId="77777777" w:rsidR="00385214" w:rsidRPr="00781112" w:rsidRDefault="00385214" w:rsidP="00385214">
      <w:pPr>
        <w:rPr>
          <w:rFonts w:cs="Arial"/>
          <w:color w:val="000000" w:themeColor="text1"/>
          <w:szCs w:val="16"/>
        </w:rPr>
      </w:pPr>
      <w:r w:rsidRPr="00781112">
        <w:rPr>
          <w:rFonts w:cs="Arial"/>
          <w:color w:val="000000" w:themeColor="text1"/>
          <w:szCs w:val="16"/>
        </w:rPr>
        <w:t>(20 U.S.C. 1416 (a)(3)(A))</w:t>
      </w:r>
    </w:p>
    <w:p w14:paraId="363AAB3C" w14:textId="77777777" w:rsidR="000A5A2E" w:rsidRPr="00781112" w:rsidRDefault="000A5A2E" w:rsidP="004369B2">
      <w:pPr>
        <w:rPr>
          <w:color w:val="000000" w:themeColor="text1"/>
        </w:rPr>
      </w:pPr>
      <w:r w:rsidRPr="00781112">
        <w:rPr>
          <w:b/>
          <w:color w:val="000000" w:themeColor="text1"/>
        </w:rPr>
        <w:t>Data Source</w:t>
      </w:r>
    </w:p>
    <w:p w14:paraId="274B140A" w14:textId="3ABBB221" w:rsidR="000A5A2E" w:rsidRPr="00781112" w:rsidRDefault="000A5A2E" w:rsidP="00552927">
      <w:pPr>
        <w:rPr>
          <w:rFonts w:cs="Arial"/>
          <w:color w:val="000000" w:themeColor="text1"/>
          <w:szCs w:val="16"/>
        </w:rPr>
      </w:pPr>
      <w:r w:rsidRPr="00781112">
        <w:rPr>
          <w:rFonts w:cs="Arial"/>
          <w:color w:val="000000" w:themeColor="text1"/>
          <w:szCs w:val="16"/>
        </w:rPr>
        <w:t>3C. Same data as used for reporting to the Department under Title I of the ESEA, using ED</w:t>
      </w:r>
      <w:r w:rsidRPr="00BA3DBE">
        <w:rPr>
          <w:rFonts w:cs="Arial"/>
          <w:i/>
          <w:iCs/>
          <w:color w:val="000000" w:themeColor="text1"/>
          <w:szCs w:val="16"/>
        </w:rPr>
        <w:t>Facts</w:t>
      </w:r>
      <w:r w:rsidRPr="00781112">
        <w:rPr>
          <w:rFonts w:cs="Arial"/>
          <w:color w:val="000000" w:themeColor="text1"/>
          <w:szCs w:val="16"/>
        </w:rPr>
        <w:t xml:space="preserve"> file specifications FS175 and 178.</w:t>
      </w:r>
    </w:p>
    <w:p w14:paraId="064C7F6E" w14:textId="77777777" w:rsidR="000A5A2E" w:rsidRPr="00781112" w:rsidRDefault="000A5A2E" w:rsidP="004369B2">
      <w:pPr>
        <w:rPr>
          <w:color w:val="000000" w:themeColor="text1"/>
        </w:rPr>
      </w:pPr>
      <w:r w:rsidRPr="00781112">
        <w:rPr>
          <w:b/>
          <w:color w:val="000000" w:themeColor="text1"/>
        </w:rPr>
        <w:t>Measurement</w:t>
      </w:r>
    </w:p>
    <w:p w14:paraId="7639A7B8" w14:textId="3FA30447" w:rsidR="000A5A2E" w:rsidRPr="00781112" w:rsidRDefault="000A5A2E" w:rsidP="00552927">
      <w:pPr>
        <w:rPr>
          <w:rFonts w:cs="Arial"/>
          <w:color w:val="000000" w:themeColor="text1"/>
          <w:szCs w:val="16"/>
        </w:rPr>
      </w:pPr>
      <w:r w:rsidRPr="00781112">
        <w:rPr>
          <w:rFonts w:cs="Arial"/>
          <w:color w:val="000000" w:themeColor="text1"/>
          <w:szCs w:val="16"/>
        </w:rPr>
        <w:t xml:space="preserve">C. </w:t>
      </w:r>
      <w:r w:rsidR="00385214" w:rsidRPr="00781112">
        <w:rPr>
          <w:rFonts w:cs="Arial"/>
          <w:szCs w:val="16"/>
        </w:rPr>
        <w:t>Proficiency rate percent = [(# of children with IEPs scoring at or above proficient against alternate academic achievement standards) divided by the (total # of children with IEPs who received a valid score and for whom a proficiency level was assigned for the alternate assessment)]. Calculate separately for reading and math</w:t>
      </w:r>
      <w:r w:rsidR="00857A31" w:rsidRPr="00781112">
        <w:rPr>
          <w:rFonts w:cs="Arial"/>
          <w:szCs w:val="16"/>
        </w:rPr>
        <w:t xml:space="preserve">. </w:t>
      </w:r>
      <w:r w:rsidR="00385214" w:rsidRPr="00781112">
        <w:rPr>
          <w:rFonts w:cs="Arial"/>
          <w:szCs w:val="16"/>
        </w:rPr>
        <w:t>Calculate separately for grades 4, 8, and high school. The proficiency rate includes both children with IEPs enrolled for a full academic year and those not enrolled for a full academic year.</w:t>
      </w:r>
    </w:p>
    <w:p w14:paraId="1CE435A8" w14:textId="77777777" w:rsidR="000A5A2E" w:rsidRPr="00781112" w:rsidRDefault="000A5A2E" w:rsidP="004369B2">
      <w:pPr>
        <w:rPr>
          <w:color w:val="000000" w:themeColor="text1"/>
        </w:rPr>
      </w:pPr>
      <w:r w:rsidRPr="00781112">
        <w:rPr>
          <w:b/>
          <w:color w:val="000000" w:themeColor="text1"/>
        </w:rPr>
        <w:t>Instructions</w:t>
      </w:r>
    </w:p>
    <w:p w14:paraId="79EB3296" w14:textId="77777777" w:rsidR="000A5A2E" w:rsidRPr="00781112" w:rsidRDefault="000A5A2E" w:rsidP="00552927">
      <w:pPr>
        <w:rPr>
          <w:rFonts w:cs="Arial"/>
          <w:color w:val="000000" w:themeColor="text1"/>
          <w:szCs w:val="16"/>
        </w:rPr>
      </w:pPr>
      <w:r w:rsidRPr="00781112">
        <w:rPr>
          <w:rFonts w:cs="Arial"/>
          <w:color w:val="000000" w:themeColor="text1"/>
          <w:szCs w:val="16"/>
        </w:rPr>
        <w:t>Describe the results of the calculations and compare the results to the targets. Provide the actual numbers used in the calculation.</w:t>
      </w:r>
    </w:p>
    <w:p w14:paraId="4F00AC69" w14:textId="77777777" w:rsidR="000A5A2E" w:rsidRPr="00781112" w:rsidRDefault="000A5A2E" w:rsidP="00552927">
      <w:pPr>
        <w:rPr>
          <w:rFonts w:cs="Arial"/>
          <w:color w:val="000000" w:themeColor="text1"/>
          <w:szCs w:val="16"/>
        </w:rPr>
      </w:pPr>
      <w:r w:rsidRPr="00781112">
        <w:rPr>
          <w:rFonts w:cs="Arial"/>
          <w:color w:val="000000" w:themeColor="text1"/>
          <w:szCs w:val="16"/>
        </w:rPr>
        <w:t>Include information regarding where to find public reports of assessment participation and performance results, as required by 34 CFR §300.160(f), i.e., a link to the Web site where these data are reported.</w:t>
      </w:r>
    </w:p>
    <w:p w14:paraId="04E96BDA" w14:textId="77777777" w:rsidR="00385214" w:rsidRPr="00781112" w:rsidRDefault="000A5A2E" w:rsidP="00385214">
      <w:pPr>
        <w:rPr>
          <w:rFonts w:cs="Arial"/>
          <w:szCs w:val="16"/>
        </w:rPr>
      </w:pPr>
      <w:r w:rsidRPr="00781112">
        <w:rPr>
          <w:rFonts w:cs="Arial"/>
          <w:color w:val="000000" w:themeColor="text1"/>
          <w:szCs w:val="16"/>
        </w:rPr>
        <w:t xml:space="preserve">Indicator 3C: </w:t>
      </w:r>
      <w:r w:rsidR="00385214" w:rsidRPr="00781112">
        <w:rPr>
          <w:rFonts w:cs="Arial"/>
          <w:szCs w:val="16"/>
        </w:rPr>
        <w:t>Proficiency calculations in this SPP/APR must result in proficiency rates for children with IEPs on the alternate assessment in reading/language arts and mathematics assessments (separately) in each of the following grades: 4, 8, and high school, including both children with IEPs enrolled for a full academic year and those not enrolled for a full academic year. Only include children with disabilities who had an IEP at the time</w:t>
      </w:r>
    </w:p>
    <w:p w14:paraId="1015A11D" w14:textId="071607C2" w:rsidR="000A5A2E" w:rsidRPr="00781112" w:rsidRDefault="00385214" w:rsidP="00385214">
      <w:pPr>
        <w:rPr>
          <w:rFonts w:cs="Arial"/>
          <w:color w:val="000000" w:themeColor="text1"/>
          <w:szCs w:val="16"/>
        </w:rPr>
      </w:pPr>
      <w:r w:rsidRPr="00781112">
        <w:rPr>
          <w:rFonts w:cs="Arial"/>
          <w:szCs w:val="16"/>
        </w:rPr>
        <w:t>of testing.</w:t>
      </w:r>
    </w:p>
    <w:p w14:paraId="7CE600A3" w14:textId="62D18727" w:rsidR="001B5210" w:rsidRPr="00781112" w:rsidRDefault="00573F6C" w:rsidP="005B40C0">
      <w:pPr>
        <w:pStyle w:val="Heading3"/>
      </w:pPr>
      <w:r w:rsidRPr="00781112">
        <w:t>3C</w:t>
      </w:r>
      <w:r w:rsidR="00BB4FD7" w:rsidRPr="00781112">
        <w:t xml:space="preserve"> </w:t>
      </w:r>
      <w:r w:rsidRPr="00781112">
        <w:t xml:space="preserve">- </w:t>
      </w:r>
      <w:r w:rsidR="001B5210" w:rsidRPr="00781112">
        <w:t>Indicator Data</w:t>
      </w:r>
    </w:p>
    <w:p w14:paraId="0B1C0DD7" w14:textId="51BE70AF" w:rsidR="00A10323" w:rsidRPr="00781112" w:rsidRDefault="00A10323">
      <w:pPr>
        <w:rPr>
          <w:b/>
          <w:color w:val="000000" w:themeColor="text1"/>
        </w:rPr>
      </w:pPr>
      <w:r w:rsidRPr="00781112">
        <w:rPr>
          <w:b/>
          <w:color w:val="000000" w:themeColor="text1"/>
        </w:rPr>
        <w:t xml:space="preserve">Historical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HISTDATA"/>
      </w:tblPr>
      <w:tblGrid>
        <w:gridCol w:w="1588"/>
        <w:gridCol w:w="1588"/>
        <w:gridCol w:w="2538"/>
        <w:gridCol w:w="2538"/>
        <w:gridCol w:w="2538"/>
      </w:tblGrid>
      <w:tr w:rsidR="00537221" w:rsidRPr="00781112" w14:paraId="5299B4E6" w14:textId="77777777" w:rsidTr="009725F4">
        <w:trPr>
          <w:trHeight w:val="368"/>
          <w:tblHeader/>
        </w:trPr>
        <w:tc>
          <w:tcPr>
            <w:tcW w:w="736" w:type="pct"/>
            <w:tcBorders>
              <w:top w:val="single" w:sz="4" w:space="0" w:color="auto"/>
            </w:tcBorders>
            <w:vAlign w:val="center"/>
          </w:tcPr>
          <w:p w14:paraId="43B0649B"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611078A1"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4FF0AF06"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5F7760A7"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01C3E0F4" w14:textId="77777777" w:rsidR="00537221" w:rsidRPr="00781112" w:rsidRDefault="00537221" w:rsidP="00827FF4">
            <w:pPr>
              <w:jc w:val="center"/>
              <w:rPr>
                <w:rFonts w:cs="Arial"/>
                <w:b/>
                <w:color w:val="000000" w:themeColor="text1"/>
                <w:szCs w:val="16"/>
              </w:rPr>
            </w:pPr>
            <w:r w:rsidRPr="00781112">
              <w:rPr>
                <w:rFonts w:cs="Arial"/>
                <w:b/>
                <w:color w:val="000000" w:themeColor="text1"/>
                <w:szCs w:val="16"/>
              </w:rPr>
              <w:t>Baseline Data</w:t>
            </w:r>
          </w:p>
        </w:tc>
      </w:tr>
      <w:tr w:rsidR="00537221" w:rsidRPr="00781112" w14:paraId="62CCD80E" w14:textId="77777777" w:rsidTr="00827FF4">
        <w:trPr>
          <w:trHeight w:val="368"/>
        </w:trPr>
        <w:tc>
          <w:tcPr>
            <w:tcW w:w="736" w:type="pct"/>
            <w:vAlign w:val="center"/>
          </w:tcPr>
          <w:p w14:paraId="6DBDC79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249F4CF1"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0E5785E8" w14:textId="11F5BAE0" w:rsidR="00537221" w:rsidRPr="00781112" w:rsidRDefault="00537221"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4EB8CC47" w14:textId="1B0ED9ED"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281A612" w14:textId="23CB1591" w:rsidR="00537221" w:rsidRPr="00781112" w:rsidRDefault="00537221" w:rsidP="00827FF4">
            <w:pPr>
              <w:spacing w:before="0" w:after="0"/>
              <w:jc w:val="center"/>
              <w:rPr>
                <w:color w:val="000000" w:themeColor="text1"/>
              </w:rPr>
            </w:pPr>
            <w:r w:rsidRPr="00781112">
              <w:rPr>
                <w:rFonts w:cs="Arial"/>
                <w:color w:val="000000" w:themeColor="text1"/>
                <w:szCs w:val="16"/>
              </w:rPr>
              <w:t>22.22%</w:t>
            </w:r>
          </w:p>
        </w:tc>
      </w:tr>
      <w:tr w:rsidR="00537221" w:rsidRPr="00781112" w14:paraId="1C24E702" w14:textId="77777777" w:rsidTr="00827FF4">
        <w:trPr>
          <w:trHeight w:val="368"/>
        </w:trPr>
        <w:tc>
          <w:tcPr>
            <w:tcW w:w="736" w:type="pct"/>
            <w:vAlign w:val="center"/>
          </w:tcPr>
          <w:p w14:paraId="678970EB"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1EBDCD6D"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727E9135" w14:textId="4107258E"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7C958A72" w14:textId="4A38962C"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FED42B6" w14:textId="77E5EAC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48.48%</w:t>
            </w:r>
          </w:p>
        </w:tc>
      </w:tr>
      <w:tr w:rsidR="00537221" w:rsidRPr="00781112" w14:paraId="59B71803" w14:textId="77777777" w:rsidTr="00827FF4">
        <w:trPr>
          <w:trHeight w:val="368"/>
        </w:trPr>
        <w:tc>
          <w:tcPr>
            <w:tcW w:w="736" w:type="pct"/>
            <w:vAlign w:val="center"/>
          </w:tcPr>
          <w:p w14:paraId="4EBEF59E"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EE18997"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7D681B80" w14:textId="4A6DABFD" w:rsidR="00537221" w:rsidRPr="00781112" w:rsidRDefault="00537221"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1DF3FFCD" w14:textId="6C6BE9F1"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4A93084" w14:textId="02FAA503"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53.95%</w:t>
            </w:r>
          </w:p>
        </w:tc>
      </w:tr>
      <w:tr w:rsidR="00537221" w:rsidRPr="00781112" w14:paraId="05A06BC9" w14:textId="77777777" w:rsidTr="00827FF4">
        <w:trPr>
          <w:trHeight w:val="368"/>
        </w:trPr>
        <w:tc>
          <w:tcPr>
            <w:tcW w:w="736" w:type="pct"/>
            <w:vAlign w:val="center"/>
          </w:tcPr>
          <w:p w14:paraId="6020FFAF"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CFDB92F"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5CB62D65" w14:textId="5E527C8F"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F85621" w14:textId="1D815BA8"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790D130A" w14:textId="06A6107B"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22.09%</w:t>
            </w:r>
          </w:p>
        </w:tc>
      </w:tr>
      <w:tr w:rsidR="00537221" w:rsidRPr="00781112" w14:paraId="086B388C" w14:textId="77777777" w:rsidTr="00827FF4">
        <w:trPr>
          <w:trHeight w:val="368"/>
        </w:trPr>
        <w:tc>
          <w:tcPr>
            <w:tcW w:w="736" w:type="pct"/>
            <w:vAlign w:val="center"/>
          </w:tcPr>
          <w:p w14:paraId="7653A8F3"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285758E"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4FB850D" w14:textId="54F493D6" w:rsidR="00537221" w:rsidRPr="00781112" w:rsidRDefault="00537221"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502C33F8" w14:textId="45D8525B"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4AD27F52" w14:textId="16DC50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31.25%</w:t>
            </w:r>
          </w:p>
        </w:tc>
      </w:tr>
      <w:tr w:rsidR="00537221" w:rsidRPr="00781112" w14:paraId="43D0DD14" w14:textId="77777777" w:rsidTr="00827FF4">
        <w:trPr>
          <w:trHeight w:val="368"/>
        </w:trPr>
        <w:tc>
          <w:tcPr>
            <w:tcW w:w="736" w:type="pct"/>
            <w:vAlign w:val="center"/>
          </w:tcPr>
          <w:p w14:paraId="1464F87A" w14:textId="77777777" w:rsidR="00537221" w:rsidRPr="00781112" w:rsidRDefault="00537221"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009D1AD8" w14:textId="77777777"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261B7EA0" w14:textId="1CFD2731"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07D595C6" w14:textId="36D54FE7" w:rsidR="00537221" w:rsidRPr="00781112" w:rsidRDefault="00537221"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27DF7D26" w14:textId="3067273D" w:rsidR="00537221" w:rsidRPr="00781112" w:rsidRDefault="00537221" w:rsidP="00827FF4">
            <w:pPr>
              <w:spacing w:before="0" w:after="0"/>
              <w:jc w:val="center"/>
              <w:rPr>
                <w:rFonts w:cs="Arial"/>
                <w:color w:val="000000" w:themeColor="text1"/>
                <w:szCs w:val="16"/>
              </w:rPr>
            </w:pPr>
            <w:r w:rsidRPr="00781112">
              <w:rPr>
                <w:rFonts w:cs="Arial"/>
                <w:color w:val="000000" w:themeColor="text1"/>
                <w:szCs w:val="16"/>
              </w:rPr>
              <w:t>34.67%</w:t>
            </w:r>
          </w:p>
        </w:tc>
      </w:tr>
    </w:tbl>
    <w:p w14:paraId="4679A4B4" w14:textId="77777777" w:rsidR="00537221" w:rsidRPr="00781112" w:rsidRDefault="00537221">
      <w:pPr>
        <w:rPr>
          <w:b/>
          <w:color w:val="000000" w:themeColor="text1"/>
        </w:rPr>
      </w:pPr>
    </w:p>
    <w:p w14:paraId="764C016B" w14:textId="48180105" w:rsidR="00A10323" w:rsidRPr="00781112" w:rsidRDefault="00A10323" w:rsidP="004369B2">
      <w:pPr>
        <w:rPr>
          <w:b/>
          <w:color w:val="000000" w:themeColor="text1"/>
        </w:rPr>
      </w:pPr>
      <w:r w:rsidRPr="00781112">
        <w:rPr>
          <w:b/>
          <w:color w:val="000000" w:themeColor="text1"/>
        </w:rPr>
        <w:t>Targets</w:t>
      </w:r>
    </w:p>
    <w:tbl>
      <w:tblPr>
        <w:tblW w:w="32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CTARGETS"/>
      </w:tblPr>
      <w:tblGrid>
        <w:gridCol w:w="812"/>
        <w:gridCol w:w="697"/>
        <w:gridCol w:w="1739"/>
        <w:gridCol w:w="1256"/>
        <w:gridCol w:w="1256"/>
        <w:gridCol w:w="1256"/>
      </w:tblGrid>
      <w:tr w:rsidR="0094481B" w:rsidRPr="00781112" w14:paraId="6FE97918" w14:textId="1BF8CF9D" w:rsidTr="00FE4611">
        <w:tc>
          <w:tcPr>
            <w:tcW w:w="579" w:type="pct"/>
            <w:tcBorders>
              <w:bottom w:val="single" w:sz="4" w:space="0" w:color="auto"/>
            </w:tcBorders>
            <w:shd w:val="clear" w:color="auto" w:fill="auto"/>
          </w:tcPr>
          <w:p w14:paraId="5CDF6985" w14:textId="5342FC63" w:rsidR="0094481B" w:rsidRPr="00781112" w:rsidRDefault="0094481B" w:rsidP="00561042">
            <w:pPr>
              <w:jc w:val="center"/>
              <w:rPr>
                <w:b/>
                <w:color w:val="000000" w:themeColor="text1"/>
              </w:rPr>
            </w:pPr>
            <w:r w:rsidRPr="00781112">
              <w:rPr>
                <w:b/>
                <w:color w:val="000000" w:themeColor="text1"/>
              </w:rPr>
              <w:t>Subject</w:t>
            </w:r>
          </w:p>
        </w:tc>
        <w:tc>
          <w:tcPr>
            <w:tcW w:w="497" w:type="pct"/>
            <w:tcBorders>
              <w:bottom w:val="single" w:sz="4" w:space="0" w:color="auto"/>
            </w:tcBorders>
            <w:shd w:val="clear" w:color="auto" w:fill="auto"/>
          </w:tcPr>
          <w:p w14:paraId="01DFF2B4" w14:textId="2094C240" w:rsidR="0094481B" w:rsidRPr="00781112" w:rsidRDefault="0094481B" w:rsidP="00561042">
            <w:pPr>
              <w:jc w:val="center"/>
              <w:rPr>
                <w:b/>
                <w:color w:val="000000" w:themeColor="text1"/>
              </w:rPr>
            </w:pPr>
            <w:r w:rsidRPr="00781112">
              <w:rPr>
                <w:b/>
                <w:color w:val="000000" w:themeColor="text1"/>
              </w:rPr>
              <w:t>Group</w:t>
            </w:r>
          </w:p>
        </w:tc>
        <w:tc>
          <w:tcPr>
            <w:tcW w:w="1239" w:type="pct"/>
            <w:shd w:val="clear" w:color="auto" w:fill="auto"/>
          </w:tcPr>
          <w:p w14:paraId="3976F221" w14:textId="32F28582" w:rsidR="0094481B" w:rsidRPr="00781112" w:rsidDel="008E7B87" w:rsidRDefault="0094481B" w:rsidP="00561042">
            <w:pPr>
              <w:jc w:val="center"/>
              <w:rPr>
                <w:b/>
                <w:color w:val="000000" w:themeColor="text1"/>
              </w:rPr>
            </w:pPr>
            <w:r w:rsidRPr="00781112">
              <w:rPr>
                <w:b/>
                <w:color w:val="000000" w:themeColor="text1"/>
              </w:rPr>
              <w:t>Group Name</w:t>
            </w:r>
          </w:p>
        </w:tc>
        <w:tc>
          <w:tcPr>
            <w:tcW w:w="895" w:type="pct"/>
            <w:shd w:val="clear" w:color="auto" w:fill="auto"/>
          </w:tcPr>
          <w:p w14:paraId="076E9FA3" w14:textId="2BDFEC53" w:rsidR="0094481B" w:rsidRPr="00781112" w:rsidRDefault="0094481B" w:rsidP="00561042">
            <w:pPr>
              <w:jc w:val="center"/>
              <w:rPr>
                <w:b/>
                <w:color w:val="000000" w:themeColor="text1"/>
              </w:rPr>
            </w:pPr>
            <w:r w:rsidRPr="00781112">
              <w:rPr>
                <w:b/>
                <w:color w:val="000000" w:themeColor="text1"/>
              </w:rPr>
              <w:t>2023</w:t>
            </w:r>
          </w:p>
        </w:tc>
        <w:tc>
          <w:tcPr>
            <w:tcW w:w="895" w:type="pct"/>
            <w:vAlign w:val="center"/>
          </w:tcPr>
          <w:p w14:paraId="2A95FA03" w14:textId="46828D1C" w:rsidR="0094481B" w:rsidRPr="00781112" w:rsidRDefault="0094481B" w:rsidP="00561042">
            <w:pPr>
              <w:jc w:val="center"/>
              <w:rPr>
                <w:b/>
                <w:color w:val="000000" w:themeColor="text1"/>
              </w:rPr>
            </w:pPr>
            <w:r w:rsidRPr="00781112">
              <w:rPr>
                <w:rFonts w:cs="Arial"/>
                <w:b/>
                <w:color w:val="000000" w:themeColor="text1"/>
                <w:szCs w:val="16"/>
              </w:rPr>
              <w:t>2024</w:t>
            </w:r>
          </w:p>
        </w:tc>
        <w:tc>
          <w:tcPr>
            <w:tcW w:w="895" w:type="pct"/>
            <w:vAlign w:val="center"/>
          </w:tcPr>
          <w:p w14:paraId="56A4FE1C" w14:textId="196C362E" w:rsidR="0094481B" w:rsidRPr="00781112" w:rsidRDefault="0094481B" w:rsidP="00561042">
            <w:pPr>
              <w:jc w:val="center"/>
              <w:rPr>
                <w:b/>
                <w:color w:val="000000" w:themeColor="text1"/>
              </w:rPr>
            </w:pPr>
            <w:r w:rsidRPr="00781112">
              <w:rPr>
                <w:rFonts w:cs="Arial"/>
                <w:b/>
                <w:color w:val="000000" w:themeColor="text1"/>
                <w:szCs w:val="16"/>
              </w:rPr>
              <w:t>2025</w:t>
            </w:r>
          </w:p>
        </w:tc>
      </w:tr>
      <w:tr w:rsidR="0094481B" w:rsidRPr="00781112" w14:paraId="24016D03" w14:textId="0FC0BA7B" w:rsidTr="00FE4611">
        <w:tc>
          <w:tcPr>
            <w:tcW w:w="579" w:type="pct"/>
            <w:shd w:val="clear" w:color="auto" w:fill="auto"/>
            <w:vAlign w:val="center"/>
          </w:tcPr>
          <w:p w14:paraId="6AD78348" w14:textId="77777777"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68D451C5" w14:textId="0D62DF33"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A &gt;=</w:t>
            </w:r>
          </w:p>
        </w:tc>
        <w:tc>
          <w:tcPr>
            <w:tcW w:w="1239" w:type="pct"/>
            <w:shd w:val="clear" w:color="auto" w:fill="auto"/>
            <w:vAlign w:val="center"/>
          </w:tcPr>
          <w:p w14:paraId="10A86524" w14:textId="5A63BB47"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4</w:t>
            </w:r>
          </w:p>
        </w:tc>
        <w:tc>
          <w:tcPr>
            <w:tcW w:w="895" w:type="pct"/>
            <w:shd w:val="clear" w:color="auto" w:fill="auto"/>
            <w:vAlign w:val="center"/>
          </w:tcPr>
          <w:p w14:paraId="3451F312" w14:textId="2295E6F6" w:rsidR="0094481B" w:rsidRPr="00781112" w:rsidRDefault="0094481B" w:rsidP="00D13592">
            <w:pPr>
              <w:jc w:val="center"/>
              <w:rPr>
                <w:rFonts w:cs="Arial"/>
                <w:color w:val="000000" w:themeColor="text1"/>
                <w:szCs w:val="16"/>
              </w:rPr>
            </w:pPr>
            <w:r w:rsidRPr="00781112">
              <w:rPr>
                <w:rFonts w:cs="Arial"/>
                <w:color w:val="000000" w:themeColor="text1"/>
                <w:szCs w:val="16"/>
              </w:rPr>
              <w:t>70.30%</w:t>
            </w:r>
          </w:p>
        </w:tc>
        <w:tc>
          <w:tcPr>
            <w:tcW w:w="895" w:type="pct"/>
            <w:vAlign w:val="center"/>
          </w:tcPr>
          <w:p w14:paraId="1A23D563" w14:textId="56F68959" w:rsidR="0094481B" w:rsidRPr="00781112" w:rsidRDefault="0094481B" w:rsidP="00D13592">
            <w:pPr>
              <w:jc w:val="center"/>
              <w:rPr>
                <w:rFonts w:cs="Arial"/>
                <w:color w:val="000000" w:themeColor="text1"/>
                <w:szCs w:val="16"/>
              </w:rPr>
            </w:pPr>
            <w:r w:rsidRPr="00781112">
              <w:rPr>
                <w:rFonts w:cs="Arial"/>
                <w:color w:val="000000" w:themeColor="text1"/>
                <w:szCs w:val="16"/>
              </w:rPr>
              <w:t>77.43%</w:t>
            </w:r>
          </w:p>
        </w:tc>
        <w:tc>
          <w:tcPr>
            <w:tcW w:w="895" w:type="pct"/>
            <w:vAlign w:val="center"/>
          </w:tcPr>
          <w:p w14:paraId="6BBDE651" w14:textId="47B65FE0" w:rsidR="0094481B" w:rsidRPr="00781112" w:rsidRDefault="0094481B" w:rsidP="00D13592">
            <w:pPr>
              <w:jc w:val="center"/>
              <w:rPr>
                <w:rFonts w:cs="Arial"/>
                <w:color w:val="000000" w:themeColor="text1"/>
                <w:szCs w:val="16"/>
              </w:rPr>
            </w:pPr>
            <w:r w:rsidRPr="00781112">
              <w:rPr>
                <w:rFonts w:cs="Arial"/>
                <w:color w:val="000000" w:themeColor="text1"/>
                <w:szCs w:val="16"/>
              </w:rPr>
              <w:t>84.55%</w:t>
            </w:r>
          </w:p>
        </w:tc>
      </w:tr>
      <w:tr w:rsidR="0094481B" w:rsidRPr="00781112" w14:paraId="4229AE62" w14:textId="33381C2A" w:rsidTr="00FE4611">
        <w:tc>
          <w:tcPr>
            <w:tcW w:w="579" w:type="pct"/>
            <w:shd w:val="clear" w:color="auto" w:fill="auto"/>
            <w:vAlign w:val="center"/>
          </w:tcPr>
          <w:p w14:paraId="65BFCE1A" w14:textId="0D697A5F"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0A529643" w14:textId="25196352"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B &gt;=</w:t>
            </w:r>
          </w:p>
        </w:tc>
        <w:tc>
          <w:tcPr>
            <w:tcW w:w="1239" w:type="pct"/>
            <w:shd w:val="clear" w:color="auto" w:fill="auto"/>
            <w:vAlign w:val="center"/>
          </w:tcPr>
          <w:p w14:paraId="62F8D3A7" w14:textId="0DE3112A"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8</w:t>
            </w:r>
          </w:p>
        </w:tc>
        <w:tc>
          <w:tcPr>
            <w:tcW w:w="895" w:type="pct"/>
            <w:shd w:val="clear" w:color="auto" w:fill="auto"/>
            <w:vAlign w:val="center"/>
          </w:tcPr>
          <w:p w14:paraId="1D5B4183" w14:textId="1238BC64" w:rsidR="0094481B" w:rsidRPr="00781112" w:rsidRDefault="0094481B" w:rsidP="00D13592">
            <w:pPr>
              <w:jc w:val="center"/>
              <w:rPr>
                <w:rFonts w:cs="Arial"/>
                <w:color w:val="000000" w:themeColor="text1"/>
                <w:szCs w:val="16"/>
              </w:rPr>
            </w:pPr>
            <w:r w:rsidRPr="00781112">
              <w:rPr>
                <w:rFonts w:cs="Arial"/>
                <w:color w:val="000000" w:themeColor="text1"/>
                <w:szCs w:val="16"/>
              </w:rPr>
              <w:t>61.42%</w:t>
            </w:r>
          </w:p>
        </w:tc>
        <w:tc>
          <w:tcPr>
            <w:tcW w:w="895" w:type="pct"/>
            <w:vAlign w:val="center"/>
          </w:tcPr>
          <w:p w14:paraId="200F306C" w14:textId="40F15380" w:rsidR="0094481B" w:rsidRPr="00781112" w:rsidRDefault="0094481B" w:rsidP="00D13592">
            <w:pPr>
              <w:jc w:val="center"/>
              <w:rPr>
                <w:rFonts w:cs="Arial"/>
                <w:color w:val="000000" w:themeColor="text1"/>
                <w:szCs w:val="16"/>
              </w:rPr>
            </w:pPr>
            <w:r w:rsidRPr="00781112">
              <w:rPr>
                <w:rFonts w:cs="Arial"/>
                <w:color w:val="000000" w:themeColor="text1"/>
                <w:szCs w:val="16"/>
              </w:rPr>
              <w:t>68.06%</w:t>
            </w:r>
          </w:p>
        </w:tc>
        <w:tc>
          <w:tcPr>
            <w:tcW w:w="895" w:type="pct"/>
            <w:vAlign w:val="center"/>
          </w:tcPr>
          <w:p w14:paraId="01C155DC" w14:textId="32FC3C15" w:rsidR="0094481B" w:rsidRPr="00781112" w:rsidRDefault="0094481B" w:rsidP="00D13592">
            <w:pPr>
              <w:jc w:val="center"/>
              <w:rPr>
                <w:rFonts w:cs="Arial"/>
                <w:color w:val="000000" w:themeColor="text1"/>
                <w:szCs w:val="16"/>
              </w:rPr>
            </w:pPr>
            <w:r w:rsidRPr="00781112">
              <w:rPr>
                <w:rFonts w:cs="Arial"/>
                <w:color w:val="000000" w:themeColor="text1"/>
                <w:szCs w:val="16"/>
              </w:rPr>
              <w:t>74.70%</w:t>
            </w:r>
          </w:p>
        </w:tc>
      </w:tr>
      <w:tr w:rsidR="0094481B" w:rsidRPr="00781112" w14:paraId="53D446D4" w14:textId="31EA6E11" w:rsidTr="00FE4611">
        <w:tc>
          <w:tcPr>
            <w:tcW w:w="579" w:type="pct"/>
            <w:shd w:val="clear" w:color="auto" w:fill="auto"/>
            <w:vAlign w:val="center"/>
          </w:tcPr>
          <w:p w14:paraId="5413BB65" w14:textId="22884284"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Reading</w:t>
            </w:r>
          </w:p>
        </w:tc>
        <w:tc>
          <w:tcPr>
            <w:tcW w:w="497" w:type="pct"/>
            <w:shd w:val="clear" w:color="auto" w:fill="auto"/>
            <w:vAlign w:val="center"/>
          </w:tcPr>
          <w:p w14:paraId="1408EAB6" w14:textId="5A0418AE"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C &gt;=</w:t>
            </w:r>
          </w:p>
        </w:tc>
        <w:tc>
          <w:tcPr>
            <w:tcW w:w="1239" w:type="pct"/>
            <w:shd w:val="clear" w:color="auto" w:fill="auto"/>
            <w:vAlign w:val="center"/>
          </w:tcPr>
          <w:p w14:paraId="6E4FCBFF" w14:textId="158A4AA0"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HS</w:t>
            </w:r>
          </w:p>
        </w:tc>
        <w:tc>
          <w:tcPr>
            <w:tcW w:w="895" w:type="pct"/>
            <w:shd w:val="clear" w:color="auto" w:fill="auto"/>
            <w:vAlign w:val="center"/>
          </w:tcPr>
          <w:p w14:paraId="3520F380" w14:textId="38C36219" w:rsidR="0094481B" w:rsidRPr="00781112" w:rsidRDefault="0094481B" w:rsidP="00D13592">
            <w:pPr>
              <w:jc w:val="center"/>
              <w:rPr>
                <w:rFonts w:cs="Arial"/>
                <w:color w:val="000000" w:themeColor="text1"/>
                <w:szCs w:val="16"/>
              </w:rPr>
            </w:pPr>
            <w:r w:rsidRPr="00781112">
              <w:rPr>
                <w:rFonts w:cs="Arial"/>
                <w:color w:val="000000" w:themeColor="text1"/>
                <w:szCs w:val="16"/>
              </w:rPr>
              <w:t>63.65%</w:t>
            </w:r>
          </w:p>
        </w:tc>
        <w:tc>
          <w:tcPr>
            <w:tcW w:w="895" w:type="pct"/>
            <w:vAlign w:val="center"/>
          </w:tcPr>
          <w:p w14:paraId="3305DD14" w14:textId="4DBBF69C" w:rsidR="0094481B" w:rsidRPr="00781112" w:rsidRDefault="0094481B" w:rsidP="00D13592">
            <w:pPr>
              <w:jc w:val="center"/>
              <w:rPr>
                <w:rFonts w:cs="Arial"/>
                <w:color w:val="000000" w:themeColor="text1"/>
                <w:szCs w:val="16"/>
              </w:rPr>
            </w:pPr>
            <w:r w:rsidRPr="00781112">
              <w:rPr>
                <w:rFonts w:cs="Arial"/>
                <w:color w:val="000000" w:themeColor="text1"/>
                <w:szCs w:val="16"/>
              </w:rPr>
              <w:t>66.92%</w:t>
            </w:r>
          </w:p>
        </w:tc>
        <w:tc>
          <w:tcPr>
            <w:tcW w:w="895" w:type="pct"/>
            <w:vAlign w:val="center"/>
          </w:tcPr>
          <w:p w14:paraId="02FF2601" w14:textId="545909AE" w:rsidR="0094481B" w:rsidRPr="00781112" w:rsidRDefault="0094481B" w:rsidP="00D13592">
            <w:pPr>
              <w:jc w:val="center"/>
              <w:rPr>
                <w:rFonts w:cs="Arial"/>
                <w:color w:val="000000" w:themeColor="text1"/>
                <w:szCs w:val="16"/>
              </w:rPr>
            </w:pPr>
            <w:r w:rsidRPr="00781112">
              <w:rPr>
                <w:rFonts w:cs="Arial"/>
                <w:color w:val="000000" w:themeColor="text1"/>
                <w:szCs w:val="16"/>
              </w:rPr>
              <w:t>70.19%</w:t>
            </w:r>
          </w:p>
        </w:tc>
      </w:tr>
      <w:tr w:rsidR="0094481B" w:rsidRPr="00781112" w14:paraId="4D7E1CB4" w14:textId="31C0C80F" w:rsidTr="00FE4611">
        <w:tc>
          <w:tcPr>
            <w:tcW w:w="579" w:type="pct"/>
            <w:shd w:val="clear" w:color="auto" w:fill="auto"/>
            <w:vAlign w:val="center"/>
          </w:tcPr>
          <w:p w14:paraId="3E17FC71" w14:textId="77777777"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393C59D6" w14:textId="4FA6AC82"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A &gt;=</w:t>
            </w:r>
          </w:p>
        </w:tc>
        <w:tc>
          <w:tcPr>
            <w:tcW w:w="1239" w:type="pct"/>
            <w:shd w:val="clear" w:color="auto" w:fill="auto"/>
            <w:vAlign w:val="center"/>
          </w:tcPr>
          <w:p w14:paraId="06CBBAA1" w14:textId="25010E97"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4</w:t>
            </w:r>
          </w:p>
        </w:tc>
        <w:tc>
          <w:tcPr>
            <w:tcW w:w="895" w:type="pct"/>
            <w:shd w:val="clear" w:color="auto" w:fill="auto"/>
            <w:vAlign w:val="center"/>
          </w:tcPr>
          <w:p w14:paraId="5B4F37F7" w14:textId="0586B65B" w:rsidR="0094481B" w:rsidRPr="00781112" w:rsidRDefault="0094481B" w:rsidP="00D13592">
            <w:pPr>
              <w:jc w:val="center"/>
              <w:rPr>
                <w:rFonts w:cs="Arial"/>
                <w:color w:val="000000" w:themeColor="text1"/>
                <w:szCs w:val="16"/>
              </w:rPr>
            </w:pPr>
            <w:r w:rsidRPr="00781112">
              <w:rPr>
                <w:rFonts w:cs="Arial"/>
                <w:color w:val="000000" w:themeColor="text1"/>
                <w:szCs w:val="16"/>
              </w:rPr>
              <w:t>50.89%</w:t>
            </w:r>
          </w:p>
        </w:tc>
        <w:tc>
          <w:tcPr>
            <w:tcW w:w="895" w:type="pct"/>
            <w:vAlign w:val="center"/>
          </w:tcPr>
          <w:p w14:paraId="5BCC413B" w14:textId="09A05E02" w:rsidR="0094481B" w:rsidRPr="00781112" w:rsidRDefault="0094481B" w:rsidP="00D13592">
            <w:pPr>
              <w:jc w:val="center"/>
              <w:rPr>
                <w:rFonts w:cs="Arial"/>
                <w:color w:val="000000" w:themeColor="text1"/>
                <w:szCs w:val="16"/>
              </w:rPr>
            </w:pPr>
            <w:r w:rsidRPr="00781112">
              <w:rPr>
                <w:rFonts w:cs="Arial"/>
                <w:color w:val="000000" w:themeColor="text1"/>
                <w:szCs w:val="16"/>
              </w:rPr>
              <w:t>57.66%</w:t>
            </w:r>
          </w:p>
        </w:tc>
        <w:tc>
          <w:tcPr>
            <w:tcW w:w="895" w:type="pct"/>
            <w:vAlign w:val="center"/>
          </w:tcPr>
          <w:p w14:paraId="45EF5FCE" w14:textId="00D7D29B" w:rsidR="0094481B" w:rsidRPr="00781112" w:rsidRDefault="0094481B" w:rsidP="00D13592">
            <w:pPr>
              <w:jc w:val="center"/>
              <w:rPr>
                <w:rFonts w:cs="Arial"/>
                <w:color w:val="000000" w:themeColor="text1"/>
                <w:szCs w:val="16"/>
              </w:rPr>
            </w:pPr>
            <w:r w:rsidRPr="00781112">
              <w:rPr>
                <w:rFonts w:cs="Arial"/>
                <w:color w:val="000000" w:themeColor="text1"/>
                <w:szCs w:val="16"/>
              </w:rPr>
              <w:t>64.43%</w:t>
            </w:r>
          </w:p>
        </w:tc>
      </w:tr>
      <w:tr w:rsidR="0094481B" w:rsidRPr="00781112" w14:paraId="6A0B25C6" w14:textId="3CA923D5" w:rsidTr="00FE4611">
        <w:tc>
          <w:tcPr>
            <w:tcW w:w="579" w:type="pct"/>
            <w:shd w:val="clear" w:color="auto" w:fill="auto"/>
            <w:vAlign w:val="center"/>
          </w:tcPr>
          <w:p w14:paraId="7A201508" w14:textId="57E216ED"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3BD3C679" w14:textId="4834DDCE"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B &gt;=</w:t>
            </w:r>
          </w:p>
        </w:tc>
        <w:tc>
          <w:tcPr>
            <w:tcW w:w="1239" w:type="pct"/>
            <w:shd w:val="clear" w:color="auto" w:fill="auto"/>
            <w:vAlign w:val="center"/>
          </w:tcPr>
          <w:p w14:paraId="75E8E6D8" w14:textId="7D040B60"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8</w:t>
            </w:r>
          </w:p>
        </w:tc>
        <w:tc>
          <w:tcPr>
            <w:tcW w:w="895" w:type="pct"/>
            <w:shd w:val="clear" w:color="auto" w:fill="auto"/>
            <w:vAlign w:val="center"/>
          </w:tcPr>
          <w:p w14:paraId="4671DF75" w14:textId="2CD78B1B" w:rsidR="0094481B" w:rsidRPr="00781112" w:rsidRDefault="0094481B" w:rsidP="00D13592">
            <w:pPr>
              <w:jc w:val="center"/>
              <w:rPr>
                <w:rFonts w:cs="Arial"/>
                <w:color w:val="000000" w:themeColor="text1"/>
                <w:szCs w:val="16"/>
              </w:rPr>
            </w:pPr>
            <w:r w:rsidRPr="00781112">
              <w:rPr>
                <w:rFonts w:cs="Arial"/>
                <w:color w:val="000000" w:themeColor="text1"/>
                <w:szCs w:val="16"/>
              </w:rPr>
              <w:t>47.37%</w:t>
            </w:r>
          </w:p>
        </w:tc>
        <w:tc>
          <w:tcPr>
            <w:tcW w:w="895" w:type="pct"/>
            <w:vAlign w:val="center"/>
          </w:tcPr>
          <w:p w14:paraId="0BF63C58" w14:textId="72F24C80" w:rsidR="0094481B" w:rsidRPr="00781112" w:rsidRDefault="0094481B" w:rsidP="00D13592">
            <w:pPr>
              <w:jc w:val="center"/>
              <w:rPr>
                <w:rFonts w:cs="Arial"/>
                <w:color w:val="000000" w:themeColor="text1"/>
                <w:szCs w:val="16"/>
              </w:rPr>
            </w:pPr>
            <w:r w:rsidRPr="00781112">
              <w:rPr>
                <w:rFonts w:cs="Arial"/>
                <w:color w:val="000000" w:themeColor="text1"/>
                <w:szCs w:val="16"/>
              </w:rPr>
              <w:t>50.60%</w:t>
            </w:r>
          </w:p>
        </w:tc>
        <w:tc>
          <w:tcPr>
            <w:tcW w:w="895" w:type="pct"/>
            <w:vAlign w:val="center"/>
          </w:tcPr>
          <w:p w14:paraId="0075BBBD" w14:textId="7AFABF25" w:rsidR="0094481B" w:rsidRPr="00781112" w:rsidRDefault="0094481B" w:rsidP="00D13592">
            <w:pPr>
              <w:jc w:val="center"/>
              <w:rPr>
                <w:rFonts w:cs="Arial"/>
                <w:color w:val="000000" w:themeColor="text1"/>
                <w:szCs w:val="16"/>
              </w:rPr>
            </w:pPr>
            <w:r w:rsidRPr="00781112">
              <w:rPr>
                <w:rFonts w:cs="Arial"/>
                <w:color w:val="000000" w:themeColor="text1"/>
                <w:szCs w:val="16"/>
              </w:rPr>
              <w:t>53.84%</w:t>
            </w:r>
          </w:p>
        </w:tc>
      </w:tr>
      <w:tr w:rsidR="0094481B" w:rsidRPr="00781112" w14:paraId="72653908" w14:textId="04D938F0" w:rsidTr="00FE4611">
        <w:tc>
          <w:tcPr>
            <w:tcW w:w="579" w:type="pct"/>
            <w:shd w:val="clear" w:color="auto" w:fill="auto"/>
            <w:vAlign w:val="center"/>
          </w:tcPr>
          <w:p w14:paraId="48B507DA" w14:textId="179672F1"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Math</w:t>
            </w:r>
          </w:p>
        </w:tc>
        <w:tc>
          <w:tcPr>
            <w:tcW w:w="497" w:type="pct"/>
            <w:shd w:val="clear" w:color="auto" w:fill="auto"/>
            <w:vAlign w:val="center"/>
          </w:tcPr>
          <w:p w14:paraId="63FB17C0" w14:textId="2F2DF4DD" w:rsidR="0094481B" w:rsidRPr="00781112" w:rsidRDefault="0094481B" w:rsidP="00D13592">
            <w:pPr>
              <w:spacing w:before="0" w:after="0"/>
              <w:jc w:val="center"/>
              <w:rPr>
                <w:rFonts w:cs="Arial"/>
                <w:color w:val="000000" w:themeColor="text1"/>
                <w:szCs w:val="16"/>
              </w:rPr>
            </w:pPr>
            <w:r w:rsidRPr="00781112">
              <w:rPr>
                <w:rFonts w:cs="Arial"/>
                <w:color w:val="000000" w:themeColor="text1"/>
                <w:szCs w:val="16"/>
              </w:rPr>
              <w:t>C &gt;=</w:t>
            </w:r>
          </w:p>
        </w:tc>
        <w:tc>
          <w:tcPr>
            <w:tcW w:w="1239" w:type="pct"/>
            <w:shd w:val="clear" w:color="auto" w:fill="auto"/>
            <w:vAlign w:val="center"/>
          </w:tcPr>
          <w:p w14:paraId="54F8A2F9" w14:textId="5C3A3F72" w:rsidR="0094481B" w:rsidRPr="00781112" w:rsidDel="00DE5045" w:rsidRDefault="0094481B" w:rsidP="00D13592">
            <w:pPr>
              <w:jc w:val="center"/>
              <w:rPr>
                <w:rFonts w:cs="Arial"/>
                <w:color w:val="000000" w:themeColor="text1"/>
                <w:szCs w:val="16"/>
              </w:rPr>
            </w:pPr>
            <w:r w:rsidRPr="00781112">
              <w:rPr>
                <w:rFonts w:cs="Arial"/>
                <w:color w:val="000000" w:themeColor="text1"/>
                <w:szCs w:val="16"/>
              </w:rPr>
              <w:t>Grade HS</w:t>
            </w:r>
          </w:p>
        </w:tc>
        <w:tc>
          <w:tcPr>
            <w:tcW w:w="895" w:type="pct"/>
            <w:shd w:val="clear" w:color="auto" w:fill="auto"/>
            <w:vAlign w:val="center"/>
          </w:tcPr>
          <w:p w14:paraId="32CB0D9F" w14:textId="65605481" w:rsidR="0094481B" w:rsidRPr="00781112" w:rsidRDefault="0094481B" w:rsidP="00D13592">
            <w:pPr>
              <w:jc w:val="center"/>
              <w:rPr>
                <w:rFonts w:cs="Arial"/>
                <w:color w:val="000000" w:themeColor="text1"/>
                <w:szCs w:val="16"/>
              </w:rPr>
            </w:pPr>
            <w:r w:rsidRPr="00781112">
              <w:rPr>
                <w:rFonts w:cs="Arial"/>
                <w:color w:val="000000" w:themeColor="text1"/>
                <w:szCs w:val="16"/>
              </w:rPr>
              <w:t>47.79%</w:t>
            </w:r>
          </w:p>
        </w:tc>
        <w:tc>
          <w:tcPr>
            <w:tcW w:w="895" w:type="pct"/>
            <w:vAlign w:val="center"/>
          </w:tcPr>
          <w:p w14:paraId="72012D7E" w14:textId="10B8E7BA" w:rsidR="0094481B" w:rsidRPr="00781112" w:rsidRDefault="0094481B" w:rsidP="00D13592">
            <w:pPr>
              <w:jc w:val="center"/>
              <w:rPr>
                <w:rFonts w:cs="Arial"/>
                <w:color w:val="000000" w:themeColor="text1"/>
                <w:szCs w:val="16"/>
              </w:rPr>
            </w:pPr>
            <w:r w:rsidRPr="00781112">
              <w:rPr>
                <w:rFonts w:cs="Arial"/>
                <w:color w:val="000000" w:themeColor="text1"/>
                <w:szCs w:val="16"/>
              </w:rPr>
              <w:t>49.32%</w:t>
            </w:r>
          </w:p>
        </w:tc>
        <w:tc>
          <w:tcPr>
            <w:tcW w:w="895" w:type="pct"/>
            <w:vAlign w:val="center"/>
          </w:tcPr>
          <w:p w14:paraId="323B3F79" w14:textId="5FA94A39" w:rsidR="0094481B" w:rsidRPr="00781112" w:rsidRDefault="0094481B" w:rsidP="00D13592">
            <w:pPr>
              <w:jc w:val="center"/>
              <w:rPr>
                <w:rFonts w:cs="Arial"/>
                <w:color w:val="000000" w:themeColor="text1"/>
                <w:szCs w:val="16"/>
              </w:rPr>
            </w:pPr>
            <w:r w:rsidRPr="00781112">
              <w:rPr>
                <w:rFonts w:cs="Arial"/>
                <w:color w:val="000000" w:themeColor="text1"/>
                <w:szCs w:val="16"/>
              </w:rPr>
              <w:t>50.86%</w:t>
            </w:r>
          </w:p>
        </w:tc>
      </w:tr>
    </w:tbl>
    <w:p w14:paraId="113C15D2" w14:textId="6B630C8A" w:rsidR="00140972" w:rsidRDefault="00140972">
      <w:pPr>
        <w:spacing w:before="0" w:after="200" w:line="276" w:lineRule="auto"/>
        <w:rPr>
          <w:b/>
          <w:color w:val="000000" w:themeColor="text1"/>
        </w:rPr>
      </w:pPr>
    </w:p>
    <w:p w14:paraId="0A08A514" w14:textId="090EA0D1" w:rsidR="002D145D" w:rsidRPr="00781112" w:rsidRDefault="002D145D" w:rsidP="004369B2">
      <w:pPr>
        <w:rPr>
          <w:b/>
          <w:color w:val="000000" w:themeColor="text1"/>
        </w:rPr>
      </w:pPr>
      <w:r w:rsidRPr="00781112">
        <w:rPr>
          <w:b/>
          <w:color w:val="000000" w:themeColor="text1"/>
        </w:rPr>
        <w:t xml:space="preserve">Targets: Description of Stakeholder Input </w:t>
      </w:r>
    </w:p>
    <w:p w14:paraId="08B1A70A" w14:textId="19A83495" w:rsidR="002D145D" w:rsidRPr="00781112" w:rsidRDefault="002B7490" w:rsidP="002D145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w:t>
      </w:r>
      <w:r w:rsidRPr="00781112">
        <w:rPr>
          <w:rFonts w:cs="Arial"/>
          <w:color w:val="000000" w:themeColor="text1"/>
          <w:szCs w:val="16"/>
        </w:rPr>
        <w:lastRenderedPageBreak/>
        <w:t xml:space="preserve">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2261CE05" w14:textId="31E113F2" w:rsidR="002D145D" w:rsidRPr="00781112" w:rsidRDefault="002D145D" w:rsidP="002D145D">
      <w:pPr>
        <w:rPr>
          <w:rFonts w:cs="Arial"/>
          <w:color w:val="000000" w:themeColor="text1"/>
          <w:szCs w:val="16"/>
        </w:rPr>
      </w:pPr>
    </w:p>
    <w:p w14:paraId="4A15E54A" w14:textId="77777777" w:rsidR="00B8751C" w:rsidRPr="00781112" w:rsidRDefault="00B8751C">
      <w:pPr>
        <w:rPr>
          <w:b/>
          <w:color w:val="000000" w:themeColor="text1"/>
        </w:rPr>
      </w:pPr>
    </w:p>
    <w:p w14:paraId="01651096" w14:textId="6BE7E08C" w:rsidR="000A5A2E" w:rsidRPr="00781112" w:rsidRDefault="00FA33C9">
      <w:pPr>
        <w:rPr>
          <w:b/>
          <w:color w:val="000000" w:themeColor="text1"/>
        </w:rPr>
      </w:pPr>
      <w:r>
        <w:rPr>
          <w:b/>
          <w:color w:val="000000" w:themeColor="text1"/>
        </w:rPr>
        <w:t>FFY 2023 Data Disaggregation from ED</w:t>
      </w:r>
      <w:r w:rsidRPr="00BA3DBE">
        <w:rPr>
          <w:b/>
          <w:i/>
          <w:iCs/>
          <w:color w:val="000000" w:themeColor="text1"/>
        </w:rPr>
        <w:t>Facts</w:t>
      </w:r>
    </w:p>
    <w:p w14:paraId="42AECFE6"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Data Source: </w:t>
      </w:r>
    </w:p>
    <w:p w14:paraId="4E62FCFE" w14:textId="0B9900E2" w:rsidR="00A10323" w:rsidRPr="00781112" w:rsidRDefault="002B7490" w:rsidP="00286BDF">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5E404A07" w14:textId="77777777" w:rsidR="00F41DFF" w:rsidRPr="00781112" w:rsidRDefault="00A10323" w:rsidP="00286BDF">
      <w:pPr>
        <w:rPr>
          <w:rFonts w:cs="Arial"/>
          <w:b/>
          <w:color w:val="000000" w:themeColor="text1"/>
          <w:szCs w:val="16"/>
        </w:rPr>
      </w:pPr>
      <w:r w:rsidRPr="00781112">
        <w:rPr>
          <w:rFonts w:cs="Arial"/>
          <w:b/>
          <w:color w:val="000000" w:themeColor="text1"/>
          <w:szCs w:val="16"/>
        </w:rPr>
        <w:t xml:space="preserve">Date: </w:t>
      </w:r>
    </w:p>
    <w:p w14:paraId="7A786FF9" w14:textId="7A834053" w:rsidR="00A63347" w:rsidRPr="00781112" w:rsidRDefault="002B7490">
      <w:pPr>
        <w:rPr>
          <w:b/>
          <w:color w:val="000000" w:themeColor="text1"/>
        </w:rPr>
      </w:pPr>
      <w:r w:rsidRPr="00781112">
        <w:rPr>
          <w:rFonts w:cs="Arial"/>
          <w:color w:val="000000" w:themeColor="text1"/>
          <w:szCs w:val="16"/>
        </w:rPr>
        <w:t>01/08/2025</w:t>
      </w:r>
    </w:p>
    <w:p w14:paraId="603FD8CB" w14:textId="05C9185C" w:rsidR="00162F4A" w:rsidRPr="00781112" w:rsidRDefault="00162F4A">
      <w:pPr>
        <w:rPr>
          <w:b/>
          <w:color w:val="000000" w:themeColor="text1"/>
        </w:rPr>
      </w:pPr>
      <w:r w:rsidRPr="00781112">
        <w:rPr>
          <w:b/>
          <w:color w:val="000000" w:themeColor="text1"/>
        </w:rPr>
        <w:t>Reading Assessment Proficiency Data by Grade</w:t>
      </w:r>
    </w:p>
    <w:tbl>
      <w:tblPr>
        <w:tblStyle w:val="TableGrid"/>
        <w:tblW w:w="10795" w:type="dxa"/>
        <w:tblLayout w:type="fixed"/>
        <w:tblLook w:val="04A0" w:firstRow="1" w:lastRow="0" w:firstColumn="1" w:lastColumn="0" w:noHBand="0" w:noVBand="1"/>
        <w:tblCaption w:val="B03CASSPARTDATABYGRDRLA"/>
      </w:tblPr>
      <w:tblGrid>
        <w:gridCol w:w="2695"/>
        <w:gridCol w:w="2700"/>
        <w:gridCol w:w="2700"/>
        <w:gridCol w:w="2700"/>
      </w:tblGrid>
      <w:tr w:rsidR="003403B4" w:rsidRPr="00781112" w14:paraId="428FB0F7" w14:textId="08DAAE1B" w:rsidTr="00E95FBF">
        <w:tc>
          <w:tcPr>
            <w:tcW w:w="2695" w:type="dxa"/>
            <w:shd w:val="clear" w:color="auto" w:fill="auto"/>
          </w:tcPr>
          <w:p w14:paraId="3C2A5B11" w14:textId="73EE4867" w:rsidR="003403B4" w:rsidRPr="00781112" w:rsidRDefault="00835EAD" w:rsidP="003403B4">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3FF46CFF" w14:textId="175C9EF7" w:rsidR="003403B4" w:rsidRPr="00781112" w:rsidRDefault="003403B4" w:rsidP="00196CE6">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1F0659F7" w14:textId="574B33D5" w:rsidR="003403B4" w:rsidRPr="00781112" w:rsidRDefault="003403B4" w:rsidP="00315E88">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51B61EB6" w14:textId="7B1064DE" w:rsidR="003403B4" w:rsidRPr="00781112" w:rsidRDefault="003403B4" w:rsidP="00E14CF0">
            <w:pPr>
              <w:jc w:val="center"/>
              <w:rPr>
                <w:b/>
                <w:color w:val="000000" w:themeColor="text1"/>
              </w:rPr>
            </w:pPr>
            <w:r w:rsidRPr="00781112">
              <w:rPr>
                <w:rFonts w:cs="Arial"/>
                <w:b/>
                <w:bCs/>
                <w:color w:val="000000" w:themeColor="text1"/>
                <w:szCs w:val="16"/>
              </w:rPr>
              <w:t>Grade HS</w:t>
            </w:r>
          </w:p>
        </w:tc>
      </w:tr>
      <w:tr w:rsidR="005A486A" w:rsidRPr="00781112" w14:paraId="15C4E2F5" w14:textId="23A18F5A" w:rsidTr="00E95FBF">
        <w:tc>
          <w:tcPr>
            <w:tcW w:w="2695" w:type="dxa"/>
            <w:shd w:val="clear" w:color="auto" w:fill="auto"/>
          </w:tcPr>
          <w:p w14:paraId="1D84B931" w14:textId="3EFA8778" w:rsidR="005A486A" w:rsidRPr="00781112" w:rsidRDefault="005A486A" w:rsidP="005A486A">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07C14EE4" w14:textId="28486B47" w:rsidR="005A486A" w:rsidRPr="00781112" w:rsidRDefault="005A486A" w:rsidP="00360DD6">
            <w:pPr>
              <w:jc w:val="center"/>
              <w:rPr>
                <w:b/>
                <w:color w:val="000000" w:themeColor="text1"/>
              </w:rPr>
            </w:pPr>
            <w:r w:rsidRPr="00781112">
              <w:rPr>
                <w:color w:val="000000" w:themeColor="text1"/>
              </w:rPr>
              <w:t>396</w:t>
            </w:r>
          </w:p>
        </w:tc>
        <w:tc>
          <w:tcPr>
            <w:tcW w:w="2700" w:type="dxa"/>
            <w:shd w:val="clear" w:color="auto" w:fill="auto"/>
            <w:vAlign w:val="center"/>
          </w:tcPr>
          <w:p w14:paraId="1DFC3C40" w14:textId="5833F145" w:rsidR="005A486A" w:rsidRPr="00781112" w:rsidRDefault="005A486A" w:rsidP="00360DD6">
            <w:pPr>
              <w:jc w:val="center"/>
              <w:rPr>
                <w:b/>
                <w:color w:val="000000" w:themeColor="text1"/>
              </w:rPr>
            </w:pPr>
            <w:r w:rsidRPr="00781112">
              <w:rPr>
                <w:color w:val="000000" w:themeColor="text1"/>
              </w:rPr>
              <w:t>363</w:t>
            </w:r>
          </w:p>
        </w:tc>
        <w:tc>
          <w:tcPr>
            <w:tcW w:w="2700" w:type="dxa"/>
            <w:shd w:val="clear" w:color="auto" w:fill="auto"/>
            <w:vAlign w:val="center"/>
          </w:tcPr>
          <w:p w14:paraId="70A0184C" w14:textId="4D57349B" w:rsidR="005A486A" w:rsidRPr="00781112" w:rsidRDefault="005A486A" w:rsidP="00360DD6">
            <w:pPr>
              <w:jc w:val="center"/>
              <w:rPr>
                <w:b/>
                <w:color w:val="000000" w:themeColor="text1"/>
              </w:rPr>
            </w:pPr>
            <w:r w:rsidRPr="00781112">
              <w:rPr>
                <w:color w:val="000000" w:themeColor="text1"/>
              </w:rPr>
              <w:t>288</w:t>
            </w:r>
          </w:p>
        </w:tc>
      </w:tr>
      <w:tr w:rsidR="005A486A" w:rsidRPr="00781112" w14:paraId="3BE009FE" w14:textId="48A19AF7" w:rsidTr="00E95FBF">
        <w:tc>
          <w:tcPr>
            <w:tcW w:w="2695" w:type="dxa"/>
            <w:shd w:val="clear" w:color="auto" w:fill="auto"/>
          </w:tcPr>
          <w:p w14:paraId="3D43994F" w14:textId="3B46415A" w:rsidR="005A486A" w:rsidRPr="00781112" w:rsidRDefault="003403B4" w:rsidP="005A486A">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55D5067" w14:textId="45460D4D" w:rsidR="005A486A" w:rsidRPr="00781112" w:rsidRDefault="005A486A" w:rsidP="00360DD6">
            <w:pPr>
              <w:jc w:val="center"/>
              <w:rPr>
                <w:b/>
                <w:color w:val="000000" w:themeColor="text1"/>
              </w:rPr>
            </w:pPr>
            <w:r w:rsidRPr="00781112">
              <w:rPr>
                <w:color w:val="000000" w:themeColor="text1"/>
              </w:rPr>
              <w:t>136</w:t>
            </w:r>
          </w:p>
        </w:tc>
        <w:tc>
          <w:tcPr>
            <w:tcW w:w="2700" w:type="dxa"/>
            <w:shd w:val="clear" w:color="auto" w:fill="auto"/>
            <w:vAlign w:val="center"/>
          </w:tcPr>
          <w:p w14:paraId="47E25E0D" w14:textId="60D76349" w:rsidR="005A486A" w:rsidRPr="00781112" w:rsidRDefault="005A486A" w:rsidP="00360DD6">
            <w:pPr>
              <w:jc w:val="center"/>
              <w:rPr>
                <w:b/>
                <w:color w:val="000000" w:themeColor="text1"/>
              </w:rPr>
            </w:pPr>
            <w:r w:rsidRPr="00781112">
              <w:rPr>
                <w:color w:val="000000" w:themeColor="text1"/>
              </w:rPr>
              <w:t>114</w:t>
            </w:r>
          </w:p>
        </w:tc>
        <w:tc>
          <w:tcPr>
            <w:tcW w:w="2700" w:type="dxa"/>
            <w:shd w:val="clear" w:color="auto" w:fill="auto"/>
            <w:vAlign w:val="center"/>
          </w:tcPr>
          <w:p w14:paraId="523F025F" w14:textId="6533B4FD" w:rsidR="005A486A" w:rsidRPr="00781112" w:rsidRDefault="005A486A" w:rsidP="00360DD6">
            <w:pPr>
              <w:jc w:val="center"/>
              <w:rPr>
                <w:b/>
                <w:color w:val="000000" w:themeColor="text1"/>
              </w:rPr>
            </w:pPr>
            <w:r w:rsidRPr="00781112">
              <w:rPr>
                <w:color w:val="000000" w:themeColor="text1"/>
              </w:rPr>
              <w:t>108</w:t>
            </w:r>
          </w:p>
        </w:tc>
      </w:tr>
    </w:tbl>
    <w:p w14:paraId="55B8A812" w14:textId="77777777" w:rsidR="00461A3D" w:rsidRDefault="00461A3D" w:rsidP="00286BDF">
      <w:pPr>
        <w:rPr>
          <w:rFonts w:cs="Arial"/>
          <w:b/>
          <w:color w:val="000000" w:themeColor="text1"/>
          <w:szCs w:val="16"/>
        </w:rPr>
      </w:pPr>
    </w:p>
    <w:p w14:paraId="31899BDA" w14:textId="7FD2D169" w:rsidR="00F41DFF" w:rsidRPr="00781112" w:rsidRDefault="00BD7229" w:rsidP="00286BDF">
      <w:pPr>
        <w:rPr>
          <w:rFonts w:cs="Arial"/>
          <w:b/>
          <w:color w:val="000000" w:themeColor="text1"/>
          <w:szCs w:val="16"/>
        </w:rPr>
      </w:pPr>
      <w:r w:rsidRPr="00781112">
        <w:rPr>
          <w:rFonts w:cs="Arial"/>
          <w:b/>
          <w:color w:val="000000" w:themeColor="text1"/>
          <w:szCs w:val="16"/>
        </w:rPr>
        <w:t xml:space="preserve">Data Source:  </w:t>
      </w:r>
    </w:p>
    <w:p w14:paraId="6AEE1AE1" w14:textId="785594EB" w:rsidR="00BD7229" w:rsidRPr="00781112" w:rsidRDefault="002B7490" w:rsidP="00286BDF">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59F25B6E" w14:textId="77777777" w:rsidR="00F41DFF" w:rsidRPr="00781112" w:rsidRDefault="00BD7229" w:rsidP="00286BDF">
      <w:pPr>
        <w:rPr>
          <w:rFonts w:cs="Arial"/>
          <w:b/>
          <w:color w:val="000000" w:themeColor="text1"/>
          <w:szCs w:val="16"/>
        </w:rPr>
      </w:pPr>
      <w:r w:rsidRPr="00781112">
        <w:rPr>
          <w:rFonts w:cs="Arial"/>
          <w:b/>
          <w:color w:val="000000" w:themeColor="text1"/>
          <w:szCs w:val="16"/>
        </w:rPr>
        <w:t xml:space="preserve">Date: </w:t>
      </w:r>
    </w:p>
    <w:p w14:paraId="4B8A206D" w14:textId="36B0E5E5" w:rsidR="00BD7229" w:rsidRPr="00781112" w:rsidRDefault="002B7490" w:rsidP="00286BDF">
      <w:pPr>
        <w:rPr>
          <w:rFonts w:cs="Arial"/>
          <w:color w:val="000000" w:themeColor="text1"/>
          <w:szCs w:val="16"/>
        </w:rPr>
      </w:pPr>
      <w:r w:rsidRPr="00781112">
        <w:rPr>
          <w:rFonts w:cs="Arial"/>
          <w:color w:val="000000" w:themeColor="text1"/>
          <w:szCs w:val="16"/>
        </w:rPr>
        <w:t>01/08/2025</w:t>
      </w:r>
    </w:p>
    <w:p w14:paraId="3365AF3D" w14:textId="2AFA5758" w:rsidR="00162F4A" w:rsidRPr="00781112" w:rsidRDefault="00162F4A">
      <w:pPr>
        <w:rPr>
          <w:b/>
          <w:color w:val="000000" w:themeColor="text1"/>
        </w:rPr>
      </w:pPr>
      <w:r w:rsidRPr="00781112">
        <w:rPr>
          <w:b/>
          <w:color w:val="000000" w:themeColor="text1"/>
        </w:rPr>
        <w:t>Math Assessment Proficiency Data by Grade</w:t>
      </w:r>
    </w:p>
    <w:tbl>
      <w:tblPr>
        <w:tblStyle w:val="TableGrid"/>
        <w:tblW w:w="10795" w:type="dxa"/>
        <w:tblLayout w:type="fixed"/>
        <w:tblLook w:val="04A0" w:firstRow="1" w:lastRow="0" w:firstColumn="1" w:lastColumn="0" w:noHBand="0" w:noVBand="1"/>
        <w:tblCaption w:val="B03CASSPARTDATABYGRDMATH"/>
      </w:tblPr>
      <w:tblGrid>
        <w:gridCol w:w="2695"/>
        <w:gridCol w:w="2700"/>
        <w:gridCol w:w="2700"/>
        <w:gridCol w:w="2700"/>
      </w:tblGrid>
      <w:tr w:rsidR="0084736E" w:rsidRPr="00781112" w14:paraId="62DE1B1F" w14:textId="77777777" w:rsidTr="00E95FBF">
        <w:tc>
          <w:tcPr>
            <w:tcW w:w="2695" w:type="dxa"/>
            <w:shd w:val="clear" w:color="auto" w:fill="auto"/>
          </w:tcPr>
          <w:p w14:paraId="190C09EE" w14:textId="0BB3377D" w:rsidR="0084736E" w:rsidRPr="00781112" w:rsidRDefault="00835EAD" w:rsidP="0084736E">
            <w:pPr>
              <w:jc w:val="center"/>
              <w:rPr>
                <w:b/>
                <w:color w:val="000000" w:themeColor="text1"/>
              </w:rPr>
            </w:pPr>
            <w:r w:rsidRPr="00781112">
              <w:rPr>
                <w:rFonts w:cs="Arial"/>
                <w:b/>
                <w:bCs/>
                <w:color w:val="000000" w:themeColor="text1"/>
                <w:szCs w:val="16"/>
              </w:rPr>
              <w:t>Group</w:t>
            </w:r>
          </w:p>
        </w:tc>
        <w:tc>
          <w:tcPr>
            <w:tcW w:w="2700" w:type="dxa"/>
            <w:shd w:val="clear" w:color="auto" w:fill="auto"/>
            <w:vAlign w:val="center"/>
          </w:tcPr>
          <w:p w14:paraId="7DE5B404" w14:textId="75646743" w:rsidR="0084736E" w:rsidRPr="00781112" w:rsidRDefault="0084736E" w:rsidP="0084736E">
            <w:pPr>
              <w:jc w:val="center"/>
              <w:rPr>
                <w:b/>
                <w:color w:val="000000" w:themeColor="text1"/>
              </w:rPr>
            </w:pPr>
            <w:r w:rsidRPr="00781112">
              <w:rPr>
                <w:rFonts w:cs="Arial"/>
                <w:b/>
                <w:bCs/>
                <w:color w:val="000000" w:themeColor="text1"/>
                <w:szCs w:val="16"/>
              </w:rPr>
              <w:t>Grade 4</w:t>
            </w:r>
          </w:p>
        </w:tc>
        <w:tc>
          <w:tcPr>
            <w:tcW w:w="2700" w:type="dxa"/>
            <w:shd w:val="clear" w:color="auto" w:fill="auto"/>
            <w:vAlign w:val="center"/>
          </w:tcPr>
          <w:p w14:paraId="7038055F" w14:textId="27DA5FAA" w:rsidR="0084736E" w:rsidRPr="00781112" w:rsidRDefault="0084736E" w:rsidP="0084736E">
            <w:pPr>
              <w:jc w:val="center"/>
              <w:rPr>
                <w:b/>
                <w:color w:val="000000" w:themeColor="text1"/>
              </w:rPr>
            </w:pPr>
            <w:r w:rsidRPr="00781112">
              <w:rPr>
                <w:rFonts w:cs="Arial"/>
                <w:b/>
                <w:bCs/>
                <w:color w:val="000000" w:themeColor="text1"/>
                <w:szCs w:val="16"/>
              </w:rPr>
              <w:t>Grade 8</w:t>
            </w:r>
          </w:p>
        </w:tc>
        <w:tc>
          <w:tcPr>
            <w:tcW w:w="2700" w:type="dxa"/>
            <w:shd w:val="clear" w:color="auto" w:fill="auto"/>
            <w:vAlign w:val="center"/>
          </w:tcPr>
          <w:p w14:paraId="3032FA89" w14:textId="7F94CD01" w:rsidR="0084736E" w:rsidRPr="00781112" w:rsidRDefault="0084736E" w:rsidP="0084736E">
            <w:pPr>
              <w:jc w:val="center"/>
              <w:rPr>
                <w:b/>
                <w:color w:val="000000" w:themeColor="text1"/>
              </w:rPr>
            </w:pPr>
            <w:r w:rsidRPr="00781112">
              <w:rPr>
                <w:rFonts w:cs="Arial"/>
                <w:b/>
                <w:bCs/>
                <w:color w:val="000000" w:themeColor="text1"/>
                <w:szCs w:val="16"/>
              </w:rPr>
              <w:t>Grade HS</w:t>
            </w:r>
          </w:p>
        </w:tc>
      </w:tr>
      <w:tr w:rsidR="00660173" w:rsidRPr="00781112" w14:paraId="33333988" w14:textId="77777777" w:rsidTr="00E95FBF">
        <w:tc>
          <w:tcPr>
            <w:tcW w:w="2695" w:type="dxa"/>
            <w:shd w:val="clear" w:color="auto" w:fill="auto"/>
          </w:tcPr>
          <w:p w14:paraId="7DC36ACB" w14:textId="0A898DD0" w:rsidR="00660173" w:rsidRPr="00781112" w:rsidRDefault="00660173" w:rsidP="00660173">
            <w:pPr>
              <w:rPr>
                <w:b/>
                <w:color w:val="000000" w:themeColor="text1"/>
              </w:rPr>
            </w:pPr>
            <w:r w:rsidRPr="00781112">
              <w:rPr>
                <w:rFonts w:cs="Arial"/>
                <w:szCs w:val="16"/>
                <w:shd w:val="clear" w:color="auto" w:fill="FFFFFF"/>
              </w:rPr>
              <w:t xml:space="preserve">a. Children with IEPs who received a valid score and a proficiency level was assigned </w:t>
            </w:r>
            <w:r w:rsidRPr="0075451F">
              <w:rPr>
                <w:rFonts w:cs="Arial"/>
                <w:szCs w:val="16"/>
              </w:rPr>
              <w:t>for the alternate assessment</w:t>
            </w:r>
          </w:p>
        </w:tc>
        <w:tc>
          <w:tcPr>
            <w:tcW w:w="2700" w:type="dxa"/>
            <w:shd w:val="clear" w:color="auto" w:fill="auto"/>
            <w:vAlign w:val="center"/>
          </w:tcPr>
          <w:p w14:paraId="4CE4FB96" w14:textId="01B59A61" w:rsidR="00660173" w:rsidRPr="00781112" w:rsidRDefault="00660173" w:rsidP="00360DD6">
            <w:pPr>
              <w:jc w:val="center"/>
              <w:rPr>
                <w:b/>
                <w:color w:val="000000" w:themeColor="text1"/>
              </w:rPr>
            </w:pPr>
            <w:r w:rsidRPr="00781112">
              <w:rPr>
                <w:color w:val="000000" w:themeColor="text1"/>
              </w:rPr>
              <w:t>397</w:t>
            </w:r>
          </w:p>
        </w:tc>
        <w:tc>
          <w:tcPr>
            <w:tcW w:w="2700" w:type="dxa"/>
            <w:shd w:val="clear" w:color="auto" w:fill="auto"/>
            <w:vAlign w:val="center"/>
          </w:tcPr>
          <w:p w14:paraId="07947D7E" w14:textId="50342908" w:rsidR="00660173" w:rsidRPr="00781112" w:rsidRDefault="00660173" w:rsidP="00360DD6">
            <w:pPr>
              <w:jc w:val="center"/>
              <w:rPr>
                <w:b/>
                <w:color w:val="000000" w:themeColor="text1"/>
              </w:rPr>
            </w:pPr>
            <w:r w:rsidRPr="00781112">
              <w:rPr>
                <w:color w:val="000000" w:themeColor="text1"/>
              </w:rPr>
              <w:t>365</w:t>
            </w:r>
          </w:p>
        </w:tc>
        <w:tc>
          <w:tcPr>
            <w:tcW w:w="2700" w:type="dxa"/>
            <w:shd w:val="clear" w:color="auto" w:fill="auto"/>
            <w:vAlign w:val="center"/>
          </w:tcPr>
          <w:p w14:paraId="669EEFA3" w14:textId="194786E9" w:rsidR="00660173" w:rsidRPr="00781112" w:rsidRDefault="00660173" w:rsidP="00360DD6">
            <w:pPr>
              <w:jc w:val="center"/>
              <w:rPr>
                <w:b/>
                <w:color w:val="000000" w:themeColor="text1"/>
              </w:rPr>
            </w:pPr>
            <w:r w:rsidRPr="00781112">
              <w:rPr>
                <w:color w:val="000000" w:themeColor="text1"/>
              </w:rPr>
              <w:t>292</w:t>
            </w:r>
          </w:p>
        </w:tc>
      </w:tr>
      <w:tr w:rsidR="00660173" w:rsidRPr="00781112" w14:paraId="7E58498F" w14:textId="77777777" w:rsidTr="00E95FBF">
        <w:tc>
          <w:tcPr>
            <w:tcW w:w="2695" w:type="dxa"/>
            <w:shd w:val="clear" w:color="auto" w:fill="auto"/>
          </w:tcPr>
          <w:p w14:paraId="4F32E0BC" w14:textId="3249207F" w:rsidR="00660173" w:rsidRPr="00781112" w:rsidRDefault="00660173" w:rsidP="00660173">
            <w:pPr>
              <w:rPr>
                <w:b/>
                <w:color w:val="000000" w:themeColor="text1"/>
              </w:rPr>
            </w:pPr>
            <w:r w:rsidRPr="00781112">
              <w:rPr>
                <w:rFonts w:cs="Arial"/>
                <w:szCs w:val="16"/>
                <w:shd w:val="clear" w:color="auto" w:fill="FFFFFF"/>
              </w:rPr>
              <w:t>b. Children with IEPs in alternate assessment against alternate standards scored at or above proficient</w:t>
            </w:r>
          </w:p>
        </w:tc>
        <w:tc>
          <w:tcPr>
            <w:tcW w:w="2700" w:type="dxa"/>
            <w:shd w:val="clear" w:color="auto" w:fill="auto"/>
            <w:vAlign w:val="center"/>
          </w:tcPr>
          <w:p w14:paraId="6DE46D54" w14:textId="09C11F4A" w:rsidR="00660173" w:rsidRPr="00781112" w:rsidRDefault="00660173" w:rsidP="00360DD6">
            <w:pPr>
              <w:jc w:val="center"/>
              <w:rPr>
                <w:b/>
                <w:color w:val="000000" w:themeColor="text1"/>
              </w:rPr>
            </w:pPr>
            <w:r w:rsidRPr="00781112">
              <w:rPr>
                <w:color w:val="000000" w:themeColor="text1"/>
              </w:rPr>
              <w:t>81</w:t>
            </w:r>
          </w:p>
        </w:tc>
        <w:tc>
          <w:tcPr>
            <w:tcW w:w="2700" w:type="dxa"/>
            <w:shd w:val="clear" w:color="auto" w:fill="auto"/>
            <w:vAlign w:val="center"/>
          </w:tcPr>
          <w:p w14:paraId="6F4311F8" w14:textId="57481F37" w:rsidR="00660173" w:rsidRPr="00781112" w:rsidRDefault="00660173" w:rsidP="00360DD6">
            <w:pPr>
              <w:jc w:val="center"/>
              <w:rPr>
                <w:b/>
                <w:color w:val="000000" w:themeColor="text1"/>
              </w:rPr>
            </w:pPr>
            <w:r w:rsidRPr="00781112">
              <w:rPr>
                <w:color w:val="000000" w:themeColor="text1"/>
              </w:rPr>
              <w:t>132</w:t>
            </w:r>
          </w:p>
        </w:tc>
        <w:tc>
          <w:tcPr>
            <w:tcW w:w="2700" w:type="dxa"/>
            <w:shd w:val="clear" w:color="auto" w:fill="auto"/>
            <w:vAlign w:val="center"/>
          </w:tcPr>
          <w:p w14:paraId="7B154B01" w14:textId="7C106CF5" w:rsidR="00660173" w:rsidRPr="00781112" w:rsidRDefault="00660173" w:rsidP="00360DD6">
            <w:pPr>
              <w:jc w:val="center"/>
              <w:rPr>
                <w:b/>
                <w:color w:val="000000" w:themeColor="text1"/>
              </w:rPr>
            </w:pPr>
            <w:r w:rsidRPr="00781112">
              <w:rPr>
                <w:color w:val="000000" w:themeColor="text1"/>
              </w:rPr>
              <w:t>97</w:t>
            </w:r>
          </w:p>
        </w:tc>
      </w:tr>
    </w:tbl>
    <w:p w14:paraId="56C37F05" w14:textId="77777777" w:rsidR="00241BD0" w:rsidRPr="00781112" w:rsidRDefault="00241BD0" w:rsidP="004369B2">
      <w:pPr>
        <w:rPr>
          <w:color w:val="000000" w:themeColor="text1"/>
        </w:rPr>
      </w:pPr>
    </w:p>
    <w:p w14:paraId="0E0A129D" w14:textId="399E4303" w:rsidR="00BD7229" w:rsidRPr="00781112" w:rsidRDefault="0047313F" w:rsidP="004369B2">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RLA"/>
      </w:tblPr>
      <w:tblGrid>
        <w:gridCol w:w="696"/>
        <w:gridCol w:w="1178"/>
        <w:gridCol w:w="1245"/>
        <w:gridCol w:w="1373"/>
        <w:gridCol w:w="1140"/>
        <w:gridCol w:w="1600"/>
        <w:gridCol w:w="1050"/>
        <w:gridCol w:w="1270"/>
        <w:gridCol w:w="1238"/>
      </w:tblGrid>
      <w:tr w:rsidR="00FA33C9" w:rsidRPr="00781112" w14:paraId="73241F59" w14:textId="77777777" w:rsidTr="00140972">
        <w:trPr>
          <w:tblHeader/>
        </w:trPr>
        <w:tc>
          <w:tcPr>
            <w:tcW w:w="221" w:type="pct"/>
            <w:shd w:val="clear" w:color="auto" w:fill="auto"/>
            <w:vAlign w:val="bottom"/>
          </w:tcPr>
          <w:p w14:paraId="3378C689" w14:textId="77777777" w:rsidR="00FA33C9" w:rsidRPr="00781112" w:rsidRDefault="00FA33C9" w:rsidP="00FA33C9">
            <w:pPr>
              <w:jc w:val="center"/>
              <w:rPr>
                <w:b/>
                <w:color w:val="000000" w:themeColor="text1"/>
              </w:rPr>
            </w:pPr>
            <w:r w:rsidRPr="00781112">
              <w:rPr>
                <w:b/>
                <w:color w:val="000000" w:themeColor="text1"/>
              </w:rPr>
              <w:lastRenderedPageBreak/>
              <w:t>Group</w:t>
            </w:r>
          </w:p>
        </w:tc>
        <w:tc>
          <w:tcPr>
            <w:tcW w:w="559" w:type="pct"/>
            <w:shd w:val="clear" w:color="auto" w:fill="auto"/>
            <w:vAlign w:val="bottom"/>
          </w:tcPr>
          <w:p w14:paraId="34B96D6C" w14:textId="2E1BB35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3B6543C5" w14:textId="7737694B"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9" w:type="pct"/>
            <w:shd w:val="clear" w:color="auto" w:fill="auto"/>
            <w:vAlign w:val="bottom"/>
          </w:tcPr>
          <w:p w14:paraId="36E5B9C7" w14:textId="23CF68D2"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2614DFA3" w14:textId="077D9027" w:rsidR="00FA33C9" w:rsidRPr="00073BD7" w:rsidRDefault="00FA33C9" w:rsidP="00FA33C9">
            <w:pPr>
              <w:jc w:val="center"/>
              <w:rPr>
                <w:b/>
                <w:bCs/>
                <w:color w:val="000000" w:themeColor="text1"/>
              </w:rPr>
            </w:pPr>
            <w:r w:rsidRPr="00073BD7">
              <w:rPr>
                <w:b/>
                <w:bCs/>
              </w:rPr>
              <w:t>FFY 2022 Data</w:t>
            </w:r>
          </w:p>
        </w:tc>
        <w:tc>
          <w:tcPr>
            <w:tcW w:w="754" w:type="pct"/>
            <w:shd w:val="clear" w:color="auto" w:fill="auto"/>
            <w:vAlign w:val="bottom"/>
          </w:tcPr>
          <w:p w14:paraId="09D4299D" w14:textId="770FD546" w:rsidR="00FA33C9" w:rsidRPr="00073BD7" w:rsidRDefault="00FA33C9" w:rsidP="00FA33C9">
            <w:pPr>
              <w:jc w:val="center"/>
              <w:rPr>
                <w:b/>
                <w:bCs/>
                <w:color w:val="000000" w:themeColor="text1"/>
              </w:rPr>
            </w:pPr>
            <w:r w:rsidRPr="00073BD7">
              <w:rPr>
                <w:b/>
                <w:bCs/>
              </w:rPr>
              <w:t>FFY 2023 Target</w:t>
            </w:r>
          </w:p>
        </w:tc>
        <w:tc>
          <w:tcPr>
            <w:tcW w:w="499" w:type="pct"/>
            <w:shd w:val="clear" w:color="auto" w:fill="auto"/>
            <w:vAlign w:val="bottom"/>
          </w:tcPr>
          <w:p w14:paraId="2B4D24C2" w14:textId="3575C59B" w:rsidR="00FA33C9" w:rsidRPr="00073BD7" w:rsidRDefault="00FA33C9" w:rsidP="00FA33C9">
            <w:pPr>
              <w:jc w:val="center"/>
              <w:rPr>
                <w:b/>
                <w:bCs/>
                <w:color w:val="000000" w:themeColor="text1"/>
              </w:rPr>
            </w:pPr>
            <w:r w:rsidRPr="00073BD7">
              <w:rPr>
                <w:b/>
                <w:bCs/>
              </w:rPr>
              <w:t>FFY 2023 Data</w:t>
            </w:r>
          </w:p>
        </w:tc>
        <w:tc>
          <w:tcPr>
            <w:tcW w:w="601" w:type="pct"/>
            <w:shd w:val="clear" w:color="auto" w:fill="auto"/>
            <w:vAlign w:val="bottom"/>
          </w:tcPr>
          <w:p w14:paraId="4987ED35"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7EA3F612" w14:textId="77777777" w:rsidR="00FA33C9" w:rsidRPr="00781112" w:rsidRDefault="00FA33C9" w:rsidP="00FA33C9">
            <w:pPr>
              <w:jc w:val="center"/>
              <w:rPr>
                <w:b/>
                <w:color w:val="000000" w:themeColor="text1"/>
              </w:rPr>
            </w:pPr>
            <w:r w:rsidRPr="00781112">
              <w:rPr>
                <w:b/>
                <w:color w:val="000000" w:themeColor="text1"/>
              </w:rPr>
              <w:t>Slippage</w:t>
            </w:r>
          </w:p>
        </w:tc>
      </w:tr>
      <w:tr w:rsidR="00566725" w:rsidRPr="00781112" w14:paraId="318B8AAD" w14:textId="77777777" w:rsidTr="00140972">
        <w:tc>
          <w:tcPr>
            <w:tcW w:w="221" w:type="pct"/>
            <w:shd w:val="clear" w:color="auto" w:fill="auto"/>
            <w:vAlign w:val="center"/>
          </w:tcPr>
          <w:p w14:paraId="4BD3A1A0"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A</w:t>
            </w:r>
          </w:p>
        </w:tc>
        <w:tc>
          <w:tcPr>
            <w:tcW w:w="559" w:type="pct"/>
            <w:shd w:val="clear" w:color="auto" w:fill="auto"/>
          </w:tcPr>
          <w:p w14:paraId="2D59B69E" w14:textId="71850FD0"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tcPr>
          <w:p w14:paraId="10EC608D" w14:textId="576E5156" w:rsidR="00566725" w:rsidRPr="00781112" w:rsidRDefault="00566725" w:rsidP="00566725">
            <w:pPr>
              <w:jc w:val="center"/>
              <w:rPr>
                <w:rFonts w:cs="Arial"/>
                <w:color w:val="000000" w:themeColor="text1"/>
                <w:szCs w:val="16"/>
              </w:rPr>
            </w:pPr>
            <w:r w:rsidRPr="00781112">
              <w:rPr>
                <w:rFonts w:cs="Arial"/>
                <w:color w:val="000000" w:themeColor="text1"/>
                <w:szCs w:val="16"/>
              </w:rPr>
              <w:t>136</w:t>
            </w:r>
          </w:p>
        </w:tc>
        <w:tc>
          <w:tcPr>
            <w:tcW w:w="649" w:type="pct"/>
            <w:shd w:val="clear" w:color="auto" w:fill="auto"/>
          </w:tcPr>
          <w:p w14:paraId="5740CA80" w14:textId="7FBF02A9" w:rsidR="00566725" w:rsidRPr="00781112" w:rsidRDefault="00566725" w:rsidP="00566725">
            <w:pPr>
              <w:jc w:val="center"/>
              <w:rPr>
                <w:rFonts w:cs="Arial"/>
                <w:color w:val="000000" w:themeColor="text1"/>
                <w:szCs w:val="16"/>
              </w:rPr>
            </w:pPr>
            <w:r>
              <w:rPr>
                <w:rFonts w:cs="Arial"/>
                <w:color w:val="000000"/>
                <w:szCs w:val="16"/>
              </w:rPr>
              <w:t>396</w:t>
            </w:r>
          </w:p>
        </w:tc>
        <w:tc>
          <w:tcPr>
            <w:tcW w:w="541" w:type="pct"/>
            <w:shd w:val="clear" w:color="auto" w:fill="auto"/>
          </w:tcPr>
          <w:p w14:paraId="6BA58310" w14:textId="391F367C" w:rsidR="00566725" w:rsidRPr="00781112" w:rsidRDefault="00566725" w:rsidP="00566725">
            <w:pPr>
              <w:jc w:val="center"/>
              <w:rPr>
                <w:rFonts w:cs="Arial"/>
                <w:color w:val="000000" w:themeColor="text1"/>
                <w:szCs w:val="16"/>
              </w:rPr>
            </w:pPr>
            <w:r w:rsidRPr="00781112">
              <w:rPr>
                <w:rFonts w:cs="Arial"/>
                <w:color w:val="000000" w:themeColor="text1"/>
                <w:szCs w:val="16"/>
              </w:rPr>
              <w:t>35.89%</w:t>
            </w:r>
          </w:p>
        </w:tc>
        <w:tc>
          <w:tcPr>
            <w:tcW w:w="754" w:type="pct"/>
            <w:shd w:val="clear" w:color="auto" w:fill="auto"/>
          </w:tcPr>
          <w:p w14:paraId="47A1F29A" w14:textId="0E923F64" w:rsidR="00566725" w:rsidRPr="00781112" w:rsidRDefault="00566725" w:rsidP="00566725">
            <w:pPr>
              <w:jc w:val="center"/>
              <w:rPr>
                <w:rFonts w:cs="Arial"/>
                <w:color w:val="000000" w:themeColor="text1"/>
                <w:szCs w:val="16"/>
              </w:rPr>
            </w:pPr>
            <w:r w:rsidRPr="00781112">
              <w:rPr>
                <w:rFonts w:cs="Arial"/>
                <w:color w:val="000000" w:themeColor="text1"/>
                <w:szCs w:val="16"/>
              </w:rPr>
              <w:t>70.30%</w:t>
            </w:r>
          </w:p>
        </w:tc>
        <w:tc>
          <w:tcPr>
            <w:tcW w:w="499" w:type="pct"/>
            <w:shd w:val="clear" w:color="auto" w:fill="auto"/>
          </w:tcPr>
          <w:p w14:paraId="2AE4C61A" w14:textId="12BE6FDD" w:rsidR="00566725" w:rsidRPr="00781112" w:rsidRDefault="00566725" w:rsidP="00566725">
            <w:pPr>
              <w:jc w:val="center"/>
              <w:rPr>
                <w:rFonts w:cs="Arial"/>
                <w:color w:val="000000" w:themeColor="text1"/>
                <w:szCs w:val="16"/>
              </w:rPr>
            </w:pPr>
            <w:r w:rsidRPr="00781112">
              <w:rPr>
                <w:rFonts w:cs="Arial"/>
                <w:color w:val="000000" w:themeColor="text1"/>
                <w:szCs w:val="16"/>
              </w:rPr>
              <w:t>34.34%</w:t>
            </w:r>
          </w:p>
        </w:tc>
        <w:tc>
          <w:tcPr>
            <w:tcW w:w="601" w:type="pct"/>
            <w:shd w:val="clear" w:color="auto" w:fill="auto"/>
          </w:tcPr>
          <w:p w14:paraId="2590AA37" w14:textId="2B2E3DAE"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39DEC07F" w14:textId="70B28667"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52B173E5" w14:textId="77777777" w:rsidTr="00140972">
        <w:tc>
          <w:tcPr>
            <w:tcW w:w="221" w:type="pct"/>
            <w:shd w:val="clear" w:color="auto" w:fill="auto"/>
            <w:vAlign w:val="center"/>
          </w:tcPr>
          <w:p w14:paraId="5153CDB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B</w:t>
            </w:r>
          </w:p>
        </w:tc>
        <w:tc>
          <w:tcPr>
            <w:tcW w:w="559" w:type="pct"/>
            <w:shd w:val="clear" w:color="auto" w:fill="auto"/>
          </w:tcPr>
          <w:p w14:paraId="137CEDF6" w14:textId="15D625F4"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tcPr>
          <w:p w14:paraId="1707A82B" w14:textId="3E333A0B" w:rsidR="00566725" w:rsidRPr="00781112" w:rsidRDefault="00566725" w:rsidP="00566725">
            <w:pPr>
              <w:jc w:val="center"/>
              <w:rPr>
                <w:rFonts w:cs="Arial"/>
                <w:color w:val="000000" w:themeColor="text1"/>
                <w:szCs w:val="16"/>
              </w:rPr>
            </w:pPr>
            <w:r w:rsidRPr="00781112">
              <w:rPr>
                <w:rFonts w:cs="Arial"/>
                <w:color w:val="000000" w:themeColor="text1"/>
                <w:szCs w:val="16"/>
              </w:rPr>
              <w:t>114</w:t>
            </w:r>
          </w:p>
        </w:tc>
        <w:tc>
          <w:tcPr>
            <w:tcW w:w="649" w:type="pct"/>
            <w:shd w:val="clear" w:color="auto" w:fill="auto"/>
          </w:tcPr>
          <w:p w14:paraId="1BCB466D" w14:textId="5DD60E0B" w:rsidR="00566725" w:rsidRPr="00781112" w:rsidRDefault="00566725" w:rsidP="00566725">
            <w:pPr>
              <w:jc w:val="center"/>
              <w:rPr>
                <w:rFonts w:cs="Arial"/>
                <w:color w:val="000000" w:themeColor="text1"/>
                <w:szCs w:val="16"/>
              </w:rPr>
            </w:pPr>
            <w:r>
              <w:rPr>
                <w:rFonts w:cs="Arial"/>
                <w:color w:val="000000"/>
                <w:szCs w:val="16"/>
              </w:rPr>
              <w:t>363</w:t>
            </w:r>
          </w:p>
        </w:tc>
        <w:tc>
          <w:tcPr>
            <w:tcW w:w="541" w:type="pct"/>
            <w:shd w:val="clear" w:color="auto" w:fill="auto"/>
          </w:tcPr>
          <w:p w14:paraId="60597E0A" w14:textId="4D673C7B" w:rsidR="00566725" w:rsidRPr="00781112" w:rsidRDefault="00566725" w:rsidP="00566725">
            <w:pPr>
              <w:jc w:val="center"/>
              <w:rPr>
                <w:rFonts w:cs="Arial"/>
                <w:color w:val="000000" w:themeColor="text1"/>
                <w:szCs w:val="16"/>
              </w:rPr>
            </w:pPr>
            <w:r w:rsidRPr="00781112">
              <w:rPr>
                <w:rFonts w:cs="Arial"/>
                <w:color w:val="000000" w:themeColor="text1"/>
                <w:szCs w:val="16"/>
              </w:rPr>
              <w:t>35.04%</w:t>
            </w:r>
          </w:p>
        </w:tc>
        <w:tc>
          <w:tcPr>
            <w:tcW w:w="754" w:type="pct"/>
            <w:shd w:val="clear" w:color="auto" w:fill="auto"/>
          </w:tcPr>
          <w:p w14:paraId="6445398C" w14:textId="393A6DFD" w:rsidR="00566725" w:rsidRPr="00781112" w:rsidRDefault="00566725" w:rsidP="00566725">
            <w:pPr>
              <w:jc w:val="center"/>
              <w:rPr>
                <w:rFonts w:cs="Arial"/>
                <w:color w:val="000000" w:themeColor="text1"/>
                <w:szCs w:val="16"/>
              </w:rPr>
            </w:pPr>
            <w:r w:rsidRPr="00781112">
              <w:rPr>
                <w:rFonts w:cs="Arial"/>
                <w:color w:val="000000" w:themeColor="text1"/>
                <w:szCs w:val="16"/>
              </w:rPr>
              <w:t>61.42%</w:t>
            </w:r>
          </w:p>
        </w:tc>
        <w:tc>
          <w:tcPr>
            <w:tcW w:w="499" w:type="pct"/>
            <w:shd w:val="clear" w:color="auto" w:fill="auto"/>
          </w:tcPr>
          <w:p w14:paraId="4EBD899F" w14:textId="57918237" w:rsidR="00566725" w:rsidRPr="00781112" w:rsidRDefault="00566725" w:rsidP="00566725">
            <w:pPr>
              <w:jc w:val="center"/>
              <w:rPr>
                <w:rFonts w:cs="Arial"/>
                <w:color w:val="000000" w:themeColor="text1"/>
                <w:szCs w:val="16"/>
              </w:rPr>
            </w:pPr>
            <w:r w:rsidRPr="00781112">
              <w:rPr>
                <w:rFonts w:cs="Arial"/>
                <w:color w:val="000000" w:themeColor="text1"/>
                <w:szCs w:val="16"/>
              </w:rPr>
              <w:t>31.40%</w:t>
            </w:r>
          </w:p>
        </w:tc>
        <w:tc>
          <w:tcPr>
            <w:tcW w:w="601" w:type="pct"/>
            <w:shd w:val="clear" w:color="auto" w:fill="auto"/>
          </w:tcPr>
          <w:p w14:paraId="585589D4" w14:textId="6C3ED8A0"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64956786" w14:textId="4047CECE" w:rsidR="00566725" w:rsidRPr="00781112" w:rsidRDefault="00566725" w:rsidP="00566725">
            <w:pPr>
              <w:jc w:val="center"/>
              <w:rPr>
                <w:rFonts w:cs="Arial"/>
                <w:color w:val="000000" w:themeColor="text1"/>
                <w:szCs w:val="16"/>
              </w:rPr>
            </w:pPr>
            <w:r w:rsidRPr="00781112">
              <w:rPr>
                <w:rFonts w:cs="Arial"/>
                <w:color w:val="000000" w:themeColor="text1"/>
                <w:szCs w:val="16"/>
              </w:rPr>
              <w:t>Slippage</w:t>
            </w:r>
          </w:p>
        </w:tc>
      </w:tr>
      <w:tr w:rsidR="00566725" w:rsidRPr="00781112" w14:paraId="3EA2EA1E" w14:textId="77777777" w:rsidTr="00140972">
        <w:tc>
          <w:tcPr>
            <w:tcW w:w="221" w:type="pct"/>
            <w:shd w:val="clear" w:color="auto" w:fill="auto"/>
            <w:vAlign w:val="center"/>
          </w:tcPr>
          <w:p w14:paraId="7CB7E776" w14:textId="77777777" w:rsidR="00566725" w:rsidRPr="00781112" w:rsidRDefault="00566725" w:rsidP="00566725">
            <w:pPr>
              <w:pStyle w:val="Default"/>
              <w:jc w:val="center"/>
              <w:rPr>
                <w:rFonts w:eastAsiaTheme="minorHAnsi"/>
                <w:color w:val="000000" w:themeColor="text1"/>
                <w:sz w:val="16"/>
                <w:szCs w:val="16"/>
              </w:rPr>
            </w:pPr>
            <w:r w:rsidRPr="00781112">
              <w:rPr>
                <w:b/>
                <w:color w:val="000000" w:themeColor="text1"/>
                <w:sz w:val="16"/>
                <w:szCs w:val="16"/>
              </w:rPr>
              <w:t>C</w:t>
            </w:r>
          </w:p>
        </w:tc>
        <w:tc>
          <w:tcPr>
            <w:tcW w:w="559" w:type="pct"/>
            <w:shd w:val="clear" w:color="auto" w:fill="auto"/>
          </w:tcPr>
          <w:p w14:paraId="260DAFBC" w14:textId="292387CD" w:rsidR="00566725" w:rsidRPr="00781112" w:rsidDel="00DE5045" w:rsidRDefault="00566725" w:rsidP="00566725">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tcPr>
          <w:p w14:paraId="3637A0D0" w14:textId="4E467DC1" w:rsidR="00566725" w:rsidRPr="00781112" w:rsidRDefault="00566725" w:rsidP="00566725">
            <w:pPr>
              <w:jc w:val="center"/>
              <w:rPr>
                <w:rFonts w:cs="Arial"/>
                <w:color w:val="000000" w:themeColor="text1"/>
                <w:szCs w:val="16"/>
              </w:rPr>
            </w:pPr>
            <w:r w:rsidRPr="00781112">
              <w:rPr>
                <w:rFonts w:cs="Arial"/>
                <w:color w:val="000000" w:themeColor="text1"/>
                <w:szCs w:val="16"/>
              </w:rPr>
              <w:t>108</w:t>
            </w:r>
          </w:p>
        </w:tc>
        <w:tc>
          <w:tcPr>
            <w:tcW w:w="649" w:type="pct"/>
            <w:shd w:val="clear" w:color="auto" w:fill="auto"/>
          </w:tcPr>
          <w:p w14:paraId="0F212AA6" w14:textId="77E5B78D" w:rsidR="00566725" w:rsidRPr="00781112" w:rsidRDefault="00566725" w:rsidP="00566725">
            <w:pPr>
              <w:jc w:val="center"/>
              <w:rPr>
                <w:rFonts w:cs="Arial"/>
                <w:color w:val="000000" w:themeColor="text1"/>
                <w:szCs w:val="16"/>
              </w:rPr>
            </w:pPr>
            <w:r>
              <w:rPr>
                <w:rFonts w:cs="Arial"/>
                <w:color w:val="000000"/>
                <w:szCs w:val="16"/>
              </w:rPr>
              <w:t>288</w:t>
            </w:r>
          </w:p>
        </w:tc>
        <w:tc>
          <w:tcPr>
            <w:tcW w:w="541" w:type="pct"/>
            <w:shd w:val="clear" w:color="auto" w:fill="auto"/>
          </w:tcPr>
          <w:p w14:paraId="066DE90A" w14:textId="5EE6838D" w:rsidR="00566725" w:rsidRPr="00781112" w:rsidRDefault="00566725" w:rsidP="00566725">
            <w:pPr>
              <w:jc w:val="center"/>
              <w:rPr>
                <w:rFonts w:cs="Arial"/>
                <w:color w:val="000000" w:themeColor="text1"/>
                <w:szCs w:val="16"/>
              </w:rPr>
            </w:pPr>
            <w:r w:rsidRPr="00781112">
              <w:rPr>
                <w:rFonts w:cs="Arial"/>
                <w:color w:val="000000" w:themeColor="text1"/>
                <w:szCs w:val="16"/>
              </w:rPr>
              <w:t>36.08%</w:t>
            </w:r>
          </w:p>
        </w:tc>
        <w:tc>
          <w:tcPr>
            <w:tcW w:w="754" w:type="pct"/>
            <w:shd w:val="clear" w:color="auto" w:fill="auto"/>
          </w:tcPr>
          <w:p w14:paraId="4191EA17" w14:textId="17F82057" w:rsidR="00566725" w:rsidRPr="00781112" w:rsidRDefault="00566725" w:rsidP="00566725">
            <w:pPr>
              <w:jc w:val="center"/>
              <w:rPr>
                <w:rFonts w:cs="Arial"/>
                <w:color w:val="000000" w:themeColor="text1"/>
                <w:szCs w:val="16"/>
              </w:rPr>
            </w:pPr>
            <w:r w:rsidRPr="00781112">
              <w:rPr>
                <w:rFonts w:cs="Arial"/>
                <w:color w:val="000000" w:themeColor="text1"/>
                <w:szCs w:val="16"/>
              </w:rPr>
              <w:t>63.65%</w:t>
            </w:r>
          </w:p>
        </w:tc>
        <w:tc>
          <w:tcPr>
            <w:tcW w:w="499" w:type="pct"/>
            <w:shd w:val="clear" w:color="auto" w:fill="auto"/>
          </w:tcPr>
          <w:p w14:paraId="15CE5CCF" w14:textId="00F68E62" w:rsidR="00566725" w:rsidRPr="00781112" w:rsidRDefault="00566725" w:rsidP="00566725">
            <w:pPr>
              <w:jc w:val="center"/>
              <w:rPr>
                <w:rFonts w:cs="Arial"/>
                <w:color w:val="000000" w:themeColor="text1"/>
                <w:szCs w:val="16"/>
              </w:rPr>
            </w:pPr>
            <w:r w:rsidRPr="00781112">
              <w:rPr>
                <w:rFonts w:cs="Arial"/>
                <w:color w:val="000000" w:themeColor="text1"/>
                <w:szCs w:val="16"/>
              </w:rPr>
              <w:t>37.50%</w:t>
            </w:r>
          </w:p>
        </w:tc>
        <w:tc>
          <w:tcPr>
            <w:tcW w:w="601" w:type="pct"/>
            <w:shd w:val="clear" w:color="auto" w:fill="auto"/>
          </w:tcPr>
          <w:p w14:paraId="28CB2C9E" w14:textId="4F0EF91A" w:rsidR="00566725" w:rsidRPr="00781112" w:rsidRDefault="00566725" w:rsidP="00566725">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tcPr>
          <w:p w14:paraId="157B84D0" w14:textId="0B58E631" w:rsidR="00566725" w:rsidRPr="00781112" w:rsidRDefault="00566725" w:rsidP="00566725">
            <w:pPr>
              <w:jc w:val="center"/>
              <w:rPr>
                <w:rFonts w:cs="Arial"/>
                <w:color w:val="000000" w:themeColor="text1"/>
                <w:szCs w:val="16"/>
              </w:rPr>
            </w:pPr>
            <w:r w:rsidRPr="00781112">
              <w:rPr>
                <w:rFonts w:cs="Arial"/>
                <w:color w:val="000000" w:themeColor="text1"/>
                <w:szCs w:val="16"/>
              </w:rPr>
              <w:t>No Slippage</w:t>
            </w:r>
          </w:p>
        </w:tc>
      </w:tr>
    </w:tbl>
    <w:p w14:paraId="59662641" w14:textId="77777777" w:rsidR="00445640" w:rsidRPr="00781112" w:rsidRDefault="00445640" w:rsidP="00445640">
      <w:pPr>
        <w:rPr>
          <w:b/>
          <w:color w:val="000000" w:themeColor="text1"/>
        </w:rPr>
      </w:pPr>
      <w:r w:rsidRPr="00781112">
        <w:rPr>
          <w:b/>
          <w:color w:val="000000" w:themeColor="text1"/>
        </w:rPr>
        <w:t>Provide reasons for slippage for Group A, if applicable</w:t>
      </w:r>
    </w:p>
    <w:p w14:paraId="3ED6788F"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The slippage for this group of students could be due to the overall decrease in proficiency rates. The percentage of all students with disabilities in grade 4 performing at or above grade level on the alternate reading assessment decreased from FFY 2022 to FFY 2023. The decrease of 1.55% in the percentage of students performing at or above proficient on the alternate assessment may mirror the trend of a decline in scores in the overall population of students with disabilities.  </w:t>
      </w:r>
    </w:p>
    <w:p w14:paraId="42C05312" w14:textId="77777777" w:rsidR="00445640" w:rsidRPr="00781112" w:rsidRDefault="00445640" w:rsidP="00445640">
      <w:pPr>
        <w:rPr>
          <w:b/>
          <w:color w:val="000000" w:themeColor="text1"/>
        </w:rPr>
      </w:pPr>
      <w:r w:rsidRPr="00781112">
        <w:rPr>
          <w:b/>
          <w:color w:val="000000" w:themeColor="text1"/>
        </w:rPr>
        <w:t>Provide reasons for slippage for Group B, if applicable</w:t>
      </w:r>
    </w:p>
    <w:p w14:paraId="673FBA92" w14:textId="77777777" w:rsidR="00445640" w:rsidRPr="00781112" w:rsidRDefault="00445640" w:rsidP="00445640">
      <w:pPr>
        <w:rPr>
          <w:rFonts w:cs="Arial"/>
          <w:color w:val="000000" w:themeColor="text1"/>
          <w:szCs w:val="16"/>
        </w:rPr>
      </w:pPr>
      <w:r w:rsidRPr="00781112">
        <w:rPr>
          <w:rFonts w:cs="Arial"/>
          <w:color w:val="000000" w:themeColor="text1"/>
          <w:szCs w:val="16"/>
        </w:rPr>
        <w:t xml:space="preserve">Slippage for grade 8 students participating in the alternate assessment in reading could be due to multiple factors. The total number of students participating in the alternate assessment in grade 8 reading decreased from FFY 2022 to FFY 2023, from 411 students to 363 students. The total number of students scoring at or above proficient also decreased in this time, from 144 students in FFY 2022 to 114 students in FFY 2023. The relatively small student population participating in this assessment means small changes in the proficiency rates could be magnified.  </w:t>
      </w:r>
      <w:r w:rsidRPr="00781112">
        <w:rPr>
          <w:rFonts w:cs="Arial"/>
          <w:color w:val="000000" w:themeColor="text1"/>
          <w:szCs w:val="16"/>
        </w:rPr>
        <w:br/>
      </w:r>
      <w:r w:rsidRPr="00781112">
        <w:rPr>
          <w:rFonts w:cs="Arial"/>
          <w:color w:val="000000" w:themeColor="text1"/>
          <w:szCs w:val="16"/>
        </w:rPr>
        <w:br/>
        <w:t xml:space="preserve">Another potential reason for score variations is the challenge of drawing definitive conclusions from comparisons between different student groups, particularly when their needs vary. The extended assessment population consists of students with the most complex cognitive disabilities in the state. Given the nature of these disabilities, the composition of this student group may change from year to year, making direct comparisons across years less reliable.  </w:t>
      </w:r>
      <w:r w:rsidRPr="00781112">
        <w:rPr>
          <w:rFonts w:cs="Arial"/>
          <w:color w:val="000000" w:themeColor="text1"/>
          <w:szCs w:val="16"/>
        </w:rPr>
        <w:br/>
      </w:r>
      <w:r w:rsidRPr="00781112">
        <w:rPr>
          <w:rFonts w:cs="Arial"/>
          <w:color w:val="000000" w:themeColor="text1"/>
          <w:szCs w:val="16"/>
        </w:rPr>
        <w:br/>
        <w:t xml:space="preserve">The State has provided technical assistance to districts to address the overuse of the extended assessment. As a result, districts have likely improved the accuracy of student participation decisions. Before FFY 2023, some students who should have taken the regular assessment may have been assigned to the extended assessment and scored proficient. Slippage may be attributed to year-to-year variations in the student population. </w:t>
      </w:r>
    </w:p>
    <w:p w14:paraId="493A373E" w14:textId="77777777" w:rsidR="00445640" w:rsidRPr="00781112" w:rsidRDefault="00445640" w:rsidP="000C3A20">
      <w:pPr>
        <w:rPr>
          <w:color w:val="000000" w:themeColor="text1"/>
        </w:rPr>
      </w:pPr>
    </w:p>
    <w:p w14:paraId="73E73F7F" w14:textId="022AA9CC" w:rsidR="00BD7229" w:rsidRPr="00781112" w:rsidRDefault="0047313F" w:rsidP="004369B2">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3CFFYAPRDATAMATHASS"/>
      </w:tblPr>
      <w:tblGrid>
        <w:gridCol w:w="696"/>
        <w:gridCol w:w="1187"/>
        <w:gridCol w:w="1245"/>
        <w:gridCol w:w="1370"/>
        <w:gridCol w:w="1139"/>
        <w:gridCol w:w="1595"/>
        <w:gridCol w:w="1050"/>
        <w:gridCol w:w="1270"/>
        <w:gridCol w:w="1238"/>
      </w:tblGrid>
      <w:tr w:rsidR="00FA33C9" w:rsidRPr="00781112" w14:paraId="2361B602" w14:textId="77777777" w:rsidTr="00140972">
        <w:trPr>
          <w:tblHeader/>
        </w:trPr>
        <w:tc>
          <w:tcPr>
            <w:tcW w:w="220" w:type="pct"/>
            <w:shd w:val="clear" w:color="auto" w:fill="auto"/>
            <w:vAlign w:val="bottom"/>
          </w:tcPr>
          <w:p w14:paraId="097BD4DD" w14:textId="77777777" w:rsidR="00FA33C9" w:rsidRPr="00781112" w:rsidRDefault="00FA33C9" w:rsidP="00FA33C9">
            <w:pPr>
              <w:jc w:val="center"/>
              <w:rPr>
                <w:b/>
                <w:color w:val="000000" w:themeColor="text1"/>
              </w:rPr>
            </w:pPr>
            <w:r w:rsidRPr="00781112">
              <w:rPr>
                <w:b/>
                <w:color w:val="000000" w:themeColor="text1"/>
              </w:rPr>
              <w:t>Group</w:t>
            </w:r>
          </w:p>
        </w:tc>
        <w:tc>
          <w:tcPr>
            <w:tcW w:w="563" w:type="pct"/>
            <w:shd w:val="clear" w:color="auto" w:fill="auto"/>
            <w:vAlign w:val="bottom"/>
          </w:tcPr>
          <w:p w14:paraId="221D62AE" w14:textId="46B1DC14" w:rsidR="00FA33C9" w:rsidRPr="00781112" w:rsidRDefault="00FA33C9" w:rsidP="00FA33C9">
            <w:pPr>
              <w:jc w:val="center"/>
              <w:rPr>
                <w:b/>
                <w:color w:val="000000" w:themeColor="text1"/>
              </w:rPr>
            </w:pPr>
            <w:r w:rsidRPr="00781112">
              <w:rPr>
                <w:b/>
                <w:color w:val="000000" w:themeColor="text1"/>
              </w:rPr>
              <w:t>Group Name</w:t>
            </w:r>
          </w:p>
        </w:tc>
        <w:tc>
          <w:tcPr>
            <w:tcW w:w="590" w:type="pct"/>
            <w:shd w:val="clear" w:color="auto" w:fill="auto"/>
            <w:vAlign w:val="bottom"/>
          </w:tcPr>
          <w:p w14:paraId="6EA1E126" w14:textId="66F4FC74" w:rsidR="00FA33C9" w:rsidRPr="00781112" w:rsidRDefault="00FA33C9" w:rsidP="00FA33C9">
            <w:pPr>
              <w:jc w:val="center"/>
              <w:rPr>
                <w:b/>
                <w:color w:val="000000" w:themeColor="text1"/>
              </w:rPr>
            </w:pPr>
            <w:r w:rsidRPr="00781112">
              <w:rPr>
                <w:b/>
                <w:color w:val="000000" w:themeColor="text1"/>
              </w:rPr>
              <w:t>Number of Children with IEPs Scoring At or Above Proficient Against Alternate Academic Achievement Standards</w:t>
            </w:r>
          </w:p>
        </w:tc>
        <w:tc>
          <w:tcPr>
            <w:tcW w:w="648" w:type="pct"/>
            <w:shd w:val="clear" w:color="auto" w:fill="auto"/>
            <w:vAlign w:val="bottom"/>
          </w:tcPr>
          <w:p w14:paraId="534757DA" w14:textId="5F85E8DF" w:rsidR="00FA33C9" w:rsidRPr="00781112" w:rsidRDefault="00FA33C9" w:rsidP="00FA33C9">
            <w:pPr>
              <w:jc w:val="center"/>
              <w:rPr>
                <w:b/>
                <w:color w:val="000000" w:themeColor="text1"/>
              </w:rPr>
            </w:pPr>
            <w:r w:rsidRPr="00781112">
              <w:rPr>
                <w:b/>
                <w:color w:val="000000" w:themeColor="text1"/>
              </w:rPr>
              <w:t>Number of Children with IEPs who Received a Valid Score and for whom a Proficiency Level was Assigned for the Alternate Assessment</w:t>
            </w:r>
          </w:p>
        </w:tc>
        <w:tc>
          <w:tcPr>
            <w:tcW w:w="541" w:type="pct"/>
            <w:shd w:val="clear" w:color="auto" w:fill="auto"/>
            <w:vAlign w:val="bottom"/>
          </w:tcPr>
          <w:p w14:paraId="73023982" w14:textId="39C0AC76" w:rsidR="00FA33C9" w:rsidRPr="00073BD7" w:rsidRDefault="00FA33C9" w:rsidP="00FA33C9">
            <w:pPr>
              <w:jc w:val="center"/>
              <w:rPr>
                <w:b/>
                <w:bCs/>
                <w:color w:val="000000" w:themeColor="text1"/>
              </w:rPr>
            </w:pPr>
            <w:r w:rsidRPr="00073BD7">
              <w:rPr>
                <w:b/>
                <w:bCs/>
              </w:rPr>
              <w:t>FFY 2022 Data</w:t>
            </w:r>
          </w:p>
        </w:tc>
        <w:tc>
          <w:tcPr>
            <w:tcW w:w="752" w:type="pct"/>
            <w:shd w:val="clear" w:color="auto" w:fill="auto"/>
            <w:vAlign w:val="bottom"/>
          </w:tcPr>
          <w:p w14:paraId="37651EF9" w14:textId="2FA4EAEF" w:rsidR="00FA33C9" w:rsidRPr="00073BD7" w:rsidRDefault="00FA33C9" w:rsidP="00FA33C9">
            <w:pPr>
              <w:jc w:val="center"/>
              <w:rPr>
                <w:b/>
                <w:bCs/>
                <w:color w:val="000000" w:themeColor="text1"/>
              </w:rPr>
            </w:pPr>
            <w:r w:rsidRPr="00073BD7">
              <w:rPr>
                <w:b/>
                <w:bCs/>
              </w:rPr>
              <w:t>FFY 2023 Target</w:t>
            </w:r>
          </w:p>
        </w:tc>
        <w:tc>
          <w:tcPr>
            <w:tcW w:w="499" w:type="pct"/>
            <w:shd w:val="clear" w:color="auto" w:fill="auto"/>
            <w:vAlign w:val="bottom"/>
          </w:tcPr>
          <w:p w14:paraId="3D61FBEB" w14:textId="64D5A8EA" w:rsidR="00FA33C9" w:rsidRPr="00073BD7" w:rsidRDefault="00FA33C9" w:rsidP="00FA33C9">
            <w:pPr>
              <w:jc w:val="center"/>
              <w:rPr>
                <w:b/>
                <w:bCs/>
                <w:color w:val="000000" w:themeColor="text1"/>
              </w:rPr>
            </w:pPr>
            <w:r w:rsidRPr="00073BD7">
              <w:rPr>
                <w:b/>
                <w:bCs/>
              </w:rPr>
              <w:t>FFY 2023 Data</w:t>
            </w:r>
          </w:p>
        </w:tc>
        <w:tc>
          <w:tcPr>
            <w:tcW w:w="601" w:type="pct"/>
            <w:shd w:val="clear" w:color="auto" w:fill="auto"/>
            <w:vAlign w:val="bottom"/>
          </w:tcPr>
          <w:p w14:paraId="730A2874" w14:textId="77777777" w:rsidR="00FA33C9" w:rsidRPr="00781112" w:rsidRDefault="00FA33C9" w:rsidP="00FA33C9">
            <w:pPr>
              <w:jc w:val="center"/>
              <w:rPr>
                <w:b/>
                <w:color w:val="000000" w:themeColor="text1"/>
              </w:rPr>
            </w:pPr>
            <w:r w:rsidRPr="00781112">
              <w:rPr>
                <w:b/>
                <w:color w:val="000000" w:themeColor="text1"/>
              </w:rPr>
              <w:t>Status</w:t>
            </w:r>
          </w:p>
        </w:tc>
        <w:tc>
          <w:tcPr>
            <w:tcW w:w="586" w:type="pct"/>
            <w:shd w:val="clear" w:color="auto" w:fill="auto"/>
            <w:vAlign w:val="bottom"/>
          </w:tcPr>
          <w:p w14:paraId="67BEF249" w14:textId="77777777" w:rsidR="00FA33C9" w:rsidRPr="00781112" w:rsidRDefault="00FA33C9" w:rsidP="00FA33C9">
            <w:pPr>
              <w:jc w:val="center"/>
              <w:rPr>
                <w:b/>
                <w:color w:val="000000" w:themeColor="text1"/>
              </w:rPr>
            </w:pPr>
            <w:r w:rsidRPr="00781112">
              <w:rPr>
                <w:b/>
                <w:color w:val="000000" w:themeColor="text1"/>
              </w:rPr>
              <w:t>Slippage</w:t>
            </w:r>
          </w:p>
        </w:tc>
      </w:tr>
      <w:tr w:rsidR="00A31E8A" w:rsidRPr="00781112" w14:paraId="08D65837" w14:textId="77777777" w:rsidTr="00140972">
        <w:tc>
          <w:tcPr>
            <w:tcW w:w="220" w:type="pct"/>
            <w:shd w:val="clear" w:color="auto" w:fill="auto"/>
            <w:vAlign w:val="center"/>
          </w:tcPr>
          <w:p w14:paraId="76903C3F" w14:textId="77777777" w:rsidR="00A31E8A" w:rsidRPr="00781112" w:rsidRDefault="00A31E8A" w:rsidP="00A31E8A">
            <w:pPr>
              <w:pStyle w:val="Default"/>
              <w:jc w:val="center"/>
              <w:rPr>
                <w:b/>
                <w:color w:val="000000" w:themeColor="text1"/>
                <w:sz w:val="16"/>
                <w:szCs w:val="16"/>
              </w:rPr>
            </w:pPr>
            <w:r w:rsidRPr="00781112">
              <w:rPr>
                <w:rFonts w:eastAsiaTheme="minorHAnsi"/>
                <w:b/>
                <w:color w:val="000000" w:themeColor="text1"/>
                <w:sz w:val="16"/>
                <w:szCs w:val="16"/>
              </w:rPr>
              <w:t>A</w:t>
            </w:r>
          </w:p>
        </w:tc>
        <w:tc>
          <w:tcPr>
            <w:tcW w:w="563" w:type="pct"/>
            <w:shd w:val="clear" w:color="auto" w:fill="auto"/>
            <w:vAlign w:val="center"/>
          </w:tcPr>
          <w:p w14:paraId="02026CDE" w14:textId="2E1566AE"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4</w:t>
            </w:r>
          </w:p>
        </w:tc>
        <w:tc>
          <w:tcPr>
            <w:tcW w:w="590" w:type="pct"/>
            <w:shd w:val="clear" w:color="auto" w:fill="auto"/>
            <w:vAlign w:val="center"/>
          </w:tcPr>
          <w:p w14:paraId="16642EB5" w14:textId="2F43A115" w:rsidR="00A31E8A" w:rsidRPr="00781112" w:rsidRDefault="00A31E8A" w:rsidP="00A31E8A">
            <w:pPr>
              <w:jc w:val="center"/>
              <w:rPr>
                <w:rFonts w:cs="Arial"/>
                <w:color w:val="000000" w:themeColor="text1"/>
                <w:szCs w:val="16"/>
              </w:rPr>
            </w:pPr>
            <w:r w:rsidRPr="00781112">
              <w:rPr>
                <w:rFonts w:cs="Arial"/>
                <w:color w:val="000000" w:themeColor="text1"/>
                <w:szCs w:val="16"/>
              </w:rPr>
              <w:t>81</w:t>
            </w:r>
          </w:p>
        </w:tc>
        <w:tc>
          <w:tcPr>
            <w:tcW w:w="648" w:type="pct"/>
            <w:shd w:val="clear" w:color="auto" w:fill="auto"/>
          </w:tcPr>
          <w:p w14:paraId="1C6085EF" w14:textId="508775F3" w:rsidR="00A31E8A" w:rsidRPr="00781112" w:rsidRDefault="00A31E8A" w:rsidP="00A31E8A">
            <w:pPr>
              <w:jc w:val="center"/>
              <w:rPr>
                <w:rFonts w:cs="Arial"/>
                <w:color w:val="000000" w:themeColor="text1"/>
                <w:szCs w:val="16"/>
              </w:rPr>
            </w:pPr>
            <w:r>
              <w:rPr>
                <w:rFonts w:cs="Arial"/>
                <w:color w:val="000000"/>
                <w:szCs w:val="16"/>
              </w:rPr>
              <w:t>397</w:t>
            </w:r>
          </w:p>
        </w:tc>
        <w:tc>
          <w:tcPr>
            <w:tcW w:w="541" w:type="pct"/>
            <w:shd w:val="clear" w:color="auto" w:fill="auto"/>
            <w:vAlign w:val="center"/>
          </w:tcPr>
          <w:p w14:paraId="3DFEF3CC" w14:textId="273D8D28" w:rsidR="00A31E8A" w:rsidRPr="00781112" w:rsidRDefault="00A31E8A" w:rsidP="00A31E8A">
            <w:pPr>
              <w:jc w:val="center"/>
              <w:rPr>
                <w:rFonts w:cs="Arial"/>
                <w:color w:val="000000" w:themeColor="text1"/>
                <w:szCs w:val="16"/>
              </w:rPr>
            </w:pPr>
            <w:r w:rsidRPr="00781112">
              <w:rPr>
                <w:rFonts w:cs="Arial"/>
                <w:color w:val="000000" w:themeColor="text1"/>
                <w:szCs w:val="16"/>
              </w:rPr>
              <w:t>20.24%</w:t>
            </w:r>
          </w:p>
        </w:tc>
        <w:tc>
          <w:tcPr>
            <w:tcW w:w="752" w:type="pct"/>
            <w:shd w:val="clear" w:color="auto" w:fill="auto"/>
            <w:vAlign w:val="center"/>
          </w:tcPr>
          <w:p w14:paraId="78DBA801" w14:textId="0BA3B321" w:rsidR="00A31E8A" w:rsidRPr="00781112" w:rsidRDefault="00A31E8A" w:rsidP="00A31E8A">
            <w:pPr>
              <w:jc w:val="center"/>
              <w:rPr>
                <w:rFonts w:cs="Arial"/>
                <w:color w:val="000000" w:themeColor="text1"/>
                <w:szCs w:val="16"/>
              </w:rPr>
            </w:pPr>
            <w:r w:rsidRPr="00781112">
              <w:rPr>
                <w:rFonts w:cs="Arial"/>
                <w:color w:val="000000" w:themeColor="text1"/>
                <w:szCs w:val="16"/>
              </w:rPr>
              <w:t>50.89%</w:t>
            </w:r>
          </w:p>
        </w:tc>
        <w:tc>
          <w:tcPr>
            <w:tcW w:w="499" w:type="pct"/>
            <w:shd w:val="clear" w:color="auto" w:fill="auto"/>
            <w:vAlign w:val="center"/>
          </w:tcPr>
          <w:p w14:paraId="1DC938D5" w14:textId="450CB901" w:rsidR="00A31E8A" w:rsidRPr="00781112" w:rsidRDefault="00A31E8A" w:rsidP="00A31E8A">
            <w:pPr>
              <w:jc w:val="center"/>
              <w:rPr>
                <w:rFonts w:cs="Arial"/>
                <w:color w:val="000000" w:themeColor="text1"/>
                <w:szCs w:val="16"/>
              </w:rPr>
            </w:pPr>
            <w:r w:rsidRPr="00781112">
              <w:rPr>
                <w:rFonts w:cs="Arial"/>
                <w:color w:val="000000" w:themeColor="text1"/>
                <w:szCs w:val="16"/>
              </w:rPr>
              <w:t>20.40%</w:t>
            </w:r>
          </w:p>
        </w:tc>
        <w:tc>
          <w:tcPr>
            <w:tcW w:w="601" w:type="pct"/>
            <w:shd w:val="clear" w:color="auto" w:fill="auto"/>
            <w:vAlign w:val="center"/>
          </w:tcPr>
          <w:p w14:paraId="4B9610A1" w14:textId="71C9791E"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5708D4BE" w14:textId="328B6097"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5E0D5724" w14:textId="77777777" w:rsidTr="00140972">
        <w:tc>
          <w:tcPr>
            <w:tcW w:w="220" w:type="pct"/>
            <w:shd w:val="clear" w:color="auto" w:fill="auto"/>
            <w:vAlign w:val="center"/>
          </w:tcPr>
          <w:p w14:paraId="2202EBA2" w14:textId="77777777" w:rsidR="00A31E8A" w:rsidRPr="00781112" w:rsidRDefault="00A31E8A" w:rsidP="00A31E8A">
            <w:pPr>
              <w:pStyle w:val="Default"/>
              <w:jc w:val="center"/>
              <w:rPr>
                <w:b/>
                <w:color w:val="000000" w:themeColor="text1"/>
                <w:sz w:val="16"/>
                <w:szCs w:val="16"/>
              </w:rPr>
            </w:pPr>
            <w:r w:rsidRPr="00781112">
              <w:rPr>
                <w:b/>
                <w:color w:val="000000" w:themeColor="text1"/>
                <w:sz w:val="16"/>
                <w:szCs w:val="16"/>
              </w:rPr>
              <w:t>B</w:t>
            </w:r>
          </w:p>
        </w:tc>
        <w:tc>
          <w:tcPr>
            <w:tcW w:w="563" w:type="pct"/>
            <w:shd w:val="clear" w:color="auto" w:fill="auto"/>
            <w:vAlign w:val="center"/>
          </w:tcPr>
          <w:p w14:paraId="2BE28CC3" w14:textId="5462148F"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8</w:t>
            </w:r>
          </w:p>
        </w:tc>
        <w:tc>
          <w:tcPr>
            <w:tcW w:w="590" w:type="pct"/>
            <w:shd w:val="clear" w:color="auto" w:fill="auto"/>
            <w:vAlign w:val="center"/>
          </w:tcPr>
          <w:p w14:paraId="65165B6C" w14:textId="77C4C484" w:rsidR="00A31E8A" w:rsidRPr="00781112" w:rsidRDefault="00A31E8A" w:rsidP="00A31E8A">
            <w:pPr>
              <w:jc w:val="center"/>
              <w:rPr>
                <w:rFonts w:cs="Arial"/>
                <w:color w:val="000000" w:themeColor="text1"/>
                <w:szCs w:val="16"/>
              </w:rPr>
            </w:pPr>
            <w:r w:rsidRPr="00781112">
              <w:rPr>
                <w:rFonts w:cs="Arial"/>
                <w:color w:val="000000" w:themeColor="text1"/>
                <w:szCs w:val="16"/>
              </w:rPr>
              <w:t>132</w:t>
            </w:r>
          </w:p>
        </w:tc>
        <w:tc>
          <w:tcPr>
            <w:tcW w:w="648" w:type="pct"/>
            <w:shd w:val="clear" w:color="auto" w:fill="auto"/>
          </w:tcPr>
          <w:p w14:paraId="25BE3991" w14:textId="52B3E29B" w:rsidR="00A31E8A" w:rsidRPr="00781112" w:rsidRDefault="00A31E8A" w:rsidP="00A31E8A">
            <w:pPr>
              <w:jc w:val="center"/>
              <w:rPr>
                <w:rFonts w:cs="Arial"/>
                <w:color w:val="000000" w:themeColor="text1"/>
                <w:szCs w:val="16"/>
              </w:rPr>
            </w:pPr>
            <w:r>
              <w:rPr>
                <w:rFonts w:cs="Arial"/>
                <w:color w:val="000000"/>
                <w:szCs w:val="16"/>
              </w:rPr>
              <w:t>365</w:t>
            </w:r>
          </w:p>
        </w:tc>
        <w:tc>
          <w:tcPr>
            <w:tcW w:w="541" w:type="pct"/>
            <w:shd w:val="clear" w:color="auto" w:fill="auto"/>
            <w:vAlign w:val="center"/>
          </w:tcPr>
          <w:p w14:paraId="0DB348C5" w14:textId="2F8A4588" w:rsidR="00A31E8A" w:rsidRPr="00781112" w:rsidRDefault="00A31E8A" w:rsidP="00A31E8A">
            <w:pPr>
              <w:jc w:val="center"/>
              <w:rPr>
                <w:rFonts w:cs="Arial"/>
                <w:color w:val="000000" w:themeColor="text1"/>
                <w:szCs w:val="16"/>
              </w:rPr>
            </w:pPr>
            <w:r w:rsidRPr="00781112">
              <w:rPr>
                <w:rFonts w:cs="Arial"/>
                <w:color w:val="000000" w:themeColor="text1"/>
                <w:szCs w:val="16"/>
              </w:rPr>
              <w:t>33.09%</w:t>
            </w:r>
          </w:p>
        </w:tc>
        <w:tc>
          <w:tcPr>
            <w:tcW w:w="752" w:type="pct"/>
            <w:shd w:val="clear" w:color="auto" w:fill="auto"/>
            <w:vAlign w:val="center"/>
          </w:tcPr>
          <w:p w14:paraId="31FB5FEB" w14:textId="4BF20A90" w:rsidR="00A31E8A" w:rsidRPr="00781112" w:rsidRDefault="00A31E8A" w:rsidP="00A31E8A">
            <w:pPr>
              <w:jc w:val="center"/>
              <w:rPr>
                <w:rFonts w:cs="Arial"/>
                <w:color w:val="000000" w:themeColor="text1"/>
                <w:szCs w:val="16"/>
              </w:rPr>
            </w:pPr>
            <w:r w:rsidRPr="00781112">
              <w:rPr>
                <w:rFonts w:cs="Arial"/>
                <w:color w:val="000000" w:themeColor="text1"/>
                <w:szCs w:val="16"/>
              </w:rPr>
              <w:t>47.37%</w:t>
            </w:r>
          </w:p>
        </w:tc>
        <w:tc>
          <w:tcPr>
            <w:tcW w:w="499" w:type="pct"/>
            <w:shd w:val="clear" w:color="auto" w:fill="auto"/>
            <w:vAlign w:val="center"/>
          </w:tcPr>
          <w:p w14:paraId="139B969C" w14:textId="619F4507" w:rsidR="00A31E8A" w:rsidRPr="00781112" w:rsidRDefault="00A31E8A" w:rsidP="00A31E8A">
            <w:pPr>
              <w:jc w:val="center"/>
              <w:rPr>
                <w:rFonts w:cs="Arial"/>
                <w:color w:val="000000" w:themeColor="text1"/>
                <w:szCs w:val="16"/>
              </w:rPr>
            </w:pPr>
            <w:r w:rsidRPr="00781112">
              <w:rPr>
                <w:rFonts w:cs="Arial"/>
                <w:color w:val="000000" w:themeColor="text1"/>
                <w:szCs w:val="16"/>
              </w:rPr>
              <w:t>36.16%</w:t>
            </w:r>
          </w:p>
        </w:tc>
        <w:tc>
          <w:tcPr>
            <w:tcW w:w="601" w:type="pct"/>
            <w:shd w:val="clear" w:color="auto" w:fill="auto"/>
            <w:vAlign w:val="center"/>
          </w:tcPr>
          <w:p w14:paraId="52EDA926" w14:textId="7B797DBA"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027F05C7" w14:textId="42C60C06"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r w:rsidR="00A31E8A" w:rsidRPr="00781112" w14:paraId="6F15E001" w14:textId="77777777" w:rsidTr="00140972">
        <w:tc>
          <w:tcPr>
            <w:tcW w:w="220" w:type="pct"/>
            <w:shd w:val="clear" w:color="auto" w:fill="auto"/>
            <w:vAlign w:val="center"/>
          </w:tcPr>
          <w:p w14:paraId="40D4F498" w14:textId="77777777" w:rsidR="00A31E8A" w:rsidRPr="00781112" w:rsidRDefault="00A31E8A" w:rsidP="00A31E8A">
            <w:pPr>
              <w:pStyle w:val="Default"/>
              <w:jc w:val="center"/>
              <w:rPr>
                <w:rFonts w:eastAsiaTheme="minorHAnsi"/>
                <w:color w:val="000000" w:themeColor="text1"/>
                <w:sz w:val="16"/>
                <w:szCs w:val="16"/>
              </w:rPr>
            </w:pPr>
            <w:r w:rsidRPr="00781112">
              <w:rPr>
                <w:b/>
                <w:color w:val="000000" w:themeColor="text1"/>
                <w:sz w:val="16"/>
                <w:szCs w:val="16"/>
              </w:rPr>
              <w:t>C</w:t>
            </w:r>
          </w:p>
        </w:tc>
        <w:tc>
          <w:tcPr>
            <w:tcW w:w="563" w:type="pct"/>
            <w:shd w:val="clear" w:color="auto" w:fill="auto"/>
            <w:vAlign w:val="center"/>
          </w:tcPr>
          <w:p w14:paraId="200262C5" w14:textId="22AC7908" w:rsidR="00A31E8A" w:rsidRPr="00781112" w:rsidDel="00DE5045" w:rsidRDefault="00A31E8A" w:rsidP="00A31E8A">
            <w:pPr>
              <w:jc w:val="center"/>
              <w:rPr>
                <w:rFonts w:cs="Arial"/>
                <w:color w:val="000000" w:themeColor="text1"/>
                <w:szCs w:val="16"/>
              </w:rPr>
            </w:pPr>
            <w:r w:rsidRPr="00781112">
              <w:rPr>
                <w:rFonts w:cs="Arial"/>
                <w:color w:val="000000" w:themeColor="text1"/>
                <w:szCs w:val="16"/>
              </w:rPr>
              <w:t>Grade HS</w:t>
            </w:r>
          </w:p>
        </w:tc>
        <w:tc>
          <w:tcPr>
            <w:tcW w:w="590" w:type="pct"/>
            <w:shd w:val="clear" w:color="auto" w:fill="auto"/>
            <w:vAlign w:val="center"/>
          </w:tcPr>
          <w:p w14:paraId="44B84702" w14:textId="5A092874" w:rsidR="00A31E8A" w:rsidRPr="00781112" w:rsidRDefault="00A31E8A" w:rsidP="00A31E8A">
            <w:pPr>
              <w:jc w:val="center"/>
              <w:rPr>
                <w:rFonts w:cs="Arial"/>
                <w:color w:val="000000" w:themeColor="text1"/>
                <w:szCs w:val="16"/>
              </w:rPr>
            </w:pPr>
            <w:r w:rsidRPr="00781112">
              <w:rPr>
                <w:rFonts w:cs="Arial"/>
                <w:color w:val="000000" w:themeColor="text1"/>
                <w:szCs w:val="16"/>
              </w:rPr>
              <w:t>97</w:t>
            </w:r>
          </w:p>
        </w:tc>
        <w:tc>
          <w:tcPr>
            <w:tcW w:w="648" w:type="pct"/>
            <w:shd w:val="clear" w:color="auto" w:fill="auto"/>
          </w:tcPr>
          <w:p w14:paraId="6C88DEC2" w14:textId="2C61C34F" w:rsidR="00A31E8A" w:rsidRPr="00781112" w:rsidRDefault="00A31E8A" w:rsidP="00A31E8A">
            <w:pPr>
              <w:jc w:val="center"/>
              <w:rPr>
                <w:rFonts w:cs="Arial"/>
                <w:color w:val="000000" w:themeColor="text1"/>
                <w:szCs w:val="16"/>
              </w:rPr>
            </w:pPr>
            <w:r>
              <w:rPr>
                <w:rFonts w:cs="Arial"/>
                <w:color w:val="000000"/>
                <w:szCs w:val="16"/>
              </w:rPr>
              <w:t>292</w:t>
            </w:r>
          </w:p>
        </w:tc>
        <w:tc>
          <w:tcPr>
            <w:tcW w:w="541" w:type="pct"/>
            <w:shd w:val="clear" w:color="auto" w:fill="auto"/>
            <w:vAlign w:val="center"/>
          </w:tcPr>
          <w:p w14:paraId="59D699CF" w14:textId="460A79FA" w:rsidR="00A31E8A" w:rsidRPr="00781112" w:rsidRDefault="00A31E8A" w:rsidP="00A31E8A">
            <w:pPr>
              <w:jc w:val="center"/>
              <w:rPr>
                <w:rFonts w:cs="Arial"/>
                <w:color w:val="000000" w:themeColor="text1"/>
                <w:szCs w:val="16"/>
              </w:rPr>
            </w:pPr>
            <w:r w:rsidRPr="00781112">
              <w:rPr>
                <w:rFonts w:cs="Arial"/>
                <w:color w:val="000000" w:themeColor="text1"/>
                <w:szCs w:val="16"/>
              </w:rPr>
              <w:t>31.83%</w:t>
            </w:r>
          </w:p>
        </w:tc>
        <w:tc>
          <w:tcPr>
            <w:tcW w:w="752" w:type="pct"/>
            <w:shd w:val="clear" w:color="auto" w:fill="auto"/>
            <w:vAlign w:val="center"/>
          </w:tcPr>
          <w:p w14:paraId="18D7723E" w14:textId="7A443B62" w:rsidR="00A31E8A" w:rsidRPr="00781112" w:rsidRDefault="00A31E8A" w:rsidP="00A31E8A">
            <w:pPr>
              <w:jc w:val="center"/>
              <w:rPr>
                <w:rFonts w:cs="Arial"/>
                <w:color w:val="000000" w:themeColor="text1"/>
                <w:szCs w:val="16"/>
              </w:rPr>
            </w:pPr>
            <w:r w:rsidRPr="00781112">
              <w:rPr>
                <w:rFonts w:cs="Arial"/>
                <w:color w:val="000000" w:themeColor="text1"/>
                <w:szCs w:val="16"/>
              </w:rPr>
              <w:t>47.79%</w:t>
            </w:r>
          </w:p>
        </w:tc>
        <w:tc>
          <w:tcPr>
            <w:tcW w:w="499" w:type="pct"/>
            <w:shd w:val="clear" w:color="auto" w:fill="auto"/>
            <w:vAlign w:val="center"/>
          </w:tcPr>
          <w:p w14:paraId="1C467869" w14:textId="36566B3C" w:rsidR="00A31E8A" w:rsidRPr="00781112" w:rsidRDefault="00A31E8A" w:rsidP="00A31E8A">
            <w:pPr>
              <w:jc w:val="center"/>
              <w:rPr>
                <w:rFonts w:cs="Arial"/>
                <w:color w:val="000000" w:themeColor="text1"/>
                <w:szCs w:val="16"/>
              </w:rPr>
            </w:pPr>
            <w:r w:rsidRPr="00781112">
              <w:rPr>
                <w:rFonts w:cs="Arial"/>
                <w:color w:val="000000" w:themeColor="text1"/>
                <w:szCs w:val="16"/>
              </w:rPr>
              <w:t>33.22%</w:t>
            </w:r>
          </w:p>
        </w:tc>
        <w:tc>
          <w:tcPr>
            <w:tcW w:w="601" w:type="pct"/>
            <w:shd w:val="clear" w:color="auto" w:fill="auto"/>
            <w:vAlign w:val="center"/>
          </w:tcPr>
          <w:p w14:paraId="56861D59" w14:textId="0856E80D" w:rsidR="00A31E8A" w:rsidRPr="00781112" w:rsidRDefault="00A31E8A" w:rsidP="00A31E8A">
            <w:pPr>
              <w:jc w:val="center"/>
              <w:rPr>
                <w:rFonts w:cs="Arial"/>
                <w:color w:val="000000" w:themeColor="text1"/>
                <w:szCs w:val="16"/>
              </w:rPr>
            </w:pPr>
            <w:r w:rsidRPr="00781112">
              <w:rPr>
                <w:rFonts w:cs="Arial"/>
                <w:color w:val="000000" w:themeColor="text1"/>
                <w:szCs w:val="16"/>
              </w:rPr>
              <w:t>Did not meet target</w:t>
            </w:r>
          </w:p>
        </w:tc>
        <w:tc>
          <w:tcPr>
            <w:tcW w:w="586" w:type="pct"/>
            <w:shd w:val="clear" w:color="auto" w:fill="auto"/>
            <w:vAlign w:val="center"/>
          </w:tcPr>
          <w:p w14:paraId="7220CAED" w14:textId="6484F1AC" w:rsidR="00A31E8A" w:rsidRPr="00781112" w:rsidRDefault="00A31E8A" w:rsidP="00A31E8A">
            <w:pPr>
              <w:jc w:val="center"/>
              <w:rPr>
                <w:rFonts w:cs="Arial"/>
                <w:color w:val="000000" w:themeColor="text1"/>
                <w:szCs w:val="16"/>
              </w:rPr>
            </w:pPr>
            <w:r w:rsidRPr="00781112">
              <w:rPr>
                <w:rFonts w:cs="Arial"/>
                <w:color w:val="000000" w:themeColor="text1"/>
                <w:szCs w:val="16"/>
              </w:rPr>
              <w:t>No Slippage</w:t>
            </w:r>
          </w:p>
        </w:tc>
      </w:tr>
    </w:tbl>
    <w:p w14:paraId="5EB0A206" w14:textId="77777777" w:rsidR="00445640" w:rsidRPr="00781112" w:rsidRDefault="00445640" w:rsidP="000C3A20">
      <w:pPr>
        <w:rPr>
          <w:color w:val="000000" w:themeColor="text1"/>
        </w:rPr>
      </w:pPr>
    </w:p>
    <w:p w14:paraId="4F8B3B70" w14:textId="05453045" w:rsidR="000A5A2E" w:rsidRPr="00781112" w:rsidRDefault="000A5A2E" w:rsidP="004369B2">
      <w:pPr>
        <w:rPr>
          <w:color w:val="000000" w:themeColor="text1"/>
        </w:rPr>
      </w:pPr>
      <w:r w:rsidRPr="00781112">
        <w:rPr>
          <w:b/>
          <w:color w:val="000000" w:themeColor="text1"/>
        </w:rPr>
        <w:t>Regulatory Information</w:t>
      </w:r>
    </w:p>
    <w:p w14:paraId="2B741846" w14:textId="30EBAA23" w:rsidR="000A5A2E" w:rsidRPr="00781112" w:rsidRDefault="00A14B5D" w:rsidP="00286BDF">
      <w:pPr>
        <w:rPr>
          <w:rFonts w:cs="Arial"/>
          <w:b/>
          <w:color w:val="000000" w:themeColor="text1"/>
          <w:szCs w:val="16"/>
          <w:shd w:val="clear" w:color="auto" w:fill="FFFFFF"/>
        </w:rPr>
      </w:pPr>
      <w:r w:rsidRPr="00781112">
        <w:rPr>
          <w:rFonts w:cs="Arial"/>
          <w:b/>
          <w:color w:val="000000" w:themeColor="text1"/>
          <w:szCs w:val="16"/>
        </w:rPr>
        <w:t>The SEA, (or, in the case of a district-wide assessment, LEA) must make available to the public, and report to the public with the same frequency and in the same detail as it reports on the assessment of nondisabled children: (1) the number of children with disabilities participating in: (a) regular assessments, and the number of those children who were provided accommodations in order to participate in those assessments; and (b) alternate assessments aligned with alternate achievement standards; and (2) the performance of children with disabilities on regular assessments and on alternate assessments, compared with the achievement of all children, including children with disabilities, on those assessments. [20 U.S.C. 1412 (a)(16)(D); 34 CFR §300.160(f)]</w:t>
      </w:r>
    </w:p>
    <w:p w14:paraId="7C3B3355" w14:textId="77777777" w:rsidR="00241BD0" w:rsidRPr="00781112" w:rsidRDefault="00241BD0" w:rsidP="004369B2">
      <w:pPr>
        <w:rPr>
          <w:color w:val="000000" w:themeColor="text1"/>
        </w:rPr>
      </w:pPr>
    </w:p>
    <w:p w14:paraId="1FD3EE14" w14:textId="6446691C" w:rsidR="000A5A2E" w:rsidRPr="00781112" w:rsidRDefault="000A5A2E" w:rsidP="004369B2">
      <w:pPr>
        <w:rPr>
          <w:color w:val="000000" w:themeColor="text1"/>
        </w:rPr>
      </w:pPr>
      <w:r w:rsidRPr="00781112">
        <w:rPr>
          <w:b/>
          <w:color w:val="000000" w:themeColor="text1"/>
        </w:rPr>
        <w:t>Public Reporting Information</w:t>
      </w:r>
    </w:p>
    <w:p w14:paraId="20613508" w14:textId="77777777" w:rsidR="000A5A2E" w:rsidRPr="00781112" w:rsidRDefault="000A5A2E" w:rsidP="000A5A2E">
      <w:pPr>
        <w:rPr>
          <w:rFonts w:cs="Arial"/>
          <w:b/>
          <w:color w:val="000000" w:themeColor="text1"/>
          <w:szCs w:val="16"/>
        </w:rPr>
      </w:pPr>
      <w:r w:rsidRPr="00781112">
        <w:rPr>
          <w:rFonts w:cs="Arial"/>
          <w:b/>
          <w:color w:val="000000" w:themeColor="text1"/>
          <w:szCs w:val="16"/>
        </w:rPr>
        <w:t xml:space="preserve">Provide links to the page(s) where you provide public reports of assessment results. </w:t>
      </w:r>
    </w:p>
    <w:p w14:paraId="1F0C4C7F" w14:textId="52384A95" w:rsidR="00A869E9" w:rsidRPr="00781112" w:rsidRDefault="00DD3719" w:rsidP="009C613A">
      <w:pPr>
        <w:rPr>
          <w:rFonts w:cs="Arial"/>
          <w:color w:val="000000" w:themeColor="text1"/>
          <w:szCs w:val="16"/>
        </w:rPr>
      </w:pPr>
      <w:r w:rsidRPr="00781112">
        <w:rPr>
          <w:rFonts w:cs="Arial"/>
          <w:color w:val="000000" w:themeColor="text1"/>
          <w:szCs w:val="16"/>
          <w:shd w:val="clear" w:color="auto" w:fill="FFFFFF"/>
        </w:rPr>
        <w:lastRenderedPageBreak/>
        <w:t xml:space="preserve">Public reports of assessment results are provided at https://www.oregon.gov/ode/educator-resources/assessment/Pages/Assessment-Group-Reports.aspx. </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 xml:space="preserve">On this page, there are links to assessment data by subject and year. </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 xml:space="preserve">Statewide ELA assessment information is provided at https://www.oregon.gov/ode/educator-resources/assessment/Documents/TestResults2324/pagr_Districts_ELA_2324.xlsx. </w:t>
      </w:r>
      <w:r w:rsidRPr="00781112">
        <w:rPr>
          <w:rFonts w:cs="Arial"/>
          <w:color w:val="000000" w:themeColor="text1"/>
          <w:szCs w:val="16"/>
          <w:shd w:val="clear" w:color="auto" w:fill="FFFFFF"/>
        </w:rPr>
        <w:br/>
      </w:r>
      <w:r w:rsidRPr="00781112">
        <w:rPr>
          <w:rFonts w:cs="Arial"/>
          <w:color w:val="000000" w:themeColor="text1"/>
          <w:szCs w:val="16"/>
          <w:shd w:val="clear" w:color="auto" w:fill="FFFFFF"/>
        </w:rPr>
        <w:br/>
        <w:t xml:space="preserve">Statewide math assessment information is provided at https://www.oregon.gov/ode/educator-resources/assessment/Documents/TestResults2324/pagr_Districts_MATH_2324.xlsx. </w:t>
      </w:r>
    </w:p>
    <w:p w14:paraId="32BCE51B" w14:textId="77777777" w:rsidR="00796DC0" w:rsidRPr="00781112" w:rsidRDefault="00796DC0" w:rsidP="004369B2">
      <w:pPr>
        <w:rPr>
          <w:b/>
          <w:color w:val="000000" w:themeColor="text1"/>
        </w:rPr>
      </w:pPr>
      <w:r w:rsidRPr="00781112">
        <w:rPr>
          <w:b/>
          <w:color w:val="000000" w:themeColor="text1"/>
        </w:rPr>
        <w:t>Provide additional information about this indicator (optional)</w:t>
      </w:r>
    </w:p>
    <w:p w14:paraId="19728EE3" w14:textId="7FE6C853" w:rsidR="00A869E9" w:rsidRPr="00781112" w:rsidRDefault="00A869E9" w:rsidP="000E33D0">
      <w:pPr>
        <w:rPr>
          <w:rFonts w:cs="Arial"/>
          <w:color w:val="000000" w:themeColor="text1"/>
          <w:szCs w:val="16"/>
        </w:rPr>
      </w:pPr>
    </w:p>
    <w:p w14:paraId="1C326C48" w14:textId="1B3ADE94" w:rsidR="000A2C83" w:rsidRPr="00781112" w:rsidRDefault="00573F6C" w:rsidP="005B40C0">
      <w:pPr>
        <w:pStyle w:val="Heading3"/>
      </w:pPr>
      <w:r w:rsidRPr="00781112">
        <w:t>3C</w:t>
      </w:r>
      <w:r w:rsidR="00BB4FD7" w:rsidRPr="00781112">
        <w:t xml:space="preserve"> </w:t>
      </w:r>
      <w:r w:rsidRPr="00781112">
        <w:t xml:space="preserve">- </w:t>
      </w:r>
      <w:r w:rsidR="000A2C83" w:rsidRPr="00781112">
        <w:t>Prior FFY Required Actions</w:t>
      </w:r>
    </w:p>
    <w:p w14:paraId="5570C94B" w14:textId="51EF4ED4" w:rsidR="000A2C83" w:rsidRPr="00781112" w:rsidRDefault="002B7490" w:rsidP="000A2C83">
      <w:pPr>
        <w:rPr>
          <w:rFonts w:cs="Arial"/>
          <w:color w:val="000000" w:themeColor="text1"/>
          <w:szCs w:val="16"/>
        </w:rPr>
      </w:pPr>
      <w:r w:rsidRPr="00781112">
        <w:rPr>
          <w:rFonts w:cs="Arial"/>
          <w:color w:val="000000" w:themeColor="text1"/>
          <w:szCs w:val="16"/>
        </w:rPr>
        <w:t>None</w:t>
      </w:r>
    </w:p>
    <w:p w14:paraId="0EFAA7F7" w14:textId="77777777" w:rsidR="00247959" w:rsidRPr="00781112" w:rsidRDefault="00247959" w:rsidP="000A2C83">
      <w:pPr>
        <w:rPr>
          <w:rFonts w:cs="Arial"/>
          <w:color w:val="000000" w:themeColor="text1"/>
          <w:szCs w:val="16"/>
        </w:rPr>
      </w:pPr>
    </w:p>
    <w:p w14:paraId="1E98E6A2" w14:textId="3C798D76" w:rsidR="00796DC0" w:rsidRPr="00781112" w:rsidRDefault="00573F6C" w:rsidP="005B40C0">
      <w:pPr>
        <w:pStyle w:val="Heading3"/>
      </w:pPr>
      <w:r w:rsidRPr="00781112">
        <w:t>3C - OSEP Response</w:t>
      </w:r>
    </w:p>
    <w:p w14:paraId="742F0548" w14:textId="6CBFA0D3" w:rsidR="00A869E9" w:rsidRPr="00781112" w:rsidRDefault="00A869E9" w:rsidP="001F692C">
      <w:pPr>
        <w:rPr>
          <w:rFonts w:cs="Arial"/>
          <w:color w:val="000000" w:themeColor="text1"/>
          <w:szCs w:val="16"/>
          <w:shd w:val="clear" w:color="auto" w:fill="FFFFFF"/>
        </w:rPr>
      </w:pPr>
    </w:p>
    <w:p w14:paraId="0774F476" w14:textId="1E34BC77" w:rsidR="00796DC0" w:rsidRPr="00781112" w:rsidRDefault="00573F6C" w:rsidP="005B40C0">
      <w:pPr>
        <w:pStyle w:val="Heading3"/>
      </w:pPr>
      <w:r w:rsidRPr="00781112">
        <w:t>3C - Required Actions</w:t>
      </w:r>
    </w:p>
    <w:p w14:paraId="5E46A453" w14:textId="5260AC47" w:rsidR="00A869E9" w:rsidRPr="00781112" w:rsidRDefault="00A869E9" w:rsidP="001F692C">
      <w:pPr>
        <w:rPr>
          <w:rFonts w:cs="Arial"/>
          <w:color w:val="000000" w:themeColor="text1"/>
          <w:szCs w:val="16"/>
          <w:shd w:val="clear" w:color="auto" w:fill="FFFFFF"/>
        </w:rPr>
      </w:pPr>
    </w:p>
    <w:p w14:paraId="5933CC1B" w14:textId="40F9F685" w:rsidR="00A63347" w:rsidRPr="00781112" w:rsidRDefault="00A63347">
      <w:pPr>
        <w:spacing w:before="0" w:after="200" w:line="276" w:lineRule="auto"/>
        <w:rPr>
          <w:rFonts w:cs="Arial"/>
          <w:color w:val="000000" w:themeColor="text1"/>
          <w:szCs w:val="16"/>
          <w:shd w:val="clear" w:color="auto" w:fill="FFFFFF"/>
        </w:rPr>
      </w:pPr>
      <w:r w:rsidRPr="00781112">
        <w:rPr>
          <w:rFonts w:cs="Arial"/>
          <w:color w:val="000000" w:themeColor="text1"/>
          <w:szCs w:val="16"/>
          <w:shd w:val="clear" w:color="auto" w:fill="FFFFFF"/>
        </w:rPr>
        <w:br w:type="page"/>
      </w:r>
    </w:p>
    <w:p w14:paraId="04EE5889" w14:textId="73DDCB24" w:rsidR="00764DDE" w:rsidRPr="00781112" w:rsidRDefault="00764DDE" w:rsidP="005B40C0">
      <w:pPr>
        <w:pStyle w:val="Heading2"/>
      </w:pPr>
      <w:r w:rsidRPr="00781112">
        <w:rPr>
          <w:color w:val="000000" w:themeColor="text1"/>
          <w:sz w:val="22"/>
        </w:rPr>
        <w:lastRenderedPageBreak/>
        <w:t>Indicator 3D: Gap in Proficiency Rates (Grade Level Academic Achievement Standards)</w:t>
      </w:r>
    </w:p>
    <w:p w14:paraId="46C730FF" w14:textId="7919001F" w:rsidR="00764DDE" w:rsidRPr="002C274F" w:rsidRDefault="00764DDE" w:rsidP="002C274F">
      <w:pPr>
        <w:rPr>
          <w:b/>
          <w:bCs/>
          <w:sz w:val="20"/>
          <w:szCs w:val="20"/>
        </w:rPr>
      </w:pPr>
      <w:r w:rsidRPr="002C274F">
        <w:rPr>
          <w:b/>
          <w:bCs/>
          <w:sz w:val="20"/>
          <w:szCs w:val="20"/>
        </w:rPr>
        <w:t>Instructions and Measurement</w:t>
      </w:r>
    </w:p>
    <w:p w14:paraId="62AF8D70" w14:textId="77777777" w:rsidR="00764DDE" w:rsidRPr="00781112" w:rsidRDefault="00764DDE" w:rsidP="00764DDE">
      <w:pPr>
        <w:rPr>
          <w:color w:val="000000" w:themeColor="text1"/>
        </w:rPr>
      </w:pPr>
      <w:r w:rsidRPr="00781112">
        <w:rPr>
          <w:b/>
          <w:color w:val="000000" w:themeColor="text1"/>
        </w:rPr>
        <w:t>Monitoring Priority:</w:t>
      </w:r>
      <w:r w:rsidRPr="00781112">
        <w:rPr>
          <w:color w:val="000000" w:themeColor="text1"/>
        </w:rPr>
        <w:t xml:space="preserve"> FAPE in the LRE</w:t>
      </w:r>
    </w:p>
    <w:p w14:paraId="03D1E39F" w14:textId="77777777" w:rsidR="00764DDE" w:rsidRPr="00781112" w:rsidRDefault="00764DDE" w:rsidP="00764DDE">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Participation and performance of children with IEPs on statewide assessments:</w:t>
      </w:r>
    </w:p>
    <w:p w14:paraId="39C0DF3F"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A. Participation rate for children with IEPs.</w:t>
      </w:r>
    </w:p>
    <w:p w14:paraId="37414902"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 xml:space="preserve">B. </w:t>
      </w:r>
      <w:r w:rsidRPr="00781112">
        <w:rPr>
          <w:rFonts w:cs="Arial"/>
          <w:szCs w:val="16"/>
        </w:rPr>
        <w:t>Proficiency rate for children with IEPs against grade level academic achievement standards.</w:t>
      </w:r>
    </w:p>
    <w:p w14:paraId="5E9A9263"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C. Proficiency rate for children with IEPs against alternate academic achievement standards.</w:t>
      </w:r>
    </w:p>
    <w:p w14:paraId="6AEED6CC" w14:textId="77777777" w:rsidR="00876D2A" w:rsidRPr="00781112" w:rsidRDefault="00876D2A" w:rsidP="00876D2A">
      <w:pPr>
        <w:ind w:firstLine="720"/>
        <w:rPr>
          <w:rFonts w:cs="Arial"/>
          <w:color w:val="000000" w:themeColor="text1"/>
          <w:szCs w:val="16"/>
        </w:rPr>
      </w:pPr>
      <w:r w:rsidRPr="00781112">
        <w:rPr>
          <w:rFonts w:cs="Arial"/>
          <w:color w:val="000000" w:themeColor="text1"/>
          <w:szCs w:val="16"/>
        </w:rPr>
        <w:t>D.</w:t>
      </w:r>
      <w:r w:rsidRPr="00781112">
        <w:rPr>
          <w:rFonts w:cs="Arial"/>
          <w:szCs w:val="16"/>
        </w:rPr>
        <w:t xml:space="preserve"> Gap in proficiency rates for children with IEPs and all students against grade level academic achievement standards.</w:t>
      </w:r>
    </w:p>
    <w:p w14:paraId="67B35375" w14:textId="77777777" w:rsidR="00876D2A" w:rsidRPr="00781112" w:rsidRDefault="00876D2A" w:rsidP="00876D2A">
      <w:pPr>
        <w:rPr>
          <w:rFonts w:cs="Arial"/>
          <w:color w:val="000000" w:themeColor="text1"/>
          <w:szCs w:val="16"/>
        </w:rPr>
      </w:pPr>
      <w:r w:rsidRPr="00781112">
        <w:rPr>
          <w:rFonts w:cs="Arial"/>
          <w:color w:val="000000" w:themeColor="text1"/>
          <w:szCs w:val="16"/>
        </w:rPr>
        <w:t>(20 U.S.C. 1416 (a)(3)(A))</w:t>
      </w:r>
    </w:p>
    <w:p w14:paraId="0BC18EE2" w14:textId="77777777" w:rsidR="00764DDE" w:rsidRPr="00781112" w:rsidRDefault="00764DDE" w:rsidP="00764DDE">
      <w:pPr>
        <w:rPr>
          <w:color w:val="000000" w:themeColor="text1"/>
        </w:rPr>
      </w:pPr>
      <w:r w:rsidRPr="00781112">
        <w:rPr>
          <w:b/>
          <w:color w:val="000000" w:themeColor="text1"/>
        </w:rPr>
        <w:t>Data Source</w:t>
      </w:r>
    </w:p>
    <w:p w14:paraId="3AB8B5B6" w14:textId="77777777" w:rsidR="00876D2A" w:rsidRPr="00781112" w:rsidRDefault="00876D2A" w:rsidP="00876D2A">
      <w:pPr>
        <w:rPr>
          <w:rFonts w:cs="Arial"/>
          <w:szCs w:val="16"/>
        </w:rPr>
      </w:pPr>
      <w:r w:rsidRPr="00781112">
        <w:rPr>
          <w:rFonts w:cs="Arial"/>
          <w:szCs w:val="16"/>
        </w:rPr>
        <w:t>3D. Same data as used for reporting to the Department under Title I of the ESEA, using ED</w:t>
      </w:r>
      <w:r w:rsidRPr="00BA3DBE">
        <w:rPr>
          <w:rFonts w:cs="Arial"/>
          <w:i/>
          <w:iCs/>
          <w:szCs w:val="16"/>
        </w:rPr>
        <w:t>Facts</w:t>
      </w:r>
      <w:r w:rsidRPr="00781112">
        <w:rPr>
          <w:rFonts w:cs="Arial"/>
          <w:szCs w:val="16"/>
        </w:rPr>
        <w:t xml:space="preserve"> file specifications FS175 and 178.</w:t>
      </w:r>
    </w:p>
    <w:p w14:paraId="7A02CC2C" w14:textId="77777777" w:rsidR="00764DDE" w:rsidRPr="00781112" w:rsidRDefault="00764DDE" w:rsidP="00764DDE">
      <w:pPr>
        <w:rPr>
          <w:color w:val="000000" w:themeColor="text1"/>
        </w:rPr>
      </w:pPr>
      <w:r w:rsidRPr="00781112">
        <w:rPr>
          <w:b/>
          <w:color w:val="000000" w:themeColor="text1"/>
        </w:rPr>
        <w:t>Measurement</w:t>
      </w:r>
    </w:p>
    <w:p w14:paraId="4FEF37F2" w14:textId="71D2FEF4" w:rsidR="00876D2A" w:rsidRPr="00781112" w:rsidRDefault="00876D2A" w:rsidP="00876D2A">
      <w:pPr>
        <w:rPr>
          <w:rFonts w:cs="Arial"/>
          <w:szCs w:val="16"/>
        </w:rPr>
      </w:pPr>
      <w:r w:rsidRPr="00781112">
        <w:rPr>
          <w:rFonts w:cs="Arial"/>
          <w:szCs w:val="16"/>
        </w:rPr>
        <w:t>D. Proficiency rate gap = [(proficiency rate for children with IEPs scoring at or above proficient against grade level academic achievement standards for the 2023-2024 school year) subtracted from the (proficiency rate for all students scoring at or above proficient against grade level academic achievement standards for the 2023-2024 school year)]. Calculate separately for reading and math. Calculate separately for grades 4, 8, and high school. The proficiency rate includes all children enrolled for a full academic year and those not enrolled for a full academic year.</w:t>
      </w:r>
    </w:p>
    <w:p w14:paraId="69B5F103" w14:textId="77777777" w:rsidR="00764DDE" w:rsidRPr="00781112" w:rsidRDefault="00764DDE" w:rsidP="00764DDE">
      <w:pPr>
        <w:rPr>
          <w:color w:val="000000" w:themeColor="text1"/>
        </w:rPr>
      </w:pPr>
      <w:r w:rsidRPr="00781112">
        <w:rPr>
          <w:b/>
          <w:color w:val="000000" w:themeColor="text1"/>
        </w:rPr>
        <w:t>Instructions</w:t>
      </w:r>
    </w:p>
    <w:p w14:paraId="06ED299B" w14:textId="468BCD67" w:rsidR="00876D2A" w:rsidRPr="00781112" w:rsidRDefault="00876D2A" w:rsidP="00876D2A">
      <w:pPr>
        <w:pStyle w:val="Subhed"/>
        <w:rPr>
          <w:b w:val="0"/>
          <w:bCs/>
        </w:rPr>
      </w:pPr>
      <w:r w:rsidRPr="00781112">
        <w:rPr>
          <w:b w:val="0"/>
          <w:bCs/>
        </w:rPr>
        <w:t>Describe the results of the calculations and compare the results to the targets. Provide the actual numbers used in the calculation.</w:t>
      </w:r>
    </w:p>
    <w:p w14:paraId="5361E418" w14:textId="77777777" w:rsidR="00876D2A" w:rsidRPr="00781112" w:rsidRDefault="00876D2A" w:rsidP="00876D2A">
      <w:pPr>
        <w:pStyle w:val="Subhed"/>
        <w:rPr>
          <w:b w:val="0"/>
          <w:bCs/>
        </w:rPr>
      </w:pPr>
      <w:r w:rsidRPr="00781112">
        <w:rPr>
          <w:b w:val="0"/>
          <w:bCs/>
        </w:rPr>
        <w:t xml:space="preserve">Include information regarding where to find public reports of assessment participation and performance results, as required by 34 CFR §300.160(f), </w:t>
      </w:r>
      <w:r w:rsidRPr="00BA3DBE">
        <w:rPr>
          <w:b w:val="0"/>
          <w:bCs/>
          <w:iCs/>
        </w:rPr>
        <w:t>i.e.</w:t>
      </w:r>
      <w:r w:rsidRPr="006F6E8E">
        <w:rPr>
          <w:b w:val="0"/>
          <w:bCs/>
          <w:iCs/>
        </w:rPr>
        <w:t>,</w:t>
      </w:r>
      <w:r w:rsidRPr="00781112">
        <w:rPr>
          <w:b w:val="0"/>
          <w:bCs/>
        </w:rPr>
        <w:t xml:space="preserve"> a link to the Web site where these data are reported.</w:t>
      </w:r>
    </w:p>
    <w:p w14:paraId="6D783CD1" w14:textId="4311ECC0" w:rsidR="00876D2A" w:rsidRPr="00781112" w:rsidRDefault="00876D2A" w:rsidP="00876D2A">
      <w:pPr>
        <w:pStyle w:val="Subhed"/>
      </w:pPr>
      <w:r w:rsidRPr="00781112">
        <w:rPr>
          <w:b w:val="0"/>
          <w:bCs/>
        </w:rPr>
        <w:t>Indicator 3D: Gap calculations in this SPP/APR must result in the proficiency rate for children with IEPs were proficient against grade level academic achievement standards for the 2023-2024 school year compared to the proficiency rate for all students who were proficient against grade level academic achievement standards for the 2023-2024 school year. Calculate separately for reading/language arts and math in each of the following grades: 4, 8, and high school, including both children enrolled for a full academic year and those not enrolled for a full academic year. Only include children with disabilities who had an IEP at the time of testing.</w:t>
      </w:r>
    </w:p>
    <w:p w14:paraId="272DFFEC" w14:textId="192FF82B" w:rsidR="00DD5B7A" w:rsidRPr="00781112" w:rsidRDefault="00764DDE" w:rsidP="005B40C0">
      <w:pPr>
        <w:pStyle w:val="Heading3"/>
      </w:pPr>
      <w:r w:rsidRPr="00781112">
        <w:t>3D - Indicator Data</w:t>
      </w:r>
    </w:p>
    <w:p w14:paraId="5E01F354" w14:textId="77777777" w:rsidR="00DD5B7A" w:rsidRPr="00781112" w:rsidRDefault="00DD5B7A" w:rsidP="00DD5B7A">
      <w:pPr>
        <w:rPr>
          <w:b/>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HISTDATA"/>
      </w:tblPr>
      <w:tblGrid>
        <w:gridCol w:w="1588"/>
        <w:gridCol w:w="1588"/>
        <w:gridCol w:w="2538"/>
        <w:gridCol w:w="2538"/>
        <w:gridCol w:w="2538"/>
      </w:tblGrid>
      <w:tr w:rsidR="00DD5B7A" w:rsidRPr="00781112" w14:paraId="65AC4D07" w14:textId="77777777" w:rsidTr="009725F4">
        <w:trPr>
          <w:trHeight w:val="368"/>
          <w:tblHeader/>
        </w:trPr>
        <w:tc>
          <w:tcPr>
            <w:tcW w:w="736" w:type="pct"/>
            <w:tcBorders>
              <w:top w:val="single" w:sz="4" w:space="0" w:color="auto"/>
            </w:tcBorders>
            <w:vAlign w:val="center"/>
          </w:tcPr>
          <w:p w14:paraId="0BE0D6D4"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Subject</w:t>
            </w:r>
          </w:p>
        </w:tc>
        <w:tc>
          <w:tcPr>
            <w:tcW w:w="736" w:type="pct"/>
            <w:tcBorders>
              <w:top w:val="single" w:sz="4" w:space="0" w:color="auto"/>
            </w:tcBorders>
            <w:shd w:val="clear" w:color="auto" w:fill="auto"/>
            <w:vAlign w:val="center"/>
          </w:tcPr>
          <w:p w14:paraId="4B9E396A"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w:t>
            </w:r>
          </w:p>
        </w:tc>
        <w:tc>
          <w:tcPr>
            <w:tcW w:w="1176" w:type="pct"/>
            <w:tcBorders>
              <w:top w:val="single" w:sz="4" w:space="0" w:color="auto"/>
            </w:tcBorders>
            <w:shd w:val="clear" w:color="auto" w:fill="auto"/>
            <w:vAlign w:val="center"/>
          </w:tcPr>
          <w:p w14:paraId="100D6C6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Group Name </w:t>
            </w:r>
          </w:p>
        </w:tc>
        <w:tc>
          <w:tcPr>
            <w:tcW w:w="1176" w:type="pct"/>
            <w:tcBorders>
              <w:top w:val="single" w:sz="4" w:space="0" w:color="auto"/>
            </w:tcBorders>
            <w:shd w:val="clear" w:color="auto" w:fill="auto"/>
            <w:vAlign w:val="center"/>
          </w:tcPr>
          <w:p w14:paraId="6E047D89"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 xml:space="preserve">Baseline Year </w:t>
            </w:r>
          </w:p>
        </w:tc>
        <w:tc>
          <w:tcPr>
            <w:tcW w:w="1176" w:type="pct"/>
            <w:tcBorders>
              <w:top w:val="single" w:sz="4" w:space="0" w:color="auto"/>
            </w:tcBorders>
            <w:vAlign w:val="center"/>
          </w:tcPr>
          <w:p w14:paraId="3D50F3F8" w14:textId="77777777" w:rsidR="00DD5B7A" w:rsidRPr="00781112" w:rsidRDefault="00DD5B7A" w:rsidP="00827FF4">
            <w:pPr>
              <w:jc w:val="center"/>
              <w:rPr>
                <w:rFonts w:cs="Arial"/>
                <w:b/>
                <w:color w:val="000000" w:themeColor="text1"/>
                <w:szCs w:val="16"/>
              </w:rPr>
            </w:pPr>
            <w:r w:rsidRPr="00781112">
              <w:rPr>
                <w:rFonts w:cs="Arial"/>
                <w:b/>
                <w:color w:val="000000" w:themeColor="text1"/>
                <w:szCs w:val="16"/>
              </w:rPr>
              <w:t>Baseline Data</w:t>
            </w:r>
          </w:p>
        </w:tc>
      </w:tr>
      <w:tr w:rsidR="00DD5B7A" w:rsidRPr="00781112" w14:paraId="70B05A32" w14:textId="77777777" w:rsidTr="00360DD6">
        <w:trPr>
          <w:trHeight w:val="368"/>
        </w:trPr>
        <w:tc>
          <w:tcPr>
            <w:tcW w:w="736" w:type="pct"/>
            <w:vAlign w:val="center"/>
          </w:tcPr>
          <w:p w14:paraId="1E1400E1"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00726A78"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06B2FF2" w14:textId="0257EDF0" w:rsidR="00DD5B7A" w:rsidRPr="00781112" w:rsidRDefault="00DD5B7A" w:rsidP="00827FF4">
            <w:pPr>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6B1B3326" w14:textId="475D3617"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0D86351D" w14:textId="7DD98963" w:rsidR="00DD5B7A" w:rsidRPr="00781112" w:rsidRDefault="00DD5B7A" w:rsidP="00827FF4">
            <w:pPr>
              <w:spacing w:before="0" w:after="0"/>
              <w:jc w:val="center"/>
              <w:rPr>
                <w:color w:val="000000" w:themeColor="text1"/>
              </w:rPr>
            </w:pPr>
            <w:r w:rsidRPr="00781112">
              <w:rPr>
                <w:rFonts w:cs="Arial"/>
                <w:color w:val="000000" w:themeColor="text1"/>
                <w:szCs w:val="16"/>
              </w:rPr>
              <w:t>25.91</w:t>
            </w:r>
          </w:p>
        </w:tc>
      </w:tr>
      <w:tr w:rsidR="00DD5B7A" w:rsidRPr="00781112" w14:paraId="7DB1C775" w14:textId="77777777" w:rsidTr="00360DD6">
        <w:trPr>
          <w:trHeight w:val="368"/>
        </w:trPr>
        <w:tc>
          <w:tcPr>
            <w:tcW w:w="736" w:type="pct"/>
            <w:vAlign w:val="center"/>
          </w:tcPr>
          <w:p w14:paraId="38812700"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4DC20823"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27BEF817" w14:textId="375B6CFE"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644047DF" w14:textId="126BB3C2"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111214B9" w14:textId="3291E6F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34.36</w:t>
            </w:r>
          </w:p>
        </w:tc>
      </w:tr>
      <w:tr w:rsidR="00DD5B7A" w:rsidRPr="00781112" w14:paraId="468C5707" w14:textId="77777777" w:rsidTr="00360DD6">
        <w:trPr>
          <w:trHeight w:val="368"/>
        </w:trPr>
        <w:tc>
          <w:tcPr>
            <w:tcW w:w="736" w:type="pct"/>
            <w:vAlign w:val="center"/>
          </w:tcPr>
          <w:p w14:paraId="283DD3EF"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Reading</w:t>
            </w:r>
          </w:p>
        </w:tc>
        <w:tc>
          <w:tcPr>
            <w:tcW w:w="736" w:type="pct"/>
            <w:shd w:val="clear" w:color="auto" w:fill="auto"/>
            <w:vAlign w:val="center"/>
          </w:tcPr>
          <w:p w14:paraId="66F83830"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5B906466" w14:textId="7AB9DEC7" w:rsidR="00DD5B7A" w:rsidRPr="00781112" w:rsidRDefault="00DD5B7A" w:rsidP="00827FF4">
            <w:pPr>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4D688A86" w14:textId="0A70602B"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3E971EFB" w14:textId="111D0794"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35.87</w:t>
            </w:r>
          </w:p>
        </w:tc>
      </w:tr>
      <w:tr w:rsidR="00DD5B7A" w:rsidRPr="00781112" w14:paraId="40BEF17A" w14:textId="77777777" w:rsidTr="00360DD6">
        <w:trPr>
          <w:trHeight w:val="368"/>
        </w:trPr>
        <w:tc>
          <w:tcPr>
            <w:tcW w:w="736" w:type="pct"/>
            <w:vAlign w:val="center"/>
          </w:tcPr>
          <w:p w14:paraId="10F38B33"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6A2FED54"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A</w:t>
            </w:r>
          </w:p>
        </w:tc>
        <w:tc>
          <w:tcPr>
            <w:tcW w:w="1176" w:type="pct"/>
            <w:shd w:val="clear" w:color="auto" w:fill="auto"/>
            <w:vAlign w:val="center"/>
          </w:tcPr>
          <w:p w14:paraId="4BB0AC7F" w14:textId="3CC5AB81"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4</w:t>
            </w:r>
          </w:p>
        </w:tc>
        <w:tc>
          <w:tcPr>
            <w:tcW w:w="1176" w:type="pct"/>
            <w:shd w:val="clear" w:color="auto" w:fill="auto"/>
            <w:vAlign w:val="center"/>
          </w:tcPr>
          <w:p w14:paraId="53D65D13" w14:textId="770510BC"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61BD930B" w14:textId="329DAC52"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19.18</w:t>
            </w:r>
          </w:p>
        </w:tc>
      </w:tr>
      <w:tr w:rsidR="00DD5B7A" w:rsidRPr="00781112" w14:paraId="58025947" w14:textId="77777777" w:rsidTr="00360DD6">
        <w:trPr>
          <w:trHeight w:val="368"/>
        </w:trPr>
        <w:tc>
          <w:tcPr>
            <w:tcW w:w="736" w:type="pct"/>
            <w:vAlign w:val="center"/>
          </w:tcPr>
          <w:p w14:paraId="78429F0C"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EDC855F"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B</w:t>
            </w:r>
          </w:p>
        </w:tc>
        <w:tc>
          <w:tcPr>
            <w:tcW w:w="1176" w:type="pct"/>
            <w:shd w:val="clear" w:color="auto" w:fill="auto"/>
            <w:vAlign w:val="center"/>
          </w:tcPr>
          <w:p w14:paraId="5CF56AA5" w14:textId="0CC49FE5" w:rsidR="00DD5B7A" w:rsidRPr="00781112" w:rsidRDefault="00DD5B7A" w:rsidP="00827FF4">
            <w:pPr>
              <w:jc w:val="center"/>
              <w:rPr>
                <w:rFonts w:cs="Arial"/>
                <w:color w:val="000000" w:themeColor="text1"/>
                <w:szCs w:val="16"/>
              </w:rPr>
            </w:pPr>
            <w:r w:rsidRPr="00781112">
              <w:rPr>
                <w:rFonts w:cs="Arial"/>
                <w:color w:val="000000" w:themeColor="text1"/>
                <w:szCs w:val="16"/>
              </w:rPr>
              <w:t>Grade 8</w:t>
            </w:r>
          </w:p>
        </w:tc>
        <w:tc>
          <w:tcPr>
            <w:tcW w:w="1176" w:type="pct"/>
            <w:shd w:val="clear" w:color="auto" w:fill="auto"/>
            <w:vAlign w:val="center"/>
          </w:tcPr>
          <w:p w14:paraId="4E0933AD" w14:textId="4526CD59"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21057BA" w14:textId="390B5FBA"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20.03</w:t>
            </w:r>
          </w:p>
        </w:tc>
      </w:tr>
      <w:tr w:rsidR="00DD5B7A" w:rsidRPr="00781112" w14:paraId="760D00F1" w14:textId="77777777" w:rsidTr="00360DD6">
        <w:trPr>
          <w:trHeight w:val="368"/>
        </w:trPr>
        <w:tc>
          <w:tcPr>
            <w:tcW w:w="736" w:type="pct"/>
            <w:vAlign w:val="center"/>
          </w:tcPr>
          <w:p w14:paraId="6D27E968" w14:textId="77777777" w:rsidR="00DD5B7A" w:rsidRPr="00781112" w:rsidRDefault="00DD5B7A" w:rsidP="00827FF4">
            <w:pPr>
              <w:spacing w:before="0" w:after="0"/>
              <w:jc w:val="center"/>
              <w:rPr>
                <w:rFonts w:cs="Arial"/>
                <w:b/>
                <w:bCs/>
                <w:color w:val="000000" w:themeColor="text1"/>
                <w:szCs w:val="16"/>
              </w:rPr>
            </w:pPr>
            <w:r w:rsidRPr="00781112">
              <w:rPr>
                <w:rFonts w:cs="Arial"/>
                <w:szCs w:val="16"/>
              </w:rPr>
              <w:t>Math</w:t>
            </w:r>
          </w:p>
        </w:tc>
        <w:tc>
          <w:tcPr>
            <w:tcW w:w="736" w:type="pct"/>
            <w:shd w:val="clear" w:color="auto" w:fill="auto"/>
            <w:vAlign w:val="center"/>
          </w:tcPr>
          <w:p w14:paraId="2F323B36" w14:textId="77777777"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C</w:t>
            </w:r>
          </w:p>
        </w:tc>
        <w:tc>
          <w:tcPr>
            <w:tcW w:w="1176" w:type="pct"/>
            <w:shd w:val="clear" w:color="auto" w:fill="auto"/>
            <w:vAlign w:val="center"/>
          </w:tcPr>
          <w:p w14:paraId="351646FB" w14:textId="156B4E70"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Grade HS</w:t>
            </w:r>
          </w:p>
        </w:tc>
        <w:tc>
          <w:tcPr>
            <w:tcW w:w="1176" w:type="pct"/>
            <w:shd w:val="clear" w:color="auto" w:fill="auto"/>
            <w:vAlign w:val="center"/>
          </w:tcPr>
          <w:p w14:paraId="32ADE626" w14:textId="141B037F" w:rsidR="00DD5B7A" w:rsidRPr="00781112" w:rsidRDefault="00DD5B7A" w:rsidP="00827FF4">
            <w:pPr>
              <w:jc w:val="center"/>
              <w:rPr>
                <w:rFonts w:cs="Arial"/>
                <w:color w:val="000000" w:themeColor="text1"/>
                <w:szCs w:val="16"/>
              </w:rPr>
            </w:pPr>
            <w:r w:rsidRPr="00781112">
              <w:rPr>
                <w:rFonts w:cs="Arial"/>
                <w:color w:val="000000" w:themeColor="text1"/>
                <w:szCs w:val="16"/>
              </w:rPr>
              <w:t>2020</w:t>
            </w:r>
          </w:p>
        </w:tc>
        <w:tc>
          <w:tcPr>
            <w:tcW w:w="1176" w:type="pct"/>
            <w:vAlign w:val="center"/>
          </w:tcPr>
          <w:p w14:paraId="546306E9" w14:textId="2609FDFB" w:rsidR="00DD5B7A" w:rsidRPr="00781112" w:rsidRDefault="00DD5B7A" w:rsidP="00827FF4">
            <w:pPr>
              <w:spacing w:before="0" w:after="0"/>
              <w:jc w:val="center"/>
              <w:rPr>
                <w:rFonts w:cs="Arial"/>
                <w:color w:val="000000" w:themeColor="text1"/>
                <w:szCs w:val="16"/>
              </w:rPr>
            </w:pPr>
            <w:r w:rsidRPr="00781112">
              <w:rPr>
                <w:rFonts w:cs="Arial"/>
                <w:color w:val="000000" w:themeColor="text1"/>
                <w:szCs w:val="16"/>
              </w:rPr>
              <w:t>20.76</w:t>
            </w:r>
          </w:p>
        </w:tc>
      </w:tr>
    </w:tbl>
    <w:p w14:paraId="6BEA17C2" w14:textId="77777777" w:rsidR="00DD5B7A" w:rsidRPr="00781112" w:rsidRDefault="00DD5B7A" w:rsidP="00FE4611">
      <w:pPr>
        <w:spacing w:before="0" w:after="0" w:line="276" w:lineRule="auto"/>
        <w:rPr>
          <w:b/>
          <w:color w:val="000000" w:themeColor="text1"/>
        </w:rPr>
      </w:pPr>
    </w:p>
    <w:p w14:paraId="0E9E5136" w14:textId="77777777" w:rsidR="00DD5B7A" w:rsidRPr="00781112" w:rsidRDefault="00DD5B7A" w:rsidP="00DD5B7A">
      <w:pPr>
        <w:rPr>
          <w:b/>
          <w:color w:val="000000" w:themeColor="text1"/>
        </w:rPr>
      </w:pPr>
      <w:r w:rsidRPr="00781112">
        <w:rPr>
          <w:b/>
          <w:color w:val="000000" w:themeColor="text1"/>
        </w:rPr>
        <w:t>Targets</w:t>
      </w:r>
    </w:p>
    <w:tbl>
      <w:tblPr>
        <w:tblW w:w="3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TARGETS"/>
      </w:tblPr>
      <w:tblGrid>
        <w:gridCol w:w="897"/>
        <w:gridCol w:w="721"/>
        <w:gridCol w:w="1171"/>
        <w:gridCol w:w="1334"/>
        <w:gridCol w:w="1334"/>
        <w:gridCol w:w="1334"/>
      </w:tblGrid>
      <w:tr w:rsidR="0094481B" w:rsidRPr="00781112" w14:paraId="32AE1F59" w14:textId="77777777" w:rsidTr="00FE4611">
        <w:tc>
          <w:tcPr>
            <w:tcW w:w="660" w:type="pct"/>
            <w:tcBorders>
              <w:bottom w:val="single" w:sz="4" w:space="0" w:color="auto"/>
            </w:tcBorders>
            <w:shd w:val="clear" w:color="auto" w:fill="auto"/>
            <w:vAlign w:val="center"/>
          </w:tcPr>
          <w:p w14:paraId="6A9E2F19" w14:textId="77777777" w:rsidR="0094481B" w:rsidRPr="00781112" w:rsidRDefault="0094481B" w:rsidP="00827FF4">
            <w:pPr>
              <w:jc w:val="center"/>
              <w:rPr>
                <w:b/>
                <w:color w:val="000000" w:themeColor="text1"/>
              </w:rPr>
            </w:pPr>
            <w:r w:rsidRPr="00781112">
              <w:rPr>
                <w:b/>
                <w:color w:val="000000" w:themeColor="text1"/>
              </w:rPr>
              <w:t>Subject</w:t>
            </w:r>
          </w:p>
        </w:tc>
        <w:tc>
          <w:tcPr>
            <w:tcW w:w="531" w:type="pct"/>
            <w:tcBorders>
              <w:bottom w:val="single" w:sz="4" w:space="0" w:color="auto"/>
            </w:tcBorders>
            <w:shd w:val="clear" w:color="auto" w:fill="auto"/>
            <w:vAlign w:val="center"/>
          </w:tcPr>
          <w:p w14:paraId="5181D1E9" w14:textId="77777777" w:rsidR="0094481B" w:rsidRPr="00781112" w:rsidRDefault="0094481B" w:rsidP="00827FF4">
            <w:pPr>
              <w:jc w:val="center"/>
              <w:rPr>
                <w:b/>
                <w:color w:val="000000" w:themeColor="text1"/>
              </w:rPr>
            </w:pPr>
            <w:r w:rsidRPr="00781112">
              <w:rPr>
                <w:b/>
                <w:color w:val="000000" w:themeColor="text1"/>
              </w:rPr>
              <w:t>Group</w:t>
            </w:r>
          </w:p>
        </w:tc>
        <w:tc>
          <w:tcPr>
            <w:tcW w:w="862" w:type="pct"/>
            <w:shd w:val="clear" w:color="auto" w:fill="auto"/>
            <w:vAlign w:val="center"/>
          </w:tcPr>
          <w:p w14:paraId="7C5EACD6" w14:textId="77777777" w:rsidR="0094481B" w:rsidRPr="00781112" w:rsidDel="008E7B87" w:rsidRDefault="0094481B" w:rsidP="00827FF4">
            <w:pPr>
              <w:jc w:val="center"/>
              <w:rPr>
                <w:b/>
                <w:color w:val="000000" w:themeColor="text1"/>
              </w:rPr>
            </w:pPr>
            <w:r w:rsidRPr="00781112">
              <w:rPr>
                <w:b/>
                <w:color w:val="000000" w:themeColor="text1"/>
              </w:rPr>
              <w:t>Group Name</w:t>
            </w:r>
          </w:p>
        </w:tc>
        <w:tc>
          <w:tcPr>
            <w:tcW w:w="982" w:type="pct"/>
            <w:shd w:val="clear" w:color="auto" w:fill="auto"/>
            <w:vAlign w:val="center"/>
          </w:tcPr>
          <w:p w14:paraId="57197BBC" w14:textId="77777777" w:rsidR="0094481B" w:rsidRPr="00781112" w:rsidRDefault="0094481B" w:rsidP="00827FF4">
            <w:pPr>
              <w:jc w:val="center"/>
              <w:rPr>
                <w:b/>
                <w:color w:val="000000" w:themeColor="text1"/>
              </w:rPr>
            </w:pPr>
            <w:r w:rsidRPr="00781112">
              <w:rPr>
                <w:b/>
                <w:color w:val="000000" w:themeColor="text1"/>
              </w:rPr>
              <w:t>2023</w:t>
            </w:r>
          </w:p>
        </w:tc>
        <w:tc>
          <w:tcPr>
            <w:tcW w:w="982" w:type="pct"/>
            <w:vAlign w:val="center"/>
          </w:tcPr>
          <w:p w14:paraId="07ACCE04" w14:textId="77777777" w:rsidR="0094481B" w:rsidRPr="00781112" w:rsidRDefault="0094481B" w:rsidP="00827FF4">
            <w:pPr>
              <w:jc w:val="center"/>
              <w:rPr>
                <w:b/>
                <w:color w:val="000000" w:themeColor="text1"/>
              </w:rPr>
            </w:pPr>
            <w:r w:rsidRPr="00781112">
              <w:rPr>
                <w:rFonts w:cs="Arial"/>
                <w:b/>
                <w:color w:val="000000" w:themeColor="text1"/>
                <w:szCs w:val="16"/>
              </w:rPr>
              <w:t>2024</w:t>
            </w:r>
          </w:p>
        </w:tc>
        <w:tc>
          <w:tcPr>
            <w:tcW w:w="982" w:type="pct"/>
            <w:vAlign w:val="center"/>
          </w:tcPr>
          <w:p w14:paraId="0B682674" w14:textId="77777777" w:rsidR="0094481B" w:rsidRPr="00781112" w:rsidRDefault="0094481B" w:rsidP="00827FF4">
            <w:pPr>
              <w:jc w:val="center"/>
              <w:rPr>
                <w:b/>
                <w:color w:val="000000" w:themeColor="text1"/>
              </w:rPr>
            </w:pPr>
            <w:r w:rsidRPr="00781112">
              <w:rPr>
                <w:rFonts w:cs="Arial"/>
                <w:b/>
                <w:color w:val="000000" w:themeColor="text1"/>
                <w:szCs w:val="16"/>
              </w:rPr>
              <w:t>2025</w:t>
            </w:r>
          </w:p>
        </w:tc>
      </w:tr>
      <w:tr w:rsidR="0094481B" w:rsidRPr="00781112" w14:paraId="506F660C" w14:textId="77777777" w:rsidTr="00FE4611">
        <w:tc>
          <w:tcPr>
            <w:tcW w:w="660" w:type="pct"/>
            <w:shd w:val="clear" w:color="auto" w:fill="auto"/>
            <w:vAlign w:val="center"/>
          </w:tcPr>
          <w:p w14:paraId="5CF55C17"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4BDAD87D"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A &lt;=</w:t>
            </w:r>
          </w:p>
        </w:tc>
        <w:tc>
          <w:tcPr>
            <w:tcW w:w="862" w:type="pct"/>
            <w:shd w:val="clear" w:color="auto" w:fill="auto"/>
            <w:vAlign w:val="center"/>
          </w:tcPr>
          <w:p w14:paraId="25B01019" w14:textId="68614C3D"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6E665D01" w14:textId="380A2C73" w:rsidR="0094481B" w:rsidRPr="00781112" w:rsidRDefault="0094481B" w:rsidP="00827FF4">
            <w:pPr>
              <w:jc w:val="center"/>
              <w:rPr>
                <w:rFonts w:cs="Arial"/>
                <w:color w:val="000000" w:themeColor="text1"/>
                <w:szCs w:val="16"/>
              </w:rPr>
            </w:pPr>
            <w:r w:rsidRPr="00781112">
              <w:rPr>
                <w:rFonts w:cs="Arial"/>
                <w:color w:val="000000" w:themeColor="text1"/>
                <w:szCs w:val="16"/>
              </w:rPr>
              <w:t>23.11</w:t>
            </w:r>
          </w:p>
        </w:tc>
        <w:tc>
          <w:tcPr>
            <w:tcW w:w="982" w:type="pct"/>
            <w:vAlign w:val="center"/>
          </w:tcPr>
          <w:p w14:paraId="680AEBF8" w14:textId="012E8AB7" w:rsidR="0094481B" w:rsidRPr="00781112" w:rsidRDefault="0094481B" w:rsidP="00827FF4">
            <w:pPr>
              <w:jc w:val="center"/>
              <w:rPr>
                <w:rFonts w:cs="Arial"/>
                <w:color w:val="000000" w:themeColor="text1"/>
                <w:szCs w:val="16"/>
              </w:rPr>
            </w:pPr>
            <w:r w:rsidRPr="00781112">
              <w:rPr>
                <w:rFonts w:cs="Arial"/>
                <w:color w:val="000000" w:themeColor="text1"/>
                <w:szCs w:val="16"/>
              </w:rPr>
              <w:t>22.81</w:t>
            </w:r>
          </w:p>
        </w:tc>
        <w:tc>
          <w:tcPr>
            <w:tcW w:w="982" w:type="pct"/>
            <w:vAlign w:val="center"/>
          </w:tcPr>
          <w:p w14:paraId="060B65A2" w14:textId="3C5E7042" w:rsidR="0094481B" w:rsidRPr="00781112" w:rsidRDefault="0094481B" w:rsidP="00827FF4">
            <w:pPr>
              <w:jc w:val="center"/>
              <w:rPr>
                <w:rFonts w:cs="Arial"/>
                <w:color w:val="000000" w:themeColor="text1"/>
                <w:szCs w:val="16"/>
              </w:rPr>
            </w:pPr>
            <w:r w:rsidRPr="00781112">
              <w:rPr>
                <w:rFonts w:cs="Arial"/>
                <w:color w:val="000000" w:themeColor="text1"/>
                <w:szCs w:val="16"/>
              </w:rPr>
              <w:t>22.50</w:t>
            </w:r>
          </w:p>
        </w:tc>
      </w:tr>
      <w:tr w:rsidR="0094481B" w:rsidRPr="00781112" w14:paraId="109FA148" w14:textId="77777777" w:rsidTr="00FE4611">
        <w:tc>
          <w:tcPr>
            <w:tcW w:w="660" w:type="pct"/>
            <w:shd w:val="clear" w:color="auto" w:fill="auto"/>
            <w:vAlign w:val="center"/>
          </w:tcPr>
          <w:p w14:paraId="5CAAC2A8"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1DFAA13E"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B &lt;=</w:t>
            </w:r>
          </w:p>
        </w:tc>
        <w:tc>
          <w:tcPr>
            <w:tcW w:w="862" w:type="pct"/>
            <w:shd w:val="clear" w:color="auto" w:fill="auto"/>
            <w:vAlign w:val="center"/>
          </w:tcPr>
          <w:p w14:paraId="330884D1" w14:textId="3ED7AA15"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68DC0FBA" w14:textId="3776550F" w:rsidR="0094481B" w:rsidRPr="00781112" w:rsidRDefault="0094481B" w:rsidP="00827FF4">
            <w:pPr>
              <w:jc w:val="center"/>
              <w:rPr>
                <w:rFonts w:cs="Arial"/>
                <w:color w:val="000000" w:themeColor="text1"/>
                <w:szCs w:val="16"/>
              </w:rPr>
            </w:pPr>
            <w:r w:rsidRPr="00781112">
              <w:rPr>
                <w:rFonts w:cs="Arial"/>
                <w:color w:val="000000" w:themeColor="text1"/>
                <w:szCs w:val="16"/>
              </w:rPr>
              <w:t>26.00</w:t>
            </w:r>
          </w:p>
        </w:tc>
        <w:tc>
          <w:tcPr>
            <w:tcW w:w="982" w:type="pct"/>
            <w:vAlign w:val="center"/>
          </w:tcPr>
          <w:p w14:paraId="5D544F8D" w14:textId="7D5BE3EF" w:rsidR="0094481B" w:rsidRPr="00781112" w:rsidRDefault="0094481B" w:rsidP="00827FF4">
            <w:pPr>
              <w:jc w:val="center"/>
              <w:rPr>
                <w:rFonts w:cs="Arial"/>
                <w:color w:val="000000" w:themeColor="text1"/>
                <w:szCs w:val="16"/>
              </w:rPr>
            </w:pPr>
            <w:r w:rsidRPr="00781112">
              <w:rPr>
                <w:rFonts w:cs="Arial"/>
                <w:color w:val="000000" w:themeColor="text1"/>
                <w:szCs w:val="16"/>
              </w:rPr>
              <w:t>25.06</w:t>
            </w:r>
          </w:p>
        </w:tc>
        <w:tc>
          <w:tcPr>
            <w:tcW w:w="982" w:type="pct"/>
            <w:vAlign w:val="center"/>
          </w:tcPr>
          <w:p w14:paraId="067CAD2B" w14:textId="5DA2AE3C" w:rsidR="0094481B" w:rsidRPr="00781112" w:rsidRDefault="0094481B" w:rsidP="00827FF4">
            <w:pPr>
              <w:jc w:val="center"/>
              <w:rPr>
                <w:rFonts w:cs="Arial"/>
                <w:color w:val="000000" w:themeColor="text1"/>
                <w:szCs w:val="16"/>
              </w:rPr>
            </w:pPr>
            <w:r w:rsidRPr="00781112">
              <w:rPr>
                <w:rFonts w:cs="Arial"/>
                <w:color w:val="000000" w:themeColor="text1"/>
                <w:szCs w:val="16"/>
              </w:rPr>
              <w:t>24.13</w:t>
            </w:r>
          </w:p>
        </w:tc>
      </w:tr>
      <w:tr w:rsidR="0094481B" w:rsidRPr="00781112" w14:paraId="736D24EA" w14:textId="77777777" w:rsidTr="00FE4611">
        <w:tc>
          <w:tcPr>
            <w:tcW w:w="660" w:type="pct"/>
            <w:shd w:val="clear" w:color="auto" w:fill="auto"/>
            <w:vAlign w:val="center"/>
          </w:tcPr>
          <w:p w14:paraId="56FB00C6"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Reading</w:t>
            </w:r>
          </w:p>
        </w:tc>
        <w:tc>
          <w:tcPr>
            <w:tcW w:w="531" w:type="pct"/>
            <w:shd w:val="clear" w:color="auto" w:fill="auto"/>
            <w:vAlign w:val="center"/>
          </w:tcPr>
          <w:p w14:paraId="76599FEA"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C &lt;=</w:t>
            </w:r>
          </w:p>
        </w:tc>
        <w:tc>
          <w:tcPr>
            <w:tcW w:w="862" w:type="pct"/>
            <w:shd w:val="clear" w:color="auto" w:fill="auto"/>
            <w:vAlign w:val="center"/>
          </w:tcPr>
          <w:p w14:paraId="6758DB1A" w14:textId="51D63552"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56DA6177" w14:textId="20AF4748" w:rsidR="0094481B" w:rsidRPr="00781112" w:rsidRDefault="0094481B" w:rsidP="00827FF4">
            <w:pPr>
              <w:jc w:val="center"/>
              <w:rPr>
                <w:rFonts w:cs="Arial"/>
                <w:color w:val="000000" w:themeColor="text1"/>
                <w:szCs w:val="16"/>
              </w:rPr>
            </w:pPr>
            <w:r w:rsidRPr="00781112">
              <w:rPr>
                <w:rFonts w:cs="Arial"/>
                <w:color w:val="000000" w:themeColor="text1"/>
                <w:szCs w:val="16"/>
              </w:rPr>
              <w:t>27.55</w:t>
            </w:r>
          </w:p>
        </w:tc>
        <w:tc>
          <w:tcPr>
            <w:tcW w:w="982" w:type="pct"/>
            <w:vAlign w:val="center"/>
          </w:tcPr>
          <w:p w14:paraId="12D9F716" w14:textId="7A56543C" w:rsidR="0094481B" w:rsidRPr="00781112" w:rsidRDefault="0094481B" w:rsidP="00827FF4">
            <w:pPr>
              <w:jc w:val="center"/>
              <w:rPr>
                <w:rFonts w:cs="Arial"/>
                <w:color w:val="000000" w:themeColor="text1"/>
                <w:szCs w:val="16"/>
              </w:rPr>
            </w:pPr>
            <w:r w:rsidRPr="00781112">
              <w:rPr>
                <w:rFonts w:cs="Arial"/>
                <w:color w:val="000000" w:themeColor="text1"/>
                <w:szCs w:val="16"/>
              </w:rPr>
              <w:t>27.06</w:t>
            </w:r>
          </w:p>
        </w:tc>
        <w:tc>
          <w:tcPr>
            <w:tcW w:w="982" w:type="pct"/>
            <w:vAlign w:val="center"/>
          </w:tcPr>
          <w:p w14:paraId="4EE8CD33" w14:textId="2A4DD9F9" w:rsidR="0094481B" w:rsidRPr="00781112" w:rsidRDefault="0094481B" w:rsidP="00827FF4">
            <w:pPr>
              <w:jc w:val="center"/>
              <w:rPr>
                <w:rFonts w:cs="Arial"/>
                <w:color w:val="000000" w:themeColor="text1"/>
                <w:szCs w:val="16"/>
              </w:rPr>
            </w:pPr>
            <w:r w:rsidRPr="00781112">
              <w:rPr>
                <w:rFonts w:cs="Arial"/>
                <w:color w:val="000000" w:themeColor="text1"/>
                <w:szCs w:val="16"/>
              </w:rPr>
              <w:t>25.56</w:t>
            </w:r>
          </w:p>
        </w:tc>
      </w:tr>
      <w:tr w:rsidR="0094481B" w:rsidRPr="00781112" w14:paraId="311AB0DD" w14:textId="77777777" w:rsidTr="00FE4611">
        <w:tc>
          <w:tcPr>
            <w:tcW w:w="660" w:type="pct"/>
            <w:shd w:val="clear" w:color="auto" w:fill="auto"/>
            <w:vAlign w:val="center"/>
          </w:tcPr>
          <w:p w14:paraId="3D2E0CB6"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2AAA6495"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A &lt;=</w:t>
            </w:r>
          </w:p>
        </w:tc>
        <w:tc>
          <w:tcPr>
            <w:tcW w:w="862" w:type="pct"/>
            <w:shd w:val="clear" w:color="auto" w:fill="auto"/>
            <w:vAlign w:val="center"/>
          </w:tcPr>
          <w:p w14:paraId="65E16006" w14:textId="0FBAD82F"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4</w:t>
            </w:r>
          </w:p>
        </w:tc>
        <w:tc>
          <w:tcPr>
            <w:tcW w:w="982" w:type="pct"/>
            <w:shd w:val="clear" w:color="auto" w:fill="auto"/>
            <w:vAlign w:val="center"/>
          </w:tcPr>
          <w:p w14:paraId="122DB35A" w14:textId="50E48575" w:rsidR="0094481B" w:rsidRPr="00781112" w:rsidRDefault="0094481B" w:rsidP="00827FF4">
            <w:pPr>
              <w:jc w:val="center"/>
              <w:rPr>
                <w:rFonts w:cs="Arial"/>
                <w:color w:val="000000" w:themeColor="text1"/>
                <w:szCs w:val="16"/>
              </w:rPr>
            </w:pPr>
            <w:r w:rsidRPr="00781112">
              <w:rPr>
                <w:rFonts w:cs="Arial"/>
                <w:color w:val="000000" w:themeColor="text1"/>
                <w:szCs w:val="16"/>
              </w:rPr>
              <w:t>16.18</w:t>
            </w:r>
          </w:p>
        </w:tc>
        <w:tc>
          <w:tcPr>
            <w:tcW w:w="982" w:type="pct"/>
            <w:vAlign w:val="center"/>
          </w:tcPr>
          <w:p w14:paraId="7E46501E" w14:textId="6CB1A41D" w:rsidR="0094481B" w:rsidRPr="00781112" w:rsidRDefault="0094481B" w:rsidP="00827FF4">
            <w:pPr>
              <w:jc w:val="center"/>
              <w:rPr>
                <w:rFonts w:cs="Arial"/>
                <w:color w:val="000000" w:themeColor="text1"/>
                <w:szCs w:val="16"/>
              </w:rPr>
            </w:pPr>
            <w:r w:rsidRPr="00781112">
              <w:rPr>
                <w:rFonts w:cs="Arial"/>
                <w:color w:val="000000" w:themeColor="text1"/>
                <w:szCs w:val="16"/>
              </w:rPr>
              <w:t>15.18</w:t>
            </w:r>
          </w:p>
        </w:tc>
        <w:tc>
          <w:tcPr>
            <w:tcW w:w="982" w:type="pct"/>
            <w:vAlign w:val="center"/>
          </w:tcPr>
          <w:p w14:paraId="6A7C9997" w14:textId="58A4736A" w:rsidR="0094481B" w:rsidRPr="00781112" w:rsidRDefault="0094481B" w:rsidP="00827FF4">
            <w:pPr>
              <w:jc w:val="center"/>
              <w:rPr>
                <w:rFonts w:cs="Arial"/>
                <w:color w:val="000000" w:themeColor="text1"/>
                <w:szCs w:val="16"/>
              </w:rPr>
            </w:pPr>
            <w:r w:rsidRPr="00781112">
              <w:rPr>
                <w:rFonts w:cs="Arial"/>
                <w:color w:val="000000" w:themeColor="text1"/>
                <w:szCs w:val="16"/>
              </w:rPr>
              <w:t>14.18</w:t>
            </w:r>
          </w:p>
        </w:tc>
      </w:tr>
      <w:tr w:rsidR="0094481B" w:rsidRPr="00781112" w14:paraId="1F14A6A0" w14:textId="77777777" w:rsidTr="00FE4611">
        <w:tc>
          <w:tcPr>
            <w:tcW w:w="660" w:type="pct"/>
            <w:shd w:val="clear" w:color="auto" w:fill="auto"/>
            <w:vAlign w:val="center"/>
          </w:tcPr>
          <w:p w14:paraId="67FFD637"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5CC9E434"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B &lt;=</w:t>
            </w:r>
          </w:p>
        </w:tc>
        <w:tc>
          <w:tcPr>
            <w:tcW w:w="862" w:type="pct"/>
            <w:shd w:val="clear" w:color="auto" w:fill="auto"/>
            <w:vAlign w:val="center"/>
          </w:tcPr>
          <w:p w14:paraId="48449221" w14:textId="1DE29BDC"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8</w:t>
            </w:r>
          </w:p>
        </w:tc>
        <w:tc>
          <w:tcPr>
            <w:tcW w:w="982" w:type="pct"/>
            <w:shd w:val="clear" w:color="auto" w:fill="auto"/>
            <w:vAlign w:val="center"/>
          </w:tcPr>
          <w:p w14:paraId="09A6E3C5" w14:textId="2E8BFD65" w:rsidR="0094481B" w:rsidRPr="00781112" w:rsidRDefault="0094481B" w:rsidP="00827FF4">
            <w:pPr>
              <w:jc w:val="center"/>
              <w:rPr>
                <w:rFonts w:cs="Arial"/>
                <w:color w:val="000000" w:themeColor="text1"/>
                <w:szCs w:val="16"/>
              </w:rPr>
            </w:pPr>
            <w:r w:rsidRPr="00781112">
              <w:rPr>
                <w:rFonts w:cs="Arial"/>
                <w:color w:val="000000" w:themeColor="text1"/>
                <w:szCs w:val="16"/>
              </w:rPr>
              <w:t>17.00</w:t>
            </w:r>
          </w:p>
        </w:tc>
        <w:tc>
          <w:tcPr>
            <w:tcW w:w="982" w:type="pct"/>
            <w:vAlign w:val="center"/>
          </w:tcPr>
          <w:p w14:paraId="627C9FA2" w14:textId="428379CE" w:rsidR="0094481B" w:rsidRPr="00781112" w:rsidRDefault="0094481B" w:rsidP="00827FF4">
            <w:pPr>
              <w:jc w:val="center"/>
              <w:rPr>
                <w:rFonts w:cs="Arial"/>
                <w:color w:val="000000" w:themeColor="text1"/>
                <w:szCs w:val="16"/>
              </w:rPr>
            </w:pPr>
            <w:r w:rsidRPr="00781112">
              <w:rPr>
                <w:rFonts w:cs="Arial"/>
                <w:color w:val="000000" w:themeColor="text1"/>
                <w:szCs w:val="16"/>
              </w:rPr>
              <w:t>16.00</w:t>
            </w:r>
          </w:p>
        </w:tc>
        <w:tc>
          <w:tcPr>
            <w:tcW w:w="982" w:type="pct"/>
            <w:vAlign w:val="center"/>
          </w:tcPr>
          <w:p w14:paraId="6204E3FD" w14:textId="081B5532" w:rsidR="0094481B" w:rsidRPr="00781112" w:rsidRDefault="0094481B" w:rsidP="00827FF4">
            <w:pPr>
              <w:jc w:val="center"/>
              <w:rPr>
                <w:rFonts w:cs="Arial"/>
                <w:color w:val="000000" w:themeColor="text1"/>
                <w:szCs w:val="16"/>
              </w:rPr>
            </w:pPr>
            <w:r w:rsidRPr="00781112">
              <w:rPr>
                <w:rFonts w:cs="Arial"/>
                <w:color w:val="000000" w:themeColor="text1"/>
                <w:szCs w:val="16"/>
              </w:rPr>
              <w:t>15.00</w:t>
            </w:r>
          </w:p>
        </w:tc>
      </w:tr>
      <w:tr w:rsidR="0094481B" w:rsidRPr="00781112" w14:paraId="60CD7006" w14:textId="77777777" w:rsidTr="00FE4611">
        <w:tc>
          <w:tcPr>
            <w:tcW w:w="660" w:type="pct"/>
            <w:shd w:val="clear" w:color="auto" w:fill="auto"/>
            <w:vAlign w:val="center"/>
          </w:tcPr>
          <w:p w14:paraId="76491141"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Math</w:t>
            </w:r>
          </w:p>
        </w:tc>
        <w:tc>
          <w:tcPr>
            <w:tcW w:w="531" w:type="pct"/>
            <w:shd w:val="clear" w:color="auto" w:fill="auto"/>
            <w:vAlign w:val="center"/>
          </w:tcPr>
          <w:p w14:paraId="6C27CF3D" w14:textId="77777777" w:rsidR="0094481B" w:rsidRPr="00781112" w:rsidRDefault="0094481B" w:rsidP="00827FF4">
            <w:pPr>
              <w:spacing w:before="0" w:after="0"/>
              <w:jc w:val="center"/>
              <w:rPr>
                <w:rFonts w:cs="Arial"/>
                <w:color w:val="000000" w:themeColor="text1"/>
                <w:szCs w:val="16"/>
              </w:rPr>
            </w:pPr>
            <w:r w:rsidRPr="00781112">
              <w:rPr>
                <w:rFonts w:cs="Arial"/>
                <w:color w:val="000000" w:themeColor="text1"/>
                <w:szCs w:val="16"/>
              </w:rPr>
              <w:t>C &lt;=</w:t>
            </w:r>
          </w:p>
        </w:tc>
        <w:tc>
          <w:tcPr>
            <w:tcW w:w="862" w:type="pct"/>
            <w:shd w:val="clear" w:color="auto" w:fill="auto"/>
            <w:vAlign w:val="center"/>
          </w:tcPr>
          <w:p w14:paraId="4E465544" w14:textId="4F893AB5" w:rsidR="0094481B" w:rsidRPr="00781112" w:rsidDel="00DB0A73" w:rsidRDefault="0094481B" w:rsidP="00827FF4">
            <w:pPr>
              <w:jc w:val="center"/>
              <w:rPr>
                <w:rFonts w:cs="Arial"/>
                <w:color w:val="000000" w:themeColor="text1"/>
                <w:szCs w:val="16"/>
              </w:rPr>
            </w:pPr>
            <w:r w:rsidRPr="00781112">
              <w:rPr>
                <w:rFonts w:cs="Arial"/>
                <w:color w:val="000000" w:themeColor="text1"/>
                <w:szCs w:val="16"/>
              </w:rPr>
              <w:t>Grade HS</w:t>
            </w:r>
          </w:p>
        </w:tc>
        <w:tc>
          <w:tcPr>
            <w:tcW w:w="982" w:type="pct"/>
            <w:shd w:val="clear" w:color="auto" w:fill="auto"/>
            <w:vAlign w:val="center"/>
          </w:tcPr>
          <w:p w14:paraId="7B41E026" w14:textId="6E6F2C10" w:rsidR="0094481B" w:rsidRPr="00781112" w:rsidRDefault="0094481B" w:rsidP="00827FF4">
            <w:pPr>
              <w:jc w:val="center"/>
              <w:rPr>
                <w:rFonts w:cs="Arial"/>
                <w:color w:val="000000" w:themeColor="text1"/>
                <w:szCs w:val="16"/>
              </w:rPr>
            </w:pPr>
            <w:r w:rsidRPr="00781112">
              <w:rPr>
                <w:rFonts w:cs="Arial"/>
                <w:color w:val="000000" w:themeColor="text1"/>
                <w:szCs w:val="16"/>
              </w:rPr>
              <w:t>17.76</w:t>
            </w:r>
          </w:p>
        </w:tc>
        <w:tc>
          <w:tcPr>
            <w:tcW w:w="982" w:type="pct"/>
            <w:vAlign w:val="center"/>
          </w:tcPr>
          <w:p w14:paraId="294118D4" w14:textId="54195603" w:rsidR="0094481B" w:rsidRPr="00781112" w:rsidRDefault="0094481B" w:rsidP="00827FF4">
            <w:pPr>
              <w:jc w:val="center"/>
              <w:rPr>
                <w:rFonts w:cs="Arial"/>
                <w:color w:val="000000" w:themeColor="text1"/>
                <w:szCs w:val="16"/>
              </w:rPr>
            </w:pPr>
            <w:r w:rsidRPr="00781112">
              <w:rPr>
                <w:rFonts w:cs="Arial"/>
                <w:color w:val="000000" w:themeColor="text1"/>
                <w:szCs w:val="16"/>
              </w:rPr>
              <w:t>16.76</w:t>
            </w:r>
          </w:p>
        </w:tc>
        <w:tc>
          <w:tcPr>
            <w:tcW w:w="982" w:type="pct"/>
            <w:vAlign w:val="center"/>
          </w:tcPr>
          <w:p w14:paraId="41623CC8" w14:textId="4F75F535" w:rsidR="0094481B" w:rsidRPr="00781112" w:rsidRDefault="0094481B" w:rsidP="00827FF4">
            <w:pPr>
              <w:jc w:val="center"/>
              <w:rPr>
                <w:rFonts w:cs="Arial"/>
                <w:color w:val="000000" w:themeColor="text1"/>
                <w:szCs w:val="16"/>
              </w:rPr>
            </w:pPr>
            <w:r w:rsidRPr="00781112">
              <w:rPr>
                <w:rFonts w:cs="Arial"/>
                <w:color w:val="000000" w:themeColor="text1"/>
                <w:szCs w:val="16"/>
              </w:rPr>
              <w:t>15.76</w:t>
            </w:r>
          </w:p>
        </w:tc>
      </w:tr>
    </w:tbl>
    <w:p w14:paraId="05E796DD" w14:textId="77777777" w:rsidR="00DD5B7A" w:rsidRPr="00781112" w:rsidRDefault="00DD5B7A" w:rsidP="00DD5B7A">
      <w:pPr>
        <w:rPr>
          <w:b/>
          <w:color w:val="000000" w:themeColor="text1"/>
        </w:rPr>
      </w:pPr>
    </w:p>
    <w:p w14:paraId="209349EB" w14:textId="77777777" w:rsidR="00DD5B7A" w:rsidRPr="00781112" w:rsidRDefault="00DD5B7A" w:rsidP="00DD5B7A">
      <w:pPr>
        <w:rPr>
          <w:b/>
          <w:color w:val="000000" w:themeColor="text1"/>
        </w:rPr>
      </w:pPr>
      <w:r w:rsidRPr="00781112">
        <w:rPr>
          <w:b/>
          <w:color w:val="000000" w:themeColor="text1"/>
        </w:rPr>
        <w:t xml:space="preserve">Targets: Description of Stakeholder Input </w:t>
      </w:r>
    </w:p>
    <w:p w14:paraId="6369E081" w14:textId="77777777" w:rsidR="00DD5B7A" w:rsidRPr="00781112" w:rsidRDefault="00DD5B7A" w:rsidP="00DD5B7A">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w:t>
      </w:r>
      <w:r w:rsidRPr="00781112">
        <w:rPr>
          <w:rFonts w:cs="Arial"/>
          <w:color w:val="000000" w:themeColor="text1"/>
          <w:szCs w:val="16"/>
        </w:rPr>
        <w:lastRenderedPageBreak/>
        <w:t xml:space="preserve">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1A8E431E" w14:textId="45368C9A" w:rsidR="00DD5B7A" w:rsidRPr="00781112" w:rsidRDefault="00DD5B7A" w:rsidP="00DD5B7A">
      <w:pPr>
        <w:rPr>
          <w:rFonts w:cs="Arial"/>
          <w:color w:val="000000" w:themeColor="text1"/>
          <w:szCs w:val="16"/>
        </w:rPr>
      </w:pPr>
    </w:p>
    <w:p w14:paraId="5EB19DE7" w14:textId="77777777" w:rsidR="00DD5B7A" w:rsidRPr="00781112" w:rsidRDefault="00DD5B7A" w:rsidP="00FE4611">
      <w:pPr>
        <w:spacing w:before="0" w:after="0" w:line="276" w:lineRule="auto"/>
        <w:rPr>
          <w:b/>
          <w:color w:val="000000" w:themeColor="text1"/>
        </w:rPr>
      </w:pPr>
    </w:p>
    <w:p w14:paraId="5F03961C" w14:textId="21B46448" w:rsidR="00DD5B7A" w:rsidRPr="00781112" w:rsidRDefault="00FA33C9" w:rsidP="00DD5B7A">
      <w:pPr>
        <w:rPr>
          <w:b/>
          <w:color w:val="000000" w:themeColor="text1"/>
        </w:rPr>
      </w:pPr>
      <w:r>
        <w:rPr>
          <w:b/>
          <w:color w:val="000000" w:themeColor="text1"/>
        </w:rPr>
        <w:t>FFY 2023 Data Disaggregation from ED</w:t>
      </w:r>
      <w:r w:rsidRPr="00BA3DBE">
        <w:rPr>
          <w:b/>
          <w:i/>
          <w:iCs/>
          <w:color w:val="000000" w:themeColor="text1"/>
        </w:rPr>
        <w:t>Facts</w:t>
      </w:r>
    </w:p>
    <w:p w14:paraId="27A29F4B"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24C5C209" w14:textId="49550180" w:rsidR="00DD5B7A" w:rsidRPr="00781112" w:rsidRDefault="00DD5B7A" w:rsidP="00DD5B7A">
      <w:pPr>
        <w:rPr>
          <w:rFonts w:cs="Arial"/>
          <w:color w:val="000000" w:themeColor="text1"/>
          <w:szCs w:val="16"/>
        </w:rPr>
      </w:pPr>
      <w:r w:rsidRPr="00781112">
        <w:rPr>
          <w:rFonts w:cs="Arial"/>
          <w:color w:val="000000" w:themeColor="text1"/>
          <w:szCs w:val="16"/>
        </w:rPr>
        <w:t>SY 2023-24 Assessment Data Groups - Reading (EDFacts file spec FS178; Data Group: 584)</w:t>
      </w:r>
    </w:p>
    <w:p w14:paraId="51B1992D"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54E3F3F" w14:textId="7BE38E1B" w:rsidR="00DD5B7A" w:rsidRPr="00781112" w:rsidRDefault="00DD5B7A" w:rsidP="00DD5B7A">
      <w:pPr>
        <w:rPr>
          <w:rFonts w:cs="Arial"/>
          <w:color w:val="000000" w:themeColor="text1"/>
          <w:szCs w:val="16"/>
        </w:rPr>
      </w:pPr>
      <w:r w:rsidRPr="00781112">
        <w:rPr>
          <w:rFonts w:cs="Arial"/>
          <w:color w:val="000000" w:themeColor="text1"/>
          <w:szCs w:val="16"/>
        </w:rPr>
        <w:t>01/08/2025</w:t>
      </w:r>
    </w:p>
    <w:p w14:paraId="45DD1CF1" w14:textId="5E6E849D" w:rsidR="00DD5B7A" w:rsidRPr="00781112" w:rsidRDefault="00DD5B7A" w:rsidP="00DD5B7A">
      <w:pPr>
        <w:rPr>
          <w:b/>
          <w:color w:val="000000" w:themeColor="text1"/>
        </w:rPr>
      </w:pPr>
      <w:r w:rsidRPr="00781112">
        <w:rPr>
          <w:b/>
          <w:color w:val="000000" w:themeColor="text1"/>
        </w:rPr>
        <w:t>Reading Assessment Proficiency Data by Grade (1)</w:t>
      </w:r>
    </w:p>
    <w:tbl>
      <w:tblPr>
        <w:tblStyle w:val="TableGrid"/>
        <w:tblW w:w="5000" w:type="pct"/>
        <w:tblLayout w:type="fixed"/>
        <w:tblLook w:val="04A0" w:firstRow="1" w:lastRow="0" w:firstColumn="1" w:lastColumn="0" w:noHBand="0" w:noVBand="1"/>
        <w:tblCaption w:val="B03DSSPARTDATABYGRDRLA"/>
      </w:tblPr>
      <w:tblGrid>
        <w:gridCol w:w="3775"/>
        <w:gridCol w:w="2337"/>
        <w:gridCol w:w="2339"/>
        <w:gridCol w:w="2339"/>
      </w:tblGrid>
      <w:tr w:rsidR="00847776" w:rsidRPr="00781112" w14:paraId="6DA55728" w14:textId="77777777" w:rsidTr="00E95FBF">
        <w:tc>
          <w:tcPr>
            <w:tcW w:w="1749" w:type="pct"/>
            <w:shd w:val="clear" w:color="auto" w:fill="auto"/>
          </w:tcPr>
          <w:p w14:paraId="4EAC2736" w14:textId="6924CA80"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691E68" w14:textId="255E6CD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4" w:type="pct"/>
            <w:shd w:val="clear" w:color="auto" w:fill="auto"/>
            <w:vAlign w:val="center"/>
          </w:tcPr>
          <w:p w14:paraId="04C042D1" w14:textId="5F31110D"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5ED006E5" w14:textId="47B87CA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2D3EE6" w:rsidRPr="00781112" w14:paraId="37D772D8" w14:textId="77777777" w:rsidTr="00E95FBF">
        <w:tc>
          <w:tcPr>
            <w:tcW w:w="1749" w:type="pct"/>
            <w:shd w:val="clear" w:color="auto" w:fill="auto"/>
          </w:tcPr>
          <w:p w14:paraId="7B0D7CCF" w14:textId="33D6DF72" w:rsidR="002D3EE6" w:rsidRPr="00781112" w:rsidRDefault="002D3EE6" w:rsidP="002D3EE6">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4F7A04F6" w14:textId="19D267DA" w:rsidR="002D3EE6" w:rsidRPr="00781112" w:rsidRDefault="002D3EE6" w:rsidP="002D3EE6">
            <w:pPr>
              <w:jc w:val="center"/>
              <w:rPr>
                <w:rFonts w:cs="Arial"/>
                <w:color w:val="000000" w:themeColor="text1"/>
                <w:szCs w:val="16"/>
              </w:rPr>
            </w:pPr>
            <w:r w:rsidRPr="00781112">
              <w:rPr>
                <w:rFonts w:cs="Arial"/>
                <w:color w:val="000000" w:themeColor="text1"/>
                <w:szCs w:val="16"/>
              </w:rPr>
              <w:t>38,157</w:t>
            </w:r>
          </w:p>
        </w:tc>
        <w:tc>
          <w:tcPr>
            <w:tcW w:w="1084" w:type="pct"/>
            <w:shd w:val="clear" w:color="auto" w:fill="auto"/>
            <w:vAlign w:val="center"/>
          </w:tcPr>
          <w:p w14:paraId="171D43A3" w14:textId="2BAB5EF8" w:rsidR="002D3EE6" w:rsidRPr="00781112" w:rsidRDefault="002D3EE6" w:rsidP="002D3EE6">
            <w:pPr>
              <w:jc w:val="center"/>
              <w:rPr>
                <w:rFonts w:cs="Arial"/>
                <w:color w:val="000000" w:themeColor="text1"/>
                <w:szCs w:val="16"/>
              </w:rPr>
            </w:pPr>
            <w:r w:rsidRPr="00781112">
              <w:rPr>
                <w:rFonts w:cs="Arial"/>
                <w:color w:val="000000" w:themeColor="text1"/>
                <w:szCs w:val="16"/>
              </w:rPr>
              <w:t>36,903</w:t>
            </w:r>
          </w:p>
        </w:tc>
        <w:tc>
          <w:tcPr>
            <w:tcW w:w="1084" w:type="pct"/>
            <w:shd w:val="clear" w:color="auto" w:fill="auto"/>
            <w:vAlign w:val="center"/>
          </w:tcPr>
          <w:p w14:paraId="58B877C4" w14:textId="55D5291F" w:rsidR="002D3EE6" w:rsidRPr="00781112" w:rsidRDefault="002D3EE6" w:rsidP="002D3EE6">
            <w:pPr>
              <w:jc w:val="center"/>
              <w:rPr>
                <w:rFonts w:cs="Arial"/>
                <w:color w:val="000000" w:themeColor="text1"/>
                <w:szCs w:val="16"/>
              </w:rPr>
            </w:pPr>
            <w:r w:rsidRPr="00781112">
              <w:rPr>
                <w:rFonts w:cs="Arial"/>
                <w:color w:val="000000" w:themeColor="text1"/>
                <w:szCs w:val="16"/>
              </w:rPr>
              <w:t>30,875</w:t>
            </w:r>
          </w:p>
        </w:tc>
      </w:tr>
      <w:tr w:rsidR="002D3EE6" w:rsidRPr="00781112" w14:paraId="6D2048AF" w14:textId="77777777" w:rsidTr="00E95FBF">
        <w:tc>
          <w:tcPr>
            <w:tcW w:w="1749" w:type="pct"/>
            <w:shd w:val="clear" w:color="auto" w:fill="auto"/>
          </w:tcPr>
          <w:p w14:paraId="5F5D9DBC" w14:textId="3AB6D57C" w:rsidR="002D3EE6" w:rsidRPr="00781112" w:rsidRDefault="002D3EE6" w:rsidP="002D3EE6">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25792A43" w14:textId="636F508C" w:rsidR="002D3EE6" w:rsidRPr="00781112" w:rsidRDefault="002D3EE6" w:rsidP="002D3EE6">
            <w:pPr>
              <w:jc w:val="center"/>
              <w:rPr>
                <w:rFonts w:cs="Arial"/>
                <w:color w:val="000000" w:themeColor="text1"/>
                <w:szCs w:val="16"/>
              </w:rPr>
            </w:pPr>
            <w:r w:rsidRPr="00781112">
              <w:rPr>
                <w:rFonts w:cs="Arial"/>
                <w:color w:val="000000" w:themeColor="text1"/>
                <w:szCs w:val="16"/>
              </w:rPr>
              <w:t>6,180</w:t>
            </w:r>
          </w:p>
        </w:tc>
        <w:tc>
          <w:tcPr>
            <w:tcW w:w="1084" w:type="pct"/>
            <w:shd w:val="clear" w:color="auto" w:fill="auto"/>
            <w:vAlign w:val="center"/>
          </w:tcPr>
          <w:p w14:paraId="34571492" w14:textId="6F3F5797" w:rsidR="002D3EE6" w:rsidRPr="00781112" w:rsidRDefault="002D3EE6" w:rsidP="002D3EE6">
            <w:pPr>
              <w:jc w:val="center"/>
              <w:rPr>
                <w:rFonts w:cs="Arial"/>
                <w:color w:val="000000" w:themeColor="text1"/>
                <w:szCs w:val="16"/>
              </w:rPr>
            </w:pPr>
            <w:r w:rsidRPr="00781112">
              <w:rPr>
                <w:rFonts w:cs="Arial"/>
                <w:color w:val="000000" w:themeColor="text1"/>
                <w:szCs w:val="16"/>
              </w:rPr>
              <w:t>5,204</w:t>
            </w:r>
          </w:p>
        </w:tc>
        <w:tc>
          <w:tcPr>
            <w:tcW w:w="1084" w:type="pct"/>
            <w:shd w:val="clear" w:color="auto" w:fill="auto"/>
            <w:vAlign w:val="center"/>
          </w:tcPr>
          <w:p w14:paraId="0BBD02C7" w14:textId="42EBBF14" w:rsidR="002D3EE6" w:rsidRPr="00781112" w:rsidRDefault="002D3EE6" w:rsidP="002D3EE6">
            <w:pPr>
              <w:jc w:val="center"/>
              <w:rPr>
                <w:rFonts w:cs="Arial"/>
                <w:color w:val="000000" w:themeColor="text1"/>
                <w:szCs w:val="16"/>
              </w:rPr>
            </w:pPr>
            <w:r w:rsidRPr="00781112">
              <w:rPr>
                <w:rFonts w:cs="Arial"/>
                <w:color w:val="000000" w:themeColor="text1"/>
                <w:szCs w:val="16"/>
              </w:rPr>
              <w:t>3,416</w:t>
            </w:r>
          </w:p>
        </w:tc>
      </w:tr>
      <w:tr w:rsidR="002D3EE6" w:rsidRPr="00781112" w14:paraId="62D84F5E" w14:textId="77777777" w:rsidTr="00E95FBF">
        <w:tc>
          <w:tcPr>
            <w:tcW w:w="1749" w:type="pct"/>
            <w:shd w:val="clear" w:color="auto" w:fill="auto"/>
          </w:tcPr>
          <w:p w14:paraId="51DEDF27" w14:textId="69ADBF80" w:rsidR="002D3EE6" w:rsidRPr="00181070" w:rsidRDefault="002D3EE6" w:rsidP="002D3EE6">
            <w:pPr>
              <w:rPr>
                <w:rFonts w:cs="Arial"/>
                <w:color w:val="000000" w:themeColor="text1"/>
                <w:szCs w:val="16"/>
              </w:rPr>
            </w:pPr>
            <w:r w:rsidRPr="0075451F">
              <w:rPr>
                <w:rFonts w:cs="Arial"/>
                <w:szCs w:val="16"/>
                <w:shd w:val="clear" w:color="auto" w:fill="FFFFFF"/>
              </w:rPr>
              <w:t>c. All students in regular assessment with no accommodations scored at or above proficient against grade level</w:t>
            </w:r>
          </w:p>
        </w:tc>
        <w:tc>
          <w:tcPr>
            <w:tcW w:w="1083" w:type="pct"/>
            <w:shd w:val="clear" w:color="auto" w:fill="auto"/>
            <w:vAlign w:val="center"/>
          </w:tcPr>
          <w:p w14:paraId="6E23C4D0" w14:textId="690E483E" w:rsidR="002D3EE6" w:rsidRPr="00781112" w:rsidRDefault="002D3EE6" w:rsidP="002D3EE6">
            <w:pPr>
              <w:jc w:val="center"/>
              <w:rPr>
                <w:rFonts w:cs="Arial"/>
                <w:color w:val="000000" w:themeColor="text1"/>
                <w:szCs w:val="16"/>
              </w:rPr>
            </w:pPr>
            <w:r w:rsidRPr="00781112">
              <w:rPr>
                <w:rFonts w:cs="Arial"/>
                <w:color w:val="000000" w:themeColor="text1"/>
                <w:szCs w:val="16"/>
              </w:rPr>
              <w:t>15,929</w:t>
            </w:r>
          </w:p>
        </w:tc>
        <w:tc>
          <w:tcPr>
            <w:tcW w:w="1084" w:type="pct"/>
            <w:shd w:val="clear" w:color="auto" w:fill="auto"/>
            <w:vAlign w:val="center"/>
          </w:tcPr>
          <w:p w14:paraId="6D42641C" w14:textId="63F65487" w:rsidR="002D3EE6" w:rsidRPr="00781112" w:rsidRDefault="002D3EE6" w:rsidP="002D3EE6">
            <w:pPr>
              <w:jc w:val="center"/>
              <w:rPr>
                <w:rFonts w:cs="Arial"/>
                <w:color w:val="000000" w:themeColor="text1"/>
                <w:szCs w:val="16"/>
              </w:rPr>
            </w:pPr>
            <w:r w:rsidRPr="00781112">
              <w:rPr>
                <w:rFonts w:cs="Arial"/>
                <w:color w:val="000000" w:themeColor="text1"/>
                <w:szCs w:val="16"/>
              </w:rPr>
              <w:t>14,910</w:t>
            </w:r>
          </w:p>
        </w:tc>
        <w:tc>
          <w:tcPr>
            <w:tcW w:w="1084" w:type="pct"/>
            <w:shd w:val="clear" w:color="auto" w:fill="auto"/>
            <w:vAlign w:val="center"/>
          </w:tcPr>
          <w:p w14:paraId="27076C73" w14:textId="7C15AF5B" w:rsidR="002D3EE6" w:rsidRPr="00781112" w:rsidRDefault="002D3EE6" w:rsidP="002D3EE6">
            <w:pPr>
              <w:jc w:val="center"/>
              <w:rPr>
                <w:rFonts w:cs="Arial"/>
                <w:color w:val="000000" w:themeColor="text1"/>
                <w:szCs w:val="16"/>
              </w:rPr>
            </w:pPr>
            <w:r w:rsidRPr="00781112">
              <w:rPr>
                <w:rFonts w:cs="Arial"/>
                <w:color w:val="000000" w:themeColor="text1"/>
                <w:szCs w:val="16"/>
              </w:rPr>
              <w:t>13,999</w:t>
            </w:r>
          </w:p>
        </w:tc>
      </w:tr>
      <w:tr w:rsidR="002D3EE6" w:rsidRPr="00781112" w14:paraId="058A4E65" w14:textId="77777777" w:rsidTr="00E95FBF">
        <w:tc>
          <w:tcPr>
            <w:tcW w:w="1749" w:type="pct"/>
            <w:shd w:val="clear" w:color="auto" w:fill="auto"/>
          </w:tcPr>
          <w:p w14:paraId="439EF49E" w14:textId="1EC71838" w:rsidR="002D3EE6" w:rsidRPr="00181070" w:rsidRDefault="002D3EE6" w:rsidP="002D3EE6">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441B205F" w14:textId="66F540F9" w:rsidR="002D3EE6" w:rsidRPr="00781112" w:rsidRDefault="002D3EE6" w:rsidP="002D3EE6">
            <w:pPr>
              <w:jc w:val="center"/>
              <w:rPr>
                <w:rFonts w:cs="Arial"/>
                <w:color w:val="000000" w:themeColor="text1"/>
                <w:szCs w:val="16"/>
              </w:rPr>
            </w:pPr>
            <w:r w:rsidRPr="00781112">
              <w:rPr>
                <w:rFonts w:cs="Arial"/>
                <w:color w:val="000000" w:themeColor="text1"/>
                <w:szCs w:val="16"/>
              </w:rPr>
              <w:t>205</w:t>
            </w:r>
          </w:p>
        </w:tc>
        <w:tc>
          <w:tcPr>
            <w:tcW w:w="1084" w:type="pct"/>
            <w:shd w:val="clear" w:color="auto" w:fill="auto"/>
            <w:vAlign w:val="center"/>
          </w:tcPr>
          <w:p w14:paraId="5FB5C795" w14:textId="69CA87AA" w:rsidR="002D3EE6" w:rsidRPr="00781112" w:rsidRDefault="002D3EE6" w:rsidP="002D3EE6">
            <w:pPr>
              <w:jc w:val="center"/>
              <w:rPr>
                <w:rFonts w:cs="Arial"/>
                <w:color w:val="000000" w:themeColor="text1"/>
                <w:szCs w:val="16"/>
              </w:rPr>
            </w:pPr>
            <w:r w:rsidRPr="00781112">
              <w:rPr>
                <w:rFonts w:cs="Arial"/>
                <w:color w:val="000000" w:themeColor="text1"/>
                <w:szCs w:val="16"/>
              </w:rPr>
              <w:t>210</w:t>
            </w:r>
          </w:p>
        </w:tc>
        <w:tc>
          <w:tcPr>
            <w:tcW w:w="1084" w:type="pct"/>
            <w:shd w:val="clear" w:color="auto" w:fill="auto"/>
            <w:vAlign w:val="center"/>
          </w:tcPr>
          <w:p w14:paraId="5BB68E9F" w14:textId="19C38497" w:rsidR="002D3EE6" w:rsidRPr="00781112" w:rsidRDefault="002D3EE6" w:rsidP="002D3EE6">
            <w:pPr>
              <w:jc w:val="center"/>
              <w:rPr>
                <w:rFonts w:cs="Arial"/>
                <w:color w:val="000000" w:themeColor="text1"/>
                <w:szCs w:val="16"/>
              </w:rPr>
            </w:pPr>
            <w:r w:rsidRPr="00781112">
              <w:rPr>
                <w:rFonts w:cs="Arial"/>
                <w:color w:val="000000" w:themeColor="text1"/>
                <w:szCs w:val="16"/>
              </w:rPr>
              <w:t>68</w:t>
            </w:r>
          </w:p>
        </w:tc>
      </w:tr>
      <w:tr w:rsidR="002D3EE6" w:rsidRPr="00781112" w14:paraId="1AC72B75" w14:textId="77777777" w:rsidTr="00E95FBF">
        <w:tc>
          <w:tcPr>
            <w:tcW w:w="1749" w:type="pct"/>
            <w:shd w:val="clear" w:color="auto" w:fill="auto"/>
          </w:tcPr>
          <w:p w14:paraId="0A914ADA" w14:textId="357C6FCD" w:rsidR="002D3EE6" w:rsidRPr="00781112" w:rsidRDefault="002D3EE6" w:rsidP="002D3EE6">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02F1489E" w14:textId="43AB7E92" w:rsidR="002D3EE6" w:rsidRPr="00781112" w:rsidRDefault="002D3EE6" w:rsidP="002D3EE6">
            <w:pPr>
              <w:jc w:val="center"/>
              <w:rPr>
                <w:rFonts w:cs="Arial"/>
                <w:color w:val="000000" w:themeColor="text1"/>
                <w:szCs w:val="16"/>
              </w:rPr>
            </w:pPr>
            <w:r w:rsidRPr="00781112">
              <w:rPr>
                <w:rFonts w:cs="Arial"/>
                <w:color w:val="000000" w:themeColor="text1"/>
                <w:szCs w:val="16"/>
              </w:rPr>
              <w:t>1,092</w:t>
            </w:r>
          </w:p>
        </w:tc>
        <w:tc>
          <w:tcPr>
            <w:tcW w:w="1084" w:type="pct"/>
            <w:shd w:val="clear" w:color="auto" w:fill="auto"/>
            <w:vAlign w:val="center"/>
          </w:tcPr>
          <w:p w14:paraId="7D7B8A72" w14:textId="5C0EA0B0" w:rsidR="002D3EE6" w:rsidRPr="00781112" w:rsidRDefault="002D3EE6" w:rsidP="002D3EE6">
            <w:pPr>
              <w:jc w:val="center"/>
              <w:rPr>
                <w:rFonts w:cs="Arial"/>
                <w:color w:val="000000" w:themeColor="text1"/>
                <w:szCs w:val="16"/>
              </w:rPr>
            </w:pPr>
            <w:r w:rsidRPr="00781112">
              <w:rPr>
                <w:rFonts w:cs="Arial"/>
                <w:color w:val="000000" w:themeColor="text1"/>
                <w:szCs w:val="16"/>
              </w:rPr>
              <w:t>526</w:t>
            </w:r>
          </w:p>
        </w:tc>
        <w:tc>
          <w:tcPr>
            <w:tcW w:w="1084" w:type="pct"/>
            <w:shd w:val="clear" w:color="auto" w:fill="auto"/>
            <w:vAlign w:val="center"/>
          </w:tcPr>
          <w:p w14:paraId="077B2856" w14:textId="4059237F" w:rsidR="002D3EE6" w:rsidRPr="00781112" w:rsidRDefault="002D3EE6" w:rsidP="002D3EE6">
            <w:pPr>
              <w:jc w:val="center"/>
              <w:rPr>
                <w:rFonts w:cs="Arial"/>
                <w:color w:val="000000" w:themeColor="text1"/>
                <w:szCs w:val="16"/>
              </w:rPr>
            </w:pPr>
            <w:r w:rsidRPr="00781112">
              <w:rPr>
                <w:rFonts w:cs="Arial"/>
                <w:color w:val="000000" w:themeColor="text1"/>
                <w:szCs w:val="16"/>
              </w:rPr>
              <w:t>475</w:t>
            </w:r>
          </w:p>
        </w:tc>
      </w:tr>
      <w:tr w:rsidR="002D3EE6" w:rsidRPr="00781112" w14:paraId="0F3AF372" w14:textId="77777777" w:rsidTr="00E95FBF">
        <w:tc>
          <w:tcPr>
            <w:tcW w:w="1749" w:type="pct"/>
            <w:shd w:val="clear" w:color="auto" w:fill="auto"/>
          </w:tcPr>
          <w:p w14:paraId="65DAF487" w14:textId="01D9D6A1" w:rsidR="002D3EE6" w:rsidRPr="00781112" w:rsidRDefault="002D3EE6" w:rsidP="002D3EE6">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1BE3D4C2" w14:textId="5B4F526A" w:rsidR="002D3EE6" w:rsidRPr="00781112" w:rsidRDefault="002D3EE6" w:rsidP="002D3EE6">
            <w:pPr>
              <w:jc w:val="center"/>
              <w:rPr>
                <w:rFonts w:cs="Arial"/>
                <w:color w:val="000000" w:themeColor="text1"/>
                <w:szCs w:val="16"/>
              </w:rPr>
            </w:pPr>
            <w:r w:rsidRPr="00781112">
              <w:rPr>
                <w:rFonts w:cs="Arial"/>
                <w:color w:val="000000" w:themeColor="text1"/>
                <w:szCs w:val="16"/>
              </w:rPr>
              <w:t>151</w:t>
            </w:r>
          </w:p>
        </w:tc>
        <w:tc>
          <w:tcPr>
            <w:tcW w:w="1084" w:type="pct"/>
            <w:shd w:val="clear" w:color="auto" w:fill="auto"/>
            <w:vAlign w:val="center"/>
          </w:tcPr>
          <w:p w14:paraId="0E65D7AB" w14:textId="79D914F6" w:rsidR="002D3EE6" w:rsidRPr="00781112" w:rsidRDefault="002D3EE6" w:rsidP="002D3EE6">
            <w:pPr>
              <w:jc w:val="center"/>
              <w:rPr>
                <w:rFonts w:cs="Arial"/>
                <w:color w:val="000000" w:themeColor="text1"/>
                <w:szCs w:val="16"/>
              </w:rPr>
            </w:pPr>
            <w:r w:rsidRPr="00781112">
              <w:rPr>
                <w:rFonts w:cs="Arial"/>
                <w:color w:val="000000" w:themeColor="text1"/>
                <w:szCs w:val="16"/>
              </w:rPr>
              <w:t>154</w:t>
            </w:r>
          </w:p>
        </w:tc>
        <w:tc>
          <w:tcPr>
            <w:tcW w:w="1084" w:type="pct"/>
            <w:shd w:val="clear" w:color="auto" w:fill="auto"/>
            <w:vAlign w:val="center"/>
          </w:tcPr>
          <w:p w14:paraId="740F6FA5" w14:textId="70059958" w:rsidR="002D3EE6" w:rsidRPr="00781112" w:rsidRDefault="002D3EE6" w:rsidP="002D3EE6">
            <w:pPr>
              <w:jc w:val="center"/>
              <w:rPr>
                <w:rFonts w:cs="Arial"/>
                <w:color w:val="000000" w:themeColor="text1"/>
                <w:szCs w:val="16"/>
              </w:rPr>
            </w:pPr>
            <w:r w:rsidRPr="00781112">
              <w:rPr>
                <w:rFonts w:cs="Arial"/>
                <w:color w:val="000000" w:themeColor="text1"/>
                <w:szCs w:val="16"/>
              </w:rPr>
              <w:t>45</w:t>
            </w:r>
          </w:p>
        </w:tc>
      </w:tr>
    </w:tbl>
    <w:p w14:paraId="639A2278" w14:textId="77777777" w:rsidR="00DD5B7A" w:rsidRPr="00781112" w:rsidRDefault="00DD5B7A" w:rsidP="00DD5B7A">
      <w:pPr>
        <w:rPr>
          <w:b/>
          <w:color w:val="000000" w:themeColor="text1"/>
        </w:rPr>
      </w:pPr>
    </w:p>
    <w:p w14:paraId="2B294F6E"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Data Source: </w:t>
      </w:r>
    </w:p>
    <w:p w14:paraId="6AD8EFC6" w14:textId="5D2767CF" w:rsidR="00DD5B7A" w:rsidRPr="00781112" w:rsidRDefault="00DD5B7A" w:rsidP="00DD5B7A">
      <w:pPr>
        <w:rPr>
          <w:rFonts w:cs="Arial"/>
          <w:color w:val="000000" w:themeColor="text1"/>
          <w:szCs w:val="16"/>
        </w:rPr>
      </w:pPr>
      <w:r w:rsidRPr="00781112">
        <w:rPr>
          <w:rFonts w:cs="Arial"/>
          <w:color w:val="000000" w:themeColor="text1"/>
          <w:szCs w:val="16"/>
        </w:rPr>
        <w:t>SY 2023-24 Assessment Data Groups - Math (EDFacts file spec FS175; Data Group: 583)</w:t>
      </w:r>
    </w:p>
    <w:p w14:paraId="1F735D57" w14:textId="77777777" w:rsidR="00DD5B7A" w:rsidRPr="00781112" w:rsidRDefault="00DD5B7A" w:rsidP="00DD5B7A">
      <w:pPr>
        <w:rPr>
          <w:rFonts w:cs="Arial"/>
          <w:b/>
          <w:color w:val="000000" w:themeColor="text1"/>
          <w:szCs w:val="16"/>
        </w:rPr>
      </w:pPr>
      <w:r w:rsidRPr="00781112">
        <w:rPr>
          <w:rFonts w:cs="Arial"/>
          <w:b/>
          <w:color w:val="000000" w:themeColor="text1"/>
          <w:szCs w:val="16"/>
        </w:rPr>
        <w:t xml:space="preserve">Date: </w:t>
      </w:r>
    </w:p>
    <w:p w14:paraId="27D0A75A" w14:textId="6D901961" w:rsidR="00DD5B7A" w:rsidRPr="00781112" w:rsidRDefault="00DD5B7A" w:rsidP="00DD5B7A">
      <w:pPr>
        <w:rPr>
          <w:rFonts w:cs="Arial"/>
          <w:color w:val="000000" w:themeColor="text1"/>
          <w:szCs w:val="16"/>
        </w:rPr>
      </w:pPr>
      <w:r w:rsidRPr="00781112">
        <w:rPr>
          <w:rFonts w:cs="Arial"/>
          <w:color w:val="000000" w:themeColor="text1"/>
          <w:szCs w:val="16"/>
        </w:rPr>
        <w:t>01/08/2025</w:t>
      </w:r>
    </w:p>
    <w:p w14:paraId="0AB0EBE2" w14:textId="434C41EC" w:rsidR="00DD5B7A" w:rsidRPr="00781112" w:rsidRDefault="00DD5B7A" w:rsidP="00DD5B7A">
      <w:pPr>
        <w:rPr>
          <w:b/>
          <w:color w:val="000000" w:themeColor="text1"/>
        </w:rPr>
      </w:pPr>
      <w:r w:rsidRPr="00781112">
        <w:rPr>
          <w:b/>
          <w:color w:val="000000" w:themeColor="text1"/>
        </w:rPr>
        <w:t>Math Assessment Proficiency Data by Grade (1)</w:t>
      </w:r>
    </w:p>
    <w:tbl>
      <w:tblPr>
        <w:tblStyle w:val="TableGrid"/>
        <w:tblW w:w="5000" w:type="pct"/>
        <w:tblLayout w:type="fixed"/>
        <w:tblLook w:val="04A0" w:firstRow="1" w:lastRow="0" w:firstColumn="1" w:lastColumn="0" w:noHBand="0" w:noVBand="1"/>
        <w:tblCaption w:val="B03DSSPARTDATABYGRDMATH"/>
      </w:tblPr>
      <w:tblGrid>
        <w:gridCol w:w="3775"/>
        <w:gridCol w:w="2338"/>
        <w:gridCol w:w="2338"/>
        <w:gridCol w:w="2339"/>
      </w:tblGrid>
      <w:tr w:rsidR="00DD5B7A" w:rsidRPr="00781112" w14:paraId="590774E0" w14:textId="77777777" w:rsidTr="00E95FBF">
        <w:tc>
          <w:tcPr>
            <w:tcW w:w="1749" w:type="pct"/>
            <w:shd w:val="clear" w:color="auto" w:fill="auto"/>
          </w:tcPr>
          <w:p w14:paraId="4055FBD1" w14:textId="73E0C6E7" w:rsidR="00DD5B7A" w:rsidRPr="00781112" w:rsidRDefault="00835EAD" w:rsidP="00827FF4">
            <w:pPr>
              <w:jc w:val="center"/>
              <w:rPr>
                <w:rFonts w:cs="Arial"/>
                <w:b/>
                <w:bCs/>
                <w:color w:val="000000" w:themeColor="text1"/>
                <w:szCs w:val="16"/>
              </w:rPr>
            </w:pPr>
            <w:r w:rsidRPr="00781112">
              <w:rPr>
                <w:rFonts w:cs="Arial"/>
                <w:b/>
                <w:bCs/>
                <w:color w:val="000000" w:themeColor="text1"/>
                <w:szCs w:val="16"/>
              </w:rPr>
              <w:t>Group</w:t>
            </w:r>
          </w:p>
        </w:tc>
        <w:tc>
          <w:tcPr>
            <w:tcW w:w="1083" w:type="pct"/>
            <w:shd w:val="clear" w:color="auto" w:fill="auto"/>
            <w:vAlign w:val="center"/>
          </w:tcPr>
          <w:p w14:paraId="3DAA5C0A" w14:textId="35B1C50B"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4</w:t>
            </w:r>
          </w:p>
        </w:tc>
        <w:tc>
          <w:tcPr>
            <w:tcW w:w="1083" w:type="pct"/>
            <w:shd w:val="clear" w:color="auto" w:fill="auto"/>
            <w:vAlign w:val="center"/>
          </w:tcPr>
          <w:p w14:paraId="4B99C0AD" w14:textId="75D46FFE"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8</w:t>
            </w:r>
          </w:p>
        </w:tc>
        <w:tc>
          <w:tcPr>
            <w:tcW w:w="1084" w:type="pct"/>
            <w:shd w:val="clear" w:color="auto" w:fill="auto"/>
            <w:vAlign w:val="center"/>
          </w:tcPr>
          <w:p w14:paraId="64818CE7" w14:textId="3A3D62EA" w:rsidR="00DD5B7A" w:rsidRPr="00781112" w:rsidRDefault="00DD5B7A" w:rsidP="00827FF4">
            <w:pPr>
              <w:jc w:val="center"/>
              <w:rPr>
                <w:rFonts w:cs="Arial"/>
                <w:b/>
                <w:bCs/>
                <w:color w:val="000000" w:themeColor="text1"/>
                <w:szCs w:val="16"/>
              </w:rPr>
            </w:pPr>
            <w:r w:rsidRPr="00781112">
              <w:rPr>
                <w:rFonts w:cs="Arial"/>
                <w:b/>
                <w:bCs/>
                <w:color w:val="000000" w:themeColor="text1"/>
                <w:szCs w:val="16"/>
              </w:rPr>
              <w:t>Grade HS</w:t>
            </w:r>
          </w:p>
        </w:tc>
      </w:tr>
      <w:tr w:rsidR="0039534D" w:rsidRPr="00781112" w14:paraId="5B127C40" w14:textId="77777777" w:rsidTr="00E95FBF">
        <w:tc>
          <w:tcPr>
            <w:tcW w:w="1749" w:type="pct"/>
            <w:shd w:val="clear" w:color="auto" w:fill="auto"/>
          </w:tcPr>
          <w:p w14:paraId="0E1B91FD" w14:textId="7C7FA98F" w:rsidR="0039534D" w:rsidRPr="00781112" w:rsidRDefault="0039534D" w:rsidP="0039534D">
            <w:pPr>
              <w:rPr>
                <w:rFonts w:cs="Arial"/>
                <w:color w:val="000000" w:themeColor="text1"/>
                <w:szCs w:val="16"/>
              </w:rPr>
            </w:pPr>
            <w:r w:rsidRPr="00781112">
              <w:rPr>
                <w:rFonts w:cs="Arial"/>
                <w:color w:val="000000" w:themeColor="text1"/>
                <w:szCs w:val="16"/>
              </w:rPr>
              <w:t>a. All Students who received a valid score and a proficiency was assigned for the regular assessment</w:t>
            </w:r>
          </w:p>
        </w:tc>
        <w:tc>
          <w:tcPr>
            <w:tcW w:w="1083" w:type="pct"/>
            <w:shd w:val="clear" w:color="auto" w:fill="auto"/>
            <w:vAlign w:val="center"/>
          </w:tcPr>
          <w:p w14:paraId="52BC5DDE" w14:textId="144A7826" w:rsidR="0039534D" w:rsidRPr="00781112" w:rsidRDefault="0039534D" w:rsidP="0039534D">
            <w:pPr>
              <w:jc w:val="center"/>
              <w:rPr>
                <w:rFonts w:cs="Arial"/>
                <w:color w:val="000000" w:themeColor="text1"/>
                <w:szCs w:val="16"/>
              </w:rPr>
            </w:pPr>
            <w:r w:rsidRPr="00781112">
              <w:rPr>
                <w:rFonts w:cs="Arial"/>
                <w:color w:val="000000" w:themeColor="text1"/>
                <w:szCs w:val="16"/>
              </w:rPr>
              <w:t>38,510</w:t>
            </w:r>
          </w:p>
        </w:tc>
        <w:tc>
          <w:tcPr>
            <w:tcW w:w="1083" w:type="pct"/>
            <w:shd w:val="clear" w:color="auto" w:fill="auto"/>
            <w:vAlign w:val="center"/>
          </w:tcPr>
          <w:p w14:paraId="1F69E804" w14:textId="1CF42368" w:rsidR="0039534D" w:rsidRPr="00781112" w:rsidRDefault="0039534D" w:rsidP="0039534D">
            <w:pPr>
              <w:jc w:val="center"/>
              <w:rPr>
                <w:rFonts w:cs="Arial"/>
                <w:color w:val="000000" w:themeColor="text1"/>
                <w:szCs w:val="16"/>
              </w:rPr>
            </w:pPr>
            <w:r w:rsidRPr="00781112">
              <w:rPr>
                <w:rFonts w:cs="Arial"/>
                <w:color w:val="000000" w:themeColor="text1"/>
                <w:szCs w:val="16"/>
              </w:rPr>
              <w:t>36,814</w:t>
            </w:r>
          </w:p>
        </w:tc>
        <w:tc>
          <w:tcPr>
            <w:tcW w:w="1084" w:type="pct"/>
            <w:shd w:val="clear" w:color="auto" w:fill="auto"/>
            <w:vAlign w:val="center"/>
          </w:tcPr>
          <w:p w14:paraId="3CF6972D" w14:textId="425CE03D" w:rsidR="0039534D" w:rsidRPr="00781112" w:rsidRDefault="0039534D" w:rsidP="0039534D">
            <w:pPr>
              <w:jc w:val="center"/>
              <w:rPr>
                <w:rFonts w:cs="Arial"/>
                <w:color w:val="000000" w:themeColor="text1"/>
                <w:szCs w:val="16"/>
              </w:rPr>
            </w:pPr>
            <w:r w:rsidRPr="00781112">
              <w:rPr>
                <w:rFonts w:cs="Arial"/>
                <w:color w:val="000000" w:themeColor="text1"/>
                <w:szCs w:val="16"/>
              </w:rPr>
              <w:t>29,628</w:t>
            </w:r>
          </w:p>
        </w:tc>
      </w:tr>
      <w:tr w:rsidR="0039534D" w:rsidRPr="00781112" w14:paraId="498D2BC6" w14:textId="77777777" w:rsidTr="00E95FBF">
        <w:tc>
          <w:tcPr>
            <w:tcW w:w="1749" w:type="pct"/>
            <w:shd w:val="clear" w:color="auto" w:fill="auto"/>
          </w:tcPr>
          <w:p w14:paraId="6F359A75" w14:textId="3CC63A02" w:rsidR="0039534D" w:rsidRPr="00781112" w:rsidRDefault="0039534D" w:rsidP="0039534D">
            <w:pPr>
              <w:rPr>
                <w:rFonts w:cs="Arial"/>
                <w:color w:val="000000" w:themeColor="text1"/>
                <w:szCs w:val="16"/>
              </w:rPr>
            </w:pPr>
            <w:r w:rsidRPr="00781112">
              <w:rPr>
                <w:rFonts w:cs="Arial"/>
                <w:color w:val="000000" w:themeColor="text1"/>
                <w:szCs w:val="16"/>
              </w:rPr>
              <w:t xml:space="preserve">b. Children with IEPs who received a valid score and a proficiency was assigned </w:t>
            </w:r>
            <w:r w:rsidRPr="00781112">
              <w:rPr>
                <w:rFonts w:cs="Arial"/>
                <w:szCs w:val="16"/>
                <w:shd w:val="clear" w:color="auto" w:fill="FFFFFF"/>
              </w:rPr>
              <w:t>for the regular assessment</w:t>
            </w:r>
          </w:p>
        </w:tc>
        <w:tc>
          <w:tcPr>
            <w:tcW w:w="1083" w:type="pct"/>
            <w:shd w:val="clear" w:color="auto" w:fill="auto"/>
            <w:vAlign w:val="center"/>
          </w:tcPr>
          <w:p w14:paraId="76737A54" w14:textId="7FDF30A1" w:rsidR="0039534D" w:rsidRPr="00781112" w:rsidRDefault="0039534D" w:rsidP="0039534D">
            <w:pPr>
              <w:jc w:val="center"/>
              <w:rPr>
                <w:rFonts w:cs="Arial"/>
                <w:color w:val="000000" w:themeColor="text1"/>
                <w:szCs w:val="16"/>
              </w:rPr>
            </w:pPr>
            <w:r w:rsidRPr="00781112">
              <w:rPr>
                <w:rFonts w:cs="Arial"/>
                <w:color w:val="000000" w:themeColor="text1"/>
                <w:szCs w:val="16"/>
              </w:rPr>
              <w:t>6,149</w:t>
            </w:r>
          </w:p>
        </w:tc>
        <w:tc>
          <w:tcPr>
            <w:tcW w:w="1083" w:type="pct"/>
            <w:shd w:val="clear" w:color="auto" w:fill="auto"/>
            <w:vAlign w:val="center"/>
          </w:tcPr>
          <w:p w14:paraId="4728E439" w14:textId="7575A840" w:rsidR="0039534D" w:rsidRPr="00781112" w:rsidRDefault="0039534D" w:rsidP="0039534D">
            <w:pPr>
              <w:jc w:val="center"/>
              <w:rPr>
                <w:rFonts w:cs="Arial"/>
                <w:color w:val="000000" w:themeColor="text1"/>
                <w:szCs w:val="16"/>
              </w:rPr>
            </w:pPr>
            <w:r w:rsidRPr="00781112">
              <w:rPr>
                <w:rFonts w:cs="Arial"/>
                <w:color w:val="000000" w:themeColor="text1"/>
                <w:szCs w:val="16"/>
              </w:rPr>
              <w:t>5,110</w:t>
            </w:r>
          </w:p>
        </w:tc>
        <w:tc>
          <w:tcPr>
            <w:tcW w:w="1084" w:type="pct"/>
            <w:shd w:val="clear" w:color="auto" w:fill="auto"/>
            <w:vAlign w:val="center"/>
          </w:tcPr>
          <w:p w14:paraId="06C8345B" w14:textId="39D5A618" w:rsidR="0039534D" w:rsidRPr="00781112" w:rsidRDefault="0039534D" w:rsidP="0039534D">
            <w:pPr>
              <w:jc w:val="center"/>
              <w:rPr>
                <w:rFonts w:cs="Arial"/>
                <w:color w:val="000000" w:themeColor="text1"/>
                <w:szCs w:val="16"/>
              </w:rPr>
            </w:pPr>
            <w:r w:rsidRPr="00781112">
              <w:rPr>
                <w:rFonts w:cs="Arial"/>
                <w:color w:val="000000" w:themeColor="text1"/>
                <w:szCs w:val="16"/>
              </w:rPr>
              <w:t>3,205</w:t>
            </w:r>
          </w:p>
        </w:tc>
      </w:tr>
      <w:tr w:rsidR="0039534D" w:rsidRPr="00781112" w14:paraId="3DF51785" w14:textId="77777777" w:rsidTr="00E95FBF">
        <w:tc>
          <w:tcPr>
            <w:tcW w:w="1749" w:type="pct"/>
            <w:shd w:val="clear" w:color="auto" w:fill="auto"/>
          </w:tcPr>
          <w:p w14:paraId="4795E661" w14:textId="39A6BCFA" w:rsidR="0039534D" w:rsidRPr="00781112" w:rsidRDefault="0039534D" w:rsidP="0039534D">
            <w:pPr>
              <w:rPr>
                <w:rFonts w:cs="Arial"/>
                <w:color w:val="000000" w:themeColor="text1"/>
                <w:szCs w:val="16"/>
              </w:rPr>
            </w:pPr>
            <w:r w:rsidRPr="0075451F">
              <w:rPr>
                <w:rFonts w:cs="Arial"/>
                <w:szCs w:val="16"/>
                <w:shd w:val="clear" w:color="auto" w:fill="FFFFFF"/>
              </w:rPr>
              <w:lastRenderedPageBreak/>
              <w:t>c. All students in regular assessment with no accommodations scored at or above proficient against grade level</w:t>
            </w:r>
          </w:p>
        </w:tc>
        <w:tc>
          <w:tcPr>
            <w:tcW w:w="1083" w:type="pct"/>
            <w:shd w:val="clear" w:color="auto" w:fill="auto"/>
            <w:vAlign w:val="center"/>
          </w:tcPr>
          <w:p w14:paraId="5CB3E7A3" w14:textId="5EDF24EC" w:rsidR="0039534D" w:rsidRPr="00781112" w:rsidRDefault="0039534D" w:rsidP="0039534D">
            <w:pPr>
              <w:jc w:val="center"/>
              <w:rPr>
                <w:rFonts w:cs="Arial"/>
                <w:color w:val="000000" w:themeColor="text1"/>
                <w:szCs w:val="16"/>
              </w:rPr>
            </w:pPr>
            <w:r w:rsidRPr="00781112">
              <w:rPr>
                <w:rFonts w:cs="Arial"/>
                <w:color w:val="000000" w:themeColor="text1"/>
                <w:szCs w:val="16"/>
              </w:rPr>
              <w:t>14,392</w:t>
            </w:r>
          </w:p>
        </w:tc>
        <w:tc>
          <w:tcPr>
            <w:tcW w:w="1083" w:type="pct"/>
            <w:shd w:val="clear" w:color="auto" w:fill="auto"/>
            <w:vAlign w:val="center"/>
          </w:tcPr>
          <w:p w14:paraId="7CCA2E3B" w14:textId="3CD9DE15" w:rsidR="0039534D" w:rsidRPr="00781112" w:rsidRDefault="0039534D" w:rsidP="0039534D">
            <w:pPr>
              <w:jc w:val="center"/>
              <w:rPr>
                <w:rFonts w:cs="Arial"/>
                <w:color w:val="000000" w:themeColor="text1"/>
                <w:szCs w:val="16"/>
              </w:rPr>
            </w:pPr>
            <w:r w:rsidRPr="00781112">
              <w:rPr>
                <w:rFonts w:cs="Arial"/>
                <w:color w:val="000000" w:themeColor="text1"/>
                <w:szCs w:val="16"/>
              </w:rPr>
              <w:t>9,662</w:t>
            </w:r>
          </w:p>
        </w:tc>
        <w:tc>
          <w:tcPr>
            <w:tcW w:w="1084" w:type="pct"/>
            <w:shd w:val="clear" w:color="auto" w:fill="auto"/>
            <w:vAlign w:val="center"/>
          </w:tcPr>
          <w:p w14:paraId="735C7B5A" w14:textId="1C3B3FE1" w:rsidR="0039534D" w:rsidRPr="00781112" w:rsidRDefault="0039534D" w:rsidP="0039534D">
            <w:pPr>
              <w:jc w:val="center"/>
              <w:rPr>
                <w:rFonts w:cs="Arial"/>
                <w:color w:val="000000" w:themeColor="text1"/>
                <w:szCs w:val="16"/>
              </w:rPr>
            </w:pPr>
            <w:r w:rsidRPr="00781112">
              <w:rPr>
                <w:rFonts w:cs="Arial"/>
                <w:color w:val="000000" w:themeColor="text1"/>
                <w:szCs w:val="16"/>
              </w:rPr>
              <w:t>5,934</w:t>
            </w:r>
          </w:p>
        </w:tc>
      </w:tr>
      <w:tr w:rsidR="0039534D" w:rsidRPr="00781112" w14:paraId="07844546" w14:textId="77777777" w:rsidTr="00E95FBF">
        <w:tc>
          <w:tcPr>
            <w:tcW w:w="1749" w:type="pct"/>
            <w:shd w:val="clear" w:color="auto" w:fill="auto"/>
          </w:tcPr>
          <w:p w14:paraId="47D524EB" w14:textId="56F8E4CC" w:rsidR="0039534D" w:rsidRPr="00781112" w:rsidRDefault="0039534D" w:rsidP="0039534D">
            <w:pPr>
              <w:rPr>
                <w:rFonts w:cs="Arial"/>
                <w:color w:val="000000" w:themeColor="text1"/>
                <w:szCs w:val="16"/>
              </w:rPr>
            </w:pPr>
            <w:r w:rsidRPr="0075451F">
              <w:rPr>
                <w:rFonts w:cs="Arial"/>
                <w:szCs w:val="16"/>
                <w:shd w:val="clear" w:color="auto" w:fill="FFFFFF"/>
              </w:rPr>
              <w:t>d. All students in regular assessment with accommodations scored at or above proficient against grade level</w:t>
            </w:r>
          </w:p>
        </w:tc>
        <w:tc>
          <w:tcPr>
            <w:tcW w:w="1083" w:type="pct"/>
            <w:shd w:val="clear" w:color="auto" w:fill="auto"/>
            <w:vAlign w:val="center"/>
          </w:tcPr>
          <w:p w14:paraId="56F62AFB" w14:textId="4BC3B8A6" w:rsidR="0039534D" w:rsidRPr="00781112" w:rsidRDefault="0039534D" w:rsidP="0039534D">
            <w:pPr>
              <w:jc w:val="center"/>
              <w:rPr>
                <w:rFonts w:cs="Arial"/>
                <w:color w:val="000000" w:themeColor="text1"/>
                <w:szCs w:val="16"/>
              </w:rPr>
            </w:pPr>
            <w:r w:rsidRPr="00781112">
              <w:rPr>
                <w:rFonts w:cs="Arial"/>
                <w:color w:val="000000" w:themeColor="text1"/>
                <w:szCs w:val="16"/>
              </w:rPr>
              <w:t>120</w:t>
            </w:r>
          </w:p>
        </w:tc>
        <w:tc>
          <w:tcPr>
            <w:tcW w:w="1083" w:type="pct"/>
            <w:shd w:val="clear" w:color="auto" w:fill="auto"/>
            <w:vAlign w:val="center"/>
          </w:tcPr>
          <w:p w14:paraId="3CDBB055" w14:textId="52A1C13C" w:rsidR="0039534D" w:rsidRPr="00781112" w:rsidRDefault="0039534D" w:rsidP="0039534D">
            <w:pPr>
              <w:jc w:val="center"/>
              <w:rPr>
                <w:rFonts w:cs="Arial"/>
                <w:color w:val="000000" w:themeColor="text1"/>
                <w:szCs w:val="16"/>
              </w:rPr>
            </w:pPr>
            <w:r w:rsidRPr="00781112">
              <w:rPr>
                <w:rFonts w:cs="Arial"/>
                <w:color w:val="000000" w:themeColor="text1"/>
                <w:szCs w:val="16"/>
              </w:rPr>
              <w:t>65</w:t>
            </w:r>
          </w:p>
        </w:tc>
        <w:tc>
          <w:tcPr>
            <w:tcW w:w="1084" w:type="pct"/>
            <w:shd w:val="clear" w:color="auto" w:fill="auto"/>
            <w:vAlign w:val="center"/>
          </w:tcPr>
          <w:p w14:paraId="53087BDA" w14:textId="7F6FB55C" w:rsidR="0039534D" w:rsidRPr="00781112" w:rsidRDefault="0039534D" w:rsidP="0039534D">
            <w:pPr>
              <w:jc w:val="center"/>
              <w:rPr>
                <w:rFonts w:cs="Arial"/>
                <w:color w:val="000000" w:themeColor="text1"/>
                <w:szCs w:val="16"/>
              </w:rPr>
            </w:pPr>
            <w:r w:rsidRPr="00781112">
              <w:rPr>
                <w:rFonts w:cs="Arial"/>
                <w:color w:val="000000" w:themeColor="text1"/>
                <w:szCs w:val="16"/>
              </w:rPr>
              <w:t>11</w:t>
            </w:r>
          </w:p>
        </w:tc>
      </w:tr>
      <w:tr w:rsidR="0039534D" w:rsidRPr="00781112" w14:paraId="0A3B43B6" w14:textId="77777777" w:rsidTr="00E95FBF">
        <w:tc>
          <w:tcPr>
            <w:tcW w:w="1749" w:type="pct"/>
            <w:shd w:val="clear" w:color="auto" w:fill="auto"/>
          </w:tcPr>
          <w:p w14:paraId="78623131" w14:textId="1D0B9916" w:rsidR="0039534D" w:rsidRPr="00781112" w:rsidRDefault="0039534D" w:rsidP="0039534D">
            <w:pPr>
              <w:rPr>
                <w:rFonts w:cs="Arial"/>
                <w:color w:val="000000" w:themeColor="text1"/>
                <w:szCs w:val="16"/>
              </w:rPr>
            </w:pPr>
            <w:r w:rsidRPr="00781112">
              <w:rPr>
                <w:rFonts w:cs="Arial"/>
                <w:szCs w:val="16"/>
                <w:shd w:val="clear" w:color="auto" w:fill="FFFFFF"/>
              </w:rPr>
              <w:t>e. Children with IEPs in regular assessment with no accommodations scored at or above proficient against grade level</w:t>
            </w:r>
          </w:p>
        </w:tc>
        <w:tc>
          <w:tcPr>
            <w:tcW w:w="1083" w:type="pct"/>
            <w:shd w:val="clear" w:color="auto" w:fill="auto"/>
            <w:vAlign w:val="center"/>
          </w:tcPr>
          <w:p w14:paraId="6A062FCA" w14:textId="010EA23D" w:rsidR="0039534D" w:rsidRPr="00781112" w:rsidRDefault="0039534D" w:rsidP="0039534D">
            <w:pPr>
              <w:jc w:val="center"/>
              <w:rPr>
                <w:rFonts w:cs="Arial"/>
                <w:color w:val="000000" w:themeColor="text1"/>
                <w:szCs w:val="16"/>
              </w:rPr>
            </w:pPr>
            <w:r w:rsidRPr="00781112">
              <w:rPr>
                <w:rFonts w:cs="Arial"/>
                <w:color w:val="000000" w:themeColor="text1"/>
                <w:szCs w:val="16"/>
              </w:rPr>
              <w:t>1,135</w:t>
            </w:r>
          </w:p>
        </w:tc>
        <w:tc>
          <w:tcPr>
            <w:tcW w:w="1083" w:type="pct"/>
            <w:shd w:val="clear" w:color="auto" w:fill="auto"/>
            <w:vAlign w:val="center"/>
          </w:tcPr>
          <w:p w14:paraId="0A64567E" w14:textId="2D3B6CBD" w:rsidR="0039534D" w:rsidRPr="00781112" w:rsidRDefault="0039534D" w:rsidP="0039534D">
            <w:pPr>
              <w:jc w:val="center"/>
              <w:rPr>
                <w:rFonts w:cs="Arial"/>
                <w:color w:val="000000" w:themeColor="text1"/>
                <w:szCs w:val="16"/>
              </w:rPr>
            </w:pPr>
            <w:r w:rsidRPr="00781112">
              <w:rPr>
                <w:rFonts w:cs="Arial"/>
                <w:color w:val="000000" w:themeColor="text1"/>
                <w:szCs w:val="16"/>
              </w:rPr>
              <w:t>366</w:t>
            </w:r>
          </w:p>
        </w:tc>
        <w:tc>
          <w:tcPr>
            <w:tcW w:w="1084" w:type="pct"/>
            <w:shd w:val="clear" w:color="auto" w:fill="auto"/>
            <w:vAlign w:val="center"/>
          </w:tcPr>
          <w:p w14:paraId="4656C7C9" w14:textId="098CB46F" w:rsidR="0039534D" w:rsidRPr="00781112" w:rsidRDefault="0039534D" w:rsidP="0039534D">
            <w:pPr>
              <w:jc w:val="center"/>
              <w:rPr>
                <w:rFonts w:cs="Arial"/>
                <w:color w:val="000000" w:themeColor="text1"/>
                <w:szCs w:val="16"/>
              </w:rPr>
            </w:pPr>
            <w:r w:rsidRPr="00781112">
              <w:rPr>
                <w:rFonts w:cs="Arial"/>
                <w:color w:val="000000" w:themeColor="text1"/>
                <w:szCs w:val="16"/>
              </w:rPr>
              <w:t>145</w:t>
            </w:r>
          </w:p>
        </w:tc>
      </w:tr>
      <w:tr w:rsidR="0039534D" w:rsidRPr="00781112" w14:paraId="7854C881" w14:textId="77777777" w:rsidTr="00E95FBF">
        <w:tc>
          <w:tcPr>
            <w:tcW w:w="1749" w:type="pct"/>
            <w:shd w:val="clear" w:color="auto" w:fill="auto"/>
          </w:tcPr>
          <w:p w14:paraId="11893D61" w14:textId="60FC961E" w:rsidR="0039534D" w:rsidRPr="00781112" w:rsidRDefault="0039534D" w:rsidP="0039534D">
            <w:pPr>
              <w:rPr>
                <w:rFonts w:cs="Arial"/>
                <w:color w:val="000000" w:themeColor="text1"/>
                <w:szCs w:val="16"/>
              </w:rPr>
            </w:pPr>
            <w:r w:rsidRPr="00781112">
              <w:rPr>
                <w:rFonts w:cs="Arial"/>
                <w:szCs w:val="16"/>
                <w:shd w:val="clear" w:color="auto" w:fill="FFFFFF"/>
              </w:rPr>
              <w:t>f. Children with IEPs in regular assessment with accommodations scored at or above proficient against grade level</w:t>
            </w:r>
          </w:p>
        </w:tc>
        <w:tc>
          <w:tcPr>
            <w:tcW w:w="1083" w:type="pct"/>
            <w:shd w:val="clear" w:color="auto" w:fill="auto"/>
            <w:vAlign w:val="center"/>
          </w:tcPr>
          <w:p w14:paraId="59046EB4" w14:textId="7B9261DB" w:rsidR="0039534D" w:rsidRPr="00781112" w:rsidRDefault="0039534D" w:rsidP="0039534D">
            <w:pPr>
              <w:jc w:val="center"/>
              <w:rPr>
                <w:rFonts w:cs="Arial"/>
                <w:color w:val="000000" w:themeColor="text1"/>
                <w:szCs w:val="16"/>
              </w:rPr>
            </w:pPr>
            <w:r w:rsidRPr="00781112">
              <w:rPr>
                <w:rFonts w:cs="Arial"/>
                <w:color w:val="000000" w:themeColor="text1"/>
                <w:szCs w:val="16"/>
              </w:rPr>
              <w:t>95</w:t>
            </w:r>
          </w:p>
        </w:tc>
        <w:tc>
          <w:tcPr>
            <w:tcW w:w="1083" w:type="pct"/>
            <w:shd w:val="clear" w:color="auto" w:fill="auto"/>
            <w:vAlign w:val="center"/>
          </w:tcPr>
          <w:p w14:paraId="1A17DFA3" w14:textId="3FCA504B" w:rsidR="0039534D" w:rsidRPr="00781112" w:rsidRDefault="0039534D" w:rsidP="0039534D">
            <w:pPr>
              <w:jc w:val="center"/>
              <w:rPr>
                <w:rFonts w:cs="Arial"/>
                <w:color w:val="000000" w:themeColor="text1"/>
                <w:szCs w:val="16"/>
              </w:rPr>
            </w:pPr>
            <w:r w:rsidRPr="00781112">
              <w:rPr>
                <w:rFonts w:cs="Arial"/>
                <w:color w:val="000000" w:themeColor="text1"/>
                <w:szCs w:val="16"/>
              </w:rPr>
              <w:t>47</w:t>
            </w:r>
          </w:p>
        </w:tc>
        <w:tc>
          <w:tcPr>
            <w:tcW w:w="1084" w:type="pct"/>
            <w:shd w:val="clear" w:color="auto" w:fill="auto"/>
            <w:vAlign w:val="center"/>
          </w:tcPr>
          <w:p w14:paraId="20EB2770" w14:textId="2709C0DA" w:rsidR="0039534D" w:rsidRPr="00781112" w:rsidRDefault="0039534D" w:rsidP="0039534D">
            <w:pPr>
              <w:jc w:val="center"/>
              <w:rPr>
                <w:rFonts w:cs="Arial"/>
                <w:color w:val="000000" w:themeColor="text1"/>
                <w:szCs w:val="16"/>
              </w:rPr>
            </w:pPr>
            <w:r w:rsidRPr="00781112">
              <w:rPr>
                <w:rFonts w:cs="Arial"/>
                <w:color w:val="000000" w:themeColor="text1"/>
                <w:szCs w:val="16"/>
              </w:rPr>
              <w:t>10</w:t>
            </w:r>
          </w:p>
        </w:tc>
      </w:tr>
    </w:tbl>
    <w:p w14:paraId="657E3B81" w14:textId="0DBD7310" w:rsidR="007519E8" w:rsidRDefault="007519E8" w:rsidP="007519E8">
      <w:pPr>
        <w:pStyle w:val="Subhed"/>
        <w:rPr>
          <w:b w:val="0"/>
          <w:bCs/>
        </w:rPr>
      </w:pPr>
      <w:r>
        <w:rPr>
          <w:b w:val="0"/>
          <w:bCs/>
        </w:rPr>
        <w:t>(1)The term “regular assessment” is an aggregation of the following types of assessments as applicable for each grade/ grade group: regular assessment based on grade-level achievement standards, advanced assessment, Innovative Assessment Demonstration Authority (IADA) pilot assessment, high school regular assessment I, high school regular assessment II, high school regular assessment III and locally-selected nationally recognized high school assessment in the prefilled data in this indicator.</w:t>
      </w:r>
      <w:r>
        <w:t xml:space="preserve"> </w:t>
      </w:r>
    </w:p>
    <w:p w14:paraId="1EA160DB" w14:textId="77777777" w:rsidR="00DD5B7A" w:rsidRPr="00781112" w:rsidRDefault="00DD5B7A" w:rsidP="00DD5B7A">
      <w:pPr>
        <w:rPr>
          <w:color w:val="000000" w:themeColor="text1"/>
        </w:rPr>
      </w:pPr>
    </w:p>
    <w:p w14:paraId="300D6CD4" w14:textId="2077F287" w:rsidR="00DD5B7A" w:rsidRPr="00781112" w:rsidRDefault="0047313F" w:rsidP="00DD5B7A">
      <w:pPr>
        <w:rPr>
          <w:b/>
          <w:color w:val="000000" w:themeColor="text1"/>
        </w:rPr>
      </w:pPr>
      <w:r>
        <w:rPr>
          <w:b/>
          <w:color w:val="000000" w:themeColor="text1"/>
        </w:rPr>
        <w:t>FFY 2023 SPP/APR Data: Reading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RDATARLA"/>
      </w:tblPr>
      <w:tblGrid>
        <w:gridCol w:w="715"/>
        <w:gridCol w:w="995"/>
        <w:gridCol w:w="1752"/>
        <w:gridCol w:w="1752"/>
        <w:gridCol w:w="1114"/>
        <w:gridCol w:w="1116"/>
        <w:gridCol w:w="1116"/>
        <w:gridCol w:w="1116"/>
        <w:gridCol w:w="1114"/>
      </w:tblGrid>
      <w:tr w:rsidR="00FA33C9" w:rsidRPr="00781112" w14:paraId="2F7F1DE8" w14:textId="77777777" w:rsidTr="00360DD6">
        <w:trPr>
          <w:tblHeader/>
        </w:trPr>
        <w:tc>
          <w:tcPr>
            <w:tcW w:w="331" w:type="pct"/>
            <w:shd w:val="clear" w:color="auto" w:fill="auto"/>
            <w:vAlign w:val="bottom"/>
          </w:tcPr>
          <w:p w14:paraId="0E14CE7F"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4F428A92" w14:textId="77777777" w:rsidR="00FA33C9" w:rsidRPr="00781112" w:rsidRDefault="00FA33C9" w:rsidP="00FA33C9">
            <w:pPr>
              <w:jc w:val="center"/>
              <w:rPr>
                <w:b/>
                <w:color w:val="000000" w:themeColor="text1"/>
              </w:rPr>
            </w:pPr>
            <w:r w:rsidRPr="00781112">
              <w:rPr>
                <w:b/>
                <w:color w:val="000000" w:themeColor="text1"/>
              </w:rPr>
              <w:t>Group Name</w:t>
            </w:r>
          </w:p>
        </w:tc>
        <w:tc>
          <w:tcPr>
            <w:tcW w:w="812" w:type="pct"/>
            <w:shd w:val="clear" w:color="auto" w:fill="auto"/>
          </w:tcPr>
          <w:p w14:paraId="46CAD1DD" w14:textId="7A73217C"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12" w:type="pct"/>
            <w:shd w:val="clear" w:color="auto" w:fill="auto"/>
          </w:tcPr>
          <w:p w14:paraId="6DE1E86B" w14:textId="68DF8E07"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16" w:type="pct"/>
            <w:shd w:val="clear" w:color="auto" w:fill="auto"/>
            <w:vAlign w:val="bottom"/>
          </w:tcPr>
          <w:p w14:paraId="0E9E489C" w14:textId="349FECC0" w:rsidR="00FA33C9" w:rsidRPr="00073BD7" w:rsidRDefault="00FA33C9" w:rsidP="00FA33C9">
            <w:pPr>
              <w:jc w:val="center"/>
              <w:rPr>
                <w:b/>
                <w:bCs/>
                <w:color w:val="000000" w:themeColor="text1"/>
              </w:rPr>
            </w:pPr>
            <w:r w:rsidRPr="00073BD7">
              <w:rPr>
                <w:b/>
                <w:bCs/>
              </w:rPr>
              <w:t>FFY 2022 Data</w:t>
            </w:r>
          </w:p>
        </w:tc>
        <w:tc>
          <w:tcPr>
            <w:tcW w:w="517" w:type="pct"/>
            <w:shd w:val="clear" w:color="auto" w:fill="auto"/>
            <w:vAlign w:val="bottom"/>
          </w:tcPr>
          <w:p w14:paraId="69544656" w14:textId="764A5511" w:rsidR="00FA33C9" w:rsidRPr="00073BD7" w:rsidRDefault="00FA33C9" w:rsidP="00FA33C9">
            <w:pPr>
              <w:jc w:val="center"/>
              <w:rPr>
                <w:b/>
                <w:bCs/>
                <w:color w:val="000000" w:themeColor="text1"/>
              </w:rPr>
            </w:pPr>
            <w:r w:rsidRPr="00073BD7">
              <w:rPr>
                <w:b/>
                <w:bCs/>
              </w:rPr>
              <w:t>FFY 2023 Target</w:t>
            </w:r>
          </w:p>
        </w:tc>
        <w:tc>
          <w:tcPr>
            <w:tcW w:w="517" w:type="pct"/>
            <w:shd w:val="clear" w:color="auto" w:fill="auto"/>
            <w:vAlign w:val="bottom"/>
          </w:tcPr>
          <w:p w14:paraId="611B3DE3" w14:textId="1CAE6CC8" w:rsidR="00FA33C9" w:rsidRPr="00073BD7" w:rsidRDefault="00FA33C9" w:rsidP="00FA33C9">
            <w:pPr>
              <w:jc w:val="center"/>
              <w:rPr>
                <w:b/>
                <w:bCs/>
                <w:color w:val="000000" w:themeColor="text1"/>
              </w:rPr>
            </w:pPr>
            <w:r w:rsidRPr="00073BD7">
              <w:rPr>
                <w:b/>
                <w:bCs/>
              </w:rPr>
              <w:t>FFY 2023 Data</w:t>
            </w:r>
          </w:p>
        </w:tc>
        <w:tc>
          <w:tcPr>
            <w:tcW w:w="517" w:type="pct"/>
            <w:shd w:val="clear" w:color="auto" w:fill="auto"/>
            <w:vAlign w:val="bottom"/>
          </w:tcPr>
          <w:p w14:paraId="6D2215D6" w14:textId="77777777" w:rsidR="00FA33C9" w:rsidRPr="00781112" w:rsidRDefault="00FA33C9" w:rsidP="00FA33C9">
            <w:pPr>
              <w:jc w:val="center"/>
              <w:rPr>
                <w:b/>
                <w:color w:val="000000" w:themeColor="text1"/>
              </w:rPr>
            </w:pPr>
            <w:r w:rsidRPr="00781112">
              <w:rPr>
                <w:b/>
                <w:color w:val="000000" w:themeColor="text1"/>
              </w:rPr>
              <w:t>Status</w:t>
            </w:r>
          </w:p>
        </w:tc>
        <w:tc>
          <w:tcPr>
            <w:tcW w:w="516" w:type="pct"/>
            <w:shd w:val="clear" w:color="auto" w:fill="auto"/>
            <w:vAlign w:val="bottom"/>
          </w:tcPr>
          <w:p w14:paraId="4FACB3EB" w14:textId="77777777" w:rsidR="00FA33C9" w:rsidRPr="00781112" w:rsidRDefault="00FA33C9" w:rsidP="00FA33C9">
            <w:pPr>
              <w:jc w:val="center"/>
              <w:rPr>
                <w:b/>
                <w:color w:val="000000" w:themeColor="text1"/>
              </w:rPr>
            </w:pPr>
            <w:r w:rsidRPr="00781112">
              <w:rPr>
                <w:b/>
                <w:color w:val="000000" w:themeColor="text1"/>
              </w:rPr>
              <w:t>Slippage</w:t>
            </w:r>
          </w:p>
        </w:tc>
      </w:tr>
      <w:tr w:rsidR="00E22739" w:rsidRPr="00781112" w14:paraId="190DF2EB" w14:textId="77777777" w:rsidTr="00360DD6">
        <w:tc>
          <w:tcPr>
            <w:tcW w:w="331" w:type="pct"/>
            <w:shd w:val="clear" w:color="auto" w:fill="auto"/>
            <w:vAlign w:val="center"/>
          </w:tcPr>
          <w:p w14:paraId="3AAB1776"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50AFDCF6" w14:textId="41D78AC3"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4</w:t>
            </w:r>
          </w:p>
        </w:tc>
        <w:tc>
          <w:tcPr>
            <w:tcW w:w="812" w:type="pct"/>
            <w:shd w:val="clear" w:color="auto" w:fill="auto"/>
          </w:tcPr>
          <w:p w14:paraId="05BCB412" w14:textId="0263BB70" w:rsidR="00E22739" w:rsidRPr="00781112" w:rsidRDefault="00E22739" w:rsidP="00E22739">
            <w:pPr>
              <w:jc w:val="center"/>
              <w:rPr>
                <w:rFonts w:cs="Arial"/>
                <w:color w:val="000000" w:themeColor="text1"/>
                <w:szCs w:val="16"/>
              </w:rPr>
            </w:pPr>
            <w:r w:rsidRPr="00781112">
              <w:rPr>
                <w:rFonts w:cs="Arial"/>
                <w:color w:val="000000"/>
                <w:szCs w:val="16"/>
              </w:rPr>
              <w:t>20.11%</w:t>
            </w:r>
          </w:p>
        </w:tc>
        <w:tc>
          <w:tcPr>
            <w:tcW w:w="812" w:type="pct"/>
            <w:shd w:val="clear" w:color="auto" w:fill="auto"/>
            <w:vAlign w:val="center"/>
          </w:tcPr>
          <w:p w14:paraId="3354BCD4" w14:textId="5A7FC816" w:rsidR="00E22739" w:rsidRPr="00781112" w:rsidRDefault="00E22739" w:rsidP="00E22739">
            <w:pPr>
              <w:jc w:val="center"/>
              <w:rPr>
                <w:rFonts w:cs="Arial"/>
                <w:color w:val="000000" w:themeColor="text1"/>
                <w:szCs w:val="16"/>
              </w:rPr>
            </w:pPr>
            <w:r w:rsidRPr="00781112">
              <w:rPr>
                <w:rFonts w:cs="Arial"/>
                <w:color w:val="000000" w:themeColor="text1"/>
                <w:szCs w:val="16"/>
              </w:rPr>
              <w:t>42.28%</w:t>
            </w:r>
          </w:p>
        </w:tc>
        <w:tc>
          <w:tcPr>
            <w:tcW w:w="516" w:type="pct"/>
            <w:shd w:val="clear" w:color="auto" w:fill="auto"/>
            <w:vAlign w:val="center"/>
          </w:tcPr>
          <w:p w14:paraId="54DCE3E3" w14:textId="767528A8" w:rsidR="00E22739" w:rsidRPr="00781112" w:rsidRDefault="00E22739" w:rsidP="00E22739">
            <w:pPr>
              <w:jc w:val="center"/>
              <w:rPr>
                <w:rFonts w:cs="Arial"/>
                <w:color w:val="000000" w:themeColor="text1"/>
                <w:szCs w:val="16"/>
              </w:rPr>
            </w:pPr>
            <w:r w:rsidRPr="00781112">
              <w:rPr>
                <w:rFonts w:cs="Arial"/>
                <w:color w:val="000000" w:themeColor="text1"/>
                <w:szCs w:val="16"/>
              </w:rPr>
              <w:t>22.57</w:t>
            </w:r>
          </w:p>
        </w:tc>
        <w:tc>
          <w:tcPr>
            <w:tcW w:w="517" w:type="pct"/>
            <w:shd w:val="clear" w:color="auto" w:fill="auto"/>
            <w:vAlign w:val="center"/>
          </w:tcPr>
          <w:p w14:paraId="391F5142" w14:textId="770A7FE0" w:rsidR="00E22739" w:rsidRPr="00781112" w:rsidRDefault="00E22739" w:rsidP="00E22739">
            <w:pPr>
              <w:jc w:val="center"/>
              <w:rPr>
                <w:rFonts w:cs="Arial"/>
                <w:color w:val="000000" w:themeColor="text1"/>
                <w:szCs w:val="16"/>
              </w:rPr>
            </w:pPr>
            <w:r w:rsidRPr="00781112">
              <w:rPr>
                <w:rFonts w:cs="Arial"/>
                <w:color w:val="000000" w:themeColor="text1"/>
                <w:szCs w:val="16"/>
              </w:rPr>
              <w:t>23.11</w:t>
            </w:r>
          </w:p>
        </w:tc>
        <w:tc>
          <w:tcPr>
            <w:tcW w:w="517" w:type="pct"/>
            <w:shd w:val="clear" w:color="auto" w:fill="auto"/>
            <w:vAlign w:val="center"/>
          </w:tcPr>
          <w:p w14:paraId="017D29FF" w14:textId="59A06573" w:rsidR="00E22739" w:rsidRPr="00781112" w:rsidRDefault="00E22739" w:rsidP="00E22739">
            <w:pPr>
              <w:jc w:val="center"/>
              <w:rPr>
                <w:rFonts w:cs="Arial"/>
                <w:color w:val="000000" w:themeColor="text1"/>
                <w:szCs w:val="16"/>
              </w:rPr>
            </w:pPr>
            <w:r w:rsidRPr="00781112">
              <w:rPr>
                <w:rFonts w:cs="Arial"/>
                <w:color w:val="000000" w:themeColor="text1"/>
                <w:szCs w:val="16"/>
              </w:rPr>
              <w:t>22.17</w:t>
            </w:r>
          </w:p>
        </w:tc>
        <w:tc>
          <w:tcPr>
            <w:tcW w:w="517" w:type="pct"/>
            <w:shd w:val="clear" w:color="auto" w:fill="auto"/>
            <w:vAlign w:val="center"/>
          </w:tcPr>
          <w:p w14:paraId="39C0C705" w14:textId="1211FD2B" w:rsidR="00E22739" w:rsidRPr="00781112" w:rsidRDefault="00E22739" w:rsidP="00E22739">
            <w:pPr>
              <w:jc w:val="center"/>
              <w:rPr>
                <w:rFonts w:cs="Arial"/>
                <w:color w:val="000000" w:themeColor="text1"/>
                <w:szCs w:val="16"/>
              </w:rPr>
            </w:pPr>
            <w:r w:rsidRPr="00781112">
              <w:rPr>
                <w:rFonts w:cs="Arial"/>
                <w:color w:val="000000" w:themeColor="text1"/>
                <w:szCs w:val="16"/>
              </w:rPr>
              <w:t>Met target</w:t>
            </w:r>
          </w:p>
        </w:tc>
        <w:tc>
          <w:tcPr>
            <w:tcW w:w="516" w:type="pct"/>
            <w:shd w:val="clear" w:color="auto" w:fill="auto"/>
            <w:vAlign w:val="center"/>
          </w:tcPr>
          <w:p w14:paraId="339FEB2D" w14:textId="0223F58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FDDF1FC" w14:textId="77777777" w:rsidTr="00360DD6">
        <w:tc>
          <w:tcPr>
            <w:tcW w:w="331" w:type="pct"/>
            <w:shd w:val="clear" w:color="auto" w:fill="auto"/>
            <w:vAlign w:val="center"/>
          </w:tcPr>
          <w:p w14:paraId="472CE57B"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206C7DCC" w14:textId="37A252FA"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8</w:t>
            </w:r>
          </w:p>
        </w:tc>
        <w:tc>
          <w:tcPr>
            <w:tcW w:w="812" w:type="pct"/>
            <w:shd w:val="clear" w:color="auto" w:fill="auto"/>
          </w:tcPr>
          <w:p w14:paraId="7D22B3FA" w14:textId="258C0B1D" w:rsidR="00E22739" w:rsidRPr="00781112" w:rsidRDefault="00E22739" w:rsidP="00E22739">
            <w:pPr>
              <w:jc w:val="center"/>
              <w:rPr>
                <w:rFonts w:cs="Arial"/>
                <w:color w:val="000000" w:themeColor="text1"/>
                <w:szCs w:val="16"/>
              </w:rPr>
            </w:pPr>
            <w:r w:rsidRPr="00781112">
              <w:rPr>
                <w:rFonts w:cs="Arial"/>
                <w:color w:val="000000"/>
                <w:szCs w:val="16"/>
              </w:rPr>
              <w:t>13.07%</w:t>
            </w:r>
          </w:p>
        </w:tc>
        <w:tc>
          <w:tcPr>
            <w:tcW w:w="812" w:type="pct"/>
            <w:shd w:val="clear" w:color="auto" w:fill="auto"/>
            <w:vAlign w:val="center"/>
          </w:tcPr>
          <w:p w14:paraId="375F78DA" w14:textId="0FC6397A" w:rsidR="00E22739" w:rsidRPr="00781112" w:rsidRDefault="00E22739" w:rsidP="00E22739">
            <w:pPr>
              <w:jc w:val="center"/>
              <w:rPr>
                <w:rFonts w:cs="Arial"/>
                <w:color w:val="000000" w:themeColor="text1"/>
                <w:szCs w:val="16"/>
              </w:rPr>
            </w:pPr>
            <w:r w:rsidRPr="00781112">
              <w:rPr>
                <w:rFonts w:cs="Arial"/>
                <w:color w:val="000000" w:themeColor="text1"/>
                <w:szCs w:val="16"/>
              </w:rPr>
              <w:t>40.97%</w:t>
            </w:r>
          </w:p>
        </w:tc>
        <w:tc>
          <w:tcPr>
            <w:tcW w:w="516" w:type="pct"/>
            <w:shd w:val="clear" w:color="auto" w:fill="auto"/>
            <w:vAlign w:val="center"/>
          </w:tcPr>
          <w:p w14:paraId="64AC26EC" w14:textId="4F9A3CF6" w:rsidR="00E22739" w:rsidRPr="00781112" w:rsidRDefault="00E22739" w:rsidP="00E22739">
            <w:pPr>
              <w:jc w:val="center"/>
              <w:rPr>
                <w:rFonts w:cs="Arial"/>
                <w:color w:val="000000" w:themeColor="text1"/>
                <w:szCs w:val="16"/>
              </w:rPr>
            </w:pPr>
            <w:r w:rsidRPr="00781112">
              <w:rPr>
                <w:rFonts w:cs="Arial"/>
                <w:color w:val="000000" w:themeColor="text1"/>
                <w:szCs w:val="16"/>
              </w:rPr>
              <w:t>29.77</w:t>
            </w:r>
          </w:p>
        </w:tc>
        <w:tc>
          <w:tcPr>
            <w:tcW w:w="517" w:type="pct"/>
            <w:shd w:val="clear" w:color="auto" w:fill="auto"/>
            <w:vAlign w:val="center"/>
          </w:tcPr>
          <w:p w14:paraId="3B5E22DF" w14:textId="033CD131" w:rsidR="00E22739" w:rsidRPr="00781112" w:rsidRDefault="00E22739" w:rsidP="00E22739">
            <w:pPr>
              <w:jc w:val="center"/>
              <w:rPr>
                <w:rFonts w:cs="Arial"/>
                <w:color w:val="000000" w:themeColor="text1"/>
                <w:szCs w:val="16"/>
              </w:rPr>
            </w:pPr>
            <w:r w:rsidRPr="00781112">
              <w:rPr>
                <w:rFonts w:cs="Arial"/>
                <w:color w:val="000000" w:themeColor="text1"/>
                <w:szCs w:val="16"/>
              </w:rPr>
              <w:t>26.00</w:t>
            </w:r>
          </w:p>
        </w:tc>
        <w:tc>
          <w:tcPr>
            <w:tcW w:w="517" w:type="pct"/>
            <w:shd w:val="clear" w:color="auto" w:fill="auto"/>
            <w:vAlign w:val="center"/>
          </w:tcPr>
          <w:p w14:paraId="256C9782" w14:textId="4BEEC361" w:rsidR="00E22739" w:rsidRPr="00781112" w:rsidRDefault="00E22739" w:rsidP="00E22739">
            <w:pPr>
              <w:jc w:val="center"/>
              <w:rPr>
                <w:rFonts w:cs="Arial"/>
                <w:color w:val="000000" w:themeColor="text1"/>
                <w:szCs w:val="16"/>
              </w:rPr>
            </w:pPr>
            <w:r w:rsidRPr="00781112">
              <w:rPr>
                <w:rFonts w:cs="Arial"/>
                <w:color w:val="000000" w:themeColor="text1"/>
                <w:szCs w:val="16"/>
              </w:rPr>
              <w:t>27.91</w:t>
            </w:r>
          </w:p>
        </w:tc>
        <w:tc>
          <w:tcPr>
            <w:tcW w:w="517" w:type="pct"/>
            <w:shd w:val="clear" w:color="auto" w:fill="auto"/>
            <w:vAlign w:val="center"/>
          </w:tcPr>
          <w:p w14:paraId="51FD2F8A" w14:textId="67567519"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7915AEC0" w14:textId="2BE183B0"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r w:rsidR="00E22739" w:rsidRPr="00781112" w14:paraId="4A60F932" w14:textId="77777777" w:rsidTr="00360DD6">
        <w:tc>
          <w:tcPr>
            <w:tcW w:w="331" w:type="pct"/>
            <w:shd w:val="clear" w:color="auto" w:fill="auto"/>
            <w:vAlign w:val="center"/>
          </w:tcPr>
          <w:p w14:paraId="109942AA" w14:textId="77777777" w:rsidR="00E22739" w:rsidRPr="00781112" w:rsidRDefault="00E22739" w:rsidP="00E22739">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629F3FBC" w14:textId="78934061" w:rsidR="00E22739" w:rsidRPr="00781112" w:rsidDel="00DE5045" w:rsidRDefault="00E22739" w:rsidP="00E22739">
            <w:pPr>
              <w:jc w:val="center"/>
              <w:rPr>
                <w:rFonts w:cs="Arial"/>
                <w:color w:val="000000" w:themeColor="text1"/>
                <w:szCs w:val="16"/>
              </w:rPr>
            </w:pPr>
            <w:r w:rsidRPr="00781112">
              <w:rPr>
                <w:rFonts w:cs="Arial"/>
                <w:color w:val="000000" w:themeColor="text1"/>
                <w:szCs w:val="16"/>
              </w:rPr>
              <w:t>Grade HS</w:t>
            </w:r>
          </w:p>
        </w:tc>
        <w:tc>
          <w:tcPr>
            <w:tcW w:w="812" w:type="pct"/>
            <w:shd w:val="clear" w:color="auto" w:fill="auto"/>
          </w:tcPr>
          <w:p w14:paraId="125CF02F" w14:textId="284CB419" w:rsidR="00E22739" w:rsidRPr="00781112" w:rsidRDefault="00E22739" w:rsidP="00E22739">
            <w:pPr>
              <w:jc w:val="center"/>
              <w:rPr>
                <w:rFonts w:cs="Arial"/>
                <w:color w:val="000000" w:themeColor="text1"/>
                <w:szCs w:val="16"/>
              </w:rPr>
            </w:pPr>
            <w:r w:rsidRPr="00781112">
              <w:rPr>
                <w:rFonts w:cs="Arial"/>
                <w:color w:val="000000"/>
                <w:szCs w:val="16"/>
              </w:rPr>
              <w:t>15.22%</w:t>
            </w:r>
          </w:p>
        </w:tc>
        <w:tc>
          <w:tcPr>
            <w:tcW w:w="812" w:type="pct"/>
            <w:shd w:val="clear" w:color="auto" w:fill="auto"/>
            <w:vAlign w:val="center"/>
          </w:tcPr>
          <w:p w14:paraId="1276E93C" w14:textId="75BFB41B" w:rsidR="00E22739" w:rsidRPr="00781112" w:rsidRDefault="00E22739" w:rsidP="00E22739">
            <w:pPr>
              <w:jc w:val="center"/>
              <w:rPr>
                <w:rFonts w:cs="Arial"/>
                <w:color w:val="000000" w:themeColor="text1"/>
                <w:szCs w:val="16"/>
              </w:rPr>
            </w:pPr>
            <w:r w:rsidRPr="00781112">
              <w:rPr>
                <w:rFonts w:cs="Arial"/>
                <w:color w:val="000000" w:themeColor="text1"/>
                <w:szCs w:val="16"/>
              </w:rPr>
              <w:t>45.56%</w:t>
            </w:r>
          </w:p>
        </w:tc>
        <w:tc>
          <w:tcPr>
            <w:tcW w:w="516" w:type="pct"/>
            <w:shd w:val="clear" w:color="auto" w:fill="auto"/>
            <w:vAlign w:val="center"/>
          </w:tcPr>
          <w:p w14:paraId="76DE5213" w14:textId="3C97B5A2" w:rsidR="00E22739" w:rsidRPr="00781112" w:rsidRDefault="00E22739" w:rsidP="00E22739">
            <w:pPr>
              <w:jc w:val="center"/>
              <w:rPr>
                <w:rFonts w:cs="Arial"/>
                <w:color w:val="000000" w:themeColor="text1"/>
                <w:szCs w:val="16"/>
              </w:rPr>
            </w:pPr>
            <w:r w:rsidRPr="00781112">
              <w:rPr>
                <w:rFonts w:cs="Arial"/>
                <w:color w:val="000000" w:themeColor="text1"/>
                <w:szCs w:val="16"/>
              </w:rPr>
              <w:t>30.80</w:t>
            </w:r>
          </w:p>
        </w:tc>
        <w:tc>
          <w:tcPr>
            <w:tcW w:w="517" w:type="pct"/>
            <w:shd w:val="clear" w:color="auto" w:fill="auto"/>
            <w:vAlign w:val="center"/>
          </w:tcPr>
          <w:p w14:paraId="49FF9458" w14:textId="166D5425" w:rsidR="00E22739" w:rsidRPr="00781112" w:rsidRDefault="00E22739" w:rsidP="00E22739">
            <w:pPr>
              <w:jc w:val="center"/>
              <w:rPr>
                <w:rFonts w:cs="Arial"/>
                <w:color w:val="000000" w:themeColor="text1"/>
                <w:szCs w:val="16"/>
              </w:rPr>
            </w:pPr>
            <w:r w:rsidRPr="00781112">
              <w:rPr>
                <w:rFonts w:cs="Arial"/>
                <w:color w:val="000000" w:themeColor="text1"/>
                <w:szCs w:val="16"/>
              </w:rPr>
              <w:t>27.55</w:t>
            </w:r>
          </w:p>
        </w:tc>
        <w:tc>
          <w:tcPr>
            <w:tcW w:w="517" w:type="pct"/>
            <w:shd w:val="clear" w:color="auto" w:fill="auto"/>
            <w:vAlign w:val="center"/>
          </w:tcPr>
          <w:p w14:paraId="6CEACE1B" w14:textId="242A6B31" w:rsidR="00E22739" w:rsidRPr="00781112" w:rsidRDefault="00E22739" w:rsidP="00E22739">
            <w:pPr>
              <w:jc w:val="center"/>
              <w:rPr>
                <w:rFonts w:cs="Arial"/>
                <w:color w:val="000000" w:themeColor="text1"/>
                <w:szCs w:val="16"/>
              </w:rPr>
            </w:pPr>
            <w:r w:rsidRPr="00781112">
              <w:rPr>
                <w:rFonts w:cs="Arial"/>
                <w:color w:val="000000" w:themeColor="text1"/>
                <w:szCs w:val="16"/>
              </w:rPr>
              <w:t>30.34</w:t>
            </w:r>
          </w:p>
        </w:tc>
        <w:tc>
          <w:tcPr>
            <w:tcW w:w="517" w:type="pct"/>
            <w:shd w:val="clear" w:color="auto" w:fill="auto"/>
            <w:vAlign w:val="center"/>
          </w:tcPr>
          <w:p w14:paraId="06F1CF5C" w14:textId="7AA9C548" w:rsidR="00E22739" w:rsidRPr="00781112" w:rsidRDefault="00E22739" w:rsidP="00E22739">
            <w:pPr>
              <w:jc w:val="center"/>
              <w:rPr>
                <w:rFonts w:cs="Arial"/>
                <w:color w:val="000000" w:themeColor="text1"/>
                <w:szCs w:val="16"/>
              </w:rPr>
            </w:pPr>
            <w:r w:rsidRPr="00781112">
              <w:rPr>
                <w:rFonts w:cs="Arial"/>
                <w:color w:val="000000" w:themeColor="text1"/>
                <w:szCs w:val="16"/>
              </w:rPr>
              <w:t>Did not meet target</w:t>
            </w:r>
          </w:p>
        </w:tc>
        <w:tc>
          <w:tcPr>
            <w:tcW w:w="516" w:type="pct"/>
            <w:shd w:val="clear" w:color="auto" w:fill="auto"/>
            <w:vAlign w:val="center"/>
          </w:tcPr>
          <w:p w14:paraId="05AC9F1E" w14:textId="1D3DD5BD" w:rsidR="00E22739" w:rsidRPr="00781112" w:rsidRDefault="00E22739" w:rsidP="00E22739">
            <w:pPr>
              <w:jc w:val="center"/>
              <w:rPr>
                <w:rFonts w:cs="Arial"/>
                <w:color w:val="000000" w:themeColor="text1"/>
                <w:szCs w:val="16"/>
              </w:rPr>
            </w:pPr>
            <w:r w:rsidRPr="00781112">
              <w:rPr>
                <w:rFonts w:cs="Arial"/>
                <w:color w:val="000000" w:themeColor="text1"/>
                <w:szCs w:val="16"/>
              </w:rPr>
              <w:t>No Slippage</w:t>
            </w:r>
          </w:p>
        </w:tc>
      </w:tr>
    </w:tbl>
    <w:p w14:paraId="006E999D" w14:textId="77777777" w:rsidR="00DD5B7A" w:rsidRPr="00781112" w:rsidRDefault="00DD5B7A" w:rsidP="00FE4611">
      <w:pPr>
        <w:spacing w:before="0" w:after="0" w:line="276" w:lineRule="auto"/>
        <w:rPr>
          <w:b/>
          <w:color w:val="000000" w:themeColor="text1"/>
        </w:rPr>
      </w:pPr>
    </w:p>
    <w:p w14:paraId="2E07CCBD" w14:textId="6A8FF504" w:rsidR="00DD5B7A" w:rsidRPr="00781112" w:rsidRDefault="0047313F" w:rsidP="00DD5B7A">
      <w:pPr>
        <w:rPr>
          <w:b/>
          <w:color w:val="000000" w:themeColor="text1"/>
        </w:rPr>
      </w:pPr>
      <w:r>
        <w:rPr>
          <w:b/>
          <w:color w:val="000000" w:themeColor="text1"/>
        </w:rPr>
        <w:t>FFY 2023 SPP/APR Data: Math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3DFFYAPDATAMTH"/>
      </w:tblPr>
      <w:tblGrid>
        <w:gridCol w:w="715"/>
        <w:gridCol w:w="995"/>
        <w:gridCol w:w="1800"/>
        <w:gridCol w:w="1800"/>
        <w:gridCol w:w="1096"/>
        <w:gridCol w:w="1096"/>
        <w:gridCol w:w="1096"/>
        <w:gridCol w:w="1096"/>
        <w:gridCol w:w="1096"/>
      </w:tblGrid>
      <w:tr w:rsidR="00FA33C9" w:rsidRPr="00781112" w14:paraId="6355AB57" w14:textId="77777777" w:rsidTr="001B7E95">
        <w:trPr>
          <w:tblHeader/>
        </w:trPr>
        <w:tc>
          <w:tcPr>
            <w:tcW w:w="331" w:type="pct"/>
            <w:shd w:val="clear" w:color="auto" w:fill="auto"/>
            <w:vAlign w:val="bottom"/>
          </w:tcPr>
          <w:p w14:paraId="7C464B0B" w14:textId="77777777" w:rsidR="00FA33C9" w:rsidRPr="00781112" w:rsidRDefault="00FA33C9" w:rsidP="00FA33C9">
            <w:pPr>
              <w:jc w:val="center"/>
              <w:rPr>
                <w:b/>
                <w:color w:val="000000" w:themeColor="text1"/>
              </w:rPr>
            </w:pPr>
            <w:r w:rsidRPr="00781112">
              <w:rPr>
                <w:b/>
                <w:color w:val="000000" w:themeColor="text1"/>
              </w:rPr>
              <w:t>Group</w:t>
            </w:r>
          </w:p>
        </w:tc>
        <w:tc>
          <w:tcPr>
            <w:tcW w:w="461" w:type="pct"/>
            <w:shd w:val="clear" w:color="auto" w:fill="auto"/>
            <w:vAlign w:val="bottom"/>
          </w:tcPr>
          <w:p w14:paraId="2FB9EF47" w14:textId="77777777" w:rsidR="00FA33C9" w:rsidRPr="00781112" w:rsidRDefault="00FA33C9" w:rsidP="00FA33C9">
            <w:pPr>
              <w:jc w:val="center"/>
              <w:rPr>
                <w:b/>
                <w:color w:val="000000" w:themeColor="text1"/>
              </w:rPr>
            </w:pPr>
            <w:r w:rsidRPr="00781112">
              <w:rPr>
                <w:b/>
                <w:color w:val="000000" w:themeColor="text1"/>
              </w:rPr>
              <w:t>Group Name</w:t>
            </w:r>
          </w:p>
        </w:tc>
        <w:tc>
          <w:tcPr>
            <w:tcW w:w="834" w:type="pct"/>
            <w:shd w:val="clear" w:color="auto" w:fill="auto"/>
            <w:vAlign w:val="bottom"/>
          </w:tcPr>
          <w:p w14:paraId="0B1D45D9" w14:textId="51C28093" w:rsidR="00FA33C9" w:rsidRPr="00781112" w:rsidRDefault="00FA33C9" w:rsidP="00FA33C9">
            <w:pPr>
              <w:jc w:val="center"/>
              <w:rPr>
                <w:b/>
                <w:bCs/>
                <w:color w:val="000000" w:themeColor="text1"/>
              </w:rPr>
            </w:pPr>
            <w:r w:rsidRPr="00781112">
              <w:rPr>
                <w:b/>
                <w:bCs/>
              </w:rPr>
              <w:t xml:space="preserve">Proficiency rate for children with IEPs scoring at or above proficient against grade level academic achievement standards </w:t>
            </w:r>
          </w:p>
        </w:tc>
        <w:tc>
          <w:tcPr>
            <w:tcW w:w="834" w:type="pct"/>
            <w:shd w:val="clear" w:color="auto" w:fill="auto"/>
            <w:vAlign w:val="bottom"/>
          </w:tcPr>
          <w:p w14:paraId="7D0D3B25" w14:textId="708C001A" w:rsidR="00FA33C9" w:rsidRPr="00781112" w:rsidRDefault="00FA33C9" w:rsidP="00FA33C9">
            <w:pPr>
              <w:jc w:val="center"/>
              <w:rPr>
                <w:b/>
                <w:bCs/>
                <w:color w:val="000000" w:themeColor="text1"/>
              </w:rPr>
            </w:pPr>
            <w:r w:rsidRPr="00781112">
              <w:rPr>
                <w:b/>
                <w:bCs/>
              </w:rPr>
              <w:t xml:space="preserve">Proficiency rate for all students scoring at or above proficient against grade level academic achievement standards </w:t>
            </w:r>
          </w:p>
        </w:tc>
        <w:tc>
          <w:tcPr>
            <w:tcW w:w="508" w:type="pct"/>
            <w:shd w:val="clear" w:color="auto" w:fill="auto"/>
            <w:vAlign w:val="bottom"/>
          </w:tcPr>
          <w:p w14:paraId="7FA2E5CF" w14:textId="2FB79BC8" w:rsidR="00FA33C9" w:rsidRPr="00073BD7" w:rsidRDefault="00FA33C9" w:rsidP="00FA33C9">
            <w:pPr>
              <w:jc w:val="center"/>
              <w:rPr>
                <w:b/>
                <w:bCs/>
                <w:color w:val="000000" w:themeColor="text1"/>
              </w:rPr>
            </w:pPr>
            <w:r w:rsidRPr="00073BD7">
              <w:rPr>
                <w:b/>
                <w:bCs/>
              </w:rPr>
              <w:t>FFY 2022 Data</w:t>
            </w:r>
          </w:p>
        </w:tc>
        <w:tc>
          <w:tcPr>
            <w:tcW w:w="508" w:type="pct"/>
            <w:shd w:val="clear" w:color="auto" w:fill="auto"/>
            <w:vAlign w:val="bottom"/>
          </w:tcPr>
          <w:p w14:paraId="275741A5" w14:textId="31E00EC4" w:rsidR="00FA33C9" w:rsidRPr="00073BD7" w:rsidRDefault="00FA33C9" w:rsidP="00FA33C9">
            <w:pPr>
              <w:jc w:val="center"/>
              <w:rPr>
                <w:b/>
                <w:bCs/>
                <w:color w:val="000000" w:themeColor="text1"/>
              </w:rPr>
            </w:pPr>
            <w:r w:rsidRPr="00073BD7">
              <w:rPr>
                <w:b/>
                <w:bCs/>
              </w:rPr>
              <w:t>FFY 2023 Target</w:t>
            </w:r>
          </w:p>
        </w:tc>
        <w:tc>
          <w:tcPr>
            <w:tcW w:w="508" w:type="pct"/>
            <w:shd w:val="clear" w:color="auto" w:fill="auto"/>
            <w:vAlign w:val="bottom"/>
          </w:tcPr>
          <w:p w14:paraId="597E0BC4" w14:textId="7BA33723" w:rsidR="00FA33C9" w:rsidRPr="00073BD7" w:rsidRDefault="00FA33C9" w:rsidP="00FA33C9">
            <w:pPr>
              <w:jc w:val="center"/>
              <w:rPr>
                <w:b/>
                <w:bCs/>
                <w:color w:val="000000" w:themeColor="text1"/>
              </w:rPr>
            </w:pPr>
            <w:r w:rsidRPr="00073BD7">
              <w:rPr>
                <w:b/>
                <w:bCs/>
              </w:rPr>
              <w:t>FFY 2023 Data</w:t>
            </w:r>
          </w:p>
        </w:tc>
        <w:tc>
          <w:tcPr>
            <w:tcW w:w="508" w:type="pct"/>
            <w:shd w:val="clear" w:color="auto" w:fill="auto"/>
            <w:vAlign w:val="bottom"/>
          </w:tcPr>
          <w:p w14:paraId="53963A37" w14:textId="77777777" w:rsidR="00FA33C9" w:rsidRPr="00781112" w:rsidRDefault="00FA33C9" w:rsidP="00FA33C9">
            <w:pPr>
              <w:jc w:val="center"/>
              <w:rPr>
                <w:b/>
                <w:color w:val="000000" w:themeColor="text1"/>
              </w:rPr>
            </w:pPr>
            <w:r w:rsidRPr="00781112">
              <w:rPr>
                <w:b/>
                <w:color w:val="000000" w:themeColor="text1"/>
              </w:rPr>
              <w:t>Status</w:t>
            </w:r>
          </w:p>
        </w:tc>
        <w:tc>
          <w:tcPr>
            <w:tcW w:w="508" w:type="pct"/>
            <w:shd w:val="clear" w:color="auto" w:fill="auto"/>
            <w:vAlign w:val="bottom"/>
          </w:tcPr>
          <w:p w14:paraId="45442BEB" w14:textId="77777777" w:rsidR="00FA33C9" w:rsidRPr="00781112" w:rsidRDefault="00FA33C9" w:rsidP="00FA33C9">
            <w:pPr>
              <w:jc w:val="center"/>
              <w:rPr>
                <w:b/>
                <w:color w:val="000000" w:themeColor="text1"/>
              </w:rPr>
            </w:pPr>
            <w:r w:rsidRPr="00781112">
              <w:rPr>
                <w:b/>
                <w:color w:val="000000" w:themeColor="text1"/>
              </w:rPr>
              <w:t>Slippage</w:t>
            </w:r>
          </w:p>
        </w:tc>
      </w:tr>
      <w:tr w:rsidR="00C95D2E" w:rsidRPr="00781112" w14:paraId="37123996" w14:textId="77777777" w:rsidTr="001B7E95">
        <w:tc>
          <w:tcPr>
            <w:tcW w:w="331" w:type="pct"/>
            <w:shd w:val="clear" w:color="auto" w:fill="auto"/>
            <w:vAlign w:val="center"/>
          </w:tcPr>
          <w:p w14:paraId="689B01B1"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A</w:t>
            </w:r>
          </w:p>
        </w:tc>
        <w:tc>
          <w:tcPr>
            <w:tcW w:w="461" w:type="pct"/>
            <w:shd w:val="clear" w:color="auto" w:fill="auto"/>
            <w:vAlign w:val="center"/>
          </w:tcPr>
          <w:p w14:paraId="1D9CE262" w14:textId="508A4023"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4</w:t>
            </w:r>
          </w:p>
        </w:tc>
        <w:tc>
          <w:tcPr>
            <w:tcW w:w="834" w:type="pct"/>
            <w:shd w:val="clear" w:color="auto" w:fill="auto"/>
            <w:vAlign w:val="center"/>
          </w:tcPr>
          <w:p w14:paraId="26A57F7A" w14:textId="09E9CA5E" w:rsidR="002A19C8" w:rsidRPr="00781112" w:rsidRDefault="002A19C8" w:rsidP="002A19C8">
            <w:pPr>
              <w:jc w:val="center"/>
              <w:rPr>
                <w:rFonts w:cs="Arial"/>
                <w:color w:val="000000" w:themeColor="text1"/>
                <w:szCs w:val="16"/>
              </w:rPr>
            </w:pPr>
            <w:r w:rsidRPr="00781112">
              <w:rPr>
                <w:rFonts w:cs="Arial"/>
                <w:color w:val="000000"/>
                <w:szCs w:val="16"/>
              </w:rPr>
              <w:t>20.00%</w:t>
            </w:r>
          </w:p>
        </w:tc>
        <w:tc>
          <w:tcPr>
            <w:tcW w:w="834" w:type="pct"/>
            <w:shd w:val="clear" w:color="auto" w:fill="auto"/>
            <w:vAlign w:val="center"/>
          </w:tcPr>
          <w:p w14:paraId="361835CD" w14:textId="59029D06" w:rsidR="002A19C8" w:rsidRPr="00781112" w:rsidRDefault="002A19C8" w:rsidP="002A19C8">
            <w:pPr>
              <w:jc w:val="center"/>
              <w:rPr>
                <w:rFonts w:cs="Arial"/>
                <w:color w:val="000000" w:themeColor="text1"/>
                <w:szCs w:val="16"/>
              </w:rPr>
            </w:pPr>
            <w:r w:rsidRPr="00781112">
              <w:rPr>
                <w:rFonts w:cs="Arial"/>
                <w:color w:val="000000" w:themeColor="text1"/>
                <w:szCs w:val="16"/>
              </w:rPr>
              <w:t>37.68%</w:t>
            </w:r>
          </w:p>
        </w:tc>
        <w:tc>
          <w:tcPr>
            <w:tcW w:w="508" w:type="pct"/>
            <w:shd w:val="clear" w:color="auto" w:fill="auto"/>
            <w:vAlign w:val="center"/>
          </w:tcPr>
          <w:p w14:paraId="59D4C214" w14:textId="5AA8261A" w:rsidR="002A19C8" w:rsidRPr="00781112" w:rsidRDefault="002A19C8" w:rsidP="002A19C8">
            <w:pPr>
              <w:jc w:val="center"/>
              <w:rPr>
                <w:rFonts w:cs="Arial"/>
                <w:color w:val="000000" w:themeColor="text1"/>
                <w:szCs w:val="16"/>
              </w:rPr>
            </w:pPr>
            <w:r w:rsidRPr="00781112">
              <w:rPr>
                <w:rFonts w:cs="Arial"/>
                <w:color w:val="000000" w:themeColor="text1"/>
                <w:szCs w:val="16"/>
              </w:rPr>
              <w:t>18.39</w:t>
            </w:r>
          </w:p>
        </w:tc>
        <w:tc>
          <w:tcPr>
            <w:tcW w:w="508" w:type="pct"/>
            <w:shd w:val="clear" w:color="auto" w:fill="auto"/>
            <w:vAlign w:val="center"/>
          </w:tcPr>
          <w:p w14:paraId="5226537A" w14:textId="04AA78B1" w:rsidR="002A19C8" w:rsidRPr="00781112" w:rsidRDefault="002A19C8" w:rsidP="002A19C8">
            <w:pPr>
              <w:jc w:val="center"/>
              <w:rPr>
                <w:rFonts w:cs="Arial"/>
                <w:color w:val="000000" w:themeColor="text1"/>
                <w:szCs w:val="16"/>
              </w:rPr>
            </w:pPr>
            <w:r w:rsidRPr="00781112">
              <w:rPr>
                <w:rFonts w:cs="Arial"/>
                <w:color w:val="000000" w:themeColor="text1"/>
                <w:szCs w:val="16"/>
              </w:rPr>
              <w:t>16.18</w:t>
            </w:r>
          </w:p>
        </w:tc>
        <w:tc>
          <w:tcPr>
            <w:tcW w:w="508" w:type="pct"/>
            <w:shd w:val="clear" w:color="auto" w:fill="auto"/>
            <w:vAlign w:val="center"/>
          </w:tcPr>
          <w:p w14:paraId="235D63D6" w14:textId="6BEC0204" w:rsidR="002A19C8" w:rsidRPr="00781112" w:rsidRDefault="002A19C8" w:rsidP="002A19C8">
            <w:pPr>
              <w:jc w:val="center"/>
              <w:rPr>
                <w:rFonts w:cs="Arial"/>
                <w:color w:val="000000" w:themeColor="text1"/>
                <w:szCs w:val="16"/>
              </w:rPr>
            </w:pPr>
            <w:r w:rsidRPr="00781112">
              <w:rPr>
                <w:rFonts w:cs="Arial"/>
                <w:color w:val="000000" w:themeColor="text1"/>
                <w:szCs w:val="16"/>
              </w:rPr>
              <w:t>17.68</w:t>
            </w:r>
          </w:p>
        </w:tc>
        <w:tc>
          <w:tcPr>
            <w:tcW w:w="508" w:type="pct"/>
            <w:shd w:val="clear" w:color="auto" w:fill="auto"/>
            <w:vAlign w:val="center"/>
          </w:tcPr>
          <w:p w14:paraId="50CBCD87" w14:textId="7E9D9F0C"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35988424" w14:textId="54CE90DF"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0DE5EFED" w14:textId="77777777" w:rsidTr="001B7E95">
        <w:tc>
          <w:tcPr>
            <w:tcW w:w="331" w:type="pct"/>
            <w:shd w:val="clear" w:color="auto" w:fill="auto"/>
            <w:vAlign w:val="center"/>
          </w:tcPr>
          <w:p w14:paraId="51380788"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B</w:t>
            </w:r>
          </w:p>
        </w:tc>
        <w:tc>
          <w:tcPr>
            <w:tcW w:w="461" w:type="pct"/>
            <w:shd w:val="clear" w:color="auto" w:fill="auto"/>
            <w:vAlign w:val="center"/>
          </w:tcPr>
          <w:p w14:paraId="6D85D6A7" w14:textId="5558F45F"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8</w:t>
            </w:r>
          </w:p>
        </w:tc>
        <w:tc>
          <w:tcPr>
            <w:tcW w:w="834" w:type="pct"/>
            <w:shd w:val="clear" w:color="auto" w:fill="auto"/>
            <w:vAlign w:val="center"/>
          </w:tcPr>
          <w:p w14:paraId="4288B43D" w14:textId="3B77409B" w:rsidR="002A19C8" w:rsidRPr="00781112" w:rsidRDefault="002A19C8" w:rsidP="002A19C8">
            <w:pPr>
              <w:jc w:val="center"/>
              <w:rPr>
                <w:rFonts w:cs="Arial"/>
                <w:color w:val="000000" w:themeColor="text1"/>
                <w:szCs w:val="16"/>
              </w:rPr>
            </w:pPr>
            <w:r w:rsidRPr="00781112">
              <w:rPr>
                <w:rFonts w:cs="Arial"/>
                <w:color w:val="000000"/>
                <w:szCs w:val="16"/>
              </w:rPr>
              <w:t>8.08%</w:t>
            </w:r>
          </w:p>
        </w:tc>
        <w:tc>
          <w:tcPr>
            <w:tcW w:w="834" w:type="pct"/>
            <w:shd w:val="clear" w:color="auto" w:fill="auto"/>
            <w:vAlign w:val="center"/>
          </w:tcPr>
          <w:p w14:paraId="11774D79" w14:textId="6519EED1" w:rsidR="002A19C8" w:rsidRPr="00781112" w:rsidRDefault="002A19C8" w:rsidP="002A19C8">
            <w:pPr>
              <w:jc w:val="center"/>
              <w:rPr>
                <w:rFonts w:cs="Arial"/>
                <w:color w:val="000000" w:themeColor="text1"/>
                <w:szCs w:val="16"/>
              </w:rPr>
            </w:pPr>
            <w:r w:rsidRPr="00781112">
              <w:rPr>
                <w:rFonts w:cs="Arial"/>
                <w:color w:val="000000" w:themeColor="text1"/>
                <w:szCs w:val="16"/>
              </w:rPr>
              <w:t>26.42%</w:t>
            </w:r>
          </w:p>
        </w:tc>
        <w:tc>
          <w:tcPr>
            <w:tcW w:w="508" w:type="pct"/>
            <w:shd w:val="clear" w:color="auto" w:fill="auto"/>
            <w:vAlign w:val="center"/>
          </w:tcPr>
          <w:p w14:paraId="28E3CF1C" w14:textId="69751C29" w:rsidR="002A19C8" w:rsidRPr="00781112" w:rsidRDefault="002A19C8" w:rsidP="002A19C8">
            <w:pPr>
              <w:jc w:val="center"/>
              <w:rPr>
                <w:rFonts w:cs="Arial"/>
                <w:color w:val="000000" w:themeColor="text1"/>
                <w:szCs w:val="16"/>
              </w:rPr>
            </w:pPr>
            <w:r w:rsidRPr="00781112">
              <w:rPr>
                <w:rFonts w:cs="Arial"/>
                <w:color w:val="000000" w:themeColor="text1"/>
                <w:szCs w:val="16"/>
              </w:rPr>
              <w:t>18.99</w:t>
            </w:r>
          </w:p>
        </w:tc>
        <w:tc>
          <w:tcPr>
            <w:tcW w:w="508" w:type="pct"/>
            <w:shd w:val="clear" w:color="auto" w:fill="auto"/>
            <w:vAlign w:val="center"/>
          </w:tcPr>
          <w:p w14:paraId="468D28D5" w14:textId="3BD9025E" w:rsidR="002A19C8" w:rsidRPr="00781112" w:rsidRDefault="002A19C8" w:rsidP="002A19C8">
            <w:pPr>
              <w:jc w:val="center"/>
              <w:rPr>
                <w:rFonts w:cs="Arial"/>
                <w:color w:val="000000" w:themeColor="text1"/>
                <w:szCs w:val="16"/>
              </w:rPr>
            </w:pPr>
            <w:r w:rsidRPr="00781112">
              <w:rPr>
                <w:rFonts w:cs="Arial"/>
                <w:color w:val="000000" w:themeColor="text1"/>
                <w:szCs w:val="16"/>
              </w:rPr>
              <w:t>17.00</w:t>
            </w:r>
          </w:p>
        </w:tc>
        <w:tc>
          <w:tcPr>
            <w:tcW w:w="508" w:type="pct"/>
            <w:shd w:val="clear" w:color="auto" w:fill="auto"/>
            <w:vAlign w:val="center"/>
          </w:tcPr>
          <w:p w14:paraId="30644E0B" w14:textId="37C215BA" w:rsidR="002A19C8" w:rsidRPr="00781112" w:rsidRDefault="002A19C8" w:rsidP="002A19C8">
            <w:pPr>
              <w:jc w:val="center"/>
              <w:rPr>
                <w:rFonts w:cs="Arial"/>
                <w:color w:val="000000" w:themeColor="text1"/>
                <w:szCs w:val="16"/>
              </w:rPr>
            </w:pPr>
            <w:r w:rsidRPr="00781112">
              <w:rPr>
                <w:rFonts w:cs="Arial"/>
                <w:color w:val="000000" w:themeColor="text1"/>
                <w:szCs w:val="16"/>
              </w:rPr>
              <w:t>18.34</w:t>
            </w:r>
          </w:p>
        </w:tc>
        <w:tc>
          <w:tcPr>
            <w:tcW w:w="508" w:type="pct"/>
            <w:shd w:val="clear" w:color="auto" w:fill="auto"/>
            <w:vAlign w:val="center"/>
          </w:tcPr>
          <w:p w14:paraId="1312CD99" w14:textId="5541B25D" w:rsidR="002A19C8" w:rsidRPr="00781112" w:rsidRDefault="002A19C8" w:rsidP="002A19C8">
            <w:pPr>
              <w:jc w:val="center"/>
              <w:rPr>
                <w:rFonts w:cs="Arial"/>
                <w:color w:val="000000" w:themeColor="text1"/>
                <w:szCs w:val="16"/>
              </w:rPr>
            </w:pPr>
            <w:r w:rsidRPr="00781112">
              <w:rPr>
                <w:rFonts w:cs="Arial"/>
                <w:color w:val="000000" w:themeColor="text1"/>
                <w:szCs w:val="16"/>
              </w:rPr>
              <w:t>Did not meet target</w:t>
            </w:r>
          </w:p>
        </w:tc>
        <w:tc>
          <w:tcPr>
            <w:tcW w:w="508" w:type="pct"/>
            <w:shd w:val="clear" w:color="auto" w:fill="auto"/>
            <w:vAlign w:val="center"/>
          </w:tcPr>
          <w:p w14:paraId="536612A4" w14:textId="60F48CB2"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r w:rsidR="00C95D2E" w:rsidRPr="00781112" w14:paraId="36AFD504" w14:textId="77777777" w:rsidTr="001B7E95">
        <w:tc>
          <w:tcPr>
            <w:tcW w:w="331" w:type="pct"/>
            <w:shd w:val="clear" w:color="auto" w:fill="auto"/>
            <w:vAlign w:val="center"/>
          </w:tcPr>
          <w:p w14:paraId="4932227A" w14:textId="77777777" w:rsidR="002A19C8" w:rsidRPr="00781112" w:rsidRDefault="002A19C8" w:rsidP="002A19C8">
            <w:pPr>
              <w:pStyle w:val="Default"/>
              <w:jc w:val="center"/>
              <w:rPr>
                <w:rFonts w:eastAsiaTheme="minorHAnsi"/>
                <w:color w:val="000000" w:themeColor="text1"/>
                <w:sz w:val="16"/>
                <w:szCs w:val="16"/>
              </w:rPr>
            </w:pPr>
            <w:r w:rsidRPr="00781112">
              <w:rPr>
                <w:b/>
                <w:color w:val="000000" w:themeColor="text1"/>
                <w:sz w:val="16"/>
                <w:szCs w:val="16"/>
              </w:rPr>
              <w:t>C</w:t>
            </w:r>
          </w:p>
        </w:tc>
        <w:tc>
          <w:tcPr>
            <w:tcW w:w="461" w:type="pct"/>
            <w:shd w:val="clear" w:color="auto" w:fill="auto"/>
            <w:vAlign w:val="center"/>
          </w:tcPr>
          <w:p w14:paraId="236171D2" w14:textId="335C29F0" w:rsidR="002A19C8" w:rsidRPr="00781112" w:rsidDel="00DE5045" w:rsidRDefault="002A19C8" w:rsidP="002A19C8">
            <w:pPr>
              <w:jc w:val="center"/>
              <w:rPr>
                <w:rFonts w:cs="Arial"/>
                <w:color w:val="000000" w:themeColor="text1"/>
                <w:szCs w:val="16"/>
              </w:rPr>
            </w:pPr>
            <w:r w:rsidRPr="00781112">
              <w:rPr>
                <w:rFonts w:cs="Arial"/>
                <w:color w:val="000000" w:themeColor="text1"/>
                <w:szCs w:val="16"/>
              </w:rPr>
              <w:t>Grade HS</w:t>
            </w:r>
          </w:p>
        </w:tc>
        <w:tc>
          <w:tcPr>
            <w:tcW w:w="834" w:type="pct"/>
            <w:shd w:val="clear" w:color="auto" w:fill="auto"/>
            <w:vAlign w:val="center"/>
          </w:tcPr>
          <w:p w14:paraId="6C585469" w14:textId="27CFD453" w:rsidR="002A19C8" w:rsidRPr="00781112" w:rsidRDefault="002A19C8" w:rsidP="002A19C8">
            <w:pPr>
              <w:jc w:val="center"/>
              <w:rPr>
                <w:rFonts w:cs="Arial"/>
                <w:color w:val="000000" w:themeColor="text1"/>
                <w:szCs w:val="16"/>
              </w:rPr>
            </w:pPr>
            <w:r w:rsidRPr="00781112">
              <w:rPr>
                <w:rFonts w:cs="Arial"/>
                <w:color w:val="000000"/>
                <w:szCs w:val="16"/>
              </w:rPr>
              <w:t>4.84%</w:t>
            </w:r>
          </w:p>
        </w:tc>
        <w:tc>
          <w:tcPr>
            <w:tcW w:w="834" w:type="pct"/>
            <w:shd w:val="clear" w:color="auto" w:fill="auto"/>
            <w:vAlign w:val="center"/>
          </w:tcPr>
          <w:p w14:paraId="13AB3928" w14:textId="234CBFA8" w:rsidR="002A19C8" w:rsidRPr="00781112" w:rsidRDefault="002A19C8" w:rsidP="002A19C8">
            <w:pPr>
              <w:jc w:val="center"/>
              <w:rPr>
                <w:rFonts w:cs="Arial"/>
                <w:color w:val="000000" w:themeColor="text1"/>
                <w:szCs w:val="16"/>
              </w:rPr>
            </w:pPr>
            <w:r w:rsidRPr="00781112">
              <w:rPr>
                <w:rFonts w:cs="Arial"/>
                <w:color w:val="000000" w:themeColor="text1"/>
                <w:szCs w:val="16"/>
              </w:rPr>
              <w:t>20.07%</w:t>
            </w:r>
          </w:p>
        </w:tc>
        <w:tc>
          <w:tcPr>
            <w:tcW w:w="508" w:type="pct"/>
            <w:shd w:val="clear" w:color="auto" w:fill="auto"/>
            <w:vAlign w:val="center"/>
          </w:tcPr>
          <w:p w14:paraId="2ABC747F" w14:textId="158D9570" w:rsidR="002A19C8" w:rsidRPr="00781112" w:rsidRDefault="002A19C8" w:rsidP="002A19C8">
            <w:pPr>
              <w:jc w:val="center"/>
              <w:rPr>
                <w:rFonts w:cs="Arial"/>
                <w:color w:val="000000" w:themeColor="text1"/>
                <w:szCs w:val="16"/>
              </w:rPr>
            </w:pPr>
            <w:r w:rsidRPr="00781112">
              <w:rPr>
                <w:rFonts w:cs="Arial"/>
                <w:color w:val="000000" w:themeColor="text1"/>
                <w:szCs w:val="16"/>
              </w:rPr>
              <w:t>16.71</w:t>
            </w:r>
          </w:p>
        </w:tc>
        <w:tc>
          <w:tcPr>
            <w:tcW w:w="508" w:type="pct"/>
            <w:shd w:val="clear" w:color="auto" w:fill="auto"/>
            <w:vAlign w:val="center"/>
          </w:tcPr>
          <w:p w14:paraId="1ACDF21F" w14:textId="6248B4E9" w:rsidR="002A19C8" w:rsidRPr="00781112" w:rsidRDefault="002A19C8" w:rsidP="002A19C8">
            <w:pPr>
              <w:jc w:val="center"/>
              <w:rPr>
                <w:rFonts w:cs="Arial"/>
                <w:color w:val="000000" w:themeColor="text1"/>
                <w:szCs w:val="16"/>
              </w:rPr>
            </w:pPr>
            <w:r w:rsidRPr="00781112">
              <w:rPr>
                <w:rFonts w:cs="Arial"/>
                <w:color w:val="000000" w:themeColor="text1"/>
                <w:szCs w:val="16"/>
              </w:rPr>
              <w:t>17.76</w:t>
            </w:r>
          </w:p>
        </w:tc>
        <w:tc>
          <w:tcPr>
            <w:tcW w:w="508" w:type="pct"/>
            <w:shd w:val="clear" w:color="auto" w:fill="auto"/>
            <w:vAlign w:val="center"/>
          </w:tcPr>
          <w:p w14:paraId="69CE5BC3" w14:textId="39D166D6" w:rsidR="002A19C8" w:rsidRPr="00781112" w:rsidRDefault="002A19C8" w:rsidP="002A19C8">
            <w:pPr>
              <w:jc w:val="center"/>
              <w:rPr>
                <w:rFonts w:cs="Arial"/>
                <w:color w:val="000000" w:themeColor="text1"/>
                <w:szCs w:val="16"/>
              </w:rPr>
            </w:pPr>
            <w:r w:rsidRPr="00781112">
              <w:rPr>
                <w:rFonts w:cs="Arial"/>
                <w:color w:val="000000" w:themeColor="text1"/>
                <w:szCs w:val="16"/>
              </w:rPr>
              <w:t>15.23</w:t>
            </w:r>
          </w:p>
        </w:tc>
        <w:tc>
          <w:tcPr>
            <w:tcW w:w="508" w:type="pct"/>
            <w:shd w:val="clear" w:color="auto" w:fill="auto"/>
            <w:vAlign w:val="center"/>
          </w:tcPr>
          <w:p w14:paraId="2CA33323" w14:textId="59FD6DC7" w:rsidR="002A19C8" w:rsidRPr="00781112" w:rsidRDefault="002A19C8" w:rsidP="002A19C8">
            <w:pPr>
              <w:jc w:val="center"/>
              <w:rPr>
                <w:rFonts w:cs="Arial"/>
                <w:color w:val="000000" w:themeColor="text1"/>
                <w:szCs w:val="16"/>
              </w:rPr>
            </w:pPr>
            <w:r w:rsidRPr="00781112">
              <w:rPr>
                <w:rFonts w:cs="Arial"/>
                <w:color w:val="000000" w:themeColor="text1"/>
                <w:szCs w:val="16"/>
              </w:rPr>
              <w:t>Met target</w:t>
            </w:r>
          </w:p>
        </w:tc>
        <w:tc>
          <w:tcPr>
            <w:tcW w:w="508" w:type="pct"/>
            <w:shd w:val="clear" w:color="auto" w:fill="auto"/>
            <w:vAlign w:val="center"/>
          </w:tcPr>
          <w:p w14:paraId="0BEDA3C1" w14:textId="6A01F324" w:rsidR="002A19C8" w:rsidRPr="00781112" w:rsidRDefault="002A19C8" w:rsidP="002A19C8">
            <w:pPr>
              <w:jc w:val="center"/>
              <w:rPr>
                <w:rFonts w:cs="Arial"/>
                <w:color w:val="000000" w:themeColor="text1"/>
                <w:szCs w:val="16"/>
              </w:rPr>
            </w:pPr>
            <w:r w:rsidRPr="00781112">
              <w:rPr>
                <w:rFonts w:cs="Arial"/>
                <w:color w:val="000000" w:themeColor="text1"/>
                <w:szCs w:val="16"/>
              </w:rPr>
              <w:t>No Slippage</w:t>
            </w:r>
          </w:p>
        </w:tc>
      </w:tr>
    </w:tbl>
    <w:p w14:paraId="67B1DC74" w14:textId="77777777" w:rsidR="00DD5B7A" w:rsidRPr="00781112" w:rsidRDefault="00DD5B7A" w:rsidP="00FE4611">
      <w:pPr>
        <w:spacing w:before="0" w:after="0" w:line="276" w:lineRule="auto"/>
        <w:rPr>
          <w:b/>
          <w:color w:val="000000" w:themeColor="text1"/>
        </w:rPr>
      </w:pPr>
    </w:p>
    <w:p w14:paraId="2FF851DB" w14:textId="77777777" w:rsidR="00DD5B7A" w:rsidRPr="00781112" w:rsidRDefault="00DD5B7A" w:rsidP="00DD5B7A">
      <w:pPr>
        <w:rPr>
          <w:b/>
          <w:color w:val="000000" w:themeColor="text1"/>
        </w:rPr>
      </w:pPr>
      <w:r w:rsidRPr="00781112">
        <w:rPr>
          <w:b/>
          <w:color w:val="000000" w:themeColor="text1"/>
        </w:rPr>
        <w:t>Provide additional information about this indicator (optional)</w:t>
      </w:r>
    </w:p>
    <w:p w14:paraId="646908D0" w14:textId="2EB40E98" w:rsidR="00DD5B7A" w:rsidRPr="00781112" w:rsidRDefault="00DD5B7A" w:rsidP="00DD5B7A">
      <w:pPr>
        <w:rPr>
          <w:rFonts w:cs="Arial"/>
          <w:color w:val="000000" w:themeColor="text1"/>
          <w:szCs w:val="16"/>
        </w:rPr>
      </w:pPr>
    </w:p>
    <w:p w14:paraId="2ABFD82D" w14:textId="77777777" w:rsidR="00764DDE" w:rsidRPr="00781112" w:rsidRDefault="00764DDE" w:rsidP="00FE4611">
      <w:pPr>
        <w:spacing w:before="0" w:after="0" w:line="276" w:lineRule="auto"/>
        <w:rPr>
          <w:color w:val="000000" w:themeColor="text1"/>
          <w:szCs w:val="16"/>
        </w:rPr>
      </w:pPr>
    </w:p>
    <w:p w14:paraId="1CD50F37" w14:textId="6334E2E5" w:rsidR="00764DDE" w:rsidRPr="00781112" w:rsidRDefault="00764DDE" w:rsidP="005B40C0">
      <w:pPr>
        <w:pStyle w:val="Heading3"/>
      </w:pPr>
      <w:r w:rsidRPr="00781112">
        <w:t>3D - Prior FFY Required Actions</w:t>
      </w:r>
    </w:p>
    <w:p w14:paraId="34B574CB" w14:textId="14B02F6F" w:rsidR="00764DDE" w:rsidRPr="00781112" w:rsidRDefault="00764DDE" w:rsidP="00764DDE">
      <w:pPr>
        <w:rPr>
          <w:rFonts w:cs="Arial"/>
          <w:color w:val="000000" w:themeColor="text1"/>
          <w:szCs w:val="16"/>
        </w:rPr>
      </w:pPr>
      <w:r w:rsidRPr="00781112">
        <w:rPr>
          <w:rFonts w:cs="Arial"/>
          <w:color w:val="000000" w:themeColor="text1"/>
          <w:szCs w:val="16"/>
        </w:rPr>
        <w:t>None</w:t>
      </w:r>
    </w:p>
    <w:p w14:paraId="02AADAEE" w14:textId="09BE2C66" w:rsidR="00764DDE" w:rsidRPr="00781112" w:rsidRDefault="00764DDE" w:rsidP="005B40C0">
      <w:pPr>
        <w:pStyle w:val="Heading3"/>
      </w:pPr>
      <w:r w:rsidRPr="00781112">
        <w:t>3D - OSEP Response</w:t>
      </w:r>
    </w:p>
    <w:p w14:paraId="6F9D8957" w14:textId="2AADB119" w:rsidR="00764DDE" w:rsidRPr="00781112" w:rsidRDefault="00764DDE" w:rsidP="00764DDE">
      <w:pPr>
        <w:rPr>
          <w:rFonts w:cs="Arial"/>
          <w:color w:val="000000" w:themeColor="text1"/>
          <w:szCs w:val="16"/>
        </w:rPr>
      </w:pPr>
    </w:p>
    <w:p w14:paraId="09AAC73F" w14:textId="7E96F305" w:rsidR="00764DDE" w:rsidRPr="00781112" w:rsidRDefault="00764DDE" w:rsidP="005B40C0">
      <w:pPr>
        <w:pStyle w:val="Heading3"/>
      </w:pPr>
      <w:r w:rsidRPr="00781112">
        <w:t>3D - Required Actions</w:t>
      </w:r>
    </w:p>
    <w:p w14:paraId="77AA7102" w14:textId="5725FBB6" w:rsidR="00764DDE" w:rsidRPr="00781112" w:rsidRDefault="00764DDE" w:rsidP="00764DDE">
      <w:pPr>
        <w:rPr>
          <w:rFonts w:cs="Arial"/>
          <w:color w:val="000000" w:themeColor="text1"/>
          <w:szCs w:val="16"/>
        </w:rPr>
      </w:pPr>
    </w:p>
    <w:p w14:paraId="72857535" w14:textId="77777777" w:rsidR="00764DDE" w:rsidRPr="00781112" w:rsidRDefault="00764DDE">
      <w:pPr>
        <w:spacing w:before="0" w:after="200" w:line="276" w:lineRule="auto"/>
        <w:rPr>
          <w:rFonts w:eastAsiaTheme="majorEastAsia" w:cstheme="majorBidi"/>
          <w:b/>
          <w:bCs/>
          <w:color w:val="000000" w:themeColor="text1"/>
          <w:sz w:val="22"/>
          <w:szCs w:val="28"/>
        </w:rPr>
      </w:pPr>
      <w:r w:rsidRPr="00781112">
        <w:rPr>
          <w:color w:val="000000" w:themeColor="text1"/>
          <w:sz w:val="22"/>
        </w:rPr>
        <w:br w:type="page"/>
      </w:r>
    </w:p>
    <w:p w14:paraId="1E2B07DD" w14:textId="7F0EB6BD" w:rsidR="00D03701" w:rsidRPr="00781112" w:rsidRDefault="00D03701" w:rsidP="005B40C0">
      <w:pPr>
        <w:pStyle w:val="Heading2"/>
      </w:pPr>
      <w:r w:rsidRPr="00781112">
        <w:rPr>
          <w:color w:val="000000" w:themeColor="text1"/>
          <w:sz w:val="22"/>
        </w:rPr>
        <w:lastRenderedPageBreak/>
        <w:t>Indicator 4A: Suspension/Expulsion</w:t>
      </w:r>
      <w:bookmarkEnd w:id="18"/>
      <w:bookmarkEnd w:id="19"/>
    </w:p>
    <w:p w14:paraId="6B24B370" w14:textId="6D3787F6" w:rsidR="006E5AE4" w:rsidRPr="002C274F" w:rsidRDefault="006E5AE4" w:rsidP="002C274F">
      <w:pPr>
        <w:rPr>
          <w:b/>
          <w:bCs/>
          <w:sz w:val="20"/>
          <w:szCs w:val="20"/>
        </w:rPr>
      </w:pPr>
      <w:bookmarkStart w:id="21" w:name="_Toc384383331"/>
      <w:bookmarkStart w:id="22" w:name="_Toc392159283"/>
      <w:r w:rsidRPr="002C274F">
        <w:rPr>
          <w:b/>
          <w:bCs/>
          <w:sz w:val="20"/>
          <w:szCs w:val="20"/>
        </w:rPr>
        <w:t xml:space="preserve">Instructions and Measurement </w:t>
      </w:r>
    </w:p>
    <w:p w14:paraId="73D979E8" w14:textId="6D1D1338" w:rsidR="00DD1D55" w:rsidRPr="00781112" w:rsidRDefault="00DD1D55"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1281AA40" w14:textId="5BDAB0D4" w:rsidR="000A5A2E" w:rsidRPr="00781112" w:rsidRDefault="00DD1D55" w:rsidP="00286BDF">
      <w:pPr>
        <w:rPr>
          <w:rFonts w:cs="Arial"/>
          <w:color w:val="000000" w:themeColor="text1"/>
          <w:szCs w:val="16"/>
        </w:rPr>
      </w:pPr>
      <w:r w:rsidRPr="00781112">
        <w:rPr>
          <w:rFonts w:cs="Arial"/>
          <w:b/>
          <w:color w:val="000000" w:themeColor="text1"/>
          <w:szCs w:val="16"/>
        </w:rPr>
        <w:t>Results Indicator:</w:t>
      </w:r>
      <w:r w:rsidR="00286BDF" w:rsidRPr="00781112">
        <w:rPr>
          <w:rFonts w:cs="Arial"/>
          <w:color w:val="000000" w:themeColor="text1"/>
          <w:szCs w:val="16"/>
        </w:rPr>
        <w:t xml:space="preserve"> </w:t>
      </w:r>
      <w:r w:rsidR="000A5A2E" w:rsidRPr="00781112">
        <w:rPr>
          <w:rFonts w:cs="Arial"/>
          <w:color w:val="000000" w:themeColor="text1"/>
          <w:szCs w:val="16"/>
        </w:rPr>
        <w:t>Rates of suspension and expulsion:</w:t>
      </w:r>
    </w:p>
    <w:p w14:paraId="075F6BB9" w14:textId="62CB55C8" w:rsidR="000A5A2E" w:rsidRPr="00781112" w:rsidRDefault="001D5BAF" w:rsidP="006A01BD">
      <w:pPr>
        <w:ind w:left="720"/>
        <w:rPr>
          <w:color w:val="000000" w:themeColor="text1"/>
        </w:rPr>
      </w:pPr>
      <w:r w:rsidRPr="00781112">
        <w:rPr>
          <w:rFonts w:cs="Arial"/>
          <w:color w:val="000000" w:themeColor="text1"/>
          <w:szCs w:val="16"/>
        </w:rPr>
        <w:t xml:space="preserve">A. Percent of </w:t>
      </w:r>
      <w:r w:rsidR="00752D76" w:rsidRPr="00781112">
        <w:rPr>
          <w:rFonts w:cs="Arial"/>
          <w:szCs w:val="16"/>
        </w:rPr>
        <w:t>local educational agencies (LEA)</w:t>
      </w:r>
      <w:r w:rsidRPr="00781112">
        <w:rPr>
          <w:rFonts w:cs="Arial"/>
          <w:color w:val="000000" w:themeColor="text1"/>
          <w:szCs w:val="16"/>
        </w:rPr>
        <w:t xml:space="preserve"> that have a significant discrepancy</w:t>
      </w:r>
      <w:r w:rsidR="00F46CC4" w:rsidRPr="00781112">
        <w:rPr>
          <w:rFonts w:cs="Arial"/>
          <w:szCs w:val="16"/>
        </w:rPr>
        <w:t>, as defined by the State,</w:t>
      </w:r>
      <w:r w:rsidRPr="00781112">
        <w:rPr>
          <w:rFonts w:cs="Arial"/>
          <w:color w:val="000000" w:themeColor="text1"/>
          <w:szCs w:val="16"/>
        </w:rPr>
        <w:t xml:space="preserve"> in the rate of suspensions and expulsions of greater than 10 days in a school </w:t>
      </w:r>
      <w:r w:rsidR="00DD1D55" w:rsidRPr="00781112">
        <w:rPr>
          <w:color w:val="000000" w:themeColor="text1"/>
        </w:rPr>
        <w:t>year for children with IEPs</w:t>
      </w:r>
      <w:r w:rsidR="00E97863" w:rsidRPr="00781112">
        <w:rPr>
          <w:color w:val="000000" w:themeColor="text1"/>
        </w:rPr>
        <w:t>; and</w:t>
      </w:r>
    </w:p>
    <w:p w14:paraId="269BA1CE" w14:textId="0C66D8C5" w:rsidR="00E97863" w:rsidRPr="002529C8" w:rsidRDefault="00BA66ED" w:rsidP="002529C8">
      <w:pPr>
        <w:ind w:left="720"/>
        <w:rPr>
          <w:rFonts w:cs="Arial"/>
          <w:szCs w:val="16"/>
        </w:rPr>
      </w:pPr>
      <w:r w:rsidRPr="00781112">
        <w:rPr>
          <w:rFonts w:cs="Arial"/>
          <w:color w:val="000000" w:themeColor="text1"/>
          <w:szCs w:val="16"/>
        </w:rPr>
        <w:t xml:space="preserve">B. </w:t>
      </w:r>
      <w:r w:rsidR="00E97863" w:rsidRPr="00856B0E">
        <w:rPr>
          <w:rFonts w:cs="Arial"/>
          <w:szCs w:val="16"/>
        </w:rPr>
        <w:t>Percent of LEAs that have:</w:t>
      </w:r>
      <w:r w:rsidR="00E97863" w:rsidRPr="00781112">
        <w:rPr>
          <w:rFonts w:cs="Arial"/>
          <w:szCs w:val="16"/>
        </w:rPr>
        <w:t xml:space="preserve"> (a) a significant discrepancy, as defined by the State, by race or ethnicity, in the rate of suspensions and</w:t>
      </w:r>
      <w:r w:rsidR="002529C8">
        <w:rPr>
          <w:rFonts w:cs="Arial"/>
          <w:szCs w:val="16"/>
        </w:rPr>
        <w:t xml:space="preserve"> </w:t>
      </w:r>
      <w:r w:rsidR="00E97863" w:rsidRPr="002529C8">
        <w:rPr>
          <w:rFonts w:cs="Arial"/>
          <w:szCs w:val="16"/>
        </w:rPr>
        <w:t>expulsions of greater than 10 days in a school year for</w:t>
      </w:r>
      <w:r w:rsidR="002529C8">
        <w:rPr>
          <w:rFonts w:cs="Arial"/>
          <w:szCs w:val="16"/>
        </w:rPr>
        <w:t xml:space="preserve"> </w:t>
      </w:r>
      <w:r w:rsidR="00E97863" w:rsidRPr="002529C8">
        <w:rPr>
          <w:rFonts w:cs="Arial"/>
          <w:szCs w:val="16"/>
        </w:rPr>
        <w:t>children with IEPs; and (b) policies, procedures or practices that contribute to the significant discrepancy, as defined by the State, and do not comply with requirements relating to the development</w:t>
      </w:r>
      <w:r w:rsidR="002529C8">
        <w:rPr>
          <w:rFonts w:cs="Arial"/>
          <w:szCs w:val="16"/>
        </w:rPr>
        <w:t xml:space="preserve"> </w:t>
      </w:r>
      <w:r w:rsidR="00E97863" w:rsidRPr="002529C8">
        <w:rPr>
          <w:rFonts w:cs="Arial"/>
          <w:szCs w:val="16"/>
        </w:rPr>
        <w:t>and implementation of IEPs, the use of positive behavioral interventions and supports, and procedural safeguards.</w:t>
      </w:r>
    </w:p>
    <w:p w14:paraId="104900D3" w14:textId="4D6824EB"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09801465" w14:textId="77777777" w:rsidR="000A5A2E" w:rsidRPr="00781112" w:rsidRDefault="000A5A2E" w:rsidP="004369B2">
      <w:pPr>
        <w:rPr>
          <w:color w:val="000000" w:themeColor="text1"/>
        </w:rPr>
      </w:pPr>
      <w:r w:rsidRPr="00781112">
        <w:rPr>
          <w:b/>
          <w:color w:val="000000" w:themeColor="text1"/>
        </w:rPr>
        <w:t>Data Source</w:t>
      </w:r>
    </w:p>
    <w:p w14:paraId="06368193" w14:textId="2006ADF5" w:rsidR="000A5A2E" w:rsidRPr="00781112" w:rsidRDefault="000A5A2E" w:rsidP="00286BDF">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74159870" w14:textId="77777777" w:rsidR="000A5A2E" w:rsidRPr="00781112" w:rsidRDefault="000A5A2E" w:rsidP="004369B2">
      <w:pPr>
        <w:rPr>
          <w:color w:val="000000" w:themeColor="text1"/>
        </w:rPr>
      </w:pPr>
      <w:r w:rsidRPr="00781112">
        <w:rPr>
          <w:b/>
          <w:color w:val="000000" w:themeColor="text1"/>
        </w:rPr>
        <w:t>Measurement</w:t>
      </w:r>
    </w:p>
    <w:p w14:paraId="5CD903C0" w14:textId="4C799C0D" w:rsidR="000A5A2E" w:rsidRPr="00781112" w:rsidRDefault="000A5A2E"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of </w:t>
      </w:r>
      <w:r w:rsidR="00315E88"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that meet the State-established n</w:t>
      </w:r>
      <w:r w:rsidR="0087130D" w:rsidRPr="00781112">
        <w:rPr>
          <w:rFonts w:cs="Arial"/>
          <w:color w:val="000000" w:themeColor="text1"/>
          <w:szCs w:val="16"/>
          <w:shd w:val="clear" w:color="auto" w:fill="FFFFFF"/>
        </w:rPr>
        <w:t xml:space="preserve"> </w:t>
      </w:r>
      <w:r w:rsidR="0087130D" w:rsidRPr="00781112">
        <w:rPr>
          <w:rFonts w:cs="Arial"/>
          <w:szCs w:val="16"/>
          <w:shd w:val="clear" w:color="auto" w:fill="FFFFFF"/>
        </w:rPr>
        <w:t>and/or cell</w:t>
      </w:r>
      <w:r w:rsidRPr="00781112">
        <w:rPr>
          <w:rFonts w:cs="Arial"/>
          <w:color w:val="000000" w:themeColor="text1"/>
          <w:szCs w:val="16"/>
          <w:shd w:val="clear" w:color="auto" w:fill="FFFFFF"/>
        </w:rPr>
        <w:t xml:space="preserve"> size (if applicable) that have a significant discrepancy</w:t>
      </w:r>
      <w:r w:rsidR="00770816" w:rsidRPr="00781112">
        <w:rPr>
          <w:rFonts w:cs="Arial"/>
          <w:color w:val="000000" w:themeColor="text1"/>
          <w:szCs w:val="16"/>
          <w:shd w:val="clear" w:color="auto" w:fill="FFFFFF"/>
        </w:rPr>
        <w:t xml:space="preserve">, </w:t>
      </w:r>
      <w:r w:rsidR="00770816" w:rsidRPr="00781112">
        <w:rPr>
          <w:rFonts w:cs="Arial"/>
          <w:szCs w:val="16"/>
          <w:shd w:val="clear" w:color="auto" w:fill="FFFFFF"/>
        </w:rPr>
        <w:t>as defined by the State,</w:t>
      </w:r>
      <w:r w:rsidRPr="00781112">
        <w:rPr>
          <w:rFonts w:cs="Arial"/>
          <w:color w:val="000000" w:themeColor="text1"/>
          <w:szCs w:val="16"/>
          <w:shd w:val="clear" w:color="auto" w:fill="FFFFFF"/>
        </w:rPr>
        <w:t xml:space="preserve"> in the rates of suspensions and expulsions for </w:t>
      </w:r>
      <w:r w:rsidR="001F6583"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1F6583" w:rsidRPr="00781112">
        <w:rPr>
          <w:rFonts w:cs="Arial"/>
          <w:color w:val="000000" w:themeColor="text1"/>
          <w:szCs w:val="16"/>
          <w:shd w:val="clear" w:color="auto" w:fill="FFFFFF"/>
        </w:rPr>
        <w:t xml:space="preserve">during </w:t>
      </w:r>
      <w:r w:rsidR="00041274" w:rsidRPr="00781112">
        <w:rPr>
          <w:rFonts w:cs="Arial"/>
          <w:color w:val="000000" w:themeColor="text1"/>
          <w:szCs w:val="16"/>
          <w:shd w:val="clear" w:color="auto" w:fill="FFFFFF"/>
        </w:rPr>
        <w:t xml:space="preserve">the </w:t>
      </w:r>
      <w:r w:rsidRPr="00781112">
        <w:rPr>
          <w:rFonts w:cs="Arial"/>
          <w:color w:val="000000" w:themeColor="text1"/>
          <w:szCs w:val="16"/>
          <w:shd w:val="clear" w:color="auto" w:fill="FFFFFF"/>
        </w:rPr>
        <w:t xml:space="preserve">school year of children with IEPs) divided by the (# of </w:t>
      </w:r>
      <w:r w:rsidR="00041274"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in the State that meet the State-established n</w:t>
      </w:r>
      <w:r w:rsidR="00041274" w:rsidRPr="00781112">
        <w:rPr>
          <w:rFonts w:cs="Arial"/>
          <w:color w:val="000000" w:themeColor="text1"/>
          <w:szCs w:val="16"/>
          <w:shd w:val="clear" w:color="auto" w:fill="FFFFFF"/>
        </w:rPr>
        <w:t xml:space="preserve"> and</w:t>
      </w:r>
      <w:r w:rsidR="00742DCB" w:rsidRPr="00781112">
        <w:rPr>
          <w:rFonts w:cs="Arial"/>
          <w:color w:val="000000" w:themeColor="text1"/>
          <w:szCs w:val="16"/>
          <w:shd w:val="clear" w:color="auto" w:fill="FFFFFF"/>
        </w:rPr>
        <w:t>/or cell</w:t>
      </w:r>
      <w:r w:rsidRPr="00781112">
        <w:rPr>
          <w:rFonts w:cs="Arial"/>
          <w:color w:val="000000" w:themeColor="text1"/>
          <w:szCs w:val="16"/>
          <w:shd w:val="clear" w:color="auto" w:fill="FFFFFF"/>
        </w:rPr>
        <w:t xml:space="preserve"> size (if applicable))</w:t>
      </w:r>
      <w:r w:rsidR="009B02BC"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4D7272B6" w14:textId="2A0B0F5F" w:rsidR="00636061" w:rsidRPr="00781112" w:rsidRDefault="00636061"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0C71C487" w14:textId="316E6449" w:rsidR="000A5A2E" w:rsidRPr="00781112" w:rsidRDefault="000A5A2E" w:rsidP="004369B2">
      <w:pPr>
        <w:rPr>
          <w:color w:val="000000" w:themeColor="text1"/>
        </w:rPr>
      </w:pPr>
      <w:r w:rsidRPr="00781112">
        <w:rPr>
          <w:b/>
          <w:color w:val="000000" w:themeColor="text1"/>
        </w:rPr>
        <w:t>Instructions</w:t>
      </w:r>
    </w:p>
    <w:p w14:paraId="18E15195" w14:textId="34D92C48" w:rsidR="00E6260F" w:rsidRDefault="00636061" w:rsidP="00E6260F">
      <w:pPr>
        <w:rPr>
          <w:rFonts w:cs="Arial"/>
          <w:szCs w:val="16"/>
        </w:rPr>
      </w:pPr>
      <w:r w:rsidRPr="00781112">
        <w:rPr>
          <w:rFonts w:cs="Arial"/>
          <w:color w:val="000000" w:themeColor="text1"/>
          <w:szCs w:val="16"/>
        </w:rPr>
        <w:t xml:space="preserve">If the State has established a minimum n and/or cell size requirement, the State </w:t>
      </w:r>
      <w:r w:rsidR="00E6260F">
        <w:rPr>
          <w:rFonts w:cs="Arial"/>
          <w:szCs w:val="16"/>
        </w:rPr>
        <w:t xml:space="preserve">must provide a definition of its minimum n and/or cell size itself and a description thereof </w:t>
      </w:r>
      <w:r w:rsidR="00E6260F" w:rsidRPr="00814333">
        <w:rPr>
          <w:rFonts w:cs="Arial"/>
          <w:szCs w:val="16"/>
        </w:rPr>
        <w:t xml:space="preserve">(e.g., a State’s n size of 15 represents the number of children with disabilities enrolled in an LEA, and a State’s cell size of 5 </w:t>
      </w:r>
      <w:r w:rsidR="00E6260F">
        <w:rPr>
          <w:rFonts w:cs="Arial"/>
          <w:szCs w:val="16"/>
        </w:rPr>
        <w:t>r</w:t>
      </w:r>
      <w:r w:rsidR="00E6260F" w:rsidRPr="00814333">
        <w:rPr>
          <w:rFonts w:cs="Arial"/>
          <w:szCs w:val="16"/>
        </w:rPr>
        <w:t xml:space="preserve">epresents the number of children with disabilities who have received out-of-school suspensions and expulsions of more than 10 days within the LEA). </w:t>
      </w:r>
    </w:p>
    <w:p w14:paraId="170374C2" w14:textId="77777777" w:rsidR="00E6260F" w:rsidRPr="00A70EDD" w:rsidRDefault="00E6260F" w:rsidP="00E6260F">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The State must also indicate whether the minimum n and/or cell size represents a change from the prior SPP/APR reporting period. If so, the State must provide an explanation why the minimum n and/or cell size was changed.</w:t>
      </w:r>
    </w:p>
    <w:p w14:paraId="7AA2EFB8" w14:textId="77777777" w:rsidR="00E6260F" w:rsidRDefault="00E6260F" w:rsidP="00E6260F">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3AD8FD7E" w14:textId="40B51621" w:rsidR="00636061" w:rsidRPr="00781112" w:rsidRDefault="00A14B5D" w:rsidP="00BB7BC9">
      <w:pPr>
        <w:rPr>
          <w:rFonts w:cs="Arial"/>
          <w:color w:val="000000" w:themeColor="text1"/>
          <w:szCs w:val="16"/>
        </w:rPr>
      </w:pPr>
      <w:r w:rsidRPr="00781112">
        <w:rPr>
          <w:rFonts w:cs="Arial"/>
          <w:color w:val="000000" w:themeColor="text1"/>
          <w:szCs w:val="16"/>
        </w:rPr>
        <w:t>Describe the results of the State’s examination of the data for the year before the reporting year (e.g., for the FFY 2023 SPP/APR, use data from 2022-2023), including data disaggregated by race and ethnicity to determine if significant discrepancies</w:t>
      </w:r>
      <w:r w:rsidR="001E6FDD" w:rsidRPr="00781112">
        <w:rPr>
          <w:rFonts w:cs="Arial"/>
          <w:szCs w:val="16"/>
        </w:rPr>
        <w:t xml:space="preserve">, as defined by the State, </w:t>
      </w:r>
      <w:r w:rsidRPr="00781112">
        <w:rPr>
          <w:rFonts w:cs="Arial"/>
          <w:color w:val="000000" w:themeColor="text1"/>
          <w:szCs w:val="16"/>
        </w:rPr>
        <w:t xml:space="preserve">are occurring in the rates of long-term suspensions and expulsions </w:t>
      </w:r>
      <w:r w:rsidR="00E14C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p>
    <w:p w14:paraId="4D5D1D9E" w14:textId="7E1ED7D6" w:rsidR="00636061" w:rsidRPr="00781112" w:rsidRDefault="00E52C16" w:rsidP="006A01BD">
      <w:pPr>
        <w:ind w:firstLine="720"/>
        <w:rPr>
          <w:rFonts w:cs="Arial"/>
          <w:color w:val="000000" w:themeColor="text1"/>
          <w:szCs w:val="16"/>
        </w:rPr>
      </w:pPr>
      <w:r>
        <w:rPr>
          <w:rFonts w:cs="Arial"/>
          <w:color w:val="000000" w:themeColor="text1"/>
          <w:szCs w:val="16"/>
        </w:rPr>
        <w:t>-- Option 1: The rates of suspensions and expulsions for children with IEPs among LEAs within the State; or</w:t>
      </w:r>
    </w:p>
    <w:p w14:paraId="671599A1" w14:textId="004B2382" w:rsidR="00636061" w:rsidRPr="00781112" w:rsidRDefault="00E52C16" w:rsidP="00BA3DBE">
      <w:pPr>
        <w:ind w:left="720"/>
        <w:rPr>
          <w:rFonts w:cs="Arial"/>
          <w:color w:val="000000" w:themeColor="text1"/>
          <w:szCs w:val="16"/>
        </w:rPr>
      </w:pPr>
      <w:r>
        <w:rPr>
          <w:rFonts w:cs="Arial"/>
          <w:color w:val="000000" w:themeColor="text1"/>
          <w:szCs w:val="16"/>
        </w:rPr>
        <w:t xml:space="preserve">-- Option 2: The rates of suspensions and expulsions for children with IEPs to </w:t>
      </w:r>
      <w:bookmarkStart w:id="23" w:name="_Hlk150863518"/>
      <w:r w:rsidR="00F65586">
        <w:rPr>
          <w:rFonts w:cs="Arial"/>
          <w:color w:val="000000" w:themeColor="text1"/>
          <w:szCs w:val="16"/>
        </w:rPr>
        <w:t>rates of suspensions and expulsions for</w:t>
      </w:r>
      <w:r w:rsidR="006279F2" w:rsidRPr="00781112">
        <w:rPr>
          <w:rFonts w:cs="Arial"/>
          <w:color w:val="000000" w:themeColor="text1"/>
          <w:szCs w:val="16"/>
        </w:rPr>
        <w:t xml:space="preserve"> </w:t>
      </w:r>
      <w:bookmarkEnd w:id="23"/>
      <w:r w:rsidR="006279F2" w:rsidRPr="00781112">
        <w:rPr>
          <w:rFonts w:cs="Arial"/>
          <w:color w:val="000000" w:themeColor="text1"/>
          <w:szCs w:val="16"/>
        </w:rPr>
        <w:t>nondisabled children within the</w:t>
      </w:r>
      <w:r w:rsidR="00F65586">
        <w:rPr>
          <w:rFonts w:cs="Arial"/>
          <w:color w:val="000000" w:themeColor="text1"/>
          <w:szCs w:val="16"/>
        </w:rPr>
        <w:t xml:space="preserve"> </w:t>
      </w:r>
      <w:r w:rsidR="006279F2" w:rsidRPr="00781112">
        <w:rPr>
          <w:rFonts w:cs="Arial"/>
          <w:color w:val="000000" w:themeColor="text1"/>
          <w:szCs w:val="16"/>
        </w:rPr>
        <w:t>LEAs</w:t>
      </w:r>
      <w:r w:rsidR="00F65586">
        <w:rPr>
          <w:rFonts w:cs="Arial"/>
          <w:color w:val="000000" w:themeColor="text1"/>
          <w:szCs w:val="16"/>
        </w:rPr>
        <w:t>.</w:t>
      </w:r>
    </w:p>
    <w:p w14:paraId="64CB6014" w14:textId="58F4D965" w:rsidR="00636061" w:rsidRPr="00781112" w:rsidRDefault="00636061"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4C45CFCB" w14:textId="77777777" w:rsidR="00E6260F" w:rsidRPr="00CF3FE6" w:rsidRDefault="00E6260F" w:rsidP="00E6260F">
      <w:pPr>
        <w:rPr>
          <w:rFonts w:cs="Arial"/>
          <w:szCs w:val="16"/>
        </w:rPr>
      </w:pPr>
      <w:r w:rsidRPr="00F800E4">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4DE22542" w14:textId="77777777" w:rsidR="00E6260F" w:rsidRDefault="00E6260F" w:rsidP="00E6260F">
      <w:pPr>
        <w:rPr>
          <w:rFonts w:cs="Arial"/>
          <w:szCs w:val="16"/>
        </w:rPr>
      </w:pPr>
      <w:r w:rsidRPr="00CF3FE6">
        <w:rPr>
          <w:rFonts w:cs="Arial"/>
          <w:szCs w:val="16"/>
        </w:rPr>
        <w:t>If, under Option 2, the State uses a rate difference to compare the rates of long-term suspensions and expulsions for children with IEPs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to long-term suspensions and expulsions rate for nondisabled children is greater than 3.0, the State must provide OSEP with the rate ratio of 3.0).</w:t>
      </w:r>
    </w:p>
    <w:p w14:paraId="222C5D4B" w14:textId="0DC60F50" w:rsidR="004F019B" w:rsidRPr="00781112" w:rsidRDefault="004F019B" w:rsidP="00E6260F">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2022-2023 school year, those 100 LEAs would have reported section 618 data in 2022-2023 on the number of children suspended/expelled. If the State then opens 15 new LEAs in 2023-2024, suspension/expulsion data from those 15 new LEAs would not be in the 2022-2023 section 618 data set, and therefore, those 15 new LEAs should not be included in the denominator of the calculation. States must use the number of LEAs from the year before the reporting year in its calculation for this indicator. For the FFY 2023 SPP/APR submission, States must use the number of LEAs reported in 2022-2023 (which can be found in the FFY 2022 SPP/APR introduction).</w:t>
      </w:r>
    </w:p>
    <w:p w14:paraId="2CD8E267" w14:textId="1590FF94" w:rsidR="00636061" w:rsidRPr="00781112" w:rsidRDefault="00636061" w:rsidP="00BB7BC9">
      <w:pPr>
        <w:rPr>
          <w:rFonts w:cs="Arial"/>
          <w:color w:val="000000" w:themeColor="text1"/>
          <w:szCs w:val="16"/>
        </w:rPr>
      </w:pPr>
      <w:r w:rsidRPr="00781112">
        <w:rPr>
          <w:rFonts w:cs="Arial"/>
          <w:color w:val="000000" w:themeColor="text1"/>
          <w:szCs w:val="16"/>
        </w:rPr>
        <w:t>Indicator 4A: Provide the actual numbers used in the calculation (based upon LEAs that met the minimum n and/or cell size requirement, if applicable). If significant discrepancies occurred, describe how the State educational agency reviewed and, if appropriate, revised (or required the affected local educational agency to revise) its policies, procedures, and practices relating to the development and implementation of IEPs, the use of positive behavioral interventions and supports, and procedural safeguards, to ensure that such policies, procedures, and practices comply with applicable requirements.</w:t>
      </w:r>
    </w:p>
    <w:p w14:paraId="03BDAB2D" w14:textId="32FE0BC9" w:rsidR="00636061" w:rsidRPr="00781112" w:rsidRDefault="00636061" w:rsidP="00BB7BC9">
      <w:pPr>
        <w:rPr>
          <w:rFonts w:cs="Arial"/>
          <w:color w:val="000000" w:themeColor="text1"/>
          <w:szCs w:val="16"/>
        </w:rPr>
      </w:pPr>
      <w:r w:rsidRPr="00781112">
        <w:rPr>
          <w:rFonts w:cs="Arial"/>
          <w:color w:val="000000" w:themeColor="text1"/>
          <w:szCs w:val="16"/>
        </w:rPr>
        <w:t>Provide detailed information about the timely correction of noncompliance as noted in OSEP’s response for the previous SPP/APR. If discrepancies occurred and the LEA with discrepancies had policies, procedures or practices that contributed to the significant discrepancy,</w:t>
      </w:r>
      <w:r w:rsidR="00ED1949" w:rsidRPr="00781112">
        <w:rPr>
          <w:rFonts w:cs="Arial"/>
          <w:szCs w:val="16"/>
        </w:rPr>
        <w:t xml:space="preserve"> as defined by the State,</w:t>
      </w:r>
      <w:r w:rsidRPr="00781112">
        <w:rPr>
          <w:rFonts w:cs="Arial"/>
          <w:color w:val="000000" w:themeColor="text1"/>
          <w:szCs w:val="16"/>
        </w:rPr>
        <w:t xml:space="preserve"> 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Pr="00781112">
        <w:rPr>
          <w:rFonts w:cs="Arial"/>
          <w:color w:val="000000" w:themeColor="text1"/>
          <w:szCs w:val="16"/>
        </w:rPr>
        <w:t>.</w:t>
      </w:r>
    </w:p>
    <w:p w14:paraId="6D645554" w14:textId="56914A76" w:rsidR="00636061" w:rsidRPr="00781112" w:rsidRDefault="00636061" w:rsidP="00BB7BC9">
      <w:pPr>
        <w:rPr>
          <w:rFonts w:cs="Arial"/>
          <w:color w:val="000000" w:themeColor="text1"/>
          <w:szCs w:val="16"/>
        </w:rPr>
      </w:pPr>
      <w:r w:rsidRPr="00781112">
        <w:rPr>
          <w:rFonts w:cs="Arial"/>
          <w:color w:val="000000" w:themeColor="text1"/>
          <w:szCs w:val="16"/>
        </w:rPr>
        <w:lastRenderedPageBreak/>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406A7CC3" w14:textId="27ADFEE8" w:rsidR="00636061" w:rsidRDefault="00A14B5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3487116" w14:textId="6ACBDDB4" w:rsidR="00B63772" w:rsidRPr="00FE4611" w:rsidRDefault="00B63772" w:rsidP="00BB7BC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216100ED" w14:textId="6483EA1E" w:rsidR="006E5AE4" w:rsidRPr="00781112" w:rsidRDefault="00697434" w:rsidP="005B40C0">
      <w:pPr>
        <w:pStyle w:val="Heading3"/>
      </w:pPr>
      <w:bookmarkStart w:id="24" w:name="_Toc384383332"/>
      <w:bookmarkStart w:id="25" w:name="_Toc392159284"/>
      <w:bookmarkEnd w:id="21"/>
      <w:bookmarkEnd w:id="22"/>
      <w:r w:rsidRPr="00781112">
        <w:t>4A</w:t>
      </w:r>
      <w:r w:rsidR="00DA3C7A" w:rsidRPr="00781112">
        <w:t xml:space="preserve"> </w:t>
      </w:r>
      <w:r w:rsidRPr="00781112">
        <w:t xml:space="preserve">- </w:t>
      </w:r>
      <w:r w:rsidR="006E5AE4" w:rsidRPr="00781112">
        <w:t>Indicator Data</w:t>
      </w:r>
    </w:p>
    <w:p w14:paraId="4E76A356" w14:textId="4BD9398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ABASELINEDATA"/>
      </w:tblPr>
      <w:tblGrid>
        <w:gridCol w:w="2562"/>
        <w:gridCol w:w="2563"/>
      </w:tblGrid>
      <w:tr w:rsidR="002B6965" w:rsidRPr="00781112" w14:paraId="5B1BF1C8" w14:textId="77777777" w:rsidTr="002B6965">
        <w:trPr>
          <w:trHeight w:val="311"/>
          <w:tblHeader/>
        </w:trPr>
        <w:tc>
          <w:tcPr>
            <w:tcW w:w="2562" w:type="dxa"/>
          </w:tcPr>
          <w:p w14:paraId="3EC58E83" w14:textId="77777777" w:rsidR="002B6965" w:rsidRPr="00781112" w:rsidRDefault="002B6965" w:rsidP="002B6965">
            <w:pPr>
              <w:jc w:val="center"/>
              <w:rPr>
                <w:b/>
                <w:color w:val="000000" w:themeColor="text1"/>
              </w:rPr>
            </w:pPr>
            <w:r w:rsidRPr="00781112">
              <w:rPr>
                <w:rFonts w:cs="Arial"/>
                <w:b/>
                <w:color w:val="000000" w:themeColor="text1"/>
                <w:szCs w:val="16"/>
              </w:rPr>
              <w:t>Baseline Year</w:t>
            </w:r>
          </w:p>
        </w:tc>
        <w:tc>
          <w:tcPr>
            <w:tcW w:w="2563" w:type="dxa"/>
          </w:tcPr>
          <w:p w14:paraId="3BF90404" w14:textId="77777777" w:rsidR="002B6965" w:rsidRPr="00781112" w:rsidRDefault="002B6965" w:rsidP="002B6965">
            <w:pPr>
              <w:jc w:val="center"/>
              <w:rPr>
                <w:b/>
                <w:color w:val="000000" w:themeColor="text1"/>
              </w:rPr>
            </w:pPr>
            <w:r w:rsidRPr="00781112">
              <w:rPr>
                <w:b/>
                <w:color w:val="000000" w:themeColor="text1"/>
              </w:rPr>
              <w:t>Baseline Data</w:t>
            </w:r>
          </w:p>
        </w:tc>
      </w:tr>
      <w:tr w:rsidR="002B6965" w:rsidRPr="00781112" w14:paraId="5EF83473" w14:textId="77777777" w:rsidTr="002B6965">
        <w:trPr>
          <w:trHeight w:val="311"/>
        </w:trPr>
        <w:tc>
          <w:tcPr>
            <w:tcW w:w="2562" w:type="dxa"/>
            <w:vAlign w:val="center"/>
          </w:tcPr>
          <w:p w14:paraId="5A1767D0" w14:textId="7AC9A457" w:rsidR="002B6965" w:rsidRPr="00781112" w:rsidRDefault="002B6965" w:rsidP="002B6965">
            <w:pPr>
              <w:jc w:val="center"/>
              <w:rPr>
                <w:b/>
                <w:color w:val="000000" w:themeColor="text1"/>
              </w:rPr>
            </w:pPr>
            <w:r w:rsidRPr="00781112">
              <w:rPr>
                <w:rFonts w:cs="Arial"/>
                <w:color w:val="000000" w:themeColor="text1"/>
                <w:szCs w:val="16"/>
              </w:rPr>
              <w:t>2016</w:t>
            </w:r>
          </w:p>
        </w:tc>
        <w:tc>
          <w:tcPr>
            <w:tcW w:w="2563" w:type="dxa"/>
            <w:vAlign w:val="center"/>
          </w:tcPr>
          <w:p w14:paraId="4EF66E74" w14:textId="7A5DFEFF" w:rsidR="002B6965" w:rsidRPr="00781112" w:rsidRDefault="002B6965" w:rsidP="002B6965">
            <w:pPr>
              <w:jc w:val="center"/>
              <w:rPr>
                <w:b/>
                <w:color w:val="000000" w:themeColor="text1"/>
              </w:rPr>
            </w:pPr>
            <w:r w:rsidRPr="00781112">
              <w:rPr>
                <w:rFonts w:cs="Arial"/>
                <w:color w:val="000000" w:themeColor="text1"/>
                <w:szCs w:val="16"/>
              </w:rPr>
              <w:t>62.96%</w:t>
            </w:r>
          </w:p>
        </w:tc>
      </w:tr>
    </w:tbl>
    <w:p w14:paraId="6781E363" w14:textId="4867E623" w:rsidR="002B6965" w:rsidRPr="00781112" w:rsidRDefault="002B696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HISTDATA"/>
      </w:tblPr>
      <w:tblGrid>
        <w:gridCol w:w="1798"/>
        <w:gridCol w:w="1798"/>
        <w:gridCol w:w="1798"/>
        <w:gridCol w:w="1798"/>
        <w:gridCol w:w="1798"/>
        <w:gridCol w:w="1800"/>
      </w:tblGrid>
      <w:tr w:rsidR="005C29F8" w:rsidRPr="00781112" w14:paraId="2DAF49AB" w14:textId="32F9B748" w:rsidTr="00E95FBF">
        <w:trPr>
          <w:trHeight w:val="350"/>
        </w:trPr>
        <w:tc>
          <w:tcPr>
            <w:tcW w:w="833" w:type="pct"/>
            <w:tcBorders>
              <w:bottom w:val="single" w:sz="4" w:space="0" w:color="auto"/>
            </w:tcBorders>
            <w:shd w:val="clear" w:color="auto" w:fill="auto"/>
          </w:tcPr>
          <w:p w14:paraId="7844FE4C" w14:textId="77777777" w:rsidR="00E4112E" w:rsidRPr="00781112" w:rsidRDefault="00E4112E" w:rsidP="004369B2">
            <w:pPr>
              <w:jc w:val="center"/>
              <w:rPr>
                <w:b/>
                <w:color w:val="000000" w:themeColor="text1"/>
              </w:rPr>
            </w:pPr>
            <w:r w:rsidRPr="00781112">
              <w:rPr>
                <w:b/>
                <w:color w:val="000000" w:themeColor="text1"/>
              </w:rPr>
              <w:t>FFY</w:t>
            </w:r>
          </w:p>
        </w:tc>
        <w:tc>
          <w:tcPr>
            <w:tcW w:w="833" w:type="pct"/>
            <w:shd w:val="clear" w:color="auto" w:fill="auto"/>
          </w:tcPr>
          <w:p w14:paraId="09DCA0E6" w14:textId="614607D6" w:rsidR="00E4112E"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7015519F" w14:textId="3BECE8C5" w:rsidR="00E4112E"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7CE93832" w14:textId="3E179BB5" w:rsidR="00E4112E" w:rsidRPr="00781112" w:rsidRDefault="002B7490">
            <w:pPr>
              <w:jc w:val="center"/>
              <w:rPr>
                <w:b/>
                <w:color w:val="000000" w:themeColor="text1"/>
              </w:rPr>
            </w:pPr>
            <w:r w:rsidRPr="00781112">
              <w:rPr>
                <w:b/>
                <w:color w:val="000000" w:themeColor="text1"/>
              </w:rPr>
              <w:t>2020</w:t>
            </w:r>
          </w:p>
        </w:tc>
        <w:tc>
          <w:tcPr>
            <w:tcW w:w="833" w:type="pct"/>
            <w:shd w:val="clear" w:color="auto" w:fill="auto"/>
          </w:tcPr>
          <w:p w14:paraId="1A1DC4B0" w14:textId="32B92E1C" w:rsidR="00E4112E" w:rsidRPr="00781112" w:rsidRDefault="002B7490">
            <w:pPr>
              <w:jc w:val="center"/>
              <w:rPr>
                <w:b/>
                <w:color w:val="000000" w:themeColor="text1"/>
              </w:rPr>
            </w:pPr>
            <w:r w:rsidRPr="00781112">
              <w:rPr>
                <w:b/>
                <w:color w:val="000000" w:themeColor="text1"/>
              </w:rPr>
              <w:t>2021</w:t>
            </w:r>
          </w:p>
        </w:tc>
        <w:tc>
          <w:tcPr>
            <w:tcW w:w="834" w:type="pct"/>
            <w:shd w:val="clear" w:color="auto" w:fill="auto"/>
          </w:tcPr>
          <w:p w14:paraId="030F446C" w14:textId="279E0CA2" w:rsidR="00E4112E" w:rsidRPr="00781112" w:rsidRDefault="002B7490">
            <w:pPr>
              <w:jc w:val="center"/>
              <w:rPr>
                <w:b/>
                <w:color w:val="000000" w:themeColor="text1"/>
              </w:rPr>
            </w:pPr>
            <w:r w:rsidRPr="00781112">
              <w:rPr>
                <w:b/>
                <w:color w:val="000000" w:themeColor="text1"/>
              </w:rPr>
              <w:t>2022</w:t>
            </w:r>
          </w:p>
        </w:tc>
      </w:tr>
      <w:tr w:rsidR="005C29F8" w:rsidRPr="00781112" w14:paraId="166D6AFF" w14:textId="0C956946" w:rsidTr="00E95FBF">
        <w:trPr>
          <w:trHeight w:val="357"/>
        </w:trPr>
        <w:tc>
          <w:tcPr>
            <w:tcW w:w="833" w:type="pct"/>
            <w:shd w:val="clear" w:color="auto" w:fill="auto"/>
            <w:vAlign w:val="center"/>
          </w:tcPr>
          <w:p w14:paraId="38AA0076" w14:textId="731BFD6B" w:rsidR="00BB7BC9" w:rsidRPr="00781112" w:rsidRDefault="00BB7BC9" w:rsidP="00BA3DBE">
            <w:pPr>
              <w:jc w:val="center"/>
              <w:rPr>
                <w:rFonts w:cs="Arial"/>
                <w:color w:val="000000" w:themeColor="text1"/>
                <w:szCs w:val="16"/>
              </w:rPr>
            </w:pPr>
            <w:r w:rsidRPr="00781112">
              <w:rPr>
                <w:rFonts w:cs="Arial"/>
                <w:color w:val="000000" w:themeColor="text1"/>
                <w:szCs w:val="16"/>
              </w:rPr>
              <w:t xml:space="preserve">Target </w:t>
            </w:r>
            <w:r w:rsidR="009B02BC" w:rsidRPr="00781112">
              <w:rPr>
                <w:rFonts w:cs="Arial"/>
                <w:color w:val="000000" w:themeColor="text1"/>
                <w:szCs w:val="16"/>
                <w:shd w:val="clear" w:color="auto" w:fill="FFFFFF"/>
              </w:rPr>
              <w:t>&lt;=</w:t>
            </w:r>
          </w:p>
        </w:tc>
        <w:tc>
          <w:tcPr>
            <w:tcW w:w="833" w:type="pct"/>
            <w:shd w:val="clear" w:color="auto" w:fill="auto"/>
            <w:vAlign w:val="center"/>
          </w:tcPr>
          <w:p w14:paraId="6CE07273" w14:textId="702A47D4" w:rsidR="00BB7BC9" w:rsidRPr="00781112" w:rsidRDefault="002B7490" w:rsidP="00A018D4">
            <w:pPr>
              <w:jc w:val="center"/>
              <w:rPr>
                <w:rFonts w:cs="Arial"/>
                <w:color w:val="000000" w:themeColor="text1"/>
                <w:szCs w:val="16"/>
              </w:rPr>
            </w:pPr>
            <w:r w:rsidRPr="00781112">
              <w:rPr>
                <w:rFonts w:cs="Arial"/>
                <w:color w:val="000000" w:themeColor="text1"/>
                <w:szCs w:val="16"/>
              </w:rPr>
              <w:t>67.65%</w:t>
            </w:r>
          </w:p>
        </w:tc>
        <w:tc>
          <w:tcPr>
            <w:tcW w:w="833" w:type="pct"/>
            <w:shd w:val="clear" w:color="auto" w:fill="auto"/>
            <w:vAlign w:val="center"/>
          </w:tcPr>
          <w:p w14:paraId="79939FD5" w14:textId="354F468A" w:rsidR="00BB7BC9" w:rsidRPr="00781112" w:rsidRDefault="002B7490" w:rsidP="00A018D4">
            <w:pPr>
              <w:jc w:val="center"/>
              <w:rPr>
                <w:rFonts w:cs="Arial"/>
                <w:color w:val="000000" w:themeColor="text1"/>
                <w:szCs w:val="16"/>
              </w:rPr>
            </w:pPr>
            <w:r w:rsidRPr="00781112">
              <w:rPr>
                <w:rFonts w:cs="Arial"/>
                <w:color w:val="000000" w:themeColor="text1"/>
                <w:szCs w:val="16"/>
              </w:rPr>
              <w:t>62.00%</w:t>
            </w:r>
          </w:p>
        </w:tc>
        <w:tc>
          <w:tcPr>
            <w:tcW w:w="833" w:type="pct"/>
            <w:shd w:val="clear" w:color="auto" w:fill="auto"/>
            <w:vAlign w:val="center"/>
          </w:tcPr>
          <w:p w14:paraId="2F67AA89" w14:textId="7720B113" w:rsidR="00BB7BC9" w:rsidRPr="00781112" w:rsidRDefault="002B7490" w:rsidP="00A018D4">
            <w:pPr>
              <w:jc w:val="center"/>
              <w:rPr>
                <w:rFonts w:cs="Arial"/>
                <w:color w:val="000000" w:themeColor="text1"/>
                <w:szCs w:val="16"/>
              </w:rPr>
            </w:pPr>
            <w:r w:rsidRPr="00781112">
              <w:rPr>
                <w:rFonts w:cs="Arial"/>
                <w:color w:val="000000" w:themeColor="text1"/>
                <w:szCs w:val="16"/>
              </w:rPr>
              <w:t>62.00%</w:t>
            </w:r>
          </w:p>
        </w:tc>
        <w:tc>
          <w:tcPr>
            <w:tcW w:w="833" w:type="pct"/>
            <w:shd w:val="clear" w:color="auto" w:fill="auto"/>
            <w:vAlign w:val="center"/>
          </w:tcPr>
          <w:p w14:paraId="370622DC" w14:textId="1DC834EA" w:rsidR="00BB7BC9" w:rsidRPr="00781112" w:rsidRDefault="002B7490" w:rsidP="00A018D4">
            <w:pPr>
              <w:jc w:val="center"/>
              <w:rPr>
                <w:rFonts w:cs="Arial"/>
                <w:color w:val="000000" w:themeColor="text1"/>
                <w:szCs w:val="16"/>
              </w:rPr>
            </w:pPr>
            <w:r w:rsidRPr="00781112">
              <w:rPr>
                <w:rFonts w:cs="Arial"/>
                <w:color w:val="000000" w:themeColor="text1"/>
                <w:szCs w:val="16"/>
              </w:rPr>
              <w:t>62.00%</w:t>
            </w:r>
          </w:p>
        </w:tc>
        <w:tc>
          <w:tcPr>
            <w:tcW w:w="834" w:type="pct"/>
            <w:shd w:val="clear" w:color="auto" w:fill="auto"/>
            <w:vAlign w:val="center"/>
          </w:tcPr>
          <w:p w14:paraId="01742AA4" w14:textId="72802F04" w:rsidR="00BB7BC9" w:rsidRPr="00781112" w:rsidRDefault="002B7490" w:rsidP="00A018D4">
            <w:pPr>
              <w:jc w:val="center"/>
              <w:rPr>
                <w:rFonts w:cs="Arial"/>
                <w:color w:val="000000" w:themeColor="text1"/>
                <w:szCs w:val="16"/>
              </w:rPr>
            </w:pPr>
            <w:r w:rsidRPr="00781112">
              <w:rPr>
                <w:rFonts w:cs="Arial"/>
                <w:color w:val="000000" w:themeColor="text1"/>
                <w:szCs w:val="16"/>
              </w:rPr>
              <w:t>61.50%</w:t>
            </w:r>
          </w:p>
        </w:tc>
      </w:tr>
      <w:tr w:rsidR="005C29F8" w:rsidRPr="00781112" w14:paraId="7A0B9513" w14:textId="222C1F8D" w:rsidTr="00E95FBF">
        <w:trPr>
          <w:trHeight w:val="85"/>
        </w:trPr>
        <w:tc>
          <w:tcPr>
            <w:tcW w:w="833" w:type="pct"/>
            <w:shd w:val="clear" w:color="auto" w:fill="auto"/>
            <w:vAlign w:val="center"/>
          </w:tcPr>
          <w:p w14:paraId="7EAE8715"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088137A7" w14:textId="7782C22E" w:rsidR="00BB7BC9" w:rsidRPr="00781112" w:rsidRDefault="002B7490" w:rsidP="00A018D4">
            <w:pPr>
              <w:jc w:val="center"/>
              <w:rPr>
                <w:rFonts w:cs="Arial"/>
                <w:color w:val="000000" w:themeColor="text1"/>
                <w:szCs w:val="16"/>
              </w:rPr>
            </w:pPr>
            <w:r w:rsidRPr="00781112">
              <w:rPr>
                <w:rFonts w:cs="Arial"/>
                <w:color w:val="000000" w:themeColor="text1"/>
                <w:szCs w:val="16"/>
              </w:rPr>
              <w:t>53.13%</w:t>
            </w:r>
          </w:p>
        </w:tc>
        <w:tc>
          <w:tcPr>
            <w:tcW w:w="833" w:type="pct"/>
            <w:shd w:val="clear" w:color="auto" w:fill="auto"/>
            <w:vAlign w:val="center"/>
          </w:tcPr>
          <w:p w14:paraId="6040C16E" w14:textId="1898F821" w:rsidR="00BB7BC9" w:rsidRPr="00781112" w:rsidRDefault="002B7490" w:rsidP="00A018D4">
            <w:pPr>
              <w:jc w:val="center"/>
              <w:rPr>
                <w:rFonts w:cs="Arial"/>
                <w:color w:val="000000" w:themeColor="text1"/>
                <w:szCs w:val="16"/>
              </w:rPr>
            </w:pPr>
            <w:r w:rsidRPr="00781112">
              <w:rPr>
                <w:rFonts w:cs="Arial"/>
                <w:color w:val="000000" w:themeColor="text1"/>
                <w:szCs w:val="16"/>
              </w:rPr>
              <w:t>67.74%</w:t>
            </w:r>
          </w:p>
        </w:tc>
        <w:tc>
          <w:tcPr>
            <w:tcW w:w="833" w:type="pct"/>
            <w:tcBorders>
              <w:bottom w:val="single" w:sz="4" w:space="0" w:color="auto"/>
            </w:tcBorders>
            <w:shd w:val="clear" w:color="auto" w:fill="auto"/>
            <w:vAlign w:val="center"/>
          </w:tcPr>
          <w:p w14:paraId="2F4988E8" w14:textId="56ECA0F8" w:rsidR="00BB7BC9" w:rsidRPr="00781112" w:rsidRDefault="002B7490" w:rsidP="00A018D4">
            <w:pPr>
              <w:jc w:val="center"/>
              <w:rPr>
                <w:rFonts w:cs="Arial"/>
                <w:color w:val="000000" w:themeColor="text1"/>
                <w:szCs w:val="16"/>
              </w:rPr>
            </w:pPr>
            <w:r w:rsidRPr="00781112">
              <w:rPr>
                <w:rFonts w:cs="Arial"/>
                <w:color w:val="000000" w:themeColor="text1"/>
                <w:szCs w:val="16"/>
              </w:rPr>
              <w:t>80.00%</w:t>
            </w:r>
          </w:p>
        </w:tc>
        <w:tc>
          <w:tcPr>
            <w:tcW w:w="833" w:type="pct"/>
            <w:tcBorders>
              <w:bottom w:val="single" w:sz="4" w:space="0" w:color="auto"/>
            </w:tcBorders>
            <w:shd w:val="clear" w:color="auto" w:fill="auto"/>
            <w:vAlign w:val="center"/>
          </w:tcPr>
          <w:p w14:paraId="3315EDFF" w14:textId="1943A2C3" w:rsidR="00BB7BC9" w:rsidRPr="00781112" w:rsidRDefault="00BB7BC9" w:rsidP="00A018D4">
            <w:pPr>
              <w:jc w:val="center"/>
              <w:rPr>
                <w:rFonts w:cs="Arial"/>
                <w:color w:val="000000" w:themeColor="text1"/>
                <w:szCs w:val="16"/>
              </w:rPr>
            </w:pPr>
          </w:p>
        </w:tc>
        <w:tc>
          <w:tcPr>
            <w:tcW w:w="834" w:type="pct"/>
            <w:tcBorders>
              <w:bottom w:val="single" w:sz="4" w:space="0" w:color="auto"/>
            </w:tcBorders>
            <w:shd w:val="clear" w:color="auto" w:fill="auto"/>
            <w:vAlign w:val="center"/>
          </w:tcPr>
          <w:p w14:paraId="6B580E93" w14:textId="6155D799" w:rsidR="00BB7BC9" w:rsidRPr="00781112" w:rsidRDefault="002B7490" w:rsidP="00A018D4">
            <w:pPr>
              <w:jc w:val="center"/>
              <w:rPr>
                <w:rFonts w:cs="Arial"/>
                <w:color w:val="000000" w:themeColor="text1"/>
                <w:szCs w:val="16"/>
              </w:rPr>
            </w:pPr>
            <w:r w:rsidRPr="00781112">
              <w:rPr>
                <w:rFonts w:cs="Arial"/>
                <w:color w:val="000000" w:themeColor="text1"/>
                <w:szCs w:val="16"/>
              </w:rPr>
              <w:t>56.00%</w:t>
            </w:r>
          </w:p>
        </w:tc>
      </w:tr>
    </w:tbl>
    <w:p w14:paraId="5F34812B" w14:textId="77777777" w:rsidR="006478FC" w:rsidRPr="00781112" w:rsidRDefault="006478FC" w:rsidP="004369B2">
      <w:pPr>
        <w:rPr>
          <w:color w:val="000000" w:themeColor="text1"/>
        </w:rPr>
      </w:pPr>
    </w:p>
    <w:p w14:paraId="4841771C" w14:textId="2E3FC34F" w:rsidR="00ED5FCE" w:rsidRPr="00781112" w:rsidRDefault="00ED5FCE" w:rsidP="004369B2">
      <w:pPr>
        <w:rPr>
          <w:color w:val="000000" w:themeColor="text1"/>
        </w:rPr>
      </w:pPr>
      <w:r w:rsidRPr="00781112">
        <w:rPr>
          <w:b/>
          <w:color w:val="000000" w:themeColor="text1"/>
        </w:rPr>
        <w:t>Targets</w:t>
      </w:r>
    </w:p>
    <w:tbl>
      <w:tblPr>
        <w:tblW w:w="38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ATARGETS"/>
      </w:tblPr>
      <w:tblGrid>
        <w:gridCol w:w="679"/>
        <w:gridCol w:w="2401"/>
        <w:gridCol w:w="2566"/>
        <w:gridCol w:w="2565"/>
      </w:tblGrid>
      <w:tr w:rsidR="0094481B" w:rsidRPr="00781112" w14:paraId="00255703" w14:textId="57B86D35" w:rsidTr="00FE4611">
        <w:trPr>
          <w:trHeight w:val="350"/>
        </w:trPr>
        <w:tc>
          <w:tcPr>
            <w:tcW w:w="391" w:type="pct"/>
            <w:tcBorders>
              <w:bottom w:val="single" w:sz="4" w:space="0" w:color="auto"/>
            </w:tcBorders>
            <w:shd w:val="clear" w:color="auto" w:fill="auto"/>
          </w:tcPr>
          <w:p w14:paraId="12833EEC" w14:textId="77777777" w:rsidR="0094481B" w:rsidRPr="00781112" w:rsidRDefault="0094481B" w:rsidP="00373F78">
            <w:pPr>
              <w:jc w:val="center"/>
              <w:rPr>
                <w:b/>
                <w:color w:val="000000" w:themeColor="text1"/>
              </w:rPr>
            </w:pPr>
            <w:r w:rsidRPr="00781112">
              <w:rPr>
                <w:b/>
                <w:color w:val="000000" w:themeColor="text1"/>
              </w:rPr>
              <w:t>FFY</w:t>
            </w:r>
          </w:p>
        </w:tc>
        <w:tc>
          <w:tcPr>
            <w:tcW w:w="1470" w:type="pct"/>
            <w:shd w:val="clear" w:color="auto" w:fill="auto"/>
          </w:tcPr>
          <w:p w14:paraId="50119DBA" w14:textId="04DC2A77" w:rsidR="0094481B" w:rsidRPr="00781112" w:rsidRDefault="0094481B" w:rsidP="00373F78">
            <w:pPr>
              <w:jc w:val="center"/>
              <w:rPr>
                <w:b/>
                <w:color w:val="000000" w:themeColor="text1"/>
              </w:rPr>
            </w:pPr>
            <w:r w:rsidRPr="00781112">
              <w:rPr>
                <w:b/>
                <w:color w:val="000000" w:themeColor="text1"/>
              </w:rPr>
              <w:t>2023</w:t>
            </w:r>
          </w:p>
        </w:tc>
        <w:tc>
          <w:tcPr>
            <w:tcW w:w="1570" w:type="pct"/>
          </w:tcPr>
          <w:p w14:paraId="59425E52" w14:textId="30A73A95" w:rsidR="0094481B" w:rsidRPr="00781112" w:rsidRDefault="0094481B" w:rsidP="00373F78">
            <w:pPr>
              <w:jc w:val="center"/>
              <w:rPr>
                <w:b/>
                <w:color w:val="000000" w:themeColor="text1"/>
              </w:rPr>
            </w:pPr>
            <w:r w:rsidRPr="00781112">
              <w:rPr>
                <w:rFonts w:cs="Arial"/>
                <w:b/>
                <w:color w:val="000000" w:themeColor="text1"/>
                <w:szCs w:val="16"/>
              </w:rPr>
              <w:t>2024</w:t>
            </w:r>
          </w:p>
        </w:tc>
        <w:tc>
          <w:tcPr>
            <w:tcW w:w="1570" w:type="pct"/>
          </w:tcPr>
          <w:p w14:paraId="62296859" w14:textId="1A7F3D46" w:rsidR="0094481B" w:rsidRPr="00781112" w:rsidRDefault="0094481B" w:rsidP="00373F78">
            <w:pPr>
              <w:jc w:val="center"/>
              <w:rPr>
                <w:b/>
                <w:color w:val="000000" w:themeColor="text1"/>
              </w:rPr>
            </w:pPr>
            <w:r w:rsidRPr="00781112">
              <w:rPr>
                <w:rFonts w:cs="Arial"/>
                <w:b/>
                <w:color w:val="000000" w:themeColor="text1"/>
                <w:szCs w:val="16"/>
              </w:rPr>
              <w:t>2025</w:t>
            </w:r>
          </w:p>
        </w:tc>
      </w:tr>
      <w:tr w:rsidR="0094481B" w:rsidRPr="00781112" w14:paraId="1ACE760A" w14:textId="1AE21F6E" w:rsidTr="00FE4611">
        <w:trPr>
          <w:trHeight w:val="357"/>
        </w:trPr>
        <w:tc>
          <w:tcPr>
            <w:tcW w:w="391" w:type="pct"/>
            <w:shd w:val="clear" w:color="auto" w:fill="auto"/>
            <w:vAlign w:val="center"/>
          </w:tcPr>
          <w:p w14:paraId="3387B9B3" w14:textId="0ED5756F" w:rsidR="0094481B" w:rsidRPr="00781112" w:rsidRDefault="0094481B" w:rsidP="00BA3DBE">
            <w:pPr>
              <w:jc w:val="center"/>
              <w:rPr>
                <w:rFonts w:cs="Arial"/>
                <w:color w:val="000000" w:themeColor="text1"/>
                <w:szCs w:val="16"/>
              </w:rPr>
            </w:pPr>
            <w:r w:rsidRPr="00781112">
              <w:rPr>
                <w:rFonts w:cs="Arial"/>
                <w:color w:val="000000" w:themeColor="text1"/>
                <w:szCs w:val="16"/>
              </w:rPr>
              <w:t xml:space="preserve">Target </w:t>
            </w:r>
            <w:r w:rsidRPr="00781112">
              <w:rPr>
                <w:rFonts w:cs="Arial"/>
                <w:color w:val="000000" w:themeColor="text1"/>
                <w:szCs w:val="16"/>
                <w:shd w:val="clear" w:color="auto" w:fill="FFFFFF"/>
              </w:rPr>
              <w:t>&lt;=</w:t>
            </w:r>
          </w:p>
        </w:tc>
        <w:tc>
          <w:tcPr>
            <w:tcW w:w="1470" w:type="pct"/>
            <w:shd w:val="clear" w:color="auto" w:fill="auto"/>
            <w:vAlign w:val="center"/>
          </w:tcPr>
          <w:p w14:paraId="78EBD6ED" w14:textId="4FA09BBD" w:rsidR="0094481B" w:rsidRPr="00781112" w:rsidRDefault="0094481B" w:rsidP="00373F78">
            <w:pPr>
              <w:jc w:val="center"/>
              <w:rPr>
                <w:rFonts w:cs="Arial"/>
                <w:color w:val="000000" w:themeColor="text1"/>
                <w:szCs w:val="16"/>
              </w:rPr>
            </w:pPr>
            <w:r w:rsidRPr="00781112">
              <w:rPr>
                <w:rFonts w:cs="Arial"/>
                <w:color w:val="000000" w:themeColor="text1"/>
                <w:szCs w:val="16"/>
              </w:rPr>
              <w:t>61.25%</w:t>
            </w:r>
          </w:p>
        </w:tc>
        <w:tc>
          <w:tcPr>
            <w:tcW w:w="1570" w:type="pct"/>
          </w:tcPr>
          <w:p w14:paraId="6FDC82B2" w14:textId="0C85D604" w:rsidR="0094481B" w:rsidRPr="00781112" w:rsidRDefault="0094481B" w:rsidP="00373F78">
            <w:pPr>
              <w:jc w:val="center"/>
              <w:rPr>
                <w:rFonts w:cs="Arial"/>
                <w:color w:val="000000" w:themeColor="text1"/>
                <w:szCs w:val="16"/>
              </w:rPr>
            </w:pPr>
            <w:r w:rsidRPr="00781112">
              <w:rPr>
                <w:color w:val="000000" w:themeColor="text1"/>
                <w:szCs w:val="16"/>
              </w:rPr>
              <w:t>61.00%</w:t>
            </w:r>
          </w:p>
        </w:tc>
        <w:tc>
          <w:tcPr>
            <w:tcW w:w="1570" w:type="pct"/>
          </w:tcPr>
          <w:p w14:paraId="798EC84B" w14:textId="0E47DBF4" w:rsidR="0094481B" w:rsidRPr="00781112" w:rsidRDefault="0094481B" w:rsidP="00373F78">
            <w:pPr>
              <w:jc w:val="center"/>
              <w:rPr>
                <w:rFonts w:cs="Arial"/>
                <w:color w:val="000000" w:themeColor="text1"/>
                <w:szCs w:val="16"/>
              </w:rPr>
            </w:pPr>
            <w:r w:rsidRPr="00781112">
              <w:rPr>
                <w:color w:val="000000" w:themeColor="text1"/>
                <w:szCs w:val="16"/>
              </w:rPr>
              <w:t>60.50%</w:t>
            </w:r>
          </w:p>
        </w:tc>
      </w:tr>
    </w:tbl>
    <w:p w14:paraId="05EA20CB" w14:textId="0A0E8C80" w:rsidR="002D145D" w:rsidRPr="00781112" w:rsidRDefault="002D145D" w:rsidP="004369B2">
      <w:pPr>
        <w:rPr>
          <w:b/>
          <w:color w:val="000000" w:themeColor="text1"/>
        </w:rPr>
      </w:pPr>
      <w:r w:rsidRPr="00781112">
        <w:rPr>
          <w:b/>
          <w:color w:val="000000" w:themeColor="text1"/>
        </w:rPr>
        <w:t xml:space="preserve">Targets: Description of Stakeholder Input </w:t>
      </w:r>
    </w:p>
    <w:p w14:paraId="01F8C61F" w14:textId="7DC6A451" w:rsidR="002D145D" w:rsidRPr="00781112" w:rsidRDefault="002B7490" w:rsidP="002D145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3FD5337B" w14:textId="54E74935" w:rsidR="002D145D" w:rsidRPr="00781112" w:rsidRDefault="002D145D" w:rsidP="002D145D">
      <w:pPr>
        <w:rPr>
          <w:rFonts w:cs="Arial"/>
          <w:color w:val="000000" w:themeColor="text1"/>
          <w:szCs w:val="16"/>
        </w:rPr>
      </w:pPr>
    </w:p>
    <w:p w14:paraId="2AE297AB" w14:textId="77777777" w:rsidR="007E6F97" w:rsidRPr="00781112" w:rsidRDefault="007E6F97" w:rsidP="004369B2">
      <w:pPr>
        <w:rPr>
          <w:color w:val="000000" w:themeColor="text1"/>
        </w:rPr>
      </w:pPr>
    </w:p>
    <w:bookmarkEnd w:id="24"/>
    <w:bookmarkEnd w:id="25"/>
    <w:p w14:paraId="2E616696" w14:textId="5918C7CC" w:rsidR="00D03701" w:rsidRPr="00781112" w:rsidRDefault="0047313F">
      <w:pPr>
        <w:rPr>
          <w:b/>
          <w:color w:val="000000" w:themeColor="text1"/>
        </w:rPr>
      </w:pPr>
      <w:r>
        <w:rPr>
          <w:b/>
          <w:color w:val="000000" w:themeColor="text1"/>
        </w:rPr>
        <w:t>FFY 2023 SPP/APR Data</w:t>
      </w:r>
    </w:p>
    <w:p w14:paraId="01DBD317" w14:textId="57913AA7" w:rsidR="009B02BC" w:rsidRPr="00781112" w:rsidRDefault="009B02BC">
      <w:pPr>
        <w:rPr>
          <w:rFonts w:cs="Arial"/>
          <w:b/>
          <w:color w:val="000000" w:themeColor="text1"/>
          <w:szCs w:val="16"/>
        </w:rPr>
      </w:pPr>
      <w:r w:rsidRPr="00781112">
        <w:rPr>
          <w:rFonts w:cs="Arial"/>
          <w:b/>
          <w:color w:val="000000" w:themeColor="text1"/>
          <w:szCs w:val="16"/>
        </w:rPr>
        <w:t>Has the state established a minimum n/cell-size requirement? (yes/no)</w:t>
      </w:r>
    </w:p>
    <w:p w14:paraId="6A8BDBAB" w14:textId="22481006" w:rsidR="009B02BC" w:rsidRPr="00781112" w:rsidRDefault="009B02BC">
      <w:pPr>
        <w:rPr>
          <w:rFonts w:cs="Arial"/>
          <w:color w:val="000000" w:themeColor="text1"/>
          <w:szCs w:val="16"/>
        </w:rPr>
      </w:pPr>
      <w:r w:rsidRPr="00781112">
        <w:rPr>
          <w:rFonts w:cs="Arial"/>
          <w:color w:val="000000" w:themeColor="text1"/>
          <w:szCs w:val="16"/>
        </w:rPr>
        <w:t>YES</w:t>
      </w:r>
    </w:p>
    <w:p w14:paraId="023C4A53" w14:textId="77777777" w:rsidR="00E52C16" w:rsidRPr="00FE4611" w:rsidRDefault="00E52C16" w:rsidP="00E52C16">
      <w:pPr>
        <w:rPr>
          <w:rFonts w:cs="Arial"/>
          <w:b/>
          <w:bCs/>
          <w:szCs w:val="16"/>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who have received out-of-school suspensions and expulsions of more than 10 days within the LEA).</w:t>
      </w:r>
    </w:p>
    <w:p w14:paraId="0BC43372" w14:textId="0071CE49" w:rsidR="00E52C16" w:rsidRDefault="00E52C16" w:rsidP="00E52C16">
      <w:pPr>
        <w:rPr>
          <w:rFonts w:cs="Arial"/>
          <w:szCs w:val="16"/>
        </w:rPr>
      </w:pPr>
      <w:r>
        <w:rPr>
          <w:rFonts w:cs="Arial"/>
          <w:szCs w:val="16"/>
        </w:rPr>
        <w:lastRenderedPageBreak/>
        <w:t xml:space="preserve">The State uses an n size of 4. This n size of 4 represents the number of students with disabilities enrolled in the LEA. The State uses a cell size of 4. This cell size of 4 represents the number of children with disabilities who have received out-of-school suspensions and expulsions of more than 10 days within the LEA. </w:t>
      </w:r>
    </w:p>
    <w:p w14:paraId="53A12C6A" w14:textId="19E49E21" w:rsidR="00E52C16" w:rsidRPr="00E52C16" w:rsidRDefault="00E52C16" w:rsidP="00E52C16">
      <w:pPr>
        <w:rPr>
          <w:b/>
          <w:bCs/>
        </w:rPr>
      </w:pPr>
      <w:r w:rsidRPr="00FE4611">
        <w:rPr>
          <w:rFonts w:cs="Arial"/>
          <w:b/>
          <w:bCs/>
          <w:szCs w:val="16"/>
        </w:rPr>
        <w:t xml:space="preserve">If yes, the State </w:t>
      </w:r>
      <w:r w:rsidR="00F27659">
        <w:rPr>
          <w:rFonts w:cs="Arial"/>
          <w:b/>
          <w:bCs/>
          <w:szCs w:val="16"/>
        </w:rPr>
        <w:t xml:space="preserve">must </w:t>
      </w:r>
      <w:r w:rsidRPr="00FE4611">
        <w:rPr>
          <w:rFonts w:cs="Arial"/>
          <w:b/>
          <w:bCs/>
          <w:szCs w:val="16"/>
        </w:rPr>
        <w:t>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09D8A575" w14:textId="351AAC22" w:rsidR="00E52C16" w:rsidRPr="00FE4611" w:rsidRDefault="00E52C16" w:rsidP="00E52C16">
      <w:pPr>
        <w:rPr>
          <w:bCs/>
        </w:rPr>
      </w:pPr>
      <w:r w:rsidRPr="00FE4611">
        <w:rPr>
          <w:bCs/>
        </w:rPr>
        <w:t xml:space="preserve">The minimum cell and n sizes are reasonable thresholds by which to include LEAs in the analysis because these thresholds reflect an appropriate level of sensitivity to change due to small changes in population or discipline counts. The selected n and cell size allow the State to analyze data from multiple LEAs, and to follow up with technical assistance activities for each LEA. These definitions ensure the State is appropriately analyzing and identifying LEAs with significant discrepancy because there are districts identified annually because of this analysis.  </w:t>
      </w:r>
      <w:r w:rsidRPr="00FE4611">
        <w:rPr>
          <w:bCs/>
        </w:rPr>
        <w:br/>
      </w:r>
      <w:r w:rsidRPr="00FE4611">
        <w:rPr>
          <w:bCs/>
        </w:rPr>
        <w:br/>
        <w:t xml:space="preserve">Stakeholders confirmed support for the State’s approach to analyzing and identifying LEAs with significant discrepancy during statewide engagement related to the 2020-2025 SPP/APR package and target setting in 2020.  </w:t>
      </w:r>
    </w:p>
    <w:p w14:paraId="04BE6AD8" w14:textId="77777777"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7777FAFF" w14:textId="35AE62FF" w:rsidR="00E52C16" w:rsidRPr="00FE4611" w:rsidRDefault="00E52C16" w:rsidP="00E52C16">
      <w:r w:rsidRPr="00FE4611">
        <w:t xml:space="preserve">No change from prior reporting period. </w:t>
      </w:r>
    </w:p>
    <w:p w14:paraId="793792D6" w14:textId="77777777" w:rsidR="00E52C16" w:rsidRPr="00E52C16" w:rsidRDefault="00E52C16" w:rsidP="007F76DD">
      <w:pPr>
        <w:rPr>
          <w:b/>
          <w:bCs/>
        </w:rPr>
      </w:pPr>
      <w:r w:rsidRPr="00FE4611">
        <w:rPr>
          <w:rFonts w:cs="Arial"/>
          <w:b/>
          <w:bCs/>
          <w:szCs w:val="16"/>
        </w:rPr>
        <w:t>If yes, the State must provide an explanation why the minimum n and/or cell size was changed.</w:t>
      </w:r>
    </w:p>
    <w:p w14:paraId="5EF3130E" w14:textId="74C10974" w:rsidR="00E52C16" w:rsidRPr="00FE4611" w:rsidRDefault="00E52C16" w:rsidP="00E52C16">
      <w:pPr>
        <w:rPr>
          <w:bCs/>
        </w:rPr>
      </w:pPr>
      <w:r w:rsidRPr="00FE4611">
        <w:rPr>
          <w:bCs/>
        </w:rPr>
        <w:t xml:space="preserve">No change from prior reporting period. </w:t>
      </w:r>
    </w:p>
    <w:p w14:paraId="1DB615CF" w14:textId="24F3318C" w:rsidR="009B02BC" w:rsidRPr="00781112" w:rsidRDefault="009B02BC">
      <w:pPr>
        <w:rPr>
          <w:rFonts w:cs="Arial"/>
          <w:b/>
          <w:color w:val="000000" w:themeColor="text1"/>
          <w:szCs w:val="16"/>
        </w:rPr>
      </w:pPr>
      <w:r w:rsidRPr="00781112">
        <w:rPr>
          <w:rFonts w:cs="Arial"/>
          <w:b/>
          <w:color w:val="000000" w:themeColor="text1"/>
          <w:szCs w:val="16"/>
        </w:rPr>
        <w:t>If yes, the State may only include, in both the numerator and the denominator, LEAs that met that State-established n/cell size</w:t>
      </w:r>
      <w:r w:rsidRPr="00FE4611">
        <w:rPr>
          <w:rFonts w:cs="Arial"/>
          <w:bCs/>
          <w:color w:val="000000" w:themeColor="text1"/>
          <w:szCs w:val="16"/>
        </w:rPr>
        <w:t xml:space="preserve">. </w:t>
      </w:r>
      <w:r w:rsidR="00E52C16" w:rsidRPr="00FE4611">
        <w:rPr>
          <w:rFonts w:cs="Arial"/>
          <w:b/>
          <w:szCs w:val="16"/>
        </w:rPr>
        <w:t>If the State used a minimum n and/or cell size requirement, report the number of LEAs totally excluded from the calculation as a result of this requirement.</w:t>
      </w:r>
    </w:p>
    <w:p w14:paraId="5F36FA89" w14:textId="7B8DA8B5" w:rsidR="009B02BC" w:rsidRPr="00781112" w:rsidRDefault="009B02BC" w:rsidP="004369B2">
      <w:pPr>
        <w:rPr>
          <w:rFonts w:cs="Arial"/>
          <w:color w:val="000000" w:themeColor="text1"/>
          <w:szCs w:val="16"/>
        </w:rPr>
      </w:pPr>
      <w:r w:rsidRPr="00781112">
        <w:rPr>
          <w:rFonts w:cs="Arial"/>
          <w:color w:val="000000" w:themeColor="text1"/>
          <w:szCs w:val="16"/>
        </w:rPr>
        <w:t>170</w:t>
      </w:r>
    </w:p>
    <w:p w14:paraId="4E14BC0D" w14:textId="77777777" w:rsidR="00A14B5D" w:rsidRPr="00781112" w:rsidRDefault="00A14B5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ACFFYAPRDATA"/>
      </w:tblPr>
      <w:tblGrid>
        <w:gridCol w:w="1410"/>
        <w:gridCol w:w="1897"/>
        <w:gridCol w:w="1368"/>
        <w:gridCol w:w="1890"/>
        <w:gridCol w:w="1260"/>
        <w:gridCol w:w="1439"/>
        <w:gridCol w:w="1526"/>
      </w:tblGrid>
      <w:tr w:rsidR="00450F98" w:rsidRPr="00781112" w14:paraId="25961F2E" w14:textId="5D241BED" w:rsidTr="00E95FBF">
        <w:trPr>
          <w:trHeight w:val="994"/>
          <w:jc w:val="center"/>
        </w:trPr>
        <w:tc>
          <w:tcPr>
            <w:tcW w:w="653" w:type="pct"/>
            <w:shd w:val="clear" w:color="auto" w:fill="auto"/>
            <w:vAlign w:val="bottom"/>
          </w:tcPr>
          <w:p w14:paraId="1D711F21" w14:textId="471FE8E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have a significant discrepancy</w:t>
            </w:r>
          </w:p>
        </w:tc>
        <w:tc>
          <w:tcPr>
            <w:tcW w:w="879" w:type="pct"/>
            <w:shd w:val="clear" w:color="auto" w:fill="auto"/>
            <w:vAlign w:val="bottom"/>
          </w:tcPr>
          <w:p w14:paraId="196C509D" w14:textId="54B65E72" w:rsidR="00450F98" w:rsidRPr="00781112" w:rsidRDefault="00450F98" w:rsidP="00450F98">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634" w:type="pct"/>
            <w:shd w:val="clear" w:color="auto" w:fill="auto"/>
            <w:vAlign w:val="bottom"/>
          </w:tcPr>
          <w:p w14:paraId="20C8255F" w14:textId="20C07B90" w:rsidR="00450F98" w:rsidRPr="00073BD7" w:rsidRDefault="00450F98" w:rsidP="00450F98">
            <w:pPr>
              <w:jc w:val="center"/>
              <w:rPr>
                <w:rFonts w:cs="Arial"/>
                <w:b/>
                <w:bCs/>
                <w:color w:val="000000" w:themeColor="text1"/>
                <w:szCs w:val="16"/>
              </w:rPr>
            </w:pPr>
            <w:r w:rsidRPr="00073BD7">
              <w:rPr>
                <w:b/>
                <w:bCs/>
              </w:rPr>
              <w:t>FFY 2022 Data</w:t>
            </w:r>
          </w:p>
        </w:tc>
        <w:tc>
          <w:tcPr>
            <w:tcW w:w="876" w:type="pct"/>
            <w:shd w:val="clear" w:color="auto" w:fill="auto"/>
            <w:vAlign w:val="bottom"/>
          </w:tcPr>
          <w:p w14:paraId="2298BC2C" w14:textId="13510387" w:rsidR="00450F98" w:rsidRPr="00073BD7" w:rsidRDefault="00450F98" w:rsidP="00450F98">
            <w:pPr>
              <w:jc w:val="center"/>
              <w:rPr>
                <w:rFonts w:cs="Arial"/>
                <w:b/>
                <w:bCs/>
                <w:color w:val="000000" w:themeColor="text1"/>
                <w:szCs w:val="16"/>
              </w:rPr>
            </w:pPr>
            <w:r w:rsidRPr="00073BD7">
              <w:rPr>
                <w:b/>
                <w:bCs/>
              </w:rPr>
              <w:t>FFY 2023 Target</w:t>
            </w:r>
          </w:p>
        </w:tc>
        <w:tc>
          <w:tcPr>
            <w:tcW w:w="584" w:type="pct"/>
            <w:shd w:val="clear" w:color="auto" w:fill="auto"/>
            <w:vAlign w:val="bottom"/>
          </w:tcPr>
          <w:p w14:paraId="3E9B682A" w14:textId="26011F12" w:rsidR="00450F98" w:rsidRPr="00073BD7" w:rsidRDefault="00450F98" w:rsidP="00450F98">
            <w:pPr>
              <w:jc w:val="center"/>
              <w:rPr>
                <w:rFonts w:cs="Arial"/>
                <w:b/>
                <w:bCs/>
                <w:color w:val="000000" w:themeColor="text1"/>
                <w:szCs w:val="16"/>
              </w:rPr>
            </w:pPr>
            <w:r w:rsidRPr="00073BD7">
              <w:rPr>
                <w:b/>
                <w:bCs/>
              </w:rPr>
              <w:t>FFY 2023 Data</w:t>
            </w:r>
          </w:p>
        </w:tc>
        <w:tc>
          <w:tcPr>
            <w:tcW w:w="667" w:type="pct"/>
            <w:shd w:val="clear" w:color="auto" w:fill="auto"/>
            <w:vAlign w:val="bottom"/>
          </w:tcPr>
          <w:p w14:paraId="7B5A071B" w14:textId="6C45C0BB" w:rsidR="00450F98" w:rsidRPr="00781112" w:rsidRDefault="00450F98" w:rsidP="00450F98">
            <w:pPr>
              <w:jc w:val="center"/>
              <w:rPr>
                <w:rFonts w:cs="Arial"/>
                <w:b/>
                <w:color w:val="000000" w:themeColor="text1"/>
                <w:szCs w:val="16"/>
              </w:rPr>
            </w:pPr>
            <w:r w:rsidRPr="00781112">
              <w:rPr>
                <w:rFonts w:cs="Arial"/>
                <w:b/>
                <w:color w:val="000000" w:themeColor="text1"/>
                <w:szCs w:val="16"/>
              </w:rPr>
              <w:t>Status</w:t>
            </w:r>
          </w:p>
        </w:tc>
        <w:tc>
          <w:tcPr>
            <w:tcW w:w="707" w:type="pct"/>
            <w:shd w:val="clear" w:color="auto" w:fill="auto"/>
            <w:vAlign w:val="bottom"/>
          </w:tcPr>
          <w:p w14:paraId="4D50491C" w14:textId="7F184394" w:rsidR="00450F98" w:rsidRPr="00781112" w:rsidRDefault="00450F98" w:rsidP="00450F98">
            <w:pPr>
              <w:jc w:val="center"/>
              <w:rPr>
                <w:rFonts w:cs="Arial"/>
                <w:b/>
                <w:color w:val="000000" w:themeColor="text1"/>
                <w:szCs w:val="16"/>
              </w:rPr>
            </w:pPr>
            <w:r w:rsidRPr="00781112">
              <w:rPr>
                <w:rFonts w:cs="Arial"/>
                <w:b/>
                <w:color w:val="000000" w:themeColor="text1"/>
                <w:szCs w:val="16"/>
              </w:rPr>
              <w:t>Slippage</w:t>
            </w:r>
          </w:p>
        </w:tc>
      </w:tr>
      <w:tr w:rsidR="005C29F8" w:rsidRPr="00781112" w14:paraId="0246961D" w14:textId="1C11943C" w:rsidTr="00E95FBF">
        <w:trPr>
          <w:trHeight w:val="233"/>
          <w:jc w:val="center"/>
        </w:trPr>
        <w:tc>
          <w:tcPr>
            <w:tcW w:w="653" w:type="pct"/>
            <w:shd w:val="clear" w:color="auto" w:fill="auto"/>
            <w:vAlign w:val="center"/>
          </w:tcPr>
          <w:p w14:paraId="0B36F15E" w14:textId="239D7181" w:rsidR="00A862C3" w:rsidRPr="00781112" w:rsidRDefault="002B7490" w:rsidP="00A018D4">
            <w:pPr>
              <w:jc w:val="center"/>
              <w:rPr>
                <w:rFonts w:cs="Arial"/>
                <w:color w:val="000000" w:themeColor="text1"/>
                <w:szCs w:val="16"/>
              </w:rPr>
            </w:pPr>
            <w:r w:rsidRPr="00781112">
              <w:rPr>
                <w:rFonts w:cs="Arial"/>
                <w:color w:val="000000" w:themeColor="text1"/>
                <w:szCs w:val="16"/>
              </w:rPr>
              <w:t>17</w:t>
            </w:r>
          </w:p>
        </w:tc>
        <w:tc>
          <w:tcPr>
            <w:tcW w:w="879" w:type="pct"/>
            <w:shd w:val="clear" w:color="auto" w:fill="auto"/>
          </w:tcPr>
          <w:p w14:paraId="77E03427" w14:textId="31D4B2F4" w:rsidR="00A862C3" w:rsidRPr="00781112" w:rsidRDefault="002B7490" w:rsidP="00A018D4">
            <w:pPr>
              <w:jc w:val="center"/>
              <w:rPr>
                <w:rFonts w:cs="Arial"/>
                <w:color w:val="000000" w:themeColor="text1"/>
                <w:szCs w:val="16"/>
              </w:rPr>
            </w:pPr>
            <w:r w:rsidRPr="00781112">
              <w:rPr>
                <w:rFonts w:cs="Arial"/>
                <w:color w:val="000000" w:themeColor="text1"/>
                <w:szCs w:val="16"/>
              </w:rPr>
              <w:t>27</w:t>
            </w:r>
          </w:p>
        </w:tc>
        <w:tc>
          <w:tcPr>
            <w:tcW w:w="634" w:type="pct"/>
            <w:shd w:val="clear" w:color="auto" w:fill="auto"/>
          </w:tcPr>
          <w:p w14:paraId="12EAED8C" w14:textId="23973C25" w:rsidR="00A862C3"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876" w:type="pct"/>
            <w:shd w:val="clear" w:color="auto" w:fill="auto"/>
          </w:tcPr>
          <w:p w14:paraId="0310AC78" w14:textId="48F7D944" w:rsidR="00A862C3" w:rsidRPr="00781112" w:rsidRDefault="002B7490" w:rsidP="00A018D4">
            <w:pPr>
              <w:jc w:val="center"/>
              <w:rPr>
                <w:rFonts w:cs="Arial"/>
                <w:color w:val="000000" w:themeColor="text1"/>
                <w:szCs w:val="16"/>
              </w:rPr>
            </w:pPr>
            <w:r w:rsidRPr="00781112">
              <w:rPr>
                <w:rFonts w:cs="Arial"/>
                <w:color w:val="000000" w:themeColor="text1"/>
                <w:szCs w:val="16"/>
              </w:rPr>
              <w:t>61.25%</w:t>
            </w:r>
          </w:p>
        </w:tc>
        <w:tc>
          <w:tcPr>
            <w:tcW w:w="584" w:type="pct"/>
            <w:shd w:val="clear" w:color="auto" w:fill="auto"/>
          </w:tcPr>
          <w:p w14:paraId="411F4E7C" w14:textId="0AFD7B4B" w:rsidR="00A862C3" w:rsidRPr="00781112" w:rsidRDefault="002B7490" w:rsidP="00A018D4">
            <w:pPr>
              <w:jc w:val="center"/>
              <w:rPr>
                <w:rFonts w:cs="Arial"/>
                <w:color w:val="000000" w:themeColor="text1"/>
                <w:szCs w:val="16"/>
              </w:rPr>
            </w:pPr>
            <w:r w:rsidRPr="00781112">
              <w:rPr>
                <w:rFonts w:cs="Arial"/>
                <w:color w:val="000000" w:themeColor="text1"/>
                <w:szCs w:val="16"/>
              </w:rPr>
              <w:t>62.96%</w:t>
            </w:r>
          </w:p>
        </w:tc>
        <w:tc>
          <w:tcPr>
            <w:tcW w:w="667" w:type="pct"/>
            <w:shd w:val="clear" w:color="auto" w:fill="auto"/>
          </w:tcPr>
          <w:p w14:paraId="000F74CB" w14:textId="0986D493" w:rsidR="00A862C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707" w:type="pct"/>
            <w:shd w:val="clear" w:color="auto" w:fill="auto"/>
          </w:tcPr>
          <w:p w14:paraId="69708C33" w14:textId="1D4517AD" w:rsidR="00A862C3"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4A3E93D" w14:textId="31CBA8DB" w:rsidR="009E470F" w:rsidRPr="00781112" w:rsidRDefault="00A869E9" w:rsidP="004369B2">
      <w:pPr>
        <w:rPr>
          <w:b/>
          <w:color w:val="000000" w:themeColor="text1"/>
        </w:rPr>
      </w:pPr>
      <w:r w:rsidRPr="00781112">
        <w:rPr>
          <w:b/>
          <w:color w:val="000000" w:themeColor="text1"/>
        </w:rPr>
        <w:t>Provide reasons for slippage, if applicable</w:t>
      </w:r>
    </w:p>
    <w:p w14:paraId="1EF5B902" w14:textId="1E0AB2B6" w:rsidR="00A869E9" w:rsidRPr="00781112" w:rsidRDefault="002B7490" w:rsidP="000E33D0">
      <w:pPr>
        <w:rPr>
          <w:rFonts w:cs="Arial"/>
          <w:color w:val="000000" w:themeColor="text1"/>
          <w:szCs w:val="16"/>
        </w:rPr>
      </w:pPr>
      <w:r w:rsidRPr="00781112">
        <w:rPr>
          <w:rFonts w:cs="Arial"/>
          <w:color w:val="000000" w:themeColor="text1"/>
          <w:szCs w:val="16"/>
        </w:rPr>
        <w:t xml:space="preserve">Data analysis shows that one fewer LEA identified as having a significant discrepancy would have allowed the State to meet the FFY 2023 target. Slippage is due to more LEAs suspending or expelling more students with IEPs across the state for more than 10 days. LEAs report to the State both an increase in undesired student behaviors, and a growing gap in staff capacity to address these behaviors. The confluence of fewer staff, a lower overall capacity to meet student needs, and increased student needs among students with and without IEPs all contribute to slippage in the number of LEAs that have a significant discrepancy.  </w:t>
      </w:r>
    </w:p>
    <w:p w14:paraId="278EEC3E" w14:textId="77777777" w:rsidR="006D741F" w:rsidRPr="00781112" w:rsidRDefault="00082667" w:rsidP="00286BDF">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444FB8E0" w14:textId="3109DE1E" w:rsidR="002C705B" w:rsidRPr="00781112" w:rsidRDefault="002B7490" w:rsidP="00286BDF">
      <w:pPr>
        <w:rPr>
          <w:rFonts w:cs="Arial"/>
          <w:color w:val="000000" w:themeColor="text1"/>
          <w:szCs w:val="16"/>
        </w:rPr>
      </w:pPr>
      <w:r w:rsidRPr="00781112">
        <w:rPr>
          <w:rFonts w:cs="Arial"/>
          <w:color w:val="000000" w:themeColor="text1"/>
          <w:szCs w:val="16"/>
        </w:rPr>
        <w:t>The rates of suspensions and expulsions of greater than 10 days in a school year for children with IEPs in each LEA compared to the rates for nondisabled children in the same LEA</w:t>
      </w:r>
    </w:p>
    <w:p w14:paraId="4F94634D" w14:textId="77777777" w:rsidR="00082667" w:rsidRPr="00781112" w:rsidRDefault="00082667" w:rsidP="00286BDF">
      <w:pPr>
        <w:rPr>
          <w:rFonts w:cs="Arial"/>
          <w:b/>
          <w:color w:val="000000" w:themeColor="text1"/>
          <w:szCs w:val="16"/>
        </w:rPr>
      </w:pPr>
      <w:r w:rsidRPr="00781112">
        <w:rPr>
          <w:rFonts w:cs="Arial"/>
          <w:b/>
          <w:color w:val="000000" w:themeColor="text1"/>
          <w:szCs w:val="16"/>
        </w:rPr>
        <w:t>State’s definition of “significant discrepancy” and methodology</w:t>
      </w:r>
    </w:p>
    <w:p w14:paraId="37248070" w14:textId="1657C005" w:rsidR="00A869E9" w:rsidRPr="00781112" w:rsidRDefault="002B7490" w:rsidP="0085119E">
      <w:pPr>
        <w:rPr>
          <w:rFonts w:cs="Arial"/>
          <w:color w:val="000000" w:themeColor="text1"/>
          <w:szCs w:val="16"/>
        </w:rPr>
      </w:pPr>
      <w:r w:rsidRPr="00781112">
        <w:rPr>
          <w:rFonts w:cs="Arial"/>
          <w:color w:val="000000" w:themeColor="text1"/>
          <w:szCs w:val="16"/>
        </w:rPr>
        <w:t xml:space="preserve">To determine a significant discrepancy, the State evaluates the degree to which students with disabilities may or may not be at higher risk for being suspended or expelled for greater than 10 days compared to students without disabilities using a rate ratio. Rate ratios were computed for districts with a minimum cell size (numerator) of four students with disabilities suspended or expelled more than ten cumulative school days in a school year, a minimum n size (denominator) of four students with disabilities, and a minimum cell size of at least four students in the comparison group. LEAs that met the minimum cell size and n size were included in the calculation. Of the 197 LEAs in Oregon, 27 LEAs were included in the calculation. Of the 170 LEAs not included in the population, 116 districts had zero students with disabilities removed more than ten school days. Of the 27 included LEAs, those with rate ratios of 2.0 or greater were deemed to have a significant discrepancy. The State requires the follow up activities of reviewing policies, procedures, and practices relating to the development and implementation of IEPs, the use of positive behavioral interventions and supports, and procedural safeguards to be conducted for each identified LEA. From this review, the State determines if any of the flagged LEAs have a significant discrepancy due to noncompliance. The State defines significant discrepancy as a suspension/expulsion rate exceeding 10 days, with a rate ratio greater than 2.0 and more than three IDEA-eligible students experiencing suspensions/expulsions of over 10 days. </w:t>
      </w:r>
    </w:p>
    <w:p w14:paraId="47F07052" w14:textId="3420EC7A" w:rsidR="00BB504D" w:rsidRPr="00781112" w:rsidRDefault="00BB504D" w:rsidP="004369B2">
      <w:pPr>
        <w:rPr>
          <w:b/>
          <w:color w:val="000000" w:themeColor="text1"/>
        </w:rPr>
      </w:pPr>
      <w:bookmarkStart w:id="26" w:name="_Toc384383334"/>
      <w:bookmarkStart w:id="27" w:name="_Toc392159286"/>
      <w:r w:rsidRPr="00781112">
        <w:rPr>
          <w:b/>
          <w:color w:val="000000" w:themeColor="text1"/>
        </w:rPr>
        <w:t>Provide additional information about this indicator (optional)</w:t>
      </w:r>
    </w:p>
    <w:p w14:paraId="0275E470" w14:textId="5748926D" w:rsidR="00A869E9" w:rsidRPr="00781112" w:rsidRDefault="002B7490" w:rsidP="000E33D0">
      <w:pPr>
        <w:rPr>
          <w:rFonts w:cs="Arial"/>
          <w:color w:val="000000" w:themeColor="text1"/>
          <w:szCs w:val="16"/>
        </w:rPr>
      </w:pPr>
      <w:r w:rsidRPr="00781112">
        <w:rPr>
          <w:rFonts w:cs="Arial"/>
          <w:color w:val="000000" w:themeColor="text1"/>
          <w:szCs w:val="16"/>
        </w:rPr>
        <w:t xml:space="preserve">The State performs additional monitoring activities with LEAs that were flagged for Indicator B4A, and for whom it was determined that the significant discrepancy was not indicative of noncompliance with IDEA requirements related to student discipline. During the next subsequent cyclical monitoring cycle, LEAs scheduled to participate in monitoring activities who were also flagged for Indicator B4A reviewed student files using a student discipline protocol containing items specific to compliance with IDEA discipline requirements. Any instances of noncompliance with regulatory requirements identified through the cyclical monitoring file review process were corrected by the LEA, and the State verifies correction, pursuant to OSEP QA 23-01, dated July 24, 2023.  </w:t>
      </w:r>
      <w:r w:rsidRPr="00781112">
        <w:rPr>
          <w:rFonts w:cs="Arial"/>
          <w:color w:val="000000" w:themeColor="text1"/>
          <w:szCs w:val="16"/>
        </w:rPr>
        <w:br/>
      </w:r>
      <w:r w:rsidRPr="00781112">
        <w:rPr>
          <w:rFonts w:cs="Arial"/>
          <w:color w:val="000000" w:themeColor="text1"/>
          <w:szCs w:val="16"/>
        </w:rPr>
        <w:br/>
        <w:t xml:space="preserve"> </w:t>
      </w:r>
      <w:r w:rsidRPr="00781112">
        <w:rPr>
          <w:rFonts w:cs="Arial"/>
          <w:color w:val="000000" w:themeColor="text1"/>
          <w:szCs w:val="16"/>
        </w:rPr>
        <w:br/>
        <w:t xml:space="preserve">Of the 17 LEAs flagged and found to be compliant with requirements for B4A during this reporting period, six LEAs were scheduled to participate in the next subsequent cohort of cyclical monitoring and conducted file reviews of student files using the discipline protocol during the 2023-2024 school year. The remaining 11 LEAs will participate in cyclical monitoring within the following two school years. Any other written findings of noncompliance identified in FFY 2022 not reported in B4B will be reported in B18.  </w:t>
      </w:r>
    </w:p>
    <w:bookmarkEnd w:id="26"/>
    <w:bookmarkEnd w:id="27"/>
    <w:p w14:paraId="227CCB46" w14:textId="77777777" w:rsidR="007E6F97" w:rsidRPr="00781112" w:rsidRDefault="007E6F97" w:rsidP="004369B2">
      <w:pPr>
        <w:rPr>
          <w:color w:val="000000" w:themeColor="text1"/>
        </w:rPr>
      </w:pPr>
    </w:p>
    <w:p w14:paraId="3F63E777" w14:textId="0DC81458" w:rsidR="00082667" w:rsidRPr="00781112" w:rsidRDefault="00082667" w:rsidP="004369B2">
      <w:pPr>
        <w:rPr>
          <w:color w:val="000000" w:themeColor="text1"/>
        </w:rPr>
      </w:pPr>
      <w:r w:rsidRPr="00781112">
        <w:rPr>
          <w:b/>
          <w:color w:val="000000" w:themeColor="text1"/>
        </w:rPr>
        <w:t>Review of Policies, Procedures, and Practices (completed in FFY 2023 using 2022-2023 data)</w:t>
      </w:r>
    </w:p>
    <w:p w14:paraId="76B39D83" w14:textId="1E1AB613" w:rsidR="00082667" w:rsidRPr="00781112" w:rsidRDefault="00571EAB" w:rsidP="00162F4A">
      <w:pPr>
        <w:rPr>
          <w:b/>
          <w:color w:val="000000" w:themeColor="text1"/>
        </w:rPr>
      </w:pPr>
      <w:r w:rsidRPr="00781112">
        <w:rPr>
          <w:b/>
          <w:color w:val="000000" w:themeColor="text1"/>
        </w:rPr>
        <w:t>Provide a description of the review of policies, procedures, and practices relating to the development and implementation of IEPs, the use of positive behavioral interventions and supports, and procedural safeguards.</w:t>
      </w:r>
    </w:p>
    <w:p w14:paraId="040DE8B4" w14:textId="52454A8A" w:rsidR="002D57DA" w:rsidRPr="00781112" w:rsidRDefault="002B7490" w:rsidP="00082667">
      <w:pPr>
        <w:rPr>
          <w:rFonts w:cs="Arial"/>
          <w:color w:val="000000" w:themeColor="text1"/>
          <w:szCs w:val="16"/>
        </w:rPr>
      </w:pPr>
      <w:r w:rsidRPr="00781112">
        <w:rPr>
          <w:rFonts w:cs="Arial"/>
          <w:color w:val="000000" w:themeColor="text1"/>
          <w:szCs w:val="16"/>
        </w:rPr>
        <w:t xml:space="preserve">The State flagged 17 LEAs for this indicator for FFY 2023 using 2022-23 data. As a result of this flagging, policies, procedures, and practices relating to the development and implementation of IEPs, the use of positive behavioral interventions and supports, and procedural safeguards were reviewed. </w:t>
      </w:r>
      <w:r w:rsidRPr="00781112">
        <w:rPr>
          <w:rFonts w:cs="Arial"/>
          <w:color w:val="000000" w:themeColor="text1"/>
          <w:szCs w:val="16"/>
        </w:rPr>
        <w:lastRenderedPageBreak/>
        <w:t xml:space="preserve">Consistent with OSEP QA 23-01, dated July 24, 2023, the State requires revision if any policies, procedures, and practices do not comply with applicable requirements. In FFY 2023, the State did not identify any instances in which the policies, procedures, and practices did not comply with requirements, so no revision was necessary. </w:t>
      </w:r>
      <w:r w:rsidRPr="00781112">
        <w:rPr>
          <w:rFonts w:cs="Arial"/>
          <w:color w:val="000000" w:themeColor="text1"/>
          <w:szCs w:val="16"/>
        </w:rPr>
        <w:br/>
      </w:r>
      <w:r w:rsidRPr="00781112">
        <w:rPr>
          <w:rFonts w:cs="Arial"/>
          <w:color w:val="000000" w:themeColor="text1"/>
          <w:szCs w:val="16"/>
        </w:rPr>
        <w:br/>
        <w:t xml:space="preserve">The State engaged in interviews with the 17 LEAs identified with significant discrepancy as defined by the State based on 2022-23 data. Of the State’s 197 LEAs, 27 LEAs met the minimum n-size to be included in this calculation, as defined by the State. Interviews included a review of each LEA’s policies, procedures, and practices related to three main areas: </w:t>
      </w:r>
      <w:r w:rsidRPr="00781112">
        <w:rPr>
          <w:rFonts w:cs="Arial"/>
          <w:color w:val="000000" w:themeColor="text1"/>
          <w:szCs w:val="16"/>
        </w:rPr>
        <w:br/>
        <w:t xml:space="preserve"> 1. The development and implementation of IEPs; </w:t>
      </w:r>
      <w:r w:rsidRPr="00781112">
        <w:rPr>
          <w:rFonts w:cs="Arial"/>
          <w:color w:val="000000" w:themeColor="text1"/>
          <w:szCs w:val="16"/>
        </w:rPr>
        <w:br/>
        <w:t xml:space="preserve"> 2. The use of positive behavioral interventions and supports; </w:t>
      </w:r>
      <w:r w:rsidRPr="00781112">
        <w:rPr>
          <w:rFonts w:cs="Arial"/>
          <w:color w:val="000000" w:themeColor="text1"/>
          <w:szCs w:val="16"/>
        </w:rPr>
        <w:br/>
        <w:t xml:space="preserve"> 3. The established procedural safeguards, including the manifestation determination review process, within each LEA. </w:t>
      </w:r>
      <w:r w:rsidRPr="00781112">
        <w:rPr>
          <w:rFonts w:cs="Arial"/>
          <w:color w:val="000000" w:themeColor="text1"/>
          <w:szCs w:val="16"/>
        </w:rPr>
        <w:br/>
      </w:r>
      <w:r w:rsidRPr="00781112">
        <w:rPr>
          <w:rFonts w:cs="Arial"/>
          <w:color w:val="000000" w:themeColor="text1"/>
          <w:szCs w:val="16"/>
        </w:rPr>
        <w:br/>
        <w:t xml:space="preserve">Part of the State’s process involved conducting these interviews to ascertain compliance status. Specifically, the State conducted follow-up interviews with the 17 LEAs identified with significant discrepancies as defined by the State.  </w:t>
      </w:r>
      <w:r w:rsidRPr="00781112">
        <w:rPr>
          <w:rFonts w:cs="Arial"/>
          <w:color w:val="000000" w:themeColor="text1"/>
          <w:szCs w:val="16"/>
        </w:rPr>
        <w:br/>
      </w:r>
      <w:r w:rsidRPr="00781112">
        <w:rPr>
          <w:rFonts w:cs="Arial"/>
          <w:color w:val="000000" w:themeColor="text1"/>
          <w:szCs w:val="16"/>
        </w:rPr>
        <w:br/>
        <w:t xml:space="preserve">Based on interviews with the 17 identified LEAs, which included discussions on data, policies, procedures, and practices, the State determined that all were compliant with the Act and effectively implementing regulatory requirements. The flagged discrepancies for this indicator did not indicate noncompliance. In accordance with 34 CFR §300.170(b), the State completed the required reviews for each district and found no instances of noncompliance with Part B requirements. </w:t>
      </w:r>
    </w:p>
    <w:p w14:paraId="47497C41" w14:textId="77777777" w:rsidR="003B64C0" w:rsidRPr="00781112" w:rsidRDefault="003B64C0" w:rsidP="00082667">
      <w:pPr>
        <w:rPr>
          <w:rFonts w:cs="Arial"/>
          <w:color w:val="000000" w:themeColor="text1"/>
          <w:szCs w:val="16"/>
        </w:rPr>
      </w:pPr>
    </w:p>
    <w:p w14:paraId="38E1E629" w14:textId="1EF02333" w:rsidR="003B64C0" w:rsidRPr="00781112" w:rsidRDefault="003B64C0" w:rsidP="00082667">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1295BAEB" w14:textId="77777777" w:rsidR="007E6F97" w:rsidRPr="00781112" w:rsidRDefault="007E6F97" w:rsidP="004369B2">
      <w:pPr>
        <w:rPr>
          <w:color w:val="000000" w:themeColor="text1"/>
        </w:rPr>
      </w:pPr>
      <w:bookmarkStart w:id="28" w:name="_Toc381956335"/>
      <w:bookmarkStart w:id="29" w:name="_Toc384383336"/>
      <w:bookmarkStart w:id="30" w:name="_Toc392159288"/>
    </w:p>
    <w:p w14:paraId="0496594E" w14:textId="4FC1341B" w:rsidR="00B9048A"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PFFYNCFINDINGS"/>
      </w:tblPr>
      <w:tblGrid>
        <w:gridCol w:w="2613"/>
        <w:gridCol w:w="2743"/>
        <w:gridCol w:w="2620"/>
        <w:gridCol w:w="2814"/>
      </w:tblGrid>
      <w:tr w:rsidR="005C29F8" w:rsidRPr="00781112" w14:paraId="5E5B522D" w14:textId="77777777" w:rsidTr="000D3273">
        <w:trPr>
          <w:trHeight w:val="389"/>
          <w:tblHeader/>
        </w:trPr>
        <w:tc>
          <w:tcPr>
            <w:tcW w:w="1211" w:type="pct"/>
            <w:shd w:val="clear" w:color="auto" w:fill="auto"/>
            <w:vAlign w:val="bottom"/>
          </w:tcPr>
          <w:p w14:paraId="16ECB6B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122A58D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7D9FA33F"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704691FC"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1836014" w14:textId="77777777" w:rsidTr="000D3273">
        <w:tc>
          <w:tcPr>
            <w:tcW w:w="1211" w:type="pct"/>
            <w:shd w:val="clear" w:color="auto" w:fill="auto"/>
          </w:tcPr>
          <w:p w14:paraId="706C7C42" w14:textId="616D64A9"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0CE7F01B" w14:textId="4009BBFE"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38F306AA" w14:textId="2CC74FE3"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E536CD7" w14:textId="387A8666" w:rsidR="00B9048A"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809AF49" w14:textId="541B0318" w:rsidR="00B9048A"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PPFFYNCFINDINGS"/>
      </w:tblPr>
      <w:tblGrid>
        <w:gridCol w:w="2216"/>
        <w:gridCol w:w="2922"/>
        <w:gridCol w:w="2913"/>
        <w:gridCol w:w="2739"/>
      </w:tblGrid>
      <w:tr w:rsidR="005C29F8" w:rsidRPr="00781112" w14:paraId="6E94B7A5" w14:textId="77777777" w:rsidTr="00AB0D6A">
        <w:trPr>
          <w:tblHeader/>
        </w:trPr>
        <w:tc>
          <w:tcPr>
            <w:tcW w:w="1027" w:type="pct"/>
            <w:shd w:val="clear" w:color="auto" w:fill="auto"/>
            <w:vAlign w:val="bottom"/>
          </w:tcPr>
          <w:p w14:paraId="673CA265" w14:textId="007E8E78" w:rsidR="00B9048A" w:rsidRPr="00781112" w:rsidRDefault="0016730D" w:rsidP="001F692C">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54" w:type="pct"/>
            <w:shd w:val="clear" w:color="auto" w:fill="auto"/>
            <w:vAlign w:val="bottom"/>
          </w:tcPr>
          <w:p w14:paraId="1C2EE691" w14:textId="2B528E22" w:rsidR="00B9048A" w:rsidRPr="00781112" w:rsidRDefault="00450F98" w:rsidP="001F692C">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50" w:type="pct"/>
            <w:shd w:val="clear" w:color="auto" w:fill="auto"/>
            <w:vAlign w:val="bottom"/>
          </w:tcPr>
          <w:p w14:paraId="4E501567"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7151EA41" w14:textId="77777777" w:rsidR="00B9048A" w:rsidRPr="00781112" w:rsidRDefault="00B9048A" w:rsidP="001F692C">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80087A2" w14:textId="77777777" w:rsidTr="00AB0D6A">
        <w:tc>
          <w:tcPr>
            <w:tcW w:w="1027" w:type="pct"/>
            <w:shd w:val="clear" w:color="auto" w:fill="auto"/>
          </w:tcPr>
          <w:p w14:paraId="5A5634D8" w14:textId="5AC3BEAC" w:rsidR="000C7B90" w:rsidRPr="00781112" w:rsidRDefault="000C7B90" w:rsidP="00A018D4">
            <w:pPr>
              <w:jc w:val="center"/>
              <w:rPr>
                <w:rFonts w:cs="Arial"/>
                <w:color w:val="000000" w:themeColor="text1"/>
                <w:szCs w:val="16"/>
              </w:rPr>
            </w:pPr>
          </w:p>
        </w:tc>
        <w:tc>
          <w:tcPr>
            <w:tcW w:w="1354" w:type="pct"/>
            <w:shd w:val="clear" w:color="auto" w:fill="auto"/>
          </w:tcPr>
          <w:p w14:paraId="38361EB5" w14:textId="479B3693" w:rsidR="000C7B90" w:rsidRPr="00781112" w:rsidRDefault="000C7B90">
            <w:pPr>
              <w:jc w:val="center"/>
              <w:rPr>
                <w:rFonts w:cs="Arial"/>
                <w:noProof/>
                <w:color w:val="000000" w:themeColor="text1"/>
                <w:szCs w:val="16"/>
              </w:rPr>
            </w:pPr>
          </w:p>
        </w:tc>
        <w:tc>
          <w:tcPr>
            <w:tcW w:w="1350" w:type="pct"/>
            <w:shd w:val="clear" w:color="auto" w:fill="auto"/>
          </w:tcPr>
          <w:p w14:paraId="0F44D03C" w14:textId="3887F715" w:rsidR="000C7B90" w:rsidRPr="00781112" w:rsidRDefault="000C7B90">
            <w:pPr>
              <w:jc w:val="center"/>
              <w:rPr>
                <w:rFonts w:cs="Arial"/>
                <w:noProof/>
                <w:color w:val="000000" w:themeColor="text1"/>
                <w:szCs w:val="16"/>
              </w:rPr>
            </w:pPr>
          </w:p>
        </w:tc>
        <w:tc>
          <w:tcPr>
            <w:tcW w:w="1269" w:type="pct"/>
            <w:shd w:val="clear" w:color="auto" w:fill="auto"/>
          </w:tcPr>
          <w:p w14:paraId="5DF55667" w14:textId="0913E6B4" w:rsidR="000C7B90" w:rsidRPr="00781112" w:rsidRDefault="000C7B90">
            <w:pPr>
              <w:jc w:val="center"/>
              <w:rPr>
                <w:rFonts w:cs="Arial"/>
                <w:noProof/>
                <w:color w:val="000000" w:themeColor="text1"/>
                <w:szCs w:val="16"/>
              </w:rPr>
            </w:pPr>
          </w:p>
        </w:tc>
      </w:tr>
      <w:tr w:rsidR="005C29F8" w:rsidRPr="00781112" w14:paraId="3BB76F7F" w14:textId="77777777" w:rsidTr="00AB0D6A">
        <w:tc>
          <w:tcPr>
            <w:tcW w:w="1027" w:type="pct"/>
            <w:shd w:val="clear" w:color="auto" w:fill="auto"/>
          </w:tcPr>
          <w:p w14:paraId="3E53BDFC" w14:textId="49B50F7D" w:rsidR="000C7B90" w:rsidRPr="00781112" w:rsidRDefault="000C7B90" w:rsidP="00A018D4">
            <w:pPr>
              <w:jc w:val="center"/>
              <w:rPr>
                <w:rFonts w:cs="Arial"/>
                <w:color w:val="000000" w:themeColor="text1"/>
                <w:szCs w:val="16"/>
              </w:rPr>
            </w:pPr>
          </w:p>
        </w:tc>
        <w:tc>
          <w:tcPr>
            <w:tcW w:w="1354" w:type="pct"/>
            <w:shd w:val="clear" w:color="auto" w:fill="auto"/>
          </w:tcPr>
          <w:p w14:paraId="2DAC4ACF" w14:textId="6DFB36C9" w:rsidR="000C7B90" w:rsidRPr="00781112" w:rsidRDefault="000C7B90">
            <w:pPr>
              <w:jc w:val="center"/>
              <w:rPr>
                <w:rFonts w:cs="Arial"/>
                <w:noProof/>
                <w:color w:val="000000" w:themeColor="text1"/>
                <w:szCs w:val="16"/>
              </w:rPr>
            </w:pPr>
          </w:p>
        </w:tc>
        <w:tc>
          <w:tcPr>
            <w:tcW w:w="1350" w:type="pct"/>
            <w:shd w:val="clear" w:color="auto" w:fill="auto"/>
          </w:tcPr>
          <w:p w14:paraId="45BEAE02" w14:textId="10E4F499" w:rsidR="000C7B90" w:rsidRPr="00781112" w:rsidRDefault="000C7B90">
            <w:pPr>
              <w:jc w:val="center"/>
              <w:rPr>
                <w:rFonts w:cs="Arial"/>
                <w:noProof/>
                <w:color w:val="000000" w:themeColor="text1"/>
                <w:szCs w:val="16"/>
              </w:rPr>
            </w:pPr>
          </w:p>
        </w:tc>
        <w:tc>
          <w:tcPr>
            <w:tcW w:w="1269" w:type="pct"/>
            <w:shd w:val="clear" w:color="auto" w:fill="auto"/>
          </w:tcPr>
          <w:p w14:paraId="3F264F27" w14:textId="46B36D97" w:rsidR="000C7B90" w:rsidRPr="00781112" w:rsidRDefault="000C7B90">
            <w:pPr>
              <w:jc w:val="center"/>
              <w:rPr>
                <w:rFonts w:cs="Arial"/>
                <w:noProof/>
                <w:color w:val="000000" w:themeColor="text1"/>
                <w:szCs w:val="16"/>
              </w:rPr>
            </w:pPr>
          </w:p>
        </w:tc>
      </w:tr>
      <w:tr w:rsidR="005C29F8" w:rsidRPr="00781112" w14:paraId="21B66B81" w14:textId="77777777" w:rsidTr="00AB0D6A">
        <w:tc>
          <w:tcPr>
            <w:tcW w:w="1027" w:type="pct"/>
            <w:shd w:val="clear" w:color="auto" w:fill="auto"/>
          </w:tcPr>
          <w:p w14:paraId="65918C5C" w14:textId="6650DAE7" w:rsidR="000C7B90" w:rsidRPr="00781112" w:rsidRDefault="000C7B90" w:rsidP="00A018D4">
            <w:pPr>
              <w:jc w:val="center"/>
              <w:rPr>
                <w:rFonts w:cs="Arial"/>
                <w:color w:val="000000" w:themeColor="text1"/>
                <w:szCs w:val="16"/>
              </w:rPr>
            </w:pPr>
          </w:p>
        </w:tc>
        <w:tc>
          <w:tcPr>
            <w:tcW w:w="1354" w:type="pct"/>
            <w:shd w:val="clear" w:color="auto" w:fill="auto"/>
          </w:tcPr>
          <w:p w14:paraId="1BC28F5F" w14:textId="383929AE" w:rsidR="000C7B90" w:rsidRPr="00781112" w:rsidRDefault="000C7B90">
            <w:pPr>
              <w:jc w:val="center"/>
              <w:rPr>
                <w:rFonts w:cs="Arial"/>
                <w:noProof/>
                <w:color w:val="000000" w:themeColor="text1"/>
                <w:szCs w:val="16"/>
              </w:rPr>
            </w:pPr>
          </w:p>
        </w:tc>
        <w:tc>
          <w:tcPr>
            <w:tcW w:w="1350" w:type="pct"/>
            <w:shd w:val="clear" w:color="auto" w:fill="auto"/>
          </w:tcPr>
          <w:p w14:paraId="12030336" w14:textId="25AE5462" w:rsidR="000C7B90" w:rsidRPr="00781112" w:rsidRDefault="000C7B90">
            <w:pPr>
              <w:jc w:val="center"/>
              <w:rPr>
                <w:rFonts w:cs="Arial"/>
                <w:noProof/>
                <w:color w:val="000000" w:themeColor="text1"/>
                <w:szCs w:val="16"/>
              </w:rPr>
            </w:pPr>
          </w:p>
        </w:tc>
        <w:tc>
          <w:tcPr>
            <w:tcW w:w="1269" w:type="pct"/>
            <w:shd w:val="clear" w:color="auto" w:fill="auto"/>
          </w:tcPr>
          <w:p w14:paraId="189EDDF9" w14:textId="00F3EE08" w:rsidR="000C7B90" w:rsidRPr="00781112" w:rsidRDefault="000C7B90">
            <w:pPr>
              <w:jc w:val="center"/>
              <w:rPr>
                <w:rFonts w:cs="Arial"/>
                <w:noProof/>
                <w:color w:val="000000" w:themeColor="text1"/>
                <w:szCs w:val="16"/>
              </w:rPr>
            </w:pPr>
          </w:p>
        </w:tc>
      </w:tr>
      <w:tr w:rsidR="004C5DF4" w:rsidRPr="00781112" w14:paraId="7C579D4A" w14:textId="77777777" w:rsidTr="00AB0D6A">
        <w:tc>
          <w:tcPr>
            <w:tcW w:w="1027" w:type="pct"/>
            <w:shd w:val="clear" w:color="auto" w:fill="auto"/>
          </w:tcPr>
          <w:p w14:paraId="2B92F4F2" w14:textId="5AAF6AE3" w:rsidR="004C5DF4" w:rsidRPr="00781112" w:rsidRDefault="004C5DF4" w:rsidP="004C5DF4">
            <w:pPr>
              <w:jc w:val="center"/>
              <w:rPr>
                <w:rFonts w:cs="Arial"/>
                <w:color w:val="000000" w:themeColor="text1"/>
                <w:szCs w:val="16"/>
              </w:rPr>
            </w:pPr>
          </w:p>
        </w:tc>
        <w:tc>
          <w:tcPr>
            <w:tcW w:w="1354" w:type="pct"/>
            <w:shd w:val="clear" w:color="auto" w:fill="auto"/>
          </w:tcPr>
          <w:p w14:paraId="3FCBA488" w14:textId="7394AB3D" w:rsidR="004C5DF4" w:rsidRPr="00781112" w:rsidRDefault="004C5DF4" w:rsidP="004C5DF4">
            <w:pPr>
              <w:jc w:val="center"/>
              <w:rPr>
                <w:rFonts w:cs="Arial"/>
                <w:color w:val="000000" w:themeColor="text1"/>
                <w:szCs w:val="16"/>
              </w:rPr>
            </w:pPr>
          </w:p>
        </w:tc>
        <w:tc>
          <w:tcPr>
            <w:tcW w:w="1350" w:type="pct"/>
            <w:shd w:val="clear" w:color="auto" w:fill="auto"/>
          </w:tcPr>
          <w:p w14:paraId="0273CD3A" w14:textId="76228D3D" w:rsidR="004C5DF4" w:rsidRPr="00781112" w:rsidRDefault="004C5DF4" w:rsidP="004C5DF4">
            <w:pPr>
              <w:jc w:val="center"/>
              <w:rPr>
                <w:rFonts w:cs="Arial"/>
                <w:color w:val="000000" w:themeColor="text1"/>
                <w:szCs w:val="16"/>
              </w:rPr>
            </w:pPr>
          </w:p>
        </w:tc>
        <w:tc>
          <w:tcPr>
            <w:tcW w:w="1269" w:type="pct"/>
            <w:shd w:val="clear" w:color="auto" w:fill="auto"/>
          </w:tcPr>
          <w:p w14:paraId="2F94D90D" w14:textId="46195C23" w:rsidR="004C5DF4" w:rsidRPr="00781112" w:rsidRDefault="004C5DF4" w:rsidP="004C5DF4">
            <w:pPr>
              <w:jc w:val="center"/>
              <w:rPr>
                <w:rFonts w:cs="Arial"/>
                <w:color w:val="000000" w:themeColor="text1"/>
                <w:szCs w:val="16"/>
              </w:rPr>
            </w:pPr>
          </w:p>
        </w:tc>
      </w:tr>
      <w:tr w:rsidR="004C5DF4" w:rsidRPr="00781112" w14:paraId="7E70640E" w14:textId="77777777" w:rsidTr="00AB0D6A">
        <w:tc>
          <w:tcPr>
            <w:tcW w:w="1027" w:type="pct"/>
            <w:shd w:val="clear" w:color="auto" w:fill="auto"/>
          </w:tcPr>
          <w:p w14:paraId="32E87A6E" w14:textId="4CC65F23" w:rsidR="004C5DF4" w:rsidRPr="00781112" w:rsidRDefault="004C5DF4" w:rsidP="004C5DF4">
            <w:pPr>
              <w:jc w:val="center"/>
              <w:rPr>
                <w:rFonts w:cs="Arial"/>
                <w:color w:val="000000" w:themeColor="text1"/>
                <w:szCs w:val="16"/>
              </w:rPr>
            </w:pPr>
          </w:p>
        </w:tc>
        <w:tc>
          <w:tcPr>
            <w:tcW w:w="1354" w:type="pct"/>
            <w:shd w:val="clear" w:color="auto" w:fill="auto"/>
          </w:tcPr>
          <w:p w14:paraId="1BAD93A6" w14:textId="0DBDC82C" w:rsidR="004C5DF4" w:rsidRPr="00781112" w:rsidRDefault="004C5DF4" w:rsidP="004C5DF4">
            <w:pPr>
              <w:jc w:val="center"/>
              <w:rPr>
                <w:rFonts w:cs="Arial"/>
                <w:color w:val="000000" w:themeColor="text1"/>
                <w:szCs w:val="16"/>
              </w:rPr>
            </w:pPr>
          </w:p>
        </w:tc>
        <w:tc>
          <w:tcPr>
            <w:tcW w:w="1350" w:type="pct"/>
            <w:shd w:val="clear" w:color="auto" w:fill="auto"/>
          </w:tcPr>
          <w:p w14:paraId="6D05F7EE" w14:textId="2C1BB100" w:rsidR="004C5DF4" w:rsidRPr="00781112" w:rsidRDefault="004C5DF4" w:rsidP="004C5DF4">
            <w:pPr>
              <w:jc w:val="center"/>
              <w:rPr>
                <w:rFonts w:cs="Arial"/>
                <w:color w:val="000000" w:themeColor="text1"/>
                <w:szCs w:val="16"/>
              </w:rPr>
            </w:pPr>
          </w:p>
        </w:tc>
        <w:tc>
          <w:tcPr>
            <w:tcW w:w="1269" w:type="pct"/>
            <w:shd w:val="clear" w:color="auto" w:fill="auto"/>
          </w:tcPr>
          <w:p w14:paraId="1905613F" w14:textId="4451076C" w:rsidR="004C5DF4" w:rsidRPr="00781112" w:rsidRDefault="004C5DF4" w:rsidP="004C5DF4">
            <w:pPr>
              <w:jc w:val="center"/>
              <w:rPr>
                <w:rFonts w:cs="Arial"/>
                <w:color w:val="000000" w:themeColor="text1"/>
                <w:szCs w:val="16"/>
              </w:rPr>
            </w:pPr>
          </w:p>
        </w:tc>
      </w:tr>
    </w:tbl>
    <w:p w14:paraId="5AF33F49" w14:textId="77777777" w:rsidR="00685C73" w:rsidRPr="00781112" w:rsidRDefault="00685C73" w:rsidP="000C7B90">
      <w:pPr>
        <w:rPr>
          <w:rFonts w:cs="Arial"/>
          <w:color w:val="000000" w:themeColor="text1"/>
          <w:szCs w:val="16"/>
        </w:rPr>
      </w:pPr>
    </w:p>
    <w:p w14:paraId="21AE82C7" w14:textId="33B9781C" w:rsidR="004E2151" w:rsidRPr="00781112" w:rsidRDefault="00697434" w:rsidP="005B40C0">
      <w:pPr>
        <w:pStyle w:val="Heading3"/>
      </w:pPr>
      <w:r w:rsidRPr="00781112">
        <w:t>4A</w:t>
      </w:r>
      <w:r w:rsidR="00DA3C7A" w:rsidRPr="00781112">
        <w:t xml:space="preserve"> </w:t>
      </w:r>
      <w:r w:rsidRPr="00781112">
        <w:t xml:space="preserve">- </w:t>
      </w:r>
      <w:r w:rsidR="004E2151" w:rsidRPr="00781112">
        <w:t>Prior FFY Required Actions</w:t>
      </w:r>
    </w:p>
    <w:p w14:paraId="3EDBC3E4" w14:textId="0BA98152" w:rsidR="004E2151" w:rsidRPr="00781112" w:rsidRDefault="002B7490" w:rsidP="004E2151">
      <w:pPr>
        <w:rPr>
          <w:rFonts w:cs="Arial"/>
          <w:color w:val="000000" w:themeColor="text1"/>
          <w:szCs w:val="16"/>
        </w:rPr>
      </w:pPr>
      <w:r w:rsidRPr="00781112">
        <w:rPr>
          <w:rFonts w:cs="Arial"/>
          <w:color w:val="000000" w:themeColor="text1"/>
          <w:szCs w:val="16"/>
        </w:rPr>
        <w:t>None</w:t>
      </w:r>
    </w:p>
    <w:p w14:paraId="54E863CC" w14:textId="77777777" w:rsidR="009B02BC" w:rsidRPr="00781112" w:rsidRDefault="009B02BC" w:rsidP="004E2151">
      <w:pPr>
        <w:rPr>
          <w:rFonts w:cs="Arial"/>
          <w:color w:val="000000" w:themeColor="text1"/>
          <w:szCs w:val="16"/>
        </w:rPr>
      </w:pPr>
    </w:p>
    <w:p w14:paraId="1480A7D2" w14:textId="5B38CB62" w:rsidR="009B02BC" w:rsidRPr="00781112" w:rsidRDefault="009B02BC" w:rsidP="004E2151">
      <w:pPr>
        <w:rPr>
          <w:rFonts w:cs="Arial"/>
          <w:color w:val="000000" w:themeColor="text1"/>
          <w:szCs w:val="16"/>
        </w:rPr>
      </w:pPr>
    </w:p>
    <w:p w14:paraId="537673C8" w14:textId="6D41A3A2" w:rsidR="005115D6" w:rsidRPr="00781112" w:rsidRDefault="001E2193" w:rsidP="005B40C0">
      <w:pPr>
        <w:pStyle w:val="Heading3"/>
      </w:pPr>
      <w:r w:rsidRPr="00781112">
        <w:t>4A - OSEP Response</w:t>
      </w:r>
    </w:p>
    <w:p w14:paraId="6408916F" w14:textId="5ADBBBB9" w:rsidR="002D57DA" w:rsidRPr="00781112" w:rsidRDefault="002D57DA" w:rsidP="00212954">
      <w:pPr>
        <w:rPr>
          <w:rFonts w:cs="Arial"/>
          <w:color w:val="000000" w:themeColor="text1"/>
          <w:szCs w:val="16"/>
        </w:rPr>
      </w:pPr>
    </w:p>
    <w:p w14:paraId="146BDB91" w14:textId="0A2F7969" w:rsidR="005115D6" w:rsidRPr="00781112" w:rsidRDefault="00697434" w:rsidP="005B40C0">
      <w:pPr>
        <w:pStyle w:val="Heading3"/>
      </w:pPr>
      <w:r w:rsidRPr="00781112">
        <w:t>4A - Required Actions</w:t>
      </w:r>
    </w:p>
    <w:p w14:paraId="37BECDFE" w14:textId="2A43AB88" w:rsidR="002D57DA" w:rsidRPr="00781112" w:rsidRDefault="002D57DA" w:rsidP="00212954">
      <w:pPr>
        <w:rPr>
          <w:rFonts w:cs="Arial"/>
          <w:color w:val="000000" w:themeColor="text1"/>
          <w:szCs w:val="16"/>
        </w:rPr>
      </w:pPr>
    </w:p>
    <w:p w14:paraId="5E6ED969"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58544B7" w14:textId="204E8DB3" w:rsidR="00D03701" w:rsidRPr="00781112" w:rsidRDefault="00D03701" w:rsidP="005B40C0">
      <w:pPr>
        <w:pStyle w:val="Heading2"/>
      </w:pPr>
      <w:r w:rsidRPr="00781112">
        <w:rPr>
          <w:color w:val="000000" w:themeColor="text1"/>
          <w:sz w:val="22"/>
        </w:rPr>
        <w:lastRenderedPageBreak/>
        <w:t>Indicator 4B: Suspension/Expulsion</w:t>
      </w:r>
      <w:bookmarkEnd w:id="28"/>
      <w:bookmarkEnd w:id="29"/>
      <w:bookmarkEnd w:id="30"/>
    </w:p>
    <w:p w14:paraId="1BA30D93" w14:textId="515996E4" w:rsidR="008637F8" w:rsidRPr="002C274F" w:rsidRDefault="008637F8" w:rsidP="002C274F">
      <w:pPr>
        <w:rPr>
          <w:b/>
          <w:bCs/>
          <w:sz w:val="20"/>
          <w:szCs w:val="20"/>
        </w:rPr>
      </w:pPr>
      <w:bookmarkStart w:id="31" w:name="_Toc384383338"/>
      <w:bookmarkStart w:id="32" w:name="_Toc392159290"/>
      <w:r w:rsidRPr="002C274F">
        <w:rPr>
          <w:b/>
          <w:bCs/>
          <w:sz w:val="20"/>
          <w:szCs w:val="20"/>
        </w:rPr>
        <w:t xml:space="preserve">Instructions and Measurement </w:t>
      </w:r>
    </w:p>
    <w:p w14:paraId="0904D95C" w14:textId="6ABD6544" w:rsidR="00413366" w:rsidRPr="00781112" w:rsidRDefault="00413366"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7516B53F" w14:textId="25CEE127" w:rsidR="00413366" w:rsidRPr="00781112" w:rsidRDefault="00C56D79" w:rsidP="009A755E">
      <w:pPr>
        <w:rPr>
          <w:rFonts w:cs="Arial"/>
          <w:color w:val="000000" w:themeColor="text1"/>
          <w:szCs w:val="16"/>
        </w:rPr>
      </w:pPr>
      <w:r w:rsidRPr="00781112">
        <w:rPr>
          <w:rFonts w:cs="Arial"/>
          <w:b/>
          <w:color w:val="000000" w:themeColor="text1"/>
          <w:szCs w:val="16"/>
        </w:rPr>
        <w:t>Compliance Indicator:</w:t>
      </w:r>
      <w:r w:rsidR="009A755E" w:rsidRPr="00781112">
        <w:rPr>
          <w:rFonts w:cs="Arial"/>
          <w:color w:val="000000" w:themeColor="text1"/>
          <w:szCs w:val="16"/>
        </w:rPr>
        <w:t xml:space="preserve"> </w:t>
      </w:r>
      <w:r w:rsidR="00413366" w:rsidRPr="00781112">
        <w:rPr>
          <w:rFonts w:cs="Arial"/>
          <w:color w:val="000000" w:themeColor="text1"/>
          <w:szCs w:val="16"/>
        </w:rPr>
        <w:t>Rates of suspension and expulsion:</w:t>
      </w:r>
    </w:p>
    <w:p w14:paraId="3739388D" w14:textId="512C0A32" w:rsidR="00B01978" w:rsidRPr="00781112" w:rsidRDefault="00B01978" w:rsidP="00360DD6">
      <w:pPr>
        <w:ind w:left="360"/>
        <w:rPr>
          <w:rFonts w:cs="Arial"/>
          <w:szCs w:val="16"/>
        </w:rPr>
      </w:pPr>
      <w:r w:rsidRPr="00781112">
        <w:rPr>
          <w:rFonts w:cs="Arial"/>
          <w:color w:val="000000" w:themeColor="text1"/>
          <w:szCs w:val="16"/>
        </w:rPr>
        <w:tab/>
        <w:t xml:space="preserve">A. </w:t>
      </w:r>
      <w:r w:rsidRPr="00741A36">
        <w:rPr>
          <w:rFonts w:cs="Arial"/>
          <w:szCs w:val="16"/>
        </w:rPr>
        <w:t>Percent of local educational</w:t>
      </w:r>
      <w:r w:rsidRPr="00781112">
        <w:rPr>
          <w:rFonts w:cs="Arial"/>
          <w:szCs w:val="16"/>
        </w:rPr>
        <w:t xml:space="preserve"> agencies (LEA) that have a significant discrepancy, as defined by the State, in the rate of suspensions and </w:t>
      </w:r>
      <w:r w:rsidR="002D3270" w:rsidRPr="00781112">
        <w:rPr>
          <w:rFonts w:cs="Arial"/>
          <w:szCs w:val="16"/>
        </w:rPr>
        <w:tab/>
      </w:r>
      <w:r w:rsidRPr="00781112">
        <w:rPr>
          <w:rFonts w:cs="Arial"/>
          <w:szCs w:val="16"/>
        </w:rPr>
        <w:t>expulsions of greater than 10 days in a school year for children with IEPs; and</w:t>
      </w:r>
    </w:p>
    <w:p w14:paraId="021F68CD" w14:textId="4F839DD4" w:rsidR="00413366" w:rsidRPr="00781112" w:rsidRDefault="001D5BAF" w:rsidP="006A01BD">
      <w:pPr>
        <w:ind w:left="720"/>
        <w:rPr>
          <w:rFonts w:cs="Arial"/>
          <w:color w:val="000000" w:themeColor="text1"/>
          <w:szCs w:val="16"/>
        </w:rPr>
      </w:pPr>
      <w:r w:rsidRPr="00781112">
        <w:rPr>
          <w:rFonts w:cs="Arial"/>
          <w:color w:val="000000" w:themeColor="text1"/>
          <w:szCs w:val="16"/>
        </w:rPr>
        <w:t>B. Percent of LEAs that have: (a) a significant discrepancy,</w:t>
      </w:r>
      <w:r w:rsidR="007F1D12" w:rsidRPr="00781112">
        <w:rPr>
          <w:rFonts w:cs="Arial"/>
          <w:szCs w:val="16"/>
        </w:rPr>
        <w:t xml:space="preserve"> as defined by the State, </w:t>
      </w:r>
      <w:r w:rsidRPr="00781112">
        <w:rPr>
          <w:rFonts w:cs="Arial"/>
          <w:color w:val="000000" w:themeColor="text1"/>
          <w:szCs w:val="16"/>
        </w:rPr>
        <w:t>by race or ethnicity</w:t>
      </w:r>
      <w:r w:rsidR="00413366" w:rsidRPr="00781112">
        <w:rPr>
          <w:rFonts w:cs="Arial"/>
          <w:bCs/>
          <w:color w:val="000000" w:themeColor="text1"/>
          <w:szCs w:val="16"/>
          <w:shd w:val="clear" w:color="auto" w:fill="FFFFFF"/>
        </w:rPr>
        <w:t>, in the rate of suspensions and expulsions of greater than 10 days in a school year for children with IEPs; and (b) policies, procedures or practices that contribute to the significant discrepancy</w:t>
      </w:r>
      <w:r w:rsidR="000C0565" w:rsidRPr="00781112">
        <w:rPr>
          <w:rFonts w:cs="Arial"/>
          <w:bCs/>
          <w:color w:val="000000" w:themeColor="text1"/>
          <w:szCs w:val="16"/>
          <w:shd w:val="clear" w:color="auto" w:fill="FFFFFF"/>
        </w:rPr>
        <w:t xml:space="preserve">, </w:t>
      </w:r>
      <w:r w:rsidR="000C0565" w:rsidRPr="00781112">
        <w:rPr>
          <w:rFonts w:cs="Arial"/>
          <w:szCs w:val="16"/>
        </w:rPr>
        <w:t xml:space="preserve">as defined by the State, </w:t>
      </w:r>
      <w:r w:rsidR="00413366" w:rsidRPr="00781112">
        <w:rPr>
          <w:rFonts w:cs="Arial"/>
          <w:bCs/>
          <w:color w:val="000000" w:themeColor="text1"/>
          <w:szCs w:val="16"/>
          <w:shd w:val="clear" w:color="auto" w:fill="FFFFFF"/>
        </w:rPr>
        <w:t>and do not comply with requirements relating to the development and implementation of IEPs, the use of positive behavioral interventions and supports, and procedural safeguards.</w:t>
      </w:r>
    </w:p>
    <w:p w14:paraId="7034F485" w14:textId="41B53DB5" w:rsidR="0011074D" w:rsidRPr="00781112" w:rsidRDefault="0011074D" w:rsidP="0011074D">
      <w:pPr>
        <w:rPr>
          <w:rFonts w:cs="Arial"/>
          <w:color w:val="000000" w:themeColor="text1"/>
          <w:szCs w:val="16"/>
        </w:rPr>
      </w:pPr>
      <w:r w:rsidRPr="00781112">
        <w:rPr>
          <w:rFonts w:cs="Arial"/>
          <w:color w:val="000000" w:themeColor="text1"/>
          <w:szCs w:val="16"/>
        </w:rPr>
        <w:t>(20 U.S.C. 1416(a)(3)(A); 1412(a)(22))</w:t>
      </w:r>
    </w:p>
    <w:p w14:paraId="5F946B13" w14:textId="77777777" w:rsidR="00413366" w:rsidRPr="00781112" w:rsidRDefault="00413366" w:rsidP="004369B2">
      <w:pPr>
        <w:rPr>
          <w:color w:val="000000" w:themeColor="text1"/>
        </w:rPr>
      </w:pPr>
      <w:r w:rsidRPr="00781112">
        <w:rPr>
          <w:b/>
          <w:color w:val="000000" w:themeColor="text1"/>
        </w:rPr>
        <w:t>Data Source</w:t>
      </w:r>
    </w:p>
    <w:p w14:paraId="5BDC9967" w14:textId="77777777" w:rsidR="00413366" w:rsidRPr="00781112" w:rsidRDefault="00413366" w:rsidP="00BB7BC9">
      <w:pPr>
        <w:rPr>
          <w:rFonts w:cs="Arial"/>
          <w:color w:val="000000" w:themeColor="text1"/>
          <w:szCs w:val="16"/>
        </w:rPr>
      </w:pPr>
      <w:r w:rsidRPr="00781112">
        <w:rPr>
          <w:rFonts w:cs="Arial"/>
          <w:color w:val="000000" w:themeColor="text1"/>
          <w:szCs w:val="16"/>
        </w:rPr>
        <w:t xml:space="preserve">State </w:t>
      </w:r>
      <w:r w:rsidRPr="00781112">
        <w:rPr>
          <w:rFonts w:cs="Arial"/>
          <w:color w:val="000000" w:themeColor="text1"/>
          <w:szCs w:val="16"/>
          <w:shd w:val="clear" w:color="auto" w:fill="FFFFFF"/>
        </w:rPr>
        <w:t>discipline data, including State’s analysis of State’s Discipline data collected under IDEA Section 618, where applicable. Discrepancy can be computed by either comparing the rates of suspensions and expulsions for children with IEPs to rates for nondisabled children within the LEA or by comparing the rates of suspensions and expulsions for children with IEPs among LEAs within the State.</w:t>
      </w:r>
    </w:p>
    <w:p w14:paraId="38F5E274" w14:textId="77777777" w:rsidR="00413366" w:rsidRPr="00781112" w:rsidRDefault="00413366" w:rsidP="004369B2">
      <w:pPr>
        <w:rPr>
          <w:color w:val="000000" w:themeColor="text1"/>
        </w:rPr>
      </w:pPr>
      <w:r w:rsidRPr="00781112">
        <w:rPr>
          <w:b/>
          <w:color w:val="000000" w:themeColor="text1"/>
        </w:rPr>
        <w:t>Measurement</w:t>
      </w:r>
    </w:p>
    <w:p w14:paraId="509BF292" w14:textId="47666D05" w:rsidR="00413366" w:rsidRPr="00781112" w:rsidRDefault="00413366" w:rsidP="00286BDF">
      <w:pPr>
        <w:rPr>
          <w:rFonts w:cs="Arial"/>
          <w:color w:val="000000" w:themeColor="text1"/>
          <w:szCs w:val="16"/>
        </w:rPr>
      </w:pPr>
      <w:r w:rsidRPr="00781112">
        <w:rPr>
          <w:rFonts w:cs="Arial"/>
          <w:color w:val="000000" w:themeColor="text1"/>
          <w:szCs w:val="16"/>
        </w:rPr>
        <w:t xml:space="preserve">Percent </w:t>
      </w:r>
      <w:r w:rsidRPr="00781112">
        <w:rPr>
          <w:rFonts w:cs="Arial"/>
          <w:color w:val="000000" w:themeColor="text1"/>
          <w:szCs w:val="16"/>
          <w:shd w:val="clear" w:color="auto" w:fill="FFFFFF"/>
        </w:rPr>
        <w:t xml:space="preserve">= </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 xml:space="preserve">of </w:t>
      </w:r>
      <w:r w:rsidR="000C0565"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that meet the State-established n </w:t>
      </w:r>
      <w:r w:rsidR="000C0565"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 xml:space="preserve">size (if applicable) for one or more racial/ethnic groups that have: (a) a significant discrepancy, </w:t>
      </w:r>
      <w:r w:rsidR="000C0565" w:rsidRPr="00781112">
        <w:rPr>
          <w:rFonts w:cs="Arial"/>
          <w:szCs w:val="16"/>
        </w:rPr>
        <w:t xml:space="preserve">as defined by the State, </w:t>
      </w:r>
      <w:r w:rsidRPr="00781112">
        <w:rPr>
          <w:rFonts w:cs="Arial"/>
          <w:color w:val="000000" w:themeColor="text1"/>
          <w:szCs w:val="16"/>
          <w:shd w:val="clear" w:color="auto" w:fill="FFFFFF"/>
        </w:rPr>
        <w:t xml:space="preserve">by race or ethnicity, in the rates of suspensions and expulsions of </w:t>
      </w:r>
      <w:r w:rsidR="00D124AA" w:rsidRPr="00781112">
        <w:rPr>
          <w:rFonts w:cs="Arial"/>
          <w:color w:val="000000" w:themeColor="text1"/>
          <w:szCs w:val="16"/>
          <w:shd w:val="clear" w:color="auto" w:fill="FFFFFF"/>
        </w:rPr>
        <w:t xml:space="preserve">more </w:t>
      </w:r>
      <w:r w:rsidRPr="00781112">
        <w:rPr>
          <w:rFonts w:cs="Arial"/>
          <w:color w:val="000000" w:themeColor="text1"/>
          <w:szCs w:val="16"/>
          <w:shd w:val="clear" w:color="auto" w:fill="FFFFFF"/>
        </w:rPr>
        <w:t xml:space="preserve">than 10 days </w:t>
      </w:r>
      <w:r w:rsidR="00D124AA" w:rsidRPr="00781112">
        <w:rPr>
          <w:rFonts w:cs="Arial"/>
          <w:color w:val="000000" w:themeColor="text1"/>
          <w:szCs w:val="16"/>
          <w:shd w:val="clear" w:color="auto" w:fill="FFFFFF"/>
        </w:rPr>
        <w:t xml:space="preserve">during the </w:t>
      </w:r>
      <w:r w:rsidRPr="00781112">
        <w:rPr>
          <w:rFonts w:cs="Arial"/>
          <w:color w:val="000000" w:themeColor="text1"/>
          <w:szCs w:val="16"/>
          <w:shd w:val="clear" w:color="auto" w:fill="FFFFFF"/>
        </w:rPr>
        <w:t>school year of children with IEPs; and (b) policies, procedures or practices that contribute to the significant discrepancy</w:t>
      </w:r>
      <w:r w:rsidR="0024349E" w:rsidRPr="00781112">
        <w:rPr>
          <w:rFonts w:cs="Arial"/>
          <w:color w:val="000000" w:themeColor="text1"/>
          <w:szCs w:val="16"/>
          <w:shd w:val="clear" w:color="auto" w:fill="FFFFFF"/>
        </w:rPr>
        <w:t xml:space="preserve">, as defined by the State, </w:t>
      </w:r>
      <w:r w:rsidRPr="00781112">
        <w:rPr>
          <w:rFonts w:cs="Arial"/>
          <w:color w:val="000000" w:themeColor="text1"/>
          <w:szCs w:val="16"/>
          <w:shd w:val="clear" w:color="auto" w:fill="FFFFFF"/>
        </w:rPr>
        <w:t xml:space="preserve">and do not comply with requirements relating to the development and implementation of IEPs, the use of positive behavioral interventions and supports, and procedural safeguards) divided by the (# of </w:t>
      </w:r>
      <w:r w:rsidR="003929E1" w:rsidRPr="00781112">
        <w:rPr>
          <w:rFonts w:cs="Arial"/>
          <w:color w:val="000000" w:themeColor="text1"/>
          <w:szCs w:val="16"/>
          <w:shd w:val="clear" w:color="auto" w:fill="FFFFFF"/>
        </w:rPr>
        <w:t xml:space="preserve">LEAs </w:t>
      </w:r>
      <w:r w:rsidRPr="00781112">
        <w:rPr>
          <w:rFonts w:cs="Arial"/>
          <w:color w:val="000000" w:themeColor="text1"/>
          <w:szCs w:val="16"/>
          <w:shd w:val="clear" w:color="auto" w:fill="FFFFFF"/>
        </w:rPr>
        <w:t xml:space="preserve">in the State that meet the State-established n </w:t>
      </w:r>
      <w:r w:rsidR="003929E1" w:rsidRPr="00781112">
        <w:rPr>
          <w:rFonts w:cs="Arial"/>
          <w:color w:val="000000" w:themeColor="text1"/>
          <w:szCs w:val="16"/>
          <w:shd w:val="clear" w:color="auto" w:fill="FFFFFF"/>
        </w:rPr>
        <w:t xml:space="preserve">and/or cell </w:t>
      </w:r>
      <w:r w:rsidRPr="00781112">
        <w:rPr>
          <w:rFonts w:cs="Arial"/>
          <w:color w:val="000000" w:themeColor="text1"/>
          <w:szCs w:val="16"/>
          <w:shd w:val="clear" w:color="auto" w:fill="FFFFFF"/>
        </w:rPr>
        <w:t>size (if applicable) for one or more racial/ethnic groups</w:t>
      </w:r>
      <w:r w:rsidR="00E726E2" w:rsidRPr="00781112">
        <w:rPr>
          <w:rFonts w:cs="Arial"/>
          <w:color w:val="000000" w:themeColor="text1"/>
          <w:szCs w:val="16"/>
          <w:shd w:val="clear" w:color="auto" w:fill="FFFFFF"/>
        </w:rPr>
        <w:t xml:space="preserve">)] </w:t>
      </w:r>
      <w:r w:rsidRPr="00781112">
        <w:rPr>
          <w:rFonts w:cs="Arial"/>
          <w:color w:val="000000" w:themeColor="text1"/>
          <w:szCs w:val="16"/>
          <w:shd w:val="clear" w:color="auto" w:fill="FFFFFF"/>
        </w:rPr>
        <w:t>times 100.</w:t>
      </w:r>
    </w:p>
    <w:p w14:paraId="09B5AE3F" w14:textId="77777777" w:rsidR="00413366" w:rsidRPr="00781112" w:rsidRDefault="00413366" w:rsidP="00286BDF">
      <w:pPr>
        <w:rPr>
          <w:rFonts w:cs="Arial"/>
          <w:color w:val="000000" w:themeColor="text1"/>
          <w:szCs w:val="16"/>
        </w:rPr>
      </w:pPr>
      <w:r w:rsidRPr="00781112">
        <w:rPr>
          <w:rFonts w:cs="Arial"/>
          <w:color w:val="000000" w:themeColor="text1"/>
          <w:szCs w:val="16"/>
          <w:shd w:val="clear" w:color="auto" w:fill="FFFFFF"/>
        </w:rPr>
        <w:t>Include State’s definition of “significant discrepancy.”</w:t>
      </w:r>
    </w:p>
    <w:p w14:paraId="19EA6D3F" w14:textId="77777777" w:rsidR="00413366" w:rsidRPr="00781112" w:rsidRDefault="00413366" w:rsidP="004369B2">
      <w:pPr>
        <w:rPr>
          <w:color w:val="000000" w:themeColor="text1"/>
        </w:rPr>
      </w:pPr>
      <w:r w:rsidRPr="00781112">
        <w:rPr>
          <w:b/>
          <w:color w:val="000000" w:themeColor="text1"/>
        </w:rPr>
        <w:t>Instructions</w:t>
      </w:r>
    </w:p>
    <w:p w14:paraId="6859FE14" w14:textId="58F72E17" w:rsidR="00E52C16" w:rsidRDefault="00413366" w:rsidP="00E52C16">
      <w:pPr>
        <w:rPr>
          <w:rFonts w:cs="Arial"/>
          <w:szCs w:val="16"/>
        </w:rPr>
      </w:pPr>
      <w:r w:rsidRPr="00781112">
        <w:rPr>
          <w:rFonts w:cs="Arial"/>
          <w:color w:val="000000" w:themeColor="text1"/>
          <w:szCs w:val="16"/>
        </w:rPr>
        <w:t xml:space="preserve">If the State has established a minimum n and/or cell size requirement, the State </w:t>
      </w:r>
      <w:r w:rsidR="00E52C16">
        <w:rPr>
          <w:rFonts w:cs="Arial"/>
          <w:szCs w:val="16"/>
        </w:rPr>
        <w:t xml:space="preserve">must provide a definition of its minimum n and/or cell size itself and a description thereof </w:t>
      </w:r>
      <w:r w:rsidR="00E52C16" w:rsidRPr="00814333">
        <w:rPr>
          <w:rFonts w:cs="Arial"/>
          <w:szCs w:val="16"/>
        </w:rPr>
        <w:t>(e.g., a State’s n size of 15 represents the number of children with disabilities enrolled in an LEA</w:t>
      </w:r>
      <w:r w:rsidR="00E52C16">
        <w:rPr>
          <w:rFonts w:cs="Arial"/>
          <w:szCs w:val="16"/>
        </w:rPr>
        <w:t>, by race and ethnicity</w:t>
      </w:r>
      <w:r w:rsidR="00E52C16" w:rsidRPr="00814333">
        <w:rPr>
          <w:rFonts w:cs="Arial"/>
          <w:szCs w:val="16"/>
        </w:rPr>
        <w:t xml:space="preserve">, and a State’s cell size of 5 </w:t>
      </w:r>
      <w:r w:rsidR="00E52C16">
        <w:rPr>
          <w:rFonts w:cs="Arial"/>
          <w:szCs w:val="16"/>
        </w:rPr>
        <w:t>r</w:t>
      </w:r>
      <w:r w:rsidR="00E52C16" w:rsidRPr="00814333">
        <w:rPr>
          <w:rFonts w:cs="Arial"/>
          <w:szCs w:val="16"/>
        </w:rPr>
        <w:t>epresents the number of children with disabilities who have received out-of-school suspensions and expulsions of more than 10 days within the LEA</w:t>
      </w:r>
      <w:r w:rsidR="00E52C16">
        <w:rPr>
          <w:rFonts w:cs="Arial"/>
          <w:szCs w:val="16"/>
        </w:rPr>
        <w:t>, by race and ethnicity</w:t>
      </w:r>
      <w:r w:rsidR="00E52C16" w:rsidRPr="00814333">
        <w:rPr>
          <w:rFonts w:cs="Arial"/>
          <w:szCs w:val="16"/>
        </w:rPr>
        <w:t xml:space="preserve">). </w:t>
      </w:r>
    </w:p>
    <w:p w14:paraId="5F753F19" w14:textId="77777777" w:rsidR="00E52C16" w:rsidRPr="00A70EDD" w:rsidRDefault="00E52C16" w:rsidP="00E52C16">
      <w:pPr>
        <w:rPr>
          <w:rFonts w:cs="Arial"/>
          <w:szCs w:val="16"/>
        </w:rPr>
      </w:pPr>
      <w:r w:rsidRPr="007743F7">
        <w:rPr>
          <w:rFonts w:cs="Arial"/>
          <w:szCs w:val="16"/>
        </w:rPr>
        <w:t>The State must also provide rationales for its minimum n and/or cell size, including why the definitions chosen are reasonable and based on stakeholder input, and how the definitions ensure that the State is appropriately analyzing and identifying LEAs with significant discrepancy, by race and ethnicity. The State must also indicate whether the minimum n and/or cell size represents a change from the prior SPP/APR reporting period. If so, the State must provide an explanation why the minimum n and/or cell size was changed.</w:t>
      </w:r>
    </w:p>
    <w:p w14:paraId="516DD2DE" w14:textId="001BD4C8" w:rsidR="00413366" w:rsidRPr="00FE4611" w:rsidRDefault="00E52C16" w:rsidP="00BB7BC9">
      <w:pPr>
        <w:rPr>
          <w:rFonts w:cs="Arial"/>
          <w:szCs w:val="16"/>
        </w:rPr>
      </w:pPr>
      <w:r>
        <w:rPr>
          <w:rFonts w:cs="Arial"/>
          <w:szCs w:val="16"/>
        </w:rPr>
        <w:t>The State may only include, in both the numerator and the denominator, LEAs that met that State established n and/or cell size. If the State used a minimum n and/or cell size requirement, report the number of LEAs totally excluded from the calculation as a result of this requirement.</w:t>
      </w:r>
    </w:p>
    <w:p w14:paraId="7D3F6556" w14:textId="173C985B" w:rsidR="00413366" w:rsidRPr="00781112" w:rsidRDefault="0016730D" w:rsidP="00BB7BC9">
      <w:pPr>
        <w:rPr>
          <w:rFonts w:cs="Arial"/>
          <w:color w:val="000000" w:themeColor="text1"/>
          <w:szCs w:val="16"/>
        </w:rPr>
      </w:pPr>
      <w:r w:rsidRPr="00781112">
        <w:rPr>
          <w:rFonts w:cs="Arial"/>
          <w:color w:val="000000" w:themeColor="text1"/>
          <w:szCs w:val="16"/>
        </w:rPr>
        <w:t xml:space="preserve">Describe the results of the State’s examination of the data for the year before the reporting year (e.g., for the FFY 2023 SPP/APR, use data from 2022-2023), including data disaggregated by race and ethnicity to determine if significant discrepancies, as defined by the State, are occurring in the rates of long-term suspensions and expulsions </w:t>
      </w:r>
      <w:r w:rsidR="00B315F0" w:rsidRPr="00781112">
        <w:rPr>
          <w:rFonts w:cs="Arial"/>
          <w:szCs w:val="16"/>
        </w:rPr>
        <w:t xml:space="preserve">(more than 10 days during the school year) </w:t>
      </w:r>
      <w:r w:rsidRPr="00781112">
        <w:rPr>
          <w:rFonts w:cs="Arial"/>
          <w:color w:val="000000" w:themeColor="text1"/>
          <w:szCs w:val="16"/>
        </w:rPr>
        <w:t>of children with IEPs, as required at 20 U.S.C. 1412(a)(22). The State’s examination must include one of the following comparisons</w:t>
      </w:r>
      <w:r w:rsidR="007D116C" w:rsidRPr="00781112">
        <w:rPr>
          <w:rFonts w:cs="Arial"/>
          <w:color w:val="000000" w:themeColor="text1"/>
          <w:szCs w:val="16"/>
        </w:rPr>
        <w:t>:</w:t>
      </w:r>
    </w:p>
    <w:p w14:paraId="041F9A85" w14:textId="34216E20" w:rsidR="00413366" w:rsidRPr="00781112" w:rsidRDefault="00515E61" w:rsidP="006A01BD">
      <w:pPr>
        <w:ind w:firstLine="720"/>
        <w:rPr>
          <w:rFonts w:cs="Arial"/>
          <w:color w:val="000000" w:themeColor="text1"/>
          <w:szCs w:val="16"/>
        </w:rPr>
      </w:pPr>
      <w:r w:rsidRPr="00781112">
        <w:rPr>
          <w:rFonts w:cs="Arial"/>
          <w:color w:val="000000" w:themeColor="text1"/>
          <w:szCs w:val="16"/>
        </w:rPr>
        <w:t>-- Option 1: The rates of suspensions and expulsions for children with IEPs among LEAs within the State; or</w:t>
      </w:r>
    </w:p>
    <w:p w14:paraId="4B77809C" w14:textId="0F98B237" w:rsidR="00413366" w:rsidRPr="00781112" w:rsidRDefault="00515E61" w:rsidP="00BA3DBE">
      <w:pPr>
        <w:ind w:left="720"/>
        <w:rPr>
          <w:rFonts w:cs="Arial"/>
          <w:color w:val="000000" w:themeColor="text1"/>
          <w:szCs w:val="16"/>
        </w:rPr>
      </w:pPr>
      <w:r w:rsidRPr="00781112">
        <w:rPr>
          <w:rFonts w:cs="Arial"/>
          <w:color w:val="000000" w:themeColor="text1"/>
          <w:szCs w:val="16"/>
        </w:rPr>
        <w:t xml:space="preserve">-- Option </w:t>
      </w:r>
      <w:r w:rsidR="00F0304D">
        <w:rPr>
          <w:rFonts w:cs="Arial"/>
          <w:color w:val="000000" w:themeColor="text1"/>
          <w:szCs w:val="16"/>
        </w:rPr>
        <w:t>2</w:t>
      </w:r>
      <w:r w:rsidRPr="00781112">
        <w:rPr>
          <w:rFonts w:cs="Arial"/>
          <w:color w:val="000000" w:themeColor="text1"/>
          <w:szCs w:val="16"/>
        </w:rPr>
        <w:t xml:space="preserve">: The rates of suspensions and expulsions for children with IEPs to </w:t>
      </w:r>
      <w:bookmarkStart w:id="33" w:name="_Hlk150863741"/>
      <w:r w:rsidR="00FC69E3">
        <w:rPr>
          <w:rFonts w:cs="Arial"/>
          <w:color w:val="000000" w:themeColor="text1"/>
          <w:szCs w:val="16"/>
        </w:rPr>
        <w:t xml:space="preserve">the rates of suspensions and expulsions for </w:t>
      </w:r>
      <w:bookmarkEnd w:id="33"/>
      <w:r w:rsidRPr="00781112">
        <w:rPr>
          <w:rFonts w:cs="Arial"/>
          <w:color w:val="000000" w:themeColor="text1"/>
          <w:szCs w:val="16"/>
        </w:rPr>
        <w:t>nondisabled children within the LEAs</w:t>
      </w:r>
    </w:p>
    <w:p w14:paraId="428DC587" w14:textId="18ECA0E1" w:rsidR="00413366" w:rsidRPr="00781112" w:rsidRDefault="00413366" w:rsidP="00BB7BC9">
      <w:pPr>
        <w:rPr>
          <w:rFonts w:cs="Arial"/>
          <w:color w:val="000000" w:themeColor="text1"/>
          <w:szCs w:val="16"/>
        </w:rPr>
      </w:pPr>
      <w:r w:rsidRPr="00781112">
        <w:rPr>
          <w:rFonts w:cs="Arial"/>
          <w:color w:val="000000" w:themeColor="text1"/>
          <w:szCs w:val="16"/>
        </w:rPr>
        <w:t>In the description, specify which method the State used to determine possible discrepancies and explain what constitutes those discrepancies.</w:t>
      </w:r>
    </w:p>
    <w:p w14:paraId="4FF87B9F" w14:textId="77777777" w:rsidR="00E52C16" w:rsidRPr="00CF3FE6" w:rsidRDefault="00E52C16" w:rsidP="00E52C16">
      <w:pPr>
        <w:rPr>
          <w:rFonts w:cs="Arial"/>
          <w:szCs w:val="16"/>
        </w:rPr>
      </w:pPr>
      <w:r>
        <w:rPr>
          <w:rFonts w:cs="Arial"/>
          <w:szCs w:val="16"/>
        </w:rPr>
        <w:t xml:space="preserve">If, under Option 1, the State uses a State-level long-term suspension and expulsion rate for children with disabilities to compare to LEA-level long-term suspension and expulsion rates for the purpose of determining whether an LEA has a significant discrepancy, by race and ethnicity, the State must provide the State-level long-term suspension and expulsion rate used in its methodology (e.g., if a State has defined significant discrepancy to exist for an LEA whose long-term suspension/expulsion rate exceeds 2 percentage points above the State-level rate of 0.7%, the State must provide OSEP with the State-level rate of 0.7%). </w:t>
      </w:r>
    </w:p>
    <w:p w14:paraId="6E7615F1" w14:textId="77777777" w:rsidR="00C82B08" w:rsidRDefault="00E52C16" w:rsidP="00474DB4">
      <w:pPr>
        <w:rPr>
          <w:rFonts w:cs="Arial"/>
          <w:szCs w:val="16"/>
        </w:rPr>
      </w:pPr>
      <w:r w:rsidRPr="00CF3FE6">
        <w:rPr>
          <w:rFonts w:cs="Arial"/>
          <w:szCs w:val="16"/>
        </w:rPr>
        <w:t>If, under Option 2, the State uses a rate difference to compare the rates of long-term suspensions and expulsions for children with IEPs, by race and ethnicity, to the rates of long-term suspensions and expulsions for nondisabled children within the LEA, the State must provide the State-selected rate difference used in its methodology (e.g., if a State has defined significant discrepancy to exist for an LEA whose rate of long-term suspensions and expulsions for children with IEPs, by race and ethnicity, is 4 percentage points above the long-term suspension/expulsion rate for nondisabled children, the State must provide OSEP with the rate difference of 4 percentage points). Similarly, if, under Option 2, the State uses a rate ratio to compare the rates of long-term suspensions and expulsions for children with IEPs, by race and ethnicity, to the rates of long-term suspensions and expulsions for nondisabled children within the LEA, the State must provide the State-selected rate ratio used in its methodology (e.g., if a State has defined significant discrepancy to exist for an LEA whose ratio of its long-term suspensions and expulsions rate for children with IEPs, by race and ethnicity, to long-term suspensions and expulsions rate for nondisabled children is greater than 3.0, the State must provide OSEP with the rate ratio of 3.0).</w:t>
      </w:r>
    </w:p>
    <w:p w14:paraId="2537B541" w14:textId="15A26A01" w:rsidR="00474DB4" w:rsidRPr="00781112" w:rsidRDefault="00474DB4" w:rsidP="00474DB4">
      <w:pPr>
        <w:rPr>
          <w:rFonts w:cs="Arial"/>
          <w:szCs w:val="16"/>
        </w:rPr>
      </w:pPr>
      <w:r w:rsidRPr="00781112">
        <w:rPr>
          <w:rFonts w:cs="Arial"/>
          <w:szCs w:val="16"/>
        </w:rPr>
        <w:t>Because the Measurement Table requires that the data examined for this indicator are lag year data, States should examine the section 618 data that was submitted by LEAs that were in operation during the school year before the reporting year. For example, if a State has 100 LEAs operating in the 2022-2023 school year, those 100 LEAs would have reported section 618 data in 2022-2023 on the number of children suspended/expelled. If the State then opens 15 new LEAs in 2023-2024, suspension/expulsion data from those 15 new LEAs would not be in the 2022-2023 section 618 data set, and therefore, those 15 new LEAs should not be included in the denominator of the calculation. States must use the number of LEAs from the year before the reporting year in its calculation for this indicator. For the FFY 2022 SPP/APR submission, States must use the number of LEAs reported in 2022-2023 (which can be found in the FFY 2022 SPP/APR introduction).</w:t>
      </w:r>
    </w:p>
    <w:p w14:paraId="42FA82A8" w14:textId="6C4178AE" w:rsidR="00413366" w:rsidRPr="00781112" w:rsidRDefault="00413366" w:rsidP="00BB7BC9">
      <w:pPr>
        <w:rPr>
          <w:rFonts w:cs="Arial"/>
          <w:color w:val="000000" w:themeColor="text1"/>
          <w:szCs w:val="16"/>
        </w:rPr>
      </w:pPr>
      <w:r w:rsidRPr="00781112">
        <w:rPr>
          <w:rFonts w:cs="Arial"/>
          <w:color w:val="000000" w:themeColor="text1"/>
          <w:szCs w:val="16"/>
        </w:rPr>
        <w:t>Indicator 4B: Provide the following: (a) the number of LEAs that met the State-established n and/or cell size (if applicable) for one or more racial/ethnic groups that have a significant discrepancy, as defined by the State, by race or ethnicity, in the rates of long-term suspensions and expulsions (more than 10 days during the school year) for children with IEPs; and (b) the number of those LEAs in which policies, procedures or practices contribute to the significant discrepancy, as defined by the State, and do not comply with requirements relating to the development and implementation of IEPs, the use of positive behavioral interventions and supports, and procedural safeguards.</w:t>
      </w:r>
    </w:p>
    <w:p w14:paraId="1F7345F8" w14:textId="29EDCD85" w:rsidR="00413366" w:rsidRPr="00781112" w:rsidRDefault="00413366" w:rsidP="00BB7BC9">
      <w:pPr>
        <w:rPr>
          <w:rFonts w:cs="Arial"/>
          <w:color w:val="000000" w:themeColor="text1"/>
          <w:szCs w:val="16"/>
        </w:rPr>
      </w:pPr>
      <w:r w:rsidRPr="00781112">
        <w:rPr>
          <w:rFonts w:cs="Arial"/>
          <w:color w:val="000000" w:themeColor="text1"/>
          <w:szCs w:val="16"/>
        </w:rPr>
        <w:lastRenderedPageBreak/>
        <w:t xml:space="preserve">Provide detailed information about the timely correction of noncompliance as noted in OSEP’s response for the previous SPP/APR. If discrepancies occurred and the LEA with discrepancies had policies, procedures or practices that contributed to the significant discrepancy, </w:t>
      </w:r>
      <w:r w:rsidR="00844FD2" w:rsidRPr="00781112">
        <w:rPr>
          <w:rFonts w:cs="Arial"/>
          <w:szCs w:val="16"/>
        </w:rPr>
        <w:t>as defined by the State,</w:t>
      </w:r>
      <w:r w:rsidR="005440A4" w:rsidRPr="00781112">
        <w:rPr>
          <w:rFonts w:cs="Arial"/>
          <w:szCs w:val="16"/>
        </w:rPr>
        <w:t xml:space="preserve"> </w:t>
      </w:r>
      <w:r w:rsidRPr="00781112">
        <w:rPr>
          <w:rFonts w:cs="Arial"/>
          <w:color w:val="000000" w:themeColor="text1"/>
          <w:szCs w:val="16"/>
        </w:rPr>
        <w:t>and that do not comply with requirements relating to the development and implementation of IEPs, the use of positive behavioral interventions and supports, and procedural safeguards, describe how the State ensured that such policies, procedures, and practices were revised to comply with applicable requirements consistent with OSEP</w:t>
      </w:r>
      <w:r w:rsidR="004D1797">
        <w:rPr>
          <w:rFonts w:cs="Arial"/>
          <w:color w:val="000000" w:themeColor="text1"/>
          <w:szCs w:val="16"/>
        </w:rPr>
        <w:t xml:space="preserve"> </w:t>
      </w:r>
      <w:r w:rsidR="00E52C16">
        <w:rPr>
          <w:rFonts w:cs="Arial"/>
          <w:bCs/>
          <w:color w:val="000000" w:themeColor="text1"/>
          <w:szCs w:val="16"/>
        </w:rPr>
        <w:t>Memorandum</w:t>
      </w:r>
      <w:r w:rsidR="00E52C16" w:rsidRPr="00BA3DBE">
        <w:rPr>
          <w:rFonts w:cs="Arial"/>
          <w:bCs/>
          <w:color w:val="000000" w:themeColor="text1"/>
          <w:szCs w:val="16"/>
        </w:rPr>
        <w:t xml:space="preserve"> </w:t>
      </w:r>
      <w:r w:rsidR="004D1797" w:rsidRPr="00BA3DBE">
        <w:rPr>
          <w:rFonts w:cs="Arial"/>
          <w:bCs/>
          <w:color w:val="000000" w:themeColor="text1"/>
          <w:szCs w:val="16"/>
        </w:rPr>
        <w:t>23-01, dated July</w:t>
      </w:r>
      <w:r w:rsidRPr="00781112">
        <w:rPr>
          <w:rFonts w:cs="Arial"/>
          <w:color w:val="000000" w:themeColor="text1"/>
          <w:szCs w:val="16"/>
        </w:rPr>
        <w:t>.</w:t>
      </w:r>
    </w:p>
    <w:p w14:paraId="244FF3E4" w14:textId="056A3966" w:rsidR="00413366" w:rsidRPr="00781112" w:rsidRDefault="00413366" w:rsidP="00BB7BC9">
      <w:pPr>
        <w:rPr>
          <w:rFonts w:cs="Arial"/>
          <w:color w:val="000000" w:themeColor="text1"/>
          <w:szCs w:val="16"/>
        </w:rPr>
      </w:pPr>
      <w:r w:rsidRPr="00781112">
        <w:rPr>
          <w:rFonts w:cs="Arial"/>
          <w:color w:val="000000" w:themeColor="text1"/>
          <w:szCs w:val="16"/>
        </w:rPr>
        <w:t>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2A4C3F88" w14:textId="41E5B6C6" w:rsidR="00413366" w:rsidRDefault="0016730D" w:rsidP="00BB7BC9">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11E2EA8D"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A2E05BE" w14:textId="77777777" w:rsidR="00413366" w:rsidRPr="00781112" w:rsidRDefault="00413366" w:rsidP="00BB7BC9">
      <w:pPr>
        <w:rPr>
          <w:rFonts w:cs="Arial"/>
          <w:color w:val="000000" w:themeColor="text1"/>
          <w:szCs w:val="16"/>
        </w:rPr>
      </w:pPr>
      <w:r w:rsidRPr="00781112">
        <w:rPr>
          <w:rFonts w:cs="Arial"/>
          <w:color w:val="000000" w:themeColor="text1"/>
          <w:szCs w:val="16"/>
        </w:rPr>
        <w:t>Targets must be 0% for 4B.</w:t>
      </w:r>
    </w:p>
    <w:p w14:paraId="1D15A8F4" w14:textId="6546AA23" w:rsidR="00D90B7C" w:rsidRPr="00781112" w:rsidRDefault="00D11730" w:rsidP="005B40C0">
      <w:pPr>
        <w:pStyle w:val="Heading3"/>
      </w:pPr>
      <w:r w:rsidRPr="00781112">
        <w:t>4B</w:t>
      </w:r>
      <w:r w:rsidR="00E90DE9" w:rsidRPr="00781112">
        <w:t xml:space="preserve"> </w:t>
      </w:r>
      <w:r w:rsidRPr="00781112">
        <w:t xml:space="preserve">- </w:t>
      </w:r>
      <w:r w:rsidR="00D90B7C" w:rsidRPr="00781112">
        <w:t>Indicator Data</w:t>
      </w:r>
    </w:p>
    <w:p w14:paraId="435C0FC5" w14:textId="77777777" w:rsidR="0091098C" w:rsidRPr="00781112" w:rsidRDefault="0091098C" w:rsidP="004369B2">
      <w:pPr>
        <w:rPr>
          <w:color w:val="000000" w:themeColor="text1"/>
        </w:rPr>
      </w:pPr>
    </w:p>
    <w:p w14:paraId="113E64CF" w14:textId="7EACB9AD" w:rsidR="00CA0009" w:rsidRPr="00781112" w:rsidRDefault="0091098C" w:rsidP="004369B2">
      <w:pPr>
        <w:rPr>
          <w:color w:val="000000" w:themeColor="text1"/>
        </w:rPr>
      </w:pPr>
      <w:r w:rsidRPr="00781112">
        <w:rPr>
          <w:b/>
          <w:color w:val="000000" w:themeColor="text1"/>
        </w:rPr>
        <w:t>Not Applicable</w:t>
      </w:r>
    </w:p>
    <w:p w14:paraId="01A6DC15" w14:textId="244F6F21" w:rsidR="00F9524E" w:rsidRPr="00781112" w:rsidRDefault="00C144E3" w:rsidP="004369B2">
      <w:pPr>
        <w:rPr>
          <w:b/>
          <w:color w:val="000000" w:themeColor="text1"/>
        </w:rPr>
      </w:pPr>
      <w:r w:rsidRPr="00781112">
        <w:rPr>
          <w:b/>
          <w:color w:val="000000" w:themeColor="text1"/>
        </w:rPr>
        <w:t>Select yes if this indicator is not applicable.</w:t>
      </w:r>
    </w:p>
    <w:p w14:paraId="53F0BC7A" w14:textId="32C15B12" w:rsidR="00F85593" w:rsidRPr="00781112" w:rsidRDefault="00F85593" w:rsidP="004369B2">
      <w:pPr>
        <w:rPr>
          <w:rFonts w:cs="Arial"/>
          <w:color w:val="000000" w:themeColor="text1"/>
          <w:szCs w:val="16"/>
        </w:rPr>
      </w:pPr>
      <w:r w:rsidRPr="00781112">
        <w:rPr>
          <w:rFonts w:cs="Arial"/>
          <w:color w:val="000000" w:themeColor="text1"/>
          <w:szCs w:val="16"/>
        </w:rPr>
        <w:t>NO</w:t>
      </w:r>
    </w:p>
    <w:p w14:paraId="2A73B0E0" w14:textId="77777777" w:rsidR="00CF0A73" w:rsidRPr="00781112" w:rsidRDefault="00CF0A73" w:rsidP="004369B2">
      <w:pPr>
        <w:rPr>
          <w:color w:val="000000" w:themeColor="text1"/>
        </w:rPr>
      </w:pPr>
    </w:p>
    <w:p w14:paraId="069D75E9" w14:textId="5200D253" w:rsidR="00BB7BC9" w:rsidRPr="00781112" w:rsidRDefault="00BB7BC9" w:rsidP="004369B2">
      <w:pPr>
        <w:rPr>
          <w:b/>
          <w:color w:val="000000" w:themeColor="text1"/>
        </w:rPr>
      </w:pPr>
      <w:r w:rsidRPr="00781112">
        <w:rPr>
          <w:b/>
          <w:color w:val="000000" w:themeColor="text1"/>
        </w:rPr>
        <w:t>Historical Data</w:t>
      </w:r>
    </w:p>
    <w:tbl>
      <w:tblPr>
        <w:tblStyle w:val="TableGrid"/>
        <w:tblW w:w="0" w:type="auto"/>
        <w:tblLook w:val="04A0" w:firstRow="1" w:lastRow="0" w:firstColumn="1" w:lastColumn="0" w:noHBand="0" w:noVBand="1"/>
        <w:tblCaption w:val="B04BBASELINEDATA"/>
      </w:tblPr>
      <w:tblGrid>
        <w:gridCol w:w="2562"/>
        <w:gridCol w:w="2563"/>
      </w:tblGrid>
      <w:tr w:rsidR="001F64DB" w:rsidRPr="00781112" w14:paraId="79576181" w14:textId="77777777" w:rsidTr="00123D76">
        <w:trPr>
          <w:trHeight w:val="311"/>
          <w:tblHeader/>
        </w:trPr>
        <w:tc>
          <w:tcPr>
            <w:tcW w:w="2562" w:type="dxa"/>
          </w:tcPr>
          <w:p w14:paraId="3F975A24" w14:textId="77777777" w:rsidR="001F64DB" w:rsidRPr="00781112" w:rsidRDefault="001F64DB" w:rsidP="00123D76">
            <w:pPr>
              <w:jc w:val="center"/>
              <w:rPr>
                <w:b/>
                <w:color w:val="000000" w:themeColor="text1"/>
              </w:rPr>
            </w:pPr>
            <w:r w:rsidRPr="00781112">
              <w:rPr>
                <w:rFonts w:cs="Arial"/>
                <w:b/>
                <w:color w:val="000000" w:themeColor="text1"/>
                <w:szCs w:val="16"/>
              </w:rPr>
              <w:t>Baseline Year</w:t>
            </w:r>
          </w:p>
        </w:tc>
        <w:tc>
          <w:tcPr>
            <w:tcW w:w="2563" w:type="dxa"/>
          </w:tcPr>
          <w:p w14:paraId="2C69FE8E" w14:textId="77777777" w:rsidR="001F64DB" w:rsidRPr="00781112" w:rsidRDefault="001F64DB" w:rsidP="00123D76">
            <w:pPr>
              <w:jc w:val="center"/>
              <w:rPr>
                <w:b/>
                <w:color w:val="000000" w:themeColor="text1"/>
              </w:rPr>
            </w:pPr>
            <w:r w:rsidRPr="00781112">
              <w:rPr>
                <w:b/>
                <w:color w:val="000000" w:themeColor="text1"/>
              </w:rPr>
              <w:t>Baseline Data</w:t>
            </w:r>
          </w:p>
        </w:tc>
      </w:tr>
      <w:tr w:rsidR="001F64DB" w:rsidRPr="00781112" w14:paraId="53FC8895" w14:textId="77777777" w:rsidTr="00123D76">
        <w:trPr>
          <w:trHeight w:val="311"/>
        </w:trPr>
        <w:tc>
          <w:tcPr>
            <w:tcW w:w="2562" w:type="dxa"/>
            <w:vAlign w:val="center"/>
          </w:tcPr>
          <w:p w14:paraId="28447C7D" w14:textId="6D0F8050" w:rsidR="001F64DB" w:rsidRPr="00781112" w:rsidRDefault="001F64DB" w:rsidP="00123D76">
            <w:pPr>
              <w:jc w:val="center"/>
              <w:rPr>
                <w:b/>
                <w:color w:val="000000" w:themeColor="text1"/>
              </w:rPr>
            </w:pPr>
            <w:r w:rsidRPr="00781112">
              <w:rPr>
                <w:rFonts w:cs="Arial"/>
                <w:color w:val="000000" w:themeColor="text1"/>
                <w:szCs w:val="16"/>
              </w:rPr>
              <w:t>2016</w:t>
            </w:r>
          </w:p>
        </w:tc>
        <w:tc>
          <w:tcPr>
            <w:tcW w:w="2563" w:type="dxa"/>
            <w:vAlign w:val="center"/>
          </w:tcPr>
          <w:p w14:paraId="66688D2B" w14:textId="7F6A1027" w:rsidR="001F64DB" w:rsidRPr="00781112" w:rsidRDefault="001F64DB" w:rsidP="00123D76">
            <w:pPr>
              <w:jc w:val="center"/>
              <w:rPr>
                <w:b/>
                <w:color w:val="000000" w:themeColor="text1"/>
              </w:rPr>
            </w:pPr>
            <w:r w:rsidRPr="00781112">
              <w:rPr>
                <w:rFonts w:cs="Arial"/>
                <w:color w:val="000000" w:themeColor="text1"/>
                <w:szCs w:val="16"/>
              </w:rPr>
              <w:t>0.00%</w:t>
            </w:r>
          </w:p>
        </w:tc>
      </w:tr>
    </w:tbl>
    <w:p w14:paraId="5B271C5C" w14:textId="77777777" w:rsidR="001F64DB" w:rsidRPr="00781112" w:rsidRDefault="001F64DB"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4BHISTDATA"/>
      </w:tblPr>
      <w:tblGrid>
        <w:gridCol w:w="1798"/>
        <w:gridCol w:w="1798"/>
        <w:gridCol w:w="1798"/>
        <w:gridCol w:w="1798"/>
        <w:gridCol w:w="1798"/>
        <w:gridCol w:w="1800"/>
      </w:tblGrid>
      <w:tr w:rsidR="005C29F8" w:rsidRPr="00781112" w14:paraId="6E379028" w14:textId="77777777" w:rsidTr="00F90636">
        <w:trPr>
          <w:trHeight w:val="350"/>
        </w:trPr>
        <w:tc>
          <w:tcPr>
            <w:tcW w:w="833" w:type="pct"/>
            <w:tcBorders>
              <w:bottom w:val="single" w:sz="4" w:space="0" w:color="auto"/>
            </w:tcBorders>
            <w:shd w:val="clear" w:color="auto" w:fill="auto"/>
          </w:tcPr>
          <w:p w14:paraId="23D7B707" w14:textId="77777777" w:rsidR="00BB7BC9" w:rsidRPr="00781112" w:rsidRDefault="00BB7BC9" w:rsidP="004369B2">
            <w:pPr>
              <w:jc w:val="center"/>
              <w:rPr>
                <w:b/>
                <w:color w:val="000000" w:themeColor="text1"/>
              </w:rPr>
            </w:pPr>
            <w:r w:rsidRPr="00781112">
              <w:rPr>
                <w:b/>
                <w:color w:val="000000" w:themeColor="text1"/>
              </w:rPr>
              <w:t>FFY</w:t>
            </w:r>
          </w:p>
        </w:tc>
        <w:tc>
          <w:tcPr>
            <w:tcW w:w="833" w:type="pct"/>
            <w:shd w:val="clear" w:color="auto" w:fill="auto"/>
          </w:tcPr>
          <w:p w14:paraId="25954044" w14:textId="160ED41F" w:rsidR="00BB7BC9" w:rsidRPr="00781112" w:rsidRDefault="002B7490">
            <w:pPr>
              <w:jc w:val="center"/>
              <w:rPr>
                <w:b/>
                <w:color w:val="000000" w:themeColor="text1"/>
              </w:rPr>
            </w:pPr>
            <w:r w:rsidRPr="00781112">
              <w:rPr>
                <w:b/>
                <w:color w:val="000000" w:themeColor="text1"/>
              </w:rPr>
              <w:t>2018</w:t>
            </w:r>
          </w:p>
        </w:tc>
        <w:tc>
          <w:tcPr>
            <w:tcW w:w="833" w:type="pct"/>
            <w:shd w:val="clear" w:color="auto" w:fill="auto"/>
          </w:tcPr>
          <w:p w14:paraId="69CF376F" w14:textId="7375A3F7" w:rsidR="00BB7BC9" w:rsidRPr="00781112" w:rsidRDefault="002B7490">
            <w:pPr>
              <w:jc w:val="center"/>
              <w:rPr>
                <w:b/>
                <w:color w:val="000000" w:themeColor="text1"/>
              </w:rPr>
            </w:pPr>
            <w:r w:rsidRPr="00781112">
              <w:rPr>
                <w:b/>
                <w:color w:val="000000" w:themeColor="text1"/>
              </w:rPr>
              <w:t>2019</w:t>
            </w:r>
          </w:p>
        </w:tc>
        <w:tc>
          <w:tcPr>
            <w:tcW w:w="833" w:type="pct"/>
            <w:shd w:val="clear" w:color="auto" w:fill="auto"/>
          </w:tcPr>
          <w:p w14:paraId="4D8E8925" w14:textId="689058A4" w:rsidR="00BB7BC9" w:rsidRPr="00781112" w:rsidRDefault="002B7490">
            <w:pPr>
              <w:jc w:val="center"/>
              <w:rPr>
                <w:b/>
                <w:color w:val="000000" w:themeColor="text1"/>
              </w:rPr>
            </w:pPr>
            <w:r w:rsidRPr="00781112">
              <w:rPr>
                <w:b/>
                <w:color w:val="000000" w:themeColor="text1"/>
              </w:rPr>
              <w:t>2020</w:t>
            </w:r>
          </w:p>
        </w:tc>
        <w:tc>
          <w:tcPr>
            <w:tcW w:w="833" w:type="pct"/>
            <w:shd w:val="clear" w:color="auto" w:fill="auto"/>
          </w:tcPr>
          <w:p w14:paraId="703038E4" w14:textId="1BE5FB5A" w:rsidR="00BB7BC9" w:rsidRPr="00781112" w:rsidRDefault="002B7490">
            <w:pPr>
              <w:jc w:val="center"/>
              <w:rPr>
                <w:b/>
                <w:color w:val="000000" w:themeColor="text1"/>
              </w:rPr>
            </w:pPr>
            <w:r w:rsidRPr="00781112">
              <w:rPr>
                <w:b/>
                <w:color w:val="000000" w:themeColor="text1"/>
              </w:rPr>
              <w:t>2021</w:t>
            </w:r>
          </w:p>
        </w:tc>
        <w:tc>
          <w:tcPr>
            <w:tcW w:w="834" w:type="pct"/>
            <w:shd w:val="clear" w:color="auto" w:fill="auto"/>
          </w:tcPr>
          <w:p w14:paraId="0503649D" w14:textId="176B5064" w:rsidR="00BB7BC9" w:rsidRPr="00781112" w:rsidRDefault="002B7490">
            <w:pPr>
              <w:jc w:val="center"/>
              <w:rPr>
                <w:b/>
                <w:color w:val="000000" w:themeColor="text1"/>
              </w:rPr>
            </w:pPr>
            <w:r w:rsidRPr="00781112">
              <w:rPr>
                <w:b/>
                <w:color w:val="000000" w:themeColor="text1"/>
              </w:rPr>
              <w:t>2022</w:t>
            </w:r>
          </w:p>
        </w:tc>
      </w:tr>
      <w:tr w:rsidR="005C29F8" w:rsidRPr="00781112" w14:paraId="39522776" w14:textId="77777777" w:rsidTr="00F90636">
        <w:trPr>
          <w:trHeight w:val="357"/>
        </w:trPr>
        <w:tc>
          <w:tcPr>
            <w:tcW w:w="833" w:type="pct"/>
            <w:shd w:val="clear" w:color="auto" w:fill="auto"/>
            <w:vAlign w:val="center"/>
          </w:tcPr>
          <w:p w14:paraId="64A2466A" w14:textId="3DCD7D97" w:rsidR="00BB7BC9" w:rsidRPr="00781112" w:rsidRDefault="00BB7BC9"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vAlign w:val="center"/>
          </w:tcPr>
          <w:p w14:paraId="40744253" w14:textId="30F05132"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4721409F" w14:textId="0E67B113"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61B8DEC3" w14:textId="3B00EB70"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vAlign w:val="center"/>
          </w:tcPr>
          <w:p w14:paraId="0C46D83A" w14:textId="2D54F0BE" w:rsidR="00BB7BC9"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vAlign w:val="center"/>
          </w:tcPr>
          <w:p w14:paraId="14E1E671" w14:textId="1E800737" w:rsidR="00BB7BC9"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2F4BE991" w14:textId="77777777" w:rsidTr="00F90636">
        <w:trPr>
          <w:trHeight w:val="85"/>
        </w:trPr>
        <w:tc>
          <w:tcPr>
            <w:tcW w:w="833" w:type="pct"/>
            <w:shd w:val="clear" w:color="auto" w:fill="auto"/>
            <w:vAlign w:val="center"/>
          </w:tcPr>
          <w:p w14:paraId="1FC0AC5E" w14:textId="77777777" w:rsidR="00BB7BC9" w:rsidRPr="00781112" w:rsidRDefault="00BB7BC9"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vAlign w:val="center"/>
          </w:tcPr>
          <w:p w14:paraId="3DA1451A" w14:textId="7F17AC6B" w:rsidR="00BB7BC9"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833" w:type="pct"/>
            <w:shd w:val="clear" w:color="auto" w:fill="auto"/>
            <w:vAlign w:val="center"/>
          </w:tcPr>
          <w:p w14:paraId="6EE4BDB3" w14:textId="2442769C"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84E7243" w14:textId="6DD2B85E"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54826674" w14:textId="13F0F281" w:rsidR="00BB7BC9"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834" w:type="pct"/>
            <w:tcBorders>
              <w:bottom w:val="single" w:sz="4" w:space="0" w:color="auto"/>
            </w:tcBorders>
            <w:shd w:val="clear" w:color="auto" w:fill="auto"/>
            <w:vAlign w:val="center"/>
          </w:tcPr>
          <w:p w14:paraId="29A1627C" w14:textId="5AC2DD55" w:rsidR="00BB7BC9"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746FB06B" w14:textId="77777777" w:rsidR="00C15355" w:rsidRPr="00781112" w:rsidRDefault="00C15355" w:rsidP="004369B2">
      <w:pPr>
        <w:rPr>
          <w:color w:val="000000" w:themeColor="text1"/>
        </w:rPr>
      </w:pPr>
    </w:p>
    <w:p w14:paraId="31722FA9" w14:textId="62FF3A62" w:rsidR="0016730D" w:rsidRPr="00781112" w:rsidRDefault="0016730D" w:rsidP="004369B2">
      <w:pPr>
        <w:rPr>
          <w:color w:val="000000" w:themeColor="text1"/>
        </w:rPr>
      </w:pPr>
      <w:r w:rsidRPr="00781112">
        <w:rPr>
          <w:b/>
          <w:color w:val="000000" w:themeColor="text1"/>
        </w:rPr>
        <w:t>Targets</w:t>
      </w:r>
    </w:p>
    <w:tbl>
      <w:tblPr>
        <w:tblW w:w="3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TARGETS"/>
      </w:tblPr>
      <w:tblGrid>
        <w:gridCol w:w="679"/>
        <w:gridCol w:w="2400"/>
        <w:gridCol w:w="2567"/>
        <w:gridCol w:w="2567"/>
      </w:tblGrid>
      <w:tr w:rsidR="003234C9" w:rsidRPr="00781112" w14:paraId="1019C6DC" w14:textId="17898954" w:rsidTr="003234C9">
        <w:trPr>
          <w:trHeight w:val="325"/>
        </w:trPr>
        <w:tc>
          <w:tcPr>
            <w:tcW w:w="394" w:type="pct"/>
            <w:tcBorders>
              <w:bottom w:val="single" w:sz="4" w:space="0" w:color="auto"/>
            </w:tcBorders>
            <w:shd w:val="clear" w:color="auto" w:fill="auto"/>
          </w:tcPr>
          <w:p w14:paraId="049B323A" w14:textId="77777777" w:rsidR="003234C9" w:rsidRPr="00781112" w:rsidRDefault="003234C9" w:rsidP="00D62058">
            <w:pPr>
              <w:jc w:val="center"/>
              <w:rPr>
                <w:b/>
                <w:color w:val="000000" w:themeColor="text1"/>
              </w:rPr>
            </w:pPr>
            <w:r w:rsidRPr="00781112">
              <w:rPr>
                <w:b/>
                <w:color w:val="000000" w:themeColor="text1"/>
              </w:rPr>
              <w:t>FFY</w:t>
            </w:r>
          </w:p>
        </w:tc>
        <w:tc>
          <w:tcPr>
            <w:tcW w:w="1468" w:type="pct"/>
            <w:shd w:val="clear" w:color="auto" w:fill="auto"/>
          </w:tcPr>
          <w:p w14:paraId="50E287A7" w14:textId="77777777" w:rsidR="003234C9" w:rsidRPr="00781112" w:rsidRDefault="003234C9" w:rsidP="00D62058">
            <w:pPr>
              <w:jc w:val="center"/>
              <w:rPr>
                <w:b/>
                <w:color w:val="000000" w:themeColor="text1"/>
              </w:rPr>
            </w:pPr>
            <w:r w:rsidRPr="00781112">
              <w:rPr>
                <w:b/>
                <w:color w:val="000000" w:themeColor="text1"/>
              </w:rPr>
              <w:t>2023</w:t>
            </w:r>
          </w:p>
        </w:tc>
        <w:tc>
          <w:tcPr>
            <w:tcW w:w="1569" w:type="pct"/>
          </w:tcPr>
          <w:p w14:paraId="126623D3" w14:textId="402F1C62" w:rsidR="003234C9" w:rsidRPr="00781112" w:rsidRDefault="003234C9" w:rsidP="00D62058">
            <w:pPr>
              <w:jc w:val="center"/>
              <w:rPr>
                <w:b/>
                <w:color w:val="000000" w:themeColor="text1"/>
              </w:rPr>
            </w:pPr>
            <w:r w:rsidRPr="00781112">
              <w:rPr>
                <w:rFonts w:cs="Arial"/>
                <w:b/>
                <w:color w:val="000000" w:themeColor="text1"/>
                <w:szCs w:val="16"/>
              </w:rPr>
              <w:t>2024</w:t>
            </w:r>
          </w:p>
        </w:tc>
        <w:tc>
          <w:tcPr>
            <w:tcW w:w="1569" w:type="pct"/>
          </w:tcPr>
          <w:p w14:paraId="737913FD" w14:textId="6A609FDC" w:rsidR="003234C9" w:rsidRPr="00781112" w:rsidRDefault="003234C9" w:rsidP="00D62058">
            <w:pPr>
              <w:jc w:val="center"/>
              <w:rPr>
                <w:b/>
                <w:color w:val="000000" w:themeColor="text1"/>
              </w:rPr>
            </w:pPr>
            <w:r w:rsidRPr="00781112">
              <w:rPr>
                <w:rFonts w:cs="Arial"/>
                <w:b/>
                <w:color w:val="000000" w:themeColor="text1"/>
                <w:szCs w:val="16"/>
              </w:rPr>
              <w:t>2025</w:t>
            </w:r>
          </w:p>
        </w:tc>
      </w:tr>
      <w:tr w:rsidR="003234C9" w:rsidRPr="00781112" w14:paraId="090BA5B6" w14:textId="14D1700A" w:rsidTr="003234C9">
        <w:trPr>
          <w:trHeight w:val="332"/>
        </w:trPr>
        <w:tc>
          <w:tcPr>
            <w:tcW w:w="394" w:type="pct"/>
            <w:shd w:val="clear" w:color="auto" w:fill="auto"/>
            <w:vAlign w:val="center"/>
          </w:tcPr>
          <w:p w14:paraId="47EE91AE" w14:textId="1E6CE702" w:rsidR="003234C9" w:rsidRPr="00781112" w:rsidRDefault="003234C9" w:rsidP="00BA3DBE">
            <w:pPr>
              <w:jc w:val="center"/>
              <w:rPr>
                <w:rFonts w:cs="Arial"/>
                <w:color w:val="000000" w:themeColor="text1"/>
                <w:szCs w:val="16"/>
              </w:rPr>
            </w:pPr>
            <w:r w:rsidRPr="00781112">
              <w:rPr>
                <w:rFonts w:cs="Arial"/>
                <w:color w:val="000000" w:themeColor="text1"/>
                <w:szCs w:val="16"/>
              </w:rPr>
              <w:t>Target</w:t>
            </w:r>
          </w:p>
        </w:tc>
        <w:tc>
          <w:tcPr>
            <w:tcW w:w="1468" w:type="pct"/>
            <w:shd w:val="clear" w:color="auto" w:fill="auto"/>
            <w:vAlign w:val="center"/>
          </w:tcPr>
          <w:p w14:paraId="26579D0D" w14:textId="55868DD1" w:rsidR="003234C9" w:rsidRPr="00781112" w:rsidRDefault="003234C9" w:rsidP="00D62058">
            <w:pPr>
              <w:jc w:val="center"/>
              <w:rPr>
                <w:rFonts w:cs="Arial"/>
                <w:color w:val="000000" w:themeColor="text1"/>
                <w:szCs w:val="16"/>
              </w:rPr>
            </w:pPr>
            <w:r w:rsidRPr="00781112">
              <w:rPr>
                <w:rFonts w:cs="Arial"/>
                <w:color w:val="000000" w:themeColor="text1"/>
                <w:szCs w:val="16"/>
              </w:rPr>
              <w:t>0%</w:t>
            </w:r>
          </w:p>
        </w:tc>
        <w:tc>
          <w:tcPr>
            <w:tcW w:w="1569" w:type="pct"/>
          </w:tcPr>
          <w:p w14:paraId="41C3DA31" w14:textId="175676CA" w:rsidR="003234C9" w:rsidRPr="00781112" w:rsidRDefault="003234C9" w:rsidP="00D62058">
            <w:pPr>
              <w:jc w:val="center"/>
              <w:rPr>
                <w:rFonts w:cs="Arial"/>
                <w:color w:val="000000" w:themeColor="text1"/>
                <w:szCs w:val="16"/>
              </w:rPr>
            </w:pPr>
            <w:r w:rsidRPr="00781112">
              <w:rPr>
                <w:color w:val="000000" w:themeColor="text1"/>
                <w:szCs w:val="16"/>
              </w:rPr>
              <w:t>0%</w:t>
            </w:r>
          </w:p>
        </w:tc>
        <w:tc>
          <w:tcPr>
            <w:tcW w:w="1569" w:type="pct"/>
          </w:tcPr>
          <w:p w14:paraId="11966A3D" w14:textId="65AB7EFF" w:rsidR="003234C9" w:rsidRPr="00781112" w:rsidRDefault="003234C9" w:rsidP="00D62058">
            <w:pPr>
              <w:jc w:val="center"/>
              <w:rPr>
                <w:rFonts w:cs="Arial"/>
                <w:color w:val="000000" w:themeColor="text1"/>
                <w:szCs w:val="16"/>
              </w:rPr>
            </w:pPr>
            <w:r w:rsidRPr="00781112">
              <w:rPr>
                <w:color w:val="000000" w:themeColor="text1"/>
                <w:szCs w:val="16"/>
              </w:rPr>
              <w:t>0%</w:t>
            </w:r>
          </w:p>
        </w:tc>
      </w:tr>
    </w:tbl>
    <w:p w14:paraId="728AD721" w14:textId="77777777" w:rsidR="00C15355" w:rsidRPr="00781112" w:rsidRDefault="00C15355" w:rsidP="004369B2">
      <w:pPr>
        <w:rPr>
          <w:color w:val="000000" w:themeColor="text1"/>
        </w:rPr>
      </w:pPr>
    </w:p>
    <w:bookmarkEnd w:id="31"/>
    <w:bookmarkEnd w:id="32"/>
    <w:p w14:paraId="6C217ADA" w14:textId="24A1A15F" w:rsidR="00D03701" w:rsidRPr="00781112" w:rsidRDefault="0047313F">
      <w:pPr>
        <w:rPr>
          <w:b/>
          <w:color w:val="000000" w:themeColor="text1"/>
        </w:rPr>
      </w:pPr>
      <w:r>
        <w:rPr>
          <w:b/>
          <w:color w:val="000000" w:themeColor="text1"/>
        </w:rPr>
        <w:t>FFY 2023 SPP/APR Data</w:t>
      </w:r>
    </w:p>
    <w:p w14:paraId="51C79687" w14:textId="260CFDAD" w:rsidR="00F9524E" w:rsidRPr="00781112" w:rsidRDefault="00F9524E">
      <w:pPr>
        <w:rPr>
          <w:rFonts w:cs="Arial"/>
          <w:b/>
          <w:color w:val="000000" w:themeColor="text1"/>
          <w:szCs w:val="16"/>
        </w:rPr>
      </w:pPr>
      <w:r w:rsidRPr="00781112">
        <w:rPr>
          <w:rFonts w:cs="Arial"/>
          <w:b/>
          <w:color w:val="000000" w:themeColor="text1"/>
          <w:szCs w:val="16"/>
        </w:rPr>
        <w:t>Has the state established a minimum n/cell-size requirement? (yes/no)</w:t>
      </w:r>
    </w:p>
    <w:p w14:paraId="6FC8EF80" w14:textId="63ECC90F" w:rsidR="00F9524E" w:rsidRPr="00781112" w:rsidRDefault="00F9524E">
      <w:pPr>
        <w:rPr>
          <w:rFonts w:cs="Arial"/>
          <w:color w:val="000000" w:themeColor="text1"/>
          <w:szCs w:val="16"/>
        </w:rPr>
      </w:pPr>
      <w:r w:rsidRPr="00781112">
        <w:rPr>
          <w:rFonts w:cs="Arial"/>
          <w:color w:val="000000" w:themeColor="text1"/>
          <w:szCs w:val="16"/>
        </w:rPr>
        <w:t>YES</w:t>
      </w:r>
    </w:p>
    <w:p w14:paraId="0E1DD4DF" w14:textId="77777777" w:rsidR="00E52C16" w:rsidRPr="00E52C16" w:rsidRDefault="00E52C16" w:rsidP="00E52C16">
      <w:pPr>
        <w:rPr>
          <w:b/>
          <w:bCs/>
        </w:rPr>
      </w:pPr>
      <w:r w:rsidRPr="00FE4611">
        <w:rPr>
          <w:rFonts w:cs="Arial"/>
          <w:b/>
          <w:bCs/>
          <w:szCs w:val="16"/>
        </w:rPr>
        <w:t>If yes, the State must provide a definition of its minimum n and/or cell size itself and a description thereof (e.g., a State’s n size of 15 represents the number of children with disabilities enrolled in an LEA, and a State’s cell size of 5 represents the number of children with disabilities, by race and ethnicity, who have received out-of-school suspensions and expulsions of more than 10 days within the LEA).</w:t>
      </w:r>
    </w:p>
    <w:p w14:paraId="1B28FEF2" w14:textId="4316A0D5" w:rsidR="00E52C16" w:rsidRPr="00FE4611" w:rsidRDefault="00E52C16">
      <w:pPr>
        <w:rPr>
          <w:rFonts w:cs="Arial"/>
          <w:color w:val="000000" w:themeColor="text1"/>
          <w:szCs w:val="16"/>
        </w:rPr>
      </w:pPr>
      <w:r w:rsidRPr="00FE4611">
        <w:rPr>
          <w:rFonts w:cs="Arial"/>
          <w:color w:val="000000" w:themeColor="text1"/>
          <w:szCs w:val="16"/>
        </w:rPr>
        <w:t xml:space="preserve">The State uses a minimum n size of 5. The n size of 5 represents the number of children with disabilities enrolled in an LEA. The State uses a minimum cell size of 5. The cell of 5 size represents the number of children with disabilities, by race and ethnicity, who have received out-of-school suspensions and expulsions of more than 10 days within the LEA. </w:t>
      </w:r>
    </w:p>
    <w:p w14:paraId="2EA86269" w14:textId="46B915E6" w:rsidR="00E52C16" w:rsidRPr="00E52C16" w:rsidRDefault="00E52C16" w:rsidP="00E52C16">
      <w:pPr>
        <w:rPr>
          <w:b/>
          <w:bCs/>
        </w:rPr>
      </w:pPr>
      <w:r w:rsidRPr="00FE4611">
        <w:rPr>
          <w:rFonts w:cs="Arial"/>
          <w:b/>
          <w:bCs/>
          <w:szCs w:val="16"/>
        </w:rPr>
        <w:t xml:space="preserve">If yes, the State </w:t>
      </w:r>
      <w:r w:rsidR="00F27659">
        <w:rPr>
          <w:rFonts w:cs="Arial"/>
          <w:b/>
          <w:bCs/>
          <w:szCs w:val="16"/>
        </w:rPr>
        <w:t xml:space="preserve">must </w:t>
      </w:r>
      <w:r w:rsidRPr="00FE4611">
        <w:rPr>
          <w:rFonts w:cs="Arial"/>
          <w:b/>
          <w:bCs/>
          <w:szCs w:val="16"/>
        </w:rPr>
        <w:t>also provide rationales for its minimum n and/or cell size, including why the definitions chosen are reasonable and based on stakeholder input, and how the definitions ensure that the State is appropriately analyzing and identifying LEAs with significant discrepancy.</w:t>
      </w:r>
    </w:p>
    <w:p w14:paraId="3381EA39" w14:textId="6D2C1148" w:rsidR="00F93985" w:rsidRDefault="00E52C16" w:rsidP="00E52C16">
      <w:pPr>
        <w:rPr>
          <w:rFonts w:cs="Arial"/>
          <w:color w:val="000000" w:themeColor="text1"/>
          <w:szCs w:val="16"/>
        </w:rPr>
      </w:pPr>
      <w:r w:rsidRPr="00FE4611">
        <w:rPr>
          <w:rFonts w:cs="Arial"/>
          <w:color w:val="000000" w:themeColor="text1"/>
          <w:szCs w:val="16"/>
        </w:rPr>
        <w:t xml:space="preserve">The minimum cell and n sizes are reasonable thresholds by which to include LEAs in the analysis because these thresholds reflect an appropriate level of sensitivity to change due to small changes in population or discipline counts. The selected n and cell size allow the State to analyze data from multiple LEAs, and to follow up with technical assistance activities for each LEA. These definitions ensure the State is appropriately analyzing and identifying LEAs with significant discrepancy because there are districts identified annually because of this analysis.  </w:t>
      </w:r>
      <w:r w:rsidRPr="00FE4611">
        <w:rPr>
          <w:rFonts w:cs="Arial"/>
          <w:color w:val="000000" w:themeColor="text1"/>
          <w:szCs w:val="16"/>
        </w:rPr>
        <w:br/>
      </w:r>
      <w:r w:rsidRPr="00FE4611">
        <w:rPr>
          <w:rFonts w:cs="Arial"/>
          <w:color w:val="000000" w:themeColor="text1"/>
          <w:szCs w:val="16"/>
        </w:rPr>
        <w:br/>
        <w:t xml:space="preserve">Stakeholders confirmed support for the State’s approach to analyzing and identifying LEAs with significant discrepancy during statewide engagement related to the 2020-2025 SPP/APR package and target setting in 2020. </w:t>
      </w:r>
    </w:p>
    <w:p w14:paraId="1E818983" w14:textId="2BCEB1A6" w:rsidR="00E52C16" w:rsidRPr="00FE4611" w:rsidRDefault="00E52C16" w:rsidP="00E52C16">
      <w:pPr>
        <w:rPr>
          <w:rFonts w:cs="Arial"/>
          <w:b/>
          <w:bCs/>
          <w:szCs w:val="16"/>
        </w:rPr>
      </w:pPr>
      <w:r w:rsidRPr="00FE4611">
        <w:rPr>
          <w:rFonts w:cs="Arial"/>
          <w:b/>
          <w:bCs/>
          <w:szCs w:val="16"/>
        </w:rPr>
        <w:t xml:space="preserve">If yes, the State must also indicate whether the minimum n and/or cell size represents a change from the prior SPP/APR reporting period. </w:t>
      </w:r>
    </w:p>
    <w:p w14:paraId="11BCA870" w14:textId="42C6A184" w:rsidR="00E52C16" w:rsidRPr="00FE4611" w:rsidRDefault="00E52C16">
      <w:pPr>
        <w:rPr>
          <w:rFonts w:cs="Arial"/>
          <w:color w:val="000000" w:themeColor="text1"/>
          <w:szCs w:val="16"/>
        </w:rPr>
      </w:pPr>
      <w:r w:rsidRPr="00FE4611">
        <w:rPr>
          <w:rFonts w:cs="Arial"/>
          <w:color w:val="000000" w:themeColor="text1"/>
          <w:szCs w:val="16"/>
        </w:rPr>
        <w:t>No change from prior reporting period.</w:t>
      </w:r>
    </w:p>
    <w:p w14:paraId="291B5286" w14:textId="77777777" w:rsidR="00E52C16" w:rsidRPr="00E52C16" w:rsidRDefault="00E52C16" w:rsidP="00FE4611">
      <w:pPr>
        <w:rPr>
          <w:b/>
          <w:bCs/>
        </w:rPr>
      </w:pPr>
      <w:r w:rsidRPr="00FE4611">
        <w:rPr>
          <w:rFonts w:cs="Arial"/>
          <w:b/>
          <w:bCs/>
          <w:szCs w:val="16"/>
        </w:rPr>
        <w:t>If yes, the State must provide an explanation why the minimum n and/or cell size was changed.</w:t>
      </w:r>
    </w:p>
    <w:p w14:paraId="56023CFF" w14:textId="68F61573" w:rsidR="00E52C16" w:rsidRPr="00FE4611" w:rsidRDefault="00E52C16">
      <w:pPr>
        <w:rPr>
          <w:rFonts w:cs="Arial"/>
          <w:color w:val="000000" w:themeColor="text1"/>
          <w:szCs w:val="16"/>
        </w:rPr>
      </w:pPr>
      <w:r w:rsidRPr="00FE4611">
        <w:rPr>
          <w:rFonts w:cs="Arial"/>
          <w:color w:val="000000" w:themeColor="text1"/>
          <w:szCs w:val="16"/>
        </w:rPr>
        <w:t>No change from prior reporting period.</w:t>
      </w:r>
    </w:p>
    <w:p w14:paraId="69A72720" w14:textId="67B89260" w:rsidR="00F9524E" w:rsidRPr="00781112" w:rsidRDefault="00F9524E">
      <w:pPr>
        <w:rPr>
          <w:rFonts w:cs="Arial"/>
          <w:b/>
          <w:color w:val="000000" w:themeColor="text1"/>
          <w:szCs w:val="16"/>
        </w:rPr>
      </w:pPr>
      <w:r w:rsidRPr="00781112">
        <w:rPr>
          <w:rFonts w:cs="Arial"/>
          <w:b/>
          <w:color w:val="000000" w:themeColor="text1"/>
          <w:szCs w:val="16"/>
        </w:rPr>
        <w:t xml:space="preserve">If yes, the State may only include, in both the numerator and the denominator, LEAs that met the State-established n/cell size. </w:t>
      </w:r>
      <w:r w:rsidR="00E52C16" w:rsidRPr="00FE4611">
        <w:rPr>
          <w:rFonts w:cs="Arial"/>
          <w:b/>
          <w:bCs/>
          <w:szCs w:val="16"/>
        </w:rPr>
        <w:t>If the State used a minimum n and/or cell size requirement, report the number of LEAs totally excluded from the calculation as a result of this requirement.</w:t>
      </w:r>
    </w:p>
    <w:p w14:paraId="4A920DA7" w14:textId="169D365F" w:rsidR="00F9524E" w:rsidRPr="00781112" w:rsidRDefault="00F9524E" w:rsidP="004369B2">
      <w:pPr>
        <w:rPr>
          <w:rFonts w:cs="Arial"/>
          <w:color w:val="000000" w:themeColor="text1"/>
          <w:szCs w:val="16"/>
        </w:rPr>
      </w:pPr>
      <w:r w:rsidRPr="00781112">
        <w:rPr>
          <w:rFonts w:cs="Arial"/>
          <w:color w:val="000000" w:themeColor="text1"/>
          <w:szCs w:val="16"/>
        </w:rPr>
        <w:lastRenderedPageBreak/>
        <w:t>179</w:t>
      </w:r>
    </w:p>
    <w:p w14:paraId="4C0AC734" w14:textId="77777777" w:rsidR="0016730D" w:rsidRPr="00781112" w:rsidRDefault="0016730D" w:rsidP="004369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4BCFFYAPRDATA"/>
      </w:tblPr>
      <w:tblGrid>
        <w:gridCol w:w="1328"/>
        <w:gridCol w:w="1272"/>
        <w:gridCol w:w="1757"/>
        <w:gridCol w:w="1152"/>
        <w:gridCol w:w="1675"/>
        <w:gridCol w:w="1047"/>
        <w:gridCol w:w="1299"/>
        <w:gridCol w:w="1260"/>
      </w:tblGrid>
      <w:tr w:rsidR="00740CBC" w:rsidRPr="00781112" w14:paraId="38B0A91A" w14:textId="77777777" w:rsidTr="00EC0EDB">
        <w:trPr>
          <w:trHeight w:val="994"/>
          <w:jc w:val="center"/>
        </w:trPr>
        <w:tc>
          <w:tcPr>
            <w:tcW w:w="615" w:type="pct"/>
            <w:shd w:val="clear" w:color="auto" w:fill="auto"/>
            <w:vAlign w:val="bottom"/>
          </w:tcPr>
          <w:p w14:paraId="7B29D1BD" w14:textId="32EC5502"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have a significant discrepancy, by race or ethnicity</w:t>
            </w:r>
          </w:p>
        </w:tc>
        <w:tc>
          <w:tcPr>
            <w:tcW w:w="589" w:type="pct"/>
            <w:shd w:val="clear" w:color="auto" w:fill="auto"/>
            <w:vAlign w:val="bottom"/>
          </w:tcPr>
          <w:p w14:paraId="5F8F5A3F" w14:textId="0F9AAB60"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those LEAs that have policies, procedure or practices that contribute to the significant discrepancy and do not comply with requirements</w:t>
            </w:r>
          </w:p>
        </w:tc>
        <w:tc>
          <w:tcPr>
            <w:tcW w:w="814" w:type="pct"/>
            <w:shd w:val="clear" w:color="auto" w:fill="auto"/>
            <w:vAlign w:val="bottom"/>
          </w:tcPr>
          <w:p w14:paraId="198605CB" w14:textId="35586744" w:rsidR="00740CBC" w:rsidRPr="00781112" w:rsidRDefault="00740CBC" w:rsidP="00740CBC">
            <w:pPr>
              <w:jc w:val="center"/>
              <w:rPr>
                <w:rFonts w:cs="Arial"/>
                <w:b/>
                <w:color w:val="000000" w:themeColor="text1"/>
                <w:szCs w:val="16"/>
              </w:rPr>
            </w:pPr>
            <w:r w:rsidRPr="00781112">
              <w:rPr>
                <w:rFonts w:cs="Arial"/>
                <w:b/>
                <w:color w:val="000000" w:themeColor="text1"/>
                <w:szCs w:val="16"/>
              </w:rPr>
              <w:t>Number of LEAs that met the State's minimum n/cell-size</w:t>
            </w:r>
          </w:p>
        </w:tc>
        <w:tc>
          <w:tcPr>
            <w:tcW w:w="534" w:type="pct"/>
            <w:shd w:val="clear" w:color="auto" w:fill="auto"/>
            <w:vAlign w:val="bottom"/>
          </w:tcPr>
          <w:p w14:paraId="45990D98" w14:textId="2ED4570D" w:rsidR="00740CBC" w:rsidRPr="00CC1061" w:rsidRDefault="00740CBC" w:rsidP="00740CBC">
            <w:pPr>
              <w:jc w:val="center"/>
              <w:rPr>
                <w:rFonts w:cs="Arial"/>
                <w:b/>
                <w:bCs/>
                <w:color w:val="000000" w:themeColor="text1"/>
                <w:szCs w:val="16"/>
              </w:rPr>
            </w:pPr>
            <w:r w:rsidRPr="00CC1061">
              <w:rPr>
                <w:b/>
                <w:bCs/>
              </w:rPr>
              <w:t>FFY 2022 Data</w:t>
            </w:r>
          </w:p>
        </w:tc>
        <w:tc>
          <w:tcPr>
            <w:tcW w:w="776" w:type="pct"/>
            <w:shd w:val="clear" w:color="auto" w:fill="auto"/>
            <w:vAlign w:val="bottom"/>
          </w:tcPr>
          <w:p w14:paraId="1BAB59B0" w14:textId="231C4FF6" w:rsidR="00740CBC" w:rsidRPr="00CC1061" w:rsidRDefault="00740CBC" w:rsidP="00740CBC">
            <w:pPr>
              <w:jc w:val="center"/>
              <w:rPr>
                <w:rFonts w:cs="Arial"/>
                <w:b/>
                <w:bCs/>
                <w:color w:val="000000" w:themeColor="text1"/>
                <w:szCs w:val="16"/>
              </w:rPr>
            </w:pPr>
            <w:r w:rsidRPr="00CC1061">
              <w:rPr>
                <w:b/>
                <w:bCs/>
              </w:rPr>
              <w:t>FFY 2023 Target</w:t>
            </w:r>
          </w:p>
        </w:tc>
        <w:tc>
          <w:tcPr>
            <w:tcW w:w="485" w:type="pct"/>
            <w:shd w:val="clear" w:color="auto" w:fill="auto"/>
            <w:vAlign w:val="bottom"/>
          </w:tcPr>
          <w:p w14:paraId="179C63C5" w14:textId="103459BA" w:rsidR="00740CBC" w:rsidRPr="00CC1061" w:rsidRDefault="00740CBC" w:rsidP="00740CBC">
            <w:pPr>
              <w:jc w:val="center"/>
              <w:rPr>
                <w:rFonts w:cs="Arial"/>
                <w:b/>
                <w:bCs/>
                <w:color w:val="000000" w:themeColor="text1"/>
                <w:szCs w:val="16"/>
              </w:rPr>
            </w:pPr>
            <w:r w:rsidRPr="00CC1061">
              <w:rPr>
                <w:b/>
                <w:bCs/>
              </w:rPr>
              <w:t>FFY 2023 Data</w:t>
            </w:r>
          </w:p>
        </w:tc>
        <w:tc>
          <w:tcPr>
            <w:tcW w:w="602" w:type="pct"/>
            <w:shd w:val="clear" w:color="auto" w:fill="auto"/>
            <w:vAlign w:val="bottom"/>
          </w:tcPr>
          <w:p w14:paraId="65AC443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Status</w:t>
            </w:r>
          </w:p>
        </w:tc>
        <w:tc>
          <w:tcPr>
            <w:tcW w:w="584" w:type="pct"/>
            <w:shd w:val="clear" w:color="auto" w:fill="auto"/>
            <w:vAlign w:val="bottom"/>
          </w:tcPr>
          <w:p w14:paraId="1CC124E2" w14:textId="77777777" w:rsidR="00740CBC" w:rsidRPr="00781112" w:rsidRDefault="00740CBC" w:rsidP="00740CBC">
            <w:pPr>
              <w:jc w:val="center"/>
              <w:rPr>
                <w:rFonts w:cs="Arial"/>
                <w:b/>
                <w:color w:val="000000" w:themeColor="text1"/>
                <w:szCs w:val="16"/>
              </w:rPr>
            </w:pPr>
            <w:r w:rsidRPr="00781112">
              <w:rPr>
                <w:rFonts w:cs="Arial"/>
                <w:b/>
                <w:color w:val="000000" w:themeColor="text1"/>
                <w:szCs w:val="16"/>
              </w:rPr>
              <w:t>Slippage</w:t>
            </w:r>
          </w:p>
        </w:tc>
      </w:tr>
      <w:tr w:rsidR="005C29F8" w:rsidRPr="00781112" w14:paraId="204CDE51" w14:textId="77777777" w:rsidTr="00EC0EDB">
        <w:trPr>
          <w:trHeight w:val="233"/>
          <w:jc w:val="center"/>
        </w:trPr>
        <w:tc>
          <w:tcPr>
            <w:tcW w:w="615" w:type="pct"/>
            <w:shd w:val="clear" w:color="auto" w:fill="auto"/>
          </w:tcPr>
          <w:p w14:paraId="1BBB876A" w14:textId="743343A5" w:rsidR="00DE45AB" w:rsidRPr="00781112" w:rsidRDefault="002B7490" w:rsidP="00A018D4">
            <w:pPr>
              <w:jc w:val="center"/>
              <w:rPr>
                <w:rFonts w:cs="Arial"/>
                <w:color w:val="000000" w:themeColor="text1"/>
                <w:szCs w:val="16"/>
              </w:rPr>
            </w:pPr>
            <w:r w:rsidRPr="00781112">
              <w:rPr>
                <w:rFonts w:cs="Arial"/>
                <w:color w:val="000000" w:themeColor="text1"/>
                <w:szCs w:val="16"/>
              </w:rPr>
              <w:t>9</w:t>
            </w:r>
          </w:p>
        </w:tc>
        <w:tc>
          <w:tcPr>
            <w:tcW w:w="589" w:type="pct"/>
            <w:shd w:val="clear" w:color="auto" w:fill="auto"/>
            <w:vAlign w:val="center"/>
          </w:tcPr>
          <w:p w14:paraId="6C540A5B" w14:textId="472541D0" w:rsidR="00DE45AB"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814" w:type="pct"/>
            <w:shd w:val="clear" w:color="auto" w:fill="auto"/>
          </w:tcPr>
          <w:p w14:paraId="6F1E42F0" w14:textId="4B631704" w:rsidR="00DE45AB" w:rsidRPr="00781112" w:rsidRDefault="002B7490" w:rsidP="00A018D4">
            <w:pPr>
              <w:jc w:val="center"/>
              <w:rPr>
                <w:rFonts w:cs="Arial"/>
                <w:color w:val="000000" w:themeColor="text1"/>
                <w:szCs w:val="16"/>
              </w:rPr>
            </w:pPr>
            <w:r w:rsidRPr="00781112">
              <w:rPr>
                <w:rFonts w:cs="Arial"/>
                <w:color w:val="000000" w:themeColor="text1"/>
                <w:szCs w:val="16"/>
              </w:rPr>
              <w:t>18</w:t>
            </w:r>
          </w:p>
        </w:tc>
        <w:tc>
          <w:tcPr>
            <w:tcW w:w="534" w:type="pct"/>
            <w:shd w:val="clear" w:color="auto" w:fill="auto"/>
          </w:tcPr>
          <w:p w14:paraId="76FAD105" w14:textId="6054175F"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776" w:type="pct"/>
            <w:shd w:val="clear" w:color="auto" w:fill="auto"/>
          </w:tcPr>
          <w:p w14:paraId="0F3192F2" w14:textId="289113AF" w:rsidR="00DE45AB" w:rsidRPr="00781112" w:rsidRDefault="00BA56C8">
            <w:pPr>
              <w:jc w:val="center"/>
              <w:rPr>
                <w:rFonts w:cs="Arial"/>
                <w:color w:val="000000" w:themeColor="text1"/>
                <w:szCs w:val="16"/>
              </w:rPr>
            </w:pPr>
            <w:r w:rsidRPr="00781112">
              <w:rPr>
                <w:rFonts w:cs="Arial"/>
                <w:color w:val="000000" w:themeColor="text1"/>
                <w:szCs w:val="16"/>
              </w:rPr>
              <w:t>0%</w:t>
            </w:r>
          </w:p>
        </w:tc>
        <w:tc>
          <w:tcPr>
            <w:tcW w:w="485" w:type="pct"/>
            <w:shd w:val="clear" w:color="auto" w:fill="auto"/>
          </w:tcPr>
          <w:p w14:paraId="7BDF1791" w14:textId="2192A561" w:rsidR="00DE45AB"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602" w:type="pct"/>
            <w:shd w:val="clear" w:color="auto" w:fill="auto"/>
          </w:tcPr>
          <w:p w14:paraId="389804B8" w14:textId="23C75A7D" w:rsidR="00DE45AB"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84" w:type="pct"/>
            <w:shd w:val="clear" w:color="auto" w:fill="auto"/>
          </w:tcPr>
          <w:p w14:paraId="3AF9E82D" w14:textId="6AA616AB" w:rsidR="00DE45AB"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6E2244E6" w14:textId="77777777" w:rsidR="00A20CC3" w:rsidRPr="00781112" w:rsidRDefault="00A20CC3" w:rsidP="00A20CC3">
      <w:pPr>
        <w:rPr>
          <w:rFonts w:cs="Arial"/>
          <w:b/>
          <w:color w:val="000000" w:themeColor="text1"/>
          <w:szCs w:val="16"/>
        </w:rPr>
      </w:pPr>
      <w:r w:rsidRPr="00781112">
        <w:rPr>
          <w:rFonts w:cs="Arial"/>
          <w:b/>
          <w:color w:val="000000" w:themeColor="text1"/>
          <w:szCs w:val="16"/>
        </w:rPr>
        <w:t xml:space="preserve">Choose one of the following comparison methodologies to determine whether significant discrepancies are occurring (34 CFR §300.170(a)) </w:t>
      </w:r>
    </w:p>
    <w:p w14:paraId="33BA0C5D" w14:textId="167098C0" w:rsidR="00A20CC3" w:rsidRPr="00781112" w:rsidRDefault="00A20CC3" w:rsidP="00A20CC3">
      <w:pPr>
        <w:rPr>
          <w:rFonts w:cs="Arial"/>
          <w:color w:val="000000" w:themeColor="text1"/>
          <w:szCs w:val="16"/>
        </w:rPr>
      </w:pPr>
      <w:r w:rsidRPr="00781112">
        <w:rPr>
          <w:rFonts w:cs="Arial"/>
          <w:color w:val="000000" w:themeColor="text1"/>
          <w:szCs w:val="16"/>
        </w:rPr>
        <w:t>The rates of suspensions and expulsions of greater than 10 days in a school year for children with IEPs in each LEA compared to the rates for nondisabled children in the same LEA</w:t>
      </w:r>
    </w:p>
    <w:p w14:paraId="40DD3F41" w14:textId="31F46ACB" w:rsidR="00F9524E" w:rsidRPr="00781112" w:rsidRDefault="004B3E74" w:rsidP="000E33D0">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F24C674" w14:textId="1B9869B3" w:rsidR="00F9524E" w:rsidRPr="00781112" w:rsidRDefault="00F9524E" w:rsidP="000E33D0">
      <w:pPr>
        <w:rPr>
          <w:rFonts w:cs="Arial"/>
          <w:color w:val="000000" w:themeColor="text1"/>
          <w:szCs w:val="16"/>
        </w:rPr>
      </w:pPr>
      <w:r w:rsidRPr="00781112">
        <w:rPr>
          <w:rFonts w:cs="Arial"/>
          <w:color w:val="000000" w:themeColor="text1"/>
          <w:szCs w:val="16"/>
        </w:rPr>
        <w:t>YES</w:t>
      </w:r>
    </w:p>
    <w:p w14:paraId="6DB014CF" w14:textId="6C5A068F" w:rsidR="001F6A28" w:rsidRPr="00781112" w:rsidRDefault="001F6A28" w:rsidP="009A755E">
      <w:pPr>
        <w:rPr>
          <w:rFonts w:cs="Arial"/>
          <w:b/>
          <w:color w:val="000000" w:themeColor="text1"/>
          <w:szCs w:val="16"/>
        </w:rPr>
      </w:pPr>
      <w:bookmarkStart w:id="34" w:name="_Toc392159294"/>
      <w:r w:rsidRPr="00781112">
        <w:rPr>
          <w:rFonts w:cs="Arial"/>
          <w:b/>
          <w:color w:val="000000" w:themeColor="text1"/>
          <w:szCs w:val="16"/>
        </w:rPr>
        <w:t>State’s definition of “significant discrepancy” and methodology</w:t>
      </w:r>
    </w:p>
    <w:p w14:paraId="68DA7D27" w14:textId="3FCFF894" w:rsidR="002D57DA" w:rsidRPr="00781112" w:rsidRDefault="002B7490" w:rsidP="009C613A">
      <w:pPr>
        <w:rPr>
          <w:rFonts w:cs="Arial"/>
          <w:b/>
          <w:color w:val="000000" w:themeColor="text1"/>
          <w:szCs w:val="16"/>
        </w:rPr>
      </w:pPr>
      <w:r w:rsidRPr="00781112">
        <w:rPr>
          <w:rFonts w:cs="Arial"/>
          <w:color w:val="000000" w:themeColor="text1"/>
          <w:szCs w:val="16"/>
        </w:rPr>
        <w:t xml:space="preserve">To determine significant discrepancy, the State evaluated the degree to which students with disabilities in specific racial/ethnic groups may or may not be at higher risk for being suspended or expelled for greater than 10 days, compared to students without disabilities, using a rate ratio. Rate ratios were computed for districts with a minimum cell size (numerator) of five students with disabilities in specific racial/ethnic groups suspended or expelled more than ten cumulative days in a school year, an n-size (denominator) of at least five students with disabilities in specific racial/ethnic groups, and a minimum cell size of at least five students in the comparison group (nondisabled). Of the 197 LEAs, 18 LEAs met the minimum cell/n size to be included in the calculation. Of these, LEAs that met the minimum cell size/n-size with rate ratios greater than 2.0 were deemed to have a significant discrepancy and required to determine if the significant discrepancy was due to policies, procedures, and practices related to the development and implementation of IEPs, the use of positive behavioral interventions and supports, and/or procedural safeguards by completing a self-assessment (34 CFR §300.170(a)).  </w:t>
      </w:r>
      <w:r w:rsidRPr="00781112">
        <w:rPr>
          <w:rFonts w:cs="Arial"/>
          <w:color w:val="000000" w:themeColor="text1"/>
          <w:szCs w:val="16"/>
        </w:rPr>
        <w:br/>
      </w:r>
      <w:r w:rsidRPr="00781112">
        <w:rPr>
          <w:rFonts w:cs="Arial"/>
          <w:color w:val="000000" w:themeColor="text1"/>
          <w:szCs w:val="16"/>
        </w:rPr>
        <w:br/>
        <w:t>The State applies a uniform threshold across all racial and ethnic groups. It calculates district-level suspension/expulsion rates for children with disabilities by racial/ethnic group and then determines rate ratios. A district is identified with a significant discrepancy if the rate ratio for any racial/ethnic group meets or exceeds the state threshold of 2.0. Significant discrepancy is defined as a suspension/expulsion rate exceeding 10 days, with a rate ratio greater than 2.0 and more than three IDEA-eligible students experiencing suspensions/expulsions of over 10 days.</w:t>
      </w:r>
    </w:p>
    <w:p w14:paraId="3EC3FBFA" w14:textId="77777777" w:rsidR="006C575D" w:rsidRPr="00781112" w:rsidRDefault="006C575D" w:rsidP="004369B2">
      <w:pPr>
        <w:rPr>
          <w:b/>
          <w:color w:val="000000" w:themeColor="text1"/>
        </w:rPr>
      </w:pPr>
      <w:r w:rsidRPr="00781112">
        <w:rPr>
          <w:b/>
          <w:color w:val="000000" w:themeColor="text1"/>
        </w:rPr>
        <w:t>Provide additional information about this indicator (optional)</w:t>
      </w:r>
    </w:p>
    <w:p w14:paraId="35896747" w14:textId="5B1C78C3" w:rsidR="002D57DA" w:rsidRPr="00781112" w:rsidRDefault="002B7490" w:rsidP="000E33D0">
      <w:pPr>
        <w:rPr>
          <w:rFonts w:cs="Arial"/>
          <w:color w:val="000000" w:themeColor="text1"/>
          <w:szCs w:val="16"/>
        </w:rPr>
      </w:pPr>
      <w:r w:rsidRPr="00781112">
        <w:rPr>
          <w:rFonts w:cs="Arial"/>
          <w:color w:val="000000" w:themeColor="text1"/>
          <w:szCs w:val="16"/>
        </w:rPr>
        <w:t xml:space="preserve">The State performs additional monitoring activities with LEAs that were flagged for Indicator B4B, and for whom it was determined that the significant discrepancy by race/ethnicity was not indicative of noncompliance with IDEA requirements related to student discipline. LEAs flagged for Indicator B4B and not found noncompliant with IDEA who were scheduled to participate in the next subsequent cyclical monitoring cycle were required to review files for students in the demographic group for which a significant discrepancy by race/ethnicity was identified. Any instances of noncompliance with regulatory requirements identified through this cyclical monitoring file review process are corrected by the LEA, and the State verifies correction, pursuant to OSEP QA 23-01, dated July 24, 2023.  </w:t>
      </w:r>
      <w:r w:rsidRPr="00781112">
        <w:rPr>
          <w:rFonts w:cs="Arial"/>
          <w:color w:val="000000" w:themeColor="text1"/>
          <w:szCs w:val="16"/>
        </w:rPr>
        <w:br/>
      </w:r>
      <w:r w:rsidRPr="00781112">
        <w:rPr>
          <w:rFonts w:cs="Arial"/>
          <w:color w:val="000000" w:themeColor="text1"/>
          <w:szCs w:val="16"/>
        </w:rPr>
        <w:br/>
        <w:t xml:space="preserve">Of the nine LEAs flagged and found to be compliant with requirements for B4B during this reporting period, six LEAs were a part of the next scheduled cyclical monitoring cohort and participated in reviews of student files including reviewing for specific aspects of compliance with discipline requirements in IDEA during the 2023-2024 school year. The remaining three LEAs will participate in cyclical monitoring activities within the following two years. Any noncompliance identified as a result of these student file reviews will be reported in B18 as associated with B4B in the FFY 2024 SPP/APR. </w:t>
      </w:r>
      <w:r w:rsidRPr="00781112">
        <w:rPr>
          <w:rFonts w:cs="Arial"/>
          <w:color w:val="000000" w:themeColor="text1"/>
          <w:szCs w:val="16"/>
        </w:rPr>
        <w:br/>
      </w:r>
      <w:r w:rsidRPr="00781112">
        <w:rPr>
          <w:rFonts w:cs="Arial"/>
          <w:color w:val="000000" w:themeColor="text1"/>
          <w:szCs w:val="16"/>
        </w:rPr>
        <w:br/>
        <w:t xml:space="preserve">In this FFY 2023 SPP/APR, the source for noncompliance and correction data included in B18 associated with B4B are the student file reviews that were conducted as a part of cyclical monitoring activities with districts during the 2022-2023 school year. Districts were assigned to complete this discipline protocol based on if they were flagged for having a significant discrepancy and no associated noncompliance with policies, procedures, and practices in the prior FFY 2022 SPP/APR. </w:t>
      </w:r>
    </w:p>
    <w:p w14:paraId="4B905245" w14:textId="77777777" w:rsidR="005E2440" w:rsidRPr="00781112" w:rsidRDefault="005E2440" w:rsidP="004369B2">
      <w:pPr>
        <w:rPr>
          <w:color w:val="000000" w:themeColor="text1"/>
        </w:rPr>
      </w:pPr>
    </w:p>
    <w:p w14:paraId="248087F7" w14:textId="4A46CA07" w:rsidR="001F6A28" w:rsidRPr="00781112" w:rsidRDefault="001F6A28" w:rsidP="004369B2">
      <w:pPr>
        <w:rPr>
          <w:color w:val="000000" w:themeColor="text1"/>
        </w:rPr>
      </w:pPr>
      <w:r w:rsidRPr="00781112">
        <w:rPr>
          <w:b/>
          <w:color w:val="000000" w:themeColor="text1"/>
        </w:rPr>
        <w:t>Review of Policies, Procedures, and Practices (completed in FFY 2023 using 2022-2023 data)</w:t>
      </w:r>
    </w:p>
    <w:p w14:paraId="71ECDBC1" w14:textId="77777777" w:rsidR="001F6A28" w:rsidRPr="00781112" w:rsidRDefault="001F6A28" w:rsidP="009A755E">
      <w:pPr>
        <w:rPr>
          <w:rFonts w:cs="Arial"/>
          <w:b/>
          <w:color w:val="000000" w:themeColor="text1"/>
          <w:szCs w:val="16"/>
        </w:rPr>
      </w:pPr>
      <w:r w:rsidRPr="00781112">
        <w:rPr>
          <w:rFonts w:cs="Arial"/>
          <w:b/>
          <w:color w:val="000000" w:themeColor="text1"/>
          <w:szCs w:val="16"/>
        </w:rPr>
        <w:t>Provide a description of the review of policies, procedures, and practices relating to the development and implementation of IEPs, the use of positive behavioral interventions and supports, and procedural safeguards.</w:t>
      </w:r>
    </w:p>
    <w:p w14:paraId="7C9E83E6" w14:textId="40DED240" w:rsidR="00616510" w:rsidRPr="00781112" w:rsidRDefault="002B7490" w:rsidP="009C613A">
      <w:pPr>
        <w:rPr>
          <w:rFonts w:cs="Arial"/>
          <w:color w:val="000000" w:themeColor="text1"/>
          <w:szCs w:val="16"/>
        </w:rPr>
      </w:pPr>
      <w:r w:rsidRPr="00781112">
        <w:rPr>
          <w:rFonts w:cs="Arial"/>
          <w:color w:val="000000" w:themeColor="text1"/>
          <w:szCs w:val="16"/>
        </w:rPr>
        <w:t xml:space="preserve">The State conducted interviews with nine LEAs identified with significant discrepancies based on 2022-23 data. Of the State’s 197 LEAs, 18 met the minimum n-size for inclusion in this analysis. The interviews reviewed each LEA’s policies, procedures, and practices in three key areas: </w:t>
      </w:r>
      <w:r w:rsidRPr="00781112">
        <w:rPr>
          <w:rFonts w:cs="Arial"/>
          <w:color w:val="000000" w:themeColor="text1"/>
          <w:szCs w:val="16"/>
        </w:rPr>
        <w:br/>
      </w:r>
      <w:r w:rsidRPr="00781112">
        <w:rPr>
          <w:rFonts w:cs="Arial"/>
          <w:color w:val="000000" w:themeColor="text1"/>
          <w:szCs w:val="16"/>
        </w:rPr>
        <w:br/>
        <w:t xml:space="preserve">1. Development and implementation of IEPs </w:t>
      </w:r>
      <w:r w:rsidRPr="00781112">
        <w:rPr>
          <w:rFonts w:cs="Arial"/>
          <w:color w:val="000000" w:themeColor="text1"/>
          <w:szCs w:val="16"/>
        </w:rPr>
        <w:br/>
      </w:r>
      <w:r w:rsidRPr="00781112">
        <w:rPr>
          <w:rFonts w:cs="Arial"/>
          <w:color w:val="000000" w:themeColor="text1"/>
          <w:szCs w:val="16"/>
        </w:rPr>
        <w:br/>
        <w:t xml:space="preserve">2. Use of positive behavioral interventions and supports </w:t>
      </w:r>
      <w:r w:rsidRPr="00781112">
        <w:rPr>
          <w:rFonts w:cs="Arial"/>
          <w:color w:val="000000" w:themeColor="text1"/>
          <w:szCs w:val="16"/>
        </w:rPr>
        <w:br/>
      </w:r>
      <w:r w:rsidRPr="00781112">
        <w:rPr>
          <w:rFonts w:cs="Arial"/>
          <w:color w:val="000000" w:themeColor="text1"/>
          <w:szCs w:val="16"/>
        </w:rPr>
        <w:br/>
        <w:t xml:space="preserve">3. Procedural safeguards, including the manifestation determination review process </w:t>
      </w:r>
      <w:r w:rsidRPr="00781112">
        <w:rPr>
          <w:rFonts w:cs="Arial"/>
          <w:color w:val="000000" w:themeColor="text1"/>
          <w:szCs w:val="16"/>
        </w:rPr>
        <w:br/>
      </w:r>
      <w:r w:rsidRPr="00781112">
        <w:rPr>
          <w:rFonts w:cs="Arial"/>
          <w:color w:val="000000" w:themeColor="text1"/>
          <w:szCs w:val="16"/>
        </w:rPr>
        <w:br/>
        <w:t xml:space="preserve">For FFY 2023, the State flagged nine LEAs for this indicator, requiring a review of their policies, procedures, and practices. In accordance with OSEP QA 23-01 (July 24, 2023), the State mandates revisions if any policies, procedures, or practices do not comply with applicable requirements. As part of its compliance assessment, the State conducted follow-up interviews with these nine LEAs to evaluate their implementation. </w:t>
      </w:r>
      <w:r w:rsidRPr="00781112">
        <w:rPr>
          <w:rFonts w:cs="Arial"/>
          <w:color w:val="000000" w:themeColor="text1"/>
          <w:szCs w:val="16"/>
        </w:rPr>
        <w:br/>
      </w:r>
      <w:r w:rsidRPr="00781112">
        <w:rPr>
          <w:rFonts w:cs="Arial"/>
          <w:color w:val="000000" w:themeColor="text1"/>
          <w:szCs w:val="16"/>
        </w:rPr>
        <w:br/>
        <w:t xml:space="preserve">Based on these interviews, including discussions on data, policies, procedures, and practices, the State determined that all nine LEAs are compliant with the Act and effectively implementing regulatory requirements. The flagged discrepancies did not indicate noncompliance. </w:t>
      </w:r>
      <w:r w:rsidRPr="00781112">
        <w:rPr>
          <w:rFonts w:cs="Arial"/>
          <w:color w:val="000000" w:themeColor="text1"/>
          <w:szCs w:val="16"/>
        </w:rPr>
        <w:br/>
      </w:r>
      <w:r w:rsidRPr="00781112">
        <w:rPr>
          <w:rFonts w:cs="Arial"/>
          <w:color w:val="000000" w:themeColor="text1"/>
          <w:szCs w:val="16"/>
        </w:rPr>
        <w:lastRenderedPageBreak/>
        <w:br/>
        <w:t xml:space="preserve">In accordance with 34 CFR §300.170(b), the State completed the required review for each district identified with a significant discrepancy and found no instances of noncompliance with Part B requirements. </w:t>
      </w:r>
    </w:p>
    <w:p w14:paraId="3F34C37B" w14:textId="77777777" w:rsidR="00616510" w:rsidRPr="00781112" w:rsidRDefault="00616510" w:rsidP="009C613A">
      <w:pPr>
        <w:rPr>
          <w:rFonts w:cs="Arial"/>
          <w:color w:val="000000" w:themeColor="text1"/>
          <w:szCs w:val="16"/>
        </w:rPr>
      </w:pPr>
    </w:p>
    <w:p w14:paraId="23CDB3C2" w14:textId="04EDADC3" w:rsidR="00616510" w:rsidRPr="00781112" w:rsidRDefault="00616510" w:rsidP="009C613A">
      <w:pPr>
        <w:rPr>
          <w:rFonts w:cs="Arial"/>
          <w:color w:val="000000" w:themeColor="text1"/>
          <w:szCs w:val="16"/>
        </w:rPr>
      </w:pPr>
      <w:r w:rsidRPr="00781112">
        <w:rPr>
          <w:rFonts w:cs="Arial"/>
          <w:color w:val="000000" w:themeColor="text1"/>
          <w:szCs w:val="16"/>
        </w:rPr>
        <w:t>The State DID NOT identify noncompliance with Part B requirements as a result of the review required by 34 CFR §300.170(b)</w:t>
      </w:r>
    </w:p>
    <w:p w14:paraId="3A779219" w14:textId="77777777" w:rsidR="00F9524E" w:rsidRPr="00781112" w:rsidRDefault="00F9524E">
      <w:pPr>
        <w:rPr>
          <w:b/>
          <w:color w:val="000000" w:themeColor="text1"/>
        </w:rPr>
      </w:pPr>
    </w:p>
    <w:p w14:paraId="54A274E0" w14:textId="18C141CB"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04BPFFYNCFINDINGS"/>
      </w:tblPr>
      <w:tblGrid>
        <w:gridCol w:w="2613"/>
        <w:gridCol w:w="2743"/>
        <w:gridCol w:w="2620"/>
        <w:gridCol w:w="2814"/>
      </w:tblGrid>
      <w:tr w:rsidR="005C29F8" w:rsidRPr="00781112" w14:paraId="114A5055" w14:textId="77777777" w:rsidTr="00C570AA">
        <w:trPr>
          <w:trHeight w:val="389"/>
          <w:tblHeader/>
        </w:trPr>
        <w:tc>
          <w:tcPr>
            <w:tcW w:w="1211" w:type="pct"/>
            <w:shd w:val="clear" w:color="auto" w:fill="auto"/>
            <w:vAlign w:val="bottom"/>
          </w:tcPr>
          <w:p w14:paraId="776A9C2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71" w:type="pct"/>
            <w:shd w:val="clear" w:color="auto" w:fill="auto"/>
            <w:vAlign w:val="bottom"/>
          </w:tcPr>
          <w:p w14:paraId="4FF64C47"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14" w:type="pct"/>
            <w:shd w:val="clear" w:color="auto" w:fill="auto"/>
            <w:vAlign w:val="bottom"/>
          </w:tcPr>
          <w:p w14:paraId="36D9293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304" w:type="pct"/>
            <w:shd w:val="clear" w:color="auto" w:fill="auto"/>
            <w:vAlign w:val="bottom"/>
          </w:tcPr>
          <w:p w14:paraId="440F12A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6AB2FBF" w14:textId="77777777" w:rsidTr="00C570AA">
        <w:tc>
          <w:tcPr>
            <w:tcW w:w="1211" w:type="pct"/>
            <w:shd w:val="clear" w:color="auto" w:fill="auto"/>
          </w:tcPr>
          <w:p w14:paraId="6AF875F0" w14:textId="0FD8621B"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71" w:type="pct"/>
            <w:shd w:val="clear" w:color="auto" w:fill="auto"/>
          </w:tcPr>
          <w:p w14:paraId="58D166B5" w14:textId="6ADFFC1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14" w:type="pct"/>
            <w:shd w:val="clear" w:color="auto" w:fill="auto"/>
          </w:tcPr>
          <w:p w14:paraId="745E0498" w14:textId="77F90D3F"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304" w:type="pct"/>
            <w:shd w:val="clear" w:color="auto" w:fill="auto"/>
          </w:tcPr>
          <w:p w14:paraId="55E32910" w14:textId="7F6FD66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6CFB1826" w14:textId="710AA3AB"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04BPPFFYNCFINDINGS"/>
      </w:tblPr>
      <w:tblGrid>
        <w:gridCol w:w="1996"/>
        <w:gridCol w:w="2997"/>
        <w:gridCol w:w="2989"/>
        <w:gridCol w:w="2808"/>
      </w:tblGrid>
      <w:tr w:rsidR="005C29F8" w:rsidRPr="00781112" w14:paraId="00324CEE" w14:textId="77777777" w:rsidTr="00A05C13">
        <w:trPr>
          <w:tblHeader/>
        </w:trPr>
        <w:tc>
          <w:tcPr>
            <w:tcW w:w="925" w:type="pct"/>
            <w:shd w:val="clear" w:color="auto" w:fill="auto"/>
            <w:vAlign w:val="bottom"/>
          </w:tcPr>
          <w:p w14:paraId="77DA67D5" w14:textId="149F9136" w:rsidR="009A755E" w:rsidRPr="00781112" w:rsidRDefault="0016730D"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89" w:type="pct"/>
            <w:shd w:val="clear" w:color="auto" w:fill="auto"/>
            <w:vAlign w:val="bottom"/>
          </w:tcPr>
          <w:p w14:paraId="10CE444D" w14:textId="4035CC3C"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85" w:type="pct"/>
            <w:shd w:val="clear" w:color="auto" w:fill="auto"/>
            <w:vAlign w:val="bottom"/>
          </w:tcPr>
          <w:p w14:paraId="541F03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1" w:type="pct"/>
            <w:shd w:val="clear" w:color="auto" w:fill="auto"/>
            <w:vAlign w:val="bottom"/>
          </w:tcPr>
          <w:p w14:paraId="44D37B6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FE0165" w14:textId="77777777" w:rsidTr="00A05C13">
        <w:tc>
          <w:tcPr>
            <w:tcW w:w="925" w:type="pct"/>
            <w:shd w:val="clear" w:color="auto" w:fill="auto"/>
          </w:tcPr>
          <w:p w14:paraId="24BDFB83" w14:textId="477472C3" w:rsidR="009A755E" w:rsidRPr="00781112" w:rsidRDefault="009A755E" w:rsidP="00A018D4">
            <w:pPr>
              <w:jc w:val="center"/>
              <w:rPr>
                <w:rFonts w:cs="Arial"/>
                <w:color w:val="000000" w:themeColor="text1"/>
                <w:szCs w:val="16"/>
              </w:rPr>
            </w:pPr>
          </w:p>
        </w:tc>
        <w:tc>
          <w:tcPr>
            <w:tcW w:w="1389" w:type="pct"/>
            <w:shd w:val="clear" w:color="auto" w:fill="auto"/>
          </w:tcPr>
          <w:p w14:paraId="27669B26" w14:textId="57CAFD92" w:rsidR="009A755E" w:rsidRPr="00781112" w:rsidRDefault="009A755E">
            <w:pPr>
              <w:jc w:val="center"/>
              <w:rPr>
                <w:rFonts w:cs="Arial"/>
                <w:noProof/>
                <w:color w:val="000000" w:themeColor="text1"/>
                <w:szCs w:val="16"/>
              </w:rPr>
            </w:pPr>
          </w:p>
        </w:tc>
        <w:tc>
          <w:tcPr>
            <w:tcW w:w="1385" w:type="pct"/>
            <w:shd w:val="clear" w:color="auto" w:fill="auto"/>
          </w:tcPr>
          <w:p w14:paraId="265AB867" w14:textId="6DD4A6E4" w:rsidR="009A755E" w:rsidRPr="00781112" w:rsidRDefault="009A755E">
            <w:pPr>
              <w:jc w:val="center"/>
              <w:rPr>
                <w:rFonts w:cs="Arial"/>
                <w:noProof/>
                <w:color w:val="000000" w:themeColor="text1"/>
                <w:szCs w:val="16"/>
              </w:rPr>
            </w:pPr>
          </w:p>
        </w:tc>
        <w:tc>
          <w:tcPr>
            <w:tcW w:w="1301" w:type="pct"/>
            <w:shd w:val="clear" w:color="auto" w:fill="auto"/>
          </w:tcPr>
          <w:p w14:paraId="016118B8" w14:textId="60E0958F" w:rsidR="009A755E" w:rsidRPr="00781112" w:rsidRDefault="009A755E">
            <w:pPr>
              <w:jc w:val="center"/>
              <w:rPr>
                <w:rFonts w:cs="Arial"/>
                <w:noProof/>
                <w:color w:val="000000" w:themeColor="text1"/>
                <w:szCs w:val="16"/>
              </w:rPr>
            </w:pPr>
          </w:p>
        </w:tc>
      </w:tr>
      <w:tr w:rsidR="005C29F8" w:rsidRPr="00781112" w14:paraId="06C2E448" w14:textId="77777777" w:rsidTr="00A05C13">
        <w:tc>
          <w:tcPr>
            <w:tcW w:w="925" w:type="pct"/>
            <w:shd w:val="clear" w:color="auto" w:fill="auto"/>
          </w:tcPr>
          <w:p w14:paraId="1F883C29" w14:textId="16901E48" w:rsidR="009A755E" w:rsidRPr="00781112" w:rsidRDefault="009A755E" w:rsidP="00A018D4">
            <w:pPr>
              <w:jc w:val="center"/>
              <w:rPr>
                <w:rFonts w:cs="Arial"/>
                <w:color w:val="000000" w:themeColor="text1"/>
                <w:szCs w:val="16"/>
              </w:rPr>
            </w:pPr>
          </w:p>
        </w:tc>
        <w:tc>
          <w:tcPr>
            <w:tcW w:w="1389" w:type="pct"/>
            <w:shd w:val="clear" w:color="auto" w:fill="auto"/>
          </w:tcPr>
          <w:p w14:paraId="4878C645" w14:textId="6B8E2DD3" w:rsidR="009A755E" w:rsidRPr="00781112" w:rsidRDefault="009A755E">
            <w:pPr>
              <w:jc w:val="center"/>
              <w:rPr>
                <w:rFonts w:cs="Arial"/>
                <w:noProof/>
                <w:color w:val="000000" w:themeColor="text1"/>
                <w:szCs w:val="16"/>
              </w:rPr>
            </w:pPr>
          </w:p>
        </w:tc>
        <w:tc>
          <w:tcPr>
            <w:tcW w:w="1385" w:type="pct"/>
            <w:shd w:val="clear" w:color="auto" w:fill="auto"/>
          </w:tcPr>
          <w:p w14:paraId="5C5B29A8" w14:textId="4F847347" w:rsidR="009A755E" w:rsidRPr="00781112" w:rsidRDefault="009A755E">
            <w:pPr>
              <w:jc w:val="center"/>
              <w:rPr>
                <w:rFonts w:cs="Arial"/>
                <w:noProof/>
                <w:color w:val="000000" w:themeColor="text1"/>
                <w:szCs w:val="16"/>
              </w:rPr>
            </w:pPr>
          </w:p>
        </w:tc>
        <w:tc>
          <w:tcPr>
            <w:tcW w:w="1301" w:type="pct"/>
            <w:shd w:val="clear" w:color="auto" w:fill="auto"/>
          </w:tcPr>
          <w:p w14:paraId="3059F96F" w14:textId="54D2C196" w:rsidR="009A755E" w:rsidRPr="00781112" w:rsidRDefault="009A755E">
            <w:pPr>
              <w:jc w:val="center"/>
              <w:rPr>
                <w:rFonts w:cs="Arial"/>
                <w:noProof/>
                <w:color w:val="000000" w:themeColor="text1"/>
                <w:szCs w:val="16"/>
              </w:rPr>
            </w:pPr>
          </w:p>
        </w:tc>
      </w:tr>
      <w:tr w:rsidR="005C29F8" w:rsidRPr="00781112" w14:paraId="270D86DF" w14:textId="77777777" w:rsidTr="00A05C13">
        <w:tc>
          <w:tcPr>
            <w:tcW w:w="925" w:type="pct"/>
            <w:shd w:val="clear" w:color="auto" w:fill="auto"/>
          </w:tcPr>
          <w:p w14:paraId="7DBC402C" w14:textId="659D0437" w:rsidR="009A755E" w:rsidRPr="00781112" w:rsidRDefault="009A755E" w:rsidP="00A018D4">
            <w:pPr>
              <w:jc w:val="center"/>
              <w:rPr>
                <w:rFonts w:cs="Arial"/>
                <w:color w:val="000000" w:themeColor="text1"/>
                <w:szCs w:val="16"/>
              </w:rPr>
            </w:pPr>
          </w:p>
        </w:tc>
        <w:tc>
          <w:tcPr>
            <w:tcW w:w="1389" w:type="pct"/>
            <w:shd w:val="clear" w:color="auto" w:fill="auto"/>
          </w:tcPr>
          <w:p w14:paraId="39F6C3A8" w14:textId="6AFAAA5E" w:rsidR="009A755E" w:rsidRPr="00781112" w:rsidRDefault="009A755E">
            <w:pPr>
              <w:jc w:val="center"/>
              <w:rPr>
                <w:rFonts w:cs="Arial"/>
                <w:noProof/>
                <w:color w:val="000000" w:themeColor="text1"/>
                <w:szCs w:val="16"/>
              </w:rPr>
            </w:pPr>
          </w:p>
        </w:tc>
        <w:tc>
          <w:tcPr>
            <w:tcW w:w="1385" w:type="pct"/>
            <w:shd w:val="clear" w:color="auto" w:fill="auto"/>
          </w:tcPr>
          <w:p w14:paraId="4ABCDE9F" w14:textId="61A85266" w:rsidR="009A755E" w:rsidRPr="00781112" w:rsidRDefault="009A755E">
            <w:pPr>
              <w:jc w:val="center"/>
              <w:rPr>
                <w:rFonts w:cs="Arial"/>
                <w:noProof/>
                <w:color w:val="000000" w:themeColor="text1"/>
                <w:szCs w:val="16"/>
              </w:rPr>
            </w:pPr>
          </w:p>
        </w:tc>
        <w:tc>
          <w:tcPr>
            <w:tcW w:w="1301" w:type="pct"/>
            <w:shd w:val="clear" w:color="auto" w:fill="auto"/>
          </w:tcPr>
          <w:p w14:paraId="4AB54464" w14:textId="0D8F01A9" w:rsidR="009A755E" w:rsidRPr="00781112" w:rsidRDefault="009A755E">
            <w:pPr>
              <w:jc w:val="center"/>
              <w:rPr>
                <w:rFonts w:cs="Arial"/>
                <w:noProof/>
                <w:color w:val="000000" w:themeColor="text1"/>
                <w:szCs w:val="16"/>
              </w:rPr>
            </w:pPr>
          </w:p>
        </w:tc>
      </w:tr>
      <w:tr w:rsidR="00A05C13" w:rsidRPr="00781112" w14:paraId="0B61333B" w14:textId="77777777" w:rsidTr="00A05C13">
        <w:tc>
          <w:tcPr>
            <w:tcW w:w="925" w:type="pct"/>
            <w:shd w:val="clear" w:color="auto" w:fill="auto"/>
          </w:tcPr>
          <w:p w14:paraId="39537DEC" w14:textId="0D3E2FC2" w:rsidR="00A05C13" w:rsidRPr="00781112" w:rsidRDefault="00A05C13" w:rsidP="00A05C13">
            <w:pPr>
              <w:jc w:val="center"/>
              <w:rPr>
                <w:rFonts w:cs="Arial"/>
                <w:color w:val="000000" w:themeColor="text1"/>
                <w:szCs w:val="16"/>
              </w:rPr>
            </w:pPr>
          </w:p>
        </w:tc>
        <w:tc>
          <w:tcPr>
            <w:tcW w:w="1389" w:type="pct"/>
            <w:shd w:val="clear" w:color="auto" w:fill="auto"/>
          </w:tcPr>
          <w:p w14:paraId="53129F60" w14:textId="202412F5" w:rsidR="00A05C13" w:rsidRPr="00781112" w:rsidRDefault="00A05C13" w:rsidP="00A05C13">
            <w:pPr>
              <w:jc w:val="center"/>
              <w:rPr>
                <w:rFonts w:cs="Arial"/>
                <w:color w:val="000000" w:themeColor="text1"/>
                <w:szCs w:val="16"/>
              </w:rPr>
            </w:pPr>
          </w:p>
        </w:tc>
        <w:tc>
          <w:tcPr>
            <w:tcW w:w="1385" w:type="pct"/>
            <w:shd w:val="clear" w:color="auto" w:fill="auto"/>
          </w:tcPr>
          <w:p w14:paraId="0C78FB26" w14:textId="7DB27739" w:rsidR="00A05C13" w:rsidRPr="00781112" w:rsidRDefault="00A05C13" w:rsidP="00A05C13">
            <w:pPr>
              <w:jc w:val="center"/>
              <w:rPr>
                <w:rFonts w:cs="Arial"/>
                <w:color w:val="000000" w:themeColor="text1"/>
                <w:szCs w:val="16"/>
              </w:rPr>
            </w:pPr>
          </w:p>
        </w:tc>
        <w:tc>
          <w:tcPr>
            <w:tcW w:w="1301" w:type="pct"/>
            <w:shd w:val="clear" w:color="auto" w:fill="auto"/>
          </w:tcPr>
          <w:p w14:paraId="1847890B" w14:textId="56C561F8" w:rsidR="00A05C13" w:rsidRPr="00781112" w:rsidRDefault="00A05C13" w:rsidP="00A05C13">
            <w:pPr>
              <w:jc w:val="center"/>
              <w:rPr>
                <w:rFonts w:cs="Arial"/>
                <w:color w:val="000000" w:themeColor="text1"/>
                <w:szCs w:val="16"/>
              </w:rPr>
            </w:pPr>
          </w:p>
        </w:tc>
      </w:tr>
      <w:tr w:rsidR="00A05C13" w:rsidRPr="00781112" w14:paraId="346DD6DC" w14:textId="77777777" w:rsidTr="00A05C13">
        <w:tc>
          <w:tcPr>
            <w:tcW w:w="925" w:type="pct"/>
            <w:shd w:val="clear" w:color="auto" w:fill="auto"/>
          </w:tcPr>
          <w:p w14:paraId="3BFCA85C" w14:textId="57850CEA" w:rsidR="00A05C13" w:rsidRPr="00781112" w:rsidRDefault="00A05C13" w:rsidP="00A05C13">
            <w:pPr>
              <w:jc w:val="center"/>
              <w:rPr>
                <w:rFonts w:cs="Arial"/>
                <w:color w:val="000000" w:themeColor="text1"/>
                <w:szCs w:val="16"/>
              </w:rPr>
            </w:pPr>
          </w:p>
        </w:tc>
        <w:tc>
          <w:tcPr>
            <w:tcW w:w="1389" w:type="pct"/>
            <w:shd w:val="clear" w:color="auto" w:fill="auto"/>
          </w:tcPr>
          <w:p w14:paraId="66D3AF4E" w14:textId="6CCBCADD" w:rsidR="00A05C13" w:rsidRPr="00781112" w:rsidRDefault="00A05C13" w:rsidP="00A05C13">
            <w:pPr>
              <w:jc w:val="center"/>
              <w:rPr>
                <w:rFonts w:cs="Arial"/>
                <w:color w:val="000000" w:themeColor="text1"/>
                <w:szCs w:val="16"/>
              </w:rPr>
            </w:pPr>
          </w:p>
        </w:tc>
        <w:tc>
          <w:tcPr>
            <w:tcW w:w="1385" w:type="pct"/>
            <w:shd w:val="clear" w:color="auto" w:fill="auto"/>
          </w:tcPr>
          <w:p w14:paraId="61F93407" w14:textId="5729642D" w:rsidR="00A05C13" w:rsidRPr="00781112" w:rsidRDefault="00A05C13" w:rsidP="00A05C13">
            <w:pPr>
              <w:jc w:val="center"/>
              <w:rPr>
                <w:rFonts w:cs="Arial"/>
                <w:color w:val="000000" w:themeColor="text1"/>
                <w:szCs w:val="16"/>
              </w:rPr>
            </w:pPr>
          </w:p>
        </w:tc>
        <w:tc>
          <w:tcPr>
            <w:tcW w:w="1301" w:type="pct"/>
            <w:shd w:val="clear" w:color="auto" w:fill="auto"/>
          </w:tcPr>
          <w:p w14:paraId="304DD194" w14:textId="15015B62" w:rsidR="00A05C13" w:rsidRPr="00781112" w:rsidRDefault="00A05C13" w:rsidP="00A05C13">
            <w:pPr>
              <w:jc w:val="center"/>
              <w:rPr>
                <w:rFonts w:cs="Arial"/>
                <w:color w:val="000000" w:themeColor="text1"/>
                <w:szCs w:val="16"/>
              </w:rPr>
            </w:pPr>
          </w:p>
        </w:tc>
      </w:tr>
    </w:tbl>
    <w:p w14:paraId="35A33865" w14:textId="77777777" w:rsidR="00A05C13" w:rsidRPr="00781112" w:rsidRDefault="00A05C13" w:rsidP="00C570AA">
      <w:pPr>
        <w:rPr>
          <w:rFonts w:cs="Arial"/>
          <w:color w:val="000000" w:themeColor="text1"/>
          <w:szCs w:val="16"/>
        </w:rPr>
      </w:pPr>
    </w:p>
    <w:p w14:paraId="7BCEF85B" w14:textId="62F9E93D" w:rsidR="004E2151" w:rsidRPr="00781112" w:rsidRDefault="00D11730" w:rsidP="005B40C0">
      <w:pPr>
        <w:pStyle w:val="Heading3"/>
      </w:pPr>
      <w:r w:rsidRPr="00781112">
        <w:t>4B</w:t>
      </w:r>
      <w:r w:rsidR="00E90DE9" w:rsidRPr="00781112">
        <w:t xml:space="preserve"> </w:t>
      </w:r>
      <w:r w:rsidRPr="00781112">
        <w:t xml:space="preserve">- </w:t>
      </w:r>
      <w:r w:rsidR="004E2151" w:rsidRPr="00781112">
        <w:t>Prior FFY Required Actions</w:t>
      </w:r>
    </w:p>
    <w:p w14:paraId="60DC97B4" w14:textId="67376465" w:rsidR="009B02BC" w:rsidRPr="00781112" w:rsidRDefault="002B7490" w:rsidP="004E2151">
      <w:pPr>
        <w:rPr>
          <w:rFonts w:cs="Arial"/>
          <w:color w:val="000000" w:themeColor="text1"/>
          <w:szCs w:val="16"/>
        </w:rPr>
      </w:pPr>
      <w:r w:rsidRPr="00781112">
        <w:rPr>
          <w:rFonts w:cs="Arial"/>
          <w:color w:val="000000" w:themeColor="text1"/>
          <w:szCs w:val="16"/>
        </w:rPr>
        <w:t xml:space="preserve">In the FFY 2023 SPP/APR, the State must provide its n and/or cell size used in its methodology to determine if significant discrepancies are occurring in the rate of suspensions and expulsions of greater than 10 days in a school year for children with IEPs. </w:t>
      </w:r>
    </w:p>
    <w:p w14:paraId="739A1EFB" w14:textId="6AE8F009" w:rsidR="004E2151" w:rsidRPr="00781112" w:rsidRDefault="007639D7" w:rsidP="004369B2">
      <w:pPr>
        <w:rPr>
          <w:b/>
          <w:color w:val="000000" w:themeColor="text1"/>
        </w:rPr>
      </w:pPr>
      <w:r>
        <w:rPr>
          <w:b/>
          <w:color w:val="000000" w:themeColor="text1"/>
        </w:rPr>
        <w:t>Response to actions required in FFY 2022 SPP/APR</w:t>
      </w:r>
    </w:p>
    <w:p w14:paraId="7AA3834F" w14:textId="729EC2A3" w:rsidR="004E2151" w:rsidRPr="00781112" w:rsidRDefault="002B7490" w:rsidP="004E2151">
      <w:pPr>
        <w:rPr>
          <w:rFonts w:cs="Arial"/>
          <w:color w:val="000000" w:themeColor="text1"/>
          <w:szCs w:val="16"/>
        </w:rPr>
      </w:pPr>
      <w:r w:rsidRPr="00781112">
        <w:rPr>
          <w:rFonts w:cs="Arial"/>
          <w:color w:val="000000" w:themeColor="text1"/>
          <w:szCs w:val="16"/>
        </w:rPr>
        <w:t xml:space="preserve">The State outlined the n and cell sizes and methodology used to determine significant discrepancies in suspension and expulsion rates of more than 10 days in a school year for children with IEPs. </w:t>
      </w:r>
      <w:r w:rsidRPr="00781112">
        <w:rPr>
          <w:rFonts w:cs="Arial"/>
          <w:color w:val="000000" w:themeColor="text1"/>
          <w:szCs w:val="16"/>
        </w:rPr>
        <w:br/>
      </w:r>
      <w:r w:rsidRPr="00781112">
        <w:rPr>
          <w:rFonts w:cs="Arial"/>
          <w:color w:val="000000" w:themeColor="text1"/>
          <w:szCs w:val="16"/>
        </w:rPr>
        <w:br/>
        <w:t xml:space="preserve">The State applies the following thresholds: </w:t>
      </w:r>
      <w:r w:rsidRPr="00781112">
        <w:rPr>
          <w:rFonts w:cs="Arial"/>
          <w:color w:val="000000" w:themeColor="text1"/>
          <w:szCs w:val="16"/>
        </w:rPr>
        <w:br/>
      </w:r>
      <w:r w:rsidRPr="00781112">
        <w:rPr>
          <w:rFonts w:cs="Arial"/>
          <w:color w:val="000000" w:themeColor="text1"/>
          <w:szCs w:val="16"/>
        </w:rPr>
        <w:br/>
        <w:t xml:space="preserve">1. A minimum cell size (numerator) of five students with disabilities in a specific racial/ethnic group suspended or expelled for more than 10 cumulative days in a school year </w:t>
      </w:r>
      <w:r w:rsidRPr="00781112">
        <w:rPr>
          <w:rFonts w:cs="Arial"/>
          <w:color w:val="000000" w:themeColor="text1"/>
          <w:szCs w:val="16"/>
        </w:rPr>
        <w:br/>
      </w:r>
      <w:r w:rsidRPr="00781112">
        <w:rPr>
          <w:rFonts w:cs="Arial"/>
          <w:color w:val="000000" w:themeColor="text1"/>
          <w:szCs w:val="16"/>
        </w:rPr>
        <w:br/>
        <w:t xml:space="preserve">2. An n-size (denominator) of at least five students with disabilities in the same racial/ethnic group </w:t>
      </w:r>
      <w:r w:rsidRPr="00781112">
        <w:rPr>
          <w:rFonts w:cs="Arial"/>
          <w:color w:val="000000" w:themeColor="text1"/>
          <w:szCs w:val="16"/>
        </w:rPr>
        <w:br/>
      </w:r>
      <w:r w:rsidRPr="00781112">
        <w:rPr>
          <w:rFonts w:cs="Arial"/>
          <w:color w:val="000000" w:themeColor="text1"/>
          <w:szCs w:val="16"/>
        </w:rPr>
        <w:br/>
        <w:t xml:space="preserve">3. A minimum cell size of at least five students in the comparison group (students without disabilities) </w:t>
      </w:r>
      <w:r w:rsidRPr="00781112">
        <w:rPr>
          <w:rFonts w:cs="Arial"/>
          <w:color w:val="000000" w:themeColor="text1"/>
          <w:szCs w:val="16"/>
        </w:rPr>
        <w:br/>
      </w:r>
      <w:r w:rsidRPr="00781112">
        <w:rPr>
          <w:rFonts w:cs="Arial"/>
          <w:color w:val="000000" w:themeColor="text1"/>
          <w:szCs w:val="16"/>
        </w:rPr>
        <w:br/>
        <w:t xml:space="preserve">Districts meeting these thresholds with a rate ratio exceeding 2.0 are identified as having a significant discrepancy. These districts must determine if the discrepancy is due to policies, procedures, or practices related to the development and implementation of IEPs, the use of positive behavioral interventions and supports, or procedural safeguards by completing a self-assessment, as required under 34 CFR §300.170(a). </w:t>
      </w:r>
      <w:r w:rsidRPr="00781112">
        <w:rPr>
          <w:rFonts w:cs="Arial"/>
          <w:color w:val="000000" w:themeColor="text1"/>
          <w:szCs w:val="16"/>
        </w:rPr>
        <w:br/>
      </w:r>
      <w:r w:rsidRPr="00781112">
        <w:rPr>
          <w:rFonts w:cs="Arial"/>
          <w:color w:val="000000" w:themeColor="text1"/>
          <w:szCs w:val="16"/>
        </w:rPr>
        <w:br/>
        <w:t xml:space="preserve">The State does not apply different thresholds for racial or ethnic groups. Instead, it calculates a rate ratio by comparing the suspension/expulsion rate for students with disabilities in each racial/ethnic group to the rate for students without disabilities in the same racial/ethnic group within the same district. Districts with rate ratios equal to or exceeding the state threshold of 2.0 are identified as having a significant discrepancy. </w:t>
      </w:r>
    </w:p>
    <w:p w14:paraId="63ACC6CE" w14:textId="77777777" w:rsidR="00744E34" w:rsidRPr="00781112" w:rsidRDefault="00744E34" w:rsidP="004E2151">
      <w:pPr>
        <w:rPr>
          <w:rFonts w:cs="Arial"/>
          <w:color w:val="000000" w:themeColor="text1"/>
          <w:szCs w:val="16"/>
        </w:rPr>
      </w:pPr>
    </w:p>
    <w:p w14:paraId="7562BCA8" w14:textId="2875B1E9" w:rsidR="005115D6" w:rsidRPr="00781112" w:rsidRDefault="00D11730" w:rsidP="005B40C0">
      <w:pPr>
        <w:pStyle w:val="Heading3"/>
      </w:pPr>
      <w:r w:rsidRPr="00781112">
        <w:t>4B - OSEP Response</w:t>
      </w:r>
    </w:p>
    <w:p w14:paraId="489BF62D" w14:textId="19458AE8" w:rsidR="003C308E" w:rsidRPr="00781112" w:rsidRDefault="003C308E" w:rsidP="00212954">
      <w:pPr>
        <w:rPr>
          <w:rFonts w:cs="Arial"/>
          <w:color w:val="000000" w:themeColor="text1"/>
          <w:szCs w:val="16"/>
        </w:rPr>
      </w:pPr>
    </w:p>
    <w:p w14:paraId="4D6C35B1" w14:textId="16E26788" w:rsidR="005115D6" w:rsidRPr="00781112" w:rsidRDefault="00D11730" w:rsidP="005B40C0">
      <w:pPr>
        <w:pStyle w:val="Heading3"/>
      </w:pPr>
      <w:r w:rsidRPr="00781112">
        <w:t>4B- Required Actions</w:t>
      </w:r>
    </w:p>
    <w:p w14:paraId="5DE261E4" w14:textId="20281C98" w:rsidR="003C308E" w:rsidRPr="00781112" w:rsidRDefault="003C308E" w:rsidP="00212954">
      <w:pPr>
        <w:rPr>
          <w:rFonts w:cs="Arial"/>
          <w:color w:val="000000" w:themeColor="text1"/>
          <w:szCs w:val="16"/>
        </w:rPr>
      </w:pPr>
    </w:p>
    <w:p w14:paraId="4C9312F8"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4F968F36" w14:textId="267D7207" w:rsidR="00D21EAA" w:rsidRPr="00781112" w:rsidRDefault="00D21EAA" w:rsidP="005B40C0">
      <w:pPr>
        <w:pStyle w:val="Heading2"/>
      </w:pPr>
      <w:r w:rsidRPr="00781112">
        <w:rPr>
          <w:color w:val="000000" w:themeColor="text1"/>
          <w:sz w:val="22"/>
        </w:rPr>
        <w:lastRenderedPageBreak/>
        <w:t xml:space="preserve">Indicator 5: </w:t>
      </w:r>
      <w:bookmarkEnd w:id="12"/>
      <w:r w:rsidRPr="00781112">
        <w:rPr>
          <w:color w:val="000000" w:themeColor="text1"/>
          <w:sz w:val="22"/>
        </w:rPr>
        <w:t xml:space="preserve">Education Environments (children </w:t>
      </w:r>
      <w:r w:rsidR="00D35A49" w:rsidRPr="00781112">
        <w:rPr>
          <w:color w:val="000000" w:themeColor="text1"/>
          <w:sz w:val="22"/>
        </w:rPr>
        <w:t xml:space="preserve">5 (Kindergarten) </w:t>
      </w:r>
      <w:r w:rsidRPr="00781112">
        <w:rPr>
          <w:color w:val="000000" w:themeColor="text1"/>
          <w:sz w:val="22"/>
        </w:rPr>
        <w:t>-</w:t>
      </w:r>
      <w:r w:rsidR="00D35A49" w:rsidRPr="00781112">
        <w:rPr>
          <w:color w:val="000000" w:themeColor="text1"/>
          <w:sz w:val="22"/>
        </w:rPr>
        <w:t xml:space="preserve"> </w:t>
      </w:r>
      <w:r w:rsidRPr="00781112">
        <w:rPr>
          <w:color w:val="000000" w:themeColor="text1"/>
          <w:sz w:val="22"/>
        </w:rPr>
        <w:t>21)</w:t>
      </w:r>
      <w:bookmarkEnd w:id="20"/>
      <w:bookmarkEnd w:id="34"/>
    </w:p>
    <w:p w14:paraId="52AD89A1" w14:textId="09613BAA" w:rsidR="00775845" w:rsidRPr="002C274F" w:rsidRDefault="00775845" w:rsidP="002C274F">
      <w:pPr>
        <w:rPr>
          <w:b/>
          <w:bCs/>
          <w:sz w:val="20"/>
          <w:szCs w:val="20"/>
        </w:rPr>
      </w:pPr>
      <w:bookmarkStart w:id="35" w:name="_Toc392159295"/>
      <w:r w:rsidRPr="002C274F">
        <w:rPr>
          <w:b/>
          <w:bCs/>
          <w:sz w:val="20"/>
          <w:szCs w:val="20"/>
        </w:rPr>
        <w:t xml:space="preserve">Instructions and Measurement </w:t>
      </w:r>
    </w:p>
    <w:p w14:paraId="5E00F17E" w14:textId="149CBFE3"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653D57AC" w14:textId="668073FD" w:rsidR="00CC634E" w:rsidRPr="00781112" w:rsidRDefault="00CC634E" w:rsidP="009A755E">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 with IEPs aged</w:t>
      </w:r>
      <w:r w:rsidR="001E6A41" w:rsidRPr="00781112">
        <w:rPr>
          <w:rFonts w:cs="Arial"/>
          <w:color w:val="000000" w:themeColor="text1"/>
          <w:szCs w:val="16"/>
        </w:rPr>
        <w:t xml:space="preserve"> </w:t>
      </w:r>
      <w:r w:rsidR="001E6A41" w:rsidRPr="00781112">
        <w:rPr>
          <w:rFonts w:cs="Arial"/>
          <w:szCs w:val="16"/>
        </w:rPr>
        <w:t>5 who are enrolled in kindergarten and aged</w:t>
      </w:r>
      <w:r w:rsidRPr="00781112">
        <w:rPr>
          <w:rFonts w:cs="Arial"/>
          <w:color w:val="000000" w:themeColor="text1"/>
          <w:szCs w:val="16"/>
        </w:rPr>
        <w:t xml:space="preserve"> 6 through 21 served:</w:t>
      </w:r>
    </w:p>
    <w:p w14:paraId="7D5946B6" w14:textId="027B0899" w:rsidR="00CC634E" w:rsidRPr="00781112" w:rsidRDefault="00B9739D" w:rsidP="006A01BD">
      <w:pPr>
        <w:ind w:firstLine="720"/>
        <w:rPr>
          <w:rFonts w:cs="Arial"/>
          <w:color w:val="000000" w:themeColor="text1"/>
          <w:szCs w:val="16"/>
        </w:rPr>
      </w:pPr>
      <w:r w:rsidRPr="00781112">
        <w:rPr>
          <w:rFonts w:cs="Arial"/>
          <w:color w:val="000000" w:themeColor="text1"/>
          <w:szCs w:val="16"/>
        </w:rPr>
        <w:t>A. Inside the regular class 80% or more of the day;</w:t>
      </w:r>
    </w:p>
    <w:p w14:paraId="64FA9D2A" w14:textId="36742077" w:rsidR="00CC634E" w:rsidRPr="00781112" w:rsidRDefault="00B9739D" w:rsidP="006A01BD">
      <w:pPr>
        <w:ind w:firstLine="720"/>
        <w:rPr>
          <w:rFonts w:cs="Arial"/>
          <w:color w:val="000000" w:themeColor="text1"/>
          <w:szCs w:val="16"/>
        </w:rPr>
      </w:pPr>
      <w:r w:rsidRPr="00781112">
        <w:rPr>
          <w:rFonts w:cs="Arial"/>
          <w:color w:val="000000" w:themeColor="text1"/>
          <w:szCs w:val="16"/>
        </w:rPr>
        <w:t>B. Inside the regular class less than 40% of the day; and</w:t>
      </w:r>
    </w:p>
    <w:p w14:paraId="7D6C4792" w14:textId="4E458A42" w:rsidR="00CC634E" w:rsidRPr="00781112" w:rsidRDefault="00B9739D" w:rsidP="006A01BD">
      <w:pPr>
        <w:ind w:firstLine="720"/>
        <w:rPr>
          <w:rFonts w:cs="Arial"/>
          <w:color w:val="000000" w:themeColor="text1"/>
          <w:szCs w:val="16"/>
        </w:rPr>
      </w:pPr>
      <w:r w:rsidRPr="00781112">
        <w:rPr>
          <w:rFonts w:cs="Arial"/>
          <w:color w:val="000000" w:themeColor="text1"/>
          <w:szCs w:val="16"/>
        </w:rPr>
        <w:t>C. In separate schools, residential facilities, or homebound/hospital placements.</w:t>
      </w:r>
    </w:p>
    <w:p w14:paraId="7086FA15" w14:textId="47C5B9E3"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97EFC48" w14:textId="77777777" w:rsidR="001F6A28" w:rsidRPr="00781112" w:rsidRDefault="001F6A28" w:rsidP="004369B2">
      <w:pPr>
        <w:rPr>
          <w:color w:val="000000" w:themeColor="text1"/>
        </w:rPr>
      </w:pPr>
      <w:r w:rsidRPr="00781112">
        <w:rPr>
          <w:b/>
          <w:color w:val="000000" w:themeColor="text1"/>
        </w:rPr>
        <w:t>Data Source</w:t>
      </w:r>
    </w:p>
    <w:p w14:paraId="27A12343" w14:textId="1C2938A9" w:rsidR="001F6A28" w:rsidRPr="00781112" w:rsidRDefault="001F6A2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002.</w:t>
      </w:r>
    </w:p>
    <w:p w14:paraId="6BD2884B" w14:textId="77777777" w:rsidR="001F6A28" w:rsidRPr="00781112" w:rsidRDefault="001F6A28" w:rsidP="004369B2">
      <w:pPr>
        <w:rPr>
          <w:color w:val="000000" w:themeColor="text1"/>
        </w:rPr>
      </w:pPr>
      <w:r w:rsidRPr="00781112">
        <w:rPr>
          <w:b/>
          <w:color w:val="000000" w:themeColor="text1"/>
        </w:rPr>
        <w:t>Measurement</w:t>
      </w:r>
    </w:p>
    <w:p w14:paraId="29361C11" w14:textId="73521566" w:rsidR="001F6A28" w:rsidRPr="00781112" w:rsidRDefault="001E6A41" w:rsidP="00286BDF">
      <w:pPr>
        <w:rPr>
          <w:rFonts w:cs="Arial"/>
          <w:color w:val="000000" w:themeColor="text1"/>
          <w:szCs w:val="16"/>
        </w:rPr>
      </w:pPr>
      <w:r w:rsidRPr="00781112">
        <w:rPr>
          <w:rFonts w:cs="Arial"/>
          <w:color w:val="000000" w:themeColor="text1"/>
          <w:szCs w:val="16"/>
        </w:rPr>
        <w:tab/>
        <w:t>A. Percent</w:t>
      </w:r>
      <w:r w:rsidR="001F6A28" w:rsidRPr="00781112">
        <w:rPr>
          <w:rFonts w:cs="Arial"/>
          <w:color w:val="000000" w:themeColor="text1"/>
          <w:szCs w:val="16"/>
          <w:shd w:val="clear" w:color="auto" w:fill="FFFFFF"/>
        </w:rPr>
        <w:t xml:space="preserve">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inside the regular class 80% or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more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1AC31DB2" w14:textId="62755B33" w:rsidR="001F6A28" w:rsidRPr="00781112" w:rsidRDefault="001E6A41" w:rsidP="00286BDF">
      <w:pPr>
        <w:rPr>
          <w:rFonts w:cs="Arial"/>
          <w:color w:val="000000" w:themeColor="text1"/>
          <w:szCs w:val="16"/>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 xml:space="preserve">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of children with IEPs aged</w:t>
      </w:r>
      <w:r w:rsidR="00E97CD6" w:rsidRPr="00781112">
        <w:rPr>
          <w:rFonts w:cs="Arial"/>
          <w:color w:val="000000" w:themeColor="text1"/>
          <w:szCs w:val="16"/>
          <w:shd w:val="clear" w:color="auto" w:fill="FFFFFF"/>
        </w:rPr>
        <w:t xml:space="preserve"> </w:t>
      </w:r>
      <w:r w:rsidR="00E97CD6" w:rsidRPr="00781112">
        <w:rPr>
          <w:rFonts w:cs="Arial"/>
          <w:szCs w:val="16"/>
        </w:rPr>
        <w:t>5 who are enrolled in kindergarten and aged</w:t>
      </w:r>
      <w:r w:rsidR="001F6A28" w:rsidRPr="00781112">
        <w:rPr>
          <w:rFonts w:cs="Arial"/>
          <w:color w:val="000000" w:themeColor="text1"/>
          <w:szCs w:val="16"/>
          <w:shd w:val="clear" w:color="auto" w:fill="FFFFFF"/>
        </w:rPr>
        <w:t xml:space="preserve"> 6 through 21 served inside the regular class less than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40% of the day)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6 through 21 with IEPs</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times 100.</w:t>
      </w:r>
    </w:p>
    <w:p w14:paraId="32E65458" w14:textId="2F0BF007" w:rsidR="001F6A28" w:rsidRPr="00781112" w:rsidRDefault="001E6A41" w:rsidP="00286BDF">
      <w:pPr>
        <w:rPr>
          <w:rFonts w:cs="Arial"/>
          <w:color w:val="000000" w:themeColor="text1"/>
          <w:szCs w:val="16"/>
        </w:rPr>
      </w:pPr>
      <w:r w:rsidRPr="00781112">
        <w:rPr>
          <w:rFonts w:cs="Arial"/>
          <w:color w:val="000000" w:themeColor="text1"/>
          <w:szCs w:val="16"/>
        </w:rPr>
        <w:tab/>
        <w:t>C. P</w:t>
      </w:r>
      <w:r w:rsidR="001F6A28" w:rsidRPr="00781112">
        <w:rPr>
          <w:rFonts w:cs="Arial"/>
          <w:color w:val="000000" w:themeColor="text1"/>
          <w:szCs w:val="16"/>
          <w:shd w:val="clear" w:color="auto" w:fill="FFFFFF"/>
        </w:rPr>
        <w:t xml:space="preserve">ercent = </w:t>
      </w:r>
      <w:r w:rsidR="00A33668" w:rsidRPr="00781112">
        <w:rPr>
          <w:rFonts w:cs="Arial"/>
          <w:color w:val="000000" w:themeColor="text1"/>
          <w:szCs w:val="16"/>
          <w:shd w:val="clear" w:color="auto" w:fill="FFFFFF"/>
        </w:rPr>
        <w:t xml:space="preserve">[(# </w:t>
      </w:r>
      <w:r w:rsidR="001F6A28" w:rsidRPr="00781112">
        <w:rPr>
          <w:rFonts w:cs="Arial"/>
          <w:color w:val="000000" w:themeColor="text1"/>
          <w:szCs w:val="16"/>
          <w:shd w:val="clear" w:color="auto" w:fill="FFFFFF"/>
        </w:rPr>
        <w:t xml:space="preserve">of children with IEPs aged </w:t>
      </w:r>
      <w:r w:rsidR="00E97CD6"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21 served in separate schools, residential </w:t>
      </w:r>
      <w:r w:rsidR="00E97CD6" w:rsidRPr="00781112">
        <w:rPr>
          <w:rFonts w:cs="Arial"/>
          <w:color w:val="000000" w:themeColor="text1"/>
          <w:szCs w:val="16"/>
          <w:shd w:val="clear" w:color="auto" w:fill="FFFFFF"/>
        </w:rPr>
        <w:tab/>
      </w:r>
      <w:r w:rsidR="001F6A28" w:rsidRPr="00781112">
        <w:rPr>
          <w:rFonts w:cs="Arial"/>
          <w:color w:val="000000" w:themeColor="text1"/>
          <w:szCs w:val="16"/>
          <w:shd w:val="clear" w:color="auto" w:fill="FFFFFF"/>
        </w:rPr>
        <w:t xml:space="preserve">facilities, or homebound/hospital placements) divided by the (total # of students aged </w:t>
      </w:r>
      <w:r w:rsidR="00633044" w:rsidRPr="00781112">
        <w:rPr>
          <w:rFonts w:cs="Arial"/>
          <w:szCs w:val="16"/>
        </w:rPr>
        <w:t xml:space="preserve">5 who are enrolled in kindergarten and aged </w:t>
      </w:r>
      <w:r w:rsidR="001F6A28" w:rsidRPr="00781112">
        <w:rPr>
          <w:rFonts w:cs="Arial"/>
          <w:color w:val="000000" w:themeColor="text1"/>
          <w:szCs w:val="16"/>
          <w:shd w:val="clear" w:color="auto" w:fill="FFFFFF"/>
        </w:rPr>
        <w:t xml:space="preserve">6 through </w:t>
      </w:r>
      <w:r w:rsidR="00AE5A55">
        <w:rPr>
          <w:rFonts w:cs="Arial"/>
          <w:color w:val="000000" w:themeColor="text1"/>
          <w:szCs w:val="16"/>
          <w:shd w:val="clear" w:color="auto" w:fill="FFFFFF"/>
        </w:rPr>
        <w:tab/>
      </w:r>
      <w:r w:rsidR="001F6A28" w:rsidRPr="00781112">
        <w:rPr>
          <w:rFonts w:cs="Arial"/>
          <w:color w:val="000000" w:themeColor="text1"/>
          <w:szCs w:val="16"/>
          <w:shd w:val="clear" w:color="auto" w:fill="FFFFFF"/>
        </w:rPr>
        <w:t>21 with IEPs</w:t>
      </w:r>
      <w:r w:rsidR="00A33668" w:rsidRPr="00781112">
        <w:rPr>
          <w:rFonts w:cs="Arial"/>
          <w:color w:val="000000" w:themeColor="text1"/>
          <w:szCs w:val="16"/>
          <w:shd w:val="clear" w:color="auto" w:fill="FFFFFF"/>
        </w:rPr>
        <w:t>)]</w:t>
      </w:r>
      <w:r w:rsidR="001F6A28" w:rsidRPr="00781112">
        <w:rPr>
          <w:rFonts w:cs="Arial"/>
          <w:color w:val="000000" w:themeColor="text1"/>
          <w:szCs w:val="16"/>
          <w:shd w:val="clear" w:color="auto" w:fill="FFFFFF"/>
        </w:rPr>
        <w:t>times 100.</w:t>
      </w:r>
    </w:p>
    <w:p w14:paraId="06AD540D" w14:textId="77777777" w:rsidR="001F6A28" w:rsidRPr="00781112" w:rsidRDefault="001F6A28" w:rsidP="004369B2">
      <w:pPr>
        <w:rPr>
          <w:color w:val="000000" w:themeColor="text1"/>
        </w:rPr>
      </w:pPr>
      <w:r w:rsidRPr="00781112">
        <w:rPr>
          <w:b/>
          <w:color w:val="000000" w:themeColor="text1"/>
        </w:rPr>
        <w:t>Instructions</w:t>
      </w:r>
    </w:p>
    <w:p w14:paraId="37FC98B2" w14:textId="35D136AD" w:rsidR="001F6A28" w:rsidRPr="00781112" w:rsidRDefault="001F6A2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038ECB6A" w14:textId="77777777" w:rsidR="00085D61" w:rsidRDefault="007072DC" w:rsidP="00BB7BC9">
      <w:pPr>
        <w:rPr>
          <w:rFonts w:cs="Arial"/>
          <w:szCs w:val="16"/>
        </w:rPr>
      </w:pPr>
      <w:r w:rsidRPr="00781112">
        <w:rPr>
          <w:rFonts w:cs="Arial"/>
          <w:szCs w:val="16"/>
        </w:rPr>
        <w:t>States must report five-year-old children with disabilities who are enrolled in kindergarten in this indicator. Five-year-old children with disabilities who are enrolled in preschool programs are included in Indicator 6.</w:t>
      </w:r>
    </w:p>
    <w:p w14:paraId="707ABAC1" w14:textId="4440C33D" w:rsidR="001F6A28" w:rsidRPr="00781112" w:rsidRDefault="001F6A2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2F5B7301" w14:textId="3493AFBE" w:rsidR="001F6A28" w:rsidRPr="00781112" w:rsidRDefault="001F6A2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section 618 of the IDEA, explain.</w:t>
      </w:r>
    </w:p>
    <w:p w14:paraId="782EB5F0" w14:textId="4775DE89" w:rsidR="00476EA2" w:rsidRPr="00781112" w:rsidRDefault="007B5383" w:rsidP="005B40C0">
      <w:pPr>
        <w:pStyle w:val="Heading3"/>
      </w:pPr>
      <w:r w:rsidRPr="00781112">
        <w:t>5</w:t>
      </w:r>
      <w:r w:rsidR="002203FA" w:rsidRPr="00781112">
        <w:t xml:space="preserve"> </w:t>
      </w:r>
      <w:r w:rsidRPr="00781112">
        <w:t xml:space="preserve">- </w:t>
      </w:r>
      <w:r w:rsidR="00A44506" w:rsidRPr="00781112">
        <w:t>Indicator Data</w:t>
      </w:r>
      <w:r w:rsidR="00476EA2" w:rsidRPr="00781112">
        <w:t xml:space="preserve"> </w:t>
      </w:r>
    </w:p>
    <w:bookmarkEnd w:id="35"/>
    <w:p w14:paraId="5DFCDD59" w14:textId="5ABA842A"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5HISTDATA"/>
      </w:tblPr>
      <w:tblGrid>
        <w:gridCol w:w="536"/>
        <w:gridCol w:w="1464"/>
        <w:gridCol w:w="1465"/>
        <w:gridCol w:w="1465"/>
        <w:gridCol w:w="1465"/>
        <w:gridCol w:w="1465"/>
        <w:gridCol w:w="1465"/>
        <w:gridCol w:w="1465"/>
      </w:tblGrid>
      <w:tr w:rsidR="00483ABB" w:rsidRPr="00781112" w14:paraId="630BF46A" w14:textId="12CF291C" w:rsidTr="005F5FE9">
        <w:trPr>
          <w:trHeight w:val="350"/>
        </w:trPr>
        <w:tc>
          <w:tcPr>
            <w:tcW w:w="248" w:type="pct"/>
            <w:tcBorders>
              <w:top w:val="single" w:sz="4" w:space="0" w:color="auto"/>
              <w:left w:val="single" w:sz="4" w:space="0" w:color="auto"/>
              <w:bottom w:val="single" w:sz="4" w:space="0" w:color="auto"/>
              <w:right w:val="single" w:sz="4" w:space="0" w:color="auto"/>
            </w:tcBorders>
            <w:shd w:val="clear" w:color="auto" w:fill="auto"/>
          </w:tcPr>
          <w:p w14:paraId="48C47ABF" w14:textId="5FDE6273" w:rsidR="00E4112E" w:rsidRPr="00781112" w:rsidRDefault="001F64DB" w:rsidP="00E4112E">
            <w:pPr>
              <w:spacing w:line="276" w:lineRule="auto"/>
              <w:jc w:val="center"/>
              <w:rPr>
                <w:rFonts w:cs="Arial"/>
                <w:b/>
                <w:color w:val="000000" w:themeColor="text1"/>
                <w:szCs w:val="16"/>
              </w:rPr>
            </w:pPr>
            <w:r w:rsidRPr="00781112">
              <w:rPr>
                <w:rFonts w:cs="Arial"/>
                <w:b/>
                <w:color w:val="000000" w:themeColor="text1"/>
                <w:szCs w:val="16"/>
              </w:rPr>
              <w:t>Part</w:t>
            </w:r>
          </w:p>
        </w:tc>
        <w:tc>
          <w:tcPr>
            <w:tcW w:w="678" w:type="pct"/>
            <w:tcBorders>
              <w:top w:val="single" w:sz="4" w:space="0" w:color="auto"/>
              <w:left w:val="single" w:sz="4" w:space="0" w:color="auto"/>
              <w:bottom w:val="single" w:sz="4" w:space="0" w:color="auto"/>
              <w:right w:val="single" w:sz="4" w:space="0" w:color="auto"/>
            </w:tcBorders>
            <w:shd w:val="clear" w:color="auto" w:fill="auto"/>
          </w:tcPr>
          <w:p w14:paraId="34A5BBF1" w14:textId="21EFE08D"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5527DC20" w14:textId="77777777" w:rsidR="00E4112E" w:rsidRPr="00781112" w:rsidRDefault="00E4112E" w:rsidP="00E4112E">
            <w:pPr>
              <w:spacing w:line="276" w:lineRule="auto"/>
              <w:jc w:val="center"/>
              <w:rPr>
                <w:rFonts w:cs="Arial"/>
                <w:b/>
                <w:color w:val="000000" w:themeColor="text1"/>
                <w:szCs w:val="16"/>
              </w:rPr>
            </w:pPr>
            <w:r w:rsidRPr="00781112">
              <w:rPr>
                <w:rFonts w:cs="Arial"/>
                <w:b/>
                <w:color w:val="000000" w:themeColor="text1"/>
                <w:szCs w:val="16"/>
              </w:rPr>
              <w:t>FFY</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5348DB7" w14:textId="31324C26"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2018</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7C2D9A5E" w14:textId="1AFF80C5"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tcPr>
          <w:p w14:paraId="7C87EFC5" w14:textId="1BB8AC30"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2020</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060660DD" w14:textId="4387DAEB"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2021</w:t>
            </w:r>
          </w:p>
        </w:tc>
        <w:tc>
          <w:tcPr>
            <w:tcW w:w="679" w:type="pct"/>
            <w:tcBorders>
              <w:top w:val="single" w:sz="4" w:space="0" w:color="auto"/>
              <w:left w:val="single" w:sz="4" w:space="0" w:color="auto"/>
              <w:bottom w:val="single" w:sz="4" w:space="0" w:color="auto"/>
              <w:right w:val="single" w:sz="4" w:space="0" w:color="auto"/>
            </w:tcBorders>
            <w:shd w:val="clear" w:color="auto" w:fill="auto"/>
            <w:hideMark/>
          </w:tcPr>
          <w:p w14:paraId="3DBEC159" w14:textId="109E90CD" w:rsidR="00E4112E" w:rsidRPr="00781112" w:rsidRDefault="002B7490">
            <w:pPr>
              <w:spacing w:line="276" w:lineRule="auto"/>
              <w:jc w:val="center"/>
              <w:rPr>
                <w:rFonts w:cs="Arial"/>
                <w:b/>
                <w:color w:val="000000" w:themeColor="text1"/>
                <w:szCs w:val="16"/>
              </w:rPr>
            </w:pPr>
            <w:r w:rsidRPr="00781112">
              <w:rPr>
                <w:rFonts w:cs="Arial"/>
                <w:b/>
                <w:color w:val="000000" w:themeColor="text1"/>
                <w:szCs w:val="16"/>
              </w:rPr>
              <w:t>2022</w:t>
            </w:r>
          </w:p>
        </w:tc>
      </w:tr>
      <w:tr w:rsidR="005F0D3B" w:rsidRPr="00781112" w14:paraId="692E70F6" w14:textId="3E9D9AB4" w:rsidTr="005F5FE9">
        <w:trPr>
          <w:trHeight w:val="70"/>
        </w:trPr>
        <w:tc>
          <w:tcPr>
            <w:tcW w:w="248" w:type="pct"/>
            <w:tcBorders>
              <w:top w:val="single" w:sz="4" w:space="0" w:color="auto"/>
              <w:left w:val="single" w:sz="4" w:space="0" w:color="auto"/>
              <w:right w:val="single" w:sz="4" w:space="0" w:color="auto"/>
            </w:tcBorders>
            <w:shd w:val="clear" w:color="auto" w:fill="auto"/>
            <w:vAlign w:val="center"/>
          </w:tcPr>
          <w:p w14:paraId="5CAC6F68"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top w:val="single" w:sz="4" w:space="0" w:color="auto"/>
              <w:left w:val="single" w:sz="4" w:space="0" w:color="auto"/>
              <w:right w:val="single" w:sz="4" w:space="0" w:color="auto"/>
            </w:tcBorders>
            <w:shd w:val="clear" w:color="auto" w:fill="auto"/>
            <w:vAlign w:val="center"/>
          </w:tcPr>
          <w:p w14:paraId="5E3ACE02" w14:textId="787FECC2" w:rsidR="00BB7BC9"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E0BC7" w14:textId="0A864988"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D169E17" w14:textId="1A4FF232" w:rsidR="00BB7BC9" w:rsidRPr="00781112" w:rsidRDefault="002B7490">
            <w:pPr>
              <w:jc w:val="center"/>
              <w:rPr>
                <w:rFonts w:cs="Arial"/>
                <w:color w:val="000000" w:themeColor="text1"/>
                <w:szCs w:val="16"/>
              </w:rPr>
            </w:pPr>
            <w:r w:rsidRPr="00781112">
              <w:rPr>
                <w:rFonts w:cs="Arial"/>
                <w:color w:val="000000" w:themeColor="text1"/>
                <w:szCs w:val="16"/>
              </w:rPr>
              <w:t>73.00%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BBDF86" w14:textId="7B8DE8AB" w:rsidR="00BB7BC9" w:rsidRPr="00781112" w:rsidRDefault="002B7490">
            <w:pPr>
              <w:jc w:val="center"/>
              <w:rPr>
                <w:rFonts w:cs="Arial"/>
                <w:color w:val="000000" w:themeColor="text1"/>
                <w:szCs w:val="16"/>
              </w:rPr>
            </w:pPr>
            <w:r w:rsidRPr="00781112">
              <w:rPr>
                <w:rFonts w:cs="Arial"/>
                <w:color w:val="000000" w:themeColor="text1"/>
                <w:szCs w:val="16"/>
              </w:rPr>
              <w:t>75.00%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D7B0B98" w14:textId="016BD4D1" w:rsidR="00BB7BC9" w:rsidRPr="00781112" w:rsidRDefault="002B7490">
            <w:pPr>
              <w:jc w:val="center"/>
              <w:rPr>
                <w:rFonts w:cs="Arial"/>
                <w:color w:val="000000" w:themeColor="text1"/>
                <w:szCs w:val="16"/>
              </w:rPr>
            </w:pPr>
            <w:r w:rsidRPr="00781112">
              <w:rPr>
                <w:rFonts w:cs="Arial"/>
                <w:color w:val="000000" w:themeColor="text1"/>
                <w:szCs w:val="16"/>
              </w:rPr>
              <w:t>75.00%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4789FFB" w14:textId="5C8E4FBE" w:rsidR="00BB7BC9" w:rsidRPr="00781112" w:rsidRDefault="002B7490">
            <w:pPr>
              <w:jc w:val="center"/>
              <w:rPr>
                <w:rFonts w:cs="Arial"/>
                <w:color w:val="000000" w:themeColor="text1"/>
                <w:szCs w:val="16"/>
              </w:rPr>
            </w:pPr>
            <w:r w:rsidRPr="00781112">
              <w:rPr>
                <w:rFonts w:cs="Arial"/>
                <w:color w:val="000000" w:themeColor="text1"/>
                <w:szCs w:val="16"/>
              </w:rPr>
              <w:t>76.00%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29E5141" w14:textId="5AEA8269" w:rsidR="00BB7BC9" w:rsidRPr="00781112" w:rsidRDefault="002B7490">
            <w:pPr>
              <w:jc w:val="center"/>
              <w:rPr>
                <w:rFonts w:cs="Arial"/>
                <w:color w:val="000000" w:themeColor="text1"/>
                <w:szCs w:val="16"/>
              </w:rPr>
            </w:pPr>
            <w:r w:rsidRPr="00781112">
              <w:rPr>
                <w:rFonts w:cs="Arial"/>
                <w:color w:val="000000" w:themeColor="text1"/>
                <w:szCs w:val="16"/>
              </w:rPr>
              <w:t>77.00%</w:t>
            </w:r>
          </w:p>
        </w:tc>
      </w:tr>
      <w:tr w:rsidR="005F0D3B" w:rsidRPr="00781112" w14:paraId="79D81D10" w14:textId="49DC964C" w:rsidTr="005F5FE9">
        <w:trPr>
          <w:trHeight w:val="85"/>
        </w:trPr>
        <w:tc>
          <w:tcPr>
            <w:tcW w:w="248" w:type="pct"/>
            <w:tcBorders>
              <w:left w:val="single" w:sz="4" w:space="0" w:color="auto"/>
              <w:right w:val="single" w:sz="4" w:space="0" w:color="auto"/>
            </w:tcBorders>
            <w:shd w:val="clear" w:color="auto" w:fill="auto"/>
            <w:vAlign w:val="center"/>
          </w:tcPr>
          <w:p w14:paraId="35B07658" w14:textId="008DA9F0"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A</w:t>
            </w:r>
          </w:p>
        </w:tc>
        <w:tc>
          <w:tcPr>
            <w:tcW w:w="678" w:type="pct"/>
            <w:tcBorders>
              <w:left w:val="single" w:sz="4" w:space="0" w:color="auto"/>
              <w:right w:val="single" w:sz="4" w:space="0" w:color="auto"/>
            </w:tcBorders>
            <w:shd w:val="clear" w:color="auto" w:fill="auto"/>
            <w:vAlign w:val="center"/>
          </w:tcPr>
          <w:p w14:paraId="4DB8D3CD" w14:textId="0227B1FD" w:rsidR="00BB7BC9" w:rsidRPr="00781112" w:rsidRDefault="002B7490" w:rsidP="00A018D4">
            <w:pPr>
              <w:jc w:val="center"/>
              <w:rPr>
                <w:rFonts w:cs="Arial"/>
                <w:color w:val="000000" w:themeColor="text1"/>
                <w:szCs w:val="16"/>
              </w:rPr>
            </w:pPr>
            <w:r w:rsidRPr="00781112">
              <w:rPr>
                <w:rFonts w:cs="Arial"/>
                <w:color w:val="000000" w:themeColor="text1"/>
                <w:szCs w:val="16"/>
              </w:rPr>
              <w:t>70.60%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24467"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A26F098" w14:textId="47E3F3D4" w:rsidR="00BB7BC9" w:rsidRPr="00781112" w:rsidRDefault="002B7490">
            <w:pPr>
              <w:jc w:val="center"/>
              <w:rPr>
                <w:rFonts w:cs="Arial"/>
                <w:color w:val="000000" w:themeColor="text1"/>
                <w:szCs w:val="16"/>
              </w:rPr>
            </w:pPr>
            <w:r w:rsidRPr="00781112">
              <w:rPr>
                <w:rFonts w:cs="Arial"/>
                <w:color w:val="000000" w:themeColor="text1"/>
                <w:szCs w:val="16"/>
              </w:rPr>
              <w:t>73.93%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E8D482" w14:textId="0F0DD959" w:rsidR="00BB7BC9" w:rsidRPr="00781112" w:rsidRDefault="002B7490">
            <w:pPr>
              <w:jc w:val="center"/>
              <w:rPr>
                <w:rFonts w:cs="Arial"/>
                <w:color w:val="000000" w:themeColor="text1"/>
                <w:szCs w:val="16"/>
              </w:rPr>
            </w:pPr>
            <w:r w:rsidRPr="00781112">
              <w:rPr>
                <w:rFonts w:cs="Arial"/>
                <w:color w:val="000000" w:themeColor="text1"/>
                <w:szCs w:val="16"/>
              </w:rPr>
              <w:t>74.59%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92D382C" w14:textId="2157E0D5" w:rsidR="00BB7BC9" w:rsidRPr="00781112" w:rsidRDefault="002B7490">
            <w:pPr>
              <w:jc w:val="center"/>
              <w:rPr>
                <w:rFonts w:cs="Arial"/>
                <w:color w:val="000000" w:themeColor="text1"/>
                <w:szCs w:val="16"/>
              </w:rPr>
            </w:pPr>
            <w:r w:rsidRPr="00781112">
              <w:rPr>
                <w:rFonts w:cs="Arial"/>
                <w:color w:val="000000" w:themeColor="text1"/>
                <w:szCs w:val="16"/>
              </w:rPr>
              <w:t>75.31%</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6D0CB9F" w14:textId="43591961" w:rsidR="00BB7BC9" w:rsidRPr="00781112" w:rsidRDefault="002B7490">
            <w:pPr>
              <w:jc w:val="center"/>
              <w:rPr>
                <w:rFonts w:cs="Arial"/>
                <w:color w:val="000000" w:themeColor="text1"/>
                <w:szCs w:val="16"/>
              </w:rPr>
            </w:pPr>
            <w:r w:rsidRPr="00781112">
              <w:rPr>
                <w:rFonts w:cs="Arial"/>
                <w:color w:val="000000" w:themeColor="text1"/>
                <w:szCs w:val="16"/>
              </w:rPr>
              <w:t>77.06%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207239" w14:textId="4C2F7B73" w:rsidR="00BB7BC9" w:rsidRPr="00781112" w:rsidRDefault="002B7490">
            <w:pPr>
              <w:jc w:val="center"/>
              <w:rPr>
                <w:rFonts w:cs="Arial"/>
                <w:color w:val="000000" w:themeColor="text1"/>
                <w:szCs w:val="16"/>
              </w:rPr>
            </w:pPr>
            <w:r w:rsidRPr="00781112">
              <w:rPr>
                <w:rFonts w:cs="Arial"/>
                <w:color w:val="000000" w:themeColor="text1"/>
                <w:szCs w:val="16"/>
              </w:rPr>
              <w:t>76.99%</w:t>
            </w:r>
          </w:p>
        </w:tc>
      </w:tr>
      <w:tr w:rsidR="005F0D3B" w:rsidRPr="00781112" w14:paraId="7EE51EBD" w14:textId="513FE18C"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72DFD56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top w:val="single" w:sz="4" w:space="0" w:color="auto"/>
              <w:left w:val="single" w:sz="4" w:space="0" w:color="auto"/>
              <w:right w:val="single" w:sz="4" w:space="0" w:color="auto"/>
            </w:tcBorders>
            <w:shd w:val="clear" w:color="auto" w:fill="auto"/>
            <w:vAlign w:val="center"/>
          </w:tcPr>
          <w:p w14:paraId="100A2A6F" w14:textId="100D35A9" w:rsidR="00BB7BC9"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A945A" w14:textId="5CBFA4BF"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DEA2B18" w14:textId="75A611A3" w:rsidR="00BB7BC9" w:rsidRPr="00781112" w:rsidRDefault="002B7490">
            <w:pPr>
              <w:jc w:val="center"/>
              <w:rPr>
                <w:rFonts w:cs="Arial"/>
                <w:color w:val="000000" w:themeColor="text1"/>
                <w:szCs w:val="16"/>
              </w:rPr>
            </w:pPr>
            <w:r w:rsidRPr="00781112">
              <w:rPr>
                <w:rFonts w:cs="Arial"/>
                <w:color w:val="000000" w:themeColor="text1"/>
                <w:szCs w:val="16"/>
              </w:rPr>
              <w:t>10.60%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B840EDC" w14:textId="6514C970" w:rsidR="00BB7BC9" w:rsidRPr="00781112" w:rsidRDefault="002B7490">
            <w:pPr>
              <w:jc w:val="center"/>
              <w:rPr>
                <w:rFonts w:cs="Arial"/>
                <w:color w:val="000000" w:themeColor="text1"/>
                <w:szCs w:val="16"/>
              </w:rPr>
            </w:pPr>
            <w:r w:rsidRPr="00781112">
              <w:rPr>
                <w:rFonts w:cs="Arial"/>
                <w:color w:val="000000" w:themeColor="text1"/>
                <w:szCs w:val="16"/>
              </w:rPr>
              <w:t>10.60%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43AF146" w14:textId="07F1A374" w:rsidR="00BB7BC9" w:rsidRPr="00781112" w:rsidRDefault="002B7490">
            <w:pPr>
              <w:jc w:val="center"/>
              <w:rPr>
                <w:rFonts w:cs="Arial"/>
                <w:color w:val="000000" w:themeColor="text1"/>
                <w:szCs w:val="16"/>
              </w:rPr>
            </w:pPr>
            <w:r w:rsidRPr="00781112">
              <w:rPr>
                <w:rFonts w:cs="Arial"/>
                <w:color w:val="000000" w:themeColor="text1"/>
                <w:szCs w:val="16"/>
              </w:rPr>
              <w:t>9.25%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4470517" w14:textId="6EB26EBD" w:rsidR="00BB7BC9" w:rsidRPr="00781112" w:rsidRDefault="002B7490">
            <w:pPr>
              <w:jc w:val="center"/>
              <w:rPr>
                <w:rFonts w:cs="Arial"/>
                <w:color w:val="000000" w:themeColor="text1"/>
                <w:szCs w:val="16"/>
              </w:rPr>
            </w:pPr>
            <w:r w:rsidRPr="00781112">
              <w:rPr>
                <w:rFonts w:cs="Arial"/>
                <w:color w:val="000000" w:themeColor="text1"/>
                <w:szCs w:val="16"/>
              </w:rPr>
              <w:t>9.00%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39B042C" w14:textId="501324B8" w:rsidR="00BB7BC9" w:rsidRPr="00781112" w:rsidRDefault="002B7490">
            <w:pPr>
              <w:jc w:val="center"/>
              <w:rPr>
                <w:rFonts w:cs="Arial"/>
                <w:color w:val="000000" w:themeColor="text1"/>
                <w:szCs w:val="16"/>
              </w:rPr>
            </w:pPr>
            <w:r w:rsidRPr="00781112">
              <w:rPr>
                <w:rFonts w:cs="Arial"/>
                <w:color w:val="000000" w:themeColor="text1"/>
                <w:szCs w:val="16"/>
              </w:rPr>
              <w:t>8.70%</w:t>
            </w:r>
          </w:p>
        </w:tc>
      </w:tr>
      <w:tr w:rsidR="005F0D3B" w:rsidRPr="00781112" w14:paraId="78E6E13B" w14:textId="52E2E705" w:rsidTr="005F5FE9">
        <w:trPr>
          <w:trHeight w:val="85"/>
        </w:trPr>
        <w:tc>
          <w:tcPr>
            <w:tcW w:w="248" w:type="pct"/>
            <w:tcBorders>
              <w:left w:val="single" w:sz="4" w:space="0" w:color="auto"/>
              <w:right w:val="single" w:sz="4" w:space="0" w:color="auto"/>
            </w:tcBorders>
            <w:shd w:val="clear" w:color="auto" w:fill="auto"/>
            <w:vAlign w:val="center"/>
          </w:tcPr>
          <w:p w14:paraId="36D93B90" w14:textId="2EF21745"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B</w:t>
            </w:r>
          </w:p>
        </w:tc>
        <w:tc>
          <w:tcPr>
            <w:tcW w:w="678" w:type="pct"/>
            <w:tcBorders>
              <w:left w:val="single" w:sz="4" w:space="0" w:color="auto"/>
              <w:right w:val="single" w:sz="4" w:space="0" w:color="auto"/>
            </w:tcBorders>
            <w:shd w:val="clear" w:color="auto" w:fill="auto"/>
            <w:vAlign w:val="center"/>
          </w:tcPr>
          <w:p w14:paraId="46CEC360" w14:textId="3F201206" w:rsidR="00BB7BC9" w:rsidRPr="00781112" w:rsidRDefault="002B7490" w:rsidP="00A018D4">
            <w:pPr>
              <w:jc w:val="center"/>
              <w:rPr>
                <w:rFonts w:cs="Arial"/>
                <w:color w:val="000000" w:themeColor="text1"/>
                <w:szCs w:val="16"/>
              </w:rPr>
            </w:pPr>
            <w:r w:rsidRPr="00781112">
              <w:rPr>
                <w:rFonts w:cs="Arial"/>
                <w:color w:val="000000" w:themeColor="text1"/>
                <w:szCs w:val="16"/>
              </w:rPr>
              <w:t>11.30%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A1F55"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C00B11B" w14:textId="1B815A91" w:rsidR="00BB7BC9" w:rsidRPr="00781112" w:rsidRDefault="002B7490">
            <w:pPr>
              <w:jc w:val="center"/>
              <w:rPr>
                <w:rFonts w:cs="Arial"/>
                <w:color w:val="000000" w:themeColor="text1"/>
                <w:szCs w:val="16"/>
              </w:rPr>
            </w:pPr>
            <w:r w:rsidRPr="00781112">
              <w:rPr>
                <w:rFonts w:cs="Arial"/>
                <w:color w:val="000000" w:themeColor="text1"/>
                <w:szCs w:val="16"/>
              </w:rPr>
              <w:t>9.64%</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1973F9D" w14:textId="4C7C3BCD" w:rsidR="00BB7BC9" w:rsidRPr="00781112" w:rsidRDefault="002B7490">
            <w:pPr>
              <w:jc w:val="center"/>
              <w:rPr>
                <w:rFonts w:cs="Arial"/>
                <w:color w:val="000000" w:themeColor="text1"/>
                <w:szCs w:val="16"/>
              </w:rPr>
            </w:pPr>
            <w:r w:rsidRPr="00781112">
              <w:rPr>
                <w:rFonts w:cs="Arial"/>
                <w:color w:val="000000" w:themeColor="text1"/>
                <w:szCs w:val="16"/>
              </w:rPr>
              <w:t>9.56%</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2270259B" w14:textId="550EFA1E" w:rsidR="00BB7BC9" w:rsidRPr="00781112" w:rsidRDefault="002B7490">
            <w:pPr>
              <w:jc w:val="center"/>
              <w:rPr>
                <w:rFonts w:cs="Arial"/>
                <w:color w:val="000000" w:themeColor="text1"/>
                <w:szCs w:val="16"/>
              </w:rPr>
            </w:pPr>
            <w:r w:rsidRPr="00781112">
              <w:rPr>
                <w:rFonts w:cs="Arial"/>
                <w:color w:val="000000" w:themeColor="text1"/>
                <w:szCs w:val="16"/>
              </w:rPr>
              <w:t>9.27%</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435F6E4C" w14:textId="3A9E3826" w:rsidR="00BB7BC9" w:rsidRPr="00781112" w:rsidRDefault="002B7490">
            <w:pPr>
              <w:jc w:val="center"/>
              <w:rPr>
                <w:rFonts w:cs="Arial"/>
                <w:color w:val="000000" w:themeColor="text1"/>
                <w:szCs w:val="16"/>
              </w:rPr>
            </w:pPr>
            <w:r w:rsidRPr="00781112">
              <w:rPr>
                <w:rFonts w:cs="Arial"/>
                <w:color w:val="000000" w:themeColor="text1"/>
                <w:szCs w:val="16"/>
              </w:rPr>
              <w:t>8.89%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F17276C" w14:textId="62DCEF2E" w:rsidR="00BB7BC9" w:rsidRPr="00781112" w:rsidRDefault="002B7490">
            <w:pPr>
              <w:jc w:val="center"/>
              <w:rPr>
                <w:rFonts w:cs="Arial"/>
                <w:color w:val="000000" w:themeColor="text1"/>
                <w:szCs w:val="16"/>
              </w:rPr>
            </w:pPr>
            <w:r w:rsidRPr="00781112">
              <w:rPr>
                <w:rFonts w:cs="Arial"/>
                <w:color w:val="000000" w:themeColor="text1"/>
                <w:szCs w:val="16"/>
              </w:rPr>
              <w:t>9.08%</w:t>
            </w:r>
          </w:p>
        </w:tc>
      </w:tr>
      <w:tr w:rsidR="005F0D3B" w:rsidRPr="00781112" w14:paraId="37C91828" w14:textId="68984F02" w:rsidTr="005F5FE9">
        <w:trPr>
          <w:trHeight w:val="357"/>
        </w:trPr>
        <w:tc>
          <w:tcPr>
            <w:tcW w:w="248" w:type="pct"/>
            <w:tcBorders>
              <w:top w:val="single" w:sz="4" w:space="0" w:color="auto"/>
              <w:left w:val="single" w:sz="4" w:space="0" w:color="auto"/>
              <w:right w:val="single" w:sz="4" w:space="0" w:color="auto"/>
            </w:tcBorders>
            <w:shd w:val="clear" w:color="auto" w:fill="auto"/>
            <w:vAlign w:val="center"/>
          </w:tcPr>
          <w:p w14:paraId="4C5B9753" w14:textId="77777777" w:rsidR="00BB7BC9" w:rsidRPr="00781112" w:rsidRDefault="00BB7BC9" w:rsidP="004B75EC">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top w:val="single" w:sz="4" w:space="0" w:color="auto"/>
              <w:left w:val="single" w:sz="4" w:space="0" w:color="auto"/>
              <w:right w:val="single" w:sz="4" w:space="0" w:color="auto"/>
            </w:tcBorders>
            <w:shd w:val="clear" w:color="auto" w:fill="auto"/>
            <w:vAlign w:val="center"/>
          </w:tcPr>
          <w:p w14:paraId="70C9224B" w14:textId="70CACD96" w:rsidR="00BB7BC9" w:rsidRPr="00781112" w:rsidRDefault="002B7490" w:rsidP="00A018D4">
            <w:pPr>
              <w:jc w:val="center"/>
              <w:rPr>
                <w:rFonts w:cs="Arial"/>
                <w:color w:val="000000" w:themeColor="text1"/>
                <w:szCs w:val="16"/>
              </w:rPr>
            </w:pPr>
            <w:r w:rsidRPr="00781112">
              <w:rPr>
                <w:rFonts w:cs="Arial"/>
                <w:color w:val="000000" w:themeColor="text1"/>
                <w:szCs w:val="16"/>
              </w:rPr>
              <w:t>2019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357A99" w14:textId="4C6033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1AD3A63" w14:textId="1D90F8DD" w:rsidR="00BB7BC9" w:rsidRPr="00781112" w:rsidRDefault="002B7490">
            <w:pPr>
              <w:jc w:val="center"/>
              <w:rPr>
                <w:rFonts w:cs="Arial"/>
                <w:color w:val="000000" w:themeColor="text1"/>
                <w:szCs w:val="16"/>
              </w:rPr>
            </w:pPr>
            <w:r w:rsidRPr="00781112">
              <w:rPr>
                <w:rFonts w:cs="Arial"/>
                <w:color w:val="000000" w:themeColor="text1"/>
                <w:szCs w:val="16"/>
              </w:rPr>
              <w:t>1.80%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1DA5DD15" w14:textId="499E0DC6" w:rsidR="00BB7BC9" w:rsidRPr="00781112" w:rsidRDefault="002B7490">
            <w:pPr>
              <w:jc w:val="center"/>
              <w:rPr>
                <w:rFonts w:cs="Arial"/>
                <w:color w:val="000000" w:themeColor="text1"/>
                <w:szCs w:val="16"/>
              </w:rPr>
            </w:pPr>
            <w:r w:rsidRPr="00781112">
              <w:rPr>
                <w:rFonts w:cs="Arial"/>
                <w:color w:val="000000" w:themeColor="text1"/>
                <w:szCs w:val="16"/>
              </w:rPr>
              <w:t>1.80%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7F1F1E81" w14:textId="46D753CA" w:rsidR="00BB7BC9" w:rsidRPr="00781112" w:rsidRDefault="002B7490">
            <w:pPr>
              <w:jc w:val="center"/>
              <w:rPr>
                <w:rFonts w:cs="Arial"/>
                <w:color w:val="000000" w:themeColor="text1"/>
                <w:szCs w:val="16"/>
              </w:rPr>
            </w:pPr>
            <w:r w:rsidRPr="00781112">
              <w:rPr>
                <w:rFonts w:cs="Arial"/>
                <w:color w:val="000000" w:themeColor="text1"/>
                <w:szCs w:val="16"/>
              </w:rPr>
              <w:t>1.80%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7E23DB0" w14:textId="434389A0" w:rsidR="00BB7BC9" w:rsidRPr="00781112" w:rsidRDefault="002B7490">
            <w:pPr>
              <w:jc w:val="center"/>
              <w:rPr>
                <w:rFonts w:cs="Arial"/>
                <w:color w:val="000000" w:themeColor="text1"/>
                <w:szCs w:val="16"/>
              </w:rPr>
            </w:pPr>
            <w:r w:rsidRPr="00781112">
              <w:rPr>
                <w:rFonts w:cs="Arial"/>
                <w:color w:val="000000" w:themeColor="text1"/>
                <w:szCs w:val="16"/>
              </w:rPr>
              <w:t>1.70%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D656878" w14:textId="58FADB64" w:rsidR="00BB7BC9" w:rsidRPr="00781112" w:rsidRDefault="002B7490">
            <w:pPr>
              <w:jc w:val="center"/>
              <w:rPr>
                <w:rFonts w:cs="Arial"/>
                <w:color w:val="000000" w:themeColor="text1"/>
                <w:szCs w:val="16"/>
              </w:rPr>
            </w:pPr>
            <w:r w:rsidRPr="00781112">
              <w:rPr>
                <w:rFonts w:cs="Arial"/>
                <w:color w:val="000000" w:themeColor="text1"/>
                <w:szCs w:val="16"/>
              </w:rPr>
              <w:t>1.60%</w:t>
            </w:r>
          </w:p>
        </w:tc>
      </w:tr>
      <w:tr w:rsidR="005F0D3B" w:rsidRPr="00781112" w14:paraId="64BAB70F" w14:textId="676A8AD8" w:rsidTr="005F5FE9">
        <w:trPr>
          <w:trHeight w:val="85"/>
        </w:trPr>
        <w:tc>
          <w:tcPr>
            <w:tcW w:w="248" w:type="pct"/>
            <w:tcBorders>
              <w:left w:val="single" w:sz="4" w:space="0" w:color="auto"/>
              <w:right w:val="single" w:sz="4" w:space="0" w:color="auto"/>
            </w:tcBorders>
            <w:shd w:val="clear" w:color="auto" w:fill="auto"/>
            <w:vAlign w:val="center"/>
          </w:tcPr>
          <w:p w14:paraId="38B08CB3" w14:textId="5CD30D2F" w:rsidR="00BB7BC9" w:rsidRPr="00781112" w:rsidRDefault="001474EC" w:rsidP="004369B2">
            <w:pPr>
              <w:spacing w:line="276" w:lineRule="auto"/>
              <w:jc w:val="center"/>
              <w:rPr>
                <w:rFonts w:cs="Arial"/>
                <w:color w:val="000000" w:themeColor="text1"/>
                <w:szCs w:val="16"/>
              </w:rPr>
            </w:pPr>
            <w:r w:rsidRPr="00781112">
              <w:rPr>
                <w:rFonts w:cs="Arial"/>
                <w:color w:val="000000" w:themeColor="text1"/>
                <w:szCs w:val="16"/>
              </w:rPr>
              <w:t>C</w:t>
            </w:r>
          </w:p>
        </w:tc>
        <w:tc>
          <w:tcPr>
            <w:tcW w:w="678" w:type="pct"/>
            <w:tcBorders>
              <w:left w:val="single" w:sz="4" w:space="0" w:color="auto"/>
              <w:right w:val="single" w:sz="4" w:space="0" w:color="auto"/>
            </w:tcBorders>
            <w:shd w:val="clear" w:color="auto" w:fill="auto"/>
            <w:vAlign w:val="center"/>
          </w:tcPr>
          <w:p w14:paraId="68128485" w14:textId="059E5B6B" w:rsidR="00BB7BC9" w:rsidRPr="00781112" w:rsidRDefault="002B7490" w:rsidP="00A018D4">
            <w:pPr>
              <w:jc w:val="center"/>
              <w:rPr>
                <w:rFonts w:cs="Arial"/>
                <w:color w:val="000000" w:themeColor="text1"/>
                <w:szCs w:val="16"/>
              </w:rPr>
            </w:pPr>
            <w:r w:rsidRPr="00781112">
              <w:rPr>
                <w:rFonts w:cs="Arial"/>
                <w:color w:val="000000" w:themeColor="text1"/>
                <w:szCs w:val="16"/>
              </w:rPr>
              <w:t>2.20%</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2C5D3" w14:textId="77777777" w:rsidR="00BB7BC9" w:rsidRPr="00781112" w:rsidRDefault="00BB7BC9" w:rsidP="00BA3DBE">
            <w:pPr>
              <w:spacing w:line="276" w:lineRule="auto"/>
              <w:jc w:val="center"/>
              <w:rPr>
                <w:rFonts w:cs="Arial"/>
                <w:color w:val="000000" w:themeColor="text1"/>
                <w:szCs w:val="16"/>
              </w:rPr>
            </w:pPr>
            <w:r w:rsidRPr="00781112">
              <w:rPr>
                <w:rFonts w:cs="Arial"/>
                <w:color w:val="000000" w:themeColor="text1"/>
                <w:szCs w:val="16"/>
              </w:rPr>
              <w:t>Data</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331BEB85" w14:textId="2725D64A" w:rsidR="00BB7BC9" w:rsidRPr="00781112" w:rsidRDefault="002B7490">
            <w:pPr>
              <w:jc w:val="center"/>
              <w:rPr>
                <w:rFonts w:cs="Arial"/>
                <w:color w:val="000000" w:themeColor="text1"/>
                <w:szCs w:val="16"/>
              </w:rPr>
            </w:pPr>
            <w:r w:rsidRPr="00781112">
              <w:rPr>
                <w:rFonts w:cs="Arial"/>
                <w:color w:val="000000" w:themeColor="text1"/>
                <w:szCs w:val="16"/>
              </w:rPr>
              <w:t>1.73%</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1272C2D" w14:textId="719A941F" w:rsidR="00BB7BC9" w:rsidRPr="00781112" w:rsidRDefault="002B7490">
            <w:pPr>
              <w:jc w:val="center"/>
              <w:rPr>
                <w:rFonts w:cs="Arial"/>
                <w:color w:val="000000" w:themeColor="text1"/>
                <w:szCs w:val="16"/>
              </w:rPr>
            </w:pPr>
            <w:r w:rsidRPr="00781112">
              <w:rPr>
                <w:rFonts w:cs="Arial"/>
                <w:color w:val="000000" w:themeColor="text1"/>
                <w:szCs w:val="16"/>
              </w:rPr>
              <w:t>1.79%</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66D69289" w14:textId="52314ECA" w:rsidR="00BB7BC9" w:rsidRPr="00781112" w:rsidRDefault="002B7490">
            <w:pPr>
              <w:jc w:val="center"/>
              <w:rPr>
                <w:rFonts w:cs="Arial"/>
                <w:color w:val="000000" w:themeColor="text1"/>
                <w:szCs w:val="16"/>
              </w:rPr>
            </w:pPr>
            <w:r w:rsidRPr="00781112">
              <w:rPr>
                <w:rFonts w:cs="Arial"/>
                <w:color w:val="000000" w:themeColor="text1"/>
                <w:szCs w:val="16"/>
              </w:rPr>
              <w:t>1.55%</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50C089F4" w14:textId="48A87A04" w:rsidR="00BB7BC9" w:rsidRPr="00781112" w:rsidRDefault="002B7490">
            <w:pPr>
              <w:jc w:val="center"/>
              <w:rPr>
                <w:rFonts w:cs="Arial"/>
                <w:color w:val="000000" w:themeColor="text1"/>
                <w:szCs w:val="16"/>
              </w:rPr>
            </w:pPr>
            <w:r w:rsidRPr="00781112">
              <w:rPr>
                <w:rFonts w:cs="Arial"/>
                <w:color w:val="000000" w:themeColor="text1"/>
                <w:szCs w:val="16"/>
              </w:rPr>
              <w:t>1.48%</w:t>
            </w:r>
          </w:p>
        </w:tc>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14:paraId="05793CF8" w14:textId="025DD51B" w:rsidR="00BB7BC9" w:rsidRPr="00781112" w:rsidRDefault="002B7490">
            <w:pPr>
              <w:jc w:val="center"/>
              <w:rPr>
                <w:rFonts w:cs="Arial"/>
                <w:color w:val="000000" w:themeColor="text1"/>
                <w:szCs w:val="16"/>
              </w:rPr>
            </w:pPr>
            <w:r w:rsidRPr="00781112">
              <w:rPr>
                <w:rFonts w:cs="Arial"/>
                <w:color w:val="000000" w:themeColor="text1"/>
                <w:szCs w:val="16"/>
              </w:rPr>
              <w:t>1.40%</w:t>
            </w:r>
          </w:p>
        </w:tc>
      </w:tr>
    </w:tbl>
    <w:p w14:paraId="4F18E18D" w14:textId="77777777" w:rsidR="004A4803" w:rsidRPr="00781112" w:rsidRDefault="004A4803" w:rsidP="004369B2">
      <w:pPr>
        <w:rPr>
          <w:color w:val="000000" w:themeColor="text1"/>
        </w:rPr>
      </w:pPr>
    </w:p>
    <w:p w14:paraId="4B421711" w14:textId="34B64243" w:rsidR="002C207A" w:rsidRPr="00781112" w:rsidRDefault="002C207A" w:rsidP="004369B2">
      <w:pPr>
        <w:rPr>
          <w:color w:val="000000" w:themeColor="text1"/>
        </w:rPr>
      </w:pPr>
      <w:r w:rsidRPr="00781112">
        <w:rPr>
          <w:b/>
          <w:color w:val="000000" w:themeColor="text1"/>
        </w:rPr>
        <w:t>Targets</w:t>
      </w:r>
    </w:p>
    <w:tbl>
      <w:tblPr>
        <w:tblW w:w="26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TARGETS"/>
      </w:tblPr>
      <w:tblGrid>
        <w:gridCol w:w="673"/>
        <w:gridCol w:w="1691"/>
        <w:gridCol w:w="1691"/>
        <w:gridCol w:w="1690"/>
      </w:tblGrid>
      <w:tr w:rsidR="000F7167" w:rsidRPr="00781112" w14:paraId="67121B7A" w14:textId="6B1EA8E0" w:rsidTr="003E5D5A">
        <w:trPr>
          <w:trHeight w:val="264"/>
        </w:trPr>
        <w:tc>
          <w:tcPr>
            <w:tcW w:w="585" w:type="pct"/>
            <w:tcBorders>
              <w:bottom w:val="single" w:sz="4" w:space="0" w:color="auto"/>
            </w:tcBorders>
            <w:shd w:val="clear" w:color="auto" w:fill="auto"/>
          </w:tcPr>
          <w:p w14:paraId="417BC1C4" w14:textId="77777777" w:rsidR="000F7167" w:rsidRPr="00781112" w:rsidRDefault="000F7167" w:rsidP="00D62058">
            <w:pPr>
              <w:jc w:val="center"/>
              <w:rPr>
                <w:b/>
                <w:color w:val="000000" w:themeColor="text1"/>
              </w:rPr>
            </w:pPr>
            <w:r w:rsidRPr="00781112">
              <w:rPr>
                <w:b/>
                <w:color w:val="000000" w:themeColor="text1"/>
              </w:rPr>
              <w:t>FFY</w:t>
            </w:r>
          </w:p>
        </w:tc>
        <w:tc>
          <w:tcPr>
            <w:tcW w:w="1472" w:type="pct"/>
            <w:shd w:val="clear" w:color="auto" w:fill="auto"/>
          </w:tcPr>
          <w:p w14:paraId="43C546D5" w14:textId="7A1B1AB1" w:rsidR="000F7167" w:rsidRPr="00781112" w:rsidRDefault="000F7167" w:rsidP="00D62058">
            <w:pPr>
              <w:jc w:val="center"/>
              <w:rPr>
                <w:b/>
                <w:color w:val="000000" w:themeColor="text1"/>
              </w:rPr>
            </w:pPr>
            <w:r w:rsidRPr="00781112">
              <w:rPr>
                <w:b/>
                <w:color w:val="000000" w:themeColor="text1"/>
              </w:rPr>
              <w:t>2023</w:t>
            </w:r>
          </w:p>
        </w:tc>
        <w:tc>
          <w:tcPr>
            <w:tcW w:w="1472" w:type="pct"/>
          </w:tcPr>
          <w:p w14:paraId="12417F21" w14:textId="04859FD1" w:rsidR="000F7167" w:rsidRPr="00781112" w:rsidRDefault="000F7167" w:rsidP="00D62058">
            <w:pPr>
              <w:jc w:val="center"/>
              <w:rPr>
                <w:b/>
                <w:color w:val="000000" w:themeColor="text1"/>
              </w:rPr>
            </w:pPr>
            <w:r w:rsidRPr="00781112">
              <w:rPr>
                <w:rFonts w:cs="Arial"/>
                <w:b/>
                <w:color w:val="000000" w:themeColor="text1"/>
                <w:szCs w:val="16"/>
              </w:rPr>
              <w:t>2024</w:t>
            </w:r>
          </w:p>
        </w:tc>
        <w:tc>
          <w:tcPr>
            <w:tcW w:w="1472" w:type="pct"/>
          </w:tcPr>
          <w:p w14:paraId="75B6E23D" w14:textId="1550C183" w:rsidR="000F7167" w:rsidRPr="00781112" w:rsidRDefault="000F7167" w:rsidP="00D62058">
            <w:pPr>
              <w:jc w:val="center"/>
              <w:rPr>
                <w:b/>
                <w:color w:val="000000" w:themeColor="text1"/>
              </w:rPr>
            </w:pPr>
            <w:r w:rsidRPr="00781112">
              <w:rPr>
                <w:rFonts w:cs="Arial"/>
                <w:b/>
                <w:color w:val="000000" w:themeColor="text1"/>
                <w:szCs w:val="16"/>
              </w:rPr>
              <w:t>2025</w:t>
            </w:r>
          </w:p>
        </w:tc>
      </w:tr>
      <w:tr w:rsidR="000F7167" w:rsidRPr="00781112" w14:paraId="0E725BBE" w14:textId="7C441390" w:rsidTr="003E5D5A">
        <w:trPr>
          <w:trHeight w:val="270"/>
        </w:trPr>
        <w:tc>
          <w:tcPr>
            <w:tcW w:w="585" w:type="pct"/>
            <w:shd w:val="clear" w:color="auto" w:fill="auto"/>
            <w:vAlign w:val="center"/>
          </w:tcPr>
          <w:p w14:paraId="3CB4FC66" w14:textId="21A33A6B" w:rsidR="000F7167" w:rsidRPr="00781112" w:rsidRDefault="000F7167" w:rsidP="00BA3DBE">
            <w:pPr>
              <w:jc w:val="center"/>
              <w:rPr>
                <w:rFonts w:cs="Arial"/>
                <w:color w:val="000000" w:themeColor="text1"/>
                <w:szCs w:val="16"/>
              </w:rPr>
            </w:pPr>
            <w:r w:rsidRPr="00781112">
              <w:rPr>
                <w:rFonts w:cs="Arial"/>
                <w:color w:val="000000" w:themeColor="text1"/>
                <w:szCs w:val="16"/>
              </w:rPr>
              <w:t>Target A &gt;=</w:t>
            </w:r>
          </w:p>
        </w:tc>
        <w:tc>
          <w:tcPr>
            <w:tcW w:w="1472" w:type="pct"/>
            <w:shd w:val="clear" w:color="auto" w:fill="auto"/>
            <w:vAlign w:val="center"/>
          </w:tcPr>
          <w:p w14:paraId="0643B02C" w14:textId="7613B373" w:rsidR="000F7167" w:rsidRPr="00781112" w:rsidRDefault="000F7167" w:rsidP="00D62058">
            <w:pPr>
              <w:jc w:val="center"/>
              <w:rPr>
                <w:rFonts w:cs="Arial"/>
                <w:color w:val="000000" w:themeColor="text1"/>
                <w:szCs w:val="16"/>
              </w:rPr>
            </w:pPr>
            <w:r w:rsidRPr="00781112">
              <w:rPr>
                <w:rFonts w:cs="Arial"/>
                <w:color w:val="000000" w:themeColor="text1"/>
                <w:szCs w:val="16"/>
              </w:rPr>
              <w:t>77.00%</w:t>
            </w:r>
          </w:p>
        </w:tc>
        <w:tc>
          <w:tcPr>
            <w:tcW w:w="1472" w:type="pct"/>
          </w:tcPr>
          <w:p w14:paraId="5AAF7764" w14:textId="6CE24C23" w:rsidR="000F7167" w:rsidRPr="00781112" w:rsidRDefault="000F7167" w:rsidP="00D62058">
            <w:pPr>
              <w:jc w:val="center"/>
              <w:rPr>
                <w:rFonts w:cs="Arial"/>
                <w:color w:val="000000" w:themeColor="text1"/>
                <w:szCs w:val="16"/>
              </w:rPr>
            </w:pPr>
            <w:r w:rsidRPr="00781112">
              <w:rPr>
                <w:color w:val="000000" w:themeColor="text1"/>
                <w:szCs w:val="16"/>
              </w:rPr>
              <w:t>78.00%</w:t>
            </w:r>
          </w:p>
        </w:tc>
        <w:tc>
          <w:tcPr>
            <w:tcW w:w="1472" w:type="pct"/>
          </w:tcPr>
          <w:p w14:paraId="18842FBE" w14:textId="34C8AABC" w:rsidR="000F7167" w:rsidRPr="00781112" w:rsidRDefault="000F7167" w:rsidP="00D62058">
            <w:pPr>
              <w:jc w:val="center"/>
              <w:rPr>
                <w:rFonts w:cs="Arial"/>
                <w:color w:val="000000" w:themeColor="text1"/>
                <w:szCs w:val="16"/>
              </w:rPr>
            </w:pPr>
            <w:r w:rsidRPr="00781112">
              <w:rPr>
                <w:color w:val="000000" w:themeColor="text1"/>
                <w:szCs w:val="16"/>
              </w:rPr>
              <w:t>79.00%</w:t>
            </w:r>
          </w:p>
        </w:tc>
      </w:tr>
      <w:tr w:rsidR="000F7167" w:rsidRPr="00781112" w14:paraId="17C12050" w14:textId="1A45DE5B" w:rsidTr="003E5D5A">
        <w:trPr>
          <w:trHeight w:val="270"/>
        </w:trPr>
        <w:tc>
          <w:tcPr>
            <w:tcW w:w="585" w:type="pct"/>
            <w:shd w:val="clear" w:color="auto" w:fill="auto"/>
            <w:vAlign w:val="center"/>
          </w:tcPr>
          <w:p w14:paraId="5FF4BE45" w14:textId="3D057CF2" w:rsidR="000F7167" w:rsidRPr="00781112" w:rsidRDefault="000F7167" w:rsidP="00BA3DBE">
            <w:pPr>
              <w:jc w:val="center"/>
              <w:rPr>
                <w:rFonts w:cs="Arial"/>
                <w:color w:val="000000" w:themeColor="text1"/>
                <w:szCs w:val="16"/>
              </w:rPr>
            </w:pPr>
            <w:r w:rsidRPr="00781112">
              <w:rPr>
                <w:rFonts w:cs="Arial"/>
                <w:color w:val="000000" w:themeColor="text1"/>
                <w:szCs w:val="16"/>
              </w:rPr>
              <w:t>Target B &lt;=</w:t>
            </w:r>
          </w:p>
        </w:tc>
        <w:tc>
          <w:tcPr>
            <w:tcW w:w="1472" w:type="pct"/>
            <w:shd w:val="clear" w:color="auto" w:fill="auto"/>
            <w:vAlign w:val="center"/>
          </w:tcPr>
          <w:p w14:paraId="4B344C1C" w14:textId="2108066A" w:rsidR="000F7167" w:rsidRPr="00781112" w:rsidRDefault="000F7167" w:rsidP="00D62058">
            <w:pPr>
              <w:jc w:val="center"/>
              <w:rPr>
                <w:rFonts w:cs="Arial"/>
                <w:color w:val="000000" w:themeColor="text1"/>
                <w:szCs w:val="16"/>
              </w:rPr>
            </w:pPr>
            <w:r w:rsidRPr="00781112">
              <w:rPr>
                <w:rFonts w:cs="Arial"/>
                <w:color w:val="000000" w:themeColor="text1"/>
                <w:szCs w:val="16"/>
              </w:rPr>
              <w:t>8.40%</w:t>
            </w:r>
          </w:p>
        </w:tc>
        <w:tc>
          <w:tcPr>
            <w:tcW w:w="1472" w:type="pct"/>
          </w:tcPr>
          <w:p w14:paraId="05700FA5" w14:textId="5CCD345F" w:rsidR="000F7167" w:rsidRPr="00781112" w:rsidRDefault="000F7167" w:rsidP="00D62058">
            <w:pPr>
              <w:jc w:val="center"/>
              <w:rPr>
                <w:rFonts w:cs="Arial"/>
                <w:color w:val="000000" w:themeColor="text1"/>
                <w:szCs w:val="16"/>
              </w:rPr>
            </w:pPr>
            <w:r w:rsidRPr="00781112">
              <w:rPr>
                <w:color w:val="000000" w:themeColor="text1"/>
                <w:szCs w:val="16"/>
              </w:rPr>
              <w:t>8.00%</w:t>
            </w:r>
          </w:p>
        </w:tc>
        <w:tc>
          <w:tcPr>
            <w:tcW w:w="1472" w:type="pct"/>
          </w:tcPr>
          <w:p w14:paraId="3714E477" w14:textId="7A435890" w:rsidR="000F7167" w:rsidRPr="00781112" w:rsidRDefault="000F7167" w:rsidP="00D62058">
            <w:pPr>
              <w:jc w:val="center"/>
              <w:rPr>
                <w:rFonts w:cs="Arial"/>
                <w:color w:val="000000" w:themeColor="text1"/>
                <w:szCs w:val="16"/>
              </w:rPr>
            </w:pPr>
            <w:r w:rsidRPr="00781112">
              <w:rPr>
                <w:color w:val="000000" w:themeColor="text1"/>
                <w:szCs w:val="16"/>
              </w:rPr>
              <w:t>7.80%</w:t>
            </w:r>
          </w:p>
        </w:tc>
      </w:tr>
      <w:tr w:rsidR="000F7167" w:rsidRPr="00781112" w14:paraId="1C671552" w14:textId="2F7800FB" w:rsidTr="003E5D5A">
        <w:trPr>
          <w:trHeight w:val="270"/>
        </w:trPr>
        <w:tc>
          <w:tcPr>
            <w:tcW w:w="585" w:type="pct"/>
            <w:shd w:val="clear" w:color="auto" w:fill="auto"/>
            <w:vAlign w:val="center"/>
          </w:tcPr>
          <w:p w14:paraId="5D979A7F" w14:textId="57DEB4C1" w:rsidR="000F7167" w:rsidRPr="00781112" w:rsidRDefault="000F7167" w:rsidP="00BA3DBE">
            <w:pPr>
              <w:jc w:val="center"/>
              <w:rPr>
                <w:rFonts w:cs="Arial"/>
                <w:color w:val="000000" w:themeColor="text1"/>
                <w:szCs w:val="16"/>
              </w:rPr>
            </w:pPr>
            <w:r w:rsidRPr="00781112">
              <w:rPr>
                <w:rFonts w:cs="Arial"/>
                <w:color w:val="000000" w:themeColor="text1"/>
                <w:szCs w:val="16"/>
              </w:rPr>
              <w:t>Target C &lt;=</w:t>
            </w:r>
          </w:p>
        </w:tc>
        <w:tc>
          <w:tcPr>
            <w:tcW w:w="1472" w:type="pct"/>
            <w:shd w:val="clear" w:color="auto" w:fill="auto"/>
            <w:vAlign w:val="center"/>
          </w:tcPr>
          <w:p w14:paraId="1C0EF441" w14:textId="373B29D8" w:rsidR="000F7167" w:rsidRPr="00781112" w:rsidRDefault="000F7167" w:rsidP="00D62058">
            <w:pPr>
              <w:jc w:val="center"/>
              <w:rPr>
                <w:rFonts w:cs="Arial"/>
                <w:color w:val="000000" w:themeColor="text1"/>
                <w:szCs w:val="16"/>
              </w:rPr>
            </w:pPr>
            <w:r w:rsidRPr="00781112">
              <w:rPr>
                <w:rFonts w:cs="Arial"/>
                <w:color w:val="000000" w:themeColor="text1"/>
                <w:szCs w:val="16"/>
              </w:rPr>
              <w:t>1.60%</w:t>
            </w:r>
          </w:p>
        </w:tc>
        <w:tc>
          <w:tcPr>
            <w:tcW w:w="1472" w:type="pct"/>
          </w:tcPr>
          <w:p w14:paraId="29CA6903" w14:textId="7D992541" w:rsidR="000F7167" w:rsidRPr="00781112" w:rsidRDefault="000F7167" w:rsidP="00D62058">
            <w:pPr>
              <w:jc w:val="center"/>
              <w:rPr>
                <w:rFonts w:cs="Arial"/>
                <w:color w:val="000000" w:themeColor="text1"/>
                <w:szCs w:val="16"/>
              </w:rPr>
            </w:pPr>
            <w:r w:rsidRPr="00781112">
              <w:rPr>
                <w:color w:val="000000" w:themeColor="text1"/>
                <w:szCs w:val="16"/>
              </w:rPr>
              <w:t>1.50%</w:t>
            </w:r>
          </w:p>
        </w:tc>
        <w:tc>
          <w:tcPr>
            <w:tcW w:w="1472" w:type="pct"/>
          </w:tcPr>
          <w:p w14:paraId="552B6B09" w14:textId="511FB8CF" w:rsidR="000F7167" w:rsidRPr="00781112" w:rsidRDefault="000F7167" w:rsidP="00D62058">
            <w:pPr>
              <w:jc w:val="center"/>
              <w:rPr>
                <w:rFonts w:cs="Arial"/>
                <w:color w:val="000000" w:themeColor="text1"/>
                <w:szCs w:val="16"/>
              </w:rPr>
            </w:pPr>
            <w:r w:rsidRPr="00781112">
              <w:rPr>
                <w:color w:val="000000" w:themeColor="text1"/>
                <w:szCs w:val="16"/>
              </w:rPr>
              <w:t>1.40%</w:t>
            </w:r>
          </w:p>
        </w:tc>
      </w:tr>
    </w:tbl>
    <w:p w14:paraId="7C8EA9A0" w14:textId="74543D19" w:rsidR="002D145D" w:rsidRPr="00781112" w:rsidRDefault="002D145D" w:rsidP="004369B2">
      <w:pPr>
        <w:rPr>
          <w:b/>
          <w:color w:val="000000" w:themeColor="text1"/>
        </w:rPr>
      </w:pPr>
      <w:r w:rsidRPr="00781112">
        <w:rPr>
          <w:b/>
          <w:color w:val="000000" w:themeColor="text1"/>
        </w:rPr>
        <w:t xml:space="preserve">Targets: Description of Stakeholder Input </w:t>
      </w:r>
    </w:p>
    <w:p w14:paraId="080E6720" w14:textId="1B438EC8" w:rsidR="002D145D" w:rsidRPr="00781112" w:rsidRDefault="00D60B5F" w:rsidP="002D145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w:t>
      </w:r>
      <w:r w:rsidRPr="00781112">
        <w:rPr>
          <w:rFonts w:cs="Arial"/>
          <w:color w:val="000000" w:themeColor="text1"/>
          <w:szCs w:val="16"/>
        </w:rPr>
        <w:lastRenderedPageBreak/>
        <w:t xml:space="preserve">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2B96DDD0" w14:textId="3E2ADE72" w:rsidR="002D145D" w:rsidRPr="00781112" w:rsidRDefault="002D145D" w:rsidP="002D145D">
      <w:pPr>
        <w:rPr>
          <w:rFonts w:cs="Arial"/>
          <w:color w:val="000000" w:themeColor="text1"/>
          <w:szCs w:val="16"/>
        </w:rPr>
      </w:pPr>
    </w:p>
    <w:p w14:paraId="5251E1B0" w14:textId="77777777" w:rsidR="004A4803" w:rsidRPr="00781112" w:rsidRDefault="004A4803" w:rsidP="004369B2">
      <w:pPr>
        <w:rPr>
          <w:color w:val="000000" w:themeColor="text1"/>
        </w:rPr>
      </w:pPr>
    </w:p>
    <w:p w14:paraId="4D7BF763" w14:textId="45C93061" w:rsidR="00931A25" w:rsidRPr="00781112" w:rsidRDefault="00931A25"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PREPOPDATA"/>
      </w:tblPr>
      <w:tblGrid>
        <w:gridCol w:w="2605"/>
        <w:gridCol w:w="2969"/>
        <w:gridCol w:w="3332"/>
        <w:gridCol w:w="1884"/>
      </w:tblGrid>
      <w:tr w:rsidR="005C29F8" w:rsidRPr="00781112" w14:paraId="7DC625CA" w14:textId="77777777" w:rsidTr="0033429D">
        <w:trPr>
          <w:trHeight w:val="372"/>
          <w:tblHeader/>
        </w:trPr>
        <w:tc>
          <w:tcPr>
            <w:tcW w:w="1207" w:type="pct"/>
            <w:shd w:val="clear" w:color="auto" w:fill="auto"/>
          </w:tcPr>
          <w:p w14:paraId="27CE7D2A"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Source</w:t>
            </w:r>
          </w:p>
        </w:tc>
        <w:tc>
          <w:tcPr>
            <w:tcW w:w="1376" w:type="pct"/>
            <w:shd w:val="clear" w:color="auto" w:fill="auto"/>
          </w:tcPr>
          <w:p w14:paraId="37A472D3"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Date</w:t>
            </w:r>
          </w:p>
        </w:tc>
        <w:tc>
          <w:tcPr>
            <w:tcW w:w="1544" w:type="pct"/>
            <w:shd w:val="clear" w:color="auto" w:fill="auto"/>
          </w:tcPr>
          <w:p w14:paraId="3AD5D5D4"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Description</w:t>
            </w:r>
          </w:p>
        </w:tc>
        <w:tc>
          <w:tcPr>
            <w:tcW w:w="873" w:type="pct"/>
            <w:shd w:val="clear" w:color="auto" w:fill="auto"/>
          </w:tcPr>
          <w:p w14:paraId="3879034D" w14:textId="77777777" w:rsidR="001C6C30" w:rsidRPr="00781112" w:rsidRDefault="001C6C30">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701A6E97" w14:textId="77777777" w:rsidTr="00AB0D6A">
        <w:trPr>
          <w:trHeight w:val="380"/>
        </w:trPr>
        <w:tc>
          <w:tcPr>
            <w:tcW w:w="1207" w:type="pct"/>
            <w:shd w:val="clear" w:color="auto" w:fill="auto"/>
            <w:vAlign w:val="center"/>
          </w:tcPr>
          <w:p w14:paraId="35A4BC35" w14:textId="73E52F94" w:rsidR="003C1852" w:rsidRPr="00781112" w:rsidRDefault="002B7490">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0BD5009E" w14:textId="3A5F2E3D" w:rsidR="003C1852"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05856C31" w14:textId="605373FB" w:rsidR="003C1852" w:rsidRPr="00781112" w:rsidRDefault="003C1852" w:rsidP="00E0321D">
            <w:pPr>
              <w:jc w:val="center"/>
              <w:rPr>
                <w:rFonts w:cs="Arial"/>
                <w:color w:val="000000" w:themeColor="text1"/>
                <w:szCs w:val="16"/>
              </w:rPr>
            </w:pPr>
            <w:r w:rsidRPr="00781112">
              <w:rPr>
                <w:rFonts w:cs="Arial"/>
                <w:color w:val="000000" w:themeColor="text1"/>
                <w:szCs w:val="16"/>
              </w:rPr>
              <w:t xml:space="preserve">Total number of children with IEPs aged </w:t>
            </w:r>
            <w:r w:rsidR="00185BA9" w:rsidRPr="00781112">
              <w:rPr>
                <w:rFonts w:cs="Arial"/>
                <w:szCs w:val="16"/>
              </w:rPr>
              <w:t>5 (kindergarten)</w:t>
            </w:r>
            <w:r w:rsidRPr="00781112">
              <w:rPr>
                <w:rFonts w:cs="Arial"/>
                <w:color w:val="000000" w:themeColor="text1"/>
                <w:szCs w:val="16"/>
              </w:rPr>
              <w:t xml:space="preserve"> through 21</w:t>
            </w:r>
          </w:p>
        </w:tc>
        <w:tc>
          <w:tcPr>
            <w:tcW w:w="873" w:type="pct"/>
            <w:shd w:val="clear" w:color="auto" w:fill="auto"/>
            <w:vAlign w:val="center"/>
          </w:tcPr>
          <w:p w14:paraId="6A944F84" w14:textId="31582347" w:rsidR="003C1852" w:rsidRPr="00781112" w:rsidRDefault="002B7490" w:rsidP="00E0321D">
            <w:pPr>
              <w:jc w:val="center"/>
              <w:rPr>
                <w:rFonts w:cs="Arial"/>
                <w:color w:val="000000" w:themeColor="text1"/>
                <w:szCs w:val="16"/>
              </w:rPr>
            </w:pPr>
            <w:r w:rsidRPr="00781112">
              <w:rPr>
                <w:rFonts w:cs="Arial"/>
                <w:color w:val="000000" w:themeColor="text1"/>
                <w:szCs w:val="16"/>
              </w:rPr>
              <w:t>82,195</w:t>
            </w:r>
          </w:p>
        </w:tc>
      </w:tr>
      <w:tr w:rsidR="005C29F8" w:rsidRPr="00781112" w14:paraId="774B0393" w14:textId="77777777" w:rsidTr="00AB0D6A">
        <w:trPr>
          <w:trHeight w:val="380"/>
        </w:trPr>
        <w:tc>
          <w:tcPr>
            <w:tcW w:w="1207" w:type="pct"/>
            <w:shd w:val="clear" w:color="auto" w:fill="auto"/>
            <w:vAlign w:val="center"/>
          </w:tcPr>
          <w:p w14:paraId="41118E4B" w14:textId="707D9C2B"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598C9B67" w14:textId="1DDD1ECD"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02329530" w14:textId="7C955459"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A. Number of children with IEPs aged </w:t>
            </w:r>
            <w:r w:rsidR="00185BA9" w:rsidRPr="00781112">
              <w:rPr>
                <w:rFonts w:cs="Arial"/>
                <w:szCs w:val="16"/>
              </w:rPr>
              <w:t>5 (kindergarten)</w:t>
            </w:r>
            <w:r w:rsidRPr="00781112">
              <w:rPr>
                <w:rFonts w:cs="Arial"/>
                <w:color w:val="000000" w:themeColor="text1"/>
                <w:szCs w:val="16"/>
              </w:rPr>
              <w:t xml:space="preserve"> through 21 inside the regular class 80% or more of the day</w:t>
            </w:r>
          </w:p>
        </w:tc>
        <w:tc>
          <w:tcPr>
            <w:tcW w:w="873" w:type="pct"/>
            <w:shd w:val="clear" w:color="auto" w:fill="auto"/>
            <w:vAlign w:val="center"/>
          </w:tcPr>
          <w:p w14:paraId="699212F3" w14:textId="450EBDBF" w:rsidR="008A3DC6" w:rsidRPr="00781112" w:rsidRDefault="002B7490" w:rsidP="00E0321D">
            <w:pPr>
              <w:jc w:val="center"/>
              <w:rPr>
                <w:rFonts w:cs="Arial"/>
                <w:color w:val="000000" w:themeColor="text1"/>
                <w:szCs w:val="16"/>
              </w:rPr>
            </w:pPr>
            <w:r w:rsidRPr="00781112">
              <w:rPr>
                <w:rFonts w:cs="Arial"/>
                <w:color w:val="000000" w:themeColor="text1"/>
                <w:szCs w:val="16"/>
              </w:rPr>
              <w:t>63,904</w:t>
            </w:r>
          </w:p>
        </w:tc>
      </w:tr>
      <w:tr w:rsidR="005C29F8" w:rsidRPr="00781112" w14:paraId="1BE24412" w14:textId="77777777" w:rsidTr="00AB0D6A">
        <w:trPr>
          <w:trHeight w:val="380"/>
        </w:trPr>
        <w:tc>
          <w:tcPr>
            <w:tcW w:w="1207" w:type="pct"/>
            <w:shd w:val="clear" w:color="auto" w:fill="auto"/>
            <w:vAlign w:val="center"/>
          </w:tcPr>
          <w:p w14:paraId="13D524C0" w14:textId="46F357A5"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72EFA773" w14:textId="00761F20"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6EF7CE7A" w14:textId="07D1D751"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B.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inside the regular class less than 40% of the day</w:t>
            </w:r>
          </w:p>
        </w:tc>
        <w:tc>
          <w:tcPr>
            <w:tcW w:w="873" w:type="pct"/>
            <w:shd w:val="clear" w:color="auto" w:fill="auto"/>
            <w:vAlign w:val="center"/>
          </w:tcPr>
          <w:p w14:paraId="33B90725" w14:textId="1FBE54FE" w:rsidR="008A3DC6" w:rsidRPr="00781112" w:rsidRDefault="002B7490" w:rsidP="00E0321D">
            <w:pPr>
              <w:jc w:val="center"/>
              <w:rPr>
                <w:rFonts w:cs="Arial"/>
                <w:color w:val="000000" w:themeColor="text1"/>
                <w:szCs w:val="16"/>
              </w:rPr>
            </w:pPr>
            <w:r w:rsidRPr="00781112">
              <w:rPr>
                <w:rFonts w:cs="Arial"/>
                <w:color w:val="000000" w:themeColor="text1"/>
                <w:szCs w:val="16"/>
              </w:rPr>
              <w:t>7,224</w:t>
            </w:r>
          </w:p>
        </w:tc>
      </w:tr>
      <w:tr w:rsidR="005C29F8" w:rsidRPr="00781112" w14:paraId="17A5A2B3" w14:textId="77777777" w:rsidTr="00AB0D6A">
        <w:trPr>
          <w:trHeight w:val="380"/>
        </w:trPr>
        <w:tc>
          <w:tcPr>
            <w:tcW w:w="1207" w:type="pct"/>
            <w:shd w:val="clear" w:color="auto" w:fill="auto"/>
            <w:vAlign w:val="center"/>
          </w:tcPr>
          <w:p w14:paraId="525A2ED8" w14:textId="4E94BB5B"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68C3F92C" w14:textId="3AE47CC2"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413AEB9E" w14:textId="1B537E25"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c1. Number of children with IEPs aged </w:t>
            </w:r>
            <w:r w:rsidR="00185BA9" w:rsidRPr="00781112">
              <w:rPr>
                <w:rFonts w:cs="Arial"/>
                <w:szCs w:val="16"/>
              </w:rPr>
              <w:t>5 (kindergarten)</w:t>
            </w:r>
            <w:r w:rsidRPr="00781112">
              <w:rPr>
                <w:rFonts w:cs="Arial"/>
                <w:color w:val="000000" w:themeColor="text1"/>
                <w:szCs w:val="16"/>
              </w:rPr>
              <w:t xml:space="preserve"> through 21 in separate </w:t>
            </w:r>
            <w:r w:rsidR="00185BA9" w:rsidRPr="00781112">
              <w:rPr>
                <w:rFonts w:cs="Arial"/>
                <w:color w:val="000000" w:themeColor="text1"/>
                <w:szCs w:val="16"/>
              </w:rPr>
              <w:t>s</w:t>
            </w:r>
            <w:r w:rsidRPr="00781112">
              <w:rPr>
                <w:rFonts w:cs="Arial"/>
                <w:color w:val="000000" w:themeColor="text1"/>
                <w:szCs w:val="16"/>
              </w:rPr>
              <w:t>chools</w:t>
            </w:r>
          </w:p>
        </w:tc>
        <w:tc>
          <w:tcPr>
            <w:tcW w:w="873" w:type="pct"/>
            <w:shd w:val="clear" w:color="auto" w:fill="auto"/>
            <w:vAlign w:val="center"/>
          </w:tcPr>
          <w:p w14:paraId="0C6DF60D" w14:textId="1A57B1C5" w:rsidR="008A3DC6" w:rsidRPr="00781112" w:rsidRDefault="002B7490" w:rsidP="00E0321D">
            <w:pPr>
              <w:jc w:val="center"/>
              <w:rPr>
                <w:rFonts w:cs="Arial"/>
                <w:color w:val="000000" w:themeColor="text1"/>
                <w:szCs w:val="16"/>
              </w:rPr>
            </w:pPr>
            <w:r w:rsidRPr="00781112">
              <w:rPr>
                <w:rFonts w:cs="Arial"/>
                <w:color w:val="000000" w:themeColor="text1"/>
                <w:szCs w:val="16"/>
              </w:rPr>
              <w:t>834</w:t>
            </w:r>
          </w:p>
        </w:tc>
      </w:tr>
      <w:tr w:rsidR="005C29F8" w:rsidRPr="00781112" w14:paraId="7C327020" w14:textId="77777777" w:rsidTr="00AB0D6A">
        <w:trPr>
          <w:trHeight w:val="380"/>
        </w:trPr>
        <w:tc>
          <w:tcPr>
            <w:tcW w:w="1207" w:type="pct"/>
            <w:shd w:val="clear" w:color="auto" w:fill="auto"/>
            <w:vAlign w:val="center"/>
          </w:tcPr>
          <w:p w14:paraId="485F7D93" w14:textId="6A92F697"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1261545C" w14:textId="230AF013"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3AEE0CBD" w14:textId="6D1B0F8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c2. Number of children with IEPs aged </w:t>
            </w:r>
            <w:r w:rsidR="00185BA9" w:rsidRPr="00781112">
              <w:rPr>
                <w:rFonts w:cs="Arial"/>
                <w:szCs w:val="16"/>
              </w:rPr>
              <w:t>5 (kindergarten)</w:t>
            </w:r>
            <w:r w:rsidR="00185BA9" w:rsidRPr="00781112">
              <w:rPr>
                <w:rFonts w:cs="Arial"/>
                <w:color w:val="000000" w:themeColor="text1"/>
                <w:szCs w:val="16"/>
              </w:rPr>
              <w:t xml:space="preserve"> </w:t>
            </w:r>
            <w:r w:rsidRPr="00781112">
              <w:rPr>
                <w:rFonts w:cs="Arial"/>
                <w:color w:val="000000" w:themeColor="text1"/>
                <w:szCs w:val="16"/>
              </w:rPr>
              <w:t>through 21 in residential facilities</w:t>
            </w:r>
          </w:p>
        </w:tc>
        <w:tc>
          <w:tcPr>
            <w:tcW w:w="873" w:type="pct"/>
            <w:shd w:val="clear" w:color="auto" w:fill="auto"/>
            <w:vAlign w:val="center"/>
          </w:tcPr>
          <w:p w14:paraId="596B74CB" w14:textId="6136D9E8" w:rsidR="008A3DC6" w:rsidRPr="00781112" w:rsidRDefault="002B7490" w:rsidP="00E0321D">
            <w:pPr>
              <w:jc w:val="center"/>
              <w:rPr>
                <w:rFonts w:cs="Arial"/>
                <w:color w:val="000000" w:themeColor="text1"/>
                <w:szCs w:val="16"/>
              </w:rPr>
            </w:pPr>
            <w:r w:rsidRPr="00781112">
              <w:rPr>
                <w:rFonts w:cs="Arial"/>
                <w:color w:val="000000" w:themeColor="text1"/>
                <w:szCs w:val="16"/>
              </w:rPr>
              <w:t>63</w:t>
            </w:r>
          </w:p>
        </w:tc>
      </w:tr>
      <w:tr w:rsidR="005C29F8" w:rsidRPr="00781112" w14:paraId="16FD0FC0" w14:textId="77777777" w:rsidTr="00AB0D6A">
        <w:trPr>
          <w:trHeight w:val="380"/>
        </w:trPr>
        <w:tc>
          <w:tcPr>
            <w:tcW w:w="1207" w:type="pct"/>
            <w:shd w:val="clear" w:color="auto" w:fill="auto"/>
            <w:vAlign w:val="center"/>
          </w:tcPr>
          <w:p w14:paraId="59885F77" w14:textId="75A8CDFC" w:rsidR="008A3DC6" w:rsidRPr="00781112" w:rsidRDefault="00FB785D">
            <w:pPr>
              <w:jc w:val="center"/>
              <w:rPr>
                <w:rFonts w:cs="Arial"/>
                <w:color w:val="000000" w:themeColor="text1"/>
                <w:szCs w:val="16"/>
              </w:rPr>
            </w:pPr>
            <w:r w:rsidRPr="00781112">
              <w:rPr>
                <w:rFonts w:cs="Arial"/>
                <w:color w:val="000000" w:themeColor="text1"/>
                <w:szCs w:val="16"/>
              </w:rPr>
              <w:t>SY 2023-24 Child Count/Educational Environment Data Groups (EDFacts file spec FS002; Data group 74)</w:t>
            </w:r>
          </w:p>
        </w:tc>
        <w:tc>
          <w:tcPr>
            <w:tcW w:w="1376" w:type="pct"/>
            <w:shd w:val="clear" w:color="auto" w:fill="auto"/>
            <w:vAlign w:val="center"/>
          </w:tcPr>
          <w:p w14:paraId="5FC32D0C" w14:textId="67F32884" w:rsidR="008A3DC6" w:rsidRPr="00781112" w:rsidRDefault="00FB785D">
            <w:pPr>
              <w:jc w:val="center"/>
              <w:rPr>
                <w:rFonts w:cs="Arial"/>
                <w:color w:val="000000" w:themeColor="text1"/>
                <w:szCs w:val="16"/>
              </w:rPr>
            </w:pPr>
            <w:r w:rsidRPr="00781112">
              <w:rPr>
                <w:rFonts w:cs="Arial"/>
                <w:color w:val="000000" w:themeColor="text1"/>
                <w:szCs w:val="16"/>
              </w:rPr>
              <w:t>07/31/2024</w:t>
            </w:r>
          </w:p>
        </w:tc>
        <w:tc>
          <w:tcPr>
            <w:tcW w:w="1544" w:type="pct"/>
            <w:shd w:val="clear" w:color="auto" w:fill="auto"/>
            <w:vAlign w:val="center"/>
          </w:tcPr>
          <w:p w14:paraId="5DA416E0" w14:textId="4230AAAE" w:rsidR="008A3DC6" w:rsidRPr="00781112" w:rsidRDefault="008A3DC6" w:rsidP="00E0321D">
            <w:pPr>
              <w:jc w:val="center"/>
              <w:rPr>
                <w:rFonts w:cs="Arial"/>
                <w:color w:val="000000" w:themeColor="text1"/>
                <w:szCs w:val="16"/>
              </w:rPr>
            </w:pPr>
            <w:r w:rsidRPr="00781112">
              <w:rPr>
                <w:rFonts w:cs="Arial"/>
                <w:color w:val="000000" w:themeColor="text1"/>
                <w:szCs w:val="16"/>
              </w:rPr>
              <w:t xml:space="preserve">c3. Number of children with IEPs aged </w:t>
            </w:r>
            <w:r w:rsidR="00185BA9" w:rsidRPr="00781112">
              <w:rPr>
                <w:rFonts w:cs="Arial"/>
                <w:szCs w:val="16"/>
              </w:rPr>
              <w:t>5 (kindergarten)</w:t>
            </w:r>
            <w:r w:rsidRPr="00781112">
              <w:rPr>
                <w:rFonts w:cs="Arial"/>
                <w:color w:val="000000" w:themeColor="text1"/>
                <w:szCs w:val="16"/>
              </w:rPr>
              <w:t xml:space="preserve"> through 21 in homebound/hospital placements</w:t>
            </w:r>
          </w:p>
        </w:tc>
        <w:tc>
          <w:tcPr>
            <w:tcW w:w="873" w:type="pct"/>
            <w:shd w:val="clear" w:color="auto" w:fill="auto"/>
            <w:vAlign w:val="center"/>
          </w:tcPr>
          <w:p w14:paraId="7B0E7054" w14:textId="49D56445" w:rsidR="008A3DC6" w:rsidRPr="00781112" w:rsidRDefault="002B7490" w:rsidP="00E0321D">
            <w:pPr>
              <w:jc w:val="center"/>
              <w:rPr>
                <w:rFonts w:cs="Arial"/>
                <w:color w:val="000000" w:themeColor="text1"/>
                <w:szCs w:val="16"/>
              </w:rPr>
            </w:pPr>
            <w:r w:rsidRPr="00781112">
              <w:rPr>
                <w:rFonts w:cs="Arial"/>
                <w:color w:val="000000" w:themeColor="text1"/>
                <w:szCs w:val="16"/>
              </w:rPr>
              <w:t>144</w:t>
            </w:r>
          </w:p>
        </w:tc>
      </w:tr>
    </w:tbl>
    <w:p w14:paraId="5475FEBE" w14:textId="3E3663D3" w:rsidR="004A4803" w:rsidRPr="00781112" w:rsidRDefault="004A4803">
      <w:pPr>
        <w:rPr>
          <w:color w:val="000000" w:themeColor="text1"/>
        </w:rPr>
      </w:pPr>
    </w:p>
    <w:p w14:paraId="47A0647A" w14:textId="20BD9700" w:rsidR="00D60B5F" w:rsidRPr="00781112" w:rsidRDefault="00055C7A">
      <w:pPr>
        <w:rPr>
          <w:b/>
          <w:color w:val="000000" w:themeColor="text1"/>
        </w:rPr>
      </w:pPr>
      <w:r w:rsidRPr="00781112">
        <w:rPr>
          <w:b/>
          <w:color w:val="000000" w:themeColor="text1"/>
        </w:rPr>
        <w:t>Select yes if the data reported in this indicator are not the same as the State’s data reported under section 618 of the IDEA.</w:t>
      </w:r>
    </w:p>
    <w:p w14:paraId="7B71CB67" w14:textId="6BBC3C80" w:rsidR="00D60B5F" w:rsidRPr="00781112" w:rsidRDefault="00D60B5F">
      <w:pPr>
        <w:rPr>
          <w:color w:val="000000" w:themeColor="text1"/>
        </w:rPr>
      </w:pPr>
      <w:r w:rsidRPr="00781112">
        <w:rPr>
          <w:color w:val="000000" w:themeColor="text1"/>
        </w:rPr>
        <w:t>NO</w:t>
      </w:r>
    </w:p>
    <w:p w14:paraId="14F4B2C8" w14:textId="77777777" w:rsidR="0037431B" w:rsidRPr="00781112" w:rsidRDefault="0037431B" w:rsidP="004369B2">
      <w:pPr>
        <w:rPr>
          <w:color w:val="000000" w:themeColor="text1"/>
        </w:rPr>
      </w:pPr>
    </w:p>
    <w:p w14:paraId="7EFB6535" w14:textId="182DFD87" w:rsidR="00805DD3" w:rsidRPr="00781112" w:rsidRDefault="0047313F">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5CFFYAPRDATA1"/>
      </w:tblPr>
      <w:tblGrid>
        <w:gridCol w:w="2245"/>
        <w:gridCol w:w="1395"/>
        <w:gridCol w:w="1397"/>
        <w:gridCol w:w="1151"/>
        <w:gridCol w:w="1151"/>
        <w:gridCol w:w="1151"/>
        <w:gridCol w:w="1150"/>
        <w:gridCol w:w="1150"/>
      </w:tblGrid>
      <w:tr w:rsidR="00740CBC" w:rsidRPr="00781112" w14:paraId="0324DF77" w14:textId="01438934" w:rsidTr="00360DD6">
        <w:trPr>
          <w:trHeight w:val="440"/>
          <w:tblHeader/>
        </w:trPr>
        <w:tc>
          <w:tcPr>
            <w:tcW w:w="1040" w:type="pct"/>
            <w:shd w:val="clear" w:color="auto" w:fill="auto"/>
            <w:vAlign w:val="bottom"/>
          </w:tcPr>
          <w:p w14:paraId="0D668D1B" w14:textId="6BB38C6B" w:rsidR="00740CBC" w:rsidRPr="00781112" w:rsidRDefault="00740CBC" w:rsidP="00740CBC">
            <w:pPr>
              <w:jc w:val="center"/>
              <w:rPr>
                <w:b/>
                <w:color w:val="000000" w:themeColor="text1"/>
              </w:rPr>
            </w:pPr>
            <w:r w:rsidRPr="00781112">
              <w:rPr>
                <w:b/>
                <w:color w:val="000000" w:themeColor="text1"/>
              </w:rPr>
              <w:t>Education Environments</w:t>
            </w:r>
          </w:p>
        </w:tc>
        <w:tc>
          <w:tcPr>
            <w:tcW w:w="646" w:type="pct"/>
            <w:shd w:val="clear" w:color="auto" w:fill="auto"/>
            <w:vAlign w:val="bottom"/>
          </w:tcPr>
          <w:p w14:paraId="323FF92F" w14:textId="6010A4DC" w:rsidR="00740CBC" w:rsidRPr="00781112" w:rsidRDefault="00740CBC" w:rsidP="00740CBC">
            <w:pPr>
              <w:jc w:val="center"/>
              <w:rPr>
                <w:b/>
                <w:color w:val="000000" w:themeColor="text1"/>
              </w:rPr>
            </w:pPr>
            <w:r w:rsidRPr="00781112">
              <w:rPr>
                <w:b/>
                <w:color w:val="000000" w:themeColor="text1"/>
              </w:rPr>
              <w:t xml:space="preserve">Number of children with IEPs aged </w:t>
            </w:r>
            <w:r w:rsidRPr="00781112">
              <w:rPr>
                <w:rFonts w:cs="Arial"/>
                <w:b/>
                <w:bCs/>
                <w:szCs w:val="16"/>
              </w:rPr>
              <w:t>5 (kindergarten)</w:t>
            </w:r>
            <w:r w:rsidRPr="00781112">
              <w:rPr>
                <w:b/>
                <w:color w:val="000000" w:themeColor="text1"/>
              </w:rPr>
              <w:t xml:space="preserve"> through 21 served</w:t>
            </w:r>
          </w:p>
        </w:tc>
        <w:tc>
          <w:tcPr>
            <w:tcW w:w="647" w:type="pct"/>
            <w:shd w:val="clear" w:color="auto" w:fill="auto"/>
            <w:vAlign w:val="bottom"/>
          </w:tcPr>
          <w:p w14:paraId="5B4758A3" w14:textId="799168FB" w:rsidR="00740CBC" w:rsidRPr="00781112" w:rsidRDefault="00740CBC" w:rsidP="00740CBC">
            <w:pPr>
              <w:jc w:val="center"/>
              <w:rPr>
                <w:b/>
                <w:color w:val="000000" w:themeColor="text1"/>
              </w:rPr>
            </w:pPr>
            <w:r w:rsidRPr="00781112">
              <w:rPr>
                <w:b/>
                <w:color w:val="000000" w:themeColor="text1"/>
              </w:rPr>
              <w:t xml:space="preserve">Total number of children with IEPs aged </w:t>
            </w:r>
            <w:r w:rsidRPr="00781112">
              <w:rPr>
                <w:rFonts w:cs="Arial"/>
                <w:b/>
                <w:bCs/>
                <w:szCs w:val="16"/>
              </w:rPr>
              <w:t>5 (kindergarten)</w:t>
            </w:r>
            <w:r w:rsidRPr="00781112">
              <w:rPr>
                <w:b/>
                <w:color w:val="000000" w:themeColor="text1"/>
              </w:rPr>
              <w:t xml:space="preserve"> through 21</w:t>
            </w:r>
          </w:p>
        </w:tc>
        <w:tc>
          <w:tcPr>
            <w:tcW w:w="533" w:type="pct"/>
            <w:shd w:val="clear" w:color="auto" w:fill="auto"/>
            <w:vAlign w:val="bottom"/>
          </w:tcPr>
          <w:p w14:paraId="5B2059E0" w14:textId="3763F484" w:rsidR="00740CBC" w:rsidRPr="00CC1061" w:rsidRDefault="00740CBC" w:rsidP="00740CBC">
            <w:pPr>
              <w:jc w:val="center"/>
              <w:rPr>
                <w:b/>
                <w:bCs/>
                <w:color w:val="000000" w:themeColor="text1"/>
              </w:rPr>
            </w:pPr>
            <w:r w:rsidRPr="00CC1061">
              <w:rPr>
                <w:b/>
                <w:bCs/>
              </w:rPr>
              <w:t>FFY 2022 Data</w:t>
            </w:r>
          </w:p>
        </w:tc>
        <w:tc>
          <w:tcPr>
            <w:tcW w:w="533" w:type="pct"/>
            <w:shd w:val="clear" w:color="auto" w:fill="auto"/>
            <w:vAlign w:val="bottom"/>
          </w:tcPr>
          <w:p w14:paraId="320127EA" w14:textId="10A848F1" w:rsidR="00740CBC" w:rsidRPr="00CC1061" w:rsidRDefault="00740CBC" w:rsidP="00740CBC">
            <w:pPr>
              <w:jc w:val="center"/>
              <w:rPr>
                <w:b/>
                <w:bCs/>
                <w:color w:val="000000" w:themeColor="text1"/>
              </w:rPr>
            </w:pPr>
            <w:r w:rsidRPr="00CC1061">
              <w:rPr>
                <w:b/>
                <w:bCs/>
              </w:rPr>
              <w:t>FFY 2023 Target</w:t>
            </w:r>
          </w:p>
        </w:tc>
        <w:tc>
          <w:tcPr>
            <w:tcW w:w="533" w:type="pct"/>
            <w:shd w:val="clear" w:color="auto" w:fill="auto"/>
            <w:vAlign w:val="bottom"/>
          </w:tcPr>
          <w:p w14:paraId="150C2675" w14:textId="230308FD" w:rsidR="00740CBC" w:rsidRPr="00CC1061" w:rsidRDefault="00740CBC" w:rsidP="00740CBC">
            <w:pPr>
              <w:jc w:val="center"/>
              <w:rPr>
                <w:b/>
                <w:bCs/>
                <w:color w:val="000000" w:themeColor="text1"/>
              </w:rPr>
            </w:pPr>
            <w:r w:rsidRPr="00CC1061">
              <w:rPr>
                <w:b/>
                <w:bCs/>
              </w:rPr>
              <w:t>FFY 2023 Data</w:t>
            </w:r>
          </w:p>
        </w:tc>
        <w:tc>
          <w:tcPr>
            <w:tcW w:w="533" w:type="pct"/>
            <w:shd w:val="clear" w:color="auto" w:fill="auto"/>
            <w:vAlign w:val="bottom"/>
          </w:tcPr>
          <w:p w14:paraId="08F715E4" w14:textId="7BB096AF" w:rsidR="00740CBC" w:rsidRPr="00781112" w:rsidRDefault="00740CBC" w:rsidP="00740CBC">
            <w:pPr>
              <w:jc w:val="center"/>
              <w:rPr>
                <w:b/>
                <w:color w:val="000000" w:themeColor="text1"/>
              </w:rPr>
            </w:pPr>
            <w:r w:rsidRPr="00781112">
              <w:rPr>
                <w:b/>
                <w:color w:val="000000" w:themeColor="text1"/>
              </w:rPr>
              <w:t>Status</w:t>
            </w:r>
          </w:p>
        </w:tc>
        <w:tc>
          <w:tcPr>
            <w:tcW w:w="533" w:type="pct"/>
            <w:shd w:val="clear" w:color="auto" w:fill="auto"/>
            <w:vAlign w:val="bottom"/>
          </w:tcPr>
          <w:p w14:paraId="16F336C8" w14:textId="693FB9B1" w:rsidR="00740CBC" w:rsidRPr="00781112" w:rsidRDefault="00740CBC" w:rsidP="00740CBC">
            <w:pPr>
              <w:jc w:val="center"/>
              <w:rPr>
                <w:b/>
                <w:color w:val="000000" w:themeColor="text1"/>
              </w:rPr>
            </w:pPr>
            <w:r w:rsidRPr="00781112">
              <w:rPr>
                <w:b/>
                <w:color w:val="000000" w:themeColor="text1"/>
              </w:rPr>
              <w:t>Slippage</w:t>
            </w:r>
          </w:p>
        </w:tc>
      </w:tr>
      <w:tr w:rsidR="005C29F8" w:rsidRPr="00781112" w14:paraId="0CF0446C" w14:textId="0B89548D" w:rsidTr="00360DD6">
        <w:trPr>
          <w:trHeight w:val="361"/>
        </w:trPr>
        <w:tc>
          <w:tcPr>
            <w:tcW w:w="1040" w:type="pct"/>
            <w:shd w:val="clear" w:color="auto" w:fill="auto"/>
            <w:vAlign w:val="center"/>
          </w:tcPr>
          <w:p w14:paraId="389D79B9" w14:textId="5A7555F3" w:rsidR="00631963" w:rsidRPr="00781112" w:rsidRDefault="00631963" w:rsidP="00631963">
            <w:pPr>
              <w:rPr>
                <w:rFonts w:cs="Arial"/>
                <w:color w:val="000000" w:themeColor="text1"/>
                <w:szCs w:val="16"/>
              </w:rPr>
            </w:pPr>
            <w:r w:rsidRPr="00781112">
              <w:rPr>
                <w:rFonts w:cs="Arial"/>
                <w:color w:val="000000" w:themeColor="text1"/>
                <w:szCs w:val="16"/>
              </w:rPr>
              <w:t>A.</w:t>
            </w:r>
            <w:r w:rsidRPr="00781112">
              <w:rPr>
                <w:rFonts w:cs="Arial"/>
                <w:color w:val="000000" w:themeColor="text1"/>
                <w:szCs w:val="16"/>
                <w:shd w:val="clear" w:color="auto" w:fill="FFFFFF"/>
              </w:rPr>
              <w:t xml:space="preserve">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80% or more of the day</w:t>
            </w:r>
          </w:p>
        </w:tc>
        <w:tc>
          <w:tcPr>
            <w:tcW w:w="646" w:type="pct"/>
            <w:shd w:val="clear" w:color="auto" w:fill="auto"/>
            <w:vAlign w:val="center"/>
          </w:tcPr>
          <w:p w14:paraId="0C538F78" w14:textId="211A39AD" w:rsidR="00631963" w:rsidRPr="00781112" w:rsidRDefault="002B7490" w:rsidP="00A018D4">
            <w:pPr>
              <w:jc w:val="center"/>
              <w:rPr>
                <w:rFonts w:cs="Arial"/>
                <w:color w:val="000000" w:themeColor="text1"/>
                <w:szCs w:val="16"/>
              </w:rPr>
            </w:pPr>
            <w:r w:rsidRPr="00781112">
              <w:rPr>
                <w:rFonts w:cs="Arial"/>
                <w:color w:val="000000" w:themeColor="text1"/>
                <w:szCs w:val="16"/>
              </w:rPr>
              <w:t>63,904</w:t>
            </w:r>
          </w:p>
        </w:tc>
        <w:tc>
          <w:tcPr>
            <w:tcW w:w="647" w:type="pct"/>
            <w:shd w:val="clear" w:color="auto" w:fill="auto"/>
            <w:vAlign w:val="center"/>
          </w:tcPr>
          <w:p w14:paraId="7CB3B03A" w14:textId="4A5E294F" w:rsidR="00631963" w:rsidRPr="00781112" w:rsidRDefault="002B7490" w:rsidP="00A018D4">
            <w:pPr>
              <w:jc w:val="center"/>
              <w:rPr>
                <w:rFonts w:cs="Arial"/>
                <w:color w:val="000000" w:themeColor="text1"/>
                <w:szCs w:val="16"/>
              </w:rPr>
            </w:pPr>
            <w:r w:rsidRPr="00781112">
              <w:rPr>
                <w:rFonts w:cs="Arial"/>
                <w:color w:val="000000" w:themeColor="text1"/>
                <w:szCs w:val="16"/>
              </w:rPr>
              <w:t>82,195</w:t>
            </w:r>
          </w:p>
        </w:tc>
        <w:tc>
          <w:tcPr>
            <w:tcW w:w="533" w:type="pct"/>
            <w:shd w:val="clear" w:color="auto" w:fill="auto"/>
            <w:vAlign w:val="center"/>
          </w:tcPr>
          <w:p w14:paraId="147CA5C5" w14:textId="139C91CB" w:rsidR="00631963" w:rsidRPr="00781112" w:rsidRDefault="002B7490" w:rsidP="00A018D4">
            <w:pPr>
              <w:jc w:val="center"/>
              <w:rPr>
                <w:rFonts w:cs="Arial"/>
                <w:color w:val="000000" w:themeColor="text1"/>
                <w:szCs w:val="16"/>
              </w:rPr>
            </w:pPr>
            <w:r w:rsidRPr="00781112">
              <w:rPr>
                <w:rFonts w:cs="Arial"/>
                <w:color w:val="000000" w:themeColor="text1"/>
                <w:szCs w:val="16"/>
              </w:rPr>
              <w:t>76.99%</w:t>
            </w:r>
          </w:p>
        </w:tc>
        <w:tc>
          <w:tcPr>
            <w:tcW w:w="533" w:type="pct"/>
            <w:shd w:val="clear" w:color="auto" w:fill="auto"/>
            <w:vAlign w:val="center"/>
          </w:tcPr>
          <w:p w14:paraId="497D8B9F" w14:textId="585C0A39" w:rsidR="00631963" w:rsidRPr="00781112" w:rsidRDefault="002B7490" w:rsidP="00A018D4">
            <w:pPr>
              <w:jc w:val="center"/>
              <w:rPr>
                <w:rFonts w:cs="Arial"/>
                <w:color w:val="000000" w:themeColor="text1"/>
                <w:szCs w:val="16"/>
              </w:rPr>
            </w:pPr>
            <w:r w:rsidRPr="00781112">
              <w:rPr>
                <w:rFonts w:cs="Arial"/>
                <w:color w:val="000000" w:themeColor="text1"/>
                <w:szCs w:val="16"/>
              </w:rPr>
              <w:t>77.00%</w:t>
            </w:r>
          </w:p>
        </w:tc>
        <w:tc>
          <w:tcPr>
            <w:tcW w:w="533" w:type="pct"/>
            <w:shd w:val="clear" w:color="auto" w:fill="auto"/>
            <w:vAlign w:val="center"/>
          </w:tcPr>
          <w:p w14:paraId="4B6AC9A3" w14:textId="0D7F6AEF" w:rsidR="00631963" w:rsidRPr="00781112" w:rsidRDefault="002B7490" w:rsidP="00A018D4">
            <w:pPr>
              <w:jc w:val="center"/>
              <w:rPr>
                <w:rFonts w:cs="Arial"/>
                <w:color w:val="000000" w:themeColor="text1"/>
                <w:szCs w:val="16"/>
              </w:rPr>
            </w:pPr>
            <w:r w:rsidRPr="00781112">
              <w:rPr>
                <w:rFonts w:cs="Arial"/>
                <w:color w:val="000000" w:themeColor="text1"/>
                <w:szCs w:val="16"/>
              </w:rPr>
              <w:t>77.75%</w:t>
            </w:r>
          </w:p>
        </w:tc>
        <w:tc>
          <w:tcPr>
            <w:tcW w:w="533" w:type="pct"/>
            <w:shd w:val="clear" w:color="auto" w:fill="auto"/>
            <w:vAlign w:val="center"/>
          </w:tcPr>
          <w:p w14:paraId="0D12A1DA" w14:textId="6C35FF67"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E7D658D" w14:textId="6E94158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FEF5E26" w14:textId="1BAD9686" w:rsidTr="00360DD6">
        <w:trPr>
          <w:trHeight w:val="361"/>
        </w:trPr>
        <w:tc>
          <w:tcPr>
            <w:tcW w:w="1040" w:type="pct"/>
            <w:shd w:val="clear" w:color="auto" w:fill="auto"/>
            <w:vAlign w:val="center"/>
          </w:tcPr>
          <w:p w14:paraId="787D8C24" w14:textId="626F335A" w:rsidR="00631963" w:rsidRPr="00781112" w:rsidRDefault="00631963" w:rsidP="00631963">
            <w:pPr>
              <w:rPr>
                <w:rFonts w:cs="Arial"/>
                <w:color w:val="000000" w:themeColor="text1"/>
                <w:szCs w:val="16"/>
              </w:rPr>
            </w:pPr>
            <w:r w:rsidRPr="00781112">
              <w:rPr>
                <w:rFonts w:cs="Arial"/>
                <w:color w:val="000000" w:themeColor="text1"/>
                <w:szCs w:val="16"/>
                <w:shd w:val="clear" w:color="auto" w:fill="FFFFFF"/>
              </w:rPr>
              <w:t xml:space="preserve">B. Number of children with IEPs aged </w:t>
            </w:r>
            <w:r w:rsidR="00D362C5" w:rsidRPr="00781112">
              <w:rPr>
                <w:rFonts w:cs="Arial"/>
                <w:szCs w:val="16"/>
              </w:rPr>
              <w:t>5 (kindergarten)</w:t>
            </w:r>
            <w:r w:rsidRPr="00781112">
              <w:rPr>
                <w:rFonts w:cs="Arial"/>
                <w:color w:val="000000" w:themeColor="text1"/>
                <w:szCs w:val="16"/>
                <w:shd w:val="clear" w:color="auto" w:fill="FFFFFF"/>
              </w:rPr>
              <w:t xml:space="preserve"> through 21 inside the regular class less than 40% of the day</w:t>
            </w:r>
          </w:p>
        </w:tc>
        <w:tc>
          <w:tcPr>
            <w:tcW w:w="646" w:type="pct"/>
            <w:shd w:val="clear" w:color="auto" w:fill="auto"/>
            <w:vAlign w:val="center"/>
          </w:tcPr>
          <w:p w14:paraId="03764807" w14:textId="322EE6A5" w:rsidR="00631963" w:rsidRPr="00781112" w:rsidRDefault="002B7490" w:rsidP="00A018D4">
            <w:pPr>
              <w:jc w:val="center"/>
              <w:rPr>
                <w:rFonts w:cs="Arial"/>
                <w:color w:val="000000" w:themeColor="text1"/>
                <w:szCs w:val="16"/>
              </w:rPr>
            </w:pPr>
            <w:r w:rsidRPr="00781112">
              <w:rPr>
                <w:rFonts w:cs="Arial"/>
                <w:color w:val="000000" w:themeColor="text1"/>
                <w:szCs w:val="16"/>
              </w:rPr>
              <w:t>7,224</w:t>
            </w:r>
          </w:p>
        </w:tc>
        <w:tc>
          <w:tcPr>
            <w:tcW w:w="647" w:type="pct"/>
            <w:shd w:val="clear" w:color="auto" w:fill="auto"/>
            <w:vAlign w:val="center"/>
          </w:tcPr>
          <w:p w14:paraId="6BB5ED43" w14:textId="72BAFF29" w:rsidR="00631963" w:rsidRPr="00781112" w:rsidRDefault="002B7490" w:rsidP="00A018D4">
            <w:pPr>
              <w:jc w:val="center"/>
              <w:rPr>
                <w:rFonts w:cs="Arial"/>
                <w:color w:val="000000" w:themeColor="text1"/>
                <w:szCs w:val="16"/>
              </w:rPr>
            </w:pPr>
            <w:r w:rsidRPr="00781112">
              <w:rPr>
                <w:rFonts w:cs="Arial"/>
                <w:color w:val="000000" w:themeColor="text1"/>
                <w:szCs w:val="16"/>
              </w:rPr>
              <w:t>82,195</w:t>
            </w:r>
          </w:p>
        </w:tc>
        <w:tc>
          <w:tcPr>
            <w:tcW w:w="533" w:type="pct"/>
            <w:shd w:val="clear" w:color="auto" w:fill="auto"/>
            <w:vAlign w:val="center"/>
          </w:tcPr>
          <w:p w14:paraId="3D5C1070" w14:textId="57DABC44" w:rsidR="00631963" w:rsidRPr="00781112" w:rsidRDefault="002B7490" w:rsidP="00A018D4">
            <w:pPr>
              <w:jc w:val="center"/>
              <w:rPr>
                <w:rFonts w:cs="Arial"/>
                <w:color w:val="000000" w:themeColor="text1"/>
                <w:szCs w:val="16"/>
              </w:rPr>
            </w:pPr>
            <w:r w:rsidRPr="00781112">
              <w:rPr>
                <w:rFonts w:cs="Arial"/>
                <w:color w:val="000000" w:themeColor="text1"/>
                <w:szCs w:val="16"/>
              </w:rPr>
              <w:t>9.08%</w:t>
            </w:r>
          </w:p>
        </w:tc>
        <w:tc>
          <w:tcPr>
            <w:tcW w:w="533" w:type="pct"/>
            <w:shd w:val="clear" w:color="auto" w:fill="auto"/>
            <w:vAlign w:val="center"/>
          </w:tcPr>
          <w:p w14:paraId="02F3CF00" w14:textId="6A81B00C" w:rsidR="00631963" w:rsidRPr="00781112" w:rsidRDefault="002B7490" w:rsidP="00A018D4">
            <w:pPr>
              <w:jc w:val="center"/>
              <w:rPr>
                <w:rFonts w:cs="Arial"/>
                <w:color w:val="000000" w:themeColor="text1"/>
                <w:szCs w:val="16"/>
              </w:rPr>
            </w:pPr>
            <w:r w:rsidRPr="00781112">
              <w:rPr>
                <w:rFonts w:cs="Arial"/>
                <w:color w:val="000000" w:themeColor="text1"/>
                <w:szCs w:val="16"/>
              </w:rPr>
              <w:t>8.40%</w:t>
            </w:r>
          </w:p>
        </w:tc>
        <w:tc>
          <w:tcPr>
            <w:tcW w:w="533" w:type="pct"/>
            <w:shd w:val="clear" w:color="auto" w:fill="auto"/>
            <w:vAlign w:val="center"/>
          </w:tcPr>
          <w:p w14:paraId="07434586" w14:textId="19522680" w:rsidR="00631963" w:rsidRPr="00781112" w:rsidRDefault="002B7490" w:rsidP="00A018D4">
            <w:pPr>
              <w:jc w:val="center"/>
              <w:rPr>
                <w:rFonts w:cs="Arial"/>
                <w:color w:val="000000" w:themeColor="text1"/>
                <w:szCs w:val="16"/>
              </w:rPr>
            </w:pPr>
            <w:r w:rsidRPr="00781112">
              <w:rPr>
                <w:rFonts w:cs="Arial"/>
                <w:color w:val="000000" w:themeColor="text1"/>
                <w:szCs w:val="16"/>
              </w:rPr>
              <w:t>8.79%</w:t>
            </w:r>
          </w:p>
        </w:tc>
        <w:tc>
          <w:tcPr>
            <w:tcW w:w="533" w:type="pct"/>
            <w:shd w:val="clear" w:color="auto" w:fill="auto"/>
            <w:vAlign w:val="center"/>
          </w:tcPr>
          <w:p w14:paraId="59BFCAE8" w14:textId="7F9BACFA" w:rsidR="00631963"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533" w:type="pct"/>
            <w:shd w:val="clear" w:color="auto" w:fill="auto"/>
            <w:vAlign w:val="center"/>
          </w:tcPr>
          <w:p w14:paraId="6D7448AA" w14:textId="1247E0AB"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18A60D9F" w14:textId="211489DF" w:rsidTr="00360DD6">
        <w:trPr>
          <w:trHeight w:val="361"/>
        </w:trPr>
        <w:tc>
          <w:tcPr>
            <w:tcW w:w="1040" w:type="pct"/>
            <w:shd w:val="clear" w:color="auto" w:fill="auto"/>
            <w:vAlign w:val="center"/>
          </w:tcPr>
          <w:p w14:paraId="0B4BA19D" w14:textId="5F11E8FF" w:rsidR="00631963" w:rsidRPr="00781112" w:rsidRDefault="00631963" w:rsidP="00631963">
            <w:pPr>
              <w:pStyle w:val="Explanation"/>
              <w:rPr>
                <w:rFonts w:cs="Arial"/>
                <w:color w:val="000000" w:themeColor="text1"/>
                <w:szCs w:val="16"/>
              </w:rPr>
            </w:pPr>
            <w:r w:rsidRPr="00781112">
              <w:rPr>
                <w:rFonts w:cs="Arial"/>
                <w:i w:val="0"/>
                <w:color w:val="000000" w:themeColor="text1"/>
                <w:szCs w:val="16"/>
                <w:shd w:val="clear" w:color="auto" w:fill="FFFFFF"/>
              </w:rPr>
              <w:lastRenderedPageBreak/>
              <w:t xml:space="preserve">C. Number of children with IEPs aged 5 (kindergarten) through 21 inside separate schools, residential facilities, or homebound/hospital placements </w:t>
            </w:r>
            <w:r w:rsidR="00163FA7" w:rsidRPr="00781112">
              <w:rPr>
                <w:rFonts w:cs="Arial"/>
                <w:color w:val="000000" w:themeColor="text1"/>
                <w:szCs w:val="16"/>
              </w:rPr>
              <w:t>[</w:t>
            </w:r>
            <w:r w:rsidRPr="00781112">
              <w:rPr>
                <w:rFonts w:cs="Arial"/>
                <w:color w:val="000000" w:themeColor="text1"/>
                <w:szCs w:val="16"/>
              </w:rPr>
              <w:t>c1+c2+c3</w:t>
            </w:r>
            <w:r w:rsidR="00163FA7" w:rsidRPr="00781112">
              <w:rPr>
                <w:rFonts w:cs="Arial"/>
                <w:color w:val="000000" w:themeColor="text1"/>
                <w:szCs w:val="16"/>
              </w:rPr>
              <w:t>]</w:t>
            </w:r>
          </w:p>
        </w:tc>
        <w:tc>
          <w:tcPr>
            <w:tcW w:w="646" w:type="pct"/>
            <w:shd w:val="clear" w:color="auto" w:fill="auto"/>
            <w:vAlign w:val="center"/>
          </w:tcPr>
          <w:p w14:paraId="6F83B928" w14:textId="3C12179B" w:rsidR="00631963" w:rsidRPr="00781112" w:rsidRDefault="002B7490" w:rsidP="00A018D4">
            <w:pPr>
              <w:jc w:val="center"/>
              <w:rPr>
                <w:rFonts w:cs="Arial"/>
                <w:color w:val="000000" w:themeColor="text1"/>
                <w:szCs w:val="16"/>
              </w:rPr>
            </w:pPr>
            <w:r w:rsidRPr="00781112">
              <w:rPr>
                <w:rFonts w:cs="Arial"/>
                <w:color w:val="000000" w:themeColor="text1"/>
                <w:szCs w:val="16"/>
              </w:rPr>
              <w:t>1,041</w:t>
            </w:r>
          </w:p>
        </w:tc>
        <w:tc>
          <w:tcPr>
            <w:tcW w:w="647" w:type="pct"/>
            <w:shd w:val="clear" w:color="auto" w:fill="auto"/>
            <w:vAlign w:val="center"/>
          </w:tcPr>
          <w:p w14:paraId="2B632B6B" w14:textId="0ADBABA1" w:rsidR="00631963" w:rsidRPr="00781112" w:rsidRDefault="002B7490" w:rsidP="00A018D4">
            <w:pPr>
              <w:jc w:val="center"/>
              <w:rPr>
                <w:rFonts w:cs="Arial"/>
                <w:color w:val="000000" w:themeColor="text1"/>
                <w:szCs w:val="16"/>
              </w:rPr>
            </w:pPr>
            <w:r w:rsidRPr="00781112">
              <w:rPr>
                <w:rFonts w:cs="Arial"/>
                <w:color w:val="000000" w:themeColor="text1"/>
                <w:szCs w:val="16"/>
              </w:rPr>
              <w:t>82,195</w:t>
            </w:r>
          </w:p>
        </w:tc>
        <w:tc>
          <w:tcPr>
            <w:tcW w:w="533" w:type="pct"/>
            <w:shd w:val="clear" w:color="auto" w:fill="auto"/>
            <w:vAlign w:val="center"/>
          </w:tcPr>
          <w:p w14:paraId="16857354" w14:textId="17E80039" w:rsidR="00631963" w:rsidRPr="00781112" w:rsidRDefault="002B7490" w:rsidP="00A018D4">
            <w:pPr>
              <w:jc w:val="center"/>
              <w:rPr>
                <w:rFonts w:cs="Arial"/>
                <w:color w:val="000000" w:themeColor="text1"/>
                <w:szCs w:val="16"/>
              </w:rPr>
            </w:pPr>
            <w:r w:rsidRPr="00781112">
              <w:rPr>
                <w:rFonts w:cs="Arial"/>
                <w:color w:val="000000" w:themeColor="text1"/>
                <w:szCs w:val="16"/>
              </w:rPr>
              <w:t>1.40%</w:t>
            </w:r>
          </w:p>
        </w:tc>
        <w:tc>
          <w:tcPr>
            <w:tcW w:w="533" w:type="pct"/>
            <w:shd w:val="clear" w:color="auto" w:fill="auto"/>
            <w:vAlign w:val="center"/>
          </w:tcPr>
          <w:p w14:paraId="10D1478E" w14:textId="0F36466F" w:rsidR="00631963" w:rsidRPr="00781112" w:rsidRDefault="002B7490" w:rsidP="00A018D4">
            <w:pPr>
              <w:jc w:val="center"/>
              <w:rPr>
                <w:rFonts w:cs="Arial"/>
                <w:color w:val="000000" w:themeColor="text1"/>
                <w:szCs w:val="16"/>
              </w:rPr>
            </w:pPr>
            <w:r w:rsidRPr="00781112">
              <w:rPr>
                <w:rFonts w:cs="Arial"/>
                <w:color w:val="000000" w:themeColor="text1"/>
                <w:szCs w:val="16"/>
              </w:rPr>
              <w:t>1.60%</w:t>
            </w:r>
          </w:p>
        </w:tc>
        <w:tc>
          <w:tcPr>
            <w:tcW w:w="533" w:type="pct"/>
            <w:shd w:val="clear" w:color="auto" w:fill="auto"/>
            <w:vAlign w:val="center"/>
          </w:tcPr>
          <w:p w14:paraId="2E9E2BFC" w14:textId="26FEF90C" w:rsidR="00631963" w:rsidRPr="00781112" w:rsidRDefault="002B7490" w:rsidP="00A018D4">
            <w:pPr>
              <w:jc w:val="center"/>
              <w:rPr>
                <w:rFonts w:cs="Arial"/>
                <w:color w:val="000000" w:themeColor="text1"/>
                <w:szCs w:val="16"/>
              </w:rPr>
            </w:pPr>
            <w:r w:rsidRPr="00781112">
              <w:rPr>
                <w:rFonts w:cs="Arial"/>
                <w:color w:val="000000" w:themeColor="text1"/>
                <w:szCs w:val="16"/>
              </w:rPr>
              <w:t>1.27%</w:t>
            </w:r>
          </w:p>
        </w:tc>
        <w:tc>
          <w:tcPr>
            <w:tcW w:w="533" w:type="pct"/>
            <w:shd w:val="clear" w:color="auto" w:fill="auto"/>
            <w:vAlign w:val="center"/>
          </w:tcPr>
          <w:p w14:paraId="5321D014" w14:textId="1EA51894" w:rsidR="00631963"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33" w:type="pct"/>
            <w:shd w:val="clear" w:color="auto" w:fill="auto"/>
            <w:vAlign w:val="center"/>
          </w:tcPr>
          <w:p w14:paraId="2BFA05A8" w14:textId="3EACA9BA" w:rsidR="00631963"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073B208C" w14:textId="4B79EDF3" w:rsidR="006C575D" w:rsidRPr="00781112" w:rsidRDefault="006C575D" w:rsidP="004369B2">
      <w:pPr>
        <w:rPr>
          <w:b/>
          <w:color w:val="000000" w:themeColor="text1"/>
        </w:rPr>
      </w:pPr>
      <w:r w:rsidRPr="00781112">
        <w:rPr>
          <w:b/>
          <w:color w:val="000000" w:themeColor="text1"/>
        </w:rPr>
        <w:t>Provide additional information about this indicator (optional)</w:t>
      </w:r>
    </w:p>
    <w:p w14:paraId="2F810D98" w14:textId="08328771" w:rsidR="003C308E" w:rsidRPr="00781112" w:rsidRDefault="003C308E" w:rsidP="007D435F">
      <w:pPr>
        <w:rPr>
          <w:rFonts w:cs="Arial"/>
          <w:color w:val="000000" w:themeColor="text1"/>
          <w:szCs w:val="16"/>
        </w:rPr>
      </w:pPr>
    </w:p>
    <w:p w14:paraId="0B7E5CD7" w14:textId="77777777" w:rsidR="004A4803" w:rsidRPr="00781112" w:rsidRDefault="004A4803" w:rsidP="004369B2">
      <w:pPr>
        <w:rPr>
          <w:color w:val="000000" w:themeColor="text1"/>
        </w:rPr>
      </w:pPr>
    </w:p>
    <w:p w14:paraId="68DA7415" w14:textId="0FE711BA" w:rsidR="000A2C83" w:rsidRPr="00781112" w:rsidRDefault="007B5383" w:rsidP="005B40C0">
      <w:pPr>
        <w:pStyle w:val="Heading3"/>
      </w:pPr>
      <w:r w:rsidRPr="00781112">
        <w:t>5</w:t>
      </w:r>
      <w:r w:rsidR="002203FA" w:rsidRPr="00781112">
        <w:t xml:space="preserve"> </w:t>
      </w:r>
      <w:r w:rsidRPr="00781112">
        <w:t xml:space="preserve">- </w:t>
      </w:r>
      <w:r w:rsidR="000A2C83" w:rsidRPr="00781112">
        <w:t>Prior FFY Required Actions</w:t>
      </w:r>
    </w:p>
    <w:p w14:paraId="2C73DADD" w14:textId="6039179B" w:rsidR="00163FA7" w:rsidRPr="00781112" w:rsidRDefault="002B7490" w:rsidP="000A2C83">
      <w:pPr>
        <w:rPr>
          <w:rFonts w:cs="Arial"/>
          <w:color w:val="000000" w:themeColor="text1"/>
          <w:szCs w:val="16"/>
        </w:rPr>
      </w:pPr>
      <w:r w:rsidRPr="00781112">
        <w:rPr>
          <w:rFonts w:cs="Arial"/>
          <w:color w:val="000000" w:themeColor="text1"/>
          <w:szCs w:val="16"/>
        </w:rPr>
        <w:t>None</w:t>
      </w:r>
    </w:p>
    <w:p w14:paraId="30448C87" w14:textId="2E9FCBE3" w:rsidR="006C575D" w:rsidRPr="00781112" w:rsidRDefault="007B5383" w:rsidP="005B40C0">
      <w:pPr>
        <w:pStyle w:val="Heading3"/>
      </w:pPr>
      <w:r w:rsidRPr="00781112">
        <w:t>5 - OSEP Response</w:t>
      </w:r>
    </w:p>
    <w:p w14:paraId="63E8B575" w14:textId="0FE467D2" w:rsidR="003C308E" w:rsidRPr="00781112" w:rsidRDefault="003C308E" w:rsidP="001F692C">
      <w:pPr>
        <w:rPr>
          <w:rFonts w:cs="Arial"/>
          <w:color w:val="000000" w:themeColor="text1"/>
          <w:szCs w:val="16"/>
        </w:rPr>
      </w:pPr>
    </w:p>
    <w:p w14:paraId="66CCD9C9" w14:textId="435D8999" w:rsidR="006C575D" w:rsidRPr="00781112" w:rsidRDefault="007B5383" w:rsidP="005B40C0">
      <w:pPr>
        <w:pStyle w:val="Heading3"/>
      </w:pPr>
      <w:r w:rsidRPr="00781112">
        <w:t>5 - Required Actions</w:t>
      </w:r>
    </w:p>
    <w:p w14:paraId="140EB887" w14:textId="21164854" w:rsidR="003C308E" w:rsidRPr="00781112" w:rsidRDefault="003C308E" w:rsidP="001F692C">
      <w:pPr>
        <w:rPr>
          <w:rFonts w:cs="Arial"/>
          <w:color w:val="000000" w:themeColor="text1"/>
          <w:szCs w:val="16"/>
        </w:rPr>
      </w:pPr>
    </w:p>
    <w:p w14:paraId="0AFF9CFF"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35527AAE" w14:textId="1CCE2F0D" w:rsidR="00D21EAA" w:rsidRPr="00781112" w:rsidRDefault="00D21EAA" w:rsidP="005B40C0">
      <w:pPr>
        <w:pStyle w:val="Heading2"/>
      </w:pPr>
      <w:r w:rsidRPr="00781112">
        <w:rPr>
          <w:color w:val="000000" w:themeColor="text1"/>
          <w:sz w:val="22"/>
        </w:rPr>
        <w:lastRenderedPageBreak/>
        <w:t>Indicator 6: Preschool Environments</w:t>
      </w:r>
    </w:p>
    <w:p w14:paraId="0EEB38B7" w14:textId="349AFE17" w:rsidR="00897094" w:rsidRPr="002C274F" w:rsidRDefault="00897094" w:rsidP="002C274F">
      <w:pPr>
        <w:rPr>
          <w:b/>
          <w:bCs/>
          <w:sz w:val="20"/>
          <w:szCs w:val="20"/>
        </w:rPr>
      </w:pPr>
      <w:bookmarkStart w:id="36" w:name="_Toc392159299"/>
      <w:r w:rsidRPr="002C274F">
        <w:rPr>
          <w:b/>
          <w:bCs/>
          <w:sz w:val="20"/>
          <w:szCs w:val="20"/>
        </w:rPr>
        <w:t>Instructions and Measurement</w:t>
      </w:r>
    </w:p>
    <w:p w14:paraId="38394246" w14:textId="27FF79AA" w:rsidR="00CC634E" w:rsidRPr="00781112" w:rsidRDefault="00CC634E" w:rsidP="004369B2">
      <w:pPr>
        <w:rPr>
          <w:color w:val="000000" w:themeColor="text1"/>
        </w:rPr>
      </w:pPr>
      <w:r w:rsidRPr="00781112">
        <w:rPr>
          <w:b/>
          <w:color w:val="000000" w:themeColor="text1"/>
        </w:rPr>
        <w:t xml:space="preserve">Monitoring Priority: </w:t>
      </w:r>
      <w:r w:rsidRPr="00781112">
        <w:rPr>
          <w:color w:val="000000" w:themeColor="text1"/>
        </w:rPr>
        <w:t>FAPE in the LRE</w:t>
      </w:r>
    </w:p>
    <w:p w14:paraId="07B041D6" w14:textId="3EA0507C"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children</w:t>
      </w:r>
      <w:r w:rsidR="00BE028C" w:rsidRPr="00781112">
        <w:rPr>
          <w:rFonts w:cs="Arial"/>
          <w:color w:val="000000" w:themeColor="text1"/>
          <w:szCs w:val="16"/>
        </w:rPr>
        <w:t xml:space="preserve"> </w:t>
      </w:r>
      <w:r w:rsidRPr="00781112">
        <w:rPr>
          <w:rFonts w:cs="Arial"/>
          <w:color w:val="000000" w:themeColor="text1"/>
          <w:szCs w:val="16"/>
        </w:rPr>
        <w:t xml:space="preserve">with IEPs </w:t>
      </w:r>
      <w:r w:rsidR="000B1A1B" w:rsidRPr="00781112">
        <w:rPr>
          <w:rFonts w:cs="Arial"/>
          <w:color w:val="000000" w:themeColor="text1"/>
          <w:szCs w:val="16"/>
        </w:rPr>
        <w:t xml:space="preserve">aged 3, 4, and aged 5 who are enrolled in a preschool program </w:t>
      </w:r>
      <w:r w:rsidRPr="00781112">
        <w:rPr>
          <w:rFonts w:cs="Arial"/>
          <w:color w:val="000000" w:themeColor="text1"/>
          <w:szCs w:val="16"/>
        </w:rPr>
        <w:t>attending a:</w:t>
      </w:r>
    </w:p>
    <w:p w14:paraId="0FDA7062" w14:textId="4CA83104" w:rsidR="00CC634E" w:rsidRPr="00781112" w:rsidRDefault="005F3399" w:rsidP="006A01BD">
      <w:pPr>
        <w:ind w:left="720"/>
        <w:rPr>
          <w:rFonts w:cs="Arial"/>
          <w:color w:val="000000" w:themeColor="text1"/>
          <w:szCs w:val="16"/>
        </w:rPr>
      </w:pPr>
      <w:r w:rsidRPr="00781112">
        <w:rPr>
          <w:rFonts w:cs="Arial"/>
          <w:color w:val="000000" w:themeColor="text1"/>
          <w:szCs w:val="16"/>
        </w:rPr>
        <w:t>A. Regular early childhood program and receiving the majority of special education and related services in the regular early childhood program; and</w:t>
      </w:r>
    </w:p>
    <w:p w14:paraId="4A161793" w14:textId="5A062A32" w:rsidR="00CC634E" w:rsidRPr="00781112" w:rsidRDefault="005F3399" w:rsidP="006A01BD">
      <w:pPr>
        <w:ind w:firstLine="720"/>
        <w:rPr>
          <w:rFonts w:cs="Arial"/>
          <w:color w:val="000000" w:themeColor="text1"/>
          <w:szCs w:val="16"/>
        </w:rPr>
      </w:pPr>
      <w:r w:rsidRPr="00781112">
        <w:rPr>
          <w:rFonts w:cs="Arial"/>
          <w:color w:val="000000" w:themeColor="text1"/>
          <w:szCs w:val="16"/>
        </w:rPr>
        <w:t>B. Separate special education class, separate school, or residential facility.</w:t>
      </w:r>
    </w:p>
    <w:p w14:paraId="797114DB" w14:textId="5A0252FB" w:rsidR="003608F9" w:rsidRPr="00781112" w:rsidRDefault="003608F9" w:rsidP="00360DD6">
      <w:pPr>
        <w:ind w:left="360"/>
        <w:rPr>
          <w:rFonts w:cs="Arial"/>
          <w:szCs w:val="16"/>
        </w:rPr>
      </w:pPr>
      <w:r w:rsidRPr="00781112">
        <w:rPr>
          <w:rFonts w:cs="Arial"/>
          <w:color w:val="000000" w:themeColor="text1"/>
          <w:szCs w:val="16"/>
        </w:rPr>
        <w:tab/>
        <w:t xml:space="preserve">C. </w:t>
      </w:r>
      <w:r w:rsidRPr="00781112">
        <w:rPr>
          <w:rFonts w:cs="Arial"/>
          <w:szCs w:val="16"/>
        </w:rPr>
        <w:t>Receiving special education and related services in the home.</w:t>
      </w:r>
    </w:p>
    <w:p w14:paraId="1AC955CF" w14:textId="38EDB6BF" w:rsidR="0011074D" w:rsidRPr="00781112" w:rsidRDefault="0011074D" w:rsidP="0011074D">
      <w:pPr>
        <w:rPr>
          <w:rFonts w:cs="Arial"/>
          <w:color w:val="000000" w:themeColor="text1"/>
          <w:szCs w:val="16"/>
        </w:rPr>
      </w:pPr>
      <w:r w:rsidRPr="00781112">
        <w:rPr>
          <w:rFonts w:cs="Arial"/>
          <w:color w:val="000000" w:themeColor="text1"/>
          <w:szCs w:val="16"/>
        </w:rPr>
        <w:t>(20 U.S.C. 1416(a)(3)(A))</w:t>
      </w:r>
    </w:p>
    <w:p w14:paraId="47FA9AD7" w14:textId="77777777" w:rsidR="005322B8" w:rsidRPr="00781112" w:rsidRDefault="005322B8" w:rsidP="004369B2">
      <w:pPr>
        <w:rPr>
          <w:color w:val="000000" w:themeColor="text1"/>
        </w:rPr>
      </w:pPr>
      <w:r w:rsidRPr="00781112">
        <w:rPr>
          <w:b/>
          <w:color w:val="000000" w:themeColor="text1"/>
        </w:rPr>
        <w:t>Data Source</w:t>
      </w:r>
    </w:p>
    <w:p w14:paraId="7412FE19" w14:textId="736BCFC9" w:rsidR="005322B8" w:rsidRPr="00781112" w:rsidRDefault="005322B8" w:rsidP="00BB7BC9">
      <w:pPr>
        <w:rPr>
          <w:rFonts w:cs="Arial"/>
          <w:color w:val="000000" w:themeColor="text1"/>
          <w:szCs w:val="16"/>
        </w:rPr>
      </w:pPr>
      <w:r w:rsidRPr="00781112">
        <w:rPr>
          <w:rFonts w:cs="Arial"/>
          <w:color w:val="000000" w:themeColor="text1"/>
          <w:szCs w:val="16"/>
        </w:rPr>
        <w:t>S</w:t>
      </w:r>
      <w:r w:rsidRPr="00781112">
        <w:rPr>
          <w:rFonts w:cs="Arial"/>
          <w:color w:val="000000" w:themeColor="text1"/>
          <w:szCs w:val="16"/>
          <w:shd w:val="clear" w:color="auto" w:fill="FFFFFF"/>
        </w:rPr>
        <w:t>ame data as used for reporting to the Department under section 618 of the IDEA, using the definitions in ED</w:t>
      </w:r>
      <w:r w:rsidRPr="00BA3DBE">
        <w:rPr>
          <w:rFonts w:cs="Arial"/>
          <w:i/>
          <w:iCs/>
          <w:color w:val="000000" w:themeColor="text1"/>
          <w:szCs w:val="16"/>
          <w:shd w:val="clear" w:color="auto" w:fill="FFFFFF"/>
        </w:rPr>
        <w:t>Facts</w:t>
      </w:r>
      <w:r w:rsidRPr="00781112">
        <w:rPr>
          <w:rFonts w:cs="Arial"/>
          <w:color w:val="000000" w:themeColor="text1"/>
          <w:szCs w:val="16"/>
          <w:shd w:val="clear" w:color="auto" w:fill="FFFFFF"/>
        </w:rPr>
        <w:t xml:space="preserve"> file specification </w:t>
      </w:r>
      <w:r w:rsidR="00A95280" w:rsidRPr="00781112">
        <w:rPr>
          <w:rFonts w:cs="Arial"/>
          <w:color w:val="000000" w:themeColor="text1"/>
          <w:szCs w:val="16"/>
          <w:shd w:val="clear" w:color="auto" w:fill="FFFFFF"/>
        </w:rPr>
        <w:t>FS</w:t>
      </w:r>
      <w:r w:rsidRPr="00781112">
        <w:rPr>
          <w:rFonts w:cs="Arial"/>
          <w:color w:val="000000" w:themeColor="text1"/>
          <w:szCs w:val="16"/>
          <w:shd w:val="clear" w:color="auto" w:fill="FFFFFF"/>
        </w:rPr>
        <w:t>089.</w:t>
      </w:r>
    </w:p>
    <w:p w14:paraId="17AAF6AD" w14:textId="77777777" w:rsidR="005322B8" w:rsidRPr="00781112" w:rsidRDefault="005322B8" w:rsidP="004369B2">
      <w:pPr>
        <w:rPr>
          <w:color w:val="000000" w:themeColor="text1"/>
        </w:rPr>
      </w:pPr>
      <w:r w:rsidRPr="00781112">
        <w:rPr>
          <w:b/>
          <w:color w:val="000000" w:themeColor="text1"/>
        </w:rPr>
        <w:t>Measurement</w:t>
      </w:r>
    </w:p>
    <w:p w14:paraId="14C60C6A" w14:textId="3C4928BE" w:rsidR="005322B8" w:rsidRPr="00781112" w:rsidRDefault="00724BCB" w:rsidP="00286BDF">
      <w:pPr>
        <w:rPr>
          <w:rFonts w:cs="Arial"/>
          <w:color w:val="000000" w:themeColor="text1"/>
          <w:szCs w:val="16"/>
        </w:rPr>
      </w:pPr>
      <w:r w:rsidRPr="00781112">
        <w:rPr>
          <w:rFonts w:cs="Arial"/>
          <w:color w:val="000000" w:themeColor="text1"/>
          <w:szCs w:val="16"/>
        </w:rPr>
        <w:tab/>
        <w:t>A. Percent</w:t>
      </w:r>
      <w:r w:rsidR="005322B8" w:rsidRPr="00781112">
        <w:rPr>
          <w:rFonts w:cs="Arial"/>
          <w:color w:val="000000" w:themeColor="text1"/>
          <w:szCs w:val="16"/>
          <w:shd w:val="clear" w:color="auto" w:fill="FFFFFF"/>
        </w:rPr>
        <w:t xml:space="preserve"> = </w:t>
      </w:r>
      <w:r w:rsidR="00B2497F" w:rsidRPr="00781112">
        <w:rPr>
          <w:rFonts w:cs="Arial"/>
          <w:color w:val="000000" w:themeColor="text1"/>
          <w:szCs w:val="16"/>
          <w:shd w:val="clear" w:color="auto" w:fill="FFFFFF"/>
        </w:rPr>
        <w:t xml:space="preserve">[(# </w:t>
      </w:r>
      <w:r w:rsidR="005322B8" w:rsidRPr="00781112">
        <w:rPr>
          <w:rFonts w:cs="Arial"/>
          <w:color w:val="000000" w:themeColor="text1"/>
          <w:szCs w:val="16"/>
          <w:shd w:val="clear" w:color="auto" w:fill="FFFFFF"/>
        </w:rPr>
        <w:t>of children age</w:t>
      </w:r>
      <w:r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regular early childhood program and receiving the majority of special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education and related services in the regular early childhood program) divided by the (total # of children age</w:t>
      </w:r>
      <w:r w:rsidR="00774DE0"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774DE0"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w:t>
      </w:r>
      <w:r w:rsidR="00774DE0"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100.</w:t>
      </w:r>
    </w:p>
    <w:p w14:paraId="0CD6EF84" w14:textId="323578A9" w:rsidR="005322B8" w:rsidRPr="00781112" w:rsidRDefault="00774DE0" w:rsidP="00286BDF">
      <w:pPr>
        <w:rPr>
          <w:rFonts w:cs="Arial"/>
          <w:color w:val="000000" w:themeColor="text1"/>
          <w:szCs w:val="16"/>
          <w:shd w:val="clear" w:color="auto" w:fill="FFFFFF"/>
        </w:rPr>
      </w:pPr>
      <w:r w:rsidRPr="00781112">
        <w:rPr>
          <w:rFonts w:cs="Arial"/>
          <w:color w:val="000000" w:themeColor="text1"/>
          <w:szCs w:val="16"/>
        </w:rPr>
        <w:tab/>
        <w:t xml:space="preserve">B. Percent </w:t>
      </w:r>
      <w:r w:rsidR="00DB1150"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 attending a separate special education class, separate school</w:t>
      </w:r>
      <w:r w:rsidR="00D23004">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or residential facility) </w:t>
      </w:r>
      <w:r w:rsidRPr="00781112">
        <w:rPr>
          <w:rFonts w:cs="Arial"/>
          <w:color w:val="000000" w:themeColor="text1"/>
          <w:szCs w:val="16"/>
          <w:shd w:val="clear" w:color="auto" w:fill="FFFFFF"/>
        </w:rPr>
        <w:tab/>
      </w:r>
      <w:r w:rsidR="005322B8" w:rsidRPr="00781112">
        <w:rPr>
          <w:rFonts w:cs="Arial"/>
          <w:color w:val="000000" w:themeColor="text1"/>
          <w:szCs w:val="16"/>
          <w:shd w:val="clear" w:color="auto" w:fill="FFFFFF"/>
        </w:rPr>
        <w:t>divided by the (total # of children age</w:t>
      </w:r>
      <w:r w:rsidR="00633044" w:rsidRPr="00781112">
        <w:rPr>
          <w:rFonts w:cs="Arial"/>
          <w:color w:val="000000" w:themeColor="text1"/>
          <w:szCs w:val="16"/>
          <w:shd w:val="clear" w:color="auto" w:fill="FFFFFF"/>
        </w:rPr>
        <w:t>s</w:t>
      </w:r>
      <w:r w:rsidR="005322B8" w:rsidRPr="00781112">
        <w:rPr>
          <w:rFonts w:cs="Arial"/>
          <w:color w:val="000000" w:themeColor="text1"/>
          <w:szCs w:val="16"/>
          <w:shd w:val="clear" w:color="auto" w:fill="FFFFFF"/>
        </w:rPr>
        <w:t xml:space="preserve"> 3</w:t>
      </w:r>
      <w:r w:rsidR="00633044" w:rsidRPr="00781112">
        <w:rPr>
          <w:rFonts w:cs="Arial"/>
          <w:color w:val="000000" w:themeColor="text1"/>
          <w:szCs w:val="16"/>
          <w:shd w:val="clear" w:color="auto" w:fill="FFFFFF"/>
        </w:rPr>
        <w:t>, 4, and</w:t>
      </w:r>
      <w:r w:rsidR="005322B8" w:rsidRPr="00781112">
        <w:rPr>
          <w:rFonts w:cs="Arial"/>
          <w:color w:val="000000" w:themeColor="text1"/>
          <w:szCs w:val="16"/>
          <w:shd w:val="clear" w:color="auto" w:fill="FFFFFF"/>
        </w:rPr>
        <w:t xml:space="preserve"> 5 with IEPs)</w:t>
      </w:r>
      <w:r w:rsidR="00B2497F" w:rsidRPr="00781112">
        <w:rPr>
          <w:rFonts w:cs="Arial"/>
          <w:color w:val="000000" w:themeColor="text1"/>
          <w:szCs w:val="16"/>
          <w:shd w:val="clear" w:color="auto" w:fill="FFFFFF"/>
        </w:rPr>
        <w:t>]</w:t>
      </w:r>
      <w:r w:rsidR="005322B8" w:rsidRPr="00781112">
        <w:rPr>
          <w:rFonts w:cs="Arial"/>
          <w:color w:val="000000" w:themeColor="text1"/>
          <w:szCs w:val="16"/>
          <w:shd w:val="clear" w:color="auto" w:fill="FFFFFF"/>
        </w:rPr>
        <w:t xml:space="preserve"> times 100.</w:t>
      </w:r>
    </w:p>
    <w:p w14:paraId="48F03EFA" w14:textId="54A1E7EC" w:rsidR="00774DE0" w:rsidRPr="00781112" w:rsidRDefault="002C5A1B" w:rsidP="00360DD6">
      <w:pPr>
        <w:ind w:left="360"/>
        <w:rPr>
          <w:rFonts w:cs="Arial"/>
          <w:szCs w:val="16"/>
        </w:rPr>
      </w:pPr>
      <w:r w:rsidRPr="00781112">
        <w:rPr>
          <w:rFonts w:cs="Arial"/>
          <w:color w:val="000000" w:themeColor="text1"/>
          <w:szCs w:val="16"/>
          <w:shd w:val="clear" w:color="auto" w:fill="FFFFFF"/>
        </w:rPr>
        <w:tab/>
      </w:r>
      <w:r w:rsidR="007E77D6" w:rsidRPr="00781112">
        <w:rPr>
          <w:rFonts w:cs="Arial"/>
          <w:color w:val="000000" w:themeColor="text1"/>
          <w:szCs w:val="16"/>
          <w:shd w:val="clear" w:color="auto" w:fill="FFFFFF"/>
        </w:rPr>
        <w:t xml:space="preserve">C. </w:t>
      </w:r>
      <w:r w:rsidRPr="00781112">
        <w:rPr>
          <w:rFonts w:cs="Arial"/>
          <w:szCs w:val="16"/>
        </w:rPr>
        <w:t xml:space="preserve">Percent = [(# of children ages 3, 4, and 5 with IEPs receiving special education and related services in the home) divided by the (total # of </w:t>
      </w:r>
      <w:r w:rsidRPr="00781112">
        <w:rPr>
          <w:rFonts w:cs="Arial"/>
          <w:szCs w:val="16"/>
        </w:rPr>
        <w:tab/>
        <w:t>children ages 3, 4, and 5 with IEPs)] times 100.</w:t>
      </w:r>
    </w:p>
    <w:p w14:paraId="2CAF467D" w14:textId="77777777" w:rsidR="005322B8" w:rsidRPr="00781112" w:rsidRDefault="005322B8" w:rsidP="004369B2">
      <w:pPr>
        <w:rPr>
          <w:color w:val="000000" w:themeColor="text1"/>
        </w:rPr>
      </w:pPr>
      <w:r w:rsidRPr="00781112">
        <w:rPr>
          <w:b/>
          <w:color w:val="000000" w:themeColor="text1"/>
        </w:rPr>
        <w:t>Instructions</w:t>
      </w:r>
    </w:p>
    <w:p w14:paraId="5B2FF157" w14:textId="6FABC6E7" w:rsidR="005322B8" w:rsidRPr="00781112" w:rsidRDefault="005322B8" w:rsidP="00BB7BC9">
      <w:pPr>
        <w:rPr>
          <w:rFonts w:cs="Arial"/>
          <w:i/>
          <w:iCs/>
          <w:color w:val="000000" w:themeColor="text1"/>
          <w:szCs w:val="16"/>
        </w:rPr>
      </w:pPr>
      <w:r w:rsidRPr="00781112">
        <w:rPr>
          <w:rFonts w:cs="Arial"/>
          <w:i/>
          <w:iCs/>
          <w:color w:val="000000" w:themeColor="text1"/>
          <w:szCs w:val="16"/>
        </w:rPr>
        <w:t>Sampling from the State’s 618 data is not allowed.</w:t>
      </w:r>
    </w:p>
    <w:p w14:paraId="4451A4DB" w14:textId="77777777" w:rsidR="00426EC6" w:rsidRPr="00781112" w:rsidRDefault="00426EC6" w:rsidP="00426EC6">
      <w:pPr>
        <w:rPr>
          <w:rFonts w:cs="Arial"/>
          <w:szCs w:val="16"/>
        </w:rPr>
      </w:pPr>
      <w:r w:rsidRPr="00781112">
        <w:rPr>
          <w:rFonts w:cs="Arial"/>
          <w:szCs w:val="16"/>
        </w:rPr>
        <w:t>States must report five-year-old children with disabilities who are enrolled in preschool programs in this indicator. Five-year-old children with disabilities who are enrolled in kindergarten are included in Indicator 5.</w:t>
      </w:r>
    </w:p>
    <w:p w14:paraId="0B2E3F2D" w14:textId="77777777" w:rsidR="00426EC6" w:rsidRPr="00781112" w:rsidRDefault="00426EC6" w:rsidP="00426EC6">
      <w:pPr>
        <w:rPr>
          <w:rFonts w:cs="Arial"/>
          <w:szCs w:val="16"/>
        </w:rPr>
      </w:pPr>
      <w:r w:rsidRPr="00781112">
        <w:rPr>
          <w:rFonts w:cs="Arial"/>
          <w:szCs w:val="16"/>
        </w:rPr>
        <w:t>States may choose to set one target that is inclusive of children ages 3, 4, and 5, or set individual targets for each age.</w:t>
      </w:r>
    </w:p>
    <w:p w14:paraId="7F82A520" w14:textId="77777777" w:rsidR="00633044" w:rsidRPr="00781112" w:rsidRDefault="00633044" w:rsidP="00633044">
      <w:pPr>
        <w:rPr>
          <w:rFonts w:cs="Arial"/>
          <w:szCs w:val="16"/>
        </w:rPr>
      </w:pPr>
      <w:r w:rsidRPr="00781112">
        <w:rPr>
          <w:rFonts w:cs="Arial"/>
          <w:szCs w:val="16"/>
        </w:rPr>
        <w:t>For Indicator 6C: States are not required to establish a baseline or targets if the number of children receiving special education and related services in the home is less than 10, regardless of whether the State chooses to set one target that is inclusive of children ages 3, 4, and 5, or set individual targets for each age. In a reporting period during which the number of children receiving special education and related services in the home reaches 10 or greater, States are required to develop baseline and targets and report on them in the corresponding SPP/APR.</w:t>
      </w:r>
    </w:p>
    <w:p w14:paraId="676DC96C" w14:textId="77777777" w:rsidR="00085D61" w:rsidRDefault="00633044" w:rsidP="00BB7BC9">
      <w:pPr>
        <w:rPr>
          <w:rFonts w:cs="Arial"/>
          <w:iCs/>
          <w:szCs w:val="16"/>
        </w:rPr>
      </w:pPr>
      <w:r w:rsidRPr="00781112">
        <w:rPr>
          <w:rFonts w:cs="Arial"/>
          <w:szCs w:val="16"/>
        </w:rPr>
        <w:t xml:space="preserve">For Indicator 6C: </w:t>
      </w:r>
      <w:r w:rsidRPr="00781112">
        <w:rPr>
          <w:rFonts w:cs="Arial"/>
          <w:iCs/>
          <w:szCs w:val="16"/>
        </w:rPr>
        <w:t>States may express their targets in a range (</w:t>
      </w:r>
      <w:r w:rsidRPr="00781112">
        <w:rPr>
          <w:rFonts w:cs="Arial"/>
          <w:i/>
          <w:iCs/>
          <w:szCs w:val="16"/>
        </w:rPr>
        <w:t>e.g.</w:t>
      </w:r>
      <w:r w:rsidRPr="00781112">
        <w:rPr>
          <w:rFonts w:cs="Arial"/>
          <w:iCs/>
          <w:szCs w:val="16"/>
        </w:rPr>
        <w:t>, 75-85%).</w:t>
      </w:r>
    </w:p>
    <w:p w14:paraId="594A7ED4" w14:textId="4CE4250A" w:rsidR="005322B8" w:rsidRPr="00781112" w:rsidRDefault="005322B8" w:rsidP="00BB7BC9">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19F07E42" w14:textId="35DC1378" w:rsidR="005322B8" w:rsidRPr="00781112" w:rsidRDefault="005322B8" w:rsidP="00BB7BC9">
      <w:pPr>
        <w:rPr>
          <w:rFonts w:cs="Arial"/>
          <w:color w:val="000000" w:themeColor="text1"/>
          <w:szCs w:val="16"/>
        </w:rPr>
      </w:pPr>
      <w:r w:rsidRPr="00781112">
        <w:rPr>
          <w:rFonts w:cs="Arial"/>
          <w:color w:val="000000" w:themeColor="text1"/>
          <w:szCs w:val="16"/>
        </w:rPr>
        <w:t>If the data reported in this indicator are not the same as the State’s data reported under IDEA section 618, explain.</w:t>
      </w:r>
    </w:p>
    <w:bookmarkEnd w:id="36"/>
    <w:p w14:paraId="1489816D" w14:textId="2F10D57A" w:rsidR="008D3484" w:rsidRPr="00781112" w:rsidRDefault="00C96236" w:rsidP="005B40C0">
      <w:pPr>
        <w:pStyle w:val="Heading3"/>
      </w:pPr>
      <w:r w:rsidRPr="00781112">
        <w:t>6</w:t>
      </w:r>
      <w:r w:rsidR="00C91B94" w:rsidRPr="00781112">
        <w:t xml:space="preserve"> </w:t>
      </w:r>
      <w:r w:rsidRPr="00781112">
        <w:t xml:space="preserve">- </w:t>
      </w:r>
      <w:r w:rsidR="008D3484" w:rsidRPr="00781112">
        <w:t>Indicator Data</w:t>
      </w:r>
    </w:p>
    <w:p w14:paraId="625E607A" w14:textId="77777777" w:rsidR="0091098C" w:rsidRPr="00781112" w:rsidRDefault="0091098C" w:rsidP="004369B2">
      <w:pPr>
        <w:rPr>
          <w:color w:val="000000" w:themeColor="text1"/>
        </w:rPr>
      </w:pPr>
      <w:r w:rsidRPr="00781112">
        <w:rPr>
          <w:b/>
          <w:color w:val="000000" w:themeColor="text1"/>
        </w:rPr>
        <w:t>Not Applicable</w:t>
      </w:r>
    </w:p>
    <w:p w14:paraId="5333465D" w14:textId="3F1EC485" w:rsidR="004B75EC" w:rsidRPr="00781112" w:rsidRDefault="003229FA">
      <w:pPr>
        <w:rPr>
          <w:b/>
          <w:color w:val="000000" w:themeColor="text1"/>
        </w:rPr>
      </w:pPr>
      <w:r w:rsidRPr="00781112">
        <w:rPr>
          <w:b/>
          <w:color w:val="000000" w:themeColor="text1"/>
        </w:rPr>
        <w:t xml:space="preserve">Select yes if this indicator is not applicable. </w:t>
      </w:r>
    </w:p>
    <w:p w14:paraId="2FEE6491" w14:textId="58E763AD" w:rsidR="00043AC9" w:rsidRPr="00781112" w:rsidRDefault="00043AC9" w:rsidP="004369B2">
      <w:pPr>
        <w:rPr>
          <w:rFonts w:cs="Arial"/>
          <w:color w:val="000000" w:themeColor="text1"/>
          <w:szCs w:val="16"/>
        </w:rPr>
      </w:pPr>
      <w:r w:rsidRPr="00781112">
        <w:rPr>
          <w:rFonts w:cs="Arial"/>
          <w:color w:val="000000" w:themeColor="text1"/>
          <w:szCs w:val="16"/>
        </w:rPr>
        <w:t>NO</w:t>
      </w:r>
    </w:p>
    <w:p w14:paraId="1E57959E" w14:textId="77777777" w:rsidR="00AE3B11" w:rsidRPr="00781112" w:rsidRDefault="00AE3B11" w:rsidP="002441FF">
      <w:pPr>
        <w:rPr>
          <w:color w:val="000000" w:themeColor="text1"/>
        </w:rPr>
      </w:pPr>
    </w:p>
    <w:p w14:paraId="2DFC3658" w14:textId="63E75FBF" w:rsidR="006309D0" w:rsidRPr="00781112" w:rsidRDefault="006309D0" w:rsidP="006309D0">
      <w:pPr>
        <w:rPr>
          <w:b/>
          <w:color w:val="000000" w:themeColor="text1"/>
        </w:rPr>
      </w:pPr>
      <w:r w:rsidRPr="00781112">
        <w:rPr>
          <w:b/>
          <w:color w:val="000000" w:themeColor="text1"/>
        </w:rPr>
        <w:t>Historical Data (Inclusive) – 6A, 6B, 6C</w:t>
      </w:r>
    </w:p>
    <w:tbl>
      <w:tblPr>
        <w:tblW w:w="45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HISTDATA"/>
      </w:tblPr>
      <w:tblGrid>
        <w:gridCol w:w="625"/>
        <w:gridCol w:w="1036"/>
        <w:gridCol w:w="1618"/>
        <w:gridCol w:w="1619"/>
        <w:gridCol w:w="1618"/>
        <w:gridCol w:w="1619"/>
        <w:gridCol w:w="1619"/>
      </w:tblGrid>
      <w:tr w:rsidR="001F2C34" w:rsidRPr="00781112" w14:paraId="10B8D4E0" w14:textId="65C4ABC5" w:rsidTr="005F5FE9">
        <w:trPr>
          <w:trHeight w:val="485"/>
        </w:trPr>
        <w:tc>
          <w:tcPr>
            <w:tcW w:w="625" w:type="dxa"/>
            <w:tcBorders>
              <w:top w:val="single" w:sz="4" w:space="0" w:color="auto"/>
              <w:left w:val="single" w:sz="4" w:space="0" w:color="auto"/>
              <w:bottom w:val="single" w:sz="4" w:space="0" w:color="auto"/>
              <w:right w:val="single" w:sz="4" w:space="0" w:color="auto"/>
            </w:tcBorders>
            <w:shd w:val="clear" w:color="auto" w:fill="auto"/>
          </w:tcPr>
          <w:p w14:paraId="2D5DFCFC" w14:textId="199152DC"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Part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195DB54" w14:textId="77777777"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FFY</w:t>
            </w:r>
          </w:p>
        </w:tc>
        <w:tc>
          <w:tcPr>
            <w:tcW w:w="1618" w:type="dxa"/>
            <w:tcBorders>
              <w:top w:val="single" w:sz="4" w:space="0" w:color="auto"/>
              <w:left w:val="single" w:sz="4" w:space="0" w:color="auto"/>
              <w:bottom w:val="single" w:sz="4" w:space="0" w:color="auto"/>
              <w:right w:val="single" w:sz="4" w:space="0" w:color="auto"/>
            </w:tcBorders>
            <w:shd w:val="clear" w:color="auto" w:fill="auto"/>
            <w:hideMark/>
          </w:tcPr>
          <w:p w14:paraId="6D0BD013" w14:textId="2E725702"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2018</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93A4955" w14:textId="7857A3E8"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2019</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C1C44EE" w14:textId="0FBA6B8E"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2020</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738D2C75" w14:textId="09B1260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2021</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09EF8815" w14:textId="0E900FD9" w:rsidR="001F2C34" w:rsidRPr="00781112" w:rsidRDefault="001F2C34" w:rsidP="0011074D">
            <w:pPr>
              <w:spacing w:line="276" w:lineRule="auto"/>
              <w:jc w:val="center"/>
              <w:rPr>
                <w:rFonts w:cs="Arial"/>
                <w:b/>
                <w:color w:val="000000" w:themeColor="text1"/>
                <w:szCs w:val="16"/>
              </w:rPr>
            </w:pPr>
            <w:r w:rsidRPr="00781112">
              <w:rPr>
                <w:rFonts w:cs="Arial"/>
                <w:b/>
                <w:color w:val="000000" w:themeColor="text1"/>
                <w:szCs w:val="16"/>
              </w:rPr>
              <w:t>2022</w:t>
            </w:r>
          </w:p>
        </w:tc>
      </w:tr>
      <w:tr w:rsidR="001F2C34" w:rsidRPr="00781112" w14:paraId="12643853" w14:textId="714409A9"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1DCB50CC"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8A73" w14:textId="4E273194"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5D572D5A" w14:textId="187A2156" w:rsidR="001F2C34" w:rsidRPr="00781112" w:rsidRDefault="001F2C34" w:rsidP="00A018D4">
            <w:pPr>
              <w:jc w:val="center"/>
              <w:rPr>
                <w:rFonts w:cs="Arial"/>
                <w:color w:val="000000" w:themeColor="text1"/>
                <w:szCs w:val="16"/>
              </w:rPr>
            </w:pPr>
            <w:r w:rsidRPr="00781112">
              <w:rPr>
                <w:rFonts w:cs="Arial"/>
                <w:color w:val="000000" w:themeColor="text1"/>
                <w:szCs w:val="16"/>
              </w:rPr>
              <w:t>36.00%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473ABC9" w14:textId="69DF669C" w:rsidR="001F2C34" w:rsidRPr="00781112" w:rsidRDefault="001F2C34" w:rsidP="00A018D4">
            <w:pPr>
              <w:jc w:val="center"/>
              <w:rPr>
                <w:rFonts w:cs="Arial"/>
                <w:color w:val="000000" w:themeColor="text1"/>
                <w:szCs w:val="16"/>
              </w:rPr>
            </w:pPr>
            <w:r w:rsidRPr="00781112">
              <w:rPr>
                <w:rFonts w:cs="Arial"/>
                <w:color w:val="000000" w:themeColor="text1"/>
                <w:szCs w:val="16"/>
              </w:rPr>
              <w:t>36.00%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49232E9" w14:textId="6EBFCFBD" w:rsidR="001F2C34" w:rsidRPr="00781112" w:rsidRDefault="001F2C34" w:rsidP="00A018D4">
            <w:pPr>
              <w:jc w:val="center"/>
              <w:rPr>
                <w:rFonts w:cs="Arial"/>
                <w:color w:val="000000" w:themeColor="text1"/>
                <w:szCs w:val="16"/>
              </w:rPr>
            </w:pPr>
            <w:r w:rsidRPr="00781112">
              <w:rPr>
                <w:rFonts w:cs="Arial"/>
                <w:color w:val="000000" w:themeColor="text1"/>
                <w:szCs w:val="16"/>
              </w:rPr>
              <w:t>48.16%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7B7D5E8" w14:textId="6AF11356" w:rsidR="001F2C34" w:rsidRPr="00781112" w:rsidRDefault="001F2C34" w:rsidP="00A018D4">
            <w:pPr>
              <w:jc w:val="center"/>
              <w:rPr>
                <w:rFonts w:cs="Arial"/>
                <w:color w:val="000000" w:themeColor="text1"/>
                <w:szCs w:val="16"/>
              </w:rPr>
            </w:pPr>
            <w:r w:rsidRPr="00781112">
              <w:rPr>
                <w:rFonts w:cs="Arial"/>
                <w:color w:val="000000" w:themeColor="text1"/>
                <w:szCs w:val="16"/>
              </w:rPr>
              <w:t>48.16%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960723" w14:textId="6EE6EB41" w:rsidR="001F2C34" w:rsidRPr="00781112" w:rsidRDefault="001F2C34" w:rsidP="00A018D4">
            <w:pPr>
              <w:jc w:val="center"/>
              <w:rPr>
                <w:rFonts w:cs="Arial"/>
                <w:color w:val="000000" w:themeColor="text1"/>
                <w:szCs w:val="16"/>
              </w:rPr>
            </w:pPr>
            <w:r w:rsidRPr="00781112">
              <w:rPr>
                <w:rFonts w:cs="Arial"/>
                <w:color w:val="000000" w:themeColor="text1"/>
                <w:szCs w:val="16"/>
              </w:rPr>
              <w:t>48.30%</w:t>
            </w:r>
          </w:p>
        </w:tc>
      </w:tr>
      <w:tr w:rsidR="001F2C34" w:rsidRPr="00781112" w14:paraId="24AB409F" w14:textId="3963C8DA" w:rsidTr="005F5FE9">
        <w:trPr>
          <w:trHeight w:val="85"/>
        </w:trPr>
        <w:tc>
          <w:tcPr>
            <w:tcW w:w="625" w:type="dxa"/>
            <w:tcBorders>
              <w:left w:val="single" w:sz="4" w:space="0" w:color="auto"/>
              <w:right w:val="single" w:sz="4" w:space="0" w:color="auto"/>
            </w:tcBorders>
            <w:shd w:val="clear" w:color="auto" w:fill="auto"/>
            <w:vAlign w:val="center"/>
          </w:tcPr>
          <w:p w14:paraId="29D181B3" w14:textId="5F8E2E42"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A</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FC6E"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CB2CE2B" w14:textId="24BBB7A6" w:rsidR="001F2C34" w:rsidRPr="00781112" w:rsidRDefault="001F2C34" w:rsidP="00A018D4">
            <w:pPr>
              <w:jc w:val="center"/>
              <w:rPr>
                <w:rFonts w:cs="Arial"/>
                <w:color w:val="000000" w:themeColor="text1"/>
                <w:szCs w:val="16"/>
              </w:rPr>
            </w:pPr>
            <w:r w:rsidRPr="00781112">
              <w:rPr>
                <w:rFonts w:cs="Arial"/>
                <w:color w:val="000000" w:themeColor="text1"/>
                <w:szCs w:val="16"/>
              </w:rPr>
              <w:t>44.57%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29C2908" w14:textId="5081117A" w:rsidR="001F2C34" w:rsidRPr="00781112" w:rsidRDefault="001F2C34" w:rsidP="00A018D4">
            <w:pPr>
              <w:jc w:val="center"/>
              <w:rPr>
                <w:rFonts w:cs="Arial"/>
                <w:color w:val="000000" w:themeColor="text1"/>
                <w:szCs w:val="16"/>
              </w:rPr>
            </w:pPr>
            <w:r w:rsidRPr="00781112">
              <w:rPr>
                <w:rFonts w:cs="Arial"/>
                <w:color w:val="000000" w:themeColor="text1"/>
                <w:szCs w:val="16"/>
              </w:rPr>
              <w:t>48.16%</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3BDED07A" w14:textId="02885BAD" w:rsidR="001F2C34" w:rsidRPr="00781112" w:rsidRDefault="001F2C34" w:rsidP="00A018D4">
            <w:pPr>
              <w:jc w:val="center"/>
              <w:rPr>
                <w:rFonts w:cs="Arial"/>
                <w:color w:val="000000" w:themeColor="text1"/>
                <w:szCs w:val="16"/>
              </w:rPr>
            </w:pPr>
            <w:r w:rsidRPr="00781112">
              <w:rPr>
                <w:rFonts w:cs="Arial"/>
                <w:color w:val="000000" w:themeColor="text1"/>
                <w:szCs w:val="16"/>
              </w:rPr>
              <w:t>38.04%</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6DF0B77B" w14:textId="4431B3F8" w:rsidR="001F2C34" w:rsidRPr="00781112" w:rsidRDefault="001F2C34" w:rsidP="00A018D4">
            <w:pPr>
              <w:jc w:val="center"/>
              <w:rPr>
                <w:rFonts w:cs="Arial"/>
                <w:color w:val="000000" w:themeColor="text1"/>
                <w:szCs w:val="16"/>
              </w:rPr>
            </w:pPr>
            <w:r w:rsidRPr="00781112">
              <w:rPr>
                <w:rFonts w:cs="Arial"/>
                <w:color w:val="000000" w:themeColor="text1"/>
                <w:szCs w:val="16"/>
              </w:rPr>
              <w:t>46.82%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6BBCE63" w14:textId="41D20CCF" w:rsidR="001F2C34" w:rsidRPr="00781112" w:rsidRDefault="001F2C34" w:rsidP="00A018D4">
            <w:pPr>
              <w:jc w:val="center"/>
              <w:rPr>
                <w:rFonts w:cs="Arial"/>
                <w:color w:val="000000" w:themeColor="text1"/>
                <w:szCs w:val="16"/>
              </w:rPr>
            </w:pPr>
            <w:r w:rsidRPr="00781112">
              <w:rPr>
                <w:rFonts w:cs="Arial"/>
                <w:color w:val="000000" w:themeColor="text1"/>
                <w:szCs w:val="16"/>
              </w:rPr>
              <w:t>52.94%</w:t>
            </w:r>
          </w:p>
        </w:tc>
      </w:tr>
      <w:tr w:rsidR="001F2C34" w:rsidRPr="00781112" w14:paraId="734556E7" w14:textId="7880148D" w:rsidTr="005F5FE9">
        <w:trPr>
          <w:trHeight w:val="357"/>
        </w:trPr>
        <w:tc>
          <w:tcPr>
            <w:tcW w:w="625" w:type="dxa"/>
            <w:tcBorders>
              <w:top w:val="single" w:sz="4" w:space="0" w:color="auto"/>
              <w:left w:val="single" w:sz="4" w:space="0" w:color="auto"/>
              <w:right w:val="single" w:sz="4" w:space="0" w:color="auto"/>
            </w:tcBorders>
            <w:shd w:val="clear" w:color="auto" w:fill="auto"/>
            <w:vAlign w:val="center"/>
          </w:tcPr>
          <w:p w14:paraId="58DAD373" w14:textId="77777777" w:rsidR="001F2C34" w:rsidRPr="00781112" w:rsidRDefault="001F2C34">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70F3" w14:textId="4BE0D72F"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AF8D8D8" w14:textId="73E1A0AF" w:rsidR="001F2C34" w:rsidRPr="00781112" w:rsidRDefault="001F2C34" w:rsidP="00A018D4">
            <w:pPr>
              <w:jc w:val="center"/>
              <w:rPr>
                <w:rFonts w:cs="Arial"/>
                <w:color w:val="000000" w:themeColor="text1"/>
                <w:szCs w:val="16"/>
              </w:rPr>
            </w:pPr>
            <w:r w:rsidRPr="00781112">
              <w:rPr>
                <w:rFonts w:cs="Arial"/>
                <w:color w:val="000000" w:themeColor="text1"/>
                <w:szCs w:val="16"/>
              </w:rPr>
              <w:t>23.50%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7A3A3A6" w14:textId="38FA47E9" w:rsidR="001F2C34" w:rsidRPr="00781112" w:rsidRDefault="001F2C34" w:rsidP="00A018D4">
            <w:pPr>
              <w:jc w:val="center"/>
              <w:rPr>
                <w:rFonts w:cs="Arial"/>
                <w:color w:val="000000" w:themeColor="text1"/>
                <w:szCs w:val="16"/>
              </w:rPr>
            </w:pPr>
            <w:r w:rsidRPr="00781112">
              <w:rPr>
                <w:rFonts w:cs="Arial"/>
                <w:color w:val="000000" w:themeColor="text1"/>
                <w:szCs w:val="16"/>
              </w:rPr>
              <w:t>23.50%</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BC9CE3A" w14:textId="269EBDC7" w:rsidR="001F2C34" w:rsidRPr="00781112" w:rsidRDefault="001F2C34" w:rsidP="00A018D4">
            <w:pPr>
              <w:jc w:val="center"/>
              <w:rPr>
                <w:rFonts w:cs="Arial"/>
                <w:color w:val="000000" w:themeColor="text1"/>
                <w:szCs w:val="16"/>
              </w:rPr>
            </w:pPr>
            <w:r w:rsidRPr="00781112">
              <w:rPr>
                <w:rFonts w:cs="Arial"/>
                <w:color w:val="000000" w:themeColor="text1"/>
                <w:szCs w:val="16"/>
              </w:rPr>
              <w:t>24.52%</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7F96662" w14:textId="3E673D09" w:rsidR="001F2C34" w:rsidRPr="00781112" w:rsidRDefault="001F2C34">
            <w:pPr>
              <w:jc w:val="center"/>
              <w:rPr>
                <w:color w:val="000000" w:themeColor="text1"/>
              </w:rPr>
            </w:pPr>
            <w:r w:rsidRPr="00781112">
              <w:rPr>
                <w:color w:val="000000" w:themeColor="text1"/>
              </w:rPr>
              <w:t>23.50%</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5D972E0" w14:textId="0A302924" w:rsidR="001F2C34" w:rsidRPr="00781112" w:rsidRDefault="001F2C34" w:rsidP="00A018D4">
            <w:pPr>
              <w:jc w:val="center"/>
              <w:rPr>
                <w:rFonts w:cs="Arial"/>
                <w:color w:val="000000" w:themeColor="text1"/>
                <w:szCs w:val="16"/>
              </w:rPr>
            </w:pPr>
            <w:r w:rsidRPr="00781112">
              <w:rPr>
                <w:rFonts w:cs="Arial"/>
                <w:color w:val="000000" w:themeColor="text1"/>
                <w:szCs w:val="16"/>
              </w:rPr>
              <w:t>23.00%</w:t>
            </w:r>
          </w:p>
        </w:tc>
      </w:tr>
      <w:tr w:rsidR="001F2C34" w:rsidRPr="00781112" w14:paraId="3B42BE2A" w14:textId="601B062F" w:rsidTr="005F5FE9">
        <w:trPr>
          <w:trHeight w:val="85"/>
        </w:trPr>
        <w:tc>
          <w:tcPr>
            <w:tcW w:w="625" w:type="dxa"/>
            <w:tcBorders>
              <w:left w:val="single" w:sz="4" w:space="0" w:color="auto"/>
              <w:right w:val="single" w:sz="4" w:space="0" w:color="auto"/>
            </w:tcBorders>
            <w:shd w:val="clear" w:color="auto" w:fill="auto"/>
            <w:vAlign w:val="center"/>
          </w:tcPr>
          <w:p w14:paraId="4623D633" w14:textId="276C317C" w:rsidR="001F2C34" w:rsidRPr="00781112" w:rsidRDefault="001F2C34" w:rsidP="004369B2">
            <w:pPr>
              <w:spacing w:line="276" w:lineRule="auto"/>
              <w:jc w:val="center"/>
              <w:rPr>
                <w:rFonts w:cs="Arial"/>
                <w:b/>
                <w:bCs/>
                <w:color w:val="000000" w:themeColor="text1"/>
                <w:szCs w:val="16"/>
              </w:rPr>
            </w:pPr>
            <w:r w:rsidRPr="00781112">
              <w:rPr>
                <w:rFonts w:cs="Arial"/>
                <w:b/>
                <w:bCs/>
                <w:color w:val="000000" w:themeColor="text1"/>
                <w:szCs w:val="16"/>
              </w:rPr>
              <w:t>B</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96DA" w14:textId="77777777" w:rsidR="001F2C34" w:rsidRPr="00781112" w:rsidRDefault="001F2C34"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15D90031" w14:textId="3012CDE0" w:rsidR="001F2C34" w:rsidRPr="00781112" w:rsidRDefault="001F2C34" w:rsidP="00A018D4">
            <w:pPr>
              <w:jc w:val="center"/>
              <w:rPr>
                <w:rFonts w:cs="Arial"/>
                <w:color w:val="000000" w:themeColor="text1"/>
                <w:szCs w:val="16"/>
              </w:rPr>
            </w:pPr>
            <w:r w:rsidRPr="00781112">
              <w:rPr>
                <w:rFonts w:cs="Arial"/>
                <w:color w:val="000000" w:themeColor="text1"/>
                <w:szCs w:val="16"/>
              </w:rPr>
              <w:t>19.17%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0E906DB" w14:textId="5C70E2DD" w:rsidR="001F2C34" w:rsidRPr="00781112" w:rsidRDefault="001F2C34" w:rsidP="00A018D4">
            <w:pPr>
              <w:jc w:val="center"/>
              <w:rPr>
                <w:rFonts w:cs="Arial"/>
                <w:color w:val="000000" w:themeColor="text1"/>
                <w:szCs w:val="16"/>
              </w:rPr>
            </w:pPr>
            <w:r w:rsidRPr="00781112">
              <w:rPr>
                <w:rFonts w:cs="Arial"/>
                <w:color w:val="000000" w:themeColor="text1"/>
                <w:szCs w:val="16"/>
              </w:rPr>
              <w:t>24.52%</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46B8DC18" w14:textId="71BC25FA" w:rsidR="001F2C34" w:rsidRPr="00781112" w:rsidRDefault="001F2C34" w:rsidP="00A018D4">
            <w:pPr>
              <w:jc w:val="center"/>
              <w:rPr>
                <w:rFonts w:cs="Arial"/>
                <w:color w:val="000000" w:themeColor="text1"/>
                <w:szCs w:val="16"/>
              </w:rPr>
            </w:pPr>
            <w:r w:rsidRPr="00781112">
              <w:rPr>
                <w:rFonts w:cs="Arial"/>
                <w:color w:val="000000" w:themeColor="text1"/>
                <w:szCs w:val="16"/>
              </w:rPr>
              <w:t>27.98%</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CE06B12" w14:textId="5A09E506" w:rsidR="001F2C34" w:rsidRPr="00781112" w:rsidRDefault="001F2C34" w:rsidP="00A018D4">
            <w:pPr>
              <w:jc w:val="center"/>
              <w:rPr>
                <w:rFonts w:cs="Arial"/>
                <w:color w:val="000000" w:themeColor="text1"/>
                <w:szCs w:val="16"/>
              </w:rPr>
            </w:pPr>
            <w:r w:rsidRPr="00781112">
              <w:rPr>
                <w:rFonts w:cs="Arial"/>
                <w:color w:val="000000" w:themeColor="text1"/>
                <w:szCs w:val="16"/>
              </w:rPr>
              <w:t>18.77%</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787007" w14:textId="48A40519" w:rsidR="001F2C34" w:rsidRPr="00781112" w:rsidRDefault="001F2C34" w:rsidP="00A018D4">
            <w:pPr>
              <w:jc w:val="center"/>
              <w:rPr>
                <w:rFonts w:cs="Arial"/>
                <w:color w:val="000000" w:themeColor="text1"/>
                <w:szCs w:val="16"/>
              </w:rPr>
            </w:pPr>
            <w:r w:rsidRPr="00781112">
              <w:rPr>
                <w:rFonts w:cs="Arial"/>
                <w:color w:val="000000" w:themeColor="text1"/>
                <w:szCs w:val="16"/>
              </w:rPr>
              <w:t>17.08%</w:t>
            </w:r>
          </w:p>
        </w:tc>
      </w:tr>
      <w:tr w:rsidR="001B1B03" w:rsidRPr="00781112" w14:paraId="44E5410D" w14:textId="77777777" w:rsidTr="005F5FE9">
        <w:trPr>
          <w:trHeight w:val="85"/>
        </w:trPr>
        <w:tc>
          <w:tcPr>
            <w:tcW w:w="625" w:type="dxa"/>
            <w:tcBorders>
              <w:left w:val="single" w:sz="4" w:space="0" w:color="auto"/>
              <w:right w:val="single" w:sz="4" w:space="0" w:color="auto"/>
            </w:tcBorders>
            <w:shd w:val="clear" w:color="auto" w:fill="auto"/>
            <w:vAlign w:val="center"/>
          </w:tcPr>
          <w:p w14:paraId="0EB03788" w14:textId="1AE2298F"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194F252A" w14:textId="3C17C94E"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Target &lt;=</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C517E0C" w14:textId="514D705D"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2D5D5845" w14:textId="1753D905"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71101499" w14:textId="5B7307FE" w:rsidR="001B1B03" w:rsidRPr="00781112" w:rsidRDefault="001B1B03" w:rsidP="001B1B03">
            <w:pPr>
              <w:jc w:val="center"/>
              <w:rPr>
                <w:rFonts w:cs="Arial"/>
                <w:color w:val="000000" w:themeColor="text1"/>
                <w:szCs w:val="16"/>
              </w:rPr>
            </w:pPr>
            <w:r w:rsidRPr="00781112">
              <w:rPr>
                <w:rFonts w:cs="Arial"/>
                <w:color w:val="000000" w:themeColor="text1"/>
                <w:szCs w:val="16"/>
              </w:rPr>
              <w:t>19.95%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10F32101" w14:textId="67E5358E" w:rsidR="001B1B03" w:rsidRPr="00781112" w:rsidRDefault="001B1B03" w:rsidP="001B1B03">
            <w:pPr>
              <w:jc w:val="center"/>
              <w:rPr>
                <w:rFonts w:cs="Arial"/>
                <w:color w:val="000000" w:themeColor="text1"/>
                <w:szCs w:val="16"/>
              </w:rPr>
            </w:pPr>
            <w:r w:rsidRPr="00781112">
              <w:rPr>
                <w:color w:val="000000" w:themeColor="text1"/>
              </w:rPr>
              <w:t>19.95%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5A45DABC" w14:textId="0D50AB3D" w:rsidR="001B1B03" w:rsidRPr="00781112" w:rsidRDefault="001B1B03" w:rsidP="001B1B03">
            <w:pPr>
              <w:jc w:val="center"/>
              <w:rPr>
                <w:rFonts w:cs="Arial"/>
                <w:color w:val="000000" w:themeColor="text1"/>
                <w:szCs w:val="16"/>
              </w:rPr>
            </w:pPr>
            <w:r w:rsidRPr="00781112">
              <w:rPr>
                <w:rFonts w:cs="Arial"/>
                <w:color w:val="000000" w:themeColor="text1"/>
                <w:szCs w:val="16"/>
              </w:rPr>
              <w:t>19.70%</w:t>
            </w:r>
          </w:p>
        </w:tc>
      </w:tr>
      <w:tr w:rsidR="001B1B03" w:rsidRPr="00781112" w14:paraId="66A9CDF0" w14:textId="77777777" w:rsidTr="005F5FE9">
        <w:trPr>
          <w:trHeight w:val="85"/>
        </w:trPr>
        <w:tc>
          <w:tcPr>
            <w:tcW w:w="625" w:type="dxa"/>
            <w:tcBorders>
              <w:left w:val="single" w:sz="4" w:space="0" w:color="auto"/>
              <w:right w:val="single" w:sz="4" w:space="0" w:color="auto"/>
            </w:tcBorders>
            <w:shd w:val="clear" w:color="auto" w:fill="auto"/>
            <w:vAlign w:val="center"/>
          </w:tcPr>
          <w:p w14:paraId="080D6AF5" w14:textId="1EBCBFA2" w:rsidR="001B1B03" w:rsidRPr="00781112" w:rsidRDefault="001B1B03" w:rsidP="001B1B03">
            <w:pPr>
              <w:spacing w:line="276" w:lineRule="auto"/>
              <w:jc w:val="center"/>
              <w:rPr>
                <w:rFonts w:cs="Arial"/>
                <w:b/>
                <w:bCs/>
                <w:color w:val="000000" w:themeColor="text1"/>
                <w:szCs w:val="16"/>
              </w:rPr>
            </w:pPr>
            <w:r>
              <w:rPr>
                <w:rFonts w:cs="Arial"/>
                <w:b/>
                <w:bCs/>
                <w:color w:val="000000" w:themeColor="text1"/>
                <w:szCs w:val="16"/>
              </w:rPr>
              <w:t>C</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05CCEB5C" w14:textId="1BE94F5B" w:rsidR="001B1B03" w:rsidRPr="00781112" w:rsidRDefault="001B1B03" w:rsidP="00BA3DBE">
            <w:pPr>
              <w:spacing w:line="276" w:lineRule="auto"/>
              <w:jc w:val="center"/>
              <w:rPr>
                <w:rFonts w:cs="Arial"/>
                <w:color w:val="000000" w:themeColor="text1"/>
                <w:szCs w:val="16"/>
              </w:rPr>
            </w:pPr>
            <w:r w:rsidRPr="00781112">
              <w:rPr>
                <w:rFonts w:cs="Arial"/>
                <w:color w:val="000000" w:themeColor="text1"/>
                <w:szCs w:val="16"/>
              </w:rPr>
              <w:t>Data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216DDE4C" w14:textId="34636400" w:rsidR="001B1B03" w:rsidRPr="00781112" w:rsidRDefault="001B1B03" w:rsidP="001B1B03">
            <w:pPr>
              <w:jc w:val="center"/>
              <w:rPr>
                <w:rFonts w:cs="Arial"/>
                <w:color w:val="000000" w:themeColor="text1"/>
                <w:szCs w:val="16"/>
              </w:rPr>
            </w:pP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EF5D417" w14:textId="3D38DFCB" w:rsidR="001B1B03" w:rsidRPr="00781112" w:rsidRDefault="001B1B03" w:rsidP="001B1B03">
            <w:pPr>
              <w:jc w:val="center"/>
              <w:rPr>
                <w:rFonts w:cs="Arial"/>
                <w:color w:val="000000" w:themeColor="text1"/>
                <w:szCs w:val="16"/>
              </w:rPr>
            </w:pPr>
          </w:p>
        </w:tc>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07D63EF7" w14:textId="70B517E1" w:rsidR="001B1B03" w:rsidRPr="00781112" w:rsidRDefault="001B1B03" w:rsidP="001B1B03">
            <w:pPr>
              <w:jc w:val="center"/>
              <w:rPr>
                <w:rFonts w:cs="Arial"/>
                <w:color w:val="000000" w:themeColor="text1"/>
                <w:szCs w:val="16"/>
              </w:rPr>
            </w:pPr>
            <w:r w:rsidRPr="00781112">
              <w:rPr>
                <w:rFonts w:cs="Arial"/>
                <w:color w:val="000000" w:themeColor="text1"/>
                <w:szCs w:val="16"/>
              </w:rPr>
              <w:t>19.95%</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413A3D95" w14:textId="4990597A" w:rsidR="001B1B03" w:rsidRPr="00781112" w:rsidRDefault="001B1B03" w:rsidP="001B1B03">
            <w:pPr>
              <w:jc w:val="center"/>
              <w:rPr>
                <w:rFonts w:cs="Arial"/>
                <w:color w:val="000000" w:themeColor="text1"/>
                <w:szCs w:val="16"/>
              </w:rPr>
            </w:pPr>
            <w:r w:rsidRPr="00781112">
              <w:rPr>
                <w:rFonts w:cs="Arial"/>
                <w:color w:val="000000" w:themeColor="text1"/>
                <w:szCs w:val="16"/>
              </w:rPr>
              <w:t>20.06%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72594B47" w14:textId="75BCBF55" w:rsidR="001B1B03" w:rsidRPr="00781112" w:rsidRDefault="001B1B03" w:rsidP="001B1B03">
            <w:pPr>
              <w:jc w:val="center"/>
              <w:rPr>
                <w:rFonts w:cs="Arial"/>
                <w:color w:val="000000" w:themeColor="text1"/>
                <w:szCs w:val="16"/>
              </w:rPr>
            </w:pPr>
            <w:r w:rsidRPr="00781112">
              <w:rPr>
                <w:rFonts w:cs="Arial"/>
                <w:color w:val="000000" w:themeColor="text1"/>
                <w:szCs w:val="16"/>
              </w:rPr>
              <w:t>15.82%</w:t>
            </w:r>
          </w:p>
        </w:tc>
      </w:tr>
    </w:tbl>
    <w:p w14:paraId="057E33A3" w14:textId="77777777" w:rsidR="00AE3B11" w:rsidRDefault="00AE3B11" w:rsidP="004369B2">
      <w:pPr>
        <w:rPr>
          <w:color w:val="000000" w:themeColor="text1"/>
        </w:rPr>
      </w:pPr>
    </w:p>
    <w:p w14:paraId="6FE45EEF" w14:textId="77777777" w:rsidR="00AE3B11" w:rsidRPr="00651552" w:rsidRDefault="00AE3B11" w:rsidP="0059735F">
      <w:pPr>
        <w:rPr>
          <w:bCs/>
          <w:color w:val="000000" w:themeColor="text1"/>
        </w:rPr>
      </w:pPr>
    </w:p>
    <w:p w14:paraId="34B0E047" w14:textId="080D5172" w:rsidR="0059735F" w:rsidRPr="00781112" w:rsidRDefault="0059735F" w:rsidP="0059735F">
      <w:pPr>
        <w:rPr>
          <w:b/>
          <w:color w:val="000000" w:themeColor="text1"/>
        </w:rPr>
      </w:pPr>
      <w:r w:rsidRPr="00781112">
        <w:rPr>
          <w:b/>
          <w:color w:val="000000" w:themeColor="text1"/>
        </w:rPr>
        <w:t xml:space="preserve">Targets: Description of Stakeholder Input </w:t>
      </w:r>
    </w:p>
    <w:p w14:paraId="02A3CB3A" w14:textId="77777777" w:rsidR="0059735F" w:rsidRPr="00781112" w:rsidRDefault="0059735F" w:rsidP="0059735F">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w:t>
      </w:r>
      <w:r w:rsidRPr="00781112">
        <w:rPr>
          <w:rFonts w:cs="Arial"/>
          <w:color w:val="000000" w:themeColor="text1"/>
          <w:szCs w:val="16"/>
        </w:rPr>
        <w:lastRenderedPageBreak/>
        <w:t xml:space="preserve">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137AAC0F" w14:textId="77777777" w:rsidR="0059735F" w:rsidRPr="00781112" w:rsidRDefault="0059735F" w:rsidP="0059735F">
      <w:pPr>
        <w:rPr>
          <w:rFonts w:cs="Arial"/>
          <w:color w:val="000000" w:themeColor="text1"/>
          <w:szCs w:val="16"/>
        </w:rPr>
      </w:pPr>
    </w:p>
    <w:p w14:paraId="0B88D679" w14:textId="77777777" w:rsidR="0059735F" w:rsidRPr="00781112" w:rsidRDefault="0059735F" w:rsidP="004369B2">
      <w:pPr>
        <w:rPr>
          <w:color w:val="000000" w:themeColor="text1"/>
        </w:rPr>
      </w:pPr>
    </w:p>
    <w:p w14:paraId="5CC249BC" w14:textId="12B8F79F" w:rsidR="00AA04BD" w:rsidRPr="00781112" w:rsidRDefault="00AA04BD" w:rsidP="004369B2">
      <w:pPr>
        <w:rPr>
          <w:b/>
          <w:color w:val="000000" w:themeColor="text1"/>
        </w:rPr>
      </w:pPr>
      <w:r w:rsidRPr="00781112">
        <w:rPr>
          <w:b/>
          <w:color w:val="000000" w:themeColor="text1"/>
        </w:rPr>
        <w:t>Targets</w:t>
      </w:r>
    </w:p>
    <w:p w14:paraId="1C259A9C" w14:textId="25371496" w:rsidR="001C2B29" w:rsidRPr="001C443D" w:rsidRDefault="007F67C7" w:rsidP="001C443D">
      <w:pPr>
        <w:rPr>
          <w:b/>
          <w:bCs/>
        </w:rPr>
      </w:pPr>
      <w:r w:rsidRPr="001C443D">
        <w:rPr>
          <w:b/>
          <w:bCs/>
        </w:rPr>
        <w:t xml:space="preserve">Please select if the State wants to set baselines and targets based on individual age ranges (i.e., separate baseline and targets for each age), or inclusive of all children ages 3, 4, and 5. </w:t>
      </w:r>
    </w:p>
    <w:p w14:paraId="0237921B" w14:textId="17150ECF" w:rsidR="00794672" w:rsidRPr="00781112" w:rsidRDefault="00794672" w:rsidP="00794672">
      <w:pPr>
        <w:rPr>
          <w:color w:val="000000" w:themeColor="text1"/>
        </w:rPr>
      </w:pPr>
      <w:r w:rsidRPr="00781112">
        <w:rPr>
          <w:rFonts w:cs="Arial"/>
          <w:color w:val="000000" w:themeColor="text1"/>
          <w:szCs w:val="16"/>
        </w:rPr>
        <w:t>Inclusive Targets</w:t>
      </w:r>
    </w:p>
    <w:p w14:paraId="647A8A68" w14:textId="7712D124" w:rsidR="00794672" w:rsidRPr="001C443D" w:rsidRDefault="00E20E93" w:rsidP="001C443D">
      <w:pPr>
        <w:rPr>
          <w:b/>
          <w:bCs/>
        </w:rPr>
      </w:pPr>
      <w:r w:rsidRPr="001C443D">
        <w:rPr>
          <w:b/>
          <w:bCs/>
        </w:rPr>
        <w:t>Please select if the State wants to use target ranges for 6C.</w:t>
      </w:r>
    </w:p>
    <w:p w14:paraId="4C1CAE3E" w14:textId="29D1D533" w:rsidR="00794672" w:rsidRDefault="00794672" w:rsidP="00794672">
      <w:pPr>
        <w:rPr>
          <w:rFonts w:cs="Arial"/>
          <w:color w:val="000000" w:themeColor="text1"/>
          <w:szCs w:val="16"/>
        </w:rPr>
      </w:pPr>
      <w:r w:rsidRPr="00781112">
        <w:rPr>
          <w:rFonts w:cs="Arial"/>
          <w:color w:val="000000" w:themeColor="text1"/>
          <w:szCs w:val="16"/>
        </w:rPr>
        <w:t>Target Range not used</w:t>
      </w:r>
    </w:p>
    <w:p w14:paraId="5C7F1365" w14:textId="570192EE" w:rsidR="0073461B" w:rsidRDefault="0073461B" w:rsidP="0073461B">
      <w:pPr>
        <w:pStyle w:val="Subhed"/>
        <w:rPr>
          <w:b w:val="0"/>
          <w:bCs/>
          <w:color w:val="C00000"/>
        </w:rPr>
      </w:pPr>
    </w:p>
    <w:p w14:paraId="770D6443" w14:textId="39B3F3FD" w:rsidR="004D796B" w:rsidRPr="00781112" w:rsidRDefault="004D796B" w:rsidP="004369B2">
      <w:pPr>
        <w:rPr>
          <w:color w:val="000000" w:themeColor="text1"/>
        </w:rPr>
      </w:pPr>
    </w:p>
    <w:p w14:paraId="7D77C5FC" w14:textId="77777777" w:rsidR="008C34A2" w:rsidRPr="0075451F" w:rsidRDefault="008C34A2" w:rsidP="008C34A2">
      <w:pPr>
        <w:pStyle w:val="Subhed"/>
        <w:rPr>
          <w:b w:val="0"/>
        </w:rPr>
      </w:pPr>
      <w:r>
        <w:t>Baselines for Inclusive Targets option (A, B, C)</w:t>
      </w:r>
    </w:p>
    <w:tbl>
      <w:tblPr>
        <w:tblW w:w="2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6BASELINEDATAINCL"/>
      </w:tblPr>
      <w:tblGrid>
        <w:gridCol w:w="1436"/>
        <w:gridCol w:w="2025"/>
        <w:gridCol w:w="2025"/>
      </w:tblGrid>
      <w:tr w:rsidR="008C34A2" w:rsidRPr="00781112" w14:paraId="76A746DF" w14:textId="77777777" w:rsidTr="00DF5DC9">
        <w:trPr>
          <w:trHeight w:val="485"/>
          <w:tblHeader/>
        </w:trPr>
        <w:tc>
          <w:tcPr>
            <w:tcW w:w="1436" w:type="dxa"/>
            <w:tcBorders>
              <w:top w:val="single" w:sz="4" w:space="0" w:color="auto"/>
              <w:left w:val="single" w:sz="4" w:space="0" w:color="auto"/>
              <w:bottom w:val="single" w:sz="4" w:space="0" w:color="auto"/>
              <w:right w:val="single" w:sz="4" w:space="0" w:color="auto"/>
            </w:tcBorders>
            <w:shd w:val="clear" w:color="auto" w:fill="auto"/>
          </w:tcPr>
          <w:p w14:paraId="76F354A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Part</w:t>
            </w:r>
          </w:p>
        </w:tc>
        <w:tc>
          <w:tcPr>
            <w:tcW w:w="2025" w:type="dxa"/>
            <w:tcBorders>
              <w:top w:val="single" w:sz="4" w:space="0" w:color="auto"/>
              <w:left w:val="single" w:sz="4" w:space="0" w:color="auto"/>
              <w:bottom w:val="single" w:sz="4" w:space="0" w:color="auto"/>
              <w:right w:val="single" w:sz="4" w:space="0" w:color="auto"/>
            </w:tcBorders>
            <w:shd w:val="clear" w:color="auto" w:fill="auto"/>
          </w:tcPr>
          <w:p w14:paraId="70043BB3"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Year</w:t>
            </w:r>
          </w:p>
        </w:tc>
        <w:tc>
          <w:tcPr>
            <w:tcW w:w="2025" w:type="dxa"/>
            <w:tcBorders>
              <w:top w:val="single" w:sz="4" w:space="0" w:color="auto"/>
              <w:left w:val="single" w:sz="4" w:space="0" w:color="auto"/>
              <w:bottom w:val="single" w:sz="4" w:space="0" w:color="auto"/>
              <w:right w:val="single" w:sz="4" w:space="0" w:color="auto"/>
            </w:tcBorders>
          </w:tcPr>
          <w:p w14:paraId="6D732D8C" w14:textId="77777777" w:rsidR="008C34A2" w:rsidRPr="00781112" w:rsidRDefault="008C34A2" w:rsidP="00DF5DC9">
            <w:pPr>
              <w:spacing w:line="276" w:lineRule="auto"/>
              <w:jc w:val="center"/>
              <w:rPr>
                <w:rFonts w:cs="Arial"/>
                <w:b/>
                <w:color w:val="000000" w:themeColor="text1"/>
                <w:szCs w:val="16"/>
              </w:rPr>
            </w:pPr>
            <w:r w:rsidRPr="00781112">
              <w:rPr>
                <w:rFonts w:cs="Arial"/>
                <w:b/>
                <w:color w:val="000000" w:themeColor="text1"/>
                <w:szCs w:val="16"/>
              </w:rPr>
              <w:t>Baseline Data</w:t>
            </w:r>
          </w:p>
        </w:tc>
      </w:tr>
      <w:tr w:rsidR="008C34A2" w:rsidRPr="00781112" w14:paraId="3EC108E9"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A56D253"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A</w:t>
            </w:r>
          </w:p>
        </w:tc>
        <w:tc>
          <w:tcPr>
            <w:tcW w:w="2025" w:type="dxa"/>
            <w:tcBorders>
              <w:top w:val="single" w:sz="4" w:space="0" w:color="auto"/>
              <w:left w:val="single" w:sz="4" w:space="0" w:color="auto"/>
              <w:right w:val="single" w:sz="4" w:space="0" w:color="auto"/>
            </w:tcBorders>
            <w:shd w:val="clear" w:color="auto" w:fill="auto"/>
          </w:tcPr>
          <w:p w14:paraId="3FCF70A0"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2019</w:t>
            </w:r>
          </w:p>
        </w:tc>
        <w:tc>
          <w:tcPr>
            <w:tcW w:w="2025" w:type="dxa"/>
            <w:tcBorders>
              <w:top w:val="single" w:sz="4" w:space="0" w:color="auto"/>
              <w:left w:val="single" w:sz="4" w:space="0" w:color="auto"/>
              <w:right w:val="single" w:sz="4" w:space="0" w:color="auto"/>
            </w:tcBorders>
          </w:tcPr>
          <w:p w14:paraId="142085FD"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48.16%</w:t>
            </w:r>
          </w:p>
        </w:tc>
      </w:tr>
      <w:tr w:rsidR="008C34A2" w:rsidRPr="00781112" w14:paraId="6C0A9325" w14:textId="77777777" w:rsidTr="00DF5DC9">
        <w:trPr>
          <w:trHeight w:val="357"/>
        </w:trPr>
        <w:tc>
          <w:tcPr>
            <w:tcW w:w="1436" w:type="dxa"/>
            <w:tcBorders>
              <w:top w:val="single" w:sz="4" w:space="0" w:color="auto"/>
              <w:left w:val="single" w:sz="4" w:space="0" w:color="auto"/>
              <w:right w:val="single" w:sz="4" w:space="0" w:color="auto"/>
            </w:tcBorders>
            <w:shd w:val="clear" w:color="auto" w:fill="auto"/>
            <w:vAlign w:val="center"/>
          </w:tcPr>
          <w:p w14:paraId="0E7FAFD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B</w:t>
            </w:r>
          </w:p>
        </w:tc>
        <w:tc>
          <w:tcPr>
            <w:tcW w:w="2025" w:type="dxa"/>
            <w:tcBorders>
              <w:top w:val="single" w:sz="4" w:space="0" w:color="auto"/>
              <w:left w:val="single" w:sz="4" w:space="0" w:color="auto"/>
              <w:right w:val="single" w:sz="4" w:space="0" w:color="auto"/>
            </w:tcBorders>
            <w:shd w:val="clear" w:color="auto" w:fill="auto"/>
          </w:tcPr>
          <w:p w14:paraId="538A3CE6"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2019</w:t>
            </w:r>
          </w:p>
        </w:tc>
        <w:tc>
          <w:tcPr>
            <w:tcW w:w="2025" w:type="dxa"/>
            <w:tcBorders>
              <w:top w:val="single" w:sz="4" w:space="0" w:color="auto"/>
              <w:left w:val="single" w:sz="4" w:space="0" w:color="auto"/>
              <w:right w:val="single" w:sz="4" w:space="0" w:color="auto"/>
            </w:tcBorders>
          </w:tcPr>
          <w:p w14:paraId="794F234F"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24.52%</w:t>
            </w:r>
          </w:p>
        </w:tc>
      </w:tr>
      <w:tr w:rsidR="008C34A2" w:rsidRPr="00781112" w14:paraId="2DFA9728" w14:textId="77777777" w:rsidTr="00DF5DC9">
        <w:trPr>
          <w:trHeight w:val="85"/>
        </w:trPr>
        <w:tc>
          <w:tcPr>
            <w:tcW w:w="1436" w:type="dxa"/>
            <w:tcBorders>
              <w:left w:val="single" w:sz="4" w:space="0" w:color="auto"/>
              <w:right w:val="single" w:sz="4" w:space="0" w:color="auto"/>
            </w:tcBorders>
            <w:shd w:val="clear" w:color="auto" w:fill="auto"/>
            <w:vAlign w:val="center"/>
          </w:tcPr>
          <w:p w14:paraId="6CBBDF9C" w14:textId="77777777" w:rsidR="008C34A2" w:rsidRPr="00781112" w:rsidRDefault="008C34A2" w:rsidP="00DF5DC9">
            <w:pPr>
              <w:spacing w:line="276" w:lineRule="auto"/>
              <w:jc w:val="center"/>
              <w:rPr>
                <w:rFonts w:cs="Arial"/>
                <w:b/>
                <w:bCs/>
                <w:color w:val="000000" w:themeColor="text1"/>
                <w:szCs w:val="16"/>
              </w:rPr>
            </w:pPr>
            <w:r w:rsidRPr="00781112">
              <w:rPr>
                <w:rFonts w:cs="Arial"/>
                <w:b/>
                <w:bCs/>
                <w:color w:val="000000" w:themeColor="text1"/>
                <w:szCs w:val="16"/>
              </w:rPr>
              <w:t>C</w:t>
            </w:r>
          </w:p>
        </w:tc>
        <w:tc>
          <w:tcPr>
            <w:tcW w:w="2025" w:type="dxa"/>
            <w:tcBorders>
              <w:left w:val="single" w:sz="4" w:space="0" w:color="auto"/>
              <w:right w:val="single" w:sz="4" w:space="0" w:color="auto"/>
            </w:tcBorders>
            <w:shd w:val="clear" w:color="auto" w:fill="auto"/>
          </w:tcPr>
          <w:p w14:paraId="7E7E5689"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2020</w:t>
            </w:r>
          </w:p>
        </w:tc>
        <w:tc>
          <w:tcPr>
            <w:tcW w:w="2025" w:type="dxa"/>
            <w:tcBorders>
              <w:left w:val="single" w:sz="4" w:space="0" w:color="auto"/>
              <w:right w:val="single" w:sz="4" w:space="0" w:color="auto"/>
            </w:tcBorders>
          </w:tcPr>
          <w:p w14:paraId="4FCAB124" w14:textId="77777777" w:rsidR="008C34A2" w:rsidRPr="00781112" w:rsidRDefault="008C34A2" w:rsidP="00DF5DC9">
            <w:pPr>
              <w:jc w:val="center"/>
              <w:rPr>
                <w:rFonts w:cs="Arial"/>
                <w:color w:val="000000" w:themeColor="text1"/>
                <w:szCs w:val="16"/>
              </w:rPr>
            </w:pPr>
            <w:r w:rsidRPr="00781112">
              <w:rPr>
                <w:rFonts w:cs="Arial"/>
                <w:color w:val="000000" w:themeColor="text1"/>
                <w:szCs w:val="16"/>
              </w:rPr>
              <w:t>19.95%</w:t>
            </w:r>
          </w:p>
        </w:tc>
      </w:tr>
    </w:tbl>
    <w:p w14:paraId="3CB9A2A8" w14:textId="77777777" w:rsidR="008C34A2" w:rsidRPr="00992ACE" w:rsidRDefault="008C34A2" w:rsidP="00992ACE">
      <w:pPr>
        <w:rPr>
          <w:rFonts w:cs="Arial"/>
          <w:color w:val="000000" w:themeColor="text1"/>
          <w:szCs w:val="16"/>
        </w:rPr>
      </w:pPr>
    </w:p>
    <w:p w14:paraId="47A40AAD" w14:textId="088A53BD" w:rsidR="0059735F" w:rsidRPr="00781112" w:rsidRDefault="0059735F" w:rsidP="0059735F">
      <w:pPr>
        <w:rPr>
          <w:b/>
          <w:bCs/>
          <w:color w:val="000000" w:themeColor="text1"/>
        </w:rPr>
      </w:pPr>
      <w:r w:rsidRPr="00781112">
        <w:rPr>
          <w:b/>
          <w:bCs/>
        </w:rPr>
        <w:t>Inclusive Targets – 6A, 6B</w:t>
      </w:r>
    </w:p>
    <w:tbl>
      <w:tblPr>
        <w:tblW w:w="2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BTARGETSINCL"/>
      </w:tblPr>
      <w:tblGrid>
        <w:gridCol w:w="1078"/>
        <w:gridCol w:w="1617"/>
        <w:gridCol w:w="1617"/>
        <w:gridCol w:w="1623"/>
      </w:tblGrid>
      <w:tr w:rsidR="00AC3EF2" w:rsidRPr="00781112" w14:paraId="502A05CF" w14:textId="31F34C5E" w:rsidTr="00FE4611">
        <w:trPr>
          <w:trHeight w:val="297"/>
        </w:trPr>
        <w:tc>
          <w:tcPr>
            <w:tcW w:w="908" w:type="pct"/>
            <w:tcBorders>
              <w:bottom w:val="single" w:sz="4" w:space="0" w:color="auto"/>
            </w:tcBorders>
            <w:shd w:val="clear" w:color="auto" w:fill="auto"/>
          </w:tcPr>
          <w:p w14:paraId="24938C30" w14:textId="77777777" w:rsidR="00AC3EF2" w:rsidRPr="00781112" w:rsidRDefault="00AC3EF2" w:rsidP="00D62058">
            <w:pPr>
              <w:jc w:val="center"/>
              <w:rPr>
                <w:b/>
                <w:color w:val="000000" w:themeColor="text1"/>
              </w:rPr>
            </w:pPr>
            <w:r w:rsidRPr="00781112">
              <w:rPr>
                <w:b/>
                <w:color w:val="000000" w:themeColor="text1"/>
              </w:rPr>
              <w:t>FFY</w:t>
            </w:r>
          </w:p>
        </w:tc>
        <w:tc>
          <w:tcPr>
            <w:tcW w:w="1362" w:type="pct"/>
            <w:shd w:val="clear" w:color="auto" w:fill="auto"/>
          </w:tcPr>
          <w:p w14:paraId="4B75D90A" w14:textId="04FBCB48" w:rsidR="00AC3EF2" w:rsidRPr="00781112" w:rsidRDefault="00AC3EF2" w:rsidP="00D62058">
            <w:pPr>
              <w:jc w:val="center"/>
              <w:rPr>
                <w:b/>
                <w:color w:val="000000" w:themeColor="text1"/>
              </w:rPr>
            </w:pPr>
            <w:r w:rsidRPr="00781112">
              <w:rPr>
                <w:b/>
                <w:color w:val="000000" w:themeColor="text1"/>
              </w:rPr>
              <w:t>2023</w:t>
            </w:r>
          </w:p>
        </w:tc>
        <w:tc>
          <w:tcPr>
            <w:tcW w:w="1362" w:type="pct"/>
          </w:tcPr>
          <w:p w14:paraId="5DC58FF5" w14:textId="7CBB0832" w:rsidR="00AC3EF2" w:rsidRPr="00781112" w:rsidRDefault="00AC3EF2" w:rsidP="00360DD6">
            <w:pPr>
              <w:jc w:val="center"/>
              <w:rPr>
                <w:b/>
                <w:color w:val="000000" w:themeColor="text1"/>
              </w:rPr>
            </w:pPr>
            <w:r w:rsidRPr="00781112">
              <w:rPr>
                <w:b/>
                <w:color w:val="000000" w:themeColor="text1"/>
              </w:rPr>
              <w:t>2024</w:t>
            </w:r>
          </w:p>
        </w:tc>
        <w:tc>
          <w:tcPr>
            <w:tcW w:w="1367" w:type="pct"/>
          </w:tcPr>
          <w:p w14:paraId="7F3093B9" w14:textId="2E366C4A" w:rsidR="00AC3EF2" w:rsidRPr="00781112" w:rsidRDefault="00AC3EF2" w:rsidP="00360DD6">
            <w:pPr>
              <w:jc w:val="center"/>
              <w:rPr>
                <w:b/>
                <w:color w:val="000000" w:themeColor="text1"/>
              </w:rPr>
            </w:pPr>
            <w:r w:rsidRPr="00781112">
              <w:rPr>
                <w:b/>
                <w:color w:val="000000" w:themeColor="text1"/>
              </w:rPr>
              <w:t>2025</w:t>
            </w:r>
          </w:p>
        </w:tc>
      </w:tr>
      <w:tr w:rsidR="00AC3EF2" w:rsidRPr="00781112" w14:paraId="19DCE246" w14:textId="1AEE89BD" w:rsidTr="00FE4611">
        <w:trPr>
          <w:trHeight w:val="303"/>
        </w:trPr>
        <w:tc>
          <w:tcPr>
            <w:tcW w:w="908" w:type="pct"/>
            <w:shd w:val="clear" w:color="auto" w:fill="auto"/>
            <w:vAlign w:val="center"/>
          </w:tcPr>
          <w:p w14:paraId="772DAD56" w14:textId="1540F97B" w:rsidR="00AC3EF2" w:rsidRPr="00781112" w:rsidRDefault="00AC3EF2" w:rsidP="00BA3DBE">
            <w:pPr>
              <w:jc w:val="center"/>
              <w:rPr>
                <w:rFonts w:cs="Arial"/>
                <w:color w:val="000000" w:themeColor="text1"/>
                <w:szCs w:val="16"/>
              </w:rPr>
            </w:pPr>
            <w:r w:rsidRPr="00781112">
              <w:rPr>
                <w:rFonts w:cs="Arial"/>
                <w:color w:val="000000" w:themeColor="text1"/>
                <w:szCs w:val="16"/>
              </w:rPr>
              <w:t>Target A &gt;=</w:t>
            </w:r>
          </w:p>
        </w:tc>
        <w:tc>
          <w:tcPr>
            <w:tcW w:w="1362" w:type="pct"/>
            <w:shd w:val="clear" w:color="auto" w:fill="auto"/>
            <w:vAlign w:val="center"/>
          </w:tcPr>
          <w:p w14:paraId="2E5FC5F6" w14:textId="4C6B8E64" w:rsidR="00AC3EF2" w:rsidRPr="00781112" w:rsidRDefault="00AC3EF2" w:rsidP="00D62058">
            <w:pPr>
              <w:jc w:val="center"/>
              <w:rPr>
                <w:rFonts w:cs="Arial"/>
                <w:color w:val="000000" w:themeColor="text1"/>
                <w:szCs w:val="16"/>
              </w:rPr>
            </w:pPr>
            <w:r w:rsidRPr="00781112">
              <w:rPr>
                <w:rFonts w:cs="Arial"/>
                <w:color w:val="000000" w:themeColor="text1"/>
                <w:szCs w:val="16"/>
              </w:rPr>
              <w:t>48.30%</w:t>
            </w:r>
          </w:p>
        </w:tc>
        <w:tc>
          <w:tcPr>
            <w:tcW w:w="1362" w:type="pct"/>
          </w:tcPr>
          <w:p w14:paraId="4C26EA28" w14:textId="691A218F" w:rsidR="00AC3EF2" w:rsidRPr="00781112" w:rsidRDefault="00AC3EF2" w:rsidP="00360DD6">
            <w:pPr>
              <w:jc w:val="center"/>
              <w:rPr>
                <w:rFonts w:cs="Arial"/>
                <w:color w:val="000000" w:themeColor="text1"/>
                <w:szCs w:val="16"/>
              </w:rPr>
            </w:pPr>
            <w:r w:rsidRPr="00781112">
              <w:rPr>
                <w:rFonts w:cs="Arial"/>
                <w:color w:val="000000" w:themeColor="text1"/>
                <w:szCs w:val="16"/>
              </w:rPr>
              <w:t>49.00%</w:t>
            </w:r>
          </w:p>
        </w:tc>
        <w:tc>
          <w:tcPr>
            <w:tcW w:w="1367" w:type="pct"/>
          </w:tcPr>
          <w:p w14:paraId="0BF1D9D9" w14:textId="482D9F05" w:rsidR="00AC3EF2" w:rsidRPr="00781112" w:rsidRDefault="00AC3EF2" w:rsidP="00360DD6">
            <w:pPr>
              <w:jc w:val="center"/>
              <w:rPr>
                <w:rFonts w:cs="Arial"/>
                <w:color w:val="000000" w:themeColor="text1"/>
                <w:szCs w:val="16"/>
              </w:rPr>
            </w:pPr>
            <w:r w:rsidRPr="00781112">
              <w:rPr>
                <w:rFonts w:cs="Arial"/>
                <w:color w:val="000000" w:themeColor="text1"/>
                <w:szCs w:val="16"/>
              </w:rPr>
              <w:t>50.00%</w:t>
            </w:r>
          </w:p>
        </w:tc>
      </w:tr>
      <w:tr w:rsidR="00AC3EF2" w:rsidRPr="00781112" w14:paraId="3AA5E8F7" w14:textId="085D0F95" w:rsidTr="00FE4611">
        <w:trPr>
          <w:trHeight w:val="303"/>
        </w:trPr>
        <w:tc>
          <w:tcPr>
            <w:tcW w:w="908" w:type="pct"/>
            <w:shd w:val="clear" w:color="auto" w:fill="auto"/>
            <w:vAlign w:val="center"/>
          </w:tcPr>
          <w:p w14:paraId="49E152B3" w14:textId="4DC08CD2" w:rsidR="00AC3EF2" w:rsidRPr="00781112" w:rsidRDefault="00AC3EF2" w:rsidP="00BA3DBE">
            <w:pPr>
              <w:jc w:val="center"/>
              <w:rPr>
                <w:rFonts w:cs="Arial"/>
                <w:color w:val="000000" w:themeColor="text1"/>
                <w:szCs w:val="16"/>
              </w:rPr>
            </w:pPr>
            <w:r w:rsidRPr="00781112">
              <w:rPr>
                <w:rFonts w:cs="Arial"/>
                <w:color w:val="000000" w:themeColor="text1"/>
                <w:szCs w:val="16"/>
              </w:rPr>
              <w:t>Target B &lt;=</w:t>
            </w:r>
          </w:p>
        </w:tc>
        <w:tc>
          <w:tcPr>
            <w:tcW w:w="1362" w:type="pct"/>
            <w:shd w:val="clear" w:color="auto" w:fill="auto"/>
            <w:vAlign w:val="center"/>
          </w:tcPr>
          <w:p w14:paraId="642E6A80" w14:textId="7A6AF652" w:rsidR="00AC3EF2" w:rsidRPr="00781112" w:rsidRDefault="00AC3EF2" w:rsidP="00D62058">
            <w:pPr>
              <w:jc w:val="center"/>
              <w:rPr>
                <w:rFonts w:cs="Arial"/>
                <w:color w:val="000000" w:themeColor="text1"/>
                <w:szCs w:val="16"/>
              </w:rPr>
            </w:pPr>
            <w:r w:rsidRPr="00781112">
              <w:rPr>
                <w:rFonts w:cs="Arial"/>
                <w:color w:val="000000" w:themeColor="text1"/>
                <w:szCs w:val="16"/>
              </w:rPr>
              <w:t>23.00%</w:t>
            </w:r>
          </w:p>
        </w:tc>
        <w:tc>
          <w:tcPr>
            <w:tcW w:w="1362" w:type="pct"/>
          </w:tcPr>
          <w:p w14:paraId="752B6B9E" w14:textId="3979D870" w:rsidR="00AC3EF2" w:rsidRPr="00781112" w:rsidRDefault="00AC3EF2" w:rsidP="00360DD6">
            <w:pPr>
              <w:jc w:val="center"/>
              <w:rPr>
                <w:rFonts w:cs="Arial"/>
                <w:color w:val="000000" w:themeColor="text1"/>
                <w:szCs w:val="16"/>
              </w:rPr>
            </w:pPr>
            <w:r w:rsidRPr="00781112">
              <w:rPr>
                <w:rFonts w:cs="Arial"/>
                <w:color w:val="000000" w:themeColor="text1"/>
                <w:szCs w:val="16"/>
              </w:rPr>
              <w:t>22.00%</w:t>
            </w:r>
          </w:p>
        </w:tc>
        <w:tc>
          <w:tcPr>
            <w:tcW w:w="1367" w:type="pct"/>
          </w:tcPr>
          <w:p w14:paraId="1DCC77D9" w14:textId="4B30FDBE" w:rsidR="00AC3EF2" w:rsidRPr="00781112" w:rsidRDefault="00AC3EF2" w:rsidP="00360DD6">
            <w:pPr>
              <w:jc w:val="center"/>
              <w:rPr>
                <w:rFonts w:cs="Arial"/>
                <w:color w:val="000000" w:themeColor="text1"/>
                <w:szCs w:val="16"/>
              </w:rPr>
            </w:pPr>
            <w:r w:rsidRPr="00781112">
              <w:rPr>
                <w:rFonts w:cs="Arial"/>
                <w:color w:val="000000" w:themeColor="text1"/>
                <w:szCs w:val="16"/>
              </w:rPr>
              <w:t>21.00%</w:t>
            </w:r>
          </w:p>
        </w:tc>
      </w:tr>
    </w:tbl>
    <w:p w14:paraId="27170CED" w14:textId="772C81FC" w:rsidR="00E428BD" w:rsidRDefault="00E428BD" w:rsidP="004369B2">
      <w:pPr>
        <w:rPr>
          <w:color w:val="000000" w:themeColor="text1"/>
        </w:rPr>
      </w:pPr>
      <w:bookmarkStart w:id="37" w:name="_Toc382082378"/>
      <w:bookmarkStart w:id="38" w:name="_Toc392159302"/>
    </w:p>
    <w:p w14:paraId="38AC4E98" w14:textId="77777777" w:rsidR="0040181B" w:rsidRPr="00781112" w:rsidRDefault="0040181B" w:rsidP="0040181B">
      <w:pPr>
        <w:rPr>
          <w:b/>
          <w:bCs/>
          <w:color w:val="000000" w:themeColor="text1"/>
        </w:rPr>
      </w:pPr>
      <w:r w:rsidRPr="00781112">
        <w:rPr>
          <w:b/>
          <w:bCs/>
        </w:rPr>
        <w:t>Inclusive Targets – 6C</w:t>
      </w:r>
    </w:p>
    <w:tbl>
      <w:tblPr>
        <w:tblW w:w="2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CTARGETSINCL"/>
      </w:tblPr>
      <w:tblGrid>
        <w:gridCol w:w="1078"/>
        <w:gridCol w:w="1617"/>
        <w:gridCol w:w="1617"/>
        <w:gridCol w:w="1623"/>
      </w:tblGrid>
      <w:tr w:rsidR="00AB2AE1" w:rsidRPr="00781112" w14:paraId="6B43903F" w14:textId="77777777" w:rsidTr="00FE4611">
        <w:trPr>
          <w:trHeight w:val="297"/>
        </w:trPr>
        <w:tc>
          <w:tcPr>
            <w:tcW w:w="908" w:type="pct"/>
            <w:tcBorders>
              <w:bottom w:val="single" w:sz="4" w:space="0" w:color="auto"/>
            </w:tcBorders>
            <w:shd w:val="clear" w:color="auto" w:fill="auto"/>
          </w:tcPr>
          <w:p w14:paraId="454FDD0F" w14:textId="77777777" w:rsidR="00AB2AE1" w:rsidRPr="00781112" w:rsidRDefault="00AB2AE1" w:rsidP="00992ACE">
            <w:pPr>
              <w:jc w:val="center"/>
              <w:rPr>
                <w:b/>
                <w:color w:val="000000" w:themeColor="text1"/>
              </w:rPr>
            </w:pPr>
            <w:r w:rsidRPr="00781112">
              <w:rPr>
                <w:b/>
                <w:color w:val="000000" w:themeColor="text1"/>
              </w:rPr>
              <w:t>FFY</w:t>
            </w:r>
          </w:p>
        </w:tc>
        <w:tc>
          <w:tcPr>
            <w:tcW w:w="1362" w:type="pct"/>
            <w:shd w:val="clear" w:color="auto" w:fill="auto"/>
          </w:tcPr>
          <w:p w14:paraId="23E06477" w14:textId="77777777" w:rsidR="00AB2AE1" w:rsidRPr="00781112" w:rsidRDefault="00AB2AE1" w:rsidP="00992ACE">
            <w:pPr>
              <w:jc w:val="center"/>
              <w:rPr>
                <w:b/>
                <w:color w:val="000000" w:themeColor="text1"/>
              </w:rPr>
            </w:pPr>
            <w:r w:rsidRPr="00781112">
              <w:rPr>
                <w:b/>
                <w:color w:val="000000" w:themeColor="text1"/>
              </w:rPr>
              <w:t>2023</w:t>
            </w:r>
          </w:p>
        </w:tc>
        <w:tc>
          <w:tcPr>
            <w:tcW w:w="1362" w:type="pct"/>
          </w:tcPr>
          <w:p w14:paraId="727ADECD" w14:textId="77777777" w:rsidR="00AB2AE1" w:rsidRPr="00781112" w:rsidRDefault="00AB2AE1" w:rsidP="00992ACE">
            <w:pPr>
              <w:jc w:val="center"/>
              <w:rPr>
                <w:b/>
                <w:color w:val="000000" w:themeColor="text1"/>
              </w:rPr>
            </w:pPr>
            <w:r w:rsidRPr="00781112">
              <w:rPr>
                <w:b/>
                <w:color w:val="000000" w:themeColor="text1"/>
              </w:rPr>
              <w:t>2024</w:t>
            </w:r>
          </w:p>
        </w:tc>
        <w:tc>
          <w:tcPr>
            <w:tcW w:w="1367" w:type="pct"/>
          </w:tcPr>
          <w:p w14:paraId="6EC259CD" w14:textId="77777777" w:rsidR="00AB2AE1" w:rsidRPr="00781112" w:rsidRDefault="00AB2AE1" w:rsidP="00992ACE">
            <w:pPr>
              <w:jc w:val="center"/>
              <w:rPr>
                <w:b/>
                <w:color w:val="000000" w:themeColor="text1"/>
              </w:rPr>
            </w:pPr>
            <w:r w:rsidRPr="00781112">
              <w:rPr>
                <w:b/>
                <w:color w:val="000000" w:themeColor="text1"/>
              </w:rPr>
              <w:t>2025</w:t>
            </w:r>
          </w:p>
        </w:tc>
      </w:tr>
      <w:tr w:rsidR="00AB2AE1" w:rsidRPr="00781112" w14:paraId="38A2A2D3" w14:textId="77777777" w:rsidTr="00FE4611">
        <w:trPr>
          <w:trHeight w:val="303"/>
        </w:trPr>
        <w:tc>
          <w:tcPr>
            <w:tcW w:w="908" w:type="pct"/>
            <w:shd w:val="clear" w:color="auto" w:fill="auto"/>
            <w:vAlign w:val="center"/>
          </w:tcPr>
          <w:p w14:paraId="1A01A931" w14:textId="77777777" w:rsidR="00AB2AE1" w:rsidRPr="00781112" w:rsidRDefault="00AB2AE1" w:rsidP="00BA3DBE">
            <w:pPr>
              <w:jc w:val="center"/>
              <w:rPr>
                <w:rFonts w:cs="Arial"/>
                <w:color w:val="000000" w:themeColor="text1"/>
                <w:szCs w:val="16"/>
              </w:rPr>
            </w:pPr>
            <w:r w:rsidRPr="00781112">
              <w:rPr>
                <w:rFonts w:cs="Arial"/>
                <w:color w:val="000000" w:themeColor="text1"/>
                <w:szCs w:val="16"/>
              </w:rPr>
              <w:t>Target C &lt;=</w:t>
            </w:r>
          </w:p>
        </w:tc>
        <w:tc>
          <w:tcPr>
            <w:tcW w:w="1362" w:type="pct"/>
            <w:shd w:val="clear" w:color="auto" w:fill="auto"/>
            <w:vAlign w:val="center"/>
          </w:tcPr>
          <w:p w14:paraId="4CC46A48"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19.70%</w:t>
            </w:r>
          </w:p>
        </w:tc>
        <w:tc>
          <w:tcPr>
            <w:tcW w:w="1362" w:type="pct"/>
          </w:tcPr>
          <w:p w14:paraId="262E2FD0"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19.20%</w:t>
            </w:r>
          </w:p>
        </w:tc>
        <w:tc>
          <w:tcPr>
            <w:tcW w:w="1367" w:type="pct"/>
          </w:tcPr>
          <w:p w14:paraId="54ED085E" w14:textId="77777777" w:rsidR="00AB2AE1" w:rsidRPr="00781112" w:rsidRDefault="00AB2AE1" w:rsidP="00992ACE">
            <w:pPr>
              <w:jc w:val="center"/>
              <w:rPr>
                <w:rFonts w:cs="Arial"/>
                <w:color w:val="000000" w:themeColor="text1"/>
                <w:szCs w:val="16"/>
              </w:rPr>
            </w:pPr>
            <w:r w:rsidRPr="00781112">
              <w:rPr>
                <w:rFonts w:cs="Arial"/>
                <w:color w:val="000000" w:themeColor="text1"/>
                <w:szCs w:val="16"/>
              </w:rPr>
              <w:t>18.70%</w:t>
            </w:r>
          </w:p>
        </w:tc>
      </w:tr>
    </w:tbl>
    <w:p w14:paraId="6F4455E5" w14:textId="77777777" w:rsidR="0040181B" w:rsidRPr="00781112" w:rsidRDefault="0040181B" w:rsidP="0040181B">
      <w:pPr>
        <w:rPr>
          <w:color w:val="000000" w:themeColor="text1"/>
        </w:rPr>
      </w:pPr>
    </w:p>
    <w:p w14:paraId="50508AD8" w14:textId="0C71BBD3" w:rsidR="008751D3" w:rsidRPr="00781112" w:rsidRDefault="008751D3" w:rsidP="004369B2">
      <w:pPr>
        <w:rPr>
          <w:b/>
          <w:color w:val="000000" w:themeColor="text1"/>
        </w:rPr>
      </w:pPr>
      <w:r w:rsidRPr="00781112">
        <w:rPr>
          <w:b/>
          <w:color w:val="000000" w:themeColor="text1"/>
        </w:rPr>
        <w:t>Prepopulated Data</w:t>
      </w:r>
    </w:p>
    <w:p w14:paraId="4FE8FE34"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Data Source:  </w:t>
      </w:r>
    </w:p>
    <w:p w14:paraId="386CE8B6" w14:textId="365EFD16" w:rsidR="004F4564" w:rsidRPr="00781112" w:rsidRDefault="004F4564" w:rsidP="004F4564">
      <w:pPr>
        <w:rPr>
          <w:rFonts w:cs="Arial"/>
          <w:color w:val="000000" w:themeColor="text1"/>
          <w:szCs w:val="16"/>
        </w:rPr>
      </w:pPr>
      <w:r w:rsidRPr="00781112">
        <w:rPr>
          <w:rFonts w:cs="Arial"/>
          <w:color w:val="000000" w:themeColor="text1"/>
          <w:szCs w:val="16"/>
        </w:rPr>
        <w:t>SY 2023-24 Child Count/Educational Environment Data Groups (EDFacts file spec FS089; Data group 613)</w:t>
      </w:r>
    </w:p>
    <w:p w14:paraId="4528541A" w14:textId="77777777" w:rsidR="004F4564" w:rsidRPr="00781112" w:rsidRDefault="004F4564" w:rsidP="004F4564">
      <w:pPr>
        <w:rPr>
          <w:rFonts w:cs="Arial"/>
          <w:b/>
          <w:color w:val="000000" w:themeColor="text1"/>
          <w:szCs w:val="16"/>
        </w:rPr>
      </w:pPr>
      <w:r w:rsidRPr="00781112">
        <w:rPr>
          <w:rFonts w:cs="Arial"/>
          <w:b/>
          <w:color w:val="000000" w:themeColor="text1"/>
          <w:szCs w:val="16"/>
        </w:rPr>
        <w:t xml:space="preserve">Date: </w:t>
      </w:r>
    </w:p>
    <w:p w14:paraId="372F35F3" w14:textId="3C0B439F" w:rsidR="004F4564" w:rsidRPr="00781112" w:rsidRDefault="004F4564" w:rsidP="004F4564">
      <w:pPr>
        <w:rPr>
          <w:rFonts w:cs="Arial"/>
          <w:color w:val="000000" w:themeColor="text1"/>
          <w:szCs w:val="16"/>
        </w:rPr>
      </w:pPr>
      <w:r w:rsidRPr="00781112">
        <w:rPr>
          <w:rFonts w:cs="Arial"/>
          <w:color w:val="000000" w:themeColor="text1"/>
          <w:szCs w:val="16"/>
        </w:rPr>
        <w:t>07/31/2024</w:t>
      </w:r>
    </w:p>
    <w:p w14:paraId="023F428E" w14:textId="77777777" w:rsidR="004F4564" w:rsidRPr="00781112" w:rsidRDefault="004F4564"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06PREPOPDATA"/>
      </w:tblPr>
      <w:tblGrid>
        <w:gridCol w:w="3348"/>
        <w:gridCol w:w="1862"/>
        <w:gridCol w:w="1862"/>
        <w:gridCol w:w="1862"/>
        <w:gridCol w:w="1856"/>
      </w:tblGrid>
      <w:tr w:rsidR="00E25159" w:rsidRPr="00781112" w14:paraId="08E6335C" w14:textId="3E29B965" w:rsidTr="00360DD6">
        <w:trPr>
          <w:cantSplit/>
          <w:tblHeader/>
        </w:trPr>
        <w:tc>
          <w:tcPr>
            <w:tcW w:w="1551" w:type="pct"/>
            <w:shd w:val="clear" w:color="auto" w:fill="auto"/>
          </w:tcPr>
          <w:p w14:paraId="47ECA16E" w14:textId="77777777" w:rsidR="00E25159" w:rsidRPr="00781112" w:rsidRDefault="00E25159" w:rsidP="009C613A">
            <w:pPr>
              <w:spacing w:after="0"/>
              <w:jc w:val="center"/>
              <w:rPr>
                <w:rFonts w:cs="Arial"/>
                <w:b/>
                <w:color w:val="000000" w:themeColor="text1"/>
                <w:szCs w:val="16"/>
              </w:rPr>
            </w:pPr>
            <w:r w:rsidRPr="00781112">
              <w:rPr>
                <w:rFonts w:cs="Arial"/>
                <w:b/>
                <w:color w:val="000000" w:themeColor="text1"/>
                <w:szCs w:val="16"/>
              </w:rPr>
              <w:t>Description</w:t>
            </w:r>
          </w:p>
        </w:tc>
        <w:tc>
          <w:tcPr>
            <w:tcW w:w="863" w:type="pct"/>
          </w:tcPr>
          <w:p w14:paraId="06AF5DE5" w14:textId="64A96718"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3</w:t>
            </w:r>
          </w:p>
        </w:tc>
        <w:tc>
          <w:tcPr>
            <w:tcW w:w="863" w:type="pct"/>
          </w:tcPr>
          <w:p w14:paraId="43D1389C" w14:textId="51E4E6FF"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4</w:t>
            </w:r>
          </w:p>
        </w:tc>
        <w:tc>
          <w:tcPr>
            <w:tcW w:w="863" w:type="pct"/>
            <w:shd w:val="clear" w:color="auto" w:fill="auto"/>
          </w:tcPr>
          <w:p w14:paraId="5BF9C35D" w14:textId="53AE3D4B" w:rsidR="00E25159" w:rsidRPr="00781112" w:rsidRDefault="002E763A" w:rsidP="009C613A">
            <w:pPr>
              <w:spacing w:after="0"/>
              <w:jc w:val="center"/>
              <w:rPr>
                <w:rFonts w:cs="Arial"/>
                <w:b/>
                <w:color w:val="000000" w:themeColor="text1"/>
                <w:szCs w:val="16"/>
              </w:rPr>
            </w:pPr>
            <w:r w:rsidRPr="00781112">
              <w:rPr>
                <w:rFonts w:cs="Arial"/>
                <w:b/>
                <w:color w:val="000000" w:themeColor="text1"/>
                <w:szCs w:val="16"/>
              </w:rPr>
              <w:t>5</w:t>
            </w:r>
          </w:p>
        </w:tc>
        <w:tc>
          <w:tcPr>
            <w:tcW w:w="860" w:type="pct"/>
          </w:tcPr>
          <w:p w14:paraId="61BA1D5F" w14:textId="4D953D5F" w:rsidR="00E25159" w:rsidRPr="00781112" w:rsidRDefault="00BB48E9" w:rsidP="009C613A">
            <w:pPr>
              <w:spacing w:after="0"/>
              <w:jc w:val="center"/>
              <w:rPr>
                <w:rFonts w:cs="Arial"/>
                <w:b/>
                <w:color w:val="000000" w:themeColor="text1"/>
                <w:szCs w:val="16"/>
              </w:rPr>
            </w:pPr>
            <w:r w:rsidRPr="00781112">
              <w:rPr>
                <w:rFonts w:cs="Arial"/>
                <w:b/>
                <w:szCs w:val="16"/>
              </w:rPr>
              <w:t>3 through 5 - Total</w:t>
            </w:r>
          </w:p>
        </w:tc>
      </w:tr>
      <w:tr w:rsidR="00DC09CA" w:rsidRPr="00781112" w14:paraId="4FFA6181" w14:textId="716A2CB6" w:rsidTr="00360DD6">
        <w:trPr>
          <w:cantSplit/>
        </w:trPr>
        <w:tc>
          <w:tcPr>
            <w:tcW w:w="1551" w:type="pct"/>
            <w:shd w:val="clear" w:color="auto" w:fill="auto"/>
            <w:vAlign w:val="bottom"/>
          </w:tcPr>
          <w:p w14:paraId="0C7ED212" w14:textId="5E72519E" w:rsidR="00DC09CA" w:rsidRPr="00781112" w:rsidRDefault="00DC09CA" w:rsidP="00DC09CA">
            <w:pPr>
              <w:rPr>
                <w:rFonts w:cs="Arial"/>
                <w:color w:val="000000" w:themeColor="text1"/>
                <w:szCs w:val="16"/>
              </w:rPr>
            </w:pPr>
            <w:r w:rsidRPr="00781112">
              <w:rPr>
                <w:rFonts w:cs="Arial"/>
                <w:color w:val="000000" w:themeColor="text1"/>
                <w:szCs w:val="16"/>
              </w:rPr>
              <w:t>Total number of children with IEPs</w:t>
            </w:r>
          </w:p>
        </w:tc>
        <w:tc>
          <w:tcPr>
            <w:tcW w:w="863" w:type="pct"/>
            <w:vAlign w:val="bottom"/>
          </w:tcPr>
          <w:p w14:paraId="20DD7859" w14:textId="2613E52D" w:rsidR="00DC09CA" w:rsidRPr="00781112" w:rsidRDefault="00DC09CA" w:rsidP="00DC09CA">
            <w:pPr>
              <w:jc w:val="center"/>
              <w:rPr>
                <w:rFonts w:cs="Arial"/>
                <w:color w:val="000000" w:themeColor="text1"/>
                <w:szCs w:val="16"/>
              </w:rPr>
            </w:pPr>
            <w:r w:rsidRPr="00781112">
              <w:rPr>
                <w:rFonts w:cs="Arial"/>
                <w:color w:val="000000" w:themeColor="text1"/>
                <w:szCs w:val="16"/>
              </w:rPr>
              <w:t>3,083</w:t>
            </w:r>
          </w:p>
        </w:tc>
        <w:tc>
          <w:tcPr>
            <w:tcW w:w="863" w:type="pct"/>
          </w:tcPr>
          <w:p w14:paraId="05D687A1" w14:textId="615962C4" w:rsidR="00DC09CA" w:rsidRPr="00781112" w:rsidRDefault="00DC09CA" w:rsidP="00DC09CA">
            <w:pPr>
              <w:jc w:val="center"/>
              <w:rPr>
                <w:rFonts w:cs="Arial"/>
                <w:color w:val="000000" w:themeColor="text1"/>
                <w:szCs w:val="16"/>
              </w:rPr>
            </w:pPr>
            <w:r w:rsidRPr="00781112">
              <w:rPr>
                <w:rFonts w:cs="Arial"/>
                <w:color w:val="000000" w:themeColor="text1"/>
                <w:szCs w:val="16"/>
              </w:rPr>
              <w:t>4,357</w:t>
            </w:r>
          </w:p>
        </w:tc>
        <w:tc>
          <w:tcPr>
            <w:tcW w:w="863" w:type="pct"/>
            <w:shd w:val="clear" w:color="auto" w:fill="auto"/>
          </w:tcPr>
          <w:p w14:paraId="784DA572" w14:textId="619FE690" w:rsidR="00DC09CA" w:rsidRPr="00781112" w:rsidRDefault="00DC09CA" w:rsidP="00DC09CA">
            <w:pPr>
              <w:jc w:val="center"/>
              <w:rPr>
                <w:rFonts w:cs="Arial"/>
                <w:color w:val="000000" w:themeColor="text1"/>
                <w:szCs w:val="16"/>
              </w:rPr>
            </w:pPr>
            <w:r w:rsidRPr="00781112">
              <w:rPr>
                <w:rFonts w:cs="Arial"/>
                <w:color w:val="000000" w:themeColor="text1"/>
                <w:szCs w:val="16"/>
              </w:rPr>
              <w:t>1,066</w:t>
            </w:r>
          </w:p>
        </w:tc>
        <w:tc>
          <w:tcPr>
            <w:tcW w:w="860" w:type="pct"/>
            <w:vAlign w:val="bottom"/>
          </w:tcPr>
          <w:p w14:paraId="11422879" w14:textId="0ABA0049" w:rsidR="00DC09CA" w:rsidRPr="00781112" w:rsidRDefault="00DC09CA" w:rsidP="00DC09CA">
            <w:pPr>
              <w:jc w:val="center"/>
              <w:rPr>
                <w:rFonts w:cs="Arial"/>
                <w:color w:val="000000" w:themeColor="text1"/>
                <w:szCs w:val="16"/>
              </w:rPr>
            </w:pPr>
            <w:r w:rsidRPr="00781112">
              <w:rPr>
                <w:rFonts w:cs="Arial"/>
                <w:color w:val="000000" w:themeColor="text1"/>
                <w:szCs w:val="16"/>
              </w:rPr>
              <w:t>8,506</w:t>
            </w:r>
          </w:p>
        </w:tc>
      </w:tr>
      <w:tr w:rsidR="00AA6D68" w:rsidRPr="00781112" w14:paraId="60B80599" w14:textId="5C935507" w:rsidTr="00360DD6">
        <w:trPr>
          <w:cantSplit/>
        </w:trPr>
        <w:tc>
          <w:tcPr>
            <w:tcW w:w="1551" w:type="pct"/>
            <w:shd w:val="clear" w:color="auto" w:fill="auto"/>
            <w:vAlign w:val="bottom"/>
          </w:tcPr>
          <w:p w14:paraId="143C4F1B" w14:textId="07512ED2" w:rsidR="00AA6D68" w:rsidRPr="00781112" w:rsidRDefault="00AA6D68" w:rsidP="00AA6D68">
            <w:pPr>
              <w:rPr>
                <w:rFonts w:cs="Arial"/>
                <w:color w:val="000000" w:themeColor="text1"/>
                <w:szCs w:val="16"/>
              </w:rPr>
            </w:pPr>
            <w:r w:rsidRPr="00781112">
              <w:rPr>
                <w:rFonts w:cs="Arial"/>
                <w:color w:val="000000" w:themeColor="text1"/>
                <w:szCs w:val="16"/>
              </w:rPr>
              <w:t>a1. Number of children attending a regular early childhood program and receiving the majority of special education and related services in the regular early childhood program</w:t>
            </w:r>
          </w:p>
        </w:tc>
        <w:tc>
          <w:tcPr>
            <w:tcW w:w="863" w:type="pct"/>
            <w:vAlign w:val="bottom"/>
          </w:tcPr>
          <w:p w14:paraId="659D2B47" w14:textId="4A180B03" w:rsidR="00AA6D68" w:rsidRPr="00781112" w:rsidRDefault="00AA6D68" w:rsidP="00AA6D68">
            <w:pPr>
              <w:jc w:val="center"/>
              <w:rPr>
                <w:rFonts w:cs="Arial"/>
                <w:color w:val="000000" w:themeColor="text1"/>
                <w:szCs w:val="16"/>
              </w:rPr>
            </w:pPr>
            <w:r w:rsidRPr="00781112">
              <w:rPr>
                <w:rFonts w:cs="Arial"/>
                <w:color w:val="000000" w:themeColor="text1"/>
                <w:szCs w:val="16"/>
              </w:rPr>
              <w:t>1,326</w:t>
            </w:r>
          </w:p>
        </w:tc>
        <w:tc>
          <w:tcPr>
            <w:tcW w:w="863" w:type="pct"/>
            <w:vAlign w:val="bottom"/>
          </w:tcPr>
          <w:p w14:paraId="2D2F33A9" w14:textId="09F0EE8B" w:rsidR="00AA6D68" w:rsidRPr="00781112" w:rsidRDefault="00AA6D68" w:rsidP="00AA6D68">
            <w:pPr>
              <w:jc w:val="center"/>
              <w:rPr>
                <w:rFonts w:cs="Arial"/>
                <w:color w:val="000000" w:themeColor="text1"/>
                <w:szCs w:val="16"/>
              </w:rPr>
            </w:pPr>
            <w:r w:rsidRPr="00781112">
              <w:rPr>
                <w:rFonts w:cs="Arial"/>
                <w:color w:val="000000" w:themeColor="text1"/>
                <w:szCs w:val="16"/>
              </w:rPr>
              <w:t>2,665</w:t>
            </w:r>
          </w:p>
        </w:tc>
        <w:tc>
          <w:tcPr>
            <w:tcW w:w="863" w:type="pct"/>
            <w:shd w:val="clear" w:color="auto" w:fill="auto"/>
            <w:vAlign w:val="bottom"/>
          </w:tcPr>
          <w:p w14:paraId="68B37A39" w14:textId="60285701" w:rsidR="00AA6D68" w:rsidRPr="00781112" w:rsidRDefault="00AA6D68" w:rsidP="00AA6D68">
            <w:pPr>
              <w:jc w:val="center"/>
              <w:rPr>
                <w:rFonts w:cs="Arial"/>
                <w:color w:val="000000" w:themeColor="text1"/>
                <w:szCs w:val="16"/>
              </w:rPr>
            </w:pPr>
            <w:r w:rsidRPr="00781112">
              <w:rPr>
                <w:rFonts w:cs="Arial"/>
                <w:color w:val="000000" w:themeColor="text1"/>
                <w:szCs w:val="16"/>
              </w:rPr>
              <w:t>721</w:t>
            </w:r>
          </w:p>
        </w:tc>
        <w:tc>
          <w:tcPr>
            <w:tcW w:w="860" w:type="pct"/>
            <w:vAlign w:val="bottom"/>
          </w:tcPr>
          <w:p w14:paraId="1B31D3BF" w14:textId="343E52C8" w:rsidR="00AA6D68" w:rsidRPr="00781112" w:rsidRDefault="00AA6D68" w:rsidP="00AA6D68">
            <w:pPr>
              <w:jc w:val="center"/>
              <w:rPr>
                <w:rFonts w:cs="Arial"/>
                <w:color w:val="000000" w:themeColor="text1"/>
                <w:szCs w:val="16"/>
              </w:rPr>
            </w:pPr>
            <w:r w:rsidRPr="00781112">
              <w:rPr>
                <w:rFonts w:cs="Arial"/>
                <w:color w:val="000000" w:themeColor="text1"/>
                <w:szCs w:val="16"/>
              </w:rPr>
              <w:t>4,712</w:t>
            </w:r>
          </w:p>
        </w:tc>
      </w:tr>
      <w:tr w:rsidR="00AA6D68" w:rsidRPr="00781112" w14:paraId="582B62E7" w14:textId="4FE061F8" w:rsidTr="00360DD6">
        <w:trPr>
          <w:cantSplit/>
        </w:trPr>
        <w:tc>
          <w:tcPr>
            <w:tcW w:w="1551" w:type="pct"/>
            <w:shd w:val="clear" w:color="auto" w:fill="auto"/>
            <w:vAlign w:val="bottom"/>
          </w:tcPr>
          <w:p w14:paraId="446012AB" w14:textId="507DD720" w:rsidR="00AA6D68" w:rsidRPr="00781112" w:rsidRDefault="00AA6D68" w:rsidP="00AA6D68">
            <w:pPr>
              <w:rPr>
                <w:rFonts w:cs="Arial"/>
                <w:color w:val="000000" w:themeColor="text1"/>
                <w:szCs w:val="16"/>
              </w:rPr>
            </w:pPr>
            <w:r w:rsidRPr="00781112">
              <w:rPr>
                <w:rFonts w:cs="Arial"/>
                <w:color w:val="000000" w:themeColor="text1"/>
                <w:szCs w:val="16"/>
              </w:rPr>
              <w:lastRenderedPageBreak/>
              <w:t>b1. Number of children attending separate special education class</w:t>
            </w:r>
          </w:p>
        </w:tc>
        <w:tc>
          <w:tcPr>
            <w:tcW w:w="863" w:type="pct"/>
            <w:vAlign w:val="bottom"/>
          </w:tcPr>
          <w:p w14:paraId="5B37B0B3" w14:textId="176B3EE5" w:rsidR="00AA6D68" w:rsidRPr="00781112" w:rsidRDefault="00AA6D68" w:rsidP="00AA6D68">
            <w:pPr>
              <w:jc w:val="center"/>
              <w:rPr>
                <w:rFonts w:cs="Arial"/>
                <w:color w:val="000000" w:themeColor="text1"/>
                <w:szCs w:val="16"/>
              </w:rPr>
            </w:pPr>
            <w:r w:rsidRPr="00781112">
              <w:rPr>
                <w:rFonts w:cs="Arial"/>
                <w:color w:val="000000" w:themeColor="text1"/>
                <w:szCs w:val="16"/>
              </w:rPr>
              <w:t>557</w:t>
            </w:r>
          </w:p>
        </w:tc>
        <w:tc>
          <w:tcPr>
            <w:tcW w:w="863" w:type="pct"/>
            <w:vAlign w:val="bottom"/>
          </w:tcPr>
          <w:p w14:paraId="649C86D1" w14:textId="317BBD6C" w:rsidR="00AA6D68" w:rsidRPr="00781112" w:rsidRDefault="00AA6D68" w:rsidP="00AA6D68">
            <w:pPr>
              <w:jc w:val="center"/>
              <w:rPr>
                <w:rFonts w:cs="Arial"/>
                <w:color w:val="000000" w:themeColor="text1"/>
                <w:szCs w:val="16"/>
              </w:rPr>
            </w:pPr>
            <w:r w:rsidRPr="00781112">
              <w:rPr>
                <w:rFonts w:cs="Arial"/>
                <w:color w:val="000000" w:themeColor="text1"/>
                <w:szCs w:val="16"/>
              </w:rPr>
              <w:t>587</w:t>
            </w:r>
          </w:p>
        </w:tc>
        <w:tc>
          <w:tcPr>
            <w:tcW w:w="863" w:type="pct"/>
            <w:shd w:val="clear" w:color="auto" w:fill="auto"/>
            <w:vAlign w:val="bottom"/>
          </w:tcPr>
          <w:p w14:paraId="34B911BF" w14:textId="069E997C" w:rsidR="00AA6D68" w:rsidRPr="00781112" w:rsidRDefault="00AA6D68" w:rsidP="00AA6D68">
            <w:pPr>
              <w:jc w:val="center"/>
              <w:rPr>
                <w:rFonts w:cs="Arial"/>
                <w:color w:val="000000" w:themeColor="text1"/>
                <w:szCs w:val="16"/>
              </w:rPr>
            </w:pPr>
            <w:r w:rsidRPr="00781112">
              <w:rPr>
                <w:rFonts w:cs="Arial"/>
                <w:color w:val="000000" w:themeColor="text1"/>
                <w:szCs w:val="16"/>
              </w:rPr>
              <w:t>132</w:t>
            </w:r>
          </w:p>
        </w:tc>
        <w:tc>
          <w:tcPr>
            <w:tcW w:w="860" w:type="pct"/>
            <w:vAlign w:val="bottom"/>
          </w:tcPr>
          <w:p w14:paraId="6E1B5396" w14:textId="55FA87AA" w:rsidR="00AA6D68" w:rsidRPr="00781112" w:rsidRDefault="00AA6D68" w:rsidP="00AA6D68">
            <w:pPr>
              <w:jc w:val="center"/>
              <w:rPr>
                <w:rFonts w:cs="Arial"/>
                <w:color w:val="000000" w:themeColor="text1"/>
                <w:szCs w:val="16"/>
              </w:rPr>
            </w:pPr>
            <w:r w:rsidRPr="00781112">
              <w:rPr>
                <w:rFonts w:cs="Arial"/>
                <w:color w:val="000000" w:themeColor="text1"/>
                <w:szCs w:val="16"/>
              </w:rPr>
              <w:t>1,276</w:t>
            </w:r>
          </w:p>
        </w:tc>
      </w:tr>
      <w:tr w:rsidR="00AA6D68" w:rsidRPr="00781112" w14:paraId="5F08FCEF" w14:textId="35AA1AA1" w:rsidTr="00360DD6">
        <w:trPr>
          <w:cantSplit/>
        </w:trPr>
        <w:tc>
          <w:tcPr>
            <w:tcW w:w="1551" w:type="pct"/>
            <w:shd w:val="clear" w:color="auto" w:fill="auto"/>
            <w:vAlign w:val="bottom"/>
          </w:tcPr>
          <w:p w14:paraId="3C415E88" w14:textId="06B2C03E" w:rsidR="00AA6D68" w:rsidRPr="00781112" w:rsidRDefault="00AA6D68" w:rsidP="00AA6D68">
            <w:pPr>
              <w:rPr>
                <w:rFonts w:cs="Arial"/>
                <w:color w:val="000000" w:themeColor="text1"/>
                <w:szCs w:val="16"/>
              </w:rPr>
            </w:pPr>
            <w:r w:rsidRPr="00781112">
              <w:rPr>
                <w:rFonts w:cs="Arial"/>
                <w:color w:val="000000" w:themeColor="text1"/>
                <w:szCs w:val="16"/>
              </w:rPr>
              <w:t>b2. Number of children attending separate school</w:t>
            </w:r>
          </w:p>
        </w:tc>
        <w:tc>
          <w:tcPr>
            <w:tcW w:w="863" w:type="pct"/>
            <w:vAlign w:val="bottom"/>
          </w:tcPr>
          <w:p w14:paraId="0B0C493F" w14:textId="085891A4" w:rsidR="00AA6D68" w:rsidRPr="00781112" w:rsidRDefault="00AA6D68" w:rsidP="00AA6D68">
            <w:pPr>
              <w:jc w:val="center"/>
              <w:rPr>
                <w:rFonts w:cs="Arial"/>
                <w:color w:val="000000" w:themeColor="text1"/>
                <w:szCs w:val="16"/>
              </w:rPr>
            </w:pPr>
            <w:r w:rsidRPr="00781112">
              <w:rPr>
                <w:rFonts w:cs="Arial"/>
                <w:color w:val="000000" w:themeColor="text1"/>
                <w:szCs w:val="16"/>
              </w:rPr>
              <w:t>8</w:t>
            </w:r>
          </w:p>
        </w:tc>
        <w:tc>
          <w:tcPr>
            <w:tcW w:w="863" w:type="pct"/>
            <w:vAlign w:val="bottom"/>
          </w:tcPr>
          <w:p w14:paraId="7F83F331" w14:textId="1A8FD76D" w:rsidR="00AA6D68" w:rsidRPr="00781112" w:rsidRDefault="00AA6D68" w:rsidP="00AA6D68">
            <w:pPr>
              <w:jc w:val="center"/>
              <w:rPr>
                <w:rFonts w:cs="Arial"/>
                <w:color w:val="000000" w:themeColor="text1"/>
                <w:szCs w:val="16"/>
              </w:rPr>
            </w:pPr>
            <w:r w:rsidRPr="00781112">
              <w:rPr>
                <w:rFonts w:cs="Arial"/>
                <w:color w:val="000000" w:themeColor="text1"/>
                <w:szCs w:val="16"/>
              </w:rPr>
              <w:t>7</w:t>
            </w:r>
          </w:p>
        </w:tc>
        <w:tc>
          <w:tcPr>
            <w:tcW w:w="863" w:type="pct"/>
            <w:shd w:val="clear" w:color="auto" w:fill="auto"/>
            <w:vAlign w:val="bottom"/>
          </w:tcPr>
          <w:p w14:paraId="32D467B1" w14:textId="0D72CE8A" w:rsidR="00AA6D68" w:rsidRPr="00781112" w:rsidRDefault="00AA6D68" w:rsidP="00AA6D68">
            <w:pPr>
              <w:jc w:val="center"/>
              <w:rPr>
                <w:rFonts w:cs="Arial"/>
                <w:color w:val="000000" w:themeColor="text1"/>
                <w:szCs w:val="16"/>
              </w:rPr>
            </w:pPr>
            <w:r w:rsidRPr="00781112">
              <w:rPr>
                <w:rFonts w:cs="Arial"/>
                <w:color w:val="000000" w:themeColor="text1"/>
                <w:szCs w:val="16"/>
              </w:rPr>
              <w:t>1</w:t>
            </w:r>
          </w:p>
        </w:tc>
        <w:tc>
          <w:tcPr>
            <w:tcW w:w="860" w:type="pct"/>
            <w:vAlign w:val="bottom"/>
          </w:tcPr>
          <w:p w14:paraId="59CC5F97" w14:textId="073369C4" w:rsidR="00AA6D68" w:rsidRPr="00781112" w:rsidRDefault="00AA6D68" w:rsidP="00AA6D68">
            <w:pPr>
              <w:jc w:val="center"/>
              <w:rPr>
                <w:rFonts w:cs="Arial"/>
                <w:color w:val="000000" w:themeColor="text1"/>
                <w:szCs w:val="16"/>
              </w:rPr>
            </w:pPr>
            <w:r w:rsidRPr="00781112">
              <w:rPr>
                <w:rFonts w:cs="Arial"/>
                <w:color w:val="000000" w:themeColor="text1"/>
                <w:szCs w:val="16"/>
              </w:rPr>
              <w:t>16</w:t>
            </w:r>
          </w:p>
        </w:tc>
      </w:tr>
      <w:tr w:rsidR="00AA6D68" w:rsidRPr="00781112" w14:paraId="285801C1" w14:textId="545BB6C5" w:rsidTr="00360DD6">
        <w:trPr>
          <w:cantSplit/>
        </w:trPr>
        <w:tc>
          <w:tcPr>
            <w:tcW w:w="1551" w:type="pct"/>
            <w:shd w:val="clear" w:color="auto" w:fill="auto"/>
            <w:vAlign w:val="bottom"/>
          </w:tcPr>
          <w:p w14:paraId="4D90BA5B" w14:textId="1285C74B" w:rsidR="00AA6D68" w:rsidRPr="00781112" w:rsidRDefault="00AA6D68" w:rsidP="00AA6D68">
            <w:pPr>
              <w:rPr>
                <w:rFonts w:cs="Arial"/>
                <w:color w:val="000000" w:themeColor="text1"/>
                <w:szCs w:val="16"/>
              </w:rPr>
            </w:pPr>
            <w:r w:rsidRPr="00781112">
              <w:rPr>
                <w:rFonts w:cs="Arial"/>
                <w:color w:val="000000" w:themeColor="text1"/>
                <w:szCs w:val="16"/>
              </w:rPr>
              <w:t>b3. Number of children attending residential facility</w:t>
            </w:r>
          </w:p>
        </w:tc>
        <w:tc>
          <w:tcPr>
            <w:tcW w:w="863" w:type="pct"/>
            <w:vAlign w:val="bottom"/>
          </w:tcPr>
          <w:p w14:paraId="10FA71B8" w14:textId="48D7E7C4"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vAlign w:val="bottom"/>
          </w:tcPr>
          <w:p w14:paraId="3DF044A6" w14:textId="3BE72431"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3" w:type="pct"/>
            <w:shd w:val="clear" w:color="auto" w:fill="auto"/>
            <w:vAlign w:val="bottom"/>
          </w:tcPr>
          <w:p w14:paraId="444A24A0" w14:textId="086A4938"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c>
          <w:tcPr>
            <w:tcW w:w="860" w:type="pct"/>
            <w:vAlign w:val="bottom"/>
          </w:tcPr>
          <w:p w14:paraId="5D7F86B2" w14:textId="5A6D31FC" w:rsidR="00AA6D68" w:rsidRPr="00781112" w:rsidRDefault="00AA6D68" w:rsidP="00AA6D68">
            <w:pPr>
              <w:jc w:val="center"/>
              <w:rPr>
                <w:rFonts w:cs="Arial"/>
                <w:color w:val="000000" w:themeColor="text1"/>
                <w:szCs w:val="16"/>
              </w:rPr>
            </w:pPr>
            <w:r w:rsidRPr="00781112">
              <w:rPr>
                <w:rFonts w:cs="Arial"/>
                <w:color w:val="000000" w:themeColor="text1"/>
                <w:szCs w:val="16"/>
              </w:rPr>
              <w:t>0</w:t>
            </w:r>
          </w:p>
        </w:tc>
      </w:tr>
      <w:tr w:rsidR="00AA6D68" w:rsidRPr="00781112" w14:paraId="162FD575" w14:textId="77777777" w:rsidTr="00360DD6">
        <w:trPr>
          <w:cantSplit/>
        </w:trPr>
        <w:tc>
          <w:tcPr>
            <w:tcW w:w="1551" w:type="pct"/>
            <w:shd w:val="clear" w:color="auto" w:fill="auto"/>
          </w:tcPr>
          <w:p w14:paraId="469B81A7" w14:textId="048681D7" w:rsidR="00AA6D68" w:rsidRPr="00781112" w:rsidRDefault="00AA6D68" w:rsidP="00AA6D68">
            <w:pPr>
              <w:rPr>
                <w:rFonts w:cs="Arial"/>
                <w:color w:val="000000" w:themeColor="text1"/>
                <w:szCs w:val="16"/>
              </w:rPr>
            </w:pPr>
            <w:r w:rsidRPr="00781112">
              <w:rPr>
                <w:rFonts w:cs="Arial"/>
                <w:color w:val="000000"/>
                <w:szCs w:val="16"/>
              </w:rPr>
              <w:t>c1</w:t>
            </w:r>
            <w:r w:rsidRPr="00781112">
              <w:rPr>
                <w:rFonts w:cs="Arial"/>
                <w:b/>
                <w:bCs/>
                <w:color w:val="000000"/>
                <w:szCs w:val="16"/>
              </w:rPr>
              <w:t xml:space="preserve">. </w:t>
            </w:r>
            <w:r w:rsidRPr="00781112">
              <w:rPr>
                <w:rFonts w:cs="Arial"/>
                <w:color w:val="000000"/>
                <w:szCs w:val="16"/>
              </w:rPr>
              <w:t>Number</w:t>
            </w:r>
            <w:r w:rsidRPr="00781112">
              <w:rPr>
                <w:rFonts w:cs="Arial"/>
                <w:b/>
                <w:bCs/>
                <w:color w:val="000000"/>
                <w:szCs w:val="16"/>
              </w:rPr>
              <w:t xml:space="preserve"> </w:t>
            </w:r>
            <w:r w:rsidRPr="00781112">
              <w:rPr>
                <w:rFonts w:cs="Arial"/>
                <w:color w:val="000000"/>
                <w:szCs w:val="16"/>
              </w:rPr>
              <w:t xml:space="preserve">of children receiving </w:t>
            </w:r>
            <w:r w:rsidRPr="00781112">
              <w:rPr>
                <w:rFonts w:cs="Arial"/>
                <w:szCs w:val="16"/>
              </w:rPr>
              <w:t>special education and related services in the home</w:t>
            </w:r>
          </w:p>
        </w:tc>
        <w:tc>
          <w:tcPr>
            <w:tcW w:w="863" w:type="pct"/>
            <w:vAlign w:val="bottom"/>
          </w:tcPr>
          <w:p w14:paraId="56C9B5B7" w14:textId="065E27FB" w:rsidR="00AA6D68" w:rsidRPr="00781112" w:rsidRDefault="00AA6D68" w:rsidP="00AA6D68">
            <w:pPr>
              <w:jc w:val="center"/>
              <w:rPr>
                <w:rFonts w:cs="Arial"/>
                <w:color w:val="000000" w:themeColor="text1"/>
                <w:szCs w:val="16"/>
              </w:rPr>
            </w:pPr>
            <w:r w:rsidRPr="00781112">
              <w:rPr>
                <w:rFonts w:cs="Arial"/>
                <w:color w:val="000000" w:themeColor="text1"/>
                <w:szCs w:val="16"/>
              </w:rPr>
              <w:t>749</w:t>
            </w:r>
          </w:p>
        </w:tc>
        <w:tc>
          <w:tcPr>
            <w:tcW w:w="863" w:type="pct"/>
            <w:vAlign w:val="bottom"/>
          </w:tcPr>
          <w:p w14:paraId="134D035A" w14:textId="14186034" w:rsidR="00AA6D68" w:rsidRPr="00781112" w:rsidRDefault="00AA6D68" w:rsidP="00AA6D68">
            <w:pPr>
              <w:jc w:val="center"/>
              <w:rPr>
                <w:rFonts w:cs="Arial"/>
                <w:color w:val="000000" w:themeColor="text1"/>
                <w:szCs w:val="16"/>
              </w:rPr>
            </w:pPr>
            <w:r w:rsidRPr="00781112">
              <w:rPr>
                <w:rFonts w:cs="Arial"/>
                <w:color w:val="000000" w:themeColor="text1"/>
                <w:szCs w:val="16"/>
              </w:rPr>
              <w:t>469</w:t>
            </w:r>
          </w:p>
        </w:tc>
        <w:tc>
          <w:tcPr>
            <w:tcW w:w="863" w:type="pct"/>
            <w:shd w:val="clear" w:color="auto" w:fill="auto"/>
            <w:vAlign w:val="bottom"/>
          </w:tcPr>
          <w:p w14:paraId="0C864D52" w14:textId="38992EC2" w:rsidR="00AA6D68" w:rsidRPr="00781112" w:rsidDel="00E25159" w:rsidRDefault="00AA6D68" w:rsidP="00AA6D68">
            <w:pPr>
              <w:jc w:val="center"/>
              <w:rPr>
                <w:rFonts w:cs="Arial"/>
                <w:color w:val="000000" w:themeColor="text1"/>
                <w:szCs w:val="16"/>
              </w:rPr>
            </w:pPr>
            <w:r w:rsidRPr="00781112">
              <w:rPr>
                <w:rFonts w:cs="Arial"/>
                <w:color w:val="000000" w:themeColor="text1"/>
                <w:szCs w:val="16"/>
              </w:rPr>
              <w:t>68</w:t>
            </w:r>
          </w:p>
        </w:tc>
        <w:tc>
          <w:tcPr>
            <w:tcW w:w="860" w:type="pct"/>
            <w:vAlign w:val="bottom"/>
          </w:tcPr>
          <w:p w14:paraId="1750EA0E" w14:textId="2B34BC50" w:rsidR="00AA6D68" w:rsidRPr="00781112" w:rsidRDefault="00AA6D68" w:rsidP="00AA6D68">
            <w:pPr>
              <w:jc w:val="center"/>
              <w:rPr>
                <w:rFonts w:cs="Arial"/>
                <w:color w:val="000000" w:themeColor="text1"/>
                <w:szCs w:val="16"/>
              </w:rPr>
            </w:pPr>
            <w:r w:rsidRPr="00781112">
              <w:rPr>
                <w:rFonts w:cs="Arial"/>
                <w:color w:val="000000" w:themeColor="text1"/>
                <w:szCs w:val="16"/>
              </w:rPr>
              <w:t>1,286</w:t>
            </w:r>
          </w:p>
        </w:tc>
      </w:tr>
    </w:tbl>
    <w:p w14:paraId="68A2C8C5" w14:textId="4EBE62FD" w:rsidR="00AB2A39" w:rsidRPr="00781112" w:rsidRDefault="00AB2A39" w:rsidP="004369B2">
      <w:pPr>
        <w:rPr>
          <w:color w:val="000000" w:themeColor="text1"/>
        </w:rPr>
      </w:pPr>
    </w:p>
    <w:p w14:paraId="051F4366" w14:textId="77777777" w:rsidR="00C910BC" w:rsidRPr="00781112" w:rsidRDefault="00C910BC" w:rsidP="00C910BC">
      <w:pPr>
        <w:rPr>
          <w:b/>
          <w:color w:val="000000" w:themeColor="text1"/>
        </w:rPr>
      </w:pPr>
      <w:r w:rsidRPr="00781112">
        <w:rPr>
          <w:b/>
          <w:color w:val="000000" w:themeColor="text1"/>
        </w:rPr>
        <w:t>Select yes if the data reported in this indicator are not the same as the State’s data reported under section 618 of the IDEA.</w:t>
      </w:r>
    </w:p>
    <w:p w14:paraId="1B696537" w14:textId="29C6B4ED" w:rsidR="00C910BC" w:rsidRPr="00781112" w:rsidRDefault="00C910BC" w:rsidP="00C910BC">
      <w:pPr>
        <w:rPr>
          <w:color w:val="000000" w:themeColor="text1"/>
        </w:rPr>
      </w:pPr>
      <w:r w:rsidRPr="00781112">
        <w:rPr>
          <w:color w:val="000000" w:themeColor="text1"/>
        </w:rPr>
        <w:t>NO</w:t>
      </w:r>
    </w:p>
    <w:p w14:paraId="42C69847" w14:textId="2CAC8037" w:rsidR="002D5ED8" w:rsidRDefault="002D5ED8" w:rsidP="00D16730">
      <w:pPr>
        <w:rPr>
          <w:b/>
          <w:color w:val="000000" w:themeColor="text1"/>
        </w:rPr>
      </w:pPr>
    </w:p>
    <w:p w14:paraId="6C024B4D" w14:textId="77777777" w:rsidR="00D16730" w:rsidRPr="00781112" w:rsidRDefault="00D16730" w:rsidP="007D100A">
      <w:pPr>
        <w:rPr>
          <w:rFonts w:cs="Arial"/>
          <w:color w:val="000000" w:themeColor="text1"/>
          <w:szCs w:val="16"/>
        </w:rPr>
      </w:pPr>
    </w:p>
    <w:p w14:paraId="318E60C6" w14:textId="77777777" w:rsidR="007D100A" w:rsidRPr="00781112" w:rsidRDefault="007D100A" w:rsidP="004369B2">
      <w:pPr>
        <w:rPr>
          <w:b/>
          <w:color w:val="000000" w:themeColor="text1"/>
        </w:rPr>
      </w:pPr>
    </w:p>
    <w:p w14:paraId="0F42B2F6" w14:textId="37ADB66A" w:rsidR="00E60622" w:rsidRPr="00781112" w:rsidRDefault="0047313F" w:rsidP="004369B2">
      <w:pPr>
        <w:rPr>
          <w:b/>
          <w:bCs/>
          <w:color w:val="000000" w:themeColor="text1"/>
        </w:rPr>
      </w:pPr>
      <w:r>
        <w:rPr>
          <w:b/>
          <w:bCs/>
          <w:color w:val="000000" w:themeColor="text1"/>
        </w:rPr>
        <w:t xml:space="preserve">FFY 2023 SPP/APR Data - </w:t>
      </w:r>
      <w:r w:rsidR="00A6295C" w:rsidRPr="00781112">
        <w:rPr>
          <w:rFonts w:cs="Arial"/>
          <w:b/>
          <w:color w:val="000000" w:themeColor="text1"/>
          <w:szCs w:val="16"/>
        </w:rPr>
        <w:t>Aged 3 through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6AGE3TO5CFFYAPRDATA618"/>
      </w:tblPr>
      <w:tblGrid>
        <w:gridCol w:w="2964"/>
        <w:gridCol w:w="1118"/>
        <w:gridCol w:w="1118"/>
        <w:gridCol w:w="1118"/>
        <w:gridCol w:w="1118"/>
        <w:gridCol w:w="1118"/>
        <w:gridCol w:w="1118"/>
        <w:gridCol w:w="1118"/>
      </w:tblGrid>
      <w:tr w:rsidR="00CC1061" w:rsidRPr="00781112" w14:paraId="38300B51" w14:textId="77777777" w:rsidTr="007239EC">
        <w:trPr>
          <w:trHeight w:val="354"/>
          <w:tblHeader/>
        </w:trPr>
        <w:tc>
          <w:tcPr>
            <w:tcW w:w="1373" w:type="pct"/>
            <w:shd w:val="clear" w:color="auto" w:fill="auto"/>
            <w:vAlign w:val="bottom"/>
          </w:tcPr>
          <w:p w14:paraId="0F38A3C5" w14:textId="3D46820E" w:rsidR="00CC1061" w:rsidRPr="00781112" w:rsidRDefault="00CC1061" w:rsidP="00CC1061">
            <w:pPr>
              <w:jc w:val="center"/>
              <w:rPr>
                <w:rFonts w:cs="Arial"/>
                <w:b/>
                <w:color w:val="000000" w:themeColor="text1"/>
                <w:szCs w:val="16"/>
              </w:rPr>
            </w:pPr>
            <w:r w:rsidRPr="00781112">
              <w:rPr>
                <w:rFonts w:cs="Arial"/>
                <w:b/>
                <w:color w:val="000000" w:themeColor="text1"/>
                <w:szCs w:val="16"/>
              </w:rPr>
              <w:t>Preschool Environments</w:t>
            </w:r>
          </w:p>
        </w:tc>
        <w:tc>
          <w:tcPr>
            <w:tcW w:w="518" w:type="pct"/>
            <w:shd w:val="clear" w:color="auto" w:fill="auto"/>
            <w:vAlign w:val="bottom"/>
          </w:tcPr>
          <w:p w14:paraId="0AEF809B" w14:textId="4D8F18F7" w:rsidR="00CC1061" w:rsidRPr="00781112" w:rsidRDefault="00CC1061" w:rsidP="00CC1061">
            <w:pPr>
              <w:jc w:val="center"/>
              <w:rPr>
                <w:rFonts w:cs="Arial"/>
                <w:b/>
                <w:color w:val="000000" w:themeColor="text1"/>
                <w:szCs w:val="16"/>
              </w:rPr>
            </w:pPr>
            <w:r w:rsidRPr="00781112">
              <w:rPr>
                <w:rFonts w:cs="Arial"/>
                <w:b/>
                <w:color w:val="000000" w:themeColor="text1"/>
                <w:szCs w:val="16"/>
              </w:rPr>
              <w:t>Number of children with IEPs aged 3 through 5 served</w:t>
            </w:r>
          </w:p>
        </w:tc>
        <w:tc>
          <w:tcPr>
            <w:tcW w:w="518" w:type="pct"/>
            <w:shd w:val="clear" w:color="auto" w:fill="auto"/>
            <w:vAlign w:val="bottom"/>
          </w:tcPr>
          <w:p w14:paraId="21256B17" w14:textId="12840CBA" w:rsidR="00CC1061" w:rsidRPr="00781112" w:rsidRDefault="00CC1061" w:rsidP="00CC1061">
            <w:pPr>
              <w:jc w:val="center"/>
              <w:rPr>
                <w:rFonts w:cs="Arial"/>
                <w:b/>
                <w:color w:val="000000" w:themeColor="text1"/>
                <w:szCs w:val="16"/>
              </w:rPr>
            </w:pPr>
            <w:r w:rsidRPr="00781112">
              <w:rPr>
                <w:rFonts w:cs="Arial"/>
                <w:b/>
                <w:color w:val="000000" w:themeColor="text1"/>
                <w:szCs w:val="16"/>
              </w:rPr>
              <w:t>Total number of children with IEPs aged 3 through 5</w:t>
            </w:r>
          </w:p>
        </w:tc>
        <w:tc>
          <w:tcPr>
            <w:tcW w:w="518" w:type="pct"/>
            <w:shd w:val="clear" w:color="auto" w:fill="auto"/>
            <w:vAlign w:val="bottom"/>
          </w:tcPr>
          <w:p w14:paraId="338A0E59" w14:textId="1E3BCDC3" w:rsidR="00CC1061" w:rsidRPr="00781112" w:rsidRDefault="00CC1061" w:rsidP="00CC1061">
            <w:pPr>
              <w:jc w:val="center"/>
              <w:rPr>
                <w:rFonts w:cs="Arial"/>
                <w:b/>
                <w:color w:val="000000" w:themeColor="text1"/>
                <w:szCs w:val="16"/>
              </w:rPr>
            </w:pPr>
            <w:r w:rsidRPr="00073BD7">
              <w:rPr>
                <w:b/>
                <w:bCs/>
              </w:rPr>
              <w:t>FFY 2022 Data</w:t>
            </w:r>
          </w:p>
        </w:tc>
        <w:tc>
          <w:tcPr>
            <w:tcW w:w="518" w:type="pct"/>
            <w:shd w:val="clear" w:color="auto" w:fill="auto"/>
            <w:vAlign w:val="bottom"/>
          </w:tcPr>
          <w:p w14:paraId="525540A0" w14:textId="77516FBA" w:rsidR="00CC1061" w:rsidRPr="00781112" w:rsidRDefault="00CC1061" w:rsidP="00CC1061">
            <w:pPr>
              <w:jc w:val="center"/>
              <w:rPr>
                <w:rFonts w:cs="Arial"/>
                <w:b/>
                <w:color w:val="000000" w:themeColor="text1"/>
                <w:szCs w:val="16"/>
              </w:rPr>
            </w:pPr>
            <w:r w:rsidRPr="00073BD7">
              <w:rPr>
                <w:b/>
                <w:bCs/>
              </w:rPr>
              <w:t>FFY 2023 Target</w:t>
            </w:r>
          </w:p>
        </w:tc>
        <w:tc>
          <w:tcPr>
            <w:tcW w:w="518" w:type="pct"/>
            <w:shd w:val="clear" w:color="auto" w:fill="auto"/>
            <w:vAlign w:val="bottom"/>
          </w:tcPr>
          <w:p w14:paraId="2B9D213A" w14:textId="0A383420" w:rsidR="00CC1061" w:rsidRPr="00781112" w:rsidRDefault="00CC1061" w:rsidP="00CC1061">
            <w:pPr>
              <w:jc w:val="center"/>
              <w:rPr>
                <w:rFonts w:cs="Arial"/>
                <w:b/>
                <w:color w:val="000000" w:themeColor="text1"/>
                <w:szCs w:val="16"/>
              </w:rPr>
            </w:pPr>
            <w:r w:rsidRPr="00073BD7">
              <w:rPr>
                <w:b/>
                <w:bCs/>
              </w:rPr>
              <w:t>FFY 2023 Data</w:t>
            </w:r>
          </w:p>
        </w:tc>
        <w:tc>
          <w:tcPr>
            <w:tcW w:w="518" w:type="pct"/>
            <w:shd w:val="clear" w:color="auto" w:fill="auto"/>
            <w:vAlign w:val="bottom"/>
          </w:tcPr>
          <w:p w14:paraId="46108583"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Status</w:t>
            </w:r>
          </w:p>
        </w:tc>
        <w:tc>
          <w:tcPr>
            <w:tcW w:w="518" w:type="pct"/>
            <w:shd w:val="clear" w:color="auto" w:fill="auto"/>
            <w:vAlign w:val="bottom"/>
          </w:tcPr>
          <w:p w14:paraId="02DECB75" w14:textId="77777777" w:rsidR="00CC1061" w:rsidRPr="00781112" w:rsidRDefault="00CC1061" w:rsidP="00CC1061">
            <w:pPr>
              <w:jc w:val="center"/>
              <w:rPr>
                <w:rFonts w:cs="Arial"/>
                <w:b/>
                <w:color w:val="000000" w:themeColor="text1"/>
                <w:szCs w:val="16"/>
              </w:rPr>
            </w:pPr>
            <w:r w:rsidRPr="00781112">
              <w:rPr>
                <w:rFonts w:cs="Arial"/>
                <w:b/>
                <w:color w:val="000000" w:themeColor="text1"/>
                <w:szCs w:val="16"/>
              </w:rPr>
              <w:t>Slippage</w:t>
            </w:r>
          </w:p>
        </w:tc>
      </w:tr>
      <w:tr w:rsidR="005C29F8" w:rsidRPr="00781112" w14:paraId="57F8AB2C" w14:textId="77777777" w:rsidTr="007239EC">
        <w:trPr>
          <w:trHeight w:val="917"/>
        </w:trPr>
        <w:tc>
          <w:tcPr>
            <w:tcW w:w="1373" w:type="pct"/>
            <w:shd w:val="clear" w:color="auto" w:fill="auto"/>
            <w:vAlign w:val="center"/>
          </w:tcPr>
          <w:p w14:paraId="262EE4AB" w14:textId="15267873"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A. A regular early childhood program and receiving the majority of special education and related services in the regular early childhood program</w:t>
            </w:r>
          </w:p>
        </w:tc>
        <w:tc>
          <w:tcPr>
            <w:tcW w:w="518" w:type="pct"/>
            <w:shd w:val="clear" w:color="auto" w:fill="auto"/>
            <w:vAlign w:val="center"/>
          </w:tcPr>
          <w:p w14:paraId="251726D2" w14:textId="038B4D14" w:rsidR="00CF6742" w:rsidRPr="00781112" w:rsidRDefault="002B7490" w:rsidP="00A018D4">
            <w:pPr>
              <w:jc w:val="center"/>
              <w:rPr>
                <w:rFonts w:cs="Arial"/>
                <w:color w:val="000000" w:themeColor="text1"/>
                <w:szCs w:val="16"/>
              </w:rPr>
            </w:pPr>
            <w:r w:rsidRPr="00781112">
              <w:rPr>
                <w:rFonts w:cs="Arial"/>
                <w:color w:val="000000" w:themeColor="text1"/>
                <w:szCs w:val="16"/>
              </w:rPr>
              <w:t>4,712</w:t>
            </w:r>
          </w:p>
          <w:p w14:paraId="70072E1D" w14:textId="45212F0F" w:rsidR="00CC3A85" w:rsidRPr="00781112" w:rsidRDefault="00CC3A85" w:rsidP="00A018D4">
            <w:pPr>
              <w:jc w:val="center"/>
              <w:rPr>
                <w:rFonts w:cs="Arial"/>
                <w:color w:val="000000" w:themeColor="text1"/>
                <w:szCs w:val="16"/>
              </w:rPr>
            </w:pPr>
          </w:p>
        </w:tc>
        <w:tc>
          <w:tcPr>
            <w:tcW w:w="518" w:type="pct"/>
            <w:shd w:val="clear" w:color="auto" w:fill="auto"/>
            <w:vAlign w:val="center"/>
          </w:tcPr>
          <w:p w14:paraId="5E80FF00" w14:textId="1218B9E8" w:rsidR="00CF6742" w:rsidRPr="00781112" w:rsidRDefault="002B7490" w:rsidP="00A018D4">
            <w:pPr>
              <w:jc w:val="center"/>
              <w:rPr>
                <w:rFonts w:cs="Arial"/>
                <w:color w:val="000000" w:themeColor="text1"/>
                <w:szCs w:val="16"/>
              </w:rPr>
            </w:pPr>
            <w:r w:rsidRPr="00781112">
              <w:rPr>
                <w:rFonts w:cs="Arial"/>
                <w:color w:val="000000" w:themeColor="text1"/>
                <w:szCs w:val="16"/>
              </w:rPr>
              <w:t>8,506</w:t>
            </w:r>
          </w:p>
        </w:tc>
        <w:tc>
          <w:tcPr>
            <w:tcW w:w="518" w:type="pct"/>
            <w:shd w:val="clear" w:color="auto" w:fill="auto"/>
            <w:vAlign w:val="center"/>
          </w:tcPr>
          <w:p w14:paraId="15C39591" w14:textId="59A0B140" w:rsidR="00CF6742" w:rsidRPr="00781112" w:rsidRDefault="002B7490" w:rsidP="00A018D4">
            <w:pPr>
              <w:jc w:val="center"/>
              <w:rPr>
                <w:rFonts w:cs="Arial"/>
                <w:color w:val="000000" w:themeColor="text1"/>
                <w:szCs w:val="16"/>
              </w:rPr>
            </w:pPr>
            <w:r w:rsidRPr="00781112">
              <w:rPr>
                <w:rFonts w:cs="Arial"/>
                <w:color w:val="000000" w:themeColor="text1"/>
                <w:szCs w:val="16"/>
              </w:rPr>
              <w:t>52.94%</w:t>
            </w:r>
          </w:p>
        </w:tc>
        <w:tc>
          <w:tcPr>
            <w:tcW w:w="518" w:type="pct"/>
            <w:shd w:val="clear" w:color="auto" w:fill="auto"/>
            <w:vAlign w:val="center"/>
          </w:tcPr>
          <w:p w14:paraId="0B4DAB1A" w14:textId="6A306EF5" w:rsidR="00CF6742" w:rsidRPr="00781112" w:rsidRDefault="002B7490" w:rsidP="00A018D4">
            <w:pPr>
              <w:jc w:val="center"/>
              <w:rPr>
                <w:rFonts w:cs="Arial"/>
                <w:color w:val="000000" w:themeColor="text1"/>
                <w:szCs w:val="16"/>
              </w:rPr>
            </w:pPr>
            <w:r w:rsidRPr="00781112">
              <w:rPr>
                <w:rFonts w:cs="Arial"/>
                <w:color w:val="000000" w:themeColor="text1"/>
                <w:szCs w:val="16"/>
              </w:rPr>
              <w:t>48.30%</w:t>
            </w:r>
          </w:p>
        </w:tc>
        <w:tc>
          <w:tcPr>
            <w:tcW w:w="518" w:type="pct"/>
            <w:shd w:val="clear" w:color="auto" w:fill="auto"/>
            <w:vAlign w:val="center"/>
          </w:tcPr>
          <w:p w14:paraId="3DA9CC9A" w14:textId="5BC63CA2" w:rsidR="00CF6742" w:rsidRPr="00781112" w:rsidRDefault="002B7490" w:rsidP="00A018D4">
            <w:pPr>
              <w:jc w:val="center"/>
              <w:rPr>
                <w:rFonts w:cs="Arial"/>
                <w:color w:val="000000" w:themeColor="text1"/>
                <w:szCs w:val="16"/>
              </w:rPr>
            </w:pPr>
            <w:r w:rsidRPr="00781112">
              <w:rPr>
                <w:rFonts w:cs="Arial"/>
                <w:color w:val="000000" w:themeColor="text1"/>
                <w:szCs w:val="16"/>
              </w:rPr>
              <w:t>55.40%</w:t>
            </w:r>
          </w:p>
        </w:tc>
        <w:tc>
          <w:tcPr>
            <w:tcW w:w="518" w:type="pct"/>
            <w:shd w:val="clear" w:color="auto" w:fill="auto"/>
            <w:vAlign w:val="center"/>
          </w:tcPr>
          <w:p w14:paraId="361B06B7" w14:textId="5F10F78E"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5DD5AFE" w14:textId="28F5E139"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203C22FB" w14:textId="77777777" w:rsidTr="007239EC">
        <w:trPr>
          <w:trHeight w:val="361"/>
        </w:trPr>
        <w:tc>
          <w:tcPr>
            <w:tcW w:w="1373" w:type="pct"/>
            <w:shd w:val="clear" w:color="auto" w:fill="auto"/>
            <w:vAlign w:val="center"/>
          </w:tcPr>
          <w:p w14:paraId="79CB9C36" w14:textId="0FF2F3E0" w:rsidR="00CF6742" w:rsidRPr="00781112" w:rsidRDefault="00CF6742" w:rsidP="00CF6742">
            <w:pPr>
              <w:rPr>
                <w:rFonts w:cs="Arial"/>
                <w:color w:val="000000" w:themeColor="text1"/>
                <w:szCs w:val="16"/>
              </w:rPr>
            </w:pPr>
            <w:r w:rsidRPr="00781112">
              <w:rPr>
                <w:rFonts w:cs="Arial"/>
                <w:color w:val="000000" w:themeColor="text1"/>
                <w:szCs w:val="16"/>
                <w:shd w:val="clear" w:color="auto" w:fill="FFFFFF"/>
              </w:rPr>
              <w:t>B. Separate special education class, separate school, or residential facility</w:t>
            </w:r>
          </w:p>
        </w:tc>
        <w:tc>
          <w:tcPr>
            <w:tcW w:w="518" w:type="pct"/>
            <w:shd w:val="clear" w:color="auto" w:fill="auto"/>
            <w:vAlign w:val="center"/>
          </w:tcPr>
          <w:p w14:paraId="1334ACAB" w14:textId="7BCE0AFD" w:rsidR="00CF6742" w:rsidRPr="00781112" w:rsidRDefault="002B7490" w:rsidP="00A018D4">
            <w:pPr>
              <w:jc w:val="center"/>
              <w:rPr>
                <w:rFonts w:cs="Arial"/>
                <w:color w:val="000000" w:themeColor="text1"/>
                <w:szCs w:val="16"/>
              </w:rPr>
            </w:pPr>
            <w:r w:rsidRPr="00781112">
              <w:rPr>
                <w:rFonts w:cs="Arial"/>
                <w:color w:val="000000" w:themeColor="text1"/>
                <w:szCs w:val="16"/>
              </w:rPr>
              <w:t>1,292</w:t>
            </w:r>
          </w:p>
        </w:tc>
        <w:tc>
          <w:tcPr>
            <w:tcW w:w="518" w:type="pct"/>
            <w:shd w:val="clear" w:color="auto" w:fill="auto"/>
            <w:vAlign w:val="center"/>
          </w:tcPr>
          <w:p w14:paraId="66D0E912" w14:textId="2A889076" w:rsidR="00CF6742" w:rsidRPr="00781112" w:rsidRDefault="002B7490" w:rsidP="00A018D4">
            <w:pPr>
              <w:jc w:val="center"/>
              <w:rPr>
                <w:rFonts w:cs="Arial"/>
                <w:color w:val="000000" w:themeColor="text1"/>
                <w:szCs w:val="16"/>
              </w:rPr>
            </w:pPr>
            <w:r w:rsidRPr="00781112">
              <w:rPr>
                <w:rFonts w:cs="Arial"/>
                <w:color w:val="000000" w:themeColor="text1"/>
                <w:szCs w:val="16"/>
              </w:rPr>
              <w:t>8,506</w:t>
            </w:r>
          </w:p>
        </w:tc>
        <w:tc>
          <w:tcPr>
            <w:tcW w:w="518" w:type="pct"/>
            <w:shd w:val="clear" w:color="auto" w:fill="auto"/>
            <w:vAlign w:val="center"/>
          </w:tcPr>
          <w:p w14:paraId="778A4648" w14:textId="541ABEC8" w:rsidR="00CF6742" w:rsidRPr="00781112" w:rsidRDefault="002B7490" w:rsidP="00A018D4">
            <w:pPr>
              <w:jc w:val="center"/>
              <w:rPr>
                <w:rFonts w:cs="Arial"/>
                <w:color w:val="000000" w:themeColor="text1"/>
                <w:szCs w:val="16"/>
              </w:rPr>
            </w:pPr>
            <w:r w:rsidRPr="00781112">
              <w:rPr>
                <w:rFonts w:cs="Arial"/>
                <w:color w:val="000000" w:themeColor="text1"/>
                <w:szCs w:val="16"/>
              </w:rPr>
              <w:t>17.08%</w:t>
            </w:r>
          </w:p>
        </w:tc>
        <w:tc>
          <w:tcPr>
            <w:tcW w:w="518" w:type="pct"/>
            <w:shd w:val="clear" w:color="auto" w:fill="auto"/>
            <w:vAlign w:val="center"/>
          </w:tcPr>
          <w:p w14:paraId="0EB723D5" w14:textId="782750AE" w:rsidR="00CF6742" w:rsidRPr="00781112" w:rsidRDefault="002B7490" w:rsidP="00A018D4">
            <w:pPr>
              <w:jc w:val="center"/>
              <w:rPr>
                <w:rFonts w:cs="Arial"/>
                <w:color w:val="000000" w:themeColor="text1"/>
                <w:szCs w:val="16"/>
              </w:rPr>
            </w:pPr>
            <w:r w:rsidRPr="00781112">
              <w:rPr>
                <w:rFonts w:cs="Arial"/>
                <w:color w:val="000000" w:themeColor="text1"/>
                <w:szCs w:val="16"/>
              </w:rPr>
              <w:t>23.00%</w:t>
            </w:r>
          </w:p>
        </w:tc>
        <w:tc>
          <w:tcPr>
            <w:tcW w:w="518" w:type="pct"/>
            <w:shd w:val="clear" w:color="auto" w:fill="auto"/>
            <w:vAlign w:val="center"/>
          </w:tcPr>
          <w:p w14:paraId="22E6569B" w14:textId="5DC635D1" w:rsidR="00CF6742" w:rsidRPr="00781112" w:rsidRDefault="002B7490" w:rsidP="00A018D4">
            <w:pPr>
              <w:jc w:val="center"/>
              <w:rPr>
                <w:rFonts w:cs="Arial"/>
                <w:color w:val="000000" w:themeColor="text1"/>
                <w:szCs w:val="16"/>
              </w:rPr>
            </w:pPr>
            <w:r w:rsidRPr="00781112">
              <w:rPr>
                <w:rFonts w:cs="Arial"/>
                <w:color w:val="000000" w:themeColor="text1"/>
                <w:szCs w:val="16"/>
              </w:rPr>
              <w:t>15.19%</w:t>
            </w:r>
          </w:p>
        </w:tc>
        <w:tc>
          <w:tcPr>
            <w:tcW w:w="518" w:type="pct"/>
            <w:shd w:val="clear" w:color="auto" w:fill="auto"/>
            <w:vAlign w:val="center"/>
          </w:tcPr>
          <w:p w14:paraId="799542EF" w14:textId="180B78FB" w:rsidR="00CF6742"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6E35C7BA" w14:textId="0B2CF7CC" w:rsidR="00CF6742"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7419E3" w:rsidRPr="00781112" w14:paraId="70135A14" w14:textId="77777777" w:rsidTr="007239EC">
        <w:trPr>
          <w:trHeight w:val="361"/>
        </w:trPr>
        <w:tc>
          <w:tcPr>
            <w:tcW w:w="1373" w:type="pct"/>
            <w:shd w:val="clear" w:color="auto" w:fill="auto"/>
            <w:vAlign w:val="center"/>
          </w:tcPr>
          <w:p w14:paraId="72DCC796" w14:textId="256E58C0" w:rsidR="007419E3" w:rsidRPr="00781112" w:rsidRDefault="007419E3" w:rsidP="007419E3">
            <w:pPr>
              <w:rPr>
                <w:rFonts w:cs="Arial"/>
                <w:color w:val="000000" w:themeColor="text1"/>
                <w:szCs w:val="16"/>
                <w:shd w:val="clear" w:color="auto" w:fill="FFFFFF"/>
              </w:rPr>
            </w:pPr>
            <w:r w:rsidRPr="00781112">
              <w:rPr>
                <w:rFonts w:cs="Arial"/>
                <w:color w:val="000000" w:themeColor="text1"/>
                <w:szCs w:val="16"/>
                <w:shd w:val="clear" w:color="auto" w:fill="FFFFFF"/>
              </w:rPr>
              <w:t>C. Home</w:t>
            </w:r>
          </w:p>
        </w:tc>
        <w:tc>
          <w:tcPr>
            <w:tcW w:w="518" w:type="pct"/>
            <w:shd w:val="clear" w:color="auto" w:fill="auto"/>
            <w:vAlign w:val="center"/>
          </w:tcPr>
          <w:p w14:paraId="1AE1B656" w14:textId="4AA764F4" w:rsidR="007419E3" w:rsidRPr="00781112" w:rsidRDefault="007419E3" w:rsidP="007419E3">
            <w:pPr>
              <w:jc w:val="center"/>
              <w:rPr>
                <w:rFonts w:cs="Arial"/>
                <w:color w:val="000000" w:themeColor="text1"/>
                <w:szCs w:val="16"/>
              </w:rPr>
            </w:pPr>
            <w:r w:rsidRPr="00781112">
              <w:rPr>
                <w:rFonts w:cs="Arial"/>
                <w:color w:val="000000" w:themeColor="text1"/>
                <w:szCs w:val="16"/>
              </w:rPr>
              <w:t>1,286</w:t>
            </w:r>
          </w:p>
        </w:tc>
        <w:tc>
          <w:tcPr>
            <w:tcW w:w="518" w:type="pct"/>
            <w:shd w:val="clear" w:color="auto" w:fill="auto"/>
            <w:vAlign w:val="center"/>
          </w:tcPr>
          <w:p w14:paraId="601CC9FF" w14:textId="0C166449" w:rsidR="007419E3" w:rsidRPr="00781112" w:rsidRDefault="007419E3" w:rsidP="007419E3">
            <w:pPr>
              <w:jc w:val="center"/>
              <w:rPr>
                <w:rFonts w:cs="Arial"/>
                <w:color w:val="000000" w:themeColor="text1"/>
                <w:szCs w:val="16"/>
              </w:rPr>
            </w:pPr>
            <w:r w:rsidRPr="00781112">
              <w:rPr>
                <w:rFonts w:cs="Arial"/>
                <w:color w:val="000000" w:themeColor="text1"/>
                <w:szCs w:val="16"/>
              </w:rPr>
              <w:t>8,506</w:t>
            </w:r>
          </w:p>
        </w:tc>
        <w:tc>
          <w:tcPr>
            <w:tcW w:w="518" w:type="pct"/>
            <w:shd w:val="clear" w:color="auto" w:fill="auto"/>
            <w:vAlign w:val="center"/>
          </w:tcPr>
          <w:p w14:paraId="4B7E23C9" w14:textId="2143D885" w:rsidR="007419E3" w:rsidRPr="00781112" w:rsidRDefault="007419E3" w:rsidP="007419E3">
            <w:pPr>
              <w:jc w:val="center"/>
              <w:rPr>
                <w:rFonts w:cs="Arial"/>
                <w:color w:val="000000" w:themeColor="text1"/>
                <w:szCs w:val="16"/>
              </w:rPr>
            </w:pPr>
            <w:r w:rsidRPr="00781112">
              <w:rPr>
                <w:rFonts w:cs="Arial"/>
                <w:color w:val="000000" w:themeColor="text1"/>
                <w:szCs w:val="16"/>
              </w:rPr>
              <w:t>15.82%</w:t>
            </w:r>
          </w:p>
        </w:tc>
        <w:tc>
          <w:tcPr>
            <w:tcW w:w="518" w:type="pct"/>
            <w:shd w:val="clear" w:color="auto" w:fill="auto"/>
            <w:vAlign w:val="center"/>
          </w:tcPr>
          <w:p w14:paraId="412FC24B" w14:textId="2D7F91B3" w:rsidR="007419E3" w:rsidRPr="00781112" w:rsidRDefault="007419E3" w:rsidP="007419E3">
            <w:pPr>
              <w:jc w:val="center"/>
              <w:rPr>
                <w:rFonts w:cs="Arial"/>
                <w:color w:val="000000" w:themeColor="text1"/>
                <w:szCs w:val="16"/>
              </w:rPr>
            </w:pPr>
            <w:r w:rsidRPr="00781112">
              <w:rPr>
                <w:rFonts w:cs="Arial"/>
                <w:color w:val="000000" w:themeColor="text1"/>
                <w:szCs w:val="16"/>
              </w:rPr>
              <w:t>19.70%</w:t>
            </w:r>
          </w:p>
        </w:tc>
        <w:tc>
          <w:tcPr>
            <w:tcW w:w="518" w:type="pct"/>
            <w:shd w:val="clear" w:color="auto" w:fill="auto"/>
            <w:vAlign w:val="center"/>
          </w:tcPr>
          <w:p w14:paraId="603D7CC7" w14:textId="713E97DD" w:rsidR="007419E3" w:rsidRPr="00781112" w:rsidRDefault="007419E3" w:rsidP="007419E3">
            <w:pPr>
              <w:jc w:val="center"/>
              <w:rPr>
                <w:rFonts w:cs="Arial"/>
                <w:color w:val="000000" w:themeColor="text1"/>
                <w:szCs w:val="16"/>
              </w:rPr>
            </w:pPr>
            <w:r w:rsidRPr="00781112">
              <w:rPr>
                <w:rFonts w:cs="Arial"/>
                <w:color w:val="000000" w:themeColor="text1"/>
                <w:szCs w:val="16"/>
              </w:rPr>
              <w:t>15.12%</w:t>
            </w:r>
          </w:p>
        </w:tc>
        <w:tc>
          <w:tcPr>
            <w:tcW w:w="518" w:type="pct"/>
            <w:shd w:val="clear" w:color="auto" w:fill="auto"/>
            <w:vAlign w:val="center"/>
          </w:tcPr>
          <w:p w14:paraId="31E8CDB6" w14:textId="7E73D59A" w:rsidR="007419E3" w:rsidRPr="00781112" w:rsidRDefault="007419E3" w:rsidP="007419E3">
            <w:pPr>
              <w:jc w:val="center"/>
              <w:rPr>
                <w:rFonts w:cs="Arial"/>
                <w:color w:val="000000" w:themeColor="text1"/>
                <w:szCs w:val="16"/>
              </w:rPr>
            </w:pPr>
            <w:r w:rsidRPr="00781112">
              <w:rPr>
                <w:rFonts w:cs="Arial"/>
                <w:color w:val="000000" w:themeColor="text1"/>
                <w:szCs w:val="16"/>
              </w:rPr>
              <w:t>Met target</w:t>
            </w:r>
          </w:p>
        </w:tc>
        <w:tc>
          <w:tcPr>
            <w:tcW w:w="518" w:type="pct"/>
            <w:shd w:val="clear" w:color="auto" w:fill="auto"/>
            <w:vAlign w:val="center"/>
          </w:tcPr>
          <w:p w14:paraId="4B289CC7" w14:textId="072E6906" w:rsidR="007419E3" w:rsidRPr="00781112" w:rsidRDefault="007419E3" w:rsidP="007419E3">
            <w:pPr>
              <w:jc w:val="center"/>
              <w:rPr>
                <w:rFonts w:cs="Arial"/>
                <w:color w:val="000000" w:themeColor="text1"/>
                <w:szCs w:val="16"/>
              </w:rPr>
            </w:pPr>
            <w:r w:rsidRPr="00781112">
              <w:rPr>
                <w:rFonts w:cs="Arial"/>
                <w:color w:val="000000" w:themeColor="text1"/>
                <w:szCs w:val="16"/>
              </w:rPr>
              <w:t>No Slippage</w:t>
            </w:r>
          </w:p>
        </w:tc>
      </w:tr>
    </w:tbl>
    <w:p w14:paraId="21FD52FD" w14:textId="53DF3EF1" w:rsidR="002441FF" w:rsidRDefault="002441FF" w:rsidP="004369B2">
      <w:pPr>
        <w:rPr>
          <w:b/>
          <w:color w:val="000000" w:themeColor="text1"/>
        </w:rPr>
      </w:pPr>
    </w:p>
    <w:p w14:paraId="1157162F" w14:textId="77777777" w:rsidR="002441FF" w:rsidRPr="00781112" w:rsidRDefault="002441FF" w:rsidP="002441FF">
      <w:pPr>
        <w:rPr>
          <w:rFonts w:cs="Arial"/>
          <w:color w:val="000000" w:themeColor="text1"/>
          <w:szCs w:val="16"/>
        </w:rPr>
      </w:pPr>
    </w:p>
    <w:p w14:paraId="11B24ABD"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5D7B4D4" w14:textId="54FAD054" w:rsidR="003C308E" w:rsidRPr="00781112" w:rsidRDefault="003C308E" w:rsidP="007D435F">
      <w:pPr>
        <w:rPr>
          <w:rFonts w:cs="Arial"/>
          <w:color w:val="000000" w:themeColor="text1"/>
          <w:szCs w:val="16"/>
        </w:rPr>
      </w:pPr>
    </w:p>
    <w:p w14:paraId="7DD4BC1C" w14:textId="33DA668A" w:rsidR="000A2C83" w:rsidRPr="00781112" w:rsidRDefault="00C96236" w:rsidP="005B40C0">
      <w:pPr>
        <w:pStyle w:val="Heading3"/>
      </w:pPr>
      <w:r w:rsidRPr="00781112">
        <w:t>6</w:t>
      </w:r>
      <w:r w:rsidR="00C91B94" w:rsidRPr="00781112">
        <w:t xml:space="preserve"> </w:t>
      </w:r>
      <w:r w:rsidRPr="00781112">
        <w:t xml:space="preserve">- </w:t>
      </w:r>
      <w:r w:rsidR="000A2C83" w:rsidRPr="00781112">
        <w:t>Prior FFY Required Actions</w:t>
      </w:r>
    </w:p>
    <w:p w14:paraId="566E0CF8" w14:textId="64232129" w:rsidR="00B1280F" w:rsidRPr="00781112" w:rsidRDefault="002B7490" w:rsidP="000A2C83">
      <w:pPr>
        <w:rPr>
          <w:rFonts w:cs="Arial"/>
          <w:color w:val="000000" w:themeColor="text1"/>
          <w:szCs w:val="16"/>
        </w:rPr>
      </w:pPr>
      <w:r w:rsidRPr="00781112">
        <w:rPr>
          <w:rFonts w:cs="Arial"/>
          <w:color w:val="000000" w:themeColor="text1"/>
          <w:szCs w:val="16"/>
        </w:rPr>
        <w:t>None</w:t>
      </w:r>
    </w:p>
    <w:p w14:paraId="7B71DC87" w14:textId="5C9C7EF8" w:rsidR="00221EC9" w:rsidRPr="00781112" w:rsidRDefault="00C96236" w:rsidP="005B40C0">
      <w:pPr>
        <w:pStyle w:val="Heading3"/>
      </w:pPr>
      <w:r w:rsidRPr="00781112">
        <w:t>6 - OSEP Response</w:t>
      </w:r>
    </w:p>
    <w:p w14:paraId="39CF981B" w14:textId="16EA9F6F" w:rsidR="003C308E" w:rsidRPr="00781112" w:rsidRDefault="003C308E" w:rsidP="001F692C">
      <w:pPr>
        <w:rPr>
          <w:rFonts w:cs="Arial"/>
          <w:color w:val="000000" w:themeColor="text1"/>
          <w:szCs w:val="16"/>
        </w:rPr>
      </w:pPr>
    </w:p>
    <w:p w14:paraId="6337E261" w14:textId="7ABFCAD4" w:rsidR="00221EC9" w:rsidRPr="00781112" w:rsidRDefault="00C96236" w:rsidP="005B40C0">
      <w:pPr>
        <w:pStyle w:val="Heading3"/>
      </w:pPr>
      <w:r w:rsidRPr="00781112">
        <w:t>6 - Required Actions</w:t>
      </w:r>
    </w:p>
    <w:p w14:paraId="4D0B397A" w14:textId="4B808E74" w:rsidR="003C308E" w:rsidRPr="00781112" w:rsidRDefault="003C308E" w:rsidP="001F692C">
      <w:pPr>
        <w:rPr>
          <w:rFonts w:cs="Arial"/>
          <w:color w:val="000000" w:themeColor="text1"/>
          <w:szCs w:val="16"/>
        </w:rPr>
      </w:pPr>
    </w:p>
    <w:p w14:paraId="2AA7BDE7" w14:textId="77777777" w:rsidR="00600E15" w:rsidRPr="00781112" w:rsidRDefault="00600E15">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26B1B256" w14:textId="288D5BD8" w:rsidR="00D21EAA" w:rsidRPr="00781112" w:rsidRDefault="00D21EAA" w:rsidP="005B40C0">
      <w:pPr>
        <w:pStyle w:val="Heading2"/>
      </w:pPr>
      <w:r w:rsidRPr="00781112">
        <w:rPr>
          <w:color w:val="000000" w:themeColor="text1"/>
          <w:sz w:val="22"/>
        </w:rPr>
        <w:lastRenderedPageBreak/>
        <w:t>Indicator 7: Preschool Outcomes</w:t>
      </w:r>
      <w:bookmarkEnd w:id="37"/>
      <w:bookmarkEnd w:id="38"/>
    </w:p>
    <w:p w14:paraId="1404DCF9" w14:textId="10BB1891" w:rsidR="00531E54" w:rsidRPr="002C274F" w:rsidRDefault="00531E54" w:rsidP="002C274F">
      <w:pPr>
        <w:rPr>
          <w:b/>
          <w:bCs/>
          <w:sz w:val="20"/>
          <w:szCs w:val="20"/>
        </w:rPr>
      </w:pPr>
      <w:bookmarkStart w:id="39" w:name="_Toc392159303"/>
      <w:r w:rsidRPr="002C274F">
        <w:rPr>
          <w:b/>
          <w:bCs/>
          <w:sz w:val="20"/>
          <w:szCs w:val="20"/>
        </w:rPr>
        <w:t>Instructions and Measurement</w:t>
      </w:r>
    </w:p>
    <w:p w14:paraId="0A136297" w14:textId="4837554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24B9EA10" w14:textId="77777777" w:rsidR="00CC634E" w:rsidRPr="00781112" w:rsidRDefault="00CC634E" w:rsidP="0011074D">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preschool children aged 3 through 5 with IEPs who demonstrate improved:</w:t>
      </w:r>
    </w:p>
    <w:p w14:paraId="0B552BED" w14:textId="43FF9A0A" w:rsidR="00CC634E" w:rsidRPr="00781112" w:rsidRDefault="00F006BC" w:rsidP="006A01BD">
      <w:pPr>
        <w:ind w:firstLine="720"/>
        <w:rPr>
          <w:rFonts w:cs="Arial"/>
          <w:color w:val="000000" w:themeColor="text1"/>
          <w:szCs w:val="16"/>
        </w:rPr>
      </w:pPr>
      <w:r w:rsidRPr="00781112">
        <w:rPr>
          <w:rFonts w:cs="Arial"/>
          <w:color w:val="000000" w:themeColor="text1"/>
          <w:szCs w:val="16"/>
        </w:rPr>
        <w:t>A. Positive social-emotional skills (including social relationships);</w:t>
      </w:r>
    </w:p>
    <w:p w14:paraId="5D82DAD8" w14:textId="740E047B" w:rsidR="00CC634E" w:rsidRPr="00781112" w:rsidRDefault="00F006BC" w:rsidP="006A01BD">
      <w:pPr>
        <w:ind w:firstLine="720"/>
        <w:rPr>
          <w:rFonts w:cs="Arial"/>
          <w:color w:val="000000" w:themeColor="text1"/>
          <w:szCs w:val="16"/>
        </w:rPr>
      </w:pPr>
      <w:r w:rsidRPr="00781112">
        <w:rPr>
          <w:rFonts w:cs="Arial"/>
          <w:color w:val="000000" w:themeColor="text1"/>
          <w:szCs w:val="16"/>
        </w:rPr>
        <w:t>B. Acquisition and use of knowledge and skills (including early language/ communication and early literacy); and</w:t>
      </w:r>
    </w:p>
    <w:p w14:paraId="00126FB5" w14:textId="7254CF8C" w:rsidR="00CC634E" w:rsidRPr="00781112" w:rsidRDefault="00F020B0" w:rsidP="006A01BD">
      <w:pPr>
        <w:ind w:firstLine="720"/>
        <w:rPr>
          <w:rFonts w:cs="Arial"/>
          <w:color w:val="000000" w:themeColor="text1"/>
          <w:szCs w:val="16"/>
        </w:rPr>
      </w:pPr>
      <w:r w:rsidRPr="00781112">
        <w:rPr>
          <w:rFonts w:cs="Arial"/>
          <w:color w:val="000000" w:themeColor="text1"/>
          <w:szCs w:val="16"/>
        </w:rPr>
        <w:t>C. Use of appropriate behaviors to meet their needs.</w:t>
      </w:r>
    </w:p>
    <w:p w14:paraId="5E54210F" w14:textId="77777777" w:rsidR="00CC634E" w:rsidRPr="00781112" w:rsidRDefault="00CC634E" w:rsidP="0011074D">
      <w:pPr>
        <w:rPr>
          <w:rFonts w:cs="Arial"/>
          <w:color w:val="000000" w:themeColor="text1"/>
          <w:szCs w:val="16"/>
        </w:rPr>
      </w:pPr>
      <w:r w:rsidRPr="00781112">
        <w:rPr>
          <w:rFonts w:cs="Arial"/>
          <w:color w:val="000000" w:themeColor="text1"/>
          <w:szCs w:val="16"/>
        </w:rPr>
        <w:t>(20 U.S.C. 1416 (a)(3)(A))</w:t>
      </w:r>
    </w:p>
    <w:p w14:paraId="64F847A6" w14:textId="77777777" w:rsidR="008751D3" w:rsidRPr="00781112" w:rsidRDefault="008751D3" w:rsidP="004369B2">
      <w:pPr>
        <w:rPr>
          <w:color w:val="000000" w:themeColor="text1"/>
        </w:rPr>
      </w:pPr>
      <w:r w:rsidRPr="00781112">
        <w:rPr>
          <w:b/>
          <w:color w:val="000000" w:themeColor="text1"/>
        </w:rPr>
        <w:t>Data Source</w:t>
      </w:r>
    </w:p>
    <w:p w14:paraId="23E18A51" w14:textId="0FC94A9E" w:rsidR="008751D3" w:rsidRPr="00781112" w:rsidRDefault="008751D3" w:rsidP="00286BDF">
      <w:pPr>
        <w:rPr>
          <w:rFonts w:cs="Arial"/>
          <w:color w:val="000000" w:themeColor="text1"/>
          <w:szCs w:val="16"/>
        </w:rPr>
      </w:pPr>
      <w:r w:rsidRPr="00781112">
        <w:rPr>
          <w:rFonts w:cs="Arial"/>
          <w:color w:val="000000" w:themeColor="text1"/>
          <w:szCs w:val="16"/>
        </w:rPr>
        <w:t>State selected data source.</w:t>
      </w:r>
    </w:p>
    <w:p w14:paraId="1E840531" w14:textId="77777777" w:rsidR="008751D3" w:rsidRPr="00781112" w:rsidRDefault="008751D3" w:rsidP="004369B2">
      <w:pPr>
        <w:rPr>
          <w:color w:val="000000" w:themeColor="text1"/>
        </w:rPr>
      </w:pPr>
      <w:r w:rsidRPr="00781112">
        <w:rPr>
          <w:b/>
          <w:color w:val="000000" w:themeColor="text1"/>
        </w:rPr>
        <w:t>Measurement</w:t>
      </w:r>
    </w:p>
    <w:p w14:paraId="1FF326CF" w14:textId="77777777" w:rsidR="008751D3" w:rsidRPr="00781112" w:rsidRDefault="008751D3" w:rsidP="0011074D">
      <w:pPr>
        <w:rPr>
          <w:rFonts w:cs="Arial"/>
          <w:color w:val="000000" w:themeColor="text1"/>
          <w:szCs w:val="16"/>
        </w:rPr>
      </w:pPr>
      <w:r w:rsidRPr="00781112">
        <w:rPr>
          <w:rFonts w:cs="Arial"/>
          <w:color w:val="000000" w:themeColor="text1"/>
          <w:szCs w:val="16"/>
        </w:rPr>
        <w:t>Outcomes:</w:t>
      </w:r>
    </w:p>
    <w:p w14:paraId="4E248912" w14:textId="66BBE7EE"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Positive social-emotional skills (including social relationships);</w:t>
      </w:r>
    </w:p>
    <w:p w14:paraId="6AAB6861" w14:textId="71AC3C7A" w:rsidR="008751D3" w:rsidRPr="00781112" w:rsidRDefault="00D92169"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Acquisition and use of knowledge and skills (including early language/communication and early literacy); and</w:t>
      </w:r>
    </w:p>
    <w:p w14:paraId="4CD04035" w14:textId="52DADE76" w:rsidR="008751D3" w:rsidRPr="00781112" w:rsidRDefault="00D92169" w:rsidP="006A01BD">
      <w:pPr>
        <w:spacing w:before="0"/>
        <w:ind w:firstLine="720"/>
        <w:rPr>
          <w:rFonts w:eastAsia="Times New Roman" w:cs="Arial"/>
          <w:color w:val="000000" w:themeColor="text1"/>
          <w:szCs w:val="16"/>
        </w:rPr>
      </w:pPr>
      <w:r w:rsidRPr="00781112">
        <w:rPr>
          <w:rFonts w:eastAsia="Times New Roman" w:cs="Arial"/>
          <w:color w:val="000000" w:themeColor="text1"/>
          <w:szCs w:val="16"/>
        </w:rPr>
        <w:t>C. Use of appropriate behaviors to meet their needs.</w:t>
      </w:r>
    </w:p>
    <w:p w14:paraId="6C3C0B77" w14:textId="77777777" w:rsidR="008751D3" w:rsidRPr="00781112" w:rsidRDefault="008751D3" w:rsidP="0011074D">
      <w:pPr>
        <w:rPr>
          <w:rFonts w:cs="Arial"/>
          <w:color w:val="000000" w:themeColor="text1"/>
          <w:szCs w:val="16"/>
        </w:rPr>
      </w:pPr>
      <w:r w:rsidRPr="00781112">
        <w:rPr>
          <w:rFonts w:cs="Arial"/>
          <w:color w:val="000000" w:themeColor="text1"/>
          <w:szCs w:val="16"/>
        </w:rPr>
        <w:t>Progress categories for A, B and C:</w:t>
      </w:r>
    </w:p>
    <w:p w14:paraId="5690C8BE" w14:textId="36B6DF2C" w:rsidR="008751D3" w:rsidRPr="00781112" w:rsidRDefault="00D048BC"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a. Percent of preschool children who did not improve functioning = [(# of preschool children who did not improve functioning) divided by (# of preschool children with IEPs assessed)] times 100.</w:t>
      </w:r>
    </w:p>
    <w:p w14:paraId="0B720C40" w14:textId="2F6D04FB"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b. Percent of preschool children who improved functioning but not sufficient to move nearer to functioning comparable to same-aged peers = [(# of preschool children who improved functioning but not sufficient to move nearer to functioning comparable to same-aged peers) divided by (# of preschool children with IEPs assessed)] times 100.</w:t>
      </w:r>
    </w:p>
    <w:p w14:paraId="314CA3F4" w14:textId="6175AC7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c. Percent of preschool children who improved functioning to a level nearer to same-aged peers but did not reach it = [(# of preschool children who improved functioning to a level nearer to same-aged peers but did not reach it) divided by (# of preschool children with IEPs assessed)] times 100.</w:t>
      </w:r>
    </w:p>
    <w:p w14:paraId="643AA406" w14:textId="25D49466" w:rsidR="008751D3" w:rsidRPr="00781112" w:rsidRDefault="00D92169" w:rsidP="006A01BD">
      <w:pPr>
        <w:spacing w:before="0" w:after="0"/>
        <w:ind w:left="720"/>
        <w:rPr>
          <w:rFonts w:eastAsia="Times New Roman" w:cs="Arial"/>
          <w:color w:val="000000" w:themeColor="text1"/>
          <w:szCs w:val="16"/>
        </w:rPr>
      </w:pPr>
      <w:r w:rsidRPr="00781112">
        <w:rPr>
          <w:rFonts w:eastAsia="Times New Roman" w:cs="Arial"/>
          <w:color w:val="000000" w:themeColor="text1"/>
          <w:szCs w:val="16"/>
        </w:rPr>
        <w:t>d. Percent of preschool children who improved functioning to reach a level comparable to same-aged peers = [(# of preschool children who improved functioning to reach a level comparable to same-aged peers) divided by (# of preschool children with IEPs assessed)] times 100.</w:t>
      </w:r>
    </w:p>
    <w:p w14:paraId="38B378F6" w14:textId="1E843815" w:rsidR="008751D3" w:rsidRPr="00781112" w:rsidRDefault="00D92169" w:rsidP="006A01BD">
      <w:pPr>
        <w:spacing w:before="0"/>
        <w:ind w:left="720"/>
        <w:rPr>
          <w:rFonts w:eastAsia="Times New Roman" w:cs="Arial"/>
          <w:color w:val="000000" w:themeColor="text1"/>
          <w:szCs w:val="16"/>
        </w:rPr>
      </w:pPr>
      <w:r w:rsidRPr="00781112">
        <w:rPr>
          <w:rFonts w:eastAsia="Times New Roman" w:cs="Arial"/>
          <w:color w:val="000000" w:themeColor="text1"/>
          <w:szCs w:val="16"/>
        </w:rPr>
        <w:t>e. Percent of preschool children who maintained functioning at a level comparable to same-aged peers = [(# of preschool children who maintained functioning at a level comparable to same-aged peers) divided by (# of preschool children with IEPs assessed)] times 100.</w:t>
      </w:r>
    </w:p>
    <w:p w14:paraId="583435BB" w14:textId="77777777" w:rsidR="008751D3" w:rsidRPr="00781112" w:rsidRDefault="008751D3" w:rsidP="0011074D">
      <w:pPr>
        <w:rPr>
          <w:rFonts w:cs="Arial"/>
          <w:b/>
          <w:color w:val="000000" w:themeColor="text1"/>
          <w:szCs w:val="16"/>
        </w:rPr>
      </w:pPr>
      <w:r w:rsidRPr="00781112">
        <w:rPr>
          <w:rFonts w:cs="Arial"/>
          <w:b/>
          <w:color w:val="000000" w:themeColor="text1"/>
          <w:szCs w:val="16"/>
        </w:rPr>
        <w:t>Summary Statements for Each of the Three Outcomes:</w:t>
      </w:r>
    </w:p>
    <w:p w14:paraId="65FE21E5"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1</w:t>
      </w:r>
      <w:r w:rsidRPr="00781112">
        <w:rPr>
          <w:rFonts w:cs="Arial"/>
          <w:bCs/>
          <w:color w:val="000000" w:themeColor="text1"/>
          <w:szCs w:val="16"/>
        </w:rPr>
        <w:t>:</w:t>
      </w:r>
      <w:r w:rsidRPr="00781112">
        <w:rPr>
          <w:rFonts w:cs="Arial"/>
          <w:color w:val="000000" w:themeColor="text1"/>
          <w:szCs w:val="16"/>
        </w:rPr>
        <w:t> Of those preschool children who entered the preschool program below age expectations in each Outcome, the percent who substantially increased their rate of growth by the time they turned 6 years of age or exited the program.</w:t>
      </w:r>
    </w:p>
    <w:p w14:paraId="5068AAB2" w14:textId="7F652397"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1:</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(c) plus # of preschool children reported in category (d)) divided by (# of preschool children reported in progress category (a) plus # of preschool children reported in progress category (b) plus # of preschool children reported in progress category (c) plus # of preschool children reported in progress category (d</w:t>
      </w:r>
      <w:r w:rsidR="002D30ED" w:rsidRPr="00781112">
        <w:rPr>
          <w:rFonts w:cs="Arial"/>
          <w:color w:val="000000" w:themeColor="text1"/>
          <w:szCs w:val="16"/>
        </w:rPr>
        <w:t xml:space="preserve">))] </w:t>
      </w:r>
      <w:r w:rsidRPr="00781112">
        <w:rPr>
          <w:rFonts w:cs="Arial"/>
          <w:color w:val="000000" w:themeColor="text1"/>
          <w:szCs w:val="16"/>
        </w:rPr>
        <w:t>times 100.</w:t>
      </w:r>
    </w:p>
    <w:p w14:paraId="5A694282" w14:textId="77777777" w:rsidR="008751D3" w:rsidRPr="00781112" w:rsidRDefault="008751D3" w:rsidP="0011074D">
      <w:pPr>
        <w:rPr>
          <w:rFonts w:cs="Arial"/>
          <w:color w:val="000000" w:themeColor="text1"/>
          <w:szCs w:val="16"/>
        </w:rPr>
      </w:pPr>
      <w:r w:rsidRPr="00781112">
        <w:rPr>
          <w:rFonts w:cs="Arial"/>
          <w:b/>
          <w:bCs/>
          <w:color w:val="000000" w:themeColor="text1"/>
          <w:szCs w:val="16"/>
        </w:rPr>
        <w:t>Summary Statement 2:</w:t>
      </w:r>
      <w:r w:rsidRPr="00781112">
        <w:rPr>
          <w:rFonts w:cs="Arial"/>
          <w:color w:val="000000" w:themeColor="text1"/>
          <w:szCs w:val="16"/>
        </w:rPr>
        <w:t> The percent of preschool children who were functioning within age expectations in each Outcome by the time they turned 6 years of age or exited the program.</w:t>
      </w:r>
    </w:p>
    <w:p w14:paraId="34439FE8" w14:textId="2AF97C44" w:rsidR="008751D3" w:rsidRPr="00781112" w:rsidRDefault="008751D3" w:rsidP="0011074D">
      <w:pPr>
        <w:rPr>
          <w:rFonts w:cs="Arial"/>
          <w:color w:val="000000" w:themeColor="text1"/>
          <w:szCs w:val="16"/>
        </w:rPr>
      </w:pPr>
      <w:r w:rsidRPr="00781112">
        <w:rPr>
          <w:rFonts w:cs="Arial"/>
          <w:b/>
          <w:bCs/>
          <w:color w:val="000000" w:themeColor="text1"/>
          <w:szCs w:val="16"/>
        </w:rPr>
        <w:t>Measurement for Summary Statement 2</w:t>
      </w:r>
      <w:r w:rsidRPr="00781112">
        <w:rPr>
          <w:rFonts w:cs="Arial"/>
          <w:bCs/>
          <w:color w:val="000000" w:themeColor="text1"/>
          <w:szCs w:val="16"/>
        </w:rPr>
        <w:t xml:space="preserve">: </w:t>
      </w:r>
      <w:r w:rsidRPr="00781112">
        <w:rPr>
          <w:rFonts w:cs="Arial"/>
          <w:color w:val="000000" w:themeColor="text1"/>
          <w:szCs w:val="16"/>
        </w:rPr>
        <w:t xml:space="preserve">Percent = </w:t>
      </w:r>
      <w:r w:rsidR="002D30ED" w:rsidRPr="00781112">
        <w:rPr>
          <w:rFonts w:cs="Arial"/>
          <w:color w:val="000000" w:themeColor="text1"/>
          <w:szCs w:val="16"/>
        </w:rPr>
        <w:t xml:space="preserve">[(# </w:t>
      </w:r>
      <w:r w:rsidRPr="00781112">
        <w:rPr>
          <w:rFonts w:cs="Arial"/>
          <w:color w:val="000000" w:themeColor="text1"/>
          <w:szCs w:val="16"/>
        </w:rPr>
        <w:t>of preschool children reported in progress category (d) plus # of preschool children reported in progress category (e)) divided by (the total # of preschool children reported in progress categories (a) + (b) + (c) + (d) + (e</w:t>
      </w:r>
      <w:r w:rsidR="002D30ED" w:rsidRPr="00781112">
        <w:rPr>
          <w:rFonts w:cs="Arial"/>
          <w:color w:val="000000" w:themeColor="text1"/>
          <w:szCs w:val="16"/>
        </w:rPr>
        <w:t xml:space="preserve">))] </w:t>
      </w:r>
      <w:r w:rsidRPr="00781112">
        <w:rPr>
          <w:rFonts w:cs="Arial"/>
          <w:color w:val="000000" w:themeColor="text1"/>
          <w:szCs w:val="16"/>
        </w:rPr>
        <w:t>times 100.</w:t>
      </w:r>
    </w:p>
    <w:p w14:paraId="207DF15E" w14:textId="77777777" w:rsidR="008751D3" w:rsidRPr="00781112" w:rsidRDefault="008751D3" w:rsidP="004369B2">
      <w:pPr>
        <w:rPr>
          <w:color w:val="000000" w:themeColor="text1"/>
        </w:rPr>
      </w:pPr>
      <w:r w:rsidRPr="00781112">
        <w:rPr>
          <w:b/>
          <w:color w:val="000000" w:themeColor="text1"/>
        </w:rPr>
        <w:t>Instructions</w:t>
      </w:r>
    </w:p>
    <w:p w14:paraId="7FEF7064" w14:textId="01C35EFD" w:rsidR="008751D3" w:rsidRPr="00781112" w:rsidRDefault="008751D3" w:rsidP="00286BDF">
      <w:pPr>
        <w:rPr>
          <w:rFonts w:cs="Arial"/>
          <w:color w:val="000000" w:themeColor="text1"/>
          <w:szCs w:val="16"/>
        </w:rPr>
      </w:pPr>
      <w:r w:rsidRPr="00781112">
        <w:rPr>
          <w:rFonts w:cs="Arial"/>
          <w:color w:val="000000" w:themeColor="text1"/>
          <w:szCs w:val="16"/>
        </w:rPr>
        <w:t>Sampling of </w:t>
      </w:r>
      <w:r w:rsidRPr="00781112">
        <w:rPr>
          <w:rFonts w:cs="Arial"/>
          <w:b/>
          <w:bCs/>
          <w:color w:val="000000" w:themeColor="text1"/>
          <w:szCs w:val="16"/>
        </w:rPr>
        <w:t>children for assessment</w:t>
      </w:r>
      <w:r w:rsidRPr="00781112">
        <w:rPr>
          <w:rFonts w:cs="Arial"/>
          <w:color w:val="000000" w:themeColor="text1"/>
          <w:szCs w:val="16"/>
        </w:rPr>
        <w:t> is allowed. When sampling is used, submit a description of the sampling methodology outlining how the design will yield valid and reliable estimates. (See </w:t>
      </w:r>
      <w:r w:rsidRPr="00781112">
        <w:rPr>
          <w:rFonts w:cs="Arial"/>
          <w:color w:val="000000" w:themeColor="text1"/>
          <w:szCs w:val="16"/>
          <w:u w:val="single"/>
        </w:rPr>
        <w:t>General Instructions</w:t>
      </w:r>
      <w:r w:rsidRPr="00781112">
        <w:rPr>
          <w:rFonts w:cs="Arial"/>
          <w:color w:val="000000" w:themeColor="text1"/>
          <w:szCs w:val="16"/>
        </w:rPr>
        <w:t xml:space="preserve"> on page </w:t>
      </w:r>
      <w:r w:rsidR="00DD6816">
        <w:rPr>
          <w:rFonts w:cs="Arial"/>
          <w:color w:val="000000" w:themeColor="text1"/>
          <w:szCs w:val="16"/>
        </w:rPr>
        <w:t>3</w:t>
      </w:r>
      <w:r w:rsidRPr="00781112">
        <w:rPr>
          <w:rFonts w:cs="Arial"/>
          <w:color w:val="000000" w:themeColor="text1"/>
          <w:szCs w:val="16"/>
        </w:rPr>
        <w:t xml:space="preserve"> for additional instructions on sampling.)</w:t>
      </w:r>
    </w:p>
    <w:p w14:paraId="1FB7B1C7" w14:textId="77777777" w:rsidR="008751D3" w:rsidRPr="00781112" w:rsidRDefault="008751D3" w:rsidP="00286BDF">
      <w:pPr>
        <w:rPr>
          <w:rFonts w:cs="Arial"/>
          <w:color w:val="000000" w:themeColor="text1"/>
          <w:szCs w:val="16"/>
        </w:rPr>
      </w:pPr>
      <w:r w:rsidRPr="00781112">
        <w:rPr>
          <w:rFonts w:cs="Arial"/>
          <w:color w:val="000000" w:themeColor="text1"/>
          <w:szCs w:val="16"/>
        </w:rPr>
        <w:t>In the measurement include, in the numerator and denominator, only children who received special education and related services for at least six months during the age span of three through five years.</w:t>
      </w:r>
    </w:p>
    <w:p w14:paraId="652BE619" w14:textId="77777777" w:rsidR="008751D3" w:rsidRPr="00781112" w:rsidRDefault="008751D3" w:rsidP="00286BDF">
      <w:pPr>
        <w:rPr>
          <w:rFonts w:cs="Arial"/>
          <w:color w:val="000000" w:themeColor="text1"/>
          <w:szCs w:val="16"/>
        </w:rPr>
      </w:pPr>
      <w:r w:rsidRPr="00781112">
        <w:rPr>
          <w:rFonts w:cs="Arial"/>
          <w:color w:val="000000" w:themeColor="text1"/>
          <w:szCs w:val="16"/>
        </w:rPr>
        <w:t>Describe the results of the calculations and compare the results to the targets. States will use the progress categories for each of the three Outcomes to calculate and report the two Summary Statements. States have provided targets for the two Summary Statements for the three Outcomes (six numbers for targets for each FFY).</w:t>
      </w:r>
    </w:p>
    <w:p w14:paraId="60273FDF" w14:textId="3F1FD106" w:rsidR="008751D3" w:rsidRPr="00781112" w:rsidRDefault="008751D3" w:rsidP="00286BDF">
      <w:pPr>
        <w:rPr>
          <w:rFonts w:cs="Arial"/>
          <w:color w:val="000000" w:themeColor="text1"/>
          <w:szCs w:val="16"/>
        </w:rPr>
      </w:pPr>
      <w:r w:rsidRPr="00781112">
        <w:rPr>
          <w:rFonts w:cs="Arial"/>
          <w:color w:val="000000" w:themeColor="text1"/>
          <w:szCs w:val="16"/>
        </w:rPr>
        <w:t>Report progress data and calculate Summary Statements to compare against the six targets. Provide the actual numbers and percentages for the five reporting categories for each of the three Outcomes.</w:t>
      </w:r>
    </w:p>
    <w:p w14:paraId="5CCA3257" w14:textId="77777777" w:rsidR="008751D3" w:rsidRPr="00781112" w:rsidRDefault="008751D3" w:rsidP="00286BDF">
      <w:pPr>
        <w:rPr>
          <w:rFonts w:cs="Arial"/>
          <w:color w:val="000000" w:themeColor="text1"/>
          <w:szCs w:val="16"/>
        </w:rPr>
      </w:pPr>
      <w:r w:rsidRPr="00781112">
        <w:rPr>
          <w:rFonts w:cs="Arial"/>
          <w:color w:val="000000" w:themeColor="text1"/>
          <w:szCs w:val="16"/>
        </w:rPr>
        <w:t>In presenting results, provide the criteria for defining “comparable to same-aged peers.” If a State is using the Early Childhood Outcomes Center (ECO) Child Outcomes Summary (COS), then the criteria for defining “comparable to same-aged peers” has been defined as a child who has been assigned a score of 6 or 7 on the COS.</w:t>
      </w:r>
    </w:p>
    <w:p w14:paraId="53FA15C3" w14:textId="77777777" w:rsidR="008751D3" w:rsidRPr="00781112" w:rsidRDefault="008751D3" w:rsidP="00286BDF">
      <w:pPr>
        <w:rPr>
          <w:rFonts w:cs="Arial"/>
          <w:color w:val="000000" w:themeColor="text1"/>
          <w:szCs w:val="16"/>
        </w:rPr>
      </w:pPr>
      <w:r w:rsidRPr="00781112">
        <w:rPr>
          <w:rFonts w:cs="Arial"/>
          <w:color w:val="000000" w:themeColor="text1"/>
          <w:szCs w:val="16"/>
        </w:rPr>
        <w:t>In addition, list the instruments and procedures used to gather data for this indicator, including if the State is using the ECO COS.</w:t>
      </w:r>
    </w:p>
    <w:bookmarkEnd w:id="39"/>
    <w:p w14:paraId="55101798" w14:textId="340B2E8D" w:rsidR="00DF6E30" w:rsidRPr="00781112" w:rsidRDefault="00C96236" w:rsidP="005B40C0">
      <w:pPr>
        <w:pStyle w:val="Heading3"/>
      </w:pPr>
      <w:r w:rsidRPr="00781112">
        <w:t>7</w:t>
      </w:r>
      <w:r w:rsidR="00444A9D" w:rsidRPr="00781112">
        <w:t xml:space="preserve"> </w:t>
      </w:r>
      <w:r w:rsidRPr="00781112">
        <w:t xml:space="preserve">- </w:t>
      </w:r>
      <w:r w:rsidR="00DF6E30" w:rsidRPr="00781112">
        <w:t>Indicator Data</w:t>
      </w:r>
    </w:p>
    <w:p w14:paraId="5AA4EA63" w14:textId="77777777" w:rsidR="0091098C" w:rsidRPr="00781112" w:rsidRDefault="0091098C" w:rsidP="004369B2">
      <w:pPr>
        <w:rPr>
          <w:color w:val="000000" w:themeColor="text1"/>
        </w:rPr>
      </w:pPr>
      <w:r w:rsidRPr="00781112">
        <w:rPr>
          <w:b/>
          <w:color w:val="000000" w:themeColor="text1"/>
        </w:rPr>
        <w:t>Not Applicable</w:t>
      </w:r>
    </w:p>
    <w:p w14:paraId="284C9B1A" w14:textId="32C218D6" w:rsidR="002D30ED" w:rsidRPr="00781112" w:rsidRDefault="00E54DDA">
      <w:pPr>
        <w:rPr>
          <w:b/>
          <w:color w:val="000000" w:themeColor="text1"/>
        </w:rPr>
      </w:pPr>
      <w:r w:rsidRPr="00781112">
        <w:rPr>
          <w:b/>
          <w:color w:val="000000" w:themeColor="text1"/>
        </w:rPr>
        <w:t>Select yes if this indicator is not applicable.</w:t>
      </w:r>
    </w:p>
    <w:p w14:paraId="400C4A0C" w14:textId="693F71F3" w:rsidR="00043AC9" w:rsidRPr="00781112" w:rsidRDefault="00043AC9" w:rsidP="004369B2">
      <w:pPr>
        <w:rPr>
          <w:rFonts w:cs="Arial"/>
          <w:color w:val="000000" w:themeColor="text1"/>
          <w:szCs w:val="16"/>
        </w:rPr>
      </w:pPr>
      <w:r w:rsidRPr="00781112">
        <w:rPr>
          <w:rFonts w:cs="Arial"/>
          <w:color w:val="000000" w:themeColor="text1"/>
          <w:szCs w:val="16"/>
        </w:rPr>
        <w:t>NO</w:t>
      </w:r>
    </w:p>
    <w:p w14:paraId="2D4ABD95" w14:textId="015EAF2F" w:rsidR="002D30ED" w:rsidRPr="00781112" w:rsidRDefault="002D30ED">
      <w:pPr>
        <w:rPr>
          <w:color w:val="000000" w:themeColor="text1"/>
        </w:rPr>
      </w:pPr>
    </w:p>
    <w:p w14:paraId="50CA9D39" w14:textId="3128BDB0" w:rsidR="00CC634E" w:rsidRPr="00781112" w:rsidRDefault="00CC634E"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7HISTDATA"/>
      </w:tblPr>
      <w:tblGrid>
        <w:gridCol w:w="536"/>
        <w:gridCol w:w="944"/>
        <w:gridCol w:w="944"/>
        <w:gridCol w:w="1673"/>
        <w:gridCol w:w="1673"/>
        <w:gridCol w:w="1673"/>
        <w:gridCol w:w="1672"/>
        <w:gridCol w:w="1675"/>
      </w:tblGrid>
      <w:tr w:rsidR="005F0D3B" w:rsidRPr="00781112" w14:paraId="67761B76" w14:textId="2BE890F9" w:rsidTr="009023AD">
        <w:trPr>
          <w:trHeight w:val="395"/>
        </w:trPr>
        <w:tc>
          <w:tcPr>
            <w:tcW w:w="248" w:type="pct"/>
            <w:tcBorders>
              <w:top w:val="single" w:sz="4" w:space="0" w:color="auto"/>
              <w:left w:val="single" w:sz="4" w:space="0" w:color="auto"/>
              <w:bottom w:val="single" w:sz="4" w:space="0" w:color="auto"/>
              <w:right w:val="single" w:sz="4" w:space="0" w:color="auto"/>
            </w:tcBorders>
            <w:shd w:val="clear" w:color="auto" w:fill="auto"/>
          </w:tcPr>
          <w:p w14:paraId="07FE7D96" w14:textId="48B4F674" w:rsidR="00FA72A0" w:rsidRPr="00781112" w:rsidRDefault="00E104F3" w:rsidP="00FA72A0">
            <w:pPr>
              <w:spacing w:before="0" w:after="0" w:line="276" w:lineRule="auto"/>
              <w:jc w:val="center"/>
              <w:rPr>
                <w:rFonts w:cs="Arial"/>
                <w:b/>
                <w:color w:val="000000" w:themeColor="text1"/>
                <w:szCs w:val="16"/>
              </w:rPr>
            </w:pPr>
            <w:r w:rsidRPr="00781112">
              <w:rPr>
                <w:rFonts w:cs="Arial"/>
                <w:b/>
                <w:color w:val="000000" w:themeColor="text1"/>
                <w:szCs w:val="16"/>
              </w:rPr>
              <w:t>Part</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492489DB" w14:textId="6B491234"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Baseline</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19C97066" w14:textId="77777777" w:rsidR="00FA72A0" w:rsidRPr="00781112" w:rsidRDefault="00FA72A0" w:rsidP="00FA72A0">
            <w:pPr>
              <w:spacing w:before="0" w:after="0" w:line="276" w:lineRule="auto"/>
              <w:jc w:val="center"/>
              <w:rPr>
                <w:rFonts w:cs="Arial"/>
                <w:b/>
                <w:color w:val="000000" w:themeColor="text1"/>
                <w:szCs w:val="16"/>
              </w:rPr>
            </w:pPr>
            <w:r w:rsidRPr="00781112">
              <w:rPr>
                <w:rFonts w:cs="Arial"/>
                <w:b/>
                <w:color w:val="000000" w:themeColor="text1"/>
                <w:szCs w:val="16"/>
              </w:rPr>
              <w:t>FFY</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5FE9CABA" w14:textId="781A1A3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2018</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27131AF6" w14:textId="0E6C2E5A"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shd w:val="clear" w:color="auto" w:fill="auto"/>
          </w:tcPr>
          <w:p w14:paraId="22FE1D98" w14:textId="03E0AC83"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2020</w:t>
            </w:r>
          </w:p>
        </w:tc>
        <w:tc>
          <w:tcPr>
            <w:tcW w:w="775" w:type="pct"/>
            <w:tcBorders>
              <w:top w:val="single" w:sz="4" w:space="0" w:color="auto"/>
              <w:left w:val="single" w:sz="4" w:space="0" w:color="auto"/>
              <w:bottom w:val="single" w:sz="4" w:space="0" w:color="auto"/>
              <w:right w:val="single" w:sz="4" w:space="0" w:color="auto"/>
            </w:tcBorders>
            <w:shd w:val="clear" w:color="auto" w:fill="auto"/>
            <w:hideMark/>
          </w:tcPr>
          <w:p w14:paraId="09C21BFA" w14:textId="46B34AA6"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2021</w:t>
            </w:r>
          </w:p>
        </w:tc>
        <w:tc>
          <w:tcPr>
            <w:tcW w:w="776" w:type="pct"/>
            <w:tcBorders>
              <w:top w:val="single" w:sz="4" w:space="0" w:color="auto"/>
              <w:left w:val="single" w:sz="4" w:space="0" w:color="auto"/>
              <w:bottom w:val="single" w:sz="4" w:space="0" w:color="auto"/>
              <w:right w:val="single" w:sz="4" w:space="0" w:color="auto"/>
            </w:tcBorders>
            <w:shd w:val="clear" w:color="auto" w:fill="auto"/>
            <w:hideMark/>
          </w:tcPr>
          <w:p w14:paraId="76B7EB6E" w14:textId="46F53E4B" w:rsidR="00FA72A0" w:rsidRPr="00781112" w:rsidRDefault="002B7490" w:rsidP="00FA72A0">
            <w:pPr>
              <w:spacing w:before="0" w:after="0" w:line="276" w:lineRule="auto"/>
              <w:jc w:val="center"/>
              <w:rPr>
                <w:rFonts w:cs="Arial"/>
                <w:b/>
                <w:color w:val="000000" w:themeColor="text1"/>
                <w:szCs w:val="16"/>
              </w:rPr>
            </w:pPr>
            <w:r w:rsidRPr="00781112">
              <w:rPr>
                <w:rFonts w:cs="Arial"/>
                <w:b/>
                <w:color w:val="000000" w:themeColor="text1"/>
                <w:szCs w:val="16"/>
              </w:rPr>
              <w:t>2022</w:t>
            </w:r>
          </w:p>
        </w:tc>
      </w:tr>
      <w:tr w:rsidR="005F0D3B" w:rsidRPr="00781112" w14:paraId="6B7CE9C8" w14:textId="0609FA3D"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390860C6"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top w:val="single" w:sz="4" w:space="0" w:color="auto"/>
              <w:left w:val="single" w:sz="4" w:space="0" w:color="auto"/>
              <w:right w:val="single" w:sz="4" w:space="0" w:color="auto"/>
            </w:tcBorders>
            <w:shd w:val="clear" w:color="auto" w:fill="auto"/>
            <w:vAlign w:val="center"/>
          </w:tcPr>
          <w:p w14:paraId="11755CC8" w14:textId="0D3DAA4A" w:rsidR="00CF6742"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17C1" w14:textId="06B8B15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D1D42AB" w14:textId="2A4E5CB4" w:rsidR="00CF6742" w:rsidRPr="00781112" w:rsidRDefault="002B7490" w:rsidP="00A018D4">
            <w:pPr>
              <w:jc w:val="center"/>
              <w:rPr>
                <w:rFonts w:cs="Arial"/>
                <w:color w:val="000000" w:themeColor="text1"/>
                <w:szCs w:val="16"/>
              </w:rPr>
            </w:pPr>
            <w:r w:rsidRPr="00781112">
              <w:rPr>
                <w:rFonts w:cs="Arial"/>
                <w:color w:val="000000" w:themeColor="text1"/>
                <w:szCs w:val="16"/>
              </w:rPr>
              <w:t>76.10%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93881D" w14:textId="33AA4D0C" w:rsidR="00CF6742" w:rsidRPr="00781112" w:rsidRDefault="002B7490" w:rsidP="00A018D4">
            <w:pPr>
              <w:jc w:val="center"/>
              <w:rPr>
                <w:rFonts w:cs="Arial"/>
                <w:color w:val="000000" w:themeColor="text1"/>
                <w:szCs w:val="16"/>
              </w:rPr>
            </w:pPr>
            <w:r w:rsidRPr="00781112">
              <w:rPr>
                <w:rFonts w:cs="Arial"/>
                <w:color w:val="000000" w:themeColor="text1"/>
                <w:szCs w:val="16"/>
              </w:rPr>
              <w:t>76.10%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4D9B341" w14:textId="54BEF16A" w:rsidR="00CF6742" w:rsidRPr="00781112" w:rsidRDefault="002B7490" w:rsidP="00A018D4">
            <w:pPr>
              <w:jc w:val="center"/>
              <w:rPr>
                <w:rFonts w:cs="Arial"/>
                <w:color w:val="000000" w:themeColor="text1"/>
                <w:szCs w:val="16"/>
              </w:rPr>
            </w:pPr>
            <w:r w:rsidRPr="00781112">
              <w:rPr>
                <w:rFonts w:cs="Arial"/>
                <w:color w:val="000000" w:themeColor="text1"/>
                <w:szCs w:val="16"/>
              </w:rPr>
              <w:t>76.10%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EBE7BAF" w14:textId="70BEE6C5" w:rsidR="00CF6742" w:rsidRPr="00781112" w:rsidRDefault="002B7490" w:rsidP="00A018D4">
            <w:pPr>
              <w:jc w:val="center"/>
              <w:rPr>
                <w:rFonts w:cs="Arial"/>
                <w:color w:val="000000" w:themeColor="text1"/>
                <w:szCs w:val="16"/>
              </w:rPr>
            </w:pPr>
            <w:r w:rsidRPr="00781112">
              <w:rPr>
                <w:rFonts w:cs="Arial"/>
                <w:color w:val="000000" w:themeColor="text1"/>
                <w:szCs w:val="16"/>
              </w:rPr>
              <w:t>76.30%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9BD5D1" w14:textId="20C3AA4E" w:rsidR="00CF6742" w:rsidRPr="00781112" w:rsidRDefault="002B7490" w:rsidP="00A018D4">
            <w:pPr>
              <w:jc w:val="center"/>
              <w:rPr>
                <w:rFonts w:cs="Arial"/>
                <w:color w:val="000000" w:themeColor="text1"/>
                <w:szCs w:val="16"/>
              </w:rPr>
            </w:pPr>
            <w:r w:rsidRPr="00781112">
              <w:rPr>
                <w:rFonts w:cs="Arial"/>
                <w:color w:val="000000" w:themeColor="text1"/>
                <w:szCs w:val="16"/>
              </w:rPr>
              <w:t>76.50%</w:t>
            </w:r>
          </w:p>
        </w:tc>
      </w:tr>
      <w:tr w:rsidR="005F0D3B" w:rsidRPr="00781112" w14:paraId="1273980B" w14:textId="53318F32" w:rsidTr="009023AD">
        <w:trPr>
          <w:trHeight w:val="70"/>
        </w:trPr>
        <w:tc>
          <w:tcPr>
            <w:tcW w:w="248" w:type="pct"/>
            <w:tcBorders>
              <w:left w:val="single" w:sz="4" w:space="0" w:color="auto"/>
              <w:right w:val="single" w:sz="4" w:space="0" w:color="auto"/>
            </w:tcBorders>
            <w:shd w:val="clear" w:color="auto" w:fill="auto"/>
            <w:vAlign w:val="center"/>
          </w:tcPr>
          <w:p w14:paraId="32218C67" w14:textId="38A3EC13"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A1</w:t>
            </w:r>
          </w:p>
        </w:tc>
        <w:tc>
          <w:tcPr>
            <w:tcW w:w="437" w:type="pct"/>
            <w:tcBorders>
              <w:left w:val="single" w:sz="4" w:space="0" w:color="auto"/>
              <w:right w:val="single" w:sz="4" w:space="0" w:color="auto"/>
            </w:tcBorders>
            <w:shd w:val="clear" w:color="auto" w:fill="auto"/>
            <w:vAlign w:val="center"/>
          </w:tcPr>
          <w:p w14:paraId="4C1410E0" w14:textId="3EB7FCEC" w:rsidR="00CF6742" w:rsidRPr="00781112" w:rsidRDefault="002B7490" w:rsidP="00A018D4">
            <w:pPr>
              <w:jc w:val="center"/>
              <w:rPr>
                <w:rFonts w:cs="Arial"/>
                <w:color w:val="000000" w:themeColor="text1"/>
                <w:szCs w:val="16"/>
              </w:rPr>
            </w:pPr>
            <w:r w:rsidRPr="00781112">
              <w:rPr>
                <w:rFonts w:cs="Arial"/>
                <w:color w:val="000000" w:themeColor="text1"/>
                <w:szCs w:val="16"/>
              </w:rPr>
              <w:t>75.62%</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849D3"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95056F" w14:textId="336EBB2F" w:rsidR="00CF6742" w:rsidRPr="00781112" w:rsidRDefault="002B7490" w:rsidP="00A018D4">
            <w:pPr>
              <w:jc w:val="center"/>
              <w:rPr>
                <w:rFonts w:cs="Arial"/>
                <w:color w:val="000000" w:themeColor="text1"/>
                <w:szCs w:val="16"/>
              </w:rPr>
            </w:pPr>
            <w:r w:rsidRPr="00781112">
              <w:rPr>
                <w:rFonts w:cs="Arial"/>
                <w:color w:val="000000" w:themeColor="text1"/>
                <w:szCs w:val="16"/>
              </w:rPr>
              <w:t>77.90%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BFE4EBC" w14:textId="3A0FBE8F" w:rsidR="00CF6742" w:rsidRPr="00781112" w:rsidRDefault="002B7490" w:rsidP="00A018D4">
            <w:pPr>
              <w:jc w:val="center"/>
              <w:rPr>
                <w:rFonts w:cs="Arial"/>
                <w:color w:val="000000" w:themeColor="text1"/>
                <w:szCs w:val="16"/>
              </w:rPr>
            </w:pPr>
            <w:r w:rsidRPr="00781112">
              <w:rPr>
                <w:rFonts w:cs="Arial"/>
                <w:color w:val="000000" w:themeColor="text1"/>
                <w:szCs w:val="16"/>
              </w:rPr>
              <w:t>77.10%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1F7337" w14:textId="090E4E8B" w:rsidR="00CF6742" w:rsidRPr="00781112" w:rsidRDefault="002B7490" w:rsidP="00A018D4">
            <w:pPr>
              <w:jc w:val="center"/>
              <w:rPr>
                <w:rFonts w:cs="Arial"/>
                <w:color w:val="000000" w:themeColor="text1"/>
                <w:szCs w:val="16"/>
              </w:rPr>
            </w:pPr>
            <w:r w:rsidRPr="00781112">
              <w:rPr>
                <w:rFonts w:cs="Arial"/>
                <w:color w:val="000000" w:themeColor="text1"/>
                <w:szCs w:val="16"/>
              </w:rPr>
              <w:t>76.41%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93D48E" w14:textId="04E7CEC4" w:rsidR="00CF6742" w:rsidRPr="00781112" w:rsidRDefault="002B7490" w:rsidP="00A018D4">
            <w:pPr>
              <w:jc w:val="center"/>
              <w:rPr>
                <w:rFonts w:cs="Arial"/>
                <w:color w:val="000000" w:themeColor="text1"/>
                <w:szCs w:val="16"/>
              </w:rPr>
            </w:pPr>
            <w:r w:rsidRPr="00781112">
              <w:rPr>
                <w:rFonts w:cs="Arial"/>
                <w:color w:val="000000" w:themeColor="text1"/>
                <w:szCs w:val="16"/>
              </w:rPr>
              <w:t>77.90%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54E21AE" w14:textId="4BF3E562" w:rsidR="00CF6742" w:rsidRPr="00781112" w:rsidRDefault="002B7490" w:rsidP="00A018D4">
            <w:pPr>
              <w:jc w:val="center"/>
              <w:rPr>
                <w:rFonts w:cs="Arial"/>
                <w:color w:val="000000" w:themeColor="text1"/>
                <w:szCs w:val="16"/>
              </w:rPr>
            </w:pPr>
            <w:r w:rsidRPr="00781112">
              <w:rPr>
                <w:rFonts w:cs="Arial"/>
                <w:color w:val="000000" w:themeColor="text1"/>
                <w:szCs w:val="16"/>
              </w:rPr>
              <w:t>77.90%</w:t>
            </w:r>
          </w:p>
        </w:tc>
      </w:tr>
      <w:tr w:rsidR="005F0D3B" w:rsidRPr="00781112" w14:paraId="0B3AB2AF" w14:textId="0ED8043B" w:rsidTr="009023AD">
        <w:trPr>
          <w:trHeight w:val="70"/>
        </w:trPr>
        <w:tc>
          <w:tcPr>
            <w:tcW w:w="248" w:type="pct"/>
            <w:tcBorders>
              <w:top w:val="single" w:sz="4" w:space="0" w:color="auto"/>
              <w:left w:val="single" w:sz="4" w:space="0" w:color="auto"/>
              <w:right w:val="single" w:sz="4" w:space="0" w:color="auto"/>
            </w:tcBorders>
            <w:shd w:val="clear" w:color="auto" w:fill="auto"/>
            <w:vAlign w:val="center"/>
          </w:tcPr>
          <w:p w14:paraId="779C8614" w14:textId="77777777" w:rsidR="00CF6742" w:rsidRPr="00781112" w:rsidRDefault="00CF6742">
            <w:pPr>
              <w:spacing w:before="0" w:after="0" w:line="276" w:lineRule="auto"/>
              <w:jc w:val="center"/>
              <w:rPr>
                <w:rFonts w:cs="Arial"/>
                <w:color w:val="000000" w:themeColor="text1"/>
                <w:szCs w:val="16"/>
              </w:rPr>
            </w:pPr>
            <w:r w:rsidRPr="00781112">
              <w:rPr>
                <w:rFonts w:cs="Arial"/>
                <w:color w:val="000000" w:themeColor="text1"/>
                <w:szCs w:val="16"/>
              </w:rPr>
              <w:lastRenderedPageBreak/>
              <w:t>A2</w:t>
            </w:r>
          </w:p>
        </w:tc>
        <w:tc>
          <w:tcPr>
            <w:tcW w:w="437" w:type="pct"/>
            <w:tcBorders>
              <w:top w:val="single" w:sz="4" w:space="0" w:color="auto"/>
              <w:left w:val="single" w:sz="4" w:space="0" w:color="auto"/>
              <w:right w:val="single" w:sz="4" w:space="0" w:color="auto"/>
            </w:tcBorders>
            <w:shd w:val="clear" w:color="auto" w:fill="auto"/>
            <w:vAlign w:val="center"/>
          </w:tcPr>
          <w:p w14:paraId="4AD0B449" w14:textId="16D6804E" w:rsidR="00CF6742"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A13AA6" w14:textId="7F510C2D"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B53BBE3" w14:textId="7A5F9A90" w:rsidR="00CF6742"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65BB52D" w14:textId="145AACFA" w:rsidR="00CF6742"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74264A7" w14:textId="7EF45616" w:rsidR="00CF6742" w:rsidRPr="00781112" w:rsidRDefault="002B7490" w:rsidP="00A018D4">
            <w:pPr>
              <w:jc w:val="center"/>
              <w:rPr>
                <w:rFonts w:cs="Arial"/>
                <w:color w:val="000000" w:themeColor="text1"/>
                <w:szCs w:val="16"/>
              </w:rPr>
            </w:pPr>
            <w:r w:rsidRPr="00781112">
              <w:rPr>
                <w:rFonts w:cs="Arial"/>
                <w:color w:val="000000" w:themeColor="text1"/>
                <w:szCs w:val="16"/>
              </w:rPr>
              <w:t>60.50%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91C2453" w14:textId="435017A5" w:rsidR="00CF6742" w:rsidRPr="00781112" w:rsidRDefault="002B7490" w:rsidP="00A018D4">
            <w:pPr>
              <w:jc w:val="center"/>
              <w:rPr>
                <w:rFonts w:cs="Arial"/>
                <w:color w:val="000000" w:themeColor="text1"/>
                <w:szCs w:val="16"/>
              </w:rPr>
            </w:pPr>
            <w:r w:rsidRPr="00781112">
              <w:rPr>
                <w:rFonts w:cs="Arial"/>
                <w:color w:val="000000" w:themeColor="text1"/>
                <w:szCs w:val="16"/>
              </w:rPr>
              <w:t>60.70%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AA4CD6" w14:textId="54A13C0B" w:rsidR="00CF6742" w:rsidRPr="00781112" w:rsidRDefault="002B7490" w:rsidP="00A018D4">
            <w:pPr>
              <w:jc w:val="center"/>
              <w:rPr>
                <w:rFonts w:cs="Arial"/>
                <w:color w:val="000000" w:themeColor="text1"/>
                <w:szCs w:val="16"/>
              </w:rPr>
            </w:pPr>
            <w:r w:rsidRPr="00781112">
              <w:rPr>
                <w:rFonts w:cs="Arial"/>
                <w:color w:val="000000" w:themeColor="text1"/>
                <w:szCs w:val="16"/>
              </w:rPr>
              <w:t>60.90%</w:t>
            </w:r>
          </w:p>
        </w:tc>
      </w:tr>
      <w:tr w:rsidR="005F0D3B" w:rsidRPr="00781112" w14:paraId="1D11B386" w14:textId="42BD85F0" w:rsidTr="009023AD">
        <w:trPr>
          <w:trHeight w:val="85"/>
        </w:trPr>
        <w:tc>
          <w:tcPr>
            <w:tcW w:w="248" w:type="pct"/>
            <w:tcBorders>
              <w:left w:val="single" w:sz="4" w:space="0" w:color="auto"/>
              <w:right w:val="single" w:sz="4" w:space="0" w:color="auto"/>
            </w:tcBorders>
            <w:shd w:val="clear" w:color="auto" w:fill="auto"/>
            <w:vAlign w:val="center"/>
          </w:tcPr>
          <w:p w14:paraId="65E595DA" w14:textId="7544B3DB" w:rsidR="00CF6742"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A2</w:t>
            </w:r>
          </w:p>
        </w:tc>
        <w:tc>
          <w:tcPr>
            <w:tcW w:w="437" w:type="pct"/>
            <w:tcBorders>
              <w:left w:val="single" w:sz="4" w:space="0" w:color="auto"/>
              <w:right w:val="single" w:sz="4" w:space="0" w:color="auto"/>
            </w:tcBorders>
            <w:shd w:val="clear" w:color="auto" w:fill="auto"/>
            <w:vAlign w:val="center"/>
          </w:tcPr>
          <w:p w14:paraId="33B2AFD7" w14:textId="45496AC0" w:rsidR="00CF6742" w:rsidRPr="00781112" w:rsidRDefault="002B7490" w:rsidP="00A018D4">
            <w:pPr>
              <w:jc w:val="center"/>
              <w:rPr>
                <w:rFonts w:cs="Arial"/>
                <w:color w:val="000000" w:themeColor="text1"/>
                <w:szCs w:val="16"/>
              </w:rPr>
            </w:pPr>
            <w:r w:rsidRPr="00781112">
              <w:rPr>
                <w:rFonts w:cs="Arial"/>
                <w:color w:val="000000" w:themeColor="text1"/>
                <w:szCs w:val="16"/>
              </w:rPr>
              <w:t>60.20%</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0ABFC" w14:textId="77777777" w:rsidR="00CF6742" w:rsidRPr="00781112" w:rsidRDefault="00CF6742"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FA2DD6E" w14:textId="36DC7586" w:rsidR="00CF6742" w:rsidRPr="00781112" w:rsidRDefault="002B7490" w:rsidP="00A018D4">
            <w:pPr>
              <w:jc w:val="center"/>
              <w:rPr>
                <w:rFonts w:cs="Arial"/>
                <w:color w:val="000000" w:themeColor="text1"/>
                <w:szCs w:val="16"/>
              </w:rPr>
            </w:pPr>
            <w:r w:rsidRPr="00781112">
              <w:rPr>
                <w:rFonts w:cs="Arial"/>
                <w:color w:val="000000" w:themeColor="text1"/>
                <w:szCs w:val="16"/>
              </w:rPr>
              <w:t>54.69%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6159A9A" w14:textId="560797EF" w:rsidR="00CF6742" w:rsidRPr="00781112" w:rsidRDefault="002B7490" w:rsidP="00A018D4">
            <w:pPr>
              <w:jc w:val="center"/>
              <w:rPr>
                <w:rFonts w:cs="Arial"/>
                <w:color w:val="000000" w:themeColor="text1"/>
                <w:szCs w:val="16"/>
              </w:rPr>
            </w:pPr>
            <w:r w:rsidRPr="00781112">
              <w:rPr>
                <w:rFonts w:cs="Arial"/>
                <w:color w:val="000000" w:themeColor="text1"/>
                <w:szCs w:val="16"/>
              </w:rPr>
              <w:t>52.12%</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5D8F762" w14:textId="7C5C8489" w:rsidR="00CF6742" w:rsidRPr="00781112" w:rsidRDefault="002B7490" w:rsidP="00A018D4">
            <w:pPr>
              <w:jc w:val="center"/>
              <w:rPr>
                <w:rFonts w:cs="Arial"/>
                <w:color w:val="000000" w:themeColor="text1"/>
                <w:szCs w:val="16"/>
              </w:rPr>
            </w:pPr>
            <w:r w:rsidRPr="00781112">
              <w:rPr>
                <w:rFonts w:cs="Arial"/>
                <w:color w:val="000000" w:themeColor="text1"/>
                <w:szCs w:val="16"/>
              </w:rPr>
              <w:t>50.46%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F976AF4" w14:textId="04557E60" w:rsidR="00CF6742" w:rsidRPr="00781112" w:rsidRDefault="002B7490" w:rsidP="00A018D4">
            <w:pPr>
              <w:jc w:val="center"/>
              <w:rPr>
                <w:rFonts w:cs="Arial"/>
                <w:color w:val="000000" w:themeColor="text1"/>
                <w:szCs w:val="16"/>
              </w:rPr>
            </w:pPr>
            <w:r w:rsidRPr="00781112">
              <w:rPr>
                <w:rFonts w:cs="Arial"/>
                <w:color w:val="000000" w:themeColor="text1"/>
                <w:szCs w:val="16"/>
              </w:rPr>
              <w:t>50.76%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EEF23F" w14:textId="5EDDCD10" w:rsidR="00CF6742" w:rsidRPr="00781112" w:rsidRDefault="002B7490" w:rsidP="00A018D4">
            <w:pPr>
              <w:jc w:val="center"/>
              <w:rPr>
                <w:rFonts w:cs="Arial"/>
                <w:color w:val="000000" w:themeColor="text1"/>
                <w:szCs w:val="16"/>
              </w:rPr>
            </w:pPr>
            <w:r w:rsidRPr="00781112">
              <w:rPr>
                <w:rFonts w:cs="Arial"/>
                <w:color w:val="000000" w:themeColor="text1"/>
                <w:szCs w:val="16"/>
              </w:rPr>
              <w:t>51.47%</w:t>
            </w:r>
          </w:p>
        </w:tc>
      </w:tr>
      <w:tr w:rsidR="005F0D3B" w:rsidRPr="00781112" w14:paraId="038BC95B" w14:textId="47C87879" w:rsidTr="009023AD">
        <w:trPr>
          <w:trHeight w:val="85"/>
        </w:trPr>
        <w:tc>
          <w:tcPr>
            <w:tcW w:w="248" w:type="pct"/>
            <w:tcBorders>
              <w:left w:val="single" w:sz="4" w:space="0" w:color="auto"/>
              <w:right w:val="single" w:sz="4" w:space="0" w:color="auto"/>
            </w:tcBorders>
            <w:shd w:val="clear" w:color="auto" w:fill="auto"/>
            <w:vAlign w:val="center"/>
          </w:tcPr>
          <w:p w14:paraId="4B20CE7B"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49E245E" w14:textId="66BE9FD7"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01E60245" w14:textId="7347A69D"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F1B58E" w14:textId="3C66E08F" w:rsidR="0085328E" w:rsidRPr="00781112" w:rsidRDefault="002B7490" w:rsidP="00A018D4">
            <w:pPr>
              <w:jc w:val="center"/>
              <w:rPr>
                <w:rFonts w:cs="Arial"/>
                <w:color w:val="000000" w:themeColor="text1"/>
                <w:szCs w:val="16"/>
              </w:rPr>
            </w:pPr>
            <w:r w:rsidRPr="00781112">
              <w:rPr>
                <w:rFonts w:cs="Arial"/>
                <w:color w:val="000000" w:themeColor="text1"/>
                <w:szCs w:val="16"/>
              </w:rPr>
              <w:t>74.20%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6CEF40A" w14:textId="6AF964A1" w:rsidR="0085328E" w:rsidRPr="00781112" w:rsidRDefault="002B7490" w:rsidP="00A018D4">
            <w:pPr>
              <w:jc w:val="center"/>
              <w:rPr>
                <w:rFonts w:cs="Arial"/>
                <w:color w:val="000000" w:themeColor="text1"/>
                <w:szCs w:val="16"/>
              </w:rPr>
            </w:pPr>
            <w:r w:rsidRPr="00781112">
              <w:rPr>
                <w:rFonts w:cs="Arial"/>
                <w:color w:val="000000" w:themeColor="text1"/>
                <w:szCs w:val="16"/>
              </w:rPr>
              <w:t>74.20%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C74D9F4" w14:textId="774343F5" w:rsidR="0085328E" w:rsidRPr="00781112" w:rsidRDefault="002B7490" w:rsidP="00A018D4">
            <w:pPr>
              <w:jc w:val="center"/>
              <w:rPr>
                <w:rFonts w:cs="Arial"/>
                <w:color w:val="000000" w:themeColor="text1"/>
                <w:szCs w:val="16"/>
              </w:rPr>
            </w:pPr>
            <w:r w:rsidRPr="00781112">
              <w:rPr>
                <w:rFonts w:cs="Arial"/>
                <w:color w:val="000000" w:themeColor="text1"/>
                <w:szCs w:val="16"/>
              </w:rPr>
              <w:t>74.20%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9DA59EE" w14:textId="194552B0" w:rsidR="0085328E" w:rsidRPr="00781112" w:rsidRDefault="002B7490" w:rsidP="00A018D4">
            <w:pPr>
              <w:jc w:val="center"/>
              <w:rPr>
                <w:rFonts w:cs="Arial"/>
                <w:color w:val="000000" w:themeColor="text1"/>
                <w:szCs w:val="16"/>
              </w:rPr>
            </w:pPr>
            <w:r w:rsidRPr="00781112">
              <w:rPr>
                <w:rFonts w:cs="Arial"/>
                <w:color w:val="000000" w:themeColor="text1"/>
                <w:szCs w:val="16"/>
              </w:rPr>
              <w:t>74.40%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B8D5B5" w14:textId="15B9801D" w:rsidR="0085328E" w:rsidRPr="00781112" w:rsidRDefault="002B7490" w:rsidP="00A018D4">
            <w:pPr>
              <w:jc w:val="center"/>
              <w:rPr>
                <w:rFonts w:cs="Arial"/>
                <w:color w:val="000000" w:themeColor="text1"/>
                <w:szCs w:val="16"/>
              </w:rPr>
            </w:pPr>
            <w:r w:rsidRPr="00781112">
              <w:rPr>
                <w:rFonts w:cs="Arial"/>
                <w:color w:val="000000" w:themeColor="text1"/>
                <w:szCs w:val="16"/>
              </w:rPr>
              <w:t>74.60%</w:t>
            </w:r>
          </w:p>
        </w:tc>
      </w:tr>
      <w:tr w:rsidR="005F0D3B" w:rsidRPr="00781112" w14:paraId="66DA0218" w14:textId="74D7BD54" w:rsidTr="009023AD">
        <w:trPr>
          <w:trHeight w:val="85"/>
        </w:trPr>
        <w:tc>
          <w:tcPr>
            <w:tcW w:w="248" w:type="pct"/>
            <w:tcBorders>
              <w:left w:val="single" w:sz="4" w:space="0" w:color="auto"/>
              <w:right w:val="single" w:sz="4" w:space="0" w:color="auto"/>
            </w:tcBorders>
            <w:shd w:val="clear" w:color="auto" w:fill="auto"/>
            <w:vAlign w:val="center"/>
          </w:tcPr>
          <w:p w14:paraId="24B8577D" w14:textId="1B68A320"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B1</w:t>
            </w:r>
          </w:p>
        </w:tc>
        <w:tc>
          <w:tcPr>
            <w:tcW w:w="437" w:type="pct"/>
            <w:tcBorders>
              <w:left w:val="single" w:sz="4" w:space="0" w:color="auto"/>
              <w:right w:val="single" w:sz="4" w:space="0" w:color="auto"/>
            </w:tcBorders>
            <w:shd w:val="clear" w:color="auto" w:fill="auto"/>
            <w:vAlign w:val="center"/>
          </w:tcPr>
          <w:p w14:paraId="4F012F6D" w14:textId="4520FF93" w:rsidR="0085328E" w:rsidRPr="00781112" w:rsidRDefault="002B7490" w:rsidP="00A018D4">
            <w:pPr>
              <w:jc w:val="center"/>
              <w:rPr>
                <w:rFonts w:cs="Arial"/>
                <w:color w:val="000000" w:themeColor="text1"/>
                <w:szCs w:val="16"/>
              </w:rPr>
            </w:pPr>
            <w:r w:rsidRPr="00781112">
              <w:rPr>
                <w:rFonts w:cs="Arial"/>
                <w:color w:val="000000" w:themeColor="text1"/>
                <w:szCs w:val="16"/>
              </w:rPr>
              <w:t>73.66%</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853A5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11C2254" w14:textId="1DF979D4" w:rsidR="0085328E" w:rsidRPr="00781112" w:rsidRDefault="002B7490" w:rsidP="00A018D4">
            <w:pPr>
              <w:jc w:val="center"/>
              <w:rPr>
                <w:rFonts w:cs="Arial"/>
                <w:color w:val="000000" w:themeColor="text1"/>
                <w:szCs w:val="16"/>
              </w:rPr>
            </w:pPr>
            <w:r w:rsidRPr="00781112">
              <w:rPr>
                <w:rFonts w:cs="Arial"/>
                <w:color w:val="000000" w:themeColor="text1"/>
                <w:szCs w:val="16"/>
              </w:rPr>
              <w:t>74.06%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F5DBAC4" w14:textId="06C3822D" w:rsidR="0085328E" w:rsidRPr="00781112" w:rsidRDefault="002B7490" w:rsidP="00A018D4">
            <w:pPr>
              <w:jc w:val="center"/>
              <w:rPr>
                <w:rFonts w:cs="Arial"/>
                <w:color w:val="000000" w:themeColor="text1"/>
                <w:szCs w:val="16"/>
              </w:rPr>
            </w:pPr>
            <w:r w:rsidRPr="00781112">
              <w:rPr>
                <w:rFonts w:cs="Arial"/>
                <w:color w:val="000000" w:themeColor="text1"/>
                <w:szCs w:val="16"/>
              </w:rPr>
              <w:t>71.99%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9D2F1A1" w14:textId="1565A8C1" w:rsidR="0085328E" w:rsidRPr="00781112" w:rsidRDefault="002B7490" w:rsidP="00A018D4">
            <w:pPr>
              <w:jc w:val="center"/>
              <w:rPr>
                <w:rFonts w:cs="Arial"/>
                <w:color w:val="000000" w:themeColor="text1"/>
                <w:szCs w:val="16"/>
              </w:rPr>
            </w:pPr>
            <w:r w:rsidRPr="00781112">
              <w:rPr>
                <w:rFonts w:cs="Arial"/>
                <w:color w:val="000000" w:themeColor="text1"/>
                <w:szCs w:val="16"/>
              </w:rPr>
              <w:t>70.70%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9437" w14:textId="7807B4A0" w:rsidR="0085328E" w:rsidRPr="00781112" w:rsidRDefault="002B7490" w:rsidP="00A018D4">
            <w:pPr>
              <w:jc w:val="center"/>
              <w:rPr>
                <w:rFonts w:cs="Arial"/>
                <w:color w:val="000000" w:themeColor="text1"/>
                <w:szCs w:val="16"/>
              </w:rPr>
            </w:pPr>
            <w:r w:rsidRPr="00781112">
              <w:rPr>
                <w:rFonts w:cs="Arial"/>
                <w:color w:val="000000" w:themeColor="text1"/>
                <w:szCs w:val="16"/>
              </w:rPr>
              <w:t>72.33%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81EDD05" w14:textId="5AA94706" w:rsidR="0085328E" w:rsidRPr="00781112" w:rsidRDefault="002B7490" w:rsidP="00A018D4">
            <w:pPr>
              <w:jc w:val="center"/>
              <w:rPr>
                <w:rFonts w:cs="Arial"/>
                <w:color w:val="000000" w:themeColor="text1"/>
                <w:szCs w:val="16"/>
              </w:rPr>
            </w:pPr>
            <w:r w:rsidRPr="00781112">
              <w:rPr>
                <w:rFonts w:cs="Arial"/>
                <w:color w:val="000000" w:themeColor="text1"/>
                <w:szCs w:val="16"/>
              </w:rPr>
              <w:t>69.97%</w:t>
            </w:r>
          </w:p>
        </w:tc>
      </w:tr>
      <w:tr w:rsidR="005F0D3B" w:rsidRPr="00781112" w14:paraId="5D1BF2C9" w14:textId="459BD37D" w:rsidTr="009023AD">
        <w:trPr>
          <w:trHeight w:val="85"/>
        </w:trPr>
        <w:tc>
          <w:tcPr>
            <w:tcW w:w="248" w:type="pct"/>
            <w:tcBorders>
              <w:left w:val="single" w:sz="4" w:space="0" w:color="auto"/>
              <w:right w:val="single" w:sz="4" w:space="0" w:color="auto"/>
            </w:tcBorders>
            <w:shd w:val="clear" w:color="auto" w:fill="auto"/>
            <w:vAlign w:val="center"/>
          </w:tcPr>
          <w:p w14:paraId="548F3C7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160EA035" w14:textId="1C94FCD5"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4A24CCF9" w14:textId="2D8E0643"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D83D62" w14:textId="2DE181F8" w:rsidR="0085328E" w:rsidRPr="00781112" w:rsidRDefault="002B7490" w:rsidP="00A018D4">
            <w:pPr>
              <w:jc w:val="center"/>
              <w:rPr>
                <w:rFonts w:cs="Arial"/>
                <w:color w:val="000000" w:themeColor="text1"/>
                <w:szCs w:val="16"/>
              </w:rPr>
            </w:pPr>
            <w:r w:rsidRPr="00781112">
              <w:rPr>
                <w:rFonts w:cs="Arial"/>
                <w:color w:val="000000" w:themeColor="text1"/>
                <w:szCs w:val="16"/>
              </w:rPr>
              <w:t>58.10%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B792AD" w14:textId="758AC006" w:rsidR="0085328E" w:rsidRPr="00781112" w:rsidRDefault="002B7490" w:rsidP="00A018D4">
            <w:pPr>
              <w:jc w:val="center"/>
              <w:rPr>
                <w:rFonts w:cs="Arial"/>
                <w:color w:val="000000" w:themeColor="text1"/>
                <w:szCs w:val="16"/>
              </w:rPr>
            </w:pPr>
            <w:r w:rsidRPr="00781112">
              <w:rPr>
                <w:rFonts w:cs="Arial"/>
                <w:color w:val="000000" w:themeColor="text1"/>
                <w:szCs w:val="16"/>
              </w:rPr>
              <w:t>58.10%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782A18F" w14:textId="46A86692" w:rsidR="0085328E" w:rsidRPr="00781112" w:rsidRDefault="002B7490" w:rsidP="00A018D4">
            <w:pPr>
              <w:jc w:val="center"/>
              <w:rPr>
                <w:rFonts w:cs="Arial"/>
                <w:color w:val="000000" w:themeColor="text1"/>
                <w:szCs w:val="16"/>
              </w:rPr>
            </w:pPr>
            <w:r w:rsidRPr="00781112">
              <w:rPr>
                <w:rFonts w:cs="Arial"/>
                <w:color w:val="000000" w:themeColor="text1"/>
                <w:szCs w:val="16"/>
              </w:rPr>
              <w:t>58.10%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97CBE74" w14:textId="39C3D76E"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1A34F04" w14:textId="315015F3" w:rsidR="0085328E" w:rsidRPr="00781112" w:rsidRDefault="002B7490" w:rsidP="00A018D4">
            <w:pPr>
              <w:jc w:val="center"/>
              <w:rPr>
                <w:rFonts w:cs="Arial"/>
                <w:color w:val="000000" w:themeColor="text1"/>
                <w:szCs w:val="16"/>
              </w:rPr>
            </w:pPr>
            <w:r w:rsidRPr="00781112">
              <w:rPr>
                <w:rFonts w:cs="Arial"/>
                <w:color w:val="000000" w:themeColor="text1"/>
                <w:szCs w:val="16"/>
              </w:rPr>
              <w:t>58.30%</w:t>
            </w:r>
          </w:p>
        </w:tc>
      </w:tr>
      <w:tr w:rsidR="005F0D3B" w:rsidRPr="00781112" w14:paraId="1AC0D5CC" w14:textId="451AD16E" w:rsidTr="009023AD">
        <w:trPr>
          <w:trHeight w:val="85"/>
        </w:trPr>
        <w:tc>
          <w:tcPr>
            <w:tcW w:w="248" w:type="pct"/>
            <w:tcBorders>
              <w:left w:val="single" w:sz="4" w:space="0" w:color="auto"/>
              <w:right w:val="single" w:sz="4" w:space="0" w:color="auto"/>
            </w:tcBorders>
            <w:shd w:val="clear" w:color="auto" w:fill="auto"/>
            <w:vAlign w:val="center"/>
          </w:tcPr>
          <w:p w14:paraId="143DE0B0" w14:textId="232D3364"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B2</w:t>
            </w:r>
          </w:p>
        </w:tc>
        <w:tc>
          <w:tcPr>
            <w:tcW w:w="437" w:type="pct"/>
            <w:tcBorders>
              <w:left w:val="single" w:sz="4" w:space="0" w:color="auto"/>
              <w:right w:val="single" w:sz="4" w:space="0" w:color="auto"/>
            </w:tcBorders>
            <w:shd w:val="clear" w:color="auto" w:fill="auto"/>
            <w:vAlign w:val="center"/>
          </w:tcPr>
          <w:p w14:paraId="24E18759" w14:textId="387ECC21" w:rsidR="0085328E" w:rsidRPr="00781112" w:rsidRDefault="002B7490" w:rsidP="00A018D4">
            <w:pPr>
              <w:jc w:val="center"/>
              <w:rPr>
                <w:rFonts w:cs="Arial"/>
                <w:color w:val="000000" w:themeColor="text1"/>
                <w:szCs w:val="16"/>
              </w:rPr>
            </w:pPr>
            <w:r w:rsidRPr="00781112">
              <w:rPr>
                <w:rFonts w:cs="Arial"/>
                <w:color w:val="000000" w:themeColor="text1"/>
                <w:szCs w:val="16"/>
              </w:rPr>
              <w:t>57.84%</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B1218C7"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04D7405" w14:textId="7369DBD6" w:rsidR="0085328E" w:rsidRPr="00781112" w:rsidRDefault="002B7490" w:rsidP="00A018D4">
            <w:pPr>
              <w:jc w:val="center"/>
              <w:rPr>
                <w:rFonts w:cs="Arial"/>
                <w:color w:val="000000" w:themeColor="text1"/>
                <w:szCs w:val="16"/>
              </w:rPr>
            </w:pPr>
            <w:r w:rsidRPr="00781112">
              <w:rPr>
                <w:rFonts w:cs="Arial"/>
                <w:color w:val="000000" w:themeColor="text1"/>
                <w:szCs w:val="16"/>
              </w:rPr>
              <w:t>52.61%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668A2AF" w14:textId="3F239661" w:rsidR="0085328E" w:rsidRPr="00781112" w:rsidRDefault="002B7490" w:rsidP="00A018D4">
            <w:pPr>
              <w:jc w:val="center"/>
              <w:rPr>
                <w:rFonts w:cs="Arial"/>
                <w:color w:val="000000" w:themeColor="text1"/>
                <w:szCs w:val="16"/>
              </w:rPr>
            </w:pPr>
            <w:r w:rsidRPr="00781112">
              <w:rPr>
                <w:rFonts w:cs="Arial"/>
                <w:color w:val="000000" w:themeColor="text1"/>
                <w:szCs w:val="16"/>
              </w:rPr>
              <w:t>49.67%</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735D643" w14:textId="534CE7F8" w:rsidR="0085328E" w:rsidRPr="00781112" w:rsidRDefault="002B7490" w:rsidP="00A018D4">
            <w:pPr>
              <w:jc w:val="center"/>
              <w:rPr>
                <w:rFonts w:cs="Arial"/>
                <w:color w:val="000000" w:themeColor="text1"/>
                <w:szCs w:val="16"/>
              </w:rPr>
            </w:pPr>
            <w:r w:rsidRPr="00781112">
              <w:rPr>
                <w:rFonts w:cs="Arial"/>
                <w:color w:val="000000" w:themeColor="text1"/>
                <w:szCs w:val="16"/>
              </w:rPr>
              <w:t>49.96%</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69A388" w14:textId="486C020A" w:rsidR="0085328E" w:rsidRPr="00781112" w:rsidRDefault="002B7490" w:rsidP="00A018D4">
            <w:pPr>
              <w:jc w:val="center"/>
              <w:rPr>
                <w:rFonts w:cs="Arial"/>
                <w:color w:val="000000" w:themeColor="text1"/>
                <w:szCs w:val="16"/>
              </w:rPr>
            </w:pPr>
            <w:r w:rsidRPr="00781112">
              <w:rPr>
                <w:rFonts w:cs="Arial"/>
                <w:color w:val="000000" w:themeColor="text1"/>
                <w:szCs w:val="16"/>
              </w:rPr>
              <w:t>48.98%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AB34E0E" w14:textId="72971784" w:rsidR="0085328E" w:rsidRPr="00781112" w:rsidRDefault="002B7490" w:rsidP="00A018D4">
            <w:pPr>
              <w:jc w:val="center"/>
              <w:rPr>
                <w:rFonts w:cs="Arial"/>
                <w:color w:val="000000" w:themeColor="text1"/>
                <w:szCs w:val="16"/>
              </w:rPr>
            </w:pPr>
            <w:r w:rsidRPr="00781112">
              <w:rPr>
                <w:rFonts w:cs="Arial"/>
                <w:color w:val="000000" w:themeColor="text1"/>
                <w:szCs w:val="16"/>
              </w:rPr>
              <w:t>50.99%</w:t>
            </w:r>
          </w:p>
        </w:tc>
      </w:tr>
      <w:tr w:rsidR="005F0D3B" w:rsidRPr="00781112" w14:paraId="3A905290" w14:textId="4D4DDE53" w:rsidTr="009023AD">
        <w:trPr>
          <w:trHeight w:val="85"/>
        </w:trPr>
        <w:tc>
          <w:tcPr>
            <w:tcW w:w="248" w:type="pct"/>
            <w:tcBorders>
              <w:left w:val="single" w:sz="4" w:space="0" w:color="auto"/>
              <w:right w:val="single" w:sz="4" w:space="0" w:color="auto"/>
            </w:tcBorders>
            <w:shd w:val="clear" w:color="auto" w:fill="auto"/>
            <w:vAlign w:val="center"/>
          </w:tcPr>
          <w:p w14:paraId="72D6BBB6"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32EC35B2" w14:textId="7EF481F8"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2AD4BBD1" w14:textId="1AF777EC"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E3605B6" w14:textId="09C06F1D" w:rsidR="0085328E" w:rsidRPr="00781112" w:rsidRDefault="002B7490" w:rsidP="00A018D4">
            <w:pPr>
              <w:jc w:val="center"/>
              <w:rPr>
                <w:rFonts w:cs="Arial"/>
                <w:color w:val="000000" w:themeColor="text1"/>
                <w:szCs w:val="16"/>
              </w:rPr>
            </w:pPr>
            <w:r w:rsidRPr="00781112">
              <w:rPr>
                <w:rFonts w:cs="Arial"/>
                <w:color w:val="000000" w:themeColor="text1"/>
                <w:szCs w:val="16"/>
              </w:rPr>
              <w:t>74.10%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985E737" w14:textId="1A9F0994" w:rsidR="0085328E" w:rsidRPr="00781112" w:rsidRDefault="002B7490" w:rsidP="00A018D4">
            <w:pPr>
              <w:jc w:val="center"/>
              <w:rPr>
                <w:rFonts w:cs="Arial"/>
                <w:color w:val="000000" w:themeColor="text1"/>
                <w:szCs w:val="16"/>
              </w:rPr>
            </w:pPr>
            <w:r w:rsidRPr="00781112">
              <w:rPr>
                <w:rFonts w:cs="Arial"/>
                <w:color w:val="000000" w:themeColor="text1"/>
                <w:szCs w:val="16"/>
              </w:rPr>
              <w:t>74.10%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104097D" w14:textId="3599EA63" w:rsidR="0085328E" w:rsidRPr="00781112" w:rsidRDefault="002B7490" w:rsidP="00A018D4">
            <w:pPr>
              <w:jc w:val="center"/>
              <w:rPr>
                <w:rFonts w:cs="Arial"/>
                <w:color w:val="000000" w:themeColor="text1"/>
                <w:szCs w:val="16"/>
              </w:rPr>
            </w:pPr>
            <w:r w:rsidRPr="00781112">
              <w:rPr>
                <w:rFonts w:cs="Arial"/>
                <w:color w:val="000000" w:themeColor="text1"/>
                <w:szCs w:val="16"/>
              </w:rPr>
              <w:t>74.10%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2ECD873" w14:textId="22C05487" w:rsidR="0085328E" w:rsidRPr="00781112" w:rsidRDefault="002B7490" w:rsidP="00A018D4">
            <w:pPr>
              <w:jc w:val="center"/>
              <w:rPr>
                <w:rFonts w:cs="Arial"/>
                <w:color w:val="000000" w:themeColor="text1"/>
                <w:szCs w:val="16"/>
              </w:rPr>
            </w:pPr>
            <w:r w:rsidRPr="00781112">
              <w:rPr>
                <w:rFonts w:cs="Arial"/>
                <w:color w:val="000000" w:themeColor="text1"/>
                <w:szCs w:val="16"/>
              </w:rPr>
              <w:t>74.30%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3389E08" w14:textId="39125BE4" w:rsidR="0085328E" w:rsidRPr="00781112" w:rsidRDefault="002B7490" w:rsidP="00A018D4">
            <w:pPr>
              <w:jc w:val="center"/>
              <w:rPr>
                <w:rFonts w:cs="Arial"/>
                <w:color w:val="000000" w:themeColor="text1"/>
                <w:szCs w:val="16"/>
              </w:rPr>
            </w:pPr>
            <w:r w:rsidRPr="00781112">
              <w:rPr>
                <w:rFonts w:cs="Arial"/>
                <w:color w:val="000000" w:themeColor="text1"/>
                <w:szCs w:val="16"/>
              </w:rPr>
              <w:t>74.50%</w:t>
            </w:r>
          </w:p>
        </w:tc>
      </w:tr>
      <w:tr w:rsidR="005F0D3B" w:rsidRPr="00781112" w14:paraId="542EE9A0" w14:textId="0624CABB" w:rsidTr="009023AD">
        <w:trPr>
          <w:trHeight w:val="85"/>
        </w:trPr>
        <w:tc>
          <w:tcPr>
            <w:tcW w:w="248" w:type="pct"/>
            <w:tcBorders>
              <w:left w:val="single" w:sz="4" w:space="0" w:color="auto"/>
              <w:right w:val="single" w:sz="4" w:space="0" w:color="auto"/>
            </w:tcBorders>
            <w:shd w:val="clear" w:color="auto" w:fill="auto"/>
            <w:vAlign w:val="center"/>
          </w:tcPr>
          <w:p w14:paraId="4DBC4231" w14:textId="38EC78AF"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C1</w:t>
            </w:r>
          </w:p>
        </w:tc>
        <w:tc>
          <w:tcPr>
            <w:tcW w:w="437" w:type="pct"/>
            <w:tcBorders>
              <w:left w:val="single" w:sz="4" w:space="0" w:color="auto"/>
              <w:right w:val="single" w:sz="4" w:space="0" w:color="auto"/>
            </w:tcBorders>
            <w:shd w:val="clear" w:color="auto" w:fill="auto"/>
            <w:vAlign w:val="center"/>
          </w:tcPr>
          <w:p w14:paraId="4A443083" w14:textId="588F563E" w:rsidR="0085328E" w:rsidRPr="00781112" w:rsidRDefault="002B7490" w:rsidP="00A018D4">
            <w:pPr>
              <w:jc w:val="center"/>
              <w:rPr>
                <w:rFonts w:cs="Arial"/>
                <w:color w:val="000000" w:themeColor="text1"/>
                <w:szCs w:val="16"/>
              </w:rPr>
            </w:pPr>
            <w:r w:rsidRPr="00781112">
              <w:rPr>
                <w:rFonts w:cs="Arial"/>
                <w:color w:val="000000" w:themeColor="text1"/>
                <w:szCs w:val="16"/>
              </w:rPr>
              <w:t>73.63%</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3505DBD8"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CCFC788" w14:textId="0DEC691C" w:rsidR="0085328E" w:rsidRPr="00781112" w:rsidRDefault="002B7490" w:rsidP="00A018D4">
            <w:pPr>
              <w:jc w:val="center"/>
              <w:rPr>
                <w:rFonts w:cs="Arial"/>
                <w:color w:val="000000" w:themeColor="text1"/>
                <w:szCs w:val="16"/>
              </w:rPr>
            </w:pPr>
            <w:r w:rsidRPr="00781112">
              <w:rPr>
                <w:rFonts w:cs="Arial"/>
                <w:color w:val="000000" w:themeColor="text1"/>
                <w:szCs w:val="16"/>
              </w:rPr>
              <w:t>75.15%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A2692FD" w14:textId="41890FD1" w:rsidR="0085328E" w:rsidRPr="00781112" w:rsidRDefault="002B7490" w:rsidP="00A018D4">
            <w:pPr>
              <w:jc w:val="center"/>
              <w:rPr>
                <w:rFonts w:cs="Arial"/>
                <w:color w:val="000000" w:themeColor="text1"/>
                <w:szCs w:val="16"/>
              </w:rPr>
            </w:pPr>
            <w:r w:rsidRPr="00781112">
              <w:rPr>
                <w:rFonts w:cs="Arial"/>
                <w:color w:val="000000" w:themeColor="text1"/>
                <w:szCs w:val="16"/>
              </w:rPr>
              <w:t>75.70%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E19A94" w14:textId="4230AB0E" w:rsidR="0085328E" w:rsidRPr="00781112" w:rsidRDefault="002B7490" w:rsidP="00A018D4">
            <w:pPr>
              <w:jc w:val="center"/>
              <w:rPr>
                <w:rFonts w:cs="Arial"/>
                <w:color w:val="000000" w:themeColor="text1"/>
                <w:szCs w:val="16"/>
              </w:rPr>
            </w:pPr>
            <w:r w:rsidRPr="00781112">
              <w:rPr>
                <w:rFonts w:cs="Arial"/>
                <w:color w:val="000000" w:themeColor="text1"/>
                <w:szCs w:val="16"/>
              </w:rPr>
              <w:t>74.55%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F3C8C0" w14:textId="601F01AA" w:rsidR="0085328E" w:rsidRPr="00781112" w:rsidRDefault="002B7490" w:rsidP="00A018D4">
            <w:pPr>
              <w:jc w:val="center"/>
              <w:rPr>
                <w:rFonts w:cs="Arial"/>
                <w:color w:val="000000" w:themeColor="text1"/>
                <w:szCs w:val="16"/>
              </w:rPr>
            </w:pPr>
            <w:r w:rsidRPr="00781112">
              <w:rPr>
                <w:rFonts w:cs="Arial"/>
                <w:color w:val="000000" w:themeColor="text1"/>
                <w:szCs w:val="16"/>
              </w:rPr>
              <w:t>75.33%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C69554C" w14:textId="208FBED6" w:rsidR="0085328E" w:rsidRPr="00781112" w:rsidRDefault="002B7490" w:rsidP="00A018D4">
            <w:pPr>
              <w:jc w:val="center"/>
              <w:rPr>
                <w:rFonts w:cs="Arial"/>
                <w:color w:val="000000" w:themeColor="text1"/>
                <w:szCs w:val="16"/>
              </w:rPr>
            </w:pPr>
            <w:r w:rsidRPr="00781112">
              <w:rPr>
                <w:rFonts w:cs="Arial"/>
                <w:color w:val="000000" w:themeColor="text1"/>
                <w:szCs w:val="16"/>
              </w:rPr>
              <w:t>72.65%</w:t>
            </w:r>
          </w:p>
        </w:tc>
      </w:tr>
      <w:tr w:rsidR="005F0D3B" w:rsidRPr="00781112" w14:paraId="1C3A879D" w14:textId="39451B95" w:rsidTr="009023AD">
        <w:trPr>
          <w:trHeight w:val="85"/>
        </w:trPr>
        <w:tc>
          <w:tcPr>
            <w:tcW w:w="248" w:type="pct"/>
            <w:tcBorders>
              <w:left w:val="single" w:sz="4" w:space="0" w:color="auto"/>
              <w:right w:val="single" w:sz="4" w:space="0" w:color="auto"/>
            </w:tcBorders>
            <w:shd w:val="clear" w:color="auto" w:fill="auto"/>
            <w:vAlign w:val="center"/>
          </w:tcPr>
          <w:p w14:paraId="26C585A1" w14:textId="77777777" w:rsidR="0085328E" w:rsidRPr="00781112" w:rsidRDefault="0085328E"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02A4378D" w14:textId="1370C13B" w:rsidR="0085328E" w:rsidRPr="00781112" w:rsidRDefault="002B7490" w:rsidP="00A018D4">
            <w:pPr>
              <w:jc w:val="center"/>
              <w:rPr>
                <w:rFonts w:cs="Arial"/>
                <w:color w:val="000000" w:themeColor="text1"/>
                <w:szCs w:val="16"/>
              </w:rPr>
            </w:pPr>
            <w:r w:rsidRPr="00781112">
              <w:rPr>
                <w:rFonts w:cs="Arial"/>
                <w:color w:val="000000" w:themeColor="text1"/>
                <w:szCs w:val="16"/>
              </w:rPr>
              <w:t>2015</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70F3C954" w14:textId="5809F22B"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Target &gt;=</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37F82B2" w14:textId="3FDA4D76" w:rsidR="0085328E"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DC5B5B6" w14:textId="467D9866" w:rsidR="0085328E"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4D8F929" w14:textId="659E25C7" w:rsidR="0085328E" w:rsidRPr="00781112" w:rsidRDefault="002B7490" w:rsidP="00A018D4">
            <w:pPr>
              <w:jc w:val="center"/>
              <w:rPr>
                <w:rFonts w:cs="Arial"/>
                <w:color w:val="000000" w:themeColor="text1"/>
                <w:szCs w:val="16"/>
              </w:rPr>
            </w:pPr>
            <w:r w:rsidRPr="00781112">
              <w:rPr>
                <w:rFonts w:cs="Arial"/>
                <w:color w:val="000000" w:themeColor="text1"/>
                <w:szCs w:val="16"/>
              </w:rPr>
              <w:t>61.50%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2DB5EE8" w14:textId="25FD6BE6" w:rsidR="0085328E" w:rsidRPr="00781112" w:rsidRDefault="002B7490" w:rsidP="00A018D4">
            <w:pPr>
              <w:jc w:val="center"/>
              <w:rPr>
                <w:rFonts w:cs="Arial"/>
                <w:color w:val="000000" w:themeColor="text1"/>
                <w:szCs w:val="16"/>
              </w:rPr>
            </w:pPr>
            <w:r w:rsidRPr="00781112">
              <w:rPr>
                <w:rFonts w:cs="Arial"/>
                <w:color w:val="000000" w:themeColor="text1"/>
                <w:szCs w:val="16"/>
              </w:rPr>
              <w:t>61.70%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4D4A8ED" w14:textId="7FD39DDF" w:rsidR="0085328E" w:rsidRPr="00781112" w:rsidRDefault="002B7490" w:rsidP="00A018D4">
            <w:pPr>
              <w:jc w:val="center"/>
              <w:rPr>
                <w:rFonts w:cs="Arial"/>
                <w:color w:val="000000" w:themeColor="text1"/>
                <w:szCs w:val="16"/>
              </w:rPr>
            </w:pPr>
            <w:r w:rsidRPr="00781112">
              <w:rPr>
                <w:rFonts w:cs="Arial"/>
                <w:color w:val="000000" w:themeColor="text1"/>
                <w:szCs w:val="16"/>
              </w:rPr>
              <w:t>61.90%</w:t>
            </w:r>
          </w:p>
        </w:tc>
      </w:tr>
      <w:tr w:rsidR="005F0D3B" w:rsidRPr="00781112" w14:paraId="2ED2CF15" w14:textId="4D4950C3" w:rsidTr="009023AD">
        <w:trPr>
          <w:trHeight w:val="85"/>
        </w:trPr>
        <w:tc>
          <w:tcPr>
            <w:tcW w:w="248" w:type="pct"/>
            <w:tcBorders>
              <w:left w:val="single" w:sz="4" w:space="0" w:color="auto"/>
              <w:right w:val="single" w:sz="4" w:space="0" w:color="auto"/>
            </w:tcBorders>
            <w:shd w:val="clear" w:color="auto" w:fill="auto"/>
            <w:vAlign w:val="center"/>
          </w:tcPr>
          <w:p w14:paraId="0C71509B" w14:textId="5F7D99B1" w:rsidR="0085328E" w:rsidRPr="00781112" w:rsidRDefault="001474EC" w:rsidP="004369B2">
            <w:pPr>
              <w:spacing w:before="0" w:after="0" w:line="276" w:lineRule="auto"/>
              <w:jc w:val="center"/>
              <w:rPr>
                <w:rFonts w:cs="Arial"/>
                <w:color w:val="000000" w:themeColor="text1"/>
                <w:szCs w:val="16"/>
              </w:rPr>
            </w:pPr>
            <w:r w:rsidRPr="00781112">
              <w:rPr>
                <w:rFonts w:cs="Arial"/>
                <w:color w:val="000000" w:themeColor="text1"/>
                <w:szCs w:val="16"/>
              </w:rPr>
              <w:t>C2</w:t>
            </w:r>
          </w:p>
        </w:tc>
        <w:tc>
          <w:tcPr>
            <w:tcW w:w="437" w:type="pct"/>
            <w:tcBorders>
              <w:left w:val="single" w:sz="4" w:space="0" w:color="auto"/>
              <w:right w:val="single" w:sz="4" w:space="0" w:color="auto"/>
            </w:tcBorders>
            <w:shd w:val="clear" w:color="auto" w:fill="auto"/>
            <w:vAlign w:val="center"/>
          </w:tcPr>
          <w:p w14:paraId="722DF11E" w14:textId="268D7A3C" w:rsidR="0085328E" w:rsidRPr="00781112" w:rsidRDefault="002B7490" w:rsidP="00A018D4">
            <w:pPr>
              <w:jc w:val="center"/>
              <w:rPr>
                <w:rFonts w:cs="Arial"/>
                <w:color w:val="000000" w:themeColor="text1"/>
                <w:szCs w:val="16"/>
              </w:rPr>
            </w:pPr>
            <w:r w:rsidRPr="00781112">
              <w:rPr>
                <w:rFonts w:cs="Arial"/>
                <w:color w:val="000000" w:themeColor="text1"/>
                <w:szCs w:val="16"/>
              </w:rPr>
              <w:t>61.21%</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7880F8C" w14:textId="77777777" w:rsidR="0085328E" w:rsidRPr="00781112" w:rsidRDefault="0085328E" w:rsidP="00BA3DBE">
            <w:pPr>
              <w:spacing w:before="0" w:after="0" w:line="276" w:lineRule="auto"/>
              <w:jc w:val="center"/>
              <w:rPr>
                <w:rFonts w:cs="Arial"/>
                <w:color w:val="000000" w:themeColor="text1"/>
                <w:szCs w:val="16"/>
              </w:rPr>
            </w:pPr>
            <w:r w:rsidRPr="00781112">
              <w:rPr>
                <w:rFonts w:cs="Arial"/>
                <w:color w:val="000000" w:themeColor="text1"/>
                <w:szCs w:val="16"/>
              </w:rPr>
              <w:t>Data</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9C94D3E" w14:textId="1C9729B7" w:rsidR="0085328E" w:rsidRPr="00781112" w:rsidRDefault="002B7490" w:rsidP="00A018D4">
            <w:pPr>
              <w:jc w:val="center"/>
              <w:rPr>
                <w:rFonts w:cs="Arial"/>
                <w:color w:val="000000" w:themeColor="text1"/>
                <w:szCs w:val="16"/>
              </w:rPr>
            </w:pPr>
            <w:r w:rsidRPr="00781112">
              <w:rPr>
                <w:rFonts w:cs="Arial"/>
                <w:color w:val="000000" w:themeColor="text1"/>
                <w:szCs w:val="16"/>
              </w:rPr>
              <w:t>54.54%</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AA52620" w14:textId="6E2803C1" w:rsidR="0085328E" w:rsidRPr="00781112" w:rsidRDefault="002B7490" w:rsidP="00A018D4">
            <w:pPr>
              <w:jc w:val="center"/>
              <w:rPr>
                <w:rFonts w:cs="Arial"/>
                <w:color w:val="000000" w:themeColor="text1"/>
                <w:szCs w:val="16"/>
              </w:rPr>
            </w:pPr>
            <w:r w:rsidRPr="00781112">
              <w:rPr>
                <w:rFonts w:cs="Arial"/>
                <w:color w:val="000000" w:themeColor="text1"/>
                <w:szCs w:val="16"/>
              </w:rPr>
              <w:t>52.15%</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5CB49B53" w14:textId="1024FEC0" w:rsidR="0085328E" w:rsidRPr="00781112" w:rsidRDefault="002B7490" w:rsidP="00A018D4">
            <w:pPr>
              <w:jc w:val="center"/>
              <w:rPr>
                <w:rFonts w:cs="Arial"/>
                <w:color w:val="000000" w:themeColor="text1"/>
                <w:szCs w:val="16"/>
              </w:rPr>
            </w:pPr>
            <w:r w:rsidRPr="00781112">
              <w:rPr>
                <w:rFonts w:cs="Arial"/>
                <w:color w:val="000000" w:themeColor="text1"/>
                <w:szCs w:val="16"/>
              </w:rPr>
              <w:t>50.49%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7B7A91B" w14:textId="764DB422" w:rsidR="0085328E" w:rsidRPr="00781112" w:rsidRDefault="002B7490" w:rsidP="00A018D4">
            <w:pPr>
              <w:jc w:val="center"/>
              <w:rPr>
                <w:rFonts w:cs="Arial"/>
                <w:color w:val="000000" w:themeColor="text1"/>
                <w:szCs w:val="16"/>
              </w:rPr>
            </w:pPr>
            <w:r w:rsidRPr="00781112">
              <w:rPr>
                <w:rFonts w:cs="Arial"/>
                <w:color w:val="000000" w:themeColor="text1"/>
                <w:szCs w:val="16"/>
              </w:rPr>
              <w:t>49.35%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BDF1E23" w14:textId="1E0478E3" w:rsidR="0085328E" w:rsidRPr="00781112" w:rsidRDefault="002B7490" w:rsidP="00A018D4">
            <w:pPr>
              <w:jc w:val="center"/>
              <w:rPr>
                <w:rFonts w:cs="Arial"/>
                <w:color w:val="000000" w:themeColor="text1"/>
                <w:szCs w:val="16"/>
              </w:rPr>
            </w:pPr>
            <w:r w:rsidRPr="00781112">
              <w:rPr>
                <w:rFonts w:cs="Arial"/>
                <w:color w:val="000000" w:themeColor="text1"/>
                <w:szCs w:val="16"/>
              </w:rPr>
              <w:t>49.44%</w:t>
            </w:r>
          </w:p>
        </w:tc>
      </w:tr>
    </w:tbl>
    <w:p w14:paraId="53B4B4AE" w14:textId="77777777" w:rsidR="007870F8" w:rsidRPr="00781112" w:rsidRDefault="007870F8" w:rsidP="004369B2">
      <w:pPr>
        <w:rPr>
          <w:color w:val="000000" w:themeColor="text1"/>
        </w:rPr>
      </w:pPr>
    </w:p>
    <w:p w14:paraId="0DB74FA5" w14:textId="79B945B9" w:rsidR="00F4192A" w:rsidRPr="00781112" w:rsidRDefault="00F4192A" w:rsidP="004369B2">
      <w:pPr>
        <w:rPr>
          <w:color w:val="000000" w:themeColor="text1"/>
        </w:rPr>
      </w:pPr>
      <w:r w:rsidRPr="00781112">
        <w:rPr>
          <w:b/>
          <w:color w:val="000000" w:themeColor="text1"/>
        </w:rPr>
        <w:t>Targets</w:t>
      </w:r>
    </w:p>
    <w:tbl>
      <w:tblPr>
        <w:tblW w:w="3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TARGETS"/>
      </w:tblPr>
      <w:tblGrid>
        <w:gridCol w:w="679"/>
        <w:gridCol w:w="2402"/>
        <w:gridCol w:w="2564"/>
        <w:gridCol w:w="2564"/>
      </w:tblGrid>
      <w:tr w:rsidR="00AC3EF2" w:rsidRPr="00781112" w14:paraId="7154778B" w14:textId="326343BD" w:rsidTr="00FE4611">
        <w:trPr>
          <w:trHeight w:val="333"/>
        </w:trPr>
        <w:tc>
          <w:tcPr>
            <w:tcW w:w="384" w:type="pct"/>
            <w:tcBorders>
              <w:bottom w:val="single" w:sz="4" w:space="0" w:color="auto"/>
            </w:tcBorders>
            <w:shd w:val="clear" w:color="auto" w:fill="auto"/>
            <w:vAlign w:val="center"/>
          </w:tcPr>
          <w:p w14:paraId="4C772A88" w14:textId="77777777" w:rsidR="00AC3EF2" w:rsidRPr="00781112" w:rsidRDefault="00AC3EF2" w:rsidP="00D62058">
            <w:pPr>
              <w:jc w:val="center"/>
              <w:rPr>
                <w:b/>
                <w:color w:val="000000" w:themeColor="text1"/>
              </w:rPr>
            </w:pPr>
            <w:r w:rsidRPr="00781112">
              <w:rPr>
                <w:b/>
                <w:color w:val="000000" w:themeColor="text1"/>
              </w:rPr>
              <w:t>FFY</w:t>
            </w:r>
          </w:p>
        </w:tc>
        <w:tc>
          <w:tcPr>
            <w:tcW w:w="1473" w:type="pct"/>
            <w:shd w:val="clear" w:color="auto" w:fill="auto"/>
            <w:vAlign w:val="center"/>
          </w:tcPr>
          <w:p w14:paraId="12A78916" w14:textId="4FE79E21" w:rsidR="00AC3EF2" w:rsidRPr="00781112" w:rsidRDefault="00AC3EF2" w:rsidP="00D62058">
            <w:pPr>
              <w:jc w:val="center"/>
              <w:rPr>
                <w:b/>
                <w:color w:val="000000" w:themeColor="text1"/>
              </w:rPr>
            </w:pPr>
            <w:r w:rsidRPr="00781112">
              <w:rPr>
                <w:b/>
                <w:color w:val="000000" w:themeColor="text1"/>
              </w:rPr>
              <w:t>2023</w:t>
            </w:r>
          </w:p>
        </w:tc>
        <w:tc>
          <w:tcPr>
            <w:tcW w:w="1571" w:type="pct"/>
            <w:vAlign w:val="center"/>
          </w:tcPr>
          <w:p w14:paraId="252A750A" w14:textId="25138A81" w:rsidR="00AC3EF2" w:rsidRPr="00781112" w:rsidRDefault="00AC3EF2" w:rsidP="00D62058">
            <w:pPr>
              <w:jc w:val="center"/>
              <w:rPr>
                <w:b/>
                <w:color w:val="000000" w:themeColor="text1"/>
              </w:rPr>
            </w:pPr>
            <w:r w:rsidRPr="00781112">
              <w:rPr>
                <w:rFonts w:cs="Arial"/>
                <w:b/>
                <w:color w:val="000000" w:themeColor="text1"/>
                <w:szCs w:val="16"/>
              </w:rPr>
              <w:t>2024</w:t>
            </w:r>
          </w:p>
        </w:tc>
        <w:tc>
          <w:tcPr>
            <w:tcW w:w="1571" w:type="pct"/>
            <w:vAlign w:val="center"/>
          </w:tcPr>
          <w:p w14:paraId="68D8D021" w14:textId="79B543D0" w:rsidR="00AC3EF2" w:rsidRPr="00781112" w:rsidRDefault="00AC3EF2" w:rsidP="00D62058">
            <w:pPr>
              <w:jc w:val="center"/>
              <w:rPr>
                <w:b/>
                <w:color w:val="000000" w:themeColor="text1"/>
              </w:rPr>
            </w:pPr>
            <w:r w:rsidRPr="00781112">
              <w:rPr>
                <w:rFonts w:cs="Arial"/>
                <w:b/>
                <w:color w:val="000000" w:themeColor="text1"/>
                <w:szCs w:val="16"/>
              </w:rPr>
              <w:t>2025</w:t>
            </w:r>
          </w:p>
        </w:tc>
      </w:tr>
      <w:tr w:rsidR="00AC3EF2" w:rsidRPr="00781112" w14:paraId="18C73B9A" w14:textId="4A314190" w:rsidTr="00FE4611">
        <w:trPr>
          <w:trHeight w:val="340"/>
        </w:trPr>
        <w:tc>
          <w:tcPr>
            <w:tcW w:w="384" w:type="pct"/>
            <w:shd w:val="clear" w:color="auto" w:fill="auto"/>
            <w:vAlign w:val="center"/>
          </w:tcPr>
          <w:p w14:paraId="507B0BCD" w14:textId="415A5723" w:rsidR="00AC3EF2" w:rsidRPr="00781112" w:rsidRDefault="00AC3EF2" w:rsidP="00BA3DBE">
            <w:pPr>
              <w:jc w:val="center"/>
              <w:rPr>
                <w:rFonts w:cs="Arial"/>
                <w:color w:val="000000" w:themeColor="text1"/>
                <w:szCs w:val="16"/>
              </w:rPr>
            </w:pPr>
            <w:r w:rsidRPr="00781112">
              <w:rPr>
                <w:rFonts w:cs="Arial"/>
                <w:color w:val="000000" w:themeColor="text1"/>
                <w:szCs w:val="16"/>
              </w:rPr>
              <w:t>Target A1 &gt;=</w:t>
            </w:r>
          </w:p>
        </w:tc>
        <w:tc>
          <w:tcPr>
            <w:tcW w:w="1473" w:type="pct"/>
            <w:shd w:val="clear" w:color="auto" w:fill="auto"/>
            <w:vAlign w:val="center"/>
          </w:tcPr>
          <w:p w14:paraId="1B809E80" w14:textId="23651174" w:rsidR="00AC3EF2" w:rsidRPr="00781112" w:rsidRDefault="00AC3EF2" w:rsidP="00D62058">
            <w:pPr>
              <w:jc w:val="center"/>
              <w:rPr>
                <w:color w:val="000000" w:themeColor="text1"/>
              </w:rPr>
            </w:pPr>
            <w:r w:rsidRPr="00781112">
              <w:rPr>
                <w:color w:val="000000" w:themeColor="text1"/>
              </w:rPr>
              <w:t>76.70%</w:t>
            </w:r>
          </w:p>
        </w:tc>
        <w:tc>
          <w:tcPr>
            <w:tcW w:w="1571" w:type="pct"/>
            <w:vAlign w:val="center"/>
          </w:tcPr>
          <w:p w14:paraId="5EAD01EF" w14:textId="12066A13" w:rsidR="00AC3EF2" w:rsidRPr="00781112" w:rsidRDefault="00AC3EF2" w:rsidP="00D62058">
            <w:pPr>
              <w:jc w:val="center"/>
              <w:rPr>
                <w:color w:val="000000" w:themeColor="text1"/>
              </w:rPr>
            </w:pPr>
            <w:r w:rsidRPr="00781112">
              <w:rPr>
                <w:color w:val="000000" w:themeColor="text1"/>
                <w:szCs w:val="16"/>
              </w:rPr>
              <w:t>76.90%</w:t>
            </w:r>
          </w:p>
        </w:tc>
        <w:tc>
          <w:tcPr>
            <w:tcW w:w="1571" w:type="pct"/>
            <w:vAlign w:val="center"/>
          </w:tcPr>
          <w:p w14:paraId="2E3018C0" w14:textId="3758E6A1" w:rsidR="00AC3EF2" w:rsidRPr="00781112" w:rsidRDefault="00AC3EF2" w:rsidP="00D62058">
            <w:pPr>
              <w:jc w:val="center"/>
              <w:rPr>
                <w:color w:val="000000" w:themeColor="text1"/>
              </w:rPr>
            </w:pPr>
            <w:r w:rsidRPr="00781112">
              <w:rPr>
                <w:color w:val="000000" w:themeColor="text1"/>
                <w:szCs w:val="16"/>
              </w:rPr>
              <w:t>77.10%</w:t>
            </w:r>
          </w:p>
        </w:tc>
      </w:tr>
      <w:tr w:rsidR="00AC3EF2" w:rsidRPr="00781112" w14:paraId="7C704220" w14:textId="4A1FC69E" w:rsidTr="00FE4611">
        <w:trPr>
          <w:trHeight w:val="340"/>
        </w:trPr>
        <w:tc>
          <w:tcPr>
            <w:tcW w:w="384" w:type="pct"/>
            <w:shd w:val="clear" w:color="auto" w:fill="auto"/>
            <w:vAlign w:val="center"/>
          </w:tcPr>
          <w:p w14:paraId="253AADF0" w14:textId="721E9C65" w:rsidR="00AC3EF2" w:rsidRPr="00781112" w:rsidRDefault="00AC3EF2" w:rsidP="00BA3DBE">
            <w:pPr>
              <w:jc w:val="center"/>
              <w:rPr>
                <w:rFonts w:cs="Arial"/>
                <w:color w:val="000000" w:themeColor="text1"/>
                <w:szCs w:val="16"/>
              </w:rPr>
            </w:pPr>
            <w:r w:rsidRPr="00781112">
              <w:rPr>
                <w:rFonts w:cs="Arial"/>
                <w:color w:val="000000" w:themeColor="text1"/>
                <w:szCs w:val="16"/>
              </w:rPr>
              <w:t>Target A2 &gt;=</w:t>
            </w:r>
          </w:p>
        </w:tc>
        <w:tc>
          <w:tcPr>
            <w:tcW w:w="1473" w:type="pct"/>
            <w:shd w:val="clear" w:color="auto" w:fill="auto"/>
            <w:vAlign w:val="center"/>
          </w:tcPr>
          <w:p w14:paraId="572F97E5" w14:textId="71E20118" w:rsidR="00AC3EF2" w:rsidRPr="00781112" w:rsidRDefault="00AC3EF2" w:rsidP="00D62058">
            <w:pPr>
              <w:jc w:val="center"/>
              <w:rPr>
                <w:rFonts w:cs="Arial"/>
                <w:color w:val="000000" w:themeColor="text1"/>
                <w:szCs w:val="16"/>
              </w:rPr>
            </w:pPr>
            <w:r w:rsidRPr="00781112">
              <w:rPr>
                <w:rFonts w:cs="Arial"/>
                <w:color w:val="000000" w:themeColor="text1"/>
                <w:szCs w:val="16"/>
              </w:rPr>
              <w:t>61.10%</w:t>
            </w:r>
          </w:p>
        </w:tc>
        <w:tc>
          <w:tcPr>
            <w:tcW w:w="1571" w:type="pct"/>
            <w:vAlign w:val="center"/>
          </w:tcPr>
          <w:p w14:paraId="40137C22" w14:textId="775C9D4C" w:rsidR="00AC3EF2" w:rsidRPr="00781112" w:rsidRDefault="00AC3EF2" w:rsidP="00D62058">
            <w:pPr>
              <w:jc w:val="center"/>
              <w:rPr>
                <w:rFonts w:cs="Arial"/>
                <w:color w:val="000000" w:themeColor="text1"/>
                <w:szCs w:val="16"/>
              </w:rPr>
            </w:pPr>
            <w:r w:rsidRPr="00781112">
              <w:rPr>
                <w:color w:val="000000" w:themeColor="text1"/>
                <w:szCs w:val="16"/>
              </w:rPr>
              <w:t>61.30%</w:t>
            </w:r>
          </w:p>
        </w:tc>
        <w:tc>
          <w:tcPr>
            <w:tcW w:w="1571" w:type="pct"/>
            <w:vAlign w:val="center"/>
          </w:tcPr>
          <w:p w14:paraId="468DEAEF" w14:textId="0B21BE62" w:rsidR="00AC3EF2" w:rsidRPr="00781112" w:rsidRDefault="00AC3EF2" w:rsidP="00D62058">
            <w:pPr>
              <w:jc w:val="center"/>
              <w:rPr>
                <w:rFonts w:cs="Arial"/>
                <w:color w:val="000000" w:themeColor="text1"/>
                <w:szCs w:val="16"/>
              </w:rPr>
            </w:pPr>
            <w:r w:rsidRPr="00781112">
              <w:rPr>
                <w:color w:val="000000" w:themeColor="text1"/>
                <w:szCs w:val="16"/>
              </w:rPr>
              <w:t>62.50%</w:t>
            </w:r>
          </w:p>
        </w:tc>
      </w:tr>
      <w:tr w:rsidR="00AC3EF2" w:rsidRPr="00781112" w14:paraId="6D44D644" w14:textId="2AAE55F2" w:rsidTr="00FE4611">
        <w:trPr>
          <w:trHeight w:val="340"/>
        </w:trPr>
        <w:tc>
          <w:tcPr>
            <w:tcW w:w="384" w:type="pct"/>
            <w:shd w:val="clear" w:color="auto" w:fill="auto"/>
            <w:vAlign w:val="center"/>
          </w:tcPr>
          <w:p w14:paraId="2E46543E" w14:textId="484E799D" w:rsidR="00AC3EF2" w:rsidRPr="00781112" w:rsidRDefault="00AC3EF2" w:rsidP="00BA3DBE">
            <w:pPr>
              <w:jc w:val="center"/>
              <w:rPr>
                <w:rFonts w:cs="Arial"/>
                <w:color w:val="000000" w:themeColor="text1"/>
                <w:szCs w:val="16"/>
              </w:rPr>
            </w:pPr>
            <w:r w:rsidRPr="00781112">
              <w:rPr>
                <w:rFonts w:cs="Arial"/>
                <w:color w:val="000000" w:themeColor="text1"/>
                <w:szCs w:val="16"/>
              </w:rPr>
              <w:t>Target B1 &gt;=</w:t>
            </w:r>
          </w:p>
        </w:tc>
        <w:tc>
          <w:tcPr>
            <w:tcW w:w="1473" w:type="pct"/>
            <w:shd w:val="clear" w:color="auto" w:fill="auto"/>
            <w:vAlign w:val="center"/>
          </w:tcPr>
          <w:p w14:paraId="5B1AAB6F" w14:textId="09987858" w:rsidR="00AC3EF2" w:rsidRPr="00781112" w:rsidRDefault="00AC3EF2" w:rsidP="00D62058">
            <w:pPr>
              <w:jc w:val="center"/>
              <w:rPr>
                <w:rFonts w:cs="Arial"/>
                <w:color w:val="000000" w:themeColor="text1"/>
                <w:szCs w:val="16"/>
              </w:rPr>
            </w:pPr>
            <w:r w:rsidRPr="00781112">
              <w:rPr>
                <w:rFonts w:cs="Arial"/>
                <w:color w:val="000000" w:themeColor="text1"/>
                <w:szCs w:val="16"/>
              </w:rPr>
              <w:t>74.80%</w:t>
            </w:r>
          </w:p>
        </w:tc>
        <w:tc>
          <w:tcPr>
            <w:tcW w:w="1571" w:type="pct"/>
            <w:vAlign w:val="center"/>
          </w:tcPr>
          <w:p w14:paraId="7D23F948" w14:textId="1533C8CE" w:rsidR="00AC3EF2" w:rsidRPr="00781112" w:rsidRDefault="00AC3EF2" w:rsidP="00D62058">
            <w:pPr>
              <w:jc w:val="center"/>
              <w:rPr>
                <w:rFonts w:cs="Arial"/>
                <w:color w:val="000000" w:themeColor="text1"/>
                <w:szCs w:val="16"/>
              </w:rPr>
            </w:pPr>
            <w:r w:rsidRPr="00781112">
              <w:rPr>
                <w:color w:val="000000" w:themeColor="text1"/>
                <w:szCs w:val="16"/>
              </w:rPr>
              <w:t>75.00%</w:t>
            </w:r>
          </w:p>
        </w:tc>
        <w:tc>
          <w:tcPr>
            <w:tcW w:w="1571" w:type="pct"/>
            <w:vAlign w:val="center"/>
          </w:tcPr>
          <w:p w14:paraId="681F2D39" w14:textId="3BA1761B" w:rsidR="00AC3EF2" w:rsidRPr="00781112" w:rsidRDefault="00AC3EF2" w:rsidP="00D62058">
            <w:pPr>
              <w:jc w:val="center"/>
              <w:rPr>
                <w:rFonts w:cs="Arial"/>
                <w:color w:val="000000" w:themeColor="text1"/>
                <w:szCs w:val="16"/>
              </w:rPr>
            </w:pPr>
            <w:r w:rsidRPr="00781112">
              <w:rPr>
                <w:color w:val="000000" w:themeColor="text1"/>
                <w:szCs w:val="16"/>
              </w:rPr>
              <w:t>75.20%</w:t>
            </w:r>
          </w:p>
        </w:tc>
      </w:tr>
      <w:tr w:rsidR="00AC3EF2" w:rsidRPr="00781112" w14:paraId="23425CD0" w14:textId="2D15C5CA" w:rsidTr="00FE4611">
        <w:trPr>
          <w:trHeight w:val="340"/>
        </w:trPr>
        <w:tc>
          <w:tcPr>
            <w:tcW w:w="384" w:type="pct"/>
            <w:shd w:val="clear" w:color="auto" w:fill="auto"/>
            <w:vAlign w:val="center"/>
          </w:tcPr>
          <w:p w14:paraId="7DAA620C" w14:textId="6D6F79FD" w:rsidR="00AC3EF2" w:rsidRPr="00781112" w:rsidRDefault="00AC3EF2" w:rsidP="00BA3DBE">
            <w:pPr>
              <w:jc w:val="center"/>
              <w:rPr>
                <w:rFonts w:cs="Arial"/>
                <w:color w:val="000000" w:themeColor="text1"/>
                <w:szCs w:val="16"/>
              </w:rPr>
            </w:pPr>
            <w:r w:rsidRPr="00781112">
              <w:rPr>
                <w:rFonts w:cs="Arial"/>
                <w:color w:val="000000" w:themeColor="text1"/>
                <w:szCs w:val="16"/>
              </w:rPr>
              <w:t>Target B2 &gt;=</w:t>
            </w:r>
          </w:p>
        </w:tc>
        <w:tc>
          <w:tcPr>
            <w:tcW w:w="1473" w:type="pct"/>
            <w:shd w:val="clear" w:color="auto" w:fill="auto"/>
            <w:vAlign w:val="center"/>
          </w:tcPr>
          <w:p w14:paraId="0C8065AA" w14:textId="2AC4B20C" w:rsidR="00AC3EF2" w:rsidRPr="00781112" w:rsidRDefault="00AC3EF2" w:rsidP="00D62058">
            <w:pPr>
              <w:jc w:val="center"/>
              <w:rPr>
                <w:rFonts w:cs="Arial"/>
                <w:color w:val="000000" w:themeColor="text1"/>
                <w:szCs w:val="16"/>
              </w:rPr>
            </w:pPr>
            <w:r w:rsidRPr="00781112">
              <w:rPr>
                <w:rFonts w:cs="Arial"/>
                <w:color w:val="000000" w:themeColor="text1"/>
                <w:szCs w:val="16"/>
              </w:rPr>
              <w:t>58.50%</w:t>
            </w:r>
          </w:p>
        </w:tc>
        <w:tc>
          <w:tcPr>
            <w:tcW w:w="1571" w:type="pct"/>
            <w:vAlign w:val="center"/>
          </w:tcPr>
          <w:p w14:paraId="3751A50F" w14:textId="3383D4A8" w:rsidR="00AC3EF2" w:rsidRPr="00781112" w:rsidRDefault="00AC3EF2" w:rsidP="00D62058">
            <w:pPr>
              <w:jc w:val="center"/>
              <w:rPr>
                <w:rFonts w:cs="Arial"/>
                <w:color w:val="000000" w:themeColor="text1"/>
                <w:szCs w:val="16"/>
              </w:rPr>
            </w:pPr>
            <w:r w:rsidRPr="00781112">
              <w:rPr>
                <w:color w:val="000000" w:themeColor="text1"/>
                <w:szCs w:val="16"/>
              </w:rPr>
              <w:t>58.70%</w:t>
            </w:r>
          </w:p>
        </w:tc>
        <w:tc>
          <w:tcPr>
            <w:tcW w:w="1571" w:type="pct"/>
            <w:vAlign w:val="center"/>
          </w:tcPr>
          <w:p w14:paraId="5235FFA6" w14:textId="4138DEB0" w:rsidR="00AC3EF2" w:rsidRPr="00781112" w:rsidRDefault="00AC3EF2" w:rsidP="00D62058">
            <w:pPr>
              <w:jc w:val="center"/>
              <w:rPr>
                <w:rFonts w:cs="Arial"/>
                <w:color w:val="000000" w:themeColor="text1"/>
                <w:szCs w:val="16"/>
              </w:rPr>
            </w:pPr>
            <w:r w:rsidRPr="00781112">
              <w:rPr>
                <w:color w:val="000000" w:themeColor="text1"/>
                <w:szCs w:val="16"/>
              </w:rPr>
              <w:t>58.90%</w:t>
            </w:r>
          </w:p>
        </w:tc>
      </w:tr>
      <w:tr w:rsidR="00AC3EF2" w:rsidRPr="00781112" w14:paraId="3A0A624F" w14:textId="2DA1E496" w:rsidTr="00FE4611">
        <w:trPr>
          <w:trHeight w:val="340"/>
        </w:trPr>
        <w:tc>
          <w:tcPr>
            <w:tcW w:w="384" w:type="pct"/>
            <w:shd w:val="clear" w:color="auto" w:fill="auto"/>
            <w:vAlign w:val="center"/>
          </w:tcPr>
          <w:p w14:paraId="04DCCFAA" w14:textId="5591B965" w:rsidR="00AC3EF2" w:rsidRPr="00781112" w:rsidRDefault="00AC3EF2" w:rsidP="00BA3DBE">
            <w:pPr>
              <w:jc w:val="center"/>
              <w:rPr>
                <w:rFonts w:cs="Arial"/>
                <w:color w:val="000000" w:themeColor="text1"/>
                <w:szCs w:val="16"/>
              </w:rPr>
            </w:pPr>
            <w:r w:rsidRPr="00781112">
              <w:rPr>
                <w:rFonts w:cs="Arial"/>
                <w:color w:val="000000" w:themeColor="text1"/>
                <w:szCs w:val="16"/>
              </w:rPr>
              <w:t>Target C1 &gt;=</w:t>
            </w:r>
          </w:p>
        </w:tc>
        <w:tc>
          <w:tcPr>
            <w:tcW w:w="1473" w:type="pct"/>
            <w:shd w:val="clear" w:color="auto" w:fill="auto"/>
            <w:vAlign w:val="center"/>
          </w:tcPr>
          <w:p w14:paraId="26176209" w14:textId="03FEA13C" w:rsidR="00AC3EF2" w:rsidRPr="00781112" w:rsidRDefault="00AC3EF2" w:rsidP="00D62058">
            <w:pPr>
              <w:jc w:val="center"/>
              <w:rPr>
                <w:rFonts w:cs="Arial"/>
                <w:color w:val="000000" w:themeColor="text1"/>
                <w:szCs w:val="16"/>
              </w:rPr>
            </w:pPr>
            <w:r w:rsidRPr="00781112">
              <w:rPr>
                <w:rFonts w:cs="Arial"/>
                <w:color w:val="000000" w:themeColor="text1"/>
                <w:szCs w:val="16"/>
              </w:rPr>
              <w:t>74.70%</w:t>
            </w:r>
          </w:p>
        </w:tc>
        <w:tc>
          <w:tcPr>
            <w:tcW w:w="1571" w:type="pct"/>
            <w:vAlign w:val="center"/>
          </w:tcPr>
          <w:p w14:paraId="36CB20B0" w14:textId="212CC3E5" w:rsidR="00AC3EF2" w:rsidRPr="00781112" w:rsidRDefault="00AC3EF2" w:rsidP="00D62058">
            <w:pPr>
              <w:jc w:val="center"/>
              <w:rPr>
                <w:rFonts w:cs="Arial"/>
                <w:color w:val="000000" w:themeColor="text1"/>
                <w:szCs w:val="16"/>
              </w:rPr>
            </w:pPr>
            <w:r w:rsidRPr="00781112">
              <w:rPr>
                <w:color w:val="000000" w:themeColor="text1"/>
                <w:szCs w:val="16"/>
              </w:rPr>
              <w:t>74.90%</w:t>
            </w:r>
          </w:p>
        </w:tc>
        <w:tc>
          <w:tcPr>
            <w:tcW w:w="1571" w:type="pct"/>
            <w:vAlign w:val="center"/>
          </w:tcPr>
          <w:p w14:paraId="29B1E3BE" w14:textId="0FFFD561" w:rsidR="00AC3EF2" w:rsidRPr="00781112" w:rsidRDefault="00AC3EF2" w:rsidP="00D62058">
            <w:pPr>
              <w:jc w:val="center"/>
              <w:rPr>
                <w:rFonts w:cs="Arial"/>
                <w:color w:val="000000" w:themeColor="text1"/>
                <w:szCs w:val="16"/>
              </w:rPr>
            </w:pPr>
            <w:r w:rsidRPr="00781112">
              <w:rPr>
                <w:color w:val="000000" w:themeColor="text1"/>
                <w:szCs w:val="16"/>
              </w:rPr>
              <w:t>75.10%</w:t>
            </w:r>
          </w:p>
        </w:tc>
      </w:tr>
      <w:tr w:rsidR="00AC3EF2" w:rsidRPr="00781112" w14:paraId="7FD0F8D0" w14:textId="6F160F3D" w:rsidTr="00FE4611">
        <w:trPr>
          <w:trHeight w:val="340"/>
        </w:trPr>
        <w:tc>
          <w:tcPr>
            <w:tcW w:w="384" w:type="pct"/>
            <w:shd w:val="clear" w:color="auto" w:fill="auto"/>
            <w:vAlign w:val="center"/>
          </w:tcPr>
          <w:p w14:paraId="16DEC104" w14:textId="6A28B34F" w:rsidR="00AC3EF2" w:rsidRPr="00781112" w:rsidRDefault="00AC3EF2" w:rsidP="00BA3DBE">
            <w:pPr>
              <w:jc w:val="center"/>
              <w:rPr>
                <w:rFonts w:cs="Arial"/>
                <w:color w:val="000000" w:themeColor="text1"/>
                <w:szCs w:val="16"/>
              </w:rPr>
            </w:pPr>
            <w:r w:rsidRPr="00781112">
              <w:rPr>
                <w:rFonts w:cs="Arial"/>
                <w:color w:val="000000" w:themeColor="text1"/>
                <w:szCs w:val="16"/>
              </w:rPr>
              <w:t>Target C2 &gt;=</w:t>
            </w:r>
          </w:p>
        </w:tc>
        <w:tc>
          <w:tcPr>
            <w:tcW w:w="1473" w:type="pct"/>
            <w:shd w:val="clear" w:color="auto" w:fill="auto"/>
            <w:vAlign w:val="center"/>
          </w:tcPr>
          <w:p w14:paraId="7A9F674E" w14:textId="54CCEACA" w:rsidR="00AC3EF2" w:rsidRPr="00781112" w:rsidRDefault="00AC3EF2" w:rsidP="00AD5583">
            <w:pPr>
              <w:jc w:val="center"/>
              <w:rPr>
                <w:rFonts w:cs="Arial"/>
                <w:color w:val="000000" w:themeColor="text1"/>
                <w:szCs w:val="16"/>
              </w:rPr>
            </w:pPr>
            <w:r w:rsidRPr="00781112">
              <w:rPr>
                <w:rFonts w:cs="Arial"/>
                <w:color w:val="000000" w:themeColor="text1"/>
                <w:szCs w:val="16"/>
              </w:rPr>
              <w:t>62.10%</w:t>
            </w:r>
          </w:p>
        </w:tc>
        <w:tc>
          <w:tcPr>
            <w:tcW w:w="1571" w:type="pct"/>
            <w:vAlign w:val="center"/>
          </w:tcPr>
          <w:p w14:paraId="1A528F77" w14:textId="13F14B9B" w:rsidR="00AC3EF2" w:rsidRPr="00781112" w:rsidRDefault="00AC3EF2" w:rsidP="00AD5583">
            <w:pPr>
              <w:jc w:val="center"/>
              <w:rPr>
                <w:rFonts w:cs="Arial"/>
                <w:color w:val="000000" w:themeColor="text1"/>
                <w:szCs w:val="16"/>
              </w:rPr>
            </w:pPr>
            <w:r w:rsidRPr="00781112">
              <w:rPr>
                <w:color w:val="000000" w:themeColor="text1"/>
                <w:szCs w:val="16"/>
              </w:rPr>
              <w:t>62.30%</w:t>
            </w:r>
          </w:p>
          <w:p w14:paraId="3C5378CB" w14:textId="5A59E833" w:rsidR="00AC3EF2" w:rsidRPr="00781112" w:rsidRDefault="00AC3EF2" w:rsidP="00AD5583">
            <w:pPr>
              <w:jc w:val="center"/>
              <w:rPr>
                <w:rFonts w:cs="Arial"/>
                <w:color w:val="000000" w:themeColor="text1"/>
                <w:szCs w:val="16"/>
              </w:rPr>
            </w:pPr>
          </w:p>
        </w:tc>
        <w:tc>
          <w:tcPr>
            <w:tcW w:w="1571" w:type="pct"/>
            <w:vAlign w:val="center"/>
          </w:tcPr>
          <w:p w14:paraId="694DD14B" w14:textId="0FC2BAFA" w:rsidR="00AC3EF2" w:rsidRPr="00781112" w:rsidRDefault="00AC3EF2" w:rsidP="00AD5583">
            <w:pPr>
              <w:jc w:val="center"/>
              <w:rPr>
                <w:rFonts w:cs="Arial"/>
                <w:color w:val="000000" w:themeColor="text1"/>
                <w:szCs w:val="16"/>
              </w:rPr>
            </w:pPr>
            <w:r w:rsidRPr="00781112">
              <w:rPr>
                <w:color w:val="000000" w:themeColor="text1"/>
                <w:szCs w:val="16"/>
              </w:rPr>
              <w:t>62.50%</w:t>
            </w:r>
          </w:p>
        </w:tc>
      </w:tr>
    </w:tbl>
    <w:p w14:paraId="49CD323A" w14:textId="0F9742B3" w:rsidR="002D145D" w:rsidRPr="00781112" w:rsidRDefault="002D145D" w:rsidP="004369B2">
      <w:pPr>
        <w:rPr>
          <w:b/>
          <w:color w:val="000000" w:themeColor="text1"/>
        </w:rPr>
      </w:pPr>
      <w:r w:rsidRPr="00781112">
        <w:rPr>
          <w:b/>
          <w:color w:val="000000" w:themeColor="text1"/>
        </w:rPr>
        <w:t xml:space="preserve">Targets: Description of Stakeholder Input </w:t>
      </w:r>
    </w:p>
    <w:p w14:paraId="600CB488" w14:textId="412B2B81" w:rsidR="002D145D" w:rsidRPr="00781112" w:rsidRDefault="002B7490" w:rsidP="002D145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6276C0F6" w14:textId="56252E01" w:rsidR="002D145D" w:rsidRPr="00781112" w:rsidRDefault="002D145D" w:rsidP="002D145D">
      <w:pPr>
        <w:rPr>
          <w:rFonts w:cs="Arial"/>
          <w:color w:val="000000" w:themeColor="text1"/>
          <w:szCs w:val="16"/>
        </w:rPr>
      </w:pPr>
    </w:p>
    <w:p w14:paraId="1512BEE4" w14:textId="77777777" w:rsidR="007870F8" w:rsidRPr="00781112" w:rsidRDefault="007870F8" w:rsidP="004369B2">
      <w:pPr>
        <w:rPr>
          <w:color w:val="000000" w:themeColor="text1"/>
        </w:rPr>
      </w:pPr>
    </w:p>
    <w:p w14:paraId="4D0201C3" w14:textId="538BBEB4" w:rsidR="008751D3" w:rsidRPr="00781112" w:rsidRDefault="0047313F">
      <w:pPr>
        <w:rPr>
          <w:b/>
          <w:color w:val="000000" w:themeColor="text1"/>
        </w:rPr>
      </w:pPr>
      <w:r>
        <w:rPr>
          <w:b/>
          <w:color w:val="000000" w:themeColor="text1"/>
        </w:rPr>
        <w:t>FFY 2023 SPP/APR Data</w:t>
      </w:r>
    </w:p>
    <w:p w14:paraId="75F01957" w14:textId="463160A4" w:rsidR="004B2C2D" w:rsidRPr="00781112" w:rsidRDefault="004B2C2D">
      <w:pPr>
        <w:rPr>
          <w:rFonts w:cs="Arial"/>
          <w:b/>
          <w:color w:val="000000" w:themeColor="text1"/>
          <w:szCs w:val="16"/>
        </w:rPr>
      </w:pPr>
      <w:r w:rsidRPr="00781112">
        <w:rPr>
          <w:rFonts w:cs="Arial"/>
          <w:b/>
          <w:color w:val="000000" w:themeColor="text1"/>
          <w:szCs w:val="16"/>
        </w:rPr>
        <w:lastRenderedPageBreak/>
        <w:t>Number of preschool children aged 3 through 5 with IEPs assessed</w:t>
      </w:r>
    </w:p>
    <w:p w14:paraId="6F555236" w14:textId="5F84A3B7" w:rsidR="004B2C2D" w:rsidRPr="00781112" w:rsidRDefault="004B2C2D" w:rsidP="004369B2">
      <w:pPr>
        <w:rPr>
          <w:color w:val="000000" w:themeColor="text1"/>
        </w:rPr>
      </w:pPr>
      <w:r w:rsidRPr="00781112">
        <w:rPr>
          <w:rFonts w:cs="Arial"/>
          <w:color w:val="000000" w:themeColor="text1"/>
          <w:szCs w:val="16"/>
        </w:rPr>
        <w:t>4,497</w:t>
      </w:r>
    </w:p>
    <w:p w14:paraId="6AF5CF56" w14:textId="77777777" w:rsidR="00A80FEB" w:rsidRPr="00781112" w:rsidRDefault="00A80FEB" w:rsidP="004369B2">
      <w:pPr>
        <w:rPr>
          <w:color w:val="000000" w:themeColor="text1"/>
        </w:rPr>
      </w:pPr>
      <w:r w:rsidRPr="00781112">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A"/>
      </w:tblPr>
      <w:tblGrid>
        <w:gridCol w:w="7350"/>
        <w:gridCol w:w="1720"/>
        <w:gridCol w:w="1720"/>
      </w:tblGrid>
      <w:tr w:rsidR="005C29F8" w:rsidRPr="00781112" w14:paraId="7F9D0F86" w14:textId="5773C98B" w:rsidTr="0033429D">
        <w:trPr>
          <w:trHeight w:val="287"/>
          <w:tblHeader/>
        </w:trPr>
        <w:tc>
          <w:tcPr>
            <w:tcW w:w="3406" w:type="pct"/>
            <w:shd w:val="clear" w:color="auto" w:fill="auto"/>
            <w:vAlign w:val="bottom"/>
          </w:tcPr>
          <w:p w14:paraId="732006A2" w14:textId="4E4F994E" w:rsidR="008751D3" w:rsidRPr="00781112" w:rsidRDefault="00043AAB" w:rsidP="0024351A">
            <w:pPr>
              <w:rPr>
                <w:rFonts w:cs="Arial"/>
                <w:b/>
                <w:color w:val="000000" w:themeColor="text1"/>
                <w:szCs w:val="16"/>
              </w:rPr>
            </w:pPr>
            <w:r w:rsidRPr="00781112">
              <w:rPr>
                <w:rFonts w:cs="Arial"/>
                <w:b/>
                <w:color w:val="000000" w:themeColor="text1"/>
                <w:szCs w:val="16"/>
              </w:rPr>
              <w:t xml:space="preserve">Outcome A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797" w:type="pct"/>
            <w:shd w:val="clear" w:color="auto" w:fill="auto"/>
            <w:vAlign w:val="bottom"/>
          </w:tcPr>
          <w:p w14:paraId="2EAB6060" w14:textId="77777777" w:rsidR="008751D3" w:rsidRPr="00781112" w:rsidRDefault="008751D3" w:rsidP="004369B2">
            <w:pPr>
              <w:jc w:val="center"/>
              <w:rPr>
                <w:rFonts w:cs="Arial"/>
                <w:b/>
                <w:color w:val="000000" w:themeColor="text1"/>
                <w:szCs w:val="16"/>
              </w:rPr>
            </w:pPr>
            <w:r w:rsidRPr="00781112">
              <w:rPr>
                <w:rFonts w:cs="Arial"/>
                <w:b/>
                <w:color w:val="000000" w:themeColor="text1"/>
                <w:szCs w:val="16"/>
              </w:rPr>
              <w:t>Number of children</w:t>
            </w:r>
          </w:p>
        </w:tc>
        <w:tc>
          <w:tcPr>
            <w:tcW w:w="797" w:type="pct"/>
            <w:shd w:val="clear" w:color="auto" w:fill="auto"/>
            <w:vAlign w:val="bottom"/>
          </w:tcPr>
          <w:p w14:paraId="1007C28C" w14:textId="52952731" w:rsidR="008751D3" w:rsidRPr="00781112" w:rsidRDefault="008751D3" w:rsidP="004369B2">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D115F3B" w14:textId="14BF41AA" w:rsidTr="00AB0D6A">
        <w:trPr>
          <w:trHeight w:val="361"/>
        </w:trPr>
        <w:tc>
          <w:tcPr>
            <w:tcW w:w="3406" w:type="pct"/>
            <w:shd w:val="clear" w:color="auto" w:fill="auto"/>
            <w:vAlign w:val="center"/>
          </w:tcPr>
          <w:p w14:paraId="476980EA" w14:textId="77777777" w:rsidR="00A86385" w:rsidRPr="00781112" w:rsidRDefault="00A86385" w:rsidP="00A86385">
            <w:pPr>
              <w:rPr>
                <w:rFonts w:cs="Arial"/>
                <w:szCs w:val="16"/>
              </w:rPr>
            </w:pPr>
            <w:r w:rsidRPr="00781112">
              <w:rPr>
                <w:rFonts w:cs="Arial"/>
                <w:szCs w:val="16"/>
              </w:rPr>
              <w:t>a. Preschool children who did not improve functioning</w:t>
            </w:r>
          </w:p>
        </w:tc>
        <w:tc>
          <w:tcPr>
            <w:tcW w:w="797" w:type="pct"/>
            <w:shd w:val="clear" w:color="auto" w:fill="auto"/>
            <w:vAlign w:val="center"/>
          </w:tcPr>
          <w:p w14:paraId="358366F4" w14:textId="107FC5B1" w:rsidR="00A86385" w:rsidRPr="00781112" w:rsidRDefault="002B7490" w:rsidP="00A018D4">
            <w:pPr>
              <w:jc w:val="center"/>
              <w:rPr>
                <w:rFonts w:cs="Arial"/>
                <w:szCs w:val="16"/>
              </w:rPr>
            </w:pPr>
            <w:r w:rsidRPr="00781112">
              <w:rPr>
                <w:rFonts w:cs="Arial"/>
                <w:szCs w:val="16"/>
              </w:rPr>
              <w:t>78</w:t>
            </w:r>
          </w:p>
        </w:tc>
        <w:tc>
          <w:tcPr>
            <w:tcW w:w="797" w:type="pct"/>
            <w:shd w:val="clear" w:color="auto" w:fill="auto"/>
            <w:vAlign w:val="center"/>
          </w:tcPr>
          <w:p w14:paraId="0846D135" w14:textId="1043D337" w:rsidR="00A86385" w:rsidRPr="00781112" w:rsidRDefault="002B7490" w:rsidP="00A018D4">
            <w:pPr>
              <w:jc w:val="center"/>
              <w:rPr>
                <w:rFonts w:cs="Arial"/>
                <w:szCs w:val="16"/>
              </w:rPr>
            </w:pPr>
            <w:r w:rsidRPr="00781112">
              <w:rPr>
                <w:rFonts w:cs="Arial"/>
                <w:szCs w:val="16"/>
              </w:rPr>
              <w:t>1.73%</w:t>
            </w:r>
          </w:p>
        </w:tc>
      </w:tr>
      <w:tr w:rsidR="005C29F8" w:rsidRPr="00781112" w14:paraId="779019AB" w14:textId="1FD48572" w:rsidTr="00AB0D6A">
        <w:trPr>
          <w:trHeight w:val="361"/>
        </w:trPr>
        <w:tc>
          <w:tcPr>
            <w:tcW w:w="3406" w:type="pct"/>
            <w:shd w:val="clear" w:color="auto" w:fill="auto"/>
            <w:vAlign w:val="center"/>
          </w:tcPr>
          <w:p w14:paraId="6E7F23F0" w14:textId="77777777" w:rsidR="00A86385" w:rsidRPr="00781112" w:rsidRDefault="00A86385" w:rsidP="00A86385">
            <w:pPr>
              <w:rPr>
                <w:rFonts w:cs="Arial"/>
                <w:szCs w:val="16"/>
              </w:rPr>
            </w:pPr>
            <w:r w:rsidRPr="00781112">
              <w:rPr>
                <w:rFonts w:cs="Arial"/>
                <w:szCs w:val="16"/>
              </w:rPr>
              <w:t>b. Preschool children who improved functioning but not sufficient to move nearer to functioning comparable to same-aged peers</w:t>
            </w:r>
          </w:p>
        </w:tc>
        <w:tc>
          <w:tcPr>
            <w:tcW w:w="797" w:type="pct"/>
            <w:shd w:val="clear" w:color="auto" w:fill="auto"/>
            <w:vAlign w:val="center"/>
          </w:tcPr>
          <w:p w14:paraId="1E928F4C" w14:textId="54E616E3" w:rsidR="00A86385" w:rsidRPr="00781112" w:rsidRDefault="002B7490" w:rsidP="00A018D4">
            <w:pPr>
              <w:jc w:val="center"/>
              <w:rPr>
                <w:rFonts w:cs="Arial"/>
                <w:szCs w:val="16"/>
              </w:rPr>
            </w:pPr>
            <w:r w:rsidRPr="00781112">
              <w:rPr>
                <w:rFonts w:cs="Arial"/>
                <w:szCs w:val="16"/>
              </w:rPr>
              <w:t>615</w:t>
            </w:r>
          </w:p>
        </w:tc>
        <w:tc>
          <w:tcPr>
            <w:tcW w:w="797" w:type="pct"/>
            <w:shd w:val="clear" w:color="auto" w:fill="auto"/>
            <w:vAlign w:val="center"/>
          </w:tcPr>
          <w:p w14:paraId="371019D1" w14:textId="49035C13" w:rsidR="00A86385" w:rsidRPr="00781112" w:rsidRDefault="002B7490" w:rsidP="00A018D4">
            <w:pPr>
              <w:jc w:val="center"/>
              <w:rPr>
                <w:rFonts w:cs="Arial"/>
                <w:szCs w:val="16"/>
              </w:rPr>
            </w:pPr>
            <w:r w:rsidRPr="00781112">
              <w:rPr>
                <w:rFonts w:cs="Arial"/>
                <w:szCs w:val="16"/>
              </w:rPr>
              <w:t>13.68%</w:t>
            </w:r>
          </w:p>
        </w:tc>
      </w:tr>
      <w:tr w:rsidR="005C29F8" w:rsidRPr="00781112" w14:paraId="3A078806" w14:textId="7FBB31A0" w:rsidTr="00AB0D6A">
        <w:trPr>
          <w:trHeight w:val="361"/>
        </w:trPr>
        <w:tc>
          <w:tcPr>
            <w:tcW w:w="3406" w:type="pct"/>
            <w:shd w:val="clear" w:color="auto" w:fill="auto"/>
            <w:vAlign w:val="center"/>
          </w:tcPr>
          <w:p w14:paraId="6E35A4C3" w14:textId="77777777" w:rsidR="00A86385" w:rsidRPr="00781112" w:rsidRDefault="00A86385" w:rsidP="00A86385">
            <w:pPr>
              <w:rPr>
                <w:rFonts w:cs="Arial"/>
                <w:szCs w:val="16"/>
              </w:rPr>
            </w:pPr>
            <w:r w:rsidRPr="00781112">
              <w:rPr>
                <w:rFonts w:cs="Arial"/>
                <w:szCs w:val="16"/>
              </w:rPr>
              <w:t>c. Preschool children who improved functioning to a level nearer to same-aged peers but did not reach it</w:t>
            </w:r>
          </w:p>
        </w:tc>
        <w:tc>
          <w:tcPr>
            <w:tcW w:w="797" w:type="pct"/>
            <w:shd w:val="clear" w:color="auto" w:fill="auto"/>
            <w:vAlign w:val="center"/>
          </w:tcPr>
          <w:p w14:paraId="1AFEBF8F" w14:textId="2E4650C8" w:rsidR="00A86385" w:rsidRPr="00781112" w:rsidRDefault="002B7490" w:rsidP="00A018D4">
            <w:pPr>
              <w:jc w:val="center"/>
              <w:rPr>
                <w:rFonts w:cs="Arial"/>
                <w:szCs w:val="16"/>
              </w:rPr>
            </w:pPr>
            <w:r w:rsidRPr="00781112">
              <w:rPr>
                <w:rFonts w:cs="Arial"/>
                <w:szCs w:val="16"/>
              </w:rPr>
              <w:t>1,483</w:t>
            </w:r>
          </w:p>
        </w:tc>
        <w:tc>
          <w:tcPr>
            <w:tcW w:w="797" w:type="pct"/>
            <w:shd w:val="clear" w:color="auto" w:fill="auto"/>
            <w:vAlign w:val="center"/>
          </w:tcPr>
          <w:p w14:paraId="4B6BCB00" w14:textId="047D3E20" w:rsidR="00A86385" w:rsidRPr="00781112" w:rsidRDefault="002B7490" w:rsidP="00A018D4">
            <w:pPr>
              <w:jc w:val="center"/>
              <w:rPr>
                <w:rFonts w:cs="Arial"/>
                <w:szCs w:val="16"/>
              </w:rPr>
            </w:pPr>
            <w:r w:rsidRPr="00781112">
              <w:rPr>
                <w:rFonts w:cs="Arial"/>
                <w:szCs w:val="16"/>
              </w:rPr>
              <w:t>32.98%</w:t>
            </w:r>
          </w:p>
        </w:tc>
      </w:tr>
      <w:tr w:rsidR="005C29F8" w:rsidRPr="00781112" w14:paraId="37EE0376" w14:textId="01578CDB" w:rsidTr="00AB0D6A">
        <w:trPr>
          <w:trHeight w:val="361"/>
        </w:trPr>
        <w:tc>
          <w:tcPr>
            <w:tcW w:w="3406" w:type="pct"/>
            <w:shd w:val="clear" w:color="auto" w:fill="auto"/>
            <w:vAlign w:val="center"/>
          </w:tcPr>
          <w:p w14:paraId="4DFA1510" w14:textId="77777777" w:rsidR="00A86385" w:rsidRPr="00781112" w:rsidRDefault="00A86385" w:rsidP="00A86385">
            <w:pPr>
              <w:rPr>
                <w:rFonts w:cs="Arial"/>
                <w:szCs w:val="16"/>
              </w:rPr>
            </w:pPr>
            <w:r w:rsidRPr="00781112">
              <w:rPr>
                <w:rFonts w:cs="Arial"/>
                <w:szCs w:val="16"/>
              </w:rPr>
              <w:t>d. Preschool children who improved functioning to reach a level comparable to same-aged peers</w:t>
            </w:r>
          </w:p>
        </w:tc>
        <w:tc>
          <w:tcPr>
            <w:tcW w:w="797" w:type="pct"/>
            <w:shd w:val="clear" w:color="auto" w:fill="auto"/>
            <w:vAlign w:val="center"/>
          </w:tcPr>
          <w:p w14:paraId="0E06DA36" w14:textId="47CC0ED8" w:rsidR="00A86385" w:rsidRPr="00781112" w:rsidRDefault="002B7490" w:rsidP="00A018D4">
            <w:pPr>
              <w:jc w:val="center"/>
              <w:rPr>
                <w:rFonts w:cs="Arial"/>
                <w:szCs w:val="16"/>
              </w:rPr>
            </w:pPr>
            <w:r w:rsidRPr="00781112">
              <w:rPr>
                <w:rFonts w:cs="Arial"/>
                <w:szCs w:val="16"/>
              </w:rPr>
              <w:t>741</w:t>
            </w:r>
          </w:p>
        </w:tc>
        <w:tc>
          <w:tcPr>
            <w:tcW w:w="797" w:type="pct"/>
            <w:shd w:val="clear" w:color="auto" w:fill="auto"/>
            <w:vAlign w:val="center"/>
          </w:tcPr>
          <w:p w14:paraId="16C35679" w14:textId="25F05A91" w:rsidR="00A86385" w:rsidRPr="00781112" w:rsidRDefault="002B7490" w:rsidP="00A018D4">
            <w:pPr>
              <w:jc w:val="center"/>
              <w:rPr>
                <w:rFonts w:cs="Arial"/>
                <w:szCs w:val="16"/>
              </w:rPr>
            </w:pPr>
            <w:r w:rsidRPr="00781112">
              <w:rPr>
                <w:rFonts w:cs="Arial"/>
                <w:szCs w:val="16"/>
              </w:rPr>
              <w:t>16.48%</w:t>
            </w:r>
          </w:p>
        </w:tc>
      </w:tr>
      <w:tr w:rsidR="005C29F8" w:rsidRPr="00781112" w14:paraId="2EAC8E4E" w14:textId="5ED91A2D" w:rsidTr="00AB0D6A">
        <w:trPr>
          <w:trHeight w:val="361"/>
        </w:trPr>
        <w:tc>
          <w:tcPr>
            <w:tcW w:w="3406" w:type="pct"/>
            <w:shd w:val="clear" w:color="auto" w:fill="auto"/>
            <w:vAlign w:val="center"/>
          </w:tcPr>
          <w:p w14:paraId="4107A866" w14:textId="77777777" w:rsidR="00A86385" w:rsidRPr="00781112" w:rsidRDefault="00A86385" w:rsidP="00A86385">
            <w:pPr>
              <w:rPr>
                <w:rFonts w:cs="Arial"/>
                <w:szCs w:val="16"/>
              </w:rPr>
            </w:pPr>
            <w:r w:rsidRPr="00781112">
              <w:rPr>
                <w:rFonts w:cs="Arial"/>
                <w:szCs w:val="16"/>
              </w:rPr>
              <w:t>e. Preschool children who maintained functioning at a level comparable to same-aged peers</w:t>
            </w:r>
          </w:p>
        </w:tc>
        <w:tc>
          <w:tcPr>
            <w:tcW w:w="797" w:type="pct"/>
            <w:shd w:val="clear" w:color="auto" w:fill="auto"/>
            <w:vAlign w:val="center"/>
          </w:tcPr>
          <w:p w14:paraId="5DD4256C" w14:textId="3B268EB2" w:rsidR="00A86385" w:rsidRPr="00781112" w:rsidRDefault="002B7490" w:rsidP="00A018D4">
            <w:pPr>
              <w:jc w:val="center"/>
              <w:rPr>
                <w:rFonts w:cs="Arial"/>
                <w:szCs w:val="16"/>
              </w:rPr>
            </w:pPr>
            <w:r w:rsidRPr="00781112">
              <w:rPr>
                <w:rFonts w:cs="Arial"/>
                <w:szCs w:val="16"/>
              </w:rPr>
              <w:t>1,580</w:t>
            </w:r>
          </w:p>
        </w:tc>
        <w:tc>
          <w:tcPr>
            <w:tcW w:w="797" w:type="pct"/>
            <w:shd w:val="clear" w:color="auto" w:fill="auto"/>
            <w:vAlign w:val="center"/>
          </w:tcPr>
          <w:p w14:paraId="49CE1ADC" w14:textId="7D7D7E9C" w:rsidR="00A86385" w:rsidRPr="00781112" w:rsidRDefault="002B7490" w:rsidP="00A018D4">
            <w:pPr>
              <w:jc w:val="center"/>
              <w:rPr>
                <w:rFonts w:cs="Arial"/>
                <w:szCs w:val="16"/>
              </w:rPr>
            </w:pPr>
            <w:r w:rsidRPr="00781112">
              <w:rPr>
                <w:rFonts w:cs="Arial"/>
                <w:szCs w:val="16"/>
              </w:rPr>
              <w:t>35.13%</w:t>
            </w:r>
          </w:p>
        </w:tc>
      </w:tr>
    </w:tbl>
    <w:p w14:paraId="2CDC19A8"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ADATA"/>
      </w:tblPr>
      <w:tblGrid>
        <w:gridCol w:w="2245"/>
        <w:gridCol w:w="1149"/>
        <w:gridCol w:w="1234"/>
        <w:gridCol w:w="1232"/>
        <w:gridCol w:w="1234"/>
        <w:gridCol w:w="1232"/>
        <w:gridCol w:w="1234"/>
        <w:gridCol w:w="1230"/>
      </w:tblGrid>
      <w:tr w:rsidR="00AA4F85" w:rsidRPr="00781112" w14:paraId="3D9EEDAD" w14:textId="30B2445F" w:rsidTr="00AA4F85">
        <w:trPr>
          <w:trHeight w:val="354"/>
          <w:tblHeader/>
        </w:trPr>
        <w:tc>
          <w:tcPr>
            <w:tcW w:w="1040" w:type="pct"/>
            <w:shd w:val="clear" w:color="auto" w:fill="auto"/>
            <w:vAlign w:val="bottom"/>
          </w:tcPr>
          <w:p w14:paraId="12D11B46" w14:textId="1FAAAC6F" w:rsidR="00AA4F85" w:rsidRPr="00781112" w:rsidRDefault="00AA4F85" w:rsidP="00AA4F85">
            <w:pPr>
              <w:rPr>
                <w:rFonts w:cs="Arial"/>
                <w:color w:val="000000" w:themeColor="text1"/>
                <w:szCs w:val="16"/>
              </w:rPr>
            </w:pPr>
            <w:r w:rsidRPr="00781112">
              <w:rPr>
                <w:rFonts w:cs="Arial"/>
                <w:b/>
                <w:color w:val="000000" w:themeColor="text1"/>
                <w:szCs w:val="16"/>
              </w:rPr>
              <w:t>Outcome A</w:t>
            </w:r>
          </w:p>
        </w:tc>
        <w:tc>
          <w:tcPr>
            <w:tcW w:w="532" w:type="pct"/>
            <w:shd w:val="clear" w:color="auto" w:fill="auto"/>
            <w:vAlign w:val="bottom"/>
          </w:tcPr>
          <w:p w14:paraId="7B100CB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72" w:type="pct"/>
            <w:shd w:val="clear" w:color="auto" w:fill="auto"/>
            <w:vAlign w:val="bottom"/>
          </w:tcPr>
          <w:p w14:paraId="31C4C2D7"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71" w:type="pct"/>
            <w:shd w:val="clear" w:color="auto" w:fill="auto"/>
            <w:vAlign w:val="bottom"/>
          </w:tcPr>
          <w:p w14:paraId="1634F3BC" w14:textId="331FE5AB" w:rsidR="00AA4F85" w:rsidRPr="00CC1061" w:rsidRDefault="00AA4F85" w:rsidP="00AA4F85">
            <w:pPr>
              <w:jc w:val="center"/>
              <w:rPr>
                <w:rFonts w:cs="Arial"/>
                <w:b/>
                <w:bCs/>
                <w:color w:val="000000" w:themeColor="text1"/>
                <w:szCs w:val="16"/>
              </w:rPr>
            </w:pPr>
            <w:r w:rsidRPr="00CC1061">
              <w:rPr>
                <w:b/>
                <w:bCs/>
              </w:rPr>
              <w:t>FFY 2022 Data</w:t>
            </w:r>
          </w:p>
        </w:tc>
        <w:tc>
          <w:tcPr>
            <w:tcW w:w="572" w:type="pct"/>
            <w:shd w:val="clear" w:color="auto" w:fill="auto"/>
            <w:vAlign w:val="bottom"/>
          </w:tcPr>
          <w:p w14:paraId="41DCEE89" w14:textId="69BAA8A3" w:rsidR="00AA4F85" w:rsidRPr="00CC1061" w:rsidRDefault="00AA4F85" w:rsidP="00AA4F85">
            <w:pPr>
              <w:jc w:val="center"/>
              <w:rPr>
                <w:rFonts w:cs="Arial"/>
                <w:b/>
                <w:bCs/>
                <w:color w:val="000000" w:themeColor="text1"/>
                <w:szCs w:val="16"/>
              </w:rPr>
            </w:pPr>
            <w:r w:rsidRPr="00CC1061">
              <w:rPr>
                <w:b/>
                <w:bCs/>
              </w:rPr>
              <w:t>FFY 2023 Target</w:t>
            </w:r>
          </w:p>
        </w:tc>
        <w:tc>
          <w:tcPr>
            <w:tcW w:w="571" w:type="pct"/>
            <w:shd w:val="clear" w:color="auto" w:fill="auto"/>
            <w:vAlign w:val="bottom"/>
          </w:tcPr>
          <w:p w14:paraId="64737D68" w14:textId="38E4550D" w:rsidR="00AA4F85" w:rsidRPr="00CC1061" w:rsidRDefault="00AA4F85" w:rsidP="00AA4F85">
            <w:pPr>
              <w:jc w:val="center"/>
              <w:rPr>
                <w:rFonts w:cs="Arial"/>
                <w:b/>
                <w:bCs/>
                <w:color w:val="000000" w:themeColor="text1"/>
                <w:szCs w:val="16"/>
              </w:rPr>
            </w:pPr>
            <w:r w:rsidRPr="00CC1061">
              <w:rPr>
                <w:b/>
                <w:bCs/>
              </w:rPr>
              <w:t>FFY 2023 Data</w:t>
            </w:r>
          </w:p>
        </w:tc>
        <w:tc>
          <w:tcPr>
            <w:tcW w:w="572" w:type="pct"/>
            <w:shd w:val="clear" w:color="auto" w:fill="auto"/>
            <w:vAlign w:val="bottom"/>
          </w:tcPr>
          <w:p w14:paraId="4592E227" w14:textId="424684DB"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571" w:type="pct"/>
            <w:shd w:val="clear" w:color="auto" w:fill="auto"/>
            <w:vAlign w:val="bottom"/>
          </w:tcPr>
          <w:p w14:paraId="41F5B2E6" w14:textId="7085A5D7"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18B94B2E" w14:textId="09DCF8DA" w:rsidTr="00AA4F85">
        <w:trPr>
          <w:trHeight w:val="361"/>
        </w:trPr>
        <w:tc>
          <w:tcPr>
            <w:tcW w:w="1040" w:type="pct"/>
            <w:shd w:val="clear" w:color="auto" w:fill="auto"/>
          </w:tcPr>
          <w:p w14:paraId="423BC0C1"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A1. Of those children who entered or exited the program below age expectations in Outcome A, the percent who substantially increased their rate of growth by the time they turned 6 years of age or exited the program. </w:t>
            </w:r>
            <w:r w:rsidRPr="00266107">
              <w:rPr>
                <w:rFonts w:cs="Arial"/>
                <w:i/>
                <w:iCs/>
                <w:color w:val="000000" w:themeColor="text1"/>
                <w:szCs w:val="16"/>
              </w:rPr>
              <w:t>Calculation:(c+d)/(a+b+c+d)</w:t>
            </w:r>
          </w:p>
        </w:tc>
        <w:tc>
          <w:tcPr>
            <w:tcW w:w="532" w:type="pct"/>
            <w:shd w:val="clear" w:color="auto" w:fill="auto"/>
            <w:vAlign w:val="center"/>
          </w:tcPr>
          <w:p w14:paraId="4154B7AF" w14:textId="22483590" w:rsidR="00A86385" w:rsidRPr="00781112" w:rsidRDefault="002B7490" w:rsidP="00A86385">
            <w:pPr>
              <w:jc w:val="center"/>
              <w:rPr>
                <w:rFonts w:cs="Arial"/>
                <w:color w:val="000000" w:themeColor="text1"/>
                <w:szCs w:val="16"/>
              </w:rPr>
            </w:pPr>
            <w:r w:rsidRPr="00781112">
              <w:rPr>
                <w:rFonts w:cs="Arial"/>
                <w:color w:val="000000" w:themeColor="text1"/>
                <w:szCs w:val="16"/>
              </w:rPr>
              <w:t>2,224</w:t>
            </w:r>
          </w:p>
        </w:tc>
        <w:tc>
          <w:tcPr>
            <w:tcW w:w="572" w:type="pct"/>
            <w:shd w:val="clear" w:color="auto" w:fill="auto"/>
            <w:vAlign w:val="center"/>
          </w:tcPr>
          <w:p w14:paraId="6A178831" w14:textId="564F7234" w:rsidR="00A86385" w:rsidRPr="00781112" w:rsidRDefault="002B7490" w:rsidP="00A86385">
            <w:pPr>
              <w:jc w:val="center"/>
              <w:rPr>
                <w:rFonts w:cs="Arial"/>
                <w:color w:val="000000" w:themeColor="text1"/>
                <w:szCs w:val="16"/>
              </w:rPr>
            </w:pPr>
            <w:r w:rsidRPr="00781112">
              <w:rPr>
                <w:rFonts w:cs="Arial"/>
                <w:color w:val="000000" w:themeColor="text1"/>
                <w:szCs w:val="16"/>
              </w:rPr>
              <w:t>2,917</w:t>
            </w:r>
          </w:p>
        </w:tc>
        <w:tc>
          <w:tcPr>
            <w:tcW w:w="571" w:type="pct"/>
            <w:shd w:val="clear" w:color="auto" w:fill="auto"/>
            <w:vAlign w:val="center"/>
          </w:tcPr>
          <w:p w14:paraId="5EEC0208" w14:textId="526E193A" w:rsidR="00A86385" w:rsidRPr="00781112" w:rsidRDefault="002B7490" w:rsidP="00A86385">
            <w:pPr>
              <w:jc w:val="center"/>
              <w:rPr>
                <w:rFonts w:cs="Arial"/>
                <w:color w:val="000000" w:themeColor="text1"/>
                <w:szCs w:val="16"/>
              </w:rPr>
            </w:pPr>
            <w:r w:rsidRPr="00781112">
              <w:rPr>
                <w:rFonts w:cs="Arial"/>
                <w:color w:val="000000" w:themeColor="text1"/>
                <w:szCs w:val="16"/>
              </w:rPr>
              <w:t>77.90%</w:t>
            </w:r>
          </w:p>
        </w:tc>
        <w:tc>
          <w:tcPr>
            <w:tcW w:w="572" w:type="pct"/>
            <w:shd w:val="clear" w:color="auto" w:fill="auto"/>
            <w:vAlign w:val="center"/>
          </w:tcPr>
          <w:p w14:paraId="4FDFC172" w14:textId="02E04CF5" w:rsidR="00A86385" w:rsidRPr="00781112" w:rsidRDefault="003D7F56">
            <w:pPr>
              <w:jc w:val="center"/>
              <w:rPr>
                <w:color w:val="000000" w:themeColor="text1"/>
              </w:rPr>
            </w:pPr>
            <w:r w:rsidRPr="00781112">
              <w:rPr>
                <w:color w:val="000000" w:themeColor="text1"/>
              </w:rPr>
              <w:t>76.70%</w:t>
            </w:r>
          </w:p>
        </w:tc>
        <w:tc>
          <w:tcPr>
            <w:tcW w:w="571" w:type="pct"/>
            <w:shd w:val="clear" w:color="auto" w:fill="auto"/>
            <w:vAlign w:val="center"/>
          </w:tcPr>
          <w:p w14:paraId="23D0B4EA" w14:textId="4DE98DDB" w:rsidR="00A86385" w:rsidRPr="00781112" w:rsidRDefault="002B7490" w:rsidP="00A86385">
            <w:pPr>
              <w:jc w:val="center"/>
              <w:rPr>
                <w:rFonts w:cs="Arial"/>
                <w:color w:val="000000" w:themeColor="text1"/>
                <w:szCs w:val="16"/>
              </w:rPr>
            </w:pPr>
            <w:r w:rsidRPr="00781112">
              <w:rPr>
                <w:rFonts w:cs="Arial"/>
                <w:color w:val="000000" w:themeColor="text1"/>
                <w:szCs w:val="16"/>
              </w:rPr>
              <w:t>76.24%</w:t>
            </w:r>
          </w:p>
        </w:tc>
        <w:tc>
          <w:tcPr>
            <w:tcW w:w="572" w:type="pct"/>
            <w:shd w:val="clear" w:color="auto" w:fill="auto"/>
            <w:vAlign w:val="center"/>
          </w:tcPr>
          <w:p w14:paraId="64F5CB78" w14:textId="13F3F70F"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7D4367C2" w14:textId="1159AE87" w:rsidR="00A86385" w:rsidRPr="00781112" w:rsidRDefault="002B7490" w:rsidP="00A86385">
            <w:pPr>
              <w:jc w:val="center"/>
              <w:rPr>
                <w:rFonts w:cs="Arial"/>
                <w:color w:val="000000" w:themeColor="text1"/>
                <w:szCs w:val="16"/>
              </w:rPr>
            </w:pPr>
            <w:r w:rsidRPr="00781112">
              <w:rPr>
                <w:rFonts w:cs="Arial"/>
                <w:color w:val="000000" w:themeColor="text1"/>
                <w:szCs w:val="16"/>
              </w:rPr>
              <w:t>Slippage</w:t>
            </w:r>
          </w:p>
        </w:tc>
      </w:tr>
      <w:tr w:rsidR="005C29F8" w:rsidRPr="00781112" w14:paraId="79C043DE" w14:textId="1DF06FE5" w:rsidTr="00AA4F85">
        <w:trPr>
          <w:trHeight w:val="361"/>
        </w:trPr>
        <w:tc>
          <w:tcPr>
            <w:tcW w:w="1040" w:type="pct"/>
            <w:shd w:val="clear" w:color="auto" w:fill="auto"/>
          </w:tcPr>
          <w:p w14:paraId="319F62FD"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A2. The percent of preschool children who were functioning within age expectations in Outcome A by the time they turned 6 years of age or exited the program. </w:t>
            </w:r>
            <w:r w:rsidRPr="00266107">
              <w:rPr>
                <w:rFonts w:cs="Arial"/>
                <w:i/>
                <w:iCs/>
                <w:color w:val="000000" w:themeColor="text1"/>
                <w:szCs w:val="16"/>
              </w:rPr>
              <w:t>Calculation: (d+e)/(a+b+c+d+e)</w:t>
            </w:r>
          </w:p>
        </w:tc>
        <w:tc>
          <w:tcPr>
            <w:tcW w:w="532" w:type="pct"/>
            <w:shd w:val="clear" w:color="auto" w:fill="auto"/>
            <w:vAlign w:val="center"/>
          </w:tcPr>
          <w:p w14:paraId="1EA4F3E8" w14:textId="01AC6416" w:rsidR="00A86385" w:rsidRPr="00781112" w:rsidRDefault="002B7490" w:rsidP="00A86385">
            <w:pPr>
              <w:jc w:val="center"/>
              <w:rPr>
                <w:rFonts w:cs="Arial"/>
                <w:color w:val="000000" w:themeColor="text1"/>
                <w:szCs w:val="16"/>
              </w:rPr>
            </w:pPr>
            <w:r w:rsidRPr="00781112">
              <w:rPr>
                <w:rFonts w:cs="Arial"/>
                <w:color w:val="000000" w:themeColor="text1"/>
                <w:szCs w:val="16"/>
              </w:rPr>
              <w:t>2,321</w:t>
            </w:r>
          </w:p>
        </w:tc>
        <w:tc>
          <w:tcPr>
            <w:tcW w:w="572" w:type="pct"/>
            <w:shd w:val="clear" w:color="auto" w:fill="auto"/>
            <w:vAlign w:val="center"/>
          </w:tcPr>
          <w:p w14:paraId="392DC3C7" w14:textId="706433AB" w:rsidR="00A86385" w:rsidRPr="00781112" w:rsidRDefault="002B7490" w:rsidP="00A86385">
            <w:pPr>
              <w:jc w:val="center"/>
              <w:rPr>
                <w:rFonts w:cs="Arial"/>
                <w:color w:val="000000" w:themeColor="text1"/>
                <w:szCs w:val="16"/>
              </w:rPr>
            </w:pPr>
            <w:r w:rsidRPr="00781112">
              <w:rPr>
                <w:rFonts w:cs="Arial"/>
                <w:color w:val="000000" w:themeColor="text1"/>
                <w:szCs w:val="16"/>
              </w:rPr>
              <w:t>4,497</w:t>
            </w:r>
          </w:p>
        </w:tc>
        <w:tc>
          <w:tcPr>
            <w:tcW w:w="571" w:type="pct"/>
            <w:shd w:val="clear" w:color="auto" w:fill="auto"/>
            <w:vAlign w:val="center"/>
          </w:tcPr>
          <w:p w14:paraId="480CDC79" w14:textId="4F1F0DEC" w:rsidR="00A86385" w:rsidRPr="00781112" w:rsidRDefault="002B7490" w:rsidP="00A86385">
            <w:pPr>
              <w:jc w:val="center"/>
              <w:rPr>
                <w:rFonts w:cs="Arial"/>
                <w:color w:val="000000" w:themeColor="text1"/>
                <w:szCs w:val="16"/>
              </w:rPr>
            </w:pPr>
            <w:r w:rsidRPr="00781112">
              <w:rPr>
                <w:rFonts w:cs="Arial"/>
                <w:color w:val="000000" w:themeColor="text1"/>
                <w:szCs w:val="16"/>
              </w:rPr>
              <w:t>51.47%</w:t>
            </w:r>
          </w:p>
        </w:tc>
        <w:tc>
          <w:tcPr>
            <w:tcW w:w="572" w:type="pct"/>
            <w:shd w:val="clear" w:color="auto" w:fill="auto"/>
            <w:vAlign w:val="center"/>
          </w:tcPr>
          <w:p w14:paraId="4E37244D" w14:textId="286AF534" w:rsidR="00A86385" w:rsidRPr="00781112" w:rsidRDefault="003D7F56">
            <w:pPr>
              <w:jc w:val="center"/>
              <w:rPr>
                <w:color w:val="000000" w:themeColor="text1"/>
              </w:rPr>
            </w:pPr>
            <w:r w:rsidRPr="00781112">
              <w:rPr>
                <w:color w:val="000000" w:themeColor="text1"/>
              </w:rPr>
              <w:t>61.10%</w:t>
            </w:r>
          </w:p>
        </w:tc>
        <w:tc>
          <w:tcPr>
            <w:tcW w:w="571" w:type="pct"/>
            <w:shd w:val="clear" w:color="auto" w:fill="auto"/>
            <w:vAlign w:val="center"/>
          </w:tcPr>
          <w:p w14:paraId="2BBC817C" w14:textId="65BC2730" w:rsidR="00A86385" w:rsidRPr="00781112" w:rsidRDefault="002B7490" w:rsidP="00A86385">
            <w:pPr>
              <w:jc w:val="center"/>
              <w:rPr>
                <w:rFonts w:cs="Arial"/>
                <w:color w:val="000000" w:themeColor="text1"/>
                <w:szCs w:val="16"/>
              </w:rPr>
            </w:pPr>
            <w:r w:rsidRPr="00781112">
              <w:rPr>
                <w:rFonts w:cs="Arial"/>
                <w:color w:val="000000" w:themeColor="text1"/>
                <w:szCs w:val="16"/>
              </w:rPr>
              <w:t>51.61%</w:t>
            </w:r>
          </w:p>
        </w:tc>
        <w:tc>
          <w:tcPr>
            <w:tcW w:w="572" w:type="pct"/>
            <w:shd w:val="clear" w:color="auto" w:fill="auto"/>
            <w:vAlign w:val="center"/>
          </w:tcPr>
          <w:p w14:paraId="3AC16CE0" w14:textId="7E3856A4" w:rsidR="00A86385" w:rsidRPr="00781112" w:rsidRDefault="002B7490" w:rsidP="00A86385">
            <w:pPr>
              <w:jc w:val="center"/>
              <w:rPr>
                <w:rFonts w:cs="Arial"/>
                <w:color w:val="000000" w:themeColor="text1"/>
                <w:szCs w:val="16"/>
              </w:rPr>
            </w:pPr>
            <w:r w:rsidRPr="00781112">
              <w:rPr>
                <w:rFonts w:cs="Arial"/>
                <w:color w:val="000000" w:themeColor="text1"/>
                <w:szCs w:val="16"/>
              </w:rPr>
              <w:t>Did not meet target</w:t>
            </w:r>
          </w:p>
        </w:tc>
        <w:tc>
          <w:tcPr>
            <w:tcW w:w="571" w:type="pct"/>
            <w:shd w:val="clear" w:color="auto" w:fill="auto"/>
            <w:vAlign w:val="center"/>
          </w:tcPr>
          <w:p w14:paraId="2C0165C1" w14:textId="5260DB98" w:rsidR="00A86385" w:rsidRPr="00781112" w:rsidRDefault="002B7490" w:rsidP="00A86385">
            <w:pPr>
              <w:jc w:val="center"/>
              <w:rPr>
                <w:rFonts w:cs="Arial"/>
                <w:color w:val="000000" w:themeColor="text1"/>
                <w:szCs w:val="16"/>
              </w:rPr>
            </w:pPr>
            <w:r w:rsidRPr="00781112">
              <w:rPr>
                <w:rFonts w:cs="Arial"/>
                <w:color w:val="000000" w:themeColor="text1"/>
                <w:szCs w:val="16"/>
              </w:rPr>
              <w:t>No Slippage</w:t>
            </w:r>
          </w:p>
        </w:tc>
      </w:tr>
    </w:tbl>
    <w:p w14:paraId="43C6FD6E" w14:textId="77777777" w:rsidR="00A80FEB" w:rsidRPr="00781112" w:rsidRDefault="00A80FEB" w:rsidP="004369B2">
      <w:pPr>
        <w:rPr>
          <w:color w:val="000000" w:themeColor="text1"/>
        </w:rPr>
      </w:pPr>
      <w:r w:rsidRPr="00781112">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B"/>
      </w:tblPr>
      <w:tblGrid>
        <w:gridCol w:w="7227"/>
        <w:gridCol w:w="1783"/>
        <w:gridCol w:w="1780"/>
      </w:tblGrid>
      <w:tr w:rsidR="005C29F8" w:rsidRPr="00781112" w14:paraId="637A7029" w14:textId="2CDA80A7" w:rsidTr="0033429D">
        <w:trPr>
          <w:trHeight w:val="361"/>
          <w:tblHeader/>
        </w:trPr>
        <w:tc>
          <w:tcPr>
            <w:tcW w:w="3349" w:type="pct"/>
            <w:shd w:val="clear" w:color="auto" w:fill="auto"/>
            <w:vAlign w:val="bottom"/>
          </w:tcPr>
          <w:p w14:paraId="43F5435F" w14:textId="01DC1145" w:rsidR="00E13B95" w:rsidRPr="00781112" w:rsidRDefault="003E11AE" w:rsidP="0024351A">
            <w:pPr>
              <w:rPr>
                <w:rFonts w:cs="Arial"/>
                <w:color w:val="000000" w:themeColor="text1"/>
                <w:szCs w:val="16"/>
              </w:rPr>
            </w:pPr>
            <w:r w:rsidRPr="00781112">
              <w:rPr>
                <w:rFonts w:cs="Arial"/>
                <w:b/>
                <w:color w:val="000000" w:themeColor="text1"/>
                <w:szCs w:val="16"/>
              </w:rPr>
              <w:t xml:space="preserve">Outcome B </w:t>
            </w:r>
            <w:r w:rsidRPr="00781112">
              <w:rPr>
                <w:rFonts w:cs="Arial"/>
                <w:b/>
                <w:bCs/>
                <w:color w:val="000000" w:themeColor="text1"/>
                <w:szCs w:val="16"/>
              </w:rPr>
              <w:t xml:space="preserve">Progress </w:t>
            </w:r>
            <w:r w:rsidR="009028CA" w:rsidRPr="00781112">
              <w:rPr>
                <w:rFonts w:cs="Arial"/>
                <w:b/>
                <w:bCs/>
                <w:color w:val="000000" w:themeColor="text1"/>
                <w:szCs w:val="16"/>
              </w:rPr>
              <w:t>C</w:t>
            </w:r>
            <w:r w:rsidRPr="00781112">
              <w:rPr>
                <w:rFonts w:cs="Arial"/>
                <w:b/>
                <w:bCs/>
                <w:color w:val="000000" w:themeColor="text1"/>
                <w:szCs w:val="16"/>
              </w:rPr>
              <w:t>ategor</w:t>
            </w:r>
            <w:r w:rsidR="00E91363" w:rsidRPr="00781112">
              <w:rPr>
                <w:rFonts w:cs="Arial"/>
                <w:b/>
                <w:bCs/>
                <w:color w:val="000000" w:themeColor="text1"/>
                <w:szCs w:val="16"/>
              </w:rPr>
              <w:t>y</w:t>
            </w:r>
          </w:p>
        </w:tc>
        <w:tc>
          <w:tcPr>
            <w:tcW w:w="826" w:type="pct"/>
            <w:shd w:val="clear" w:color="auto" w:fill="auto"/>
            <w:vAlign w:val="bottom"/>
          </w:tcPr>
          <w:p w14:paraId="33266842" w14:textId="77777777" w:rsidR="00E13B95" w:rsidRPr="00781112" w:rsidRDefault="00E13B95"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5864E39" w14:textId="3FAA808D" w:rsidR="00E13B95" w:rsidRPr="00781112" w:rsidRDefault="00E13B95"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5E399615" w14:textId="1C73CC75" w:rsidTr="00AB0D6A">
        <w:trPr>
          <w:trHeight w:val="361"/>
        </w:trPr>
        <w:tc>
          <w:tcPr>
            <w:tcW w:w="3349" w:type="pct"/>
            <w:shd w:val="clear" w:color="auto" w:fill="auto"/>
          </w:tcPr>
          <w:p w14:paraId="6B2DB9F8"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54446092" w14:textId="4023E756" w:rsidR="00A86385" w:rsidRPr="00781112" w:rsidRDefault="002B7490" w:rsidP="00A018D4">
            <w:pPr>
              <w:jc w:val="center"/>
              <w:rPr>
                <w:rFonts w:cs="Arial"/>
                <w:color w:val="000000" w:themeColor="text1"/>
                <w:szCs w:val="16"/>
              </w:rPr>
            </w:pPr>
            <w:r w:rsidRPr="00781112">
              <w:rPr>
                <w:rFonts w:cs="Arial"/>
                <w:color w:val="000000" w:themeColor="text1"/>
                <w:szCs w:val="16"/>
              </w:rPr>
              <w:t>84</w:t>
            </w:r>
          </w:p>
        </w:tc>
        <w:tc>
          <w:tcPr>
            <w:tcW w:w="825" w:type="pct"/>
            <w:shd w:val="clear" w:color="auto" w:fill="auto"/>
            <w:vAlign w:val="center"/>
          </w:tcPr>
          <w:p w14:paraId="21775FA0" w14:textId="7E6665F3" w:rsidR="00A86385" w:rsidRPr="00781112" w:rsidRDefault="002B7490" w:rsidP="00A018D4">
            <w:pPr>
              <w:jc w:val="center"/>
              <w:rPr>
                <w:rFonts w:cs="Arial"/>
                <w:color w:val="000000" w:themeColor="text1"/>
                <w:szCs w:val="16"/>
              </w:rPr>
            </w:pPr>
            <w:r w:rsidRPr="00781112">
              <w:rPr>
                <w:rFonts w:cs="Arial"/>
                <w:color w:val="000000" w:themeColor="text1"/>
                <w:szCs w:val="16"/>
              </w:rPr>
              <w:t>1.87%</w:t>
            </w:r>
          </w:p>
        </w:tc>
      </w:tr>
      <w:tr w:rsidR="005C29F8" w:rsidRPr="00781112" w14:paraId="0EABFD05" w14:textId="7B9C3CA9" w:rsidTr="00AB0D6A">
        <w:trPr>
          <w:trHeight w:val="361"/>
        </w:trPr>
        <w:tc>
          <w:tcPr>
            <w:tcW w:w="3349" w:type="pct"/>
            <w:shd w:val="clear" w:color="auto" w:fill="auto"/>
          </w:tcPr>
          <w:p w14:paraId="623F83AF"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39ABCB88" w14:textId="036353D5" w:rsidR="00A86385" w:rsidRPr="00781112" w:rsidRDefault="002B7490" w:rsidP="00A018D4">
            <w:pPr>
              <w:jc w:val="center"/>
              <w:rPr>
                <w:rFonts w:cs="Arial"/>
                <w:color w:val="000000" w:themeColor="text1"/>
                <w:szCs w:val="16"/>
              </w:rPr>
            </w:pPr>
            <w:r w:rsidRPr="00781112">
              <w:rPr>
                <w:rFonts w:cs="Arial"/>
                <w:color w:val="000000" w:themeColor="text1"/>
                <w:szCs w:val="16"/>
              </w:rPr>
              <w:t>731</w:t>
            </w:r>
          </w:p>
        </w:tc>
        <w:tc>
          <w:tcPr>
            <w:tcW w:w="825" w:type="pct"/>
            <w:shd w:val="clear" w:color="auto" w:fill="auto"/>
            <w:vAlign w:val="center"/>
          </w:tcPr>
          <w:p w14:paraId="33D020CC" w14:textId="0314A001" w:rsidR="00A86385" w:rsidRPr="00781112" w:rsidRDefault="002B7490" w:rsidP="00A018D4">
            <w:pPr>
              <w:jc w:val="center"/>
              <w:rPr>
                <w:rFonts w:cs="Arial"/>
                <w:color w:val="000000" w:themeColor="text1"/>
                <w:szCs w:val="16"/>
              </w:rPr>
            </w:pPr>
            <w:r w:rsidRPr="00781112">
              <w:rPr>
                <w:rFonts w:cs="Arial"/>
                <w:color w:val="000000" w:themeColor="text1"/>
                <w:szCs w:val="16"/>
              </w:rPr>
              <w:t>16.26%</w:t>
            </w:r>
          </w:p>
        </w:tc>
      </w:tr>
      <w:tr w:rsidR="005C29F8" w:rsidRPr="00781112" w14:paraId="2AFEEE7C" w14:textId="52870042" w:rsidTr="00AB0D6A">
        <w:trPr>
          <w:trHeight w:val="361"/>
        </w:trPr>
        <w:tc>
          <w:tcPr>
            <w:tcW w:w="3349" w:type="pct"/>
            <w:shd w:val="clear" w:color="auto" w:fill="auto"/>
          </w:tcPr>
          <w:p w14:paraId="77166FC5"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32CAD94B" w14:textId="37477BEB" w:rsidR="00A86385" w:rsidRPr="00781112" w:rsidRDefault="002B7490" w:rsidP="00A018D4">
            <w:pPr>
              <w:jc w:val="center"/>
              <w:rPr>
                <w:rFonts w:cs="Arial"/>
                <w:color w:val="000000" w:themeColor="text1"/>
                <w:szCs w:val="16"/>
              </w:rPr>
            </w:pPr>
            <w:r w:rsidRPr="00781112">
              <w:rPr>
                <w:rFonts w:cs="Arial"/>
                <w:color w:val="000000" w:themeColor="text1"/>
                <w:szCs w:val="16"/>
              </w:rPr>
              <w:t>1,380</w:t>
            </w:r>
          </w:p>
        </w:tc>
        <w:tc>
          <w:tcPr>
            <w:tcW w:w="825" w:type="pct"/>
            <w:shd w:val="clear" w:color="auto" w:fill="auto"/>
            <w:vAlign w:val="center"/>
          </w:tcPr>
          <w:p w14:paraId="2021CF20" w14:textId="181B68B8" w:rsidR="00A86385" w:rsidRPr="00781112" w:rsidRDefault="002B7490" w:rsidP="00A018D4">
            <w:pPr>
              <w:jc w:val="center"/>
              <w:rPr>
                <w:rFonts w:cs="Arial"/>
                <w:color w:val="000000" w:themeColor="text1"/>
                <w:szCs w:val="16"/>
              </w:rPr>
            </w:pPr>
            <w:r w:rsidRPr="00781112">
              <w:rPr>
                <w:rFonts w:cs="Arial"/>
                <w:color w:val="000000" w:themeColor="text1"/>
                <w:szCs w:val="16"/>
              </w:rPr>
              <w:t>30.69%</w:t>
            </w:r>
          </w:p>
        </w:tc>
      </w:tr>
      <w:tr w:rsidR="005C29F8" w:rsidRPr="00781112" w14:paraId="5D450E84" w14:textId="4C13CEB9" w:rsidTr="00AB0D6A">
        <w:trPr>
          <w:trHeight w:val="361"/>
        </w:trPr>
        <w:tc>
          <w:tcPr>
            <w:tcW w:w="3349" w:type="pct"/>
            <w:shd w:val="clear" w:color="auto" w:fill="auto"/>
          </w:tcPr>
          <w:p w14:paraId="110FD587"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277F64A6" w14:textId="32E985A0" w:rsidR="00A86385" w:rsidRPr="00781112" w:rsidRDefault="002B7490" w:rsidP="00A018D4">
            <w:pPr>
              <w:jc w:val="center"/>
              <w:rPr>
                <w:rFonts w:cs="Arial"/>
                <w:color w:val="000000" w:themeColor="text1"/>
                <w:szCs w:val="16"/>
              </w:rPr>
            </w:pPr>
            <w:r w:rsidRPr="00781112">
              <w:rPr>
                <w:rFonts w:cs="Arial"/>
                <w:color w:val="000000" w:themeColor="text1"/>
                <w:szCs w:val="16"/>
              </w:rPr>
              <w:t>489</w:t>
            </w:r>
          </w:p>
        </w:tc>
        <w:tc>
          <w:tcPr>
            <w:tcW w:w="825" w:type="pct"/>
            <w:shd w:val="clear" w:color="auto" w:fill="auto"/>
            <w:vAlign w:val="center"/>
          </w:tcPr>
          <w:p w14:paraId="2EEE6FB7" w14:textId="6E8D11C4" w:rsidR="00A86385" w:rsidRPr="00781112" w:rsidRDefault="002B7490" w:rsidP="00A018D4">
            <w:pPr>
              <w:jc w:val="center"/>
              <w:rPr>
                <w:rFonts w:cs="Arial"/>
                <w:color w:val="000000" w:themeColor="text1"/>
                <w:szCs w:val="16"/>
              </w:rPr>
            </w:pPr>
            <w:r w:rsidRPr="00781112">
              <w:rPr>
                <w:rFonts w:cs="Arial"/>
                <w:color w:val="000000" w:themeColor="text1"/>
                <w:szCs w:val="16"/>
              </w:rPr>
              <w:t>10.87%</w:t>
            </w:r>
          </w:p>
        </w:tc>
      </w:tr>
      <w:tr w:rsidR="005C29F8" w:rsidRPr="00781112" w14:paraId="108FFB57" w14:textId="0C409786" w:rsidTr="00AB0D6A">
        <w:trPr>
          <w:trHeight w:val="361"/>
        </w:trPr>
        <w:tc>
          <w:tcPr>
            <w:tcW w:w="3349" w:type="pct"/>
            <w:shd w:val="clear" w:color="auto" w:fill="auto"/>
          </w:tcPr>
          <w:p w14:paraId="3D4AD278"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A790A60" w14:textId="08E1839F" w:rsidR="00A86385" w:rsidRPr="00781112" w:rsidRDefault="002B7490" w:rsidP="00A018D4">
            <w:pPr>
              <w:jc w:val="center"/>
              <w:rPr>
                <w:rFonts w:cs="Arial"/>
                <w:color w:val="000000" w:themeColor="text1"/>
                <w:szCs w:val="16"/>
              </w:rPr>
            </w:pPr>
            <w:r w:rsidRPr="00781112">
              <w:rPr>
                <w:rFonts w:cs="Arial"/>
                <w:color w:val="000000" w:themeColor="text1"/>
                <w:szCs w:val="16"/>
              </w:rPr>
              <w:t>1,813</w:t>
            </w:r>
          </w:p>
        </w:tc>
        <w:tc>
          <w:tcPr>
            <w:tcW w:w="825" w:type="pct"/>
            <w:shd w:val="clear" w:color="auto" w:fill="auto"/>
            <w:vAlign w:val="center"/>
          </w:tcPr>
          <w:p w14:paraId="2501B391" w14:textId="1634A6F5" w:rsidR="00A86385" w:rsidRPr="00781112" w:rsidRDefault="002B7490" w:rsidP="00A018D4">
            <w:pPr>
              <w:jc w:val="center"/>
              <w:rPr>
                <w:rFonts w:cs="Arial"/>
                <w:color w:val="000000" w:themeColor="text1"/>
                <w:szCs w:val="16"/>
              </w:rPr>
            </w:pPr>
            <w:r w:rsidRPr="00781112">
              <w:rPr>
                <w:rFonts w:cs="Arial"/>
                <w:color w:val="000000" w:themeColor="text1"/>
                <w:szCs w:val="16"/>
              </w:rPr>
              <w:t>40.32%</w:t>
            </w:r>
          </w:p>
        </w:tc>
      </w:tr>
    </w:tbl>
    <w:p w14:paraId="7EA9F2D2"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BDATA"/>
      </w:tblPr>
      <w:tblGrid>
        <w:gridCol w:w="2159"/>
        <w:gridCol w:w="1262"/>
        <w:gridCol w:w="1262"/>
        <w:gridCol w:w="1172"/>
        <w:gridCol w:w="1260"/>
        <w:gridCol w:w="1260"/>
        <w:gridCol w:w="1049"/>
        <w:gridCol w:w="1366"/>
      </w:tblGrid>
      <w:tr w:rsidR="00AA4F85" w:rsidRPr="00781112" w14:paraId="29447607" w14:textId="4B3B706C" w:rsidTr="00AA4F85">
        <w:trPr>
          <w:tblHeader/>
        </w:trPr>
        <w:tc>
          <w:tcPr>
            <w:tcW w:w="1000" w:type="pct"/>
            <w:shd w:val="clear" w:color="auto" w:fill="auto"/>
            <w:vAlign w:val="bottom"/>
          </w:tcPr>
          <w:p w14:paraId="58D567A9" w14:textId="7BD30860" w:rsidR="00AA4F85" w:rsidRPr="00781112" w:rsidRDefault="00AA4F85" w:rsidP="00AA4F85">
            <w:pPr>
              <w:rPr>
                <w:b/>
                <w:color w:val="000000" w:themeColor="text1"/>
              </w:rPr>
            </w:pPr>
            <w:r w:rsidRPr="00781112">
              <w:rPr>
                <w:b/>
                <w:color w:val="000000" w:themeColor="text1"/>
              </w:rPr>
              <w:t>Outcome B</w:t>
            </w:r>
          </w:p>
        </w:tc>
        <w:tc>
          <w:tcPr>
            <w:tcW w:w="585" w:type="pct"/>
            <w:shd w:val="clear" w:color="auto" w:fill="auto"/>
            <w:vAlign w:val="bottom"/>
          </w:tcPr>
          <w:p w14:paraId="0DF6A486" w14:textId="77777777" w:rsidR="00AA4F85" w:rsidRPr="00781112" w:rsidRDefault="00AA4F85" w:rsidP="00AA4F85">
            <w:pPr>
              <w:rPr>
                <w:b/>
                <w:color w:val="000000" w:themeColor="text1"/>
              </w:rPr>
            </w:pPr>
            <w:r w:rsidRPr="00781112">
              <w:rPr>
                <w:b/>
                <w:color w:val="000000" w:themeColor="text1"/>
              </w:rPr>
              <w:t>Numerator</w:t>
            </w:r>
          </w:p>
        </w:tc>
        <w:tc>
          <w:tcPr>
            <w:tcW w:w="585" w:type="pct"/>
            <w:shd w:val="clear" w:color="auto" w:fill="auto"/>
            <w:vAlign w:val="bottom"/>
          </w:tcPr>
          <w:p w14:paraId="4A127242" w14:textId="77777777" w:rsidR="00AA4F85" w:rsidRPr="00781112" w:rsidRDefault="00AA4F85" w:rsidP="00AA4F85">
            <w:pPr>
              <w:rPr>
                <w:b/>
                <w:color w:val="000000" w:themeColor="text1"/>
              </w:rPr>
            </w:pPr>
            <w:r w:rsidRPr="00781112">
              <w:rPr>
                <w:b/>
                <w:color w:val="000000" w:themeColor="text1"/>
              </w:rPr>
              <w:t>Denominator</w:t>
            </w:r>
          </w:p>
        </w:tc>
        <w:tc>
          <w:tcPr>
            <w:tcW w:w="543" w:type="pct"/>
            <w:shd w:val="clear" w:color="auto" w:fill="auto"/>
            <w:vAlign w:val="bottom"/>
          </w:tcPr>
          <w:p w14:paraId="03649132" w14:textId="2A9F936A" w:rsidR="00AA4F85" w:rsidRPr="00CC1061" w:rsidRDefault="00AA4F85" w:rsidP="00CC1061">
            <w:pPr>
              <w:jc w:val="center"/>
              <w:rPr>
                <w:b/>
                <w:bCs/>
                <w:color w:val="000000" w:themeColor="text1"/>
              </w:rPr>
            </w:pPr>
            <w:r w:rsidRPr="00CC1061">
              <w:rPr>
                <w:b/>
                <w:bCs/>
              </w:rPr>
              <w:t>FFY 2022 Data</w:t>
            </w:r>
          </w:p>
        </w:tc>
        <w:tc>
          <w:tcPr>
            <w:tcW w:w="584" w:type="pct"/>
            <w:shd w:val="clear" w:color="auto" w:fill="auto"/>
            <w:vAlign w:val="bottom"/>
          </w:tcPr>
          <w:p w14:paraId="3AFAEBC5" w14:textId="46E70C1E" w:rsidR="00AA4F85" w:rsidRPr="00CC1061" w:rsidRDefault="00AA4F85" w:rsidP="00CC1061">
            <w:pPr>
              <w:jc w:val="center"/>
              <w:rPr>
                <w:b/>
                <w:bCs/>
                <w:color w:val="000000" w:themeColor="text1"/>
              </w:rPr>
            </w:pPr>
            <w:r w:rsidRPr="00CC1061">
              <w:rPr>
                <w:b/>
                <w:bCs/>
              </w:rPr>
              <w:t>FFY 2023 Target</w:t>
            </w:r>
          </w:p>
        </w:tc>
        <w:tc>
          <w:tcPr>
            <w:tcW w:w="584" w:type="pct"/>
            <w:shd w:val="clear" w:color="auto" w:fill="auto"/>
            <w:vAlign w:val="bottom"/>
          </w:tcPr>
          <w:p w14:paraId="40B6360D" w14:textId="28C8C719" w:rsidR="00AA4F85" w:rsidRPr="00CC1061" w:rsidRDefault="00AA4F85" w:rsidP="00CC1061">
            <w:pPr>
              <w:jc w:val="center"/>
              <w:rPr>
                <w:b/>
                <w:bCs/>
                <w:color w:val="000000" w:themeColor="text1"/>
              </w:rPr>
            </w:pPr>
            <w:r w:rsidRPr="00CC1061">
              <w:rPr>
                <w:b/>
                <w:bCs/>
              </w:rPr>
              <w:t>FFY 2023 Data</w:t>
            </w:r>
          </w:p>
        </w:tc>
        <w:tc>
          <w:tcPr>
            <w:tcW w:w="486" w:type="pct"/>
            <w:shd w:val="clear" w:color="auto" w:fill="auto"/>
            <w:vAlign w:val="bottom"/>
          </w:tcPr>
          <w:p w14:paraId="17C85F8A" w14:textId="625B06E9" w:rsidR="00AA4F85" w:rsidRPr="00781112" w:rsidRDefault="00AA4F85" w:rsidP="00AA4F85">
            <w:pPr>
              <w:rPr>
                <w:b/>
                <w:color w:val="000000" w:themeColor="text1"/>
              </w:rPr>
            </w:pPr>
            <w:r w:rsidRPr="00781112">
              <w:rPr>
                <w:b/>
                <w:color w:val="000000" w:themeColor="text1"/>
              </w:rPr>
              <w:t>Status</w:t>
            </w:r>
          </w:p>
        </w:tc>
        <w:tc>
          <w:tcPr>
            <w:tcW w:w="633" w:type="pct"/>
            <w:shd w:val="clear" w:color="auto" w:fill="auto"/>
            <w:vAlign w:val="bottom"/>
          </w:tcPr>
          <w:p w14:paraId="4254BB19" w14:textId="15C403FF" w:rsidR="00AA4F85" w:rsidRPr="00781112" w:rsidRDefault="00AA4F85" w:rsidP="00AA4F85">
            <w:pPr>
              <w:rPr>
                <w:b/>
                <w:color w:val="000000" w:themeColor="text1"/>
              </w:rPr>
            </w:pPr>
            <w:r w:rsidRPr="00781112">
              <w:rPr>
                <w:b/>
                <w:color w:val="000000" w:themeColor="text1"/>
              </w:rPr>
              <w:t>Slippage</w:t>
            </w:r>
          </w:p>
        </w:tc>
      </w:tr>
      <w:tr w:rsidR="005C29F8" w:rsidRPr="00781112" w14:paraId="6493B1D4" w14:textId="479A7C15" w:rsidTr="00AA4F85">
        <w:tc>
          <w:tcPr>
            <w:tcW w:w="1000" w:type="pct"/>
            <w:shd w:val="clear" w:color="auto" w:fill="auto"/>
          </w:tcPr>
          <w:p w14:paraId="095FBDAA"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B1. Of those children who entered or exited the program below age expectations in Outcome B, the percent who substantially increased their rate of growth by the time they turned 6 years of age or exited the program. </w:t>
            </w:r>
            <w:r w:rsidRPr="00266107">
              <w:rPr>
                <w:rFonts w:cs="Arial"/>
                <w:i/>
                <w:iCs/>
                <w:color w:val="000000" w:themeColor="text1"/>
                <w:szCs w:val="16"/>
              </w:rPr>
              <w:t>Calculation: (c+d)/(a+b+c+d)</w:t>
            </w:r>
          </w:p>
        </w:tc>
        <w:tc>
          <w:tcPr>
            <w:tcW w:w="585" w:type="pct"/>
            <w:shd w:val="clear" w:color="auto" w:fill="auto"/>
            <w:vAlign w:val="center"/>
          </w:tcPr>
          <w:p w14:paraId="250FBF70" w14:textId="269E9F95" w:rsidR="00A86385" w:rsidRPr="00781112" w:rsidRDefault="002B7490" w:rsidP="00A018D4">
            <w:pPr>
              <w:jc w:val="center"/>
              <w:rPr>
                <w:rFonts w:cs="Arial"/>
                <w:color w:val="000000" w:themeColor="text1"/>
                <w:szCs w:val="16"/>
              </w:rPr>
            </w:pPr>
            <w:r w:rsidRPr="00781112">
              <w:rPr>
                <w:rFonts w:cs="Arial"/>
                <w:color w:val="000000" w:themeColor="text1"/>
                <w:szCs w:val="16"/>
              </w:rPr>
              <w:t>1,869</w:t>
            </w:r>
          </w:p>
        </w:tc>
        <w:tc>
          <w:tcPr>
            <w:tcW w:w="585" w:type="pct"/>
            <w:shd w:val="clear" w:color="auto" w:fill="auto"/>
            <w:vAlign w:val="center"/>
          </w:tcPr>
          <w:p w14:paraId="682FF5CA" w14:textId="4D1E8D34" w:rsidR="00A86385" w:rsidRPr="00781112" w:rsidRDefault="002B7490" w:rsidP="00A018D4">
            <w:pPr>
              <w:jc w:val="center"/>
              <w:rPr>
                <w:rFonts w:cs="Arial"/>
                <w:color w:val="000000" w:themeColor="text1"/>
                <w:szCs w:val="16"/>
              </w:rPr>
            </w:pPr>
            <w:r w:rsidRPr="00781112">
              <w:rPr>
                <w:rFonts w:cs="Arial"/>
                <w:color w:val="000000" w:themeColor="text1"/>
                <w:szCs w:val="16"/>
              </w:rPr>
              <w:t>2,684</w:t>
            </w:r>
          </w:p>
        </w:tc>
        <w:tc>
          <w:tcPr>
            <w:tcW w:w="543" w:type="pct"/>
            <w:shd w:val="clear" w:color="auto" w:fill="auto"/>
            <w:vAlign w:val="center"/>
          </w:tcPr>
          <w:p w14:paraId="07D855DC" w14:textId="52076A3B" w:rsidR="00A86385" w:rsidRPr="00781112" w:rsidRDefault="002B7490" w:rsidP="00A018D4">
            <w:pPr>
              <w:jc w:val="center"/>
              <w:rPr>
                <w:rFonts w:cs="Arial"/>
                <w:color w:val="000000" w:themeColor="text1"/>
                <w:szCs w:val="16"/>
              </w:rPr>
            </w:pPr>
            <w:r w:rsidRPr="00781112">
              <w:rPr>
                <w:rFonts w:cs="Arial"/>
                <w:color w:val="000000" w:themeColor="text1"/>
                <w:szCs w:val="16"/>
              </w:rPr>
              <w:t>69.97%</w:t>
            </w:r>
          </w:p>
        </w:tc>
        <w:tc>
          <w:tcPr>
            <w:tcW w:w="584" w:type="pct"/>
            <w:shd w:val="clear" w:color="auto" w:fill="auto"/>
            <w:vAlign w:val="center"/>
          </w:tcPr>
          <w:p w14:paraId="2830610A" w14:textId="6D7B3DE8" w:rsidR="00A86385" w:rsidRPr="00781112" w:rsidRDefault="002B7490" w:rsidP="00A018D4">
            <w:pPr>
              <w:jc w:val="center"/>
              <w:rPr>
                <w:rFonts w:cs="Arial"/>
                <w:color w:val="000000" w:themeColor="text1"/>
                <w:szCs w:val="16"/>
              </w:rPr>
            </w:pPr>
            <w:r w:rsidRPr="00781112">
              <w:rPr>
                <w:rFonts w:cs="Arial"/>
                <w:color w:val="000000" w:themeColor="text1"/>
                <w:szCs w:val="16"/>
              </w:rPr>
              <w:t>74.80%</w:t>
            </w:r>
          </w:p>
        </w:tc>
        <w:tc>
          <w:tcPr>
            <w:tcW w:w="584" w:type="pct"/>
            <w:shd w:val="clear" w:color="auto" w:fill="auto"/>
            <w:vAlign w:val="center"/>
          </w:tcPr>
          <w:p w14:paraId="12F538E0" w14:textId="1332D172" w:rsidR="00A86385" w:rsidRPr="00781112" w:rsidRDefault="002B7490" w:rsidP="00A018D4">
            <w:pPr>
              <w:jc w:val="center"/>
              <w:rPr>
                <w:rFonts w:cs="Arial"/>
                <w:color w:val="000000" w:themeColor="text1"/>
                <w:szCs w:val="16"/>
              </w:rPr>
            </w:pPr>
            <w:r w:rsidRPr="00781112">
              <w:rPr>
                <w:rFonts w:cs="Arial"/>
                <w:color w:val="000000" w:themeColor="text1"/>
                <w:szCs w:val="16"/>
              </w:rPr>
              <w:t>69.63%</w:t>
            </w:r>
          </w:p>
        </w:tc>
        <w:tc>
          <w:tcPr>
            <w:tcW w:w="486" w:type="pct"/>
            <w:shd w:val="clear" w:color="auto" w:fill="auto"/>
            <w:vAlign w:val="center"/>
          </w:tcPr>
          <w:p w14:paraId="68592CBC" w14:textId="66F66CA8"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C970ED8" w14:textId="7AA3F255"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1A2A4C8" w14:textId="1A212673" w:rsidTr="00AA4F85">
        <w:tc>
          <w:tcPr>
            <w:tcW w:w="1000" w:type="pct"/>
            <w:shd w:val="clear" w:color="auto" w:fill="auto"/>
          </w:tcPr>
          <w:p w14:paraId="2DEF6925" w14:textId="77777777" w:rsidR="00071D42" w:rsidRPr="00781112" w:rsidRDefault="00A86385" w:rsidP="00A018D4">
            <w:pPr>
              <w:rPr>
                <w:rFonts w:cs="Arial"/>
                <w:color w:val="000000" w:themeColor="text1"/>
                <w:szCs w:val="16"/>
              </w:rPr>
            </w:pPr>
            <w:r w:rsidRPr="00781112">
              <w:rPr>
                <w:rFonts w:cs="Arial"/>
                <w:color w:val="000000" w:themeColor="text1"/>
                <w:szCs w:val="16"/>
              </w:rPr>
              <w:t xml:space="preserve">B2. The percent of preschool children who were functioning within age </w:t>
            </w:r>
            <w:r w:rsidRPr="00781112">
              <w:rPr>
                <w:rFonts w:cs="Arial"/>
                <w:color w:val="000000" w:themeColor="text1"/>
                <w:szCs w:val="16"/>
              </w:rPr>
              <w:lastRenderedPageBreak/>
              <w:t xml:space="preserve">expectations in Outcome B by the time they turned 6 years of age or exited the program. </w:t>
            </w:r>
            <w:r w:rsidRPr="00266107">
              <w:rPr>
                <w:rFonts w:cs="Arial"/>
                <w:i/>
                <w:iCs/>
                <w:color w:val="000000" w:themeColor="text1"/>
                <w:szCs w:val="16"/>
              </w:rPr>
              <w:t>Calculation: (d+e)/(a+b+c+d+e)</w:t>
            </w:r>
          </w:p>
        </w:tc>
        <w:tc>
          <w:tcPr>
            <w:tcW w:w="585" w:type="pct"/>
            <w:shd w:val="clear" w:color="auto" w:fill="auto"/>
            <w:vAlign w:val="center"/>
          </w:tcPr>
          <w:p w14:paraId="3ABF54A2" w14:textId="3376A45C" w:rsidR="00A86385" w:rsidRPr="00781112" w:rsidRDefault="002B7490" w:rsidP="00A018D4">
            <w:pPr>
              <w:jc w:val="center"/>
              <w:rPr>
                <w:rFonts w:cs="Arial"/>
                <w:color w:val="000000" w:themeColor="text1"/>
                <w:szCs w:val="16"/>
              </w:rPr>
            </w:pPr>
            <w:r w:rsidRPr="00781112">
              <w:rPr>
                <w:rFonts w:cs="Arial"/>
                <w:color w:val="000000" w:themeColor="text1"/>
                <w:szCs w:val="16"/>
              </w:rPr>
              <w:lastRenderedPageBreak/>
              <w:t>2,302</w:t>
            </w:r>
          </w:p>
        </w:tc>
        <w:tc>
          <w:tcPr>
            <w:tcW w:w="585" w:type="pct"/>
            <w:shd w:val="clear" w:color="auto" w:fill="auto"/>
            <w:vAlign w:val="center"/>
          </w:tcPr>
          <w:p w14:paraId="591EA1FE" w14:textId="556EFD96" w:rsidR="00A86385" w:rsidRPr="00781112" w:rsidRDefault="002B7490" w:rsidP="00A018D4">
            <w:pPr>
              <w:jc w:val="center"/>
              <w:rPr>
                <w:rFonts w:cs="Arial"/>
                <w:color w:val="000000" w:themeColor="text1"/>
                <w:szCs w:val="16"/>
              </w:rPr>
            </w:pPr>
            <w:r w:rsidRPr="00781112">
              <w:rPr>
                <w:rFonts w:cs="Arial"/>
                <w:color w:val="000000" w:themeColor="text1"/>
                <w:szCs w:val="16"/>
              </w:rPr>
              <w:t>4,497</w:t>
            </w:r>
          </w:p>
        </w:tc>
        <w:tc>
          <w:tcPr>
            <w:tcW w:w="543" w:type="pct"/>
            <w:shd w:val="clear" w:color="auto" w:fill="auto"/>
            <w:vAlign w:val="center"/>
          </w:tcPr>
          <w:p w14:paraId="0B86042E" w14:textId="01488A08" w:rsidR="00A86385" w:rsidRPr="00781112" w:rsidRDefault="002B7490" w:rsidP="00A018D4">
            <w:pPr>
              <w:jc w:val="center"/>
              <w:rPr>
                <w:rFonts w:cs="Arial"/>
                <w:color w:val="000000" w:themeColor="text1"/>
                <w:szCs w:val="16"/>
              </w:rPr>
            </w:pPr>
            <w:r w:rsidRPr="00781112">
              <w:rPr>
                <w:rFonts w:cs="Arial"/>
                <w:color w:val="000000" w:themeColor="text1"/>
                <w:szCs w:val="16"/>
              </w:rPr>
              <w:t>50.99%</w:t>
            </w:r>
          </w:p>
        </w:tc>
        <w:tc>
          <w:tcPr>
            <w:tcW w:w="584" w:type="pct"/>
            <w:shd w:val="clear" w:color="auto" w:fill="auto"/>
            <w:vAlign w:val="center"/>
          </w:tcPr>
          <w:p w14:paraId="33474719" w14:textId="0E1ED729" w:rsidR="00A86385" w:rsidRPr="00781112" w:rsidRDefault="002B7490" w:rsidP="00A018D4">
            <w:pPr>
              <w:jc w:val="center"/>
              <w:rPr>
                <w:rFonts w:cs="Arial"/>
                <w:color w:val="000000" w:themeColor="text1"/>
                <w:szCs w:val="16"/>
              </w:rPr>
            </w:pPr>
            <w:r w:rsidRPr="00781112">
              <w:rPr>
                <w:rFonts w:cs="Arial"/>
                <w:color w:val="000000" w:themeColor="text1"/>
                <w:szCs w:val="16"/>
              </w:rPr>
              <w:t>58.50%</w:t>
            </w:r>
          </w:p>
        </w:tc>
        <w:tc>
          <w:tcPr>
            <w:tcW w:w="584" w:type="pct"/>
            <w:shd w:val="clear" w:color="auto" w:fill="auto"/>
            <w:vAlign w:val="center"/>
          </w:tcPr>
          <w:p w14:paraId="073970A2" w14:textId="5A7FF3FA" w:rsidR="00A86385" w:rsidRPr="00781112" w:rsidRDefault="002B7490" w:rsidP="00A018D4">
            <w:pPr>
              <w:jc w:val="center"/>
              <w:rPr>
                <w:rFonts w:cs="Arial"/>
                <w:color w:val="000000" w:themeColor="text1"/>
                <w:szCs w:val="16"/>
              </w:rPr>
            </w:pPr>
            <w:r w:rsidRPr="00781112">
              <w:rPr>
                <w:rFonts w:cs="Arial"/>
                <w:color w:val="000000" w:themeColor="text1"/>
                <w:szCs w:val="16"/>
              </w:rPr>
              <w:t>51.19%</w:t>
            </w:r>
          </w:p>
        </w:tc>
        <w:tc>
          <w:tcPr>
            <w:tcW w:w="486" w:type="pct"/>
            <w:shd w:val="clear" w:color="auto" w:fill="auto"/>
            <w:vAlign w:val="center"/>
          </w:tcPr>
          <w:p w14:paraId="2B7E9ACC" w14:textId="45CB2456"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33" w:type="pct"/>
            <w:shd w:val="clear" w:color="auto" w:fill="auto"/>
            <w:vAlign w:val="center"/>
          </w:tcPr>
          <w:p w14:paraId="04CCC32D" w14:textId="64DEC314"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2AAE7F9" w14:textId="77777777" w:rsidR="00A80FEB" w:rsidRPr="00781112" w:rsidRDefault="00A80FEB" w:rsidP="004369B2">
      <w:pPr>
        <w:rPr>
          <w:color w:val="000000" w:themeColor="text1"/>
        </w:rPr>
      </w:pPr>
      <w:r w:rsidRPr="00781112">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7OUTCOMEC"/>
      </w:tblPr>
      <w:tblGrid>
        <w:gridCol w:w="7227"/>
        <w:gridCol w:w="1783"/>
        <w:gridCol w:w="1780"/>
      </w:tblGrid>
      <w:tr w:rsidR="005C29F8" w:rsidRPr="00781112" w14:paraId="5A5015FC" w14:textId="4FA08BD6" w:rsidTr="0033429D">
        <w:trPr>
          <w:trHeight w:val="361"/>
          <w:tblHeader/>
        </w:trPr>
        <w:tc>
          <w:tcPr>
            <w:tcW w:w="3349" w:type="pct"/>
            <w:shd w:val="clear" w:color="auto" w:fill="auto"/>
            <w:vAlign w:val="bottom"/>
          </w:tcPr>
          <w:p w14:paraId="4191FDB2" w14:textId="72ED8C9D" w:rsidR="002F2379" w:rsidRPr="00781112" w:rsidRDefault="009028CA" w:rsidP="0024351A">
            <w:pPr>
              <w:rPr>
                <w:rFonts w:cs="Arial"/>
                <w:color w:val="000000" w:themeColor="text1"/>
                <w:szCs w:val="16"/>
              </w:rPr>
            </w:pPr>
            <w:r w:rsidRPr="00781112">
              <w:rPr>
                <w:rFonts w:cs="Arial"/>
                <w:b/>
                <w:color w:val="000000" w:themeColor="text1"/>
                <w:szCs w:val="16"/>
              </w:rPr>
              <w:t xml:space="preserve">Outcome C </w:t>
            </w:r>
            <w:r w:rsidRPr="00781112">
              <w:rPr>
                <w:rFonts w:cs="Arial"/>
                <w:b/>
                <w:bCs/>
                <w:color w:val="000000" w:themeColor="text1"/>
                <w:szCs w:val="16"/>
              </w:rPr>
              <w:t>Progress Categor</w:t>
            </w:r>
            <w:r w:rsidR="00E91363" w:rsidRPr="00781112">
              <w:rPr>
                <w:rFonts w:cs="Arial"/>
                <w:b/>
                <w:bCs/>
                <w:color w:val="000000" w:themeColor="text1"/>
                <w:szCs w:val="16"/>
              </w:rPr>
              <w:t>y</w:t>
            </w:r>
          </w:p>
        </w:tc>
        <w:tc>
          <w:tcPr>
            <w:tcW w:w="826" w:type="pct"/>
            <w:shd w:val="clear" w:color="auto" w:fill="auto"/>
            <w:vAlign w:val="bottom"/>
          </w:tcPr>
          <w:p w14:paraId="18BE5F06" w14:textId="77777777" w:rsidR="002F2379" w:rsidRPr="00781112" w:rsidRDefault="002F2379" w:rsidP="0024351A">
            <w:pPr>
              <w:jc w:val="center"/>
              <w:rPr>
                <w:rFonts w:cs="Arial"/>
                <w:b/>
                <w:color w:val="000000" w:themeColor="text1"/>
                <w:szCs w:val="16"/>
              </w:rPr>
            </w:pPr>
            <w:r w:rsidRPr="00781112">
              <w:rPr>
                <w:rFonts w:cs="Arial"/>
                <w:b/>
                <w:color w:val="000000" w:themeColor="text1"/>
                <w:szCs w:val="16"/>
              </w:rPr>
              <w:t>Number of Children</w:t>
            </w:r>
          </w:p>
        </w:tc>
        <w:tc>
          <w:tcPr>
            <w:tcW w:w="825" w:type="pct"/>
            <w:shd w:val="clear" w:color="auto" w:fill="auto"/>
            <w:vAlign w:val="bottom"/>
          </w:tcPr>
          <w:p w14:paraId="5D2176F1" w14:textId="0AB04833" w:rsidR="002F2379" w:rsidRPr="00781112" w:rsidRDefault="002F2379" w:rsidP="0024351A">
            <w:pPr>
              <w:jc w:val="center"/>
              <w:rPr>
                <w:rFonts w:cs="Arial"/>
                <w:b/>
                <w:color w:val="000000" w:themeColor="text1"/>
                <w:szCs w:val="16"/>
              </w:rPr>
            </w:pPr>
            <w:r w:rsidRPr="00781112">
              <w:rPr>
                <w:rFonts w:cs="Arial"/>
                <w:b/>
                <w:color w:val="000000" w:themeColor="text1"/>
                <w:szCs w:val="16"/>
              </w:rPr>
              <w:t>Percentage of Children</w:t>
            </w:r>
          </w:p>
        </w:tc>
      </w:tr>
      <w:tr w:rsidR="005C29F8" w:rsidRPr="00781112" w14:paraId="091128D7" w14:textId="67DCF276" w:rsidTr="00AB0D6A">
        <w:trPr>
          <w:trHeight w:val="361"/>
        </w:trPr>
        <w:tc>
          <w:tcPr>
            <w:tcW w:w="3349" w:type="pct"/>
            <w:shd w:val="clear" w:color="auto" w:fill="auto"/>
          </w:tcPr>
          <w:p w14:paraId="4D685636" w14:textId="77777777" w:rsidR="00A86385" w:rsidRPr="00781112" w:rsidRDefault="00A86385" w:rsidP="00A86385">
            <w:pPr>
              <w:rPr>
                <w:rFonts w:cs="Arial"/>
                <w:color w:val="000000" w:themeColor="text1"/>
                <w:szCs w:val="16"/>
              </w:rPr>
            </w:pPr>
            <w:r w:rsidRPr="00781112">
              <w:rPr>
                <w:rFonts w:cs="Arial"/>
                <w:color w:val="000000" w:themeColor="text1"/>
                <w:szCs w:val="16"/>
              </w:rPr>
              <w:t>a. Preschool children who did not improve functioning</w:t>
            </w:r>
          </w:p>
        </w:tc>
        <w:tc>
          <w:tcPr>
            <w:tcW w:w="826" w:type="pct"/>
            <w:shd w:val="clear" w:color="auto" w:fill="auto"/>
            <w:vAlign w:val="center"/>
          </w:tcPr>
          <w:p w14:paraId="36C04483" w14:textId="33014E3B" w:rsidR="00A86385" w:rsidRPr="00781112" w:rsidRDefault="002B7490" w:rsidP="00A018D4">
            <w:pPr>
              <w:jc w:val="center"/>
              <w:rPr>
                <w:rFonts w:cs="Arial"/>
                <w:color w:val="000000" w:themeColor="text1"/>
                <w:szCs w:val="16"/>
              </w:rPr>
            </w:pPr>
            <w:r w:rsidRPr="00781112">
              <w:rPr>
                <w:rFonts w:cs="Arial"/>
                <w:color w:val="000000" w:themeColor="text1"/>
                <w:szCs w:val="16"/>
              </w:rPr>
              <w:t>59</w:t>
            </w:r>
          </w:p>
        </w:tc>
        <w:tc>
          <w:tcPr>
            <w:tcW w:w="825" w:type="pct"/>
            <w:shd w:val="clear" w:color="auto" w:fill="auto"/>
            <w:vAlign w:val="center"/>
          </w:tcPr>
          <w:p w14:paraId="224E7CD3" w14:textId="5C0B6B10" w:rsidR="00A86385" w:rsidRPr="00781112" w:rsidRDefault="002B7490" w:rsidP="00A018D4">
            <w:pPr>
              <w:jc w:val="center"/>
              <w:rPr>
                <w:rFonts w:cs="Arial"/>
                <w:color w:val="000000" w:themeColor="text1"/>
                <w:szCs w:val="16"/>
              </w:rPr>
            </w:pPr>
            <w:r w:rsidRPr="00781112">
              <w:rPr>
                <w:rFonts w:cs="Arial"/>
                <w:color w:val="000000" w:themeColor="text1"/>
                <w:szCs w:val="16"/>
              </w:rPr>
              <w:t>1.31%</w:t>
            </w:r>
          </w:p>
        </w:tc>
      </w:tr>
      <w:tr w:rsidR="005C29F8" w:rsidRPr="00781112" w14:paraId="0DFF86FC" w14:textId="381769F8" w:rsidTr="00AB0D6A">
        <w:trPr>
          <w:trHeight w:val="361"/>
        </w:trPr>
        <w:tc>
          <w:tcPr>
            <w:tcW w:w="3349" w:type="pct"/>
            <w:shd w:val="clear" w:color="auto" w:fill="auto"/>
          </w:tcPr>
          <w:p w14:paraId="72586C03" w14:textId="77777777" w:rsidR="00A86385" w:rsidRPr="00781112" w:rsidRDefault="00A86385" w:rsidP="00A86385">
            <w:pPr>
              <w:rPr>
                <w:rFonts w:cs="Arial"/>
                <w:color w:val="000000" w:themeColor="text1"/>
                <w:szCs w:val="16"/>
              </w:rPr>
            </w:pPr>
            <w:r w:rsidRPr="00781112">
              <w:rPr>
                <w:rFonts w:cs="Arial"/>
                <w:color w:val="000000" w:themeColor="text1"/>
                <w:szCs w:val="16"/>
              </w:rPr>
              <w:t>b. Preschool children who improved functioning but not sufficient to move nearer to functioning comparable to same-aged peers</w:t>
            </w:r>
          </w:p>
        </w:tc>
        <w:tc>
          <w:tcPr>
            <w:tcW w:w="826" w:type="pct"/>
            <w:shd w:val="clear" w:color="auto" w:fill="auto"/>
            <w:vAlign w:val="center"/>
          </w:tcPr>
          <w:p w14:paraId="453499DD" w14:textId="60CEBF1E" w:rsidR="00A86385" w:rsidRPr="00781112" w:rsidRDefault="002B7490" w:rsidP="00A018D4">
            <w:pPr>
              <w:jc w:val="center"/>
              <w:rPr>
                <w:rFonts w:cs="Arial"/>
                <w:color w:val="000000" w:themeColor="text1"/>
                <w:szCs w:val="16"/>
              </w:rPr>
            </w:pPr>
            <w:r w:rsidRPr="00781112">
              <w:rPr>
                <w:rFonts w:cs="Arial"/>
                <w:color w:val="000000" w:themeColor="text1"/>
                <w:szCs w:val="16"/>
              </w:rPr>
              <w:t>745</w:t>
            </w:r>
          </w:p>
        </w:tc>
        <w:tc>
          <w:tcPr>
            <w:tcW w:w="825" w:type="pct"/>
            <w:shd w:val="clear" w:color="auto" w:fill="auto"/>
            <w:vAlign w:val="center"/>
          </w:tcPr>
          <w:p w14:paraId="75491539" w14:textId="4C6956ED" w:rsidR="00A86385" w:rsidRPr="00781112" w:rsidRDefault="002B7490" w:rsidP="00A018D4">
            <w:pPr>
              <w:jc w:val="center"/>
              <w:rPr>
                <w:rFonts w:cs="Arial"/>
                <w:color w:val="000000" w:themeColor="text1"/>
                <w:szCs w:val="16"/>
              </w:rPr>
            </w:pPr>
            <w:r w:rsidRPr="00781112">
              <w:rPr>
                <w:rFonts w:cs="Arial"/>
                <w:color w:val="000000" w:themeColor="text1"/>
                <w:szCs w:val="16"/>
              </w:rPr>
              <w:t>16.57%</w:t>
            </w:r>
          </w:p>
        </w:tc>
      </w:tr>
      <w:tr w:rsidR="005C29F8" w:rsidRPr="00781112" w14:paraId="055A4C9A" w14:textId="0FC02C83" w:rsidTr="00AB0D6A">
        <w:trPr>
          <w:trHeight w:val="395"/>
        </w:trPr>
        <w:tc>
          <w:tcPr>
            <w:tcW w:w="3349" w:type="pct"/>
            <w:shd w:val="clear" w:color="auto" w:fill="auto"/>
          </w:tcPr>
          <w:p w14:paraId="1EEA20E7" w14:textId="77777777" w:rsidR="00A86385" w:rsidRPr="00781112" w:rsidRDefault="00A86385" w:rsidP="00A86385">
            <w:pPr>
              <w:rPr>
                <w:rFonts w:cs="Arial"/>
                <w:color w:val="000000" w:themeColor="text1"/>
                <w:szCs w:val="16"/>
              </w:rPr>
            </w:pPr>
            <w:r w:rsidRPr="00781112">
              <w:rPr>
                <w:rFonts w:cs="Arial"/>
                <w:color w:val="000000" w:themeColor="text1"/>
                <w:szCs w:val="16"/>
              </w:rPr>
              <w:t>c. Preschool children who improved functioning to a level nearer to same-aged peers but did not reach it</w:t>
            </w:r>
          </w:p>
        </w:tc>
        <w:tc>
          <w:tcPr>
            <w:tcW w:w="826" w:type="pct"/>
            <w:shd w:val="clear" w:color="auto" w:fill="auto"/>
            <w:vAlign w:val="center"/>
          </w:tcPr>
          <w:p w14:paraId="16FD0FF8" w14:textId="15197C29" w:rsidR="00A86385" w:rsidRPr="00781112" w:rsidRDefault="002B7490" w:rsidP="00A018D4">
            <w:pPr>
              <w:jc w:val="center"/>
              <w:rPr>
                <w:rFonts w:cs="Arial"/>
                <w:color w:val="000000" w:themeColor="text1"/>
                <w:szCs w:val="16"/>
              </w:rPr>
            </w:pPr>
            <w:r w:rsidRPr="00781112">
              <w:rPr>
                <w:rFonts w:cs="Arial"/>
                <w:color w:val="000000" w:themeColor="text1"/>
                <w:szCs w:val="16"/>
              </w:rPr>
              <w:t>1,450</w:t>
            </w:r>
          </w:p>
        </w:tc>
        <w:tc>
          <w:tcPr>
            <w:tcW w:w="825" w:type="pct"/>
            <w:shd w:val="clear" w:color="auto" w:fill="auto"/>
            <w:vAlign w:val="center"/>
          </w:tcPr>
          <w:p w14:paraId="5A785A5B" w14:textId="096612D9" w:rsidR="00A86385" w:rsidRPr="00781112" w:rsidRDefault="002B7490" w:rsidP="00A018D4">
            <w:pPr>
              <w:jc w:val="center"/>
              <w:rPr>
                <w:rFonts w:cs="Arial"/>
                <w:color w:val="000000" w:themeColor="text1"/>
                <w:szCs w:val="16"/>
              </w:rPr>
            </w:pPr>
            <w:r w:rsidRPr="00781112">
              <w:rPr>
                <w:rFonts w:cs="Arial"/>
                <w:color w:val="000000" w:themeColor="text1"/>
                <w:szCs w:val="16"/>
              </w:rPr>
              <w:t>32.24%</w:t>
            </w:r>
          </w:p>
        </w:tc>
      </w:tr>
      <w:tr w:rsidR="005C29F8" w:rsidRPr="00781112" w14:paraId="116C43B5" w14:textId="562F3ACF" w:rsidTr="00AB0D6A">
        <w:trPr>
          <w:trHeight w:val="361"/>
        </w:trPr>
        <w:tc>
          <w:tcPr>
            <w:tcW w:w="3349" w:type="pct"/>
            <w:shd w:val="clear" w:color="auto" w:fill="auto"/>
          </w:tcPr>
          <w:p w14:paraId="74396990" w14:textId="77777777" w:rsidR="00A86385" w:rsidRPr="00781112" w:rsidRDefault="00A86385" w:rsidP="00A86385">
            <w:pPr>
              <w:rPr>
                <w:rFonts w:cs="Arial"/>
                <w:color w:val="000000" w:themeColor="text1"/>
                <w:szCs w:val="16"/>
              </w:rPr>
            </w:pPr>
            <w:r w:rsidRPr="00781112">
              <w:rPr>
                <w:rFonts w:cs="Arial"/>
                <w:color w:val="000000" w:themeColor="text1"/>
                <w:szCs w:val="16"/>
              </w:rPr>
              <w:t>d. Preschool children who improved functioning to reach a level comparable to same-aged peers</w:t>
            </w:r>
          </w:p>
        </w:tc>
        <w:tc>
          <w:tcPr>
            <w:tcW w:w="826" w:type="pct"/>
            <w:shd w:val="clear" w:color="auto" w:fill="auto"/>
            <w:vAlign w:val="center"/>
          </w:tcPr>
          <w:p w14:paraId="5993AD4D" w14:textId="0747815C" w:rsidR="00A86385" w:rsidRPr="00781112" w:rsidRDefault="002B7490" w:rsidP="00A018D4">
            <w:pPr>
              <w:jc w:val="center"/>
              <w:rPr>
                <w:rFonts w:cs="Arial"/>
                <w:color w:val="000000" w:themeColor="text1"/>
                <w:szCs w:val="16"/>
              </w:rPr>
            </w:pPr>
            <w:r w:rsidRPr="00781112">
              <w:rPr>
                <w:rFonts w:cs="Arial"/>
                <w:color w:val="000000" w:themeColor="text1"/>
                <w:szCs w:val="16"/>
              </w:rPr>
              <w:t>658</w:t>
            </w:r>
          </w:p>
        </w:tc>
        <w:tc>
          <w:tcPr>
            <w:tcW w:w="825" w:type="pct"/>
            <w:shd w:val="clear" w:color="auto" w:fill="auto"/>
            <w:vAlign w:val="center"/>
          </w:tcPr>
          <w:p w14:paraId="6CF00AA9" w14:textId="2DDC2AAD" w:rsidR="00A86385" w:rsidRPr="00781112" w:rsidRDefault="002B7490" w:rsidP="00A018D4">
            <w:pPr>
              <w:jc w:val="center"/>
              <w:rPr>
                <w:rFonts w:cs="Arial"/>
                <w:color w:val="000000" w:themeColor="text1"/>
                <w:szCs w:val="16"/>
              </w:rPr>
            </w:pPr>
            <w:r w:rsidRPr="00781112">
              <w:rPr>
                <w:rFonts w:cs="Arial"/>
                <w:color w:val="000000" w:themeColor="text1"/>
                <w:szCs w:val="16"/>
              </w:rPr>
              <w:t>14.63%</w:t>
            </w:r>
          </w:p>
        </w:tc>
      </w:tr>
      <w:tr w:rsidR="005C29F8" w:rsidRPr="00781112" w14:paraId="4BA9BE51" w14:textId="4FD5F213" w:rsidTr="00AB0D6A">
        <w:trPr>
          <w:trHeight w:val="361"/>
        </w:trPr>
        <w:tc>
          <w:tcPr>
            <w:tcW w:w="3349" w:type="pct"/>
            <w:shd w:val="clear" w:color="auto" w:fill="auto"/>
          </w:tcPr>
          <w:p w14:paraId="016E3D57" w14:textId="77777777" w:rsidR="00A86385" w:rsidRPr="00781112" w:rsidRDefault="00A86385" w:rsidP="00A86385">
            <w:pPr>
              <w:rPr>
                <w:rFonts w:cs="Arial"/>
                <w:color w:val="000000" w:themeColor="text1"/>
                <w:szCs w:val="16"/>
              </w:rPr>
            </w:pPr>
            <w:r w:rsidRPr="00781112">
              <w:rPr>
                <w:rFonts w:cs="Arial"/>
                <w:color w:val="000000" w:themeColor="text1"/>
                <w:szCs w:val="16"/>
              </w:rPr>
              <w:t>e. Preschool children who maintained functioning at a level comparable to same-aged peers</w:t>
            </w:r>
          </w:p>
        </w:tc>
        <w:tc>
          <w:tcPr>
            <w:tcW w:w="826" w:type="pct"/>
            <w:shd w:val="clear" w:color="auto" w:fill="auto"/>
            <w:vAlign w:val="center"/>
          </w:tcPr>
          <w:p w14:paraId="7D33EA20" w14:textId="42CC1D2C" w:rsidR="00A86385" w:rsidRPr="00781112" w:rsidRDefault="002B7490" w:rsidP="00A018D4">
            <w:pPr>
              <w:jc w:val="center"/>
              <w:rPr>
                <w:rFonts w:cs="Arial"/>
                <w:color w:val="000000" w:themeColor="text1"/>
                <w:szCs w:val="16"/>
              </w:rPr>
            </w:pPr>
            <w:r w:rsidRPr="00781112">
              <w:rPr>
                <w:rFonts w:cs="Arial"/>
                <w:color w:val="000000" w:themeColor="text1"/>
                <w:szCs w:val="16"/>
              </w:rPr>
              <w:t>1,585</w:t>
            </w:r>
          </w:p>
        </w:tc>
        <w:tc>
          <w:tcPr>
            <w:tcW w:w="825" w:type="pct"/>
            <w:shd w:val="clear" w:color="auto" w:fill="auto"/>
            <w:vAlign w:val="center"/>
          </w:tcPr>
          <w:p w14:paraId="5DB4A655" w14:textId="2961CB8C" w:rsidR="00A86385" w:rsidRPr="00781112" w:rsidRDefault="002B7490" w:rsidP="00A018D4">
            <w:pPr>
              <w:jc w:val="center"/>
              <w:rPr>
                <w:rFonts w:cs="Arial"/>
                <w:color w:val="000000" w:themeColor="text1"/>
                <w:szCs w:val="16"/>
              </w:rPr>
            </w:pPr>
            <w:r w:rsidRPr="00781112">
              <w:rPr>
                <w:rFonts w:cs="Arial"/>
                <w:color w:val="000000" w:themeColor="text1"/>
                <w:szCs w:val="16"/>
              </w:rPr>
              <w:t>35.25%</w:t>
            </w:r>
          </w:p>
        </w:tc>
      </w:tr>
    </w:tbl>
    <w:p w14:paraId="49F715FF" w14:textId="77777777" w:rsidR="00A80FEB" w:rsidRPr="00781112" w:rsidRDefault="00A80FEB" w:rsidP="00A80FEB">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7OUTCOMECDATA"/>
      </w:tblPr>
      <w:tblGrid>
        <w:gridCol w:w="2156"/>
        <w:gridCol w:w="1260"/>
        <w:gridCol w:w="1260"/>
        <w:gridCol w:w="1172"/>
        <w:gridCol w:w="1260"/>
        <w:gridCol w:w="1349"/>
        <w:gridCol w:w="991"/>
        <w:gridCol w:w="1342"/>
      </w:tblGrid>
      <w:tr w:rsidR="00AA4F85" w:rsidRPr="00781112" w14:paraId="6D854191" w14:textId="189CF04C" w:rsidTr="00AB0D6A">
        <w:trPr>
          <w:trHeight w:val="354"/>
          <w:tblHeader/>
        </w:trPr>
        <w:tc>
          <w:tcPr>
            <w:tcW w:w="999" w:type="pct"/>
            <w:shd w:val="clear" w:color="auto" w:fill="auto"/>
            <w:vAlign w:val="bottom"/>
          </w:tcPr>
          <w:p w14:paraId="2713B90C" w14:textId="70596E6D" w:rsidR="00AA4F85" w:rsidRPr="00781112" w:rsidRDefault="00AA4F85" w:rsidP="00AA4F85">
            <w:pPr>
              <w:rPr>
                <w:rFonts w:cs="Arial"/>
                <w:b/>
                <w:bCs/>
                <w:color w:val="000000" w:themeColor="text1"/>
                <w:szCs w:val="16"/>
              </w:rPr>
            </w:pPr>
            <w:r w:rsidRPr="00781112">
              <w:rPr>
                <w:rFonts w:cs="Arial"/>
                <w:b/>
                <w:bCs/>
                <w:color w:val="000000" w:themeColor="text1"/>
                <w:szCs w:val="16"/>
              </w:rPr>
              <w:t>Outcome C</w:t>
            </w:r>
          </w:p>
        </w:tc>
        <w:tc>
          <w:tcPr>
            <w:tcW w:w="584" w:type="pct"/>
            <w:shd w:val="clear" w:color="auto" w:fill="auto"/>
            <w:vAlign w:val="bottom"/>
          </w:tcPr>
          <w:p w14:paraId="3AAEB9E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Numerator</w:t>
            </w:r>
          </w:p>
        </w:tc>
        <w:tc>
          <w:tcPr>
            <w:tcW w:w="584" w:type="pct"/>
            <w:shd w:val="clear" w:color="auto" w:fill="auto"/>
            <w:vAlign w:val="bottom"/>
          </w:tcPr>
          <w:p w14:paraId="5C1FBE9E" w14:textId="77777777" w:rsidR="00AA4F85" w:rsidRPr="00781112" w:rsidRDefault="00AA4F85" w:rsidP="00AA4F85">
            <w:pPr>
              <w:jc w:val="center"/>
              <w:rPr>
                <w:rFonts w:cs="Arial"/>
                <w:b/>
                <w:color w:val="000000" w:themeColor="text1"/>
                <w:szCs w:val="16"/>
              </w:rPr>
            </w:pPr>
            <w:r w:rsidRPr="00781112">
              <w:rPr>
                <w:rFonts w:cs="Arial"/>
                <w:b/>
                <w:color w:val="000000" w:themeColor="text1"/>
                <w:szCs w:val="16"/>
              </w:rPr>
              <w:t>Denominator</w:t>
            </w:r>
          </w:p>
        </w:tc>
        <w:tc>
          <w:tcPr>
            <w:tcW w:w="543" w:type="pct"/>
            <w:shd w:val="clear" w:color="auto" w:fill="auto"/>
            <w:vAlign w:val="bottom"/>
          </w:tcPr>
          <w:p w14:paraId="7E124690" w14:textId="398AC8A6" w:rsidR="00AA4F85" w:rsidRPr="00CC1061" w:rsidRDefault="00AA4F85" w:rsidP="00AA4F85">
            <w:pPr>
              <w:jc w:val="center"/>
              <w:rPr>
                <w:rFonts w:cs="Arial"/>
                <w:b/>
                <w:bCs/>
                <w:color w:val="000000" w:themeColor="text1"/>
                <w:szCs w:val="16"/>
              </w:rPr>
            </w:pPr>
            <w:r w:rsidRPr="00CC1061">
              <w:rPr>
                <w:b/>
                <w:bCs/>
              </w:rPr>
              <w:t>FFY 2022 Data</w:t>
            </w:r>
          </w:p>
        </w:tc>
        <w:tc>
          <w:tcPr>
            <w:tcW w:w="584" w:type="pct"/>
            <w:shd w:val="clear" w:color="auto" w:fill="auto"/>
            <w:vAlign w:val="bottom"/>
          </w:tcPr>
          <w:p w14:paraId="7E59D447" w14:textId="1C40557C" w:rsidR="00AA4F85" w:rsidRPr="00CC1061" w:rsidRDefault="00AA4F85" w:rsidP="00AA4F85">
            <w:pPr>
              <w:jc w:val="center"/>
              <w:rPr>
                <w:rFonts w:cs="Arial"/>
                <w:b/>
                <w:bCs/>
                <w:color w:val="000000" w:themeColor="text1"/>
                <w:szCs w:val="16"/>
              </w:rPr>
            </w:pPr>
            <w:r w:rsidRPr="00CC1061">
              <w:rPr>
                <w:b/>
                <w:bCs/>
              </w:rPr>
              <w:t>FFY 2023 Target</w:t>
            </w:r>
          </w:p>
        </w:tc>
        <w:tc>
          <w:tcPr>
            <w:tcW w:w="625" w:type="pct"/>
            <w:shd w:val="clear" w:color="auto" w:fill="auto"/>
            <w:vAlign w:val="bottom"/>
          </w:tcPr>
          <w:p w14:paraId="48E0A776" w14:textId="6B1C2CF8" w:rsidR="00AA4F85" w:rsidRPr="00CC1061" w:rsidRDefault="00AA4F85" w:rsidP="00AA4F85">
            <w:pPr>
              <w:jc w:val="center"/>
              <w:rPr>
                <w:rFonts w:cs="Arial"/>
                <w:b/>
                <w:bCs/>
                <w:color w:val="000000" w:themeColor="text1"/>
                <w:szCs w:val="16"/>
              </w:rPr>
            </w:pPr>
            <w:r w:rsidRPr="00CC1061">
              <w:rPr>
                <w:b/>
                <w:bCs/>
              </w:rPr>
              <w:t>FFY 2023 Data</w:t>
            </w:r>
          </w:p>
        </w:tc>
        <w:tc>
          <w:tcPr>
            <w:tcW w:w="459" w:type="pct"/>
            <w:shd w:val="clear" w:color="auto" w:fill="auto"/>
            <w:vAlign w:val="bottom"/>
          </w:tcPr>
          <w:p w14:paraId="1271E5C2" w14:textId="7C29A2B3" w:rsidR="00AA4F85" w:rsidRPr="00781112" w:rsidRDefault="00AA4F85" w:rsidP="00AA4F85">
            <w:pPr>
              <w:jc w:val="center"/>
              <w:rPr>
                <w:rFonts w:cs="Arial"/>
                <w:b/>
                <w:color w:val="000000" w:themeColor="text1"/>
                <w:szCs w:val="16"/>
              </w:rPr>
            </w:pPr>
            <w:r w:rsidRPr="00781112">
              <w:rPr>
                <w:rFonts w:cs="Arial"/>
                <w:b/>
                <w:color w:val="000000" w:themeColor="text1"/>
                <w:szCs w:val="16"/>
              </w:rPr>
              <w:t>Status</w:t>
            </w:r>
          </w:p>
        </w:tc>
        <w:tc>
          <w:tcPr>
            <w:tcW w:w="622" w:type="pct"/>
            <w:shd w:val="clear" w:color="auto" w:fill="auto"/>
            <w:vAlign w:val="bottom"/>
          </w:tcPr>
          <w:p w14:paraId="57BB5D90" w14:textId="5C773F81" w:rsidR="00AA4F85" w:rsidRPr="00781112" w:rsidRDefault="00AA4F85" w:rsidP="00AA4F85">
            <w:pPr>
              <w:jc w:val="center"/>
              <w:rPr>
                <w:rFonts w:cs="Arial"/>
                <w:b/>
                <w:color w:val="000000" w:themeColor="text1"/>
                <w:szCs w:val="16"/>
              </w:rPr>
            </w:pPr>
            <w:r w:rsidRPr="00781112">
              <w:rPr>
                <w:rFonts w:cs="Arial"/>
                <w:b/>
                <w:color w:val="000000" w:themeColor="text1"/>
                <w:szCs w:val="16"/>
              </w:rPr>
              <w:t>Slippage</w:t>
            </w:r>
          </w:p>
        </w:tc>
      </w:tr>
      <w:tr w:rsidR="005C29F8" w:rsidRPr="00781112" w14:paraId="060DACA6" w14:textId="4A0141DE" w:rsidTr="00AB0D6A">
        <w:trPr>
          <w:trHeight w:val="361"/>
        </w:trPr>
        <w:tc>
          <w:tcPr>
            <w:tcW w:w="999" w:type="pct"/>
            <w:shd w:val="clear" w:color="auto" w:fill="auto"/>
          </w:tcPr>
          <w:p w14:paraId="53F10B71" w14:textId="77777777" w:rsidR="00757D21" w:rsidRPr="00781112" w:rsidRDefault="00A86385" w:rsidP="00E526FC">
            <w:pPr>
              <w:rPr>
                <w:rFonts w:cs="Arial"/>
                <w:color w:val="000000" w:themeColor="text1"/>
                <w:szCs w:val="16"/>
              </w:rPr>
            </w:pPr>
            <w:r w:rsidRPr="00781112">
              <w:rPr>
                <w:rFonts w:cs="Arial"/>
                <w:color w:val="000000" w:themeColor="text1"/>
                <w:szCs w:val="16"/>
              </w:rPr>
              <w:t>C1. Of those children who entered or exited the program below age expectations in Outcome C, the percent who substantially increased their rate of growth by the time they turned 6 years of age or exited the program.</w:t>
            </w:r>
          </w:p>
          <w:p w14:paraId="3FD0705F" w14:textId="77777777" w:rsidR="00B31BA1" w:rsidRPr="00FE4611" w:rsidRDefault="00757D21" w:rsidP="00FE4611">
            <w:pPr>
              <w:spacing w:after="0"/>
              <w:rPr>
                <w:rFonts w:cs="Arial"/>
                <w:i/>
                <w:iCs/>
                <w:color w:val="C00000"/>
                <w:szCs w:val="16"/>
                <w:lang w:val="es-ES"/>
              </w:rPr>
            </w:pPr>
            <w:r w:rsidRPr="00FE4611">
              <w:rPr>
                <w:rFonts w:cs="Arial"/>
                <w:i/>
                <w:iCs/>
                <w:color w:val="C00000"/>
                <w:szCs w:val="16"/>
                <w:lang w:val="es-ES"/>
              </w:rPr>
              <w:t>Calculation:</w:t>
            </w:r>
          </w:p>
          <w:p w14:paraId="78844CD5" w14:textId="7FD59560" w:rsidR="00A86385" w:rsidRPr="00781112" w:rsidRDefault="00757D21" w:rsidP="00FE4611">
            <w:pPr>
              <w:spacing w:before="0"/>
              <w:rPr>
                <w:rFonts w:cs="Arial"/>
                <w:color w:val="000000" w:themeColor="text1"/>
                <w:szCs w:val="16"/>
              </w:rPr>
            </w:pPr>
            <w:r w:rsidRPr="00FE4611">
              <w:rPr>
                <w:rFonts w:cs="Arial"/>
                <w:i/>
                <w:iCs/>
                <w:color w:val="C00000"/>
                <w:szCs w:val="16"/>
                <w:lang w:val="es-ES"/>
              </w:rPr>
              <w:t>(c+d)/(a+b+c+d)</w:t>
            </w:r>
            <w:r w:rsidR="00A86385" w:rsidRPr="00781112">
              <w:rPr>
                <w:rFonts w:cs="Arial"/>
                <w:color w:val="000000" w:themeColor="text1"/>
                <w:szCs w:val="16"/>
              </w:rPr>
              <w:t xml:space="preserve"> </w:t>
            </w:r>
          </w:p>
        </w:tc>
        <w:tc>
          <w:tcPr>
            <w:tcW w:w="584" w:type="pct"/>
            <w:shd w:val="clear" w:color="auto" w:fill="auto"/>
            <w:vAlign w:val="center"/>
          </w:tcPr>
          <w:p w14:paraId="06847B86" w14:textId="57D8DF81" w:rsidR="00A86385" w:rsidRPr="00781112" w:rsidRDefault="002B7490" w:rsidP="00A018D4">
            <w:pPr>
              <w:jc w:val="center"/>
              <w:rPr>
                <w:rFonts w:cs="Arial"/>
                <w:color w:val="000000" w:themeColor="text1"/>
                <w:szCs w:val="16"/>
              </w:rPr>
            </w:pPr>
            <w:r w:rsidRPr="00781112">
              <w:rPr>
                <w:rFonts w:cs="Arial"/>
                <w:color w:val="000000" w:themeColor="text1"/>
                <w:szCs w:val="16"/>
              </w:rPr>
              <w:t>2,108</w:t>
            </w:r>
          </w:p>
        </w:tc>
        <w:tc>
          <w:tcPr>
            <w:tcW w:w="584" w:type="pct"/>
            <w:shd w:val="clear" w:color="auto" w:fill="auto"/>
            <w:vAlign w:val="center"/>
          </w:tcPr>
          <w:p w14:paraId="238365C6" w14:textId="3568431D" w:rsidR="00A86385" w:rsidRPr="00781112" w:rsidRDefault="002B7490" w:rsidP="00A018D4">
            <w:pPr>
              <w:jc w:val="center"/>
              <w:rPr>
                <w:rFonts w:cs="Arial"/>
                <w:color w:val="000000" w:themeColor="text1"/>
                <w:szCs w:val="16"/>
              </w:rPr>
            </w:pPr>
            <w:r w:rsidRPr="00781112">
              <w:rPr>
                <w:rFonts w:cs="Arial"/>
                <w:color w:val="000000" w:themeColor="text1"/>
                <w:szCs w:val="16"/>
              </w:rPr>
              <w:t>2,912</w:t>
            </w:r>
          </w:p>
        </w:tc>
        <w:tc>
          <w:tcPr>
            <w:tcW w:w="543" w:type="pct"/>
            <w:shd w:val="clear" w:color="auto" w:fill="auto"/>
            <w:vAlign w:val="center"/>
          </w:tcPr>
          <w:p w14:paraId="4D92698F" w14:textId="1CB8B6A4" w:rsidR="00A86385" w:rsidRPr="00781112" w:rsidRDefault="002B7490" w:rsidP="00A018D4">
            <w:pPr>
              <w:jc w:val="center"/>
              <w:rPr>
                <w:rFonts w:cs="Arial"/>
                <w:color w:val="000000" w:themeColor="text1"/>
                <w:szCs w:val="16"/>
              </w:rPr>
            </w:pPr>
            <w:r w:rsidRPr="00781112">
              <w:rPr>
                <w:rFonts w:cs="Arial"/>
                <w:color w:val="000000" w:themeColor="text1"/>
                <w:szCs w:val="16"/>
              </w:rPr>
              <w:t>72.65%</w:t>
            </w:r>
          </w:p>
        </w:tc>
        <w:tc>
          <w:tcPr>
            <w:tcW w:w="584" w:type="pct"/>
            <w:shd w:val="clear" w:color="auto" w:fill="auto"/>
            <w:vAlign w:val="center"/>
          </w:tcPr>
          <w:p w14:paraId="282346A8" w14:textId="638BF2E5" w:rsidR="00A86385" w:rsidRPr="00781112" w:rsidRDefault="002B7490" w:rsidP="00A018D4">
            <w:pPr>
              <w:jc w:val="center"/>
              <w:rPr>
                <w:rFonts w:cs="Arial"/>
                <w:color w:val="000000" w:themeColor="text1"/>
                <w:szCs w:val="16"/>
              </w:rPr>
            </w:pPr>
            <w:r w:rsidRPr="00781112">
              <w:rPr>
                <w:rFonts w:cs="Arial"/>
                <w:color w:val="000000" w:themeColor="text1"/>
                <w:szCs w:val="16"/>
              </w:rPr>
              <w:t>74.70%</w:t>
            </w:r>
          </w:p>
        </w:tc>
        <w:tc>
          <w:tcPr>
            <w:tcW w:w="625" w:type="pct"/>
            <w:shd w:val="clear" w:color="auto" w:fill="auto"/>
            <w:vAlign w:val="center"/>
          </w:tcPr>
          <w:p w14:paraId="02E42936" w14:textId="312E4B4A" w:rsidR="00A86385" w:rsidRPr="00781112" w:rsidRDefault="002B7490" w:rsidP="00A018D4">
            <w:pPr>
              <w:jc w:val="center"/>
              <w:rPr>
                <w:rFonts w:cs="Arial"/>
                <w:color w:val="000000" w:themeColor="text1"/>
                <w:szCs w:val="16"/>
              </w:rPr>
            </w:pPr>
            <w:r w:rsidRPr="00781112">
              <w:rPr>
                <w:rFonts w:cs="Arial"/>
                <w:color w:val="000000" w:themeColor="text1"/>
                <w:szCs w:val="16"/>
              </w:rPr>
              <w:t>72.39%</w:t>
            </w:r>
          </w:p>
        </w:tc>
        <w:tc>
          <w:tcPr>
            <w:tcW w:w="459" w:type="pct"/>
            <w:shd w:val="clear" w:color="auto" w:fill="auto"/>
            <w:vAlign w:val="center"/>
          </w:tcPr>
          <w:p w14:paraId="1B13A98E" w14:textId="3F3B6900"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2D48B259" w14:textId="3185C0C7"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01CBC0C6" w14:textId="58EECBDC" w:rsidTr="00AB0D6A">
        <w:trPr>
          <w:trHeight w:val="361"/>
        </w:trPr>
        <w:tc>
          <w:tcPr>
            <w:tcW w:w="999" w:type="pct"/>
            <w:shd w:val="clear" w:color="auto" w:fill="auto"/>
          </w:tcPr>
          <w:p w14:paraId="080A6F16" w14:textId="77777777" w:rsidR="00A86385" w:rsidRPr="00781112" w:rsidRDefault="00A86385" w:rsidP="00E526FC">
            <w:pPr>
              <w:rPr>
                <w:rFonts w:cs="Arial"/>
                <w:color w:val="000000" w:themeColor="text1"/>
                <w:szCs w:val="16"/>
              </w:rPr>
            </w:pPr>
            <w:r w:rsidRPr="00781112">
              <w:rPr>
                <w:rFonts w:cs="Arial"/>
                <w:color w:val="000000" w:themeColor="text1"/>
                <w:szCs w:val="16"/>
              </w:rPr>
              <w:t xml:space="preserve">C2. The percent of preschool children who were functioning within age expectations in Outcome C by the time they turned 6 years of age or exited the program. </w:t>
            </w:r>
          </w:p>
          <w:p w14:paraId="3AD697BE" w14:textId="13545BB0" w:rsidR="00757D21" w:rsidRPr="0075451F" w:rsidRDefault="00757D21" w:rsidP="00E526FC">
            <w:pPr>
              <w:rPr>
                <w:rFonts w:cs="Arial"/>
                <w:color w:val="000000" w:themeColor="text1"/>
                <w:szCs w:val="16"/>
                <w:lang w:val="es-ES"/>
              </w:rPr>
            </w:pPr>
            <w:r w:rsidRPr="0075451F">
              <w:rPr>
                <w:rFonts w:cs="Arial"/>
                <w:i/>
                <w:iCs/>
                <w:color w:val="C00000"/>
                <w:szCs w:val="16"/>
                <w:lang w:val="es-ES"/>
              </w:rPr>
              <w:t>Calculation: (d+e)/(a+b+c+d+e)</w:t>
            </w:r>
          </w:p>
        </w:tc>
        <w:tc>
          <w:tcPr>
            <w:tcW w:w="584" w:type="pct"/>
            <w:shd w:val="clear" w:color="auto" w:fill="auto"/>
            <w:vAlign w:val="center"/>
          </w:tcPr>
          <w:p w14:paraId="55881F07" w14:textId="24379895" w:rsidR="00E526FC" w:rsidRPr="00781112" w:rsidRDefault="002B7490" w:rsidP="00A018D4">
            <w:pPr>
              <w:jc w:val="center"/>
              <w:rPr>
                <w:rFonts w:cs="Arial"/>
                <w:color w:val="000000" w:themeColor="text1"/>
                <w:szCs w:val="16"/>
              </w:rPr>
            </w:pPr>
            <w:r w:rsidRPr="00781112">
              <w:rPr>
                <w:rFonts w:cs="Arial"/>
                <w:color w:val="000000" w:themeColor="text1"/>
                <w:szCs w:val="16"/>
              </w:rPr>
              <w:t>2,243</w:t>
            </w:r>
          </w:p>
        </w:tc>
        <w:tc>
          <w:tcPr>
            <w:tcW w:w="584" w:type="pct"/>
            <w:shd w:val="clear" w:color="auto" w:fill="auto"/>
            <w:vAlign w:val="center"/>
          </w:tcPr>
          <w:p w14:paraId="621B2290" w14:textId="0CB78FA1" w:rsidR="00E526FC" w:rsidRPr="00781112" w:rsidRDefault="002B7490" w:rsidP="00A018D4">
            <w:pPr>
              <w:jc w:val="center"/>
              <w:rPr>
                <w:rFonts w:cs="Arial"/>
                <w:color w:val="000000" w:themeColor="text1"/>
                <w:szCs w:val="16"/>
              </w:rPr>
            </w:pPr>
            <w:r w:rsidRPr="00781112">
              <w:rPr>
                <w:rFonts w:cs="Arial"/>
                <w:color w:val="000000" w:themeColor="text1"/>
                <w:szCs w:val="16"/>
              </w:rPr>
              <w:t>4,497</w:t>
            </w:r>
          </w:p>
        </w:tc>
        <w:tc>
          <w:tcPr>
            <w:tcW w:w="543" w:type="pct"/>
            <w:shd w:val="clear" w:color="auto" w:fill="auto"/>
            <w:vAlign w:val="center"/>
          </w:tcPr>
          <w:p w14:paraId="62DBFBFA" w14:textId="0CDB12CF" w:rsidR="00A86385" w:rsidRPr="00781112" w:rsidRDefault="002B7490" w:rsidP="00A018D4">
            <w:pPr>
              <w:jc w:val="center"/>
              <w:rPr>
                <w:rFonts w:cs="Arial"/>
                <w:color w:val="000000" w:themeColor="text1"/>
                <w:szCs w:val="16"/>
              </w:rPr>
            </w:pPr>
            <w:r w:rsidRPr="00781112">
              <w:rPr>
                <w:rFonts w:cs="Arial"/>
                <w:color w:val="000000" w:themeColor="text1"/>
                <w:szCs w:val="16"/>
              </w:rPr>
              <w:t>49.44%</w:t>
            </w:r>
          </w:p>
        </w:tc>
        <w:tc>
          <w:tcPr>
            <w:tcW w:w="584" w:type="pct"/>
            <w:shd w:val="clear" w:color="auto" w:fill="auto"/>
            <w:vAlign w:val="center"/>
          </w:tcPr>
          <w:p w14:paraId="63A1936F" w14:textId="04F440D6" w:rsidR="00A86385" w:rsidRPr="00781112" w:rsidRDefault="002B7490" w:rsidP="00A018D4">
            <w:pPr>
              <w:jc w:val="center"/>
              <w:rPr>
                <w:rFonts w:cs="Arial"/>
                <w:color w:val="000000" w:themeColor="text1"/>
                <w:szCs w:val="16"/>
              </w:rPr>
            </w:pPr>
            <w:r w:rsidRPr="00781112">
              <w:rPr>
                <w:rFonts w:cs="Arial"/>
                <w:color w:val="000000" w:themeColor="text1"/>
                <w:szCs w:val="16"/>
              </w:rPr>
              <w:t>62.10%</w:t>
            </w:r>
          </w:p>
        </w:tc>
        <w:tc>
          <w:tcPr>
            <w:tcW w:w="625" w:type="pct"/>
            <w:shd w:val="clear" w:color="auto" w:fill="auto"/>
            <w:vAlign w:val="center"/>
          </w:tcPr>
          <w:p w14:paraId="4609D20B" w14:textId="7D9B89C4" w:rsidR="00A86385" w:rsidRPr="00781112" w:rsidRDefault="002B7490" w:rsidP="00A018D4">
            <w:pPr>
              <w:jc w:val="center"/>
              <w:rPr>
                <w:rFonts w:cs="Arial"/>
                <w:color w:val="000000" w:themeColor="text1"/>
                <w:szCs w:val="16"/>
              </w:rPr>
            </w:pPr>
            <w:r w:rsidRPr="00781112">
              <w:rPr>
                <w:rFonts w:cs="Arial"/>
                <w:color w:val="000000" w:themeColor="text1"/>
                <w:szCs w:val="16"/>
              </w:rPr>
              <w:t>49.88%</w:t>
            </w:r>
          </w:p>
        </w:tc>
        <w:tc>
          <w:tcPr>
            <w:tcW w:w="459" w:type="pct"/>
            <w:shd w:val="clear" w:color="auto" w:fill="auto"/>
            <w:vAlign w:val="center"/>
          </w:tcPr>
          <w:p w14:paraId="5F56D20D" w14:textId="6A83021F" w:rsidR="00A86385"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2" w:type="pct"/>
            <w:shd w:val="clear" w:color="auto" w:fill="auto"/>
            <w:vAlign w:val="center"/>
          </w:tcPr>
          <w:p w14:paraId="5C0F945B" w14:textId="613A8501" w:rsidR="00A86385"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105291D6" w14:textId="2B417D4B" w:rsidR="009B37A2" w:rsidRPr="00781112" w:rsidRDefault="009B37A2" w:rsidP="00B3121C">
      <w:pPr>
        <w:rPr>
          <w:color w:val="000000" w:themeColor="text1"/>
        </w:rPr>
      </w:pPr>
    </w:p>
    <w:tbl>
      <w:tblPr>
        <w:tblStyle w:val="TableGrid"/>
        <w:tblW w:w="5000" w:type="pct"/>
        <w:shd w:val="clear" w:color="auto" w:fill="FBD4B4" w:themeFill="accent6" w:themeFillTint="66"/>
        <w:tblLook w:val="04A0" w:firstRow="1" w:lastRow="0" w:firstColumn="1" w:lastColumn="0" w:noHBand="0" w:noVBand="1"/>
        <w:tblCaption w:val="B07SLIPEXPLN"/>
      </w:tblPr>
      <w:tblGrid>
        <w:gridCol w:w="809"/>
        <w:gridCol w:w="9981"/>
      </w:tblGrid>
      <w:tr w:rsidR="005C29F8" w:rsidRPr="00781112" w14:paraId="61620C7C" w14:textId="77777777" w:rsidTr="003138F9">
        <w:trPr>
          <w:tblHeader/>
        </w:trPr>
        <w:tc>
          <w:tcPr>
            <w:tcW w:w="375" w:type="pct"/>
            <w:vAlign w:val="bottom"/>
          </w:tcPr>
          <w:p w14:paraId="0AA39E44" w14:textId="77777777" w:rsidR="005033CE" w:rsidRPr="00781112" w:rsidRDefault="005033CE" w:rsidP="004369B2">
            <w:pPr>
              <w:jc w:val="center"/>
              <w:rPr>
                <w:color w:val="000000" w:themeColor="text1"/>
              </w:rPr>
            </w:pPr>
            <w:r w:rsidRPr="00781112">
              <w:rPr>
                <w:b/>
                <w:color w:val="000000" w:themeColor="text1"/>
              </w:rPr>
              <w:t>Part</w:t>
            </w:r>
          </w:p>
        </w:tc>
        <w:tc>
          <w:tcPr>
            <w:tcW w:w="4625" w:type="pct"/>
            <w:shd w:val="clear" w:color="auto" w:fill="auto"/>
          </w:tcPr>
          <w:p w14:paraId="41FB5113" w14:textId="77777777" w:rsidR="005033CE" w:rsidRPr="00781112" w:rsidRDefault="005033CE" w:rsidP="004369B2">
            <w:pPr>
              <w:jc w:val="center"/>
              <w:rPr>
                <w:color w:val="000000" w:themeColor="text1"/>
              </w:rPr>
            </w:pPr>
            <w:r w:rsidRPr="00781112">
              <w:rPr>
                <w:b/>
                <w:color w:val="000000" w:themeColor="text1"/>
              </w:rPr>
              <w:t>Reasons for slippage, if applicable</w:t>
            </w:r>
          </w:p>
        </w:tc>
      </w:tr>
      <w:tr w:rsidR="005C29F8" w:rsidRPr="00781112" w14:paraId="27E1C634" w14:textId="77777777" w:rsidTr="003138F9">
        <w:tc>
          <w:tcPr>
            <w:tcW w:w="375" w:type="pct"/>
            <w:vAlign w:val="center"/>
          </w:tcPr>
          <w:p w14:paraId="0985CEF0" w14:textId="77777777" w:rsidR="005033CE" w:rsidRPr="00781112" w:rsidRDefault="005033CE" w:rsidP="004369B2">
            <w:pPr>
              <w:jc w:val="center"/>
              <w:rPr>
                <w:b/>
                <w:color w:val="000000" w:themeColor="text1"/>
              </w:rPr>
            </w:pPr>
            <w:r w:rsidRPr="00781112">
              <w:rPr>
                <w:b/>
                <w:color w:val="000000" w:themeColor="text1"/>
              </w:rPr>
              <w:t>A1</w:t>
            </w:r>
          </w:p>
        </w:tc>
        <w:tc>
          <w:tcPr>
            <w:tcW w:w="4625" w:type="pct"/>
            <w:shd w:val="clear" w:color="auto" w:fill="auto"/>
          </w:tcPr>
          <w:p w14:paraId="6D607127" w14:textId="1BD8E744" w:rsidR="005033CE" w:rsidRPr="00781112" w:rsidRDefault="008C5922" w:rsidP="004369B2">
            <w:pPr>
              <w:rPr>
                <w:color w:val="000000" w:themeColor="text1"/>
              </w:rPr>
            </w:pPr>
            <w:r w:rsidRPr="00781112">
              <w:rPr>
                <w:rFonts w:cs="Arial"/>
                <w:color w:val="000000" w:themeColor="text1"/>
                <w:szCs w:val="16"/>
              </w:rPr>
              <w:t xml:space="preserve">Slippage occurs for many reasons. In FY2023, there were 580 additional students exiting ECSE. In one of the 9 communities assessed, there were difficulties in staffing and implementation of positive and effective strategies to address the social-emotional needs of young children, when in years past implementation fidelity had been high. These had an impact on overall state data, leading to slippage in A1. </w:t>
            </w:r>
          </w:p>
        </w:tc>
      </w:tr>
    </w:tbl>
    <w:p w14:paraId="399E6348" w14:textId="36EEF00B" w:rsidR="004B2C2D" w:rsidRPr="00781112" w:rsidRDefault="004B2C2D" w:rsidP="007D435F">
      <w:pPr>
        <w:rPr>
          <w:rFonts w:cs="Arial"/>
          <w:b/>
          <w:color w:val="000000" w:themeColor="text1"/>
          <w:szCs w:val="16"/>
        </w:rPr>
      </w:pPr>
      <w:r w:rsidRPr="00781112">
        <w:rPr>
          <w:rFonts w:cs="Arial"/>
          <w:b/>
          <w:color w:val="000000" w:themeColor="text1"/>
          <w:szCs w:val="16"/>
        </w:rPr>
        <w:t>Does the State include in the numerator and denominator only children who received special education and related services for at least six months during the age span of three through five years? (yes/no)</w:t>
      </w:r>
    </w:p>
    <w:p w14:paraId="35B562FF" w14:textId="1FE02532" w:rsidR="005033CE" w:rsidRPr="00781112" w:rsidRDefault="004B2C2D" w:rsidP="007D435F">
      <w:pPr>
        <w:rPr>
          <w:rFonts w:cs="Arial"/>
          <w:color w:val="000000" w:themeColor="text1"/>
          <w:szCs w:val="16"/>
        </w:rPr>
      </w:pPr>
      <w:r w:rsidRPr="00781112">
        <w:rPr>
          <w:rFonts w:cs="Arial"/>
          <w:color w:val="000000" w:themeColor="text1"/>
          <w:szCs w:val="16"/>
        </w:rPr>
        <w:t>YES</w:t>
      </w:r>
    </w:p>
    <w:tbl>
      <w:tblPr>
        <w:tblStyle w:val="TableGrid"/>
        <w:tblW w:w="5000" w:type="pct"/>
        <w:tblCellMar>
          <w:left w:w="115" w:type="dxa"/>
          <w:right w:w="115" w:type="dxa"/>
        </w:tblCellMar>
        <w:tblLook w:val="04A0" w:firstRow="1" w:lastRow="0" w:firstColumn="1" w:lastColumn="0" w:noHBand="0" w:noVBand="1"/>
        <w:tblCaption w:val="B07SAMPLINGUSED"/>
      </w:tblPr>
      <w:tblGrid>
        <w:gridCol w:w="8319"/>
        <w:gridCol w:w="2471"/>
      </w:tblGrid>
      <w:tr w:rsidR="005C29F8" w:rsidRPr="00781112" w14:paraId="0BD085FB" w14:textId="77777777" w:rsidTr="0033429D">
        <w:trPr>
          <w:tblHeader/>
        </w:trPr>
        <w:tc>
          <w:tcPr>
            <w:tcW w:w="3855" w:type="pct"/>
            <w:tcBorders>
              <w:top w:val="single" w:sz="4" w:space="0" w:color="auto"/>
              <w:left w:val="single" w:sz="4" w:space="0" w:color="auto"/>
            </w:tcBorders>
            <w:shd w:val="clear" w:color="auto" w:fill="auto"/>
          </w:tcPr>
          <w:p w14:paraId="5AC005B4" w14:textId="48902820" w:rsidR="00B461E1" w:rsidRPr="00781112" w:rsidRDefault="001D6B3B" w:rsidP="00A80FEB">
            <w:pPr>
              <w:rPr>
                <w:rFonts w:cs="Arial"/>
                <w:b/>
                <w:bCs/>
                <w:color w:val="000000" w:themeColor="text1"/>
                <w:szCs w:val="16"/>
              </w:rPr>
            </w:pPr>
            <w:r w:rsidRPr="00781112">
              <w:rPr>
                <w:rFonts w:cs="Arial"/>
                <w:b/>
                <w:bCs/>
                <w:color w:val="000000" w:themeColor="text1"/>
                <w:szCs w:val="16"/>
              </w:rPr>
              <w:t>Sampling Question</w:t>
            </w:r>
          </w:p>
        </w:tc>
        <w:tc>
          <w:tcPr>
            <w:tcW w:w="1145" w:type="pct"/>
            <w:tcBorders>
              <w:top w:val="single" w:sz="4" w:space="0" w:color="auto"/>
            </w:tcBorders>
            <w:shd w:val="clear" w:color="auto" w:fill="auto"/>
          </w:tcPr>
          <w:p w14:paraId="13A7BBAF" w14:textId="0D22562B" w:rsidR="00B461E1" w:rsidRPr="00781112" w:rsidRDefault="00B461E1"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58275667" w14:textId="54710A2D" w:rsidTr="000A4757">
        <w:tc>
          <w:tcPr>
            <w:tcW w:w="3855" w:type="pct"/>
            <w:shd w:val="clear" w:color="auto" w:fill="auto"/>
          </w:tcPr>
          <w:p w14:paraId="390A3887" w14:textId="13D1E4BC" w:rsidR="00B461E1" w:rsidRPr="00781112" w:rsidRDefault="00B461E1" w:rsidP="00A80FEB">
            <w:pPr>
              <w:rPr>
                <w:rFonts w:cs="Arial"/>
                <w:color w:val="000000" w:themeColor="text1"/>
                <w:szCs w:val="16"/>
              </w:rPr>
            </w:pPr>
            <w:r w:rsidRPr="00781112">
              <w:rPr>
                <w:rFonts w:cs="Arial"/>
                <w:color w:val="000000" w:themeColor="text1"/>
                <w:szCs w:val="16"/>
              </w:rPr>
              <w:t xml:space="preserve">Was sampling used? </w:t>
            </w:r>
          </w:p>
        </w:tc>
        <w:tc>
          <w:tcPr>
            <w:tcW w:w="1145" w:type="pct"/>
            <w:shd w:val="clear" w:color="auto" w:fill="auto"/>
          </w:tcPr>
          <w:p w14:paraId="057F9293" w14:textId="70B8666C" w:rsidR="00B461E1"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4EF81044" w14:textId="4100A680" w:rsidR="004B2C2D" w:rsidRPr="00781112" w:rsidRDefault="004B2C2D" w:rsidP="00A80FEB">
      <w:pPr>
        <w:rPr>
          <w:rFonts w:cs="Arial"/>
          <w:b/>
          <w:color w:val="000000" w:themeColor="text1"/>
          <w:szCs w:val="16"/>
        </w:rPr>
      </w:pPr>
      <w:r w:rsidRPr="00781112">
        <w:rPr>
          <w:rFonts w:cs="Arial"/>
          <w:b/>
          <w:color w:val="000000" w:themeColor="text1"/>
          <w:szCs w:val="16"/>
        </w:rPr>
        <w:t>Did you use the Early Childhood Outcomes Center (ECO) Child Outcomes Summary (COS) process? (yes/no)</w:t>
      </w:r>
    </w:p>
    <w:p w14:paraId="6C4FBAA6" w14:textId="1B6DC98D" w:rsidR="004B2C2D" w:rsidRPr="00781112" w:rsidRDefault="004B2C2D" w:rsidP="00A80FEB">
      <w:pPr>
        <w:rPr>
          <w:rFonts w:cs="Arial"/>
          <w:color w:val="000000" w:themeColor="text1"/>
          <w:szCs w:val="16"/>
        </w:rPr>
      </w:pPr>
      <w:r w:rsidRPr="00781112">
        <w:rPr>
          <w:rFonts w:cs="Arial"/>
          <w:color w:val="000000" w:themeColor="text1"/>
          <w:szCs w:val="16"/>
        </w:rPr>
        <w:t>NO</w:t>
      </w:r>
    </w:p>
    <w:p w14:paraId="6F131278" w14:textId="16A90DAD" w:rsidR="009B37A2" w:rsidRPr="00781112" w:rsidRDefault="007524CC" w:rsidP="00401663">
      <w:pPr>
        <w:rPr>
          <w:rFonts w:cs="Arial"/>
          <w:b/>
          <w:color w:val="000000" w:themeColor="text1"/>
          <w:szCs w:val="16"/>
        </w:rPr>
      </w:pPr>
      <w:r w:rsidRPr="00781112">
        <w:rPr>
          <w:rFonts w:cs="Arial"/>
          <w:b/>
          <w:color w:val="000000" w:themeColor="text1"/>
          <w:szCs w:val="16"/>
        </w:rPr>
        <w:t>If no, provide the criteria for defining “comparable to same-aged peers.”</w:t>
      </w:r>
    </w:p>
    <w:p w14:paraId="49B86640" w14:textId="0949E05B" w:rsidR="000A4757" w:rsidRPr="00781112" w:rsidRDefault="002B7490" w:rsidP="000A4757">
      <w:pPr>
        <w:rPr>
          <w:rFonts w:cs="Arial"/>
          <w:color w:val="000000" w:themeColor="text1"/>
          <w:szCs w:val="16"/>
        </w:rPr>
      </w:pPr>
      <w:r w:rsidRPr="00781112">
        <w:rPr>
          <w:rFonts w:cs="Arial"/>
          <w:color w:val="000000" w:themeColor="text1"/>
          <w:szCs w:val="16"/>
        </w:rPr>
        <w:t xml:space="preserve">Beginning in 2008 for all children qualifying for early childhood special education services, all State EI/ECSE programs are required to enter the child Assessment, Evaluation, and Programming System (AEPS) data into the Early Childhood Web (ecWeb) system, starting with all children qualifying for early childhood special education services in May of 2008. </w:t>
      </w:r>
      <w:r w:rsidRPr="00781112">
        <w:rPr>
          <w:rFonts w:cs="Arial"/>
          <w:color w:val="000000" w:themeColor="text1"/>
          <w:szCs w:val="16"/>
        </w:rPr>
        <w:br/>
      </w:r>
      <w:r w:rsidRPr="00781112">
        <w:rPr>
          <w:rFonts w:cs="Arial"/>
          <w:color w:val="000000" w:themeColor="text1"/>
          <w:szCs w:val="16"/>
        </w:rPr>
        <w:br/>
        <w:t xml:space="preserve">Criteria for defining “comparable to same-aged peers": </w:t>
      </w:r>
      <w:r w:rsidRPr="00781112">
        <w:rPr>
          <w:rFonts w:cs="Arial"/>
          <w:color w:val="000000" w:themeColor="text1"/>
          <w:szCs w:val="16"/>
        </w:rPr>
        <w:br/>
        <w:t xml:space="preserve">In 2015, using a national AEPS data set from typically developing children, a review team considered 90%, 85%, and 80% percentile cut offs against the national data results to decide the cut off level that best reflected the State’s children in ECSE programs. The review team, State staff, EI/ECSE Contractors and EI/ECSE stakeholder groups were all asked to analyze the percentile cut offs and determine the cut off level that the State should use </w:t>
      </w:r>
      <w:r w:rsidRPr="00781112">
        <w:rPr>
          <w:rFonts w:cs="Arial"/>
          <w:color w:val="000000" w:themeColor="text1"/>
          <w:szCs w:val="16"/>
        </w:rPr>
        <w:lastRenderedPageBreak/>
        <w:t xml:space="preserve">for reporting to the ECSE child outcomes. The consensus was to use the 80% cut off level. This most closely represents the children who are eligible for Early Childhood Special Education programs and receive services in Oregon. </w:t>
      </w:r>
      <w:r w:rsidRPr="00781112">
        <w:rPr>
          <w:rFonts w:cs="Arial"/>
          <w:color w:val="000000" w:themeColor="text1"/>
          <w:szCs w:val="16"/>
        </w:rPr>
        <w:br/>
      </w:r>
      <w:r w:rsidRPr="00781112">
        <w:rPr>
          <w:rFonts w:cs="Arial"/>
          <w:color w:val="000000" w:themeColor="text1"/>
          <w:szCs w:val="16"/>
        </w:rPr>
        <w:br/>
        <w:t xml:space="preserve">Child progress is measured using the following rubric: </w:t>
      </w:r>
      <w:r w:rsidRPr="00781112">
        <w:rPr>
          <w:rFonts w:cs="Arial"/>
          <w:color w:val="000000" w:themeColor="text1"/>
          <w:szCs w:val="16"/>
        </w:rPr>
        <w:br/>
        <w:t>If a child enters with a score below the normal range and stays the same or regresses at the next test administration, the child is categorized as: (a) does not improve functioning. If the child makes progress and the ratio of how far below the normal level of development increases between test administrations, the child is categorized as: (b) improved functioning but not sufficient to move nearer to functioning comparable to same-aged peers. If the child makes progress but the ratio of how far below the normal level of development decreases between test administrations, the child is categorized as: (c) improved functioning to a level nearer to the functioning of same-aged peers but did not reach it. If a child enters with a score below the normal range and increases to reach or exceed the normal range at the next test administration, the child is categorized as: (d) improved functioning sufficient to reach a level comparable to same-aged peers. If a child enters with a score at or above the normal range and maintains their score at or above the normal range at the next test administration, the child is categorized as: (e) maintains functioning at or above same age peers.</w:t>
      </w:r>
    </w:p>
    <w:p w14:paraId="015A471A" w14:textId="77777777" w:rsidR="004611C1" w:rsidRPr="00781112" w:rsidRDefault="004611C1" w:rsidP="00401663">
      <w:pPr>
        <w:rPr>
          <w:rFonts w:cs="Arial"/>
          <w:b/>
          <w:color w:val="000000" w:themeColor="text1"/>
          <w:szCs w:val="16"/>
        </w:rPr>
      </w:pPr>
      <w:bookmarkStart w:id="40" w:name="_Toc382082381"/>
      <w:bookmarkStart w:id="41" w:name="_Toc392159306"/>
      <w:r w:rsidRPr="00781112">
        <w:rPr>
          <w:rFonts w:cs="Arial"/>
          <w:b/>
          <w:color w:val="000000" w:themeColor="text1"/>
          <w:szCs w:val="16"/>
        </w:rPr>
        <w:t>List the instruments and procedures used to gather data for this indicator.</w:t>
      </w:r>
    </w:p>
    <w:p w14:paraId="48A16E25" w14:textId="1F2C8CE0" w:rsidR="009B37A2" w:rsidRPr="00781112" w:rsidRDefault="002B7490" w:rsidP="007D435F">
      <w:pPr>
        <w:rPr>
          <w:rFonts w:cs="Arial"/>
          <w:color w:val="000000" w:themeColor="text1"/>
          <w:szCs w:val="16"/>
        </w:rPr>
      </w:pPr>
      <w:r w:rsidRPr="00781112">
        <w:rPr>
          <w:rFonts w:cs="Arial"/>
          <w:color w:val="000000" w:themeColor="text1"/>
          <w:szCs w:val="16"/>
        </w:rPr>
        <w:t>As of 2008, all EI/ECSE programs in the State are required to enter individual child assessment results from the Assessment, Evaluation, and Programming System (AEPS) into the Early Childhood Web (ecWeb). The aggregate results are utilized for reporting on this indicator.</w:t>
      </w:r>
    </w:p>
    <w:p w14:paraId="393ECB24" w14:textId="77777777" w:rsidR="00221EC9" w:rsidRPr="00781112" w:rsidRDefault="00221EC9" w:rsidP="004369B2">
      <w:pPr>
        <w:rPr>
          <w:b/>
          <w:color w:val="000000" w:themeColor="text1"/>
        </w:rPr>
      </w:pPr>
      <w:r w:rsidRPr="00781112">
        <w:rPr>
          <w:b/>
          <w:color w:val="000000" w:themeColor="text1"/>
        </w:rPr>
        <w:t>Provide additional information about this indicator (optional)</w:t>
      </w:r>
    </w:p>
    <w:p w14:paraId="0215673F" w14:textId="7230C48B" w:rsidR="009B37A2" w:rsidRPr="00781112" w:rsidRDefault="002B7490" w:rsidP="007D435F">
      <w:pPr>
        <w:rPr>
          <w:rFonts w:cs="Arial"/>
          <w:color w:val="000000" w:themeColor="text1"/>
          <w:szCs w:val="16"/>
        </w:rPr>
      </w:pPr>
      <w:r w:rsidRPr="00781112">
        <w:rPr>
          <w:rFonts w:cs="Arial"/>
          <w:color w:val="000000" w:themeColor="text1"/>
          <w:szCs w:val="16"/>
        </w:rPr>
        <w:t xml:space="preserve">Regarding the use of the term "IFSP" for early childhood special education, ORS 343.521 and OAR 581-015-2700 (13) delineate the use of an IFSP for children birth to school age with disabilities in Oregon. The data collected were specifically for B7. Additionally, in ODE’s Part B application for federal funds in 2002-2003 ODE explained how it amended OAR 581-015-0970(3) (IFSP content) to include specific Part B requirements. ODE explained that ODE IFSP forms combine the content requirements for IEPs under Part B of IDEA, IFSP’s under Part C of IDEA and IFSP’s under ORS 343.521. This document was approved by OSEP and signed by Gregg Corr. Oregon produced this document during the monitoring visit and it was reviewed by the OSEP monitoring team during their 2010 monitoring visit. Marion Crayton of OSEP is aware of this document and can confirm that OSEP did approve. </w:t>
      </w:r>
    </w:p>
    <w:p w14:paraId="729220FB" w14:textId="2C05A12E" w:rsidR="000A2C83" w:rsidRPr="00781112" w:rsidRDefault="00C96236" w:rsidP="005B40C0">
      <w:pPr>
        <w:pStyle w:val="Heading3"/>
      </w:pPr>
      <w:r w:rsidRPr="00781112">
        <w:t>7</w:t>
      </w:r>
      <w:r w:rsidR="00444A9D" w:rsidRPr="00781112">
        <w:t xml:space="preserve"> </w:t>
      </w:r>
      <w:r w:rsidRPr="00781112">
        <w:t xml:space="preserve">- </w:t>
      </w:r>
      <w:r w:rsidR="000A2C83" w:rsidRPr="00781112">
        <w:t>Prior FFY Required Actions</w:t>
      </w:r>
    </w:p>
    <w:p w14:paraId="6B082508" w14:textId="28E3454C" w:rsidR="000A2C83" w:rsidRPr="00781112" w:rsidRDefault="002B7490" w:rsidP="000A2C83">
      <w:pPr>
        <w:rPr>
          <w:rFonts w:cs="Arial"/>
          <w:color w:val="000000" w:themeColor="text1"/>
          <w:szCs w:val="16"/>
        </w:rPr>
      </w:pPr>
      <w:r w:rsidRPr="00781112">
        <w:rPr>
          <w:rFonts w:cs="Arial"/>
          <w:color w:val="000000" w:themeColor="text1"/>
          <w:szCs w:val="16"/>
        </w:rPr>
        <w:t>None</w:t>
      </w:r>
    </w:p>
    <w:p w14:paraId="342951AE" w14:textId="530DEEBF" w:rsidR="00B1280F" w:rsidRPr="00781112" w:rsidRDefault="00B1280F" w:rsidP="000A2C83">
      <w:pPr>
        <w:rPr>
          <w:rFonts w:cs="Arial"/>
          <w:color w:val="000000" w:themeColor="text1"/>
          <w:szCs w:val="16"/>
        </w:rPr>
      </w:pPr>
    </w:p>
    <w:p w14:paraId="311D27F5" w14:textId="36383184"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4844645A" w14:textId="6F051FE6" w:rsidR="00221EC9" w:rsidRPr="00781112" w:rsidRDefault="00C96236" w:rsidP="005B40C0">
      <w:pPr>
        <w:pStyle w:val="Heading3"/>
      </w:pPr>
      <w:r w:rsidRPr="00781112">
        <w:t>7 - OSEP Response</w:t>
      </w:r>
    </w:p>
    <w:p w14:paraId="408E3220" w14:textId="3BF99ADA" w:rsidR="009B37A2" w:rsidRPr="00781112" w:rsidRDefault="009B37A2" w:rsidP="001F692C">
      <w:pPr>
        <w:rPr>
          <w:rFonts w:cs="Arial"/>
          <w:color w:val="000000" w:themeColor="text1"/>
          <w:szCs w:val="16"/>
        </w:rPr>
      </w:pPr>
    </w:p>
    <w:p w14:paraId="50C7CF43" w14:textId="32A5B19E" w:rsidR="00221EC9" w:rsidRPr="00781112" w:rsidRDefault="00C96236" w:rsidP="005B40C0">
      <w:pPr>
        <w:pStyle w:val="Heading3"/>
      </w:pPr>
      <w:r w:rsidRPr="00781112">
        <w:t>7 - Required Actions</w:t>
      </w:r>
    </w:p>
    <w:p w14:paraId="4FFE0FC1" w14:textId="3673A3A2" w:rsidR="00415684" w:rsidRDefault="00415684" w:rsidP="006D5DC4">
      <w:pPr>
        <w:rPr>
          <w:rFonts w:cs="Arial"/>
          <w:color w:val="000000" w:themeColor="text1"/>
          <w:szCs w:val="16"/>
        </w:rPr>
      </w:pPr>
    </w:p>
    <w:p w14:paraId="0D594D0E" w14:textId="77777777" w:rsidR="00415684" w:rsidRDefault="00415684">
      <w:pPr>
        <w:spacing w:before="0" w:after="200" w:line="276" w:lineRule="auto"/>
        <w:rPr>
          <w:rFonts w:cs="Arial"/>
          <w:color w:val="000000" w:themeColor="text1"/>
          <w:szCs w:val="16"/>
        </w:rPr>
      </w:pPr>
      <w:r>
        <w:rPr>
          <w:rFonts w:cs="Arial"/>
          <w:color w:val="000000" w:themeColor="text1"/>
          <w:szCs w:val="16"/>
        </w:rPr>
        <w:br w:type="page"/>
      </w:r>
    </w:p>
    <w:p w14:paraId="3BCCFF07" w14:textId="13DF3424" w:rsidR="00B3462E" w:rsidRPr="00781112" w:rsidRDefault="00B3462E" w:rsidP="005B40C0">
      <w:pPr>
        <w:pStyle w:val="Heading2"/>
      </w:pPr>
      <w:r w:rsidRPr="00781112">
        <w:rPr>
          <w:color w:val="000000" w:themeColor="text1"/>
          <w:sz w:val="22"/>
        </w:rPr>
        <w:lastRenderedPageBreak/>
        <w:t>Indicator 8: Parent involvement</w:t>
      </w:r>
      <w:bookmarkEnd w:id="40"/>
      <w:bookmarkEnd w:id="41"/>
    </w:p>
    <w:p w14:paraId="66FBCA03" w14:textId="744F6FA8" w:rsidR="00B654C1" w:rsidRPr="002C274F" w:rsidRDefault="00B654C1" w:rsidP="002C274F">
      <w:pPr>
        <w:rPr>
          <w:b/>
          <w:bCs/>
          <w:sz w:val="20"/>
          <w:szCs w:val="20"/>
        </w:rPr>
      </w:pPr>
      <w:bookmarkStart w:id="42" w:name="_Toc392159307"/>
      <w:r w:rsidRPr="002C274F">
        <w:rPr>
          <w:b/>
          <w:bCs/>
          <w:sz w:val="20"/>
          <w:szCs w:val="20"/>
        </w:rPr>
        <w:t>Instructions and Measurement</w:t>
      </w:r>
    </w:p>
    <w:p w14:paraId="42608CC1" w14:textId="182D7ADF" w:rsidR="00CC634E" w:rsidRPr="00781112" w:rsidRDefault="00CC634E" w:rsidP="004369B2">
      <w:pPr>
        <w:rPr>
          <w:color w:val="000000" w:themeColor="text1"/>
        </w:rPr>
      </w:pPr>
      <w:r w:rsidRPr="00781112">
        <w:rPr>
          <w:b/>
          <w:color w:val="000000" w:themeColor="text1"/>
        </w:rPr>
        <w:t>Monitoring Priority:</w:t>
      </w:r>
      <w:r w:rsidRPr="00781112">
        <w:rPr>
          <w:color w:val="000000" w:themeColor="text1"/>
        </w:rPr>
        <w:t xml:space="preserve"> FAPE in the LRE</w:t>
      </w:r>
    </w:p>
    <w:p w14:paraId="090EFEAD" w14:textId="77777777" w:rsidR="009C613A" w:rsidRPr="00781112" w:rsidRDefault="00CC634E" w:rsidP="006424B2">
      <w:pPr>
        <w:rPr>
          <w:rFonts w:cs="Arial"/>
          <w:color w:val="000000" w:themeColor="text1"/>
          <w:szCs w:val="16"/>
        </w:rPr>
      </w:pPr>
      <w:r w:rsidRPr="00781112">
        <w:rPr>
          <w:rFonts w:cs="Arial"/>
          <w:b/>
          <w:color w:val="000000" w:themeColor="text1"/>
          <w:szCs w:val="16"/>
        </w:rPr>
        <w:t>Results indicator:</w:t>
      </w:r>
      <w:r w:rsidR="00131842" w:rsidRPr="00781112">
        <w:rPr>
          <w:rFonts w:cs="Arial"/>
          <w:color w:val="000000" w:themeColor="text1"/>
          <w:szCs w:val="16"/>
        </w:rPr>
        <w:t xml:space="preserve"> </w:t>
      </w:r>
      <w:r w:rsidRPr="00781112">
        <w:rPr>
          <w:rFonts w:cs="Arial"/>
          <w:color w:val="000000" w:themeColor="text1"/>
          <w:szCs w:val="16"/>
        </w:rPr>
        <w:t>Percent of parents with a child receiving special education services who report that schools facilitated parent involvement as a means of improving services and results for children with disabilities.</w:t>
      </w:r>
    </w:p>
    <w:p w14:paraId="0D04A075" w14:textId="3BF2EC6D" w:rsidR="00CC634E" w:rsidRPr="00781112" w:rsidRDefault="00CC634E" w:rsidP="006424B2">
      <w:pPr>
        <w:rPr>
          <w:rFonts w:cs="Arial"/>
          <w:color w:val="000000" w:themeColor="text1"/>
          <w:szCs w:val="16"/>
        </w:rPr>
      </w:pPr>
      <w:r w:rsidRPr="00781112">
        <w:rPr>
          <w:rFonts w:cs="Arial"/>
          <w:color w:val="000000" w:themeColor="text1"/>
          <w:szCs w:val="16"/>
        </w:rPr>
        <w:t>(20 U.S.C. 1416(a)(3)(A))</w:t>
      </w:r>
    </w:p>
    <w:p w14:paraId="59F98396" w14:textId="77777777" w:rsidR="009C613A" w:rsidRPr="00781112" w:rsidRDefault="009C613A" w:rsidP="004369B2">
      <w:pPr>
        <w:rPr>
          <w:color w:val="000000" w:themeColor="text1"/>
        </w:rPr>
      </w:pPr>
      <w:r w:rsidRPr="00781112">
        <w:rPr>
          <w:b/>
          <w:color w:val="000000" w:themeColor="text1"/>
        </w:rPr>
        <w:t>Data Source</w:t>
      </w:r>
    </w:p>
    <w:p w14:paraId="543A03AF" w14:textId="13B8F95C" w:rsidR="009C613A" w:rsidRPr="00781112" w:rsidRDefault="009C613A" w:rsidP="00286BDF">
      <w:pPr>
        <w:rPr>
          <w:rFonts w:cs="Arial"/>
          <w:color w:val="000000" w:themeColor="text1"/>
          <w:szCs w:val="16"/>
        </w:rPr>
      </w:pPr>
      <w:r w:rsidRPr="00781112">
        <w:rPr>
          <w:rFonts w:cs="Arial"/>
          <w:color w:val="000000" w:themeColor="text1"/>
          <w:szCs w:val="16"/>
        </w:rPr>
        <w:t>State selected data source.</w:t>
      </w:r>
    </w:p>
    <w:p w14:paraId="50AC2385" w14:textId="77777777" w:rsidR="009C613A" w:rsidRPr="00781112" w:rsidRDefault="009C613A" w:rsidP="004369B2">
      <w:pPr>
        <w:rPr>
          <w:color w:val="000000" w:themeColor="text1"/>
        </w:rPr>
      </w:pPr>
      <w:r w:rsidRPr="00781112">
        <w:rPr>
          <w:b/>
          <w:color w:val="000000" w:themeColor="text1"/>
        </w:rPr>
        <w:t>Measurement</w:t>
      </w:r>
    </w:p>
    <w:p w14:paraId="5E1A0E28" w14:textId="46D6A5D9" w:rsidR="009C613A" w:rsidRPr="00781112" w:rsidRDefault="009C613A" w:rsidP="00286BDF">
      <w:pPr>
        <w:rPr>
          <w:rFonts w:cs="Arial"/>
          <w:color w:val="000000" w:themeColor="text1"/>
          <w:szCs w:val="16"/>
        </w:rPr>
      </w:pPr>
      <w:r w:rsidRPr="00781112">
        <w:rPr>
          <w:rFonts w:cs="Arial"/>
          <w:color w:val="000000" w:themeColor="text1"/>
          <w:szCs w:val="16"/>
        </w:rPr>
        <w:t>Percent</w:t>
      </w:r>
      <w:r w:rsidRPr="00781112">
        <w:rPr>
          <w:rFonts w:cs="Arial"/>
          <w:color w:val="000000" w:themeColor="text1"/>
          <w:szCs w:val="16"/>
          <w:shd w:val="clear" w:color="auto" w:fill="FFFFFF"/>
        </w:rPr>
        <w:t xml:space="preserve"> = </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of respondent parents who report schools facilitated parent involvement as a means of improving services and results for children with disabilities) divided by the (total # of respondent parents of children with disabilities)</w:t>
      </w:r>
      <w:r w:rsidR="00655C91" w:rsidRPr="00781112">
        <w:rPr>
          <w:rFonts w:cs="Arial"/>
          <w:color w:val="000000" w:themeColor="text1"/>
          <w:szCs w:val="16"/>
          <w:shd w:val="clear" w:color="auto" w:fill="FFFFFF"/>
        </w:rPr>
        <w:t>]</w:t>
      </w:r>
      <w:r w:rsidRPr="00781112">
        <w:rPr>
          <w:rFonts w:cs="Arial"/>
          <w:color w:val="000000" w:themeColor="text1"/>
          <w:szCs w:val="16"/>
          <w:shd w:val="clear" w:color="auto" w:fill="FFFFFF"/>
        </w:rPr>
        <w:t xml:space="preserve"> times 100.</w:t>
      </w:r>
    </w:p>
    <w:p w14:paraId="289E0D18" w14:textId="5D04C177" w:rsidR="009C613A" w:rsidRPr="00781112" w:rsidRDefault="009C613A" w:rsidP="004369B2">
      <w:pPr>
        <w:rPr>
          <w:color w:val="000000" w:themeColor="text1"/>
        </w:rPr>
      </w:pPr>
      <w:r w:rsidRPr="00781112">
        <w:rPr>
          <w:b/>
          <w:color w:val="000000" w:themeColor="text1"/>
        </w:rPr>
        <w:t>Instructions</w:t>
      </w:r>
    </w:p>
    <w:p w14:paraId="60A1EAFB" w14:textId="4B89C130" w:rsidR="002D7AD6" w:rsidRPr="00781112" w:rsidRDefault="002D7AD6" w:rsidP="00286BDF">
      <w:pPr>
        <w:rPr>
          <w:rFonts w:cs="Arial"/>
          <w:color w:val="000000" w:themeColor="text1"/>
          <w:szCs w:val="16"/>
        </w:rPr>
      </w:pPr>
      <w:r w:rsidRPr="00781112">
        <w:rPr>
          <w:rFonts w:cs="Arial"/>
          <w:i/>
          <w:iCs/>
          <w:color w:val="000000" w:themeColor="text1"/>
          <w:szCs w:val="16"/>
        </w:rPr>
        <w:t>Sampling </w:t>
      </w:r>
      <w:r w:rsidRPr="00781112">
        <w:rPr>
          <w:rFonts w:cs="Arial"/>
          <w:b/>
          <w:bCs/>
          <w:i/>
          <w:iCs/>
          <w:color w:val="000000" w:themeColor="text1"/>
          <w:szCs w:val="16"/>
        </w:rPr>
        <w:t>of parents from whom response is requested</w:t>
      </w:r>
      <w:r w:rsidRPr="00781112">
        <w:rPr>
          <w:rFonts w:cs="Arial"/>
          <w:i/>
          <w:iCs/>
          <w:color w:val="000000" w:themeColor="text1"/>
          <w:szCs w:val="16"/>
        </w:rPr>
        <w:t> is allowed.</w:t>
      </w:r>
      <w:r w:rsidRPr="00781112">
        <w:rPr>
          <w:rFonts w:cs="Arial"/>
          <w:color w:val="000000" w:themeColor="text1"/>
          <w:szCs w:val="16"/>
        </w:rPr>
        <w:t xml:space="preserve"> </w:t>
      </w:r>
      <w:r w:rsidRPr="00781112">
        <w:rPr>
          <w:rFonts w:cs="Arial"/>
          <w:i/>
          <w:iCs/>
          <w:color w:val="000000" w:themeColor="text1"/>
          <w:szCs w:val="16"/>
        </w:rPr>
        <w:t>When sampling is used, submit a description of the sampling methodology outlining how the design will yield valid and reliable estimates. (See </w:t>
      </w:r>
      <w:r w:rsidRPr="00781112">
        <w:rPr>
          <w:rFonts w:cs="Arial"/>
          <w:i/>
          <w:iCs/>
          <w:color w:val="000000" w:themeColor="text1"/>
          <w:szCs w:val="16"/>
          <w:u w:val="single"/>
        </w:rPr>
        <w:t>General Instructions</w:t>
      </w:r>
      <w:r w:rsidRPr="00781112">
        <w:rPr>
          <w:rFonts w:cs="Arial"/>
          <w:i/>
          <w:iCs/>
          <w:color w:val="000000" w:themeColor="text1"/>
          <w:szCs w:val="16"/>
        </w:rPr>
        <w:t xml:space="preserve"> on page </w:t>
      </w:r>
      <w:r w:rsidR="006170BD">
        <w:rPr>
          <w:rFonts w:cs="Arial"/>
          <w:i/>
          <w:iCs/>
          <w:color w:val="000000" w:themeColor="text1"/>
          <w:szCs w:val="16"/>
        </w:rPr>
        <w:t>3</w:t>
      </w:r>
      <w:r w:rsidRPr="00781112">
        <w:rPr>
          <w:rFonts w:cs="Arial"/>
          <w:i/>
          <w:iCs/>
          <w:color w:val="000000" w:themeColor="text1"/>
          <w:szCs w:val="16"/>
        </w:rPr>
        <w:t xml:space="preserve"> for additional instructions on sampling.)</w:t>
      </w:r>
    </w:p>
    <w:p w14:paraId="3EC08FBA" w14:textId="77777777" w:rsidR="002D7AD6" w:rsidRPr="00781112" w:rsidRDefault="002D7AD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7C56A5AA" w14:textId="77777777" w:rsidR="002D7AD6" w:rsidRPr="00781112" w:rsidRDefault="002D7AD6" w:rsidP="00286BDF">
      <w:pPr>
        <w:rPr>
          <w:rFonts w:cs="Arial"/>
          <w:color w:val="000000" w:themeColor="text1"/>
          <w:szCs w:val="16"/>
        </w:rPr>
      </w:pPr>
      <w:r w:rsidRPr="00781112">
        <w:rPr>
          <w:rFonts w:cs="Arial"/>
          <w:color w:val="000000" w:themeColor="text1"/>
          <w:szCs w:val="16"/>
        </w:rPr>
        <w:t>Provide the actual numbers used in the calculation.</w:t>
      </w:r>
    </w:p>
    <w:p w14:paraId="231E5575" w14:textId="77777777" w:rsidR="002D7AD6" w:rsidRPr="00781112" w:rsidRDefault="002D7AD6" w:rsidP="00286BDF">
      <w:pPr>
        <w:rPr>
          <w:rFonts w:cs="Arial"/>
          <w:color w:val="000000" w:themeColor="text1"/>
          <w:szCs w:val="16"/>
        </w:rPr>
      </w:pPr>
      <w:r w:rsidRPr="00781112">
        <w:rPr>
          <w:rFonts w:cs="Arial"/>
          <w:color w:val="000000" w:themeColor="text1"/>
          <w:szCs w:val="16"/>
        </w:rPr>
        <w:t>If the State is using a separate data collection methodology for preschool children, the State must provide separate baseline data, targets, and actual target data or discuss the procedures used to combine data from school age and preschool data collection methodologies in a manner that is valid and reliable.</w:t>
      </w:r>
    </w:p>
    <w:p w14:paraId="5DC13627" w14:textId="77777777" w:rsidR="002D7AD6" w:rsidRPr="00781112" w:rsidRDefault="002D7AD6" w:rsidP="00286BDF">
      <w:pPr>
        <w:rPr>
          <w:rFonts w:cs="Arial"/>
          <w:color w:val="000000" w:themeColor="text1"/>
          <w:szCs w:val="16"/>
        </w:rPr>
      </w:pPr>
      <w:r w:rsidRPr="00781112">
        <w:rPr>
          <w:rFonts w:cs="Arial"/>
          <w:color w:val="000000" w:themeColor="text1"/>
          <w:szCs w:val="16"/>
        </w:rPr>
        <w:t>While a survey is not required for this indicator, a State using a survey must submit a copy of any new or revised survey with its SPP/APR.</w:t>
      </w:r>
    </w:p>
    <w:p w14:paraId="75233790" w14:textId="6A11D847" w:rsidR="004A6352" w:rsidRPr="00781112" w:rsidRDefault="002D7AD6" w:rsidP="004A6352">
      <w:pPr>
        <w:rPr>
          <w:rFonts w:cs="Arial"/>
          <w:szCs w:val="16"/>
        </w:rPr>
      </w:pPr>
      <w:r w:rsidRPr="00781112">
        <w:rPr>
          <w:rFonts w:cs="Arial"/>
          <w:color w:val="000000" w:themeColor="text1"/>
          <w:szCs w:val="16"/>
        </w:rPr>
        <w:t xml:space="preserve">Report the number of parents to whom the surveys were distributed </w:t>
      </w:r>
      <w:r w:rsidR="004A6352" w:rsidRPr="00781112">
        <w:rPr>
          <w:rFonts w:cs="Arial"/>
          <w:szCs w:val="16"/>
        </w:rPr>
        <w:t>and the number of respondent parents. The survey response rate is automatically calculated using the submitted data.</w:t>
      </w:r>
    </w:p>
    <w:p w14:paraId="4699B320" w14:textId="09E101F0" w:rsidR="009C74BD" w:rsidRDefault="009C74BD" w:rsidP="009C74BD">
      <w:pPr>
        <w:rPr>
          <w:rFonts w:cs="Arial"/>
          <w:szCs w:val="16"/>
        </w:rPr>
      </w:pPr>
      <w:r w:rsidRPr="00781112">
        <w:rPr>
          <w:rFonts w:cs="Arial"/>
          <w:szCs w:val="16"/>
        </w:rPr>
        <w:t>States must compare the response rate for the reporting year to the response rate for the previous year (e.g., in the FFY 2023 SPP/APR, compare the FFY 2023 response rate to the FFY 2022 response rate) and describe strategies that will be implemented which are expected to increase the response rate, particularly for those groups that are underrepresented.</w:t>
      </w:r>
    </w:p>
    <w:p w14:paraId="3BB52D43" w14:textId="77777777" w:rsidR="004D1797" w:rsidRPr="00BA3DBE" w:rsidRDefault="004D1797" w:rsidP="00BA3DBE">
      <w:pPr>
        <w:rPr>
          <w:rFonts w:cs="Arial"/>
          <w:color w:val="000000" w:themeColor="text1"/>
          <w:szCs w:val="16"/>
        </w:rPr>
      </w:pPr>
      <w:bookmarkStart w:id="43" w:name="_Hlk116647902"/>
      <w:r w:rsidRPr="00BA3DBE">
        <w:rPr>
          <w:rFonts w:cs="Arial"/>
          <w:color w:val="000000" w:themeColor="text1"/>
          <w:szCs w:val="16"/>
        </w:rPr>
        <w:t>The State must also analyze the response rate to identify potential nonresponse bias and take steps to reduce any identified bias and promote response from a broad cross-section of parents of children with disabilities.</w:t>
      </w:r>
    </w:p>
    <w:p w14:paraId="05793710" w14:textId="6D08B911" w:rsidR="006170BD" w:rsidRDefault="004D1797" w:rsidP="009C74BD">
      <w:r>
        <w:t>I</w:t>
      </w:r>
      <w:r w:rsidR="00DF5951">
        <w:t xml:space="preserve">nclude in the State’s analysis the extent to which the demographics of the children for whom parents responded are representative of the demographics of children receiving special education services. States must consider race/ethnicity. In addition, the State’s analysis must also include at least one of the following demographics: age of the student, disability category, gender, geographic location, and/or another demographic category approved through the stakeholder input process. </w:t>
      </w:r>
    </w:p>
    <w:p w14:paraId="4A1F1567" w14:textId="62D0F5F9" w:rsidR="00DF5951" w:rsidRDefault="00DF5951" w:rsidP="009C74BD">
      <w:r>
        <w:t xml:space="preserve">States must describe the metric used to determine representativeness (e.g., +/- 3% discrepancy in the proportion of responders compared to target group). </w:t>
      </w:r>
    </w:p>
    <w:p w14:paraId="64177BBB" w14:textId="77777777" w:rsidR="00DF5951" w:rsidRDefault="00DF5951" w:rsidP="009C74BD">
      <w:r>
        <w:t xml:space="preserve">If the analysis shows that the demographics of the children for whom parents responding are not representative of the demographics of children receiving special education services in the State, describe the strategies that the State will use to ensure that in the future the response data are representative of those demographics. In identifying such strategies, the State should consider factors such as how the State distributed the survey to parents (e.g., by mail, by e-mail, on-line, by telephone, in-person through school personnel), and how responses were collected. </w:t>
      </w:r>
    </w:p>
    <w:p w14:paraId="4D74BEFB" w14:textId="7AC91DF2" w:rsidR="00DF5951" w:rsidRPr="00781112" w:rsidRDefault="00DF5951" w:rsidP="009C74BD">
      <w:pPr>
        <w:rPr>
          <w:rFonts w:cs="Arial"/>
          <w:szCs w:val="16"/>
        </w:rPr>
      </w:pPr>
      <w:r>
        <w:t>States are encouraged to work in collaboration with their OSEP-funded parent centers in collecting data.</w:t>
      </w:r>
    </w:p>
    <w:bookmarkEnd w:id="43"/>
    <w:p w14:paraId="2EF00B98" w14:textId="1D44A6D0" w:rsidR="000B547A" w:rsidRPr="00781112" w:rsidRDefault="00752BAF" w:rsidP="005B40C0">
      <w:pPr>
        <w:pStyle w:val="Heading3"/>
      </w:pPr>
      <w:r w:rsidRPr="00781112">
        <w:t>8</w:t>
      </w:r>
      <w:r w:rsidR="001F6BAA" w:rsidRPr="00781112">
        <w:t xml:space="preserve"> </w:t>
      </w:r>
      <w:r w:rsidRPr="00781112">
        <w:t xml:space="preserve">- </w:t>
      </w:r>
      <w:r w:rsidR="000B547A" w:rsidRPr="00781112">
        <w:t>Indicator Data</w:t>
      </w:r>
    </w:p>
    <w:tbl>
      <w:tblPr>
        <w:tblStyle w:val="TableGrid"/>
        <w:tblW w:w="10800" w:type="dxa"/>
        <w:tblLook w:val="04A0" w:firstRow="1" w:lastRow="0" w:firstColumn="1" w:lastColumn="0" w:noHBand="0" w:noVBand="1"/>
        <w:tblCaption w:val="B08INDDATA"/>
      </w:tblPr>
      <w:tblGrid>
        <w:gridCol w:w="8324"/>
        <w:gridCol w:w="2476"/>
      </w:tblGrid>
      <w:tr w:rsidR="005C29F8" w:rsidRPr="00781112" w14:paraId="74873645" w14:textId="77777777" w:rsidTr="0033429D">
        <w:trPr>
          <w:tblHeader/>
        </w:trPr>
        <w:tc>
          <w:tcPr>
            <w:tcW w:w="8324" w:type="dxa"/>
          </w:tcPr>
          <w:p w14:paraId="08995901" w14:textId="6A8EBD47" w:rsidR="000B547A" w:rsidRPr="00781112" w:rsidRDefault="002E111A" w:rsidP="00286BDF">
            <w:pPr>
              <w:rPr>
                <w:rFonts w:cs="Arial"/>
                <w:b/>
                <w:bCs/>
                <w:color w:val="000000" w:themeColor="text1"/>
                <w:szCs w:val="16"/>
              </w:rPr>
            </w:pPr>
            <w:r w:rsidRPr="00781112">
              <w:rPr>
                <w:rFonts w:cs="Arial"/>
                <w:b/>
                <w:bCs/>
                <w:color w:val="000000" w:themeColor="text1"/>
                <w:szCs w:val="16"/>
              </w:rPr>
              <w:t>Question</w:t>
            </w:r>
          </w:p>
        </w:tc>
        <w:tc>
          <w:tcPr>
            <w:tcW w:w="2476" w:type="dxa"/>
          </w:tcPr>
          <w:p w14:paraId="7DF826E5" w14:textId="55897261" w:rsidR="000B547A" w:rsidRPr="00781112" w:rsidRDefault="000B547A" w:rsidP="001011BB">
            <w:pPr>
              <w:jc w:val="center"/>
              <w:rPr>
                <w:rFonts w:cs="Arial"/>
                <w:b/>
                <w:color w:val="000000" w:themeColor="text1"/>
                <w:szCs w:val="16"/>
              </w:rPr>
            </w:pPr>
            <w:r w:rsidRPr="00781112">
              <w:rPr>
                <w:rFonts w:cs="Arial"/>
                <w:b/>
                <w:color w:val="000000" w:themeColor="text1"/>
                <w:szCs w:val="16"/>
              </w:rPr>
              <w:t xml:space="preserve">Yes / No </w:t>
            </w:r>
          </w:p>
        </w:tc>
      </w:tr>
      <w:tr w:rsidR="005C29F8" w:rsidRPr="00781112" w14:paraId="1461C216" w14:textId="7FAEFB03" w:rsidTr="00487CBD">
        <w:trPr>
          <w:trHeight w:val="215"/>
        </w:trPr>
        <w:tc>
          <w:tcPr>
            <w:tcW w:w="8324" w:type="dxa"/>
          </w:tcPr>
          <w:p w14:paraId="443084C1" w14:textId="2A55FAF5" w:rsidR="000B547A" w:rsidRPr="00781112" w:rsidRDefault="000B547A" w:rsidP="00286BDF">
            <w:pPr>
              <w:rPr>
                <w:rFonts w:cs="Arial"/>
                <w:color w:val="000000" w:themeColor="text1"/>
                <w:szCs w:val="16"/>
              </w:rPr>
            </w:pPr>
            <w:r w:rsidRPr="00781112">
              <w:rPr>
                <w:rFonts w:cs="Arial"/>
                <w:color w:val="000000" w:themeColor="text1"/>
                <w:szCs w:val="16"/>
              </w:rPr>
              <w:t xml:space="preserve">Do you use a separate data collection methodology for preschool children? </w:t>
            </w:r>
          </w:p>
        </w:tc>
        <w:tc>
          <w:tcPr>
            <w:tcW w:w="2476" w:type="dxa"/>
          </w:tcPr>
          <w:p w14:paraId="11B72775" w14:textId="3F895E29" w:rsidR="000B547A"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382D466C" w14:textId="23B61DDF" w:rsidTr="00487CBD">
        <w:tc>
          <w:tcPr>
            <w:tcW w:w="8324" w:type="dxa"/>
          </w:tcPr>
          <w:p w14:paraId="3ABB22A7" w14:textId="34110540" w:rsidR="000B547A" w:rsidRPr="00781112" w:rsidRDefault="006603CA" w:rsidP="00286BDF">
            <w:pPr>
              <w:rPr>
                <w:rFonts w:cs="Arial"/>
                <w:color w:val="000000" w:themeColor="text1"/>
                <w:szCs w:val="16"/>
              </w:rPr>
            </w:pPr>
            <w:r w:rsidRPr="00781112">
              <w:rPr>
                <w:rFonts w:cs="Arial"/>
                <w:color w:val="000000" w:themeColor="text1"/>
                <w:szCs w:val="16"/>
              </w:rPr>
              <w:t>If yes, will you be providing the data for preschool children separately?</w:t>
            </w:r>
          </w:p>
        </w:tc>
        <w:tc>
          <w:tcPr>
            <w:tcW w:w="2476" w:type="dxa"/>
          </w:tcPr>
          <w:p w14:paraId="2D03EBC9" w14:textId="5CCCA5EA" w:rsidR="000B547A" w:rsidRPr="00781112" w:rsidRDefault="002B7490" w:rsidP="00A018D4">
            <w:pPr>
              <w:jc w:val="center"/>
              <w:rPr>
                <w:rFonts w:cs="Arial"/>
                <w:color w:val="000000" w:themeColor="text1"/>
                <w:szCs w:val="16"/>
              </w:rPr>
            </w:pPr>
            <w:r w:rsidRPr="00781112">
              <w:rPr>
                <w:rFonts w:cs="Arial"/>
                <w:color w:val="000000" w:themeColor="text1"/>
                <w:szCs w:val="16"/>
              </w:rPr>
              <w:t>YES</w:t>
            </w:r>
          </w:p>
        </w:tc>
      </w:tr>
    </w:tbl>
    <w:bookmarkEnd w:id="42"/>
    <w:p w14:paraId="4CE8E077" w14:textId="24912129" w:rsidR="00487CBD" w:rsidRPr="00781112" w:rsidRDefault="00487CBD" w:rsidP="00487CBD">
      <w:pPr>
        <w:rPr>
          <w:b/>
          <w:color w:val="000000" w:themeColor="text1"/>
        </w:rPr>
      </w:pPr>
      <w:r w:rsidRPr="00781112">
        <w:rPr>
          <w:b/>
          <w:color w:val="000000" w:themeColor="text1"/>
        </w:rPr>
        <w:t xml:space="preserve">Targets: Description of Stakeholder Input </w:t>
      </w:r>
    </w:p>
    <w:p w14:paraId="1CF8039C" w14:textId="30DA616B" w:rsidR="00487CBD" w:rsidRPr="00781112" w:rsidRDefault="00487CBD" w:rsidP="00487CBD">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w:t>
      </w:r>
      <w:r w:rsidRPr="00781112">
        <w:rPr>
          <w:rFonts w:cs="Arial"/>
          <w:color w:val="000000" w:themeColor="text1"/>
          <w:szCs w:val="16"/>
        </w:rPr>
        <w:lastRenderedPageBreak/>
        <w:t xml:space="preserve">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71AF2AFF" w14:textId="77777777" w:rsidR="00487CBD" w:rsidRPr="00781112" w:rsidRDefault="00487CBD" w:rsidP="00487CBD">
      <w:pPr>
        <w:rPr>
          <w:rFonts w:cs="Arial"/>
          <w:color w:val="000000" w:themeColor="text1"/>
          <w:szCs w:val="16"/>
        </w:rPr>
      </w:pPr>
    </w:p>
    <w:p w14:paraId="339F3968" w14:textId="6278D154" w:rsidR="008B600B" w:rsidRPr="00781112" w:rsidRDefault="008B600B" w:rsidP="004369B2">
      <w:pPr>
        <w:rPr>
          <w:rFonts w:cs="Arial"/>
          <w:color w:val="000000" w:themeColor="text1"/>
          <w:szCs w:val="16"/>
        </w:rPr>
      </w:pPr>
    </w:p>
    <w:p w14:paraId="75502588" w14:textId="77777777" w:rsidR="007E2779" w:rsidRPr="00781112" w:rsidRDefault="007E2779" w:rsidP="007E2779">
      <w:pPr>
        <w:pStyle w:val="Bold"/>
        <w:rPr>
          <w:color w:val="000000" w:themeColor="text1"/>
        </w:rPr>
      </w:pPr>
    </w:p>
    <w:p w14:paraId="727B6F00" w14:textId="79E68F2F" w:rsidR="008B600B" w:rsidRPr="00781112" w:rsidRDefault="005A338D"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08HISTDATAOPT2"/>
      </w:tblPr>
      <w:tblGrid>
        <w:gridCol w:w="1075"/>
        <w:gridCol w:w="1081"/>
        <w:gridCol w:w="809"/>
        <w:gridCol w:w="1565"/>
        <w:gridCol w:w="1565"/>
        <w:gridCol w:w="1565"/>
        <w:gridCol w:w="1565"/>
        <w:gridCol w:w="1565"/>
      </w:tblGrid>
      <w:tr w:rsidR="005C29F8" w:rsidRPr="00781112" w14:paraId="2D33FEF4" w14:textId="77777777" w:rsidTr="002B4D97">
        <w:trPr>
          <w:trHeight w:val="350"/>
        </w:trPr>
        <w:tc>
          <w:tcPr>
            <w:tcW w:w="498" w:type="pct"/>
            <w:tcBorders>
              <w:top w:val="single" w:sz="4" w:space="0" w:color="auto"/>
              <w:left w:val="single" w:sz="4" w:space="0" w:color="auto"/>
              <w:bottom w:val="single" w:sz="4" w:space="0" w:color="auto"/>
              <w:right w:val="single" w:sz="4" w:space="0" w:color="auto"/>
            </w:tcBorders>
            <w:shd w:val="clear" w:color="auto" w:fill="auto"/>
            <w:vAlign w:val="bottom"/>
          </w:tcPr>
          <w:p w14:paraId="5EB3EEFE" w14:textId="03A7695C" w:rsidR="005A338D" w:rsidRPr="00781112" w:rsidRDefault="00D05754" w:rsidP="005A338D">
            <w:pPr>
              <w:spacing w:line="276" w:lineRule="auto"/>
              <w:jc w:val="center"/>
              <w:rPr>
                <w:rFonts w:cs="Arial"/>
                <w:b/>
                <w:color w:val="000000" w:themeColor="text1"/>
                <w:szCs w:val="16"/>
              </w:rPr>
            </w:pPr>
            <w:r w:rsidRPr="00781112">
              <w:rPr>
                <w:rFonts w:cs="Arial"/>
                <w:b/>
                <w:color w:val="000000" w:themeColor="text1"/>
                <w:szCs w:val="16"/>
              </w:rPr>
              <w:t>Group</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tcPr>
          <w:p w14:paraId="37E4819B" w14:textId="655F9388" w:rsidR="005A338D" w:rsidRPr="00781112" w:rsidRDefault="005A338D" w:rsidP="005A338D">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544CF066" w14:textId="77777777" w:rsidR="005A338D" w:rsidRPr="00781112" w:rsidRDefault="005A338D" w:rsidP="005A338D">
            <w:pPr>
              <w:spacing w:line="276" w:lineRule="auto"/>
              <w:jc w:val="center"/>
              <w:rPr>
                <w:rFonts w:cs="Arial"/>
                <w:b/>
                <w:color w:val="000000" w:themeColor="text1"/>
                <w:szCs w:val="16"/>
              </w:rPr>
            </w:pPr>
            <w:r w:rsidRPr="00781112">
              <w:rPr>
                <w:rFonts w:cs="Arial"/>
                <w:b/>
                <w:color w:val="000000" w:themeColor="text1"/>
                <w:szCs w:val="16"/>
              </w:rPr>
              <w:t>FFY</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F51C6" w14:textId="7E09FE30"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2018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E0CECE" w14:textId="3FF827AD"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2019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16A7F52" w14:textId="0BA19F87"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2020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30F07" w14:textId="009C6F9A"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2021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48020" w14:textId="2BFD879A" w:rsidR="005A338D" w:rsidRPr="00781112" w:rsidRDefault="002B7490" w:rsidP="005A338D">
            <w:pPr>
              <w:spacing w:line="276" w:lineRule="auto"/>
              <w:jc w:val="center"/>
              <w:rPr>
                <w:rFonts w:cs="Arial"/>
                <w:b/>
                <w:color w:val="000000" w:themeColor="text1"/>
                <w:szCs w:val="16"/>
              </w:rPr>
            </w:pPr>
            <w:r w:rsidRPr="00781112">
              <w:rPr>
                <w:rFonts w:cs="Arial"/>
                <w:b/>
                <w:color w:val="000000" w:themeColor="text1"/>
                <w:szCs w:val="16"/>
              </w:rPr>
              <w:t>2022</w:t>
            </w:r>
          </w:p>
        </w:tc>
      </w:tr>
      <w:tr w:rsidR="005C29F8" w:rsidRPr="00781112" w14:paraId="6BDFBB6B" w14:textId="77777777" w:rsidTr="002B4D97">
        <w:trPr>
          <w:trHeight w:val="70"/>
        </w:trPr>
        <w:tc>
          <w:tcPr>
            <w:tcW w:w="498" w:type="pct"/>
            <w:tcBorders>
              <w:top w:val="single" w:sz="4" w:space="0" w:color="auto"/>
              <w:left w:val="single" w:sz="4" w:space="0" w:color="auto"/>
              <w:right w:val="single" w:sz="4" w:space="0" w:color="auto"/>
            </w:tcBorders>
            <w:shd w:val="clear" w:color="auto" w:fill="auto"/>
            <w:vAlign w:val="center"/>
          </w:tcPr>
          <w:p w14:paraId="3EC89A60" w14:textId="4FA54E8E" w:rsidR="005A338D" w:rsidRPr="00781112" w:rsidRDefault="005A338D" w:rsidP="004369B2">
            <w:pPr>
              <w:spacing w:line="276" w:lineRule="auto"/>
              <w:jc w:val="center"/>
              <w:rPr>
                <w:rFonts w:cs="Arial"/>
                <w:color w:val="000000" w:themeColor="text1"/>
                <w:szCs w:val="16"/>
              </w:rPr>
            </w:pPr>
            <w:r w:rsidRPr="00781112">
              <w:rPr>
                <w:rFonts w:cs="Arial"/>
                <w:color w:val="000000" w:themeColor="text1"/>
                <w:szCs w:val="16"/>
              </w:rPr>
              <w:t>Preschool</w:t>
            </w:r>
          </w:p>
        </w:tc>
        <w:tc>
          <w:tcPr>
            <w:tcW w:w="501" w:type="pct"/>
            <w:tcBorders>
              <w:top w:val="single" w:sz="4" w:space="0" w:color="auto"/>
              <w:left w:val="single" w:sz="4" w:space="0" w:color="auto"/>
              <w:right w:val="single" w:sz="4" w:space="0" w:color="auto"/>
            </w:tcBorders>
            <w:shd w:val="clear" w:color="auto" w:fill="auto"/>
          </w:tcPr>
          <w:p w14:paraId="30D73682" w14:textId="397B1726" w:rsidR="005A338D"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2E6B4" w14:textId="1EABBC06"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46695A30" w14:textId="4F3F96D0" w:rsidR="005A338D" w:rsidRPr="00781112" w:rsidRDefault="002B7490" w:rsidP="00A018D4">
            <w:pPr>
              <w:jc w:val="center"/>
              <w:rPr>
                <w:rFonts w:cs="Arial"/>
                <w:color w:val="000000" w:themeColor="text1"/>
                <w:szCs w:val="16"/>
              </w:rPr>
            </w:pPr>
            <w:r w:rsidRPr="00781112">
              <w:rPr>
                <w:rFonts w:cs="Arial"/>
                <w:color w:val="000000" w:themeColor="text1"/>
                <w:szCs w:val="16"/>
              </w:rPr>
              <w:t>85.68%</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52B5B243" w14:textId="6107E7F9" w:rsidR="005A338D" w:rsidRPr="00781112" w:rsidRDefault="002B7490" w:rsidP="00A018D4">
            <w:pPr>
              <w:jc w:val="center"/>
              <w:rPr>
                <w:rFonts w:cs="Arial"/>
                <w:color w:val="000000" w:themeColor="text1"/>
                <w:szCs w:val="16"/>
              </w:rPr>
            </w:pPr>
            <w:r w:rsidRPr="00781112">
              <w:rPr>
                <w:rFonts w:cs="Arial"/>
                <w:color w:val="000000" w:themeColor="text1"/>
                <w:szCs w:val="16"/>
              </w:rPr>
              <w:t>85.68%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F84917A" w14:textId="5FE4F2AA" w:rsidR="005A338D" w:rsidRPr="00781112" w:rsidRDefault="002B7490" w:rsidP="00A018D4">
            <w:pPr>
              <w:jc w:val="center"/>
              <w:rPr>
                <w:rFonts w:cs="Arial"/>
                <w:color w:val="000000" w:themeColor="text1"/>
                <w:szCs w:val="16"/>
              </w:rPr>
            </w:pPr>
            <w:r w:rsidRPr="00781112">
              <w:rPr>
                <w:rFonts w:cs="Arial"/>
                <w:color w:val="000000" w:themeColor="text1"/>
                <w:szCs w:val="16"/>
              </w:rPr>
              <w:t>88.99%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BCDC6B1" w14:textId="6CC00003" w:rsidR="005A338D" w:rsidRPr="00781112" w:rsidRDefault="002B7490" w:rsidP="00A018D4">
            <w:pPr>
              <w:jc w:val="center"/>
              <w:rPr>
                <w:rFonts w:cs="Arial"/>
                <w:color w:val="000000" w:themeColor="text1"/>
                <w:szCs w:val="16"/>
              </w:rPr>
            </w:pPr>
            <w:r w:rsidRPr="00781112">
              <w:rPr>
                <w:rFonts w:cs="Arial"/>
                <w:color w:val="000000" w:themeColor="text1"/>
                <w:szCs w:val="16"/>
              </w:rPr>
              <w:t>89.31%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04C582E" w14:textId="20B89267" w:rsidR="005A338D" w:rsidRPr="00781112" w:rsidRDefault="002B7490" w:rsidP="00A018D4">
            <w:pPr>
              <w:jc w:val="center"/>
              <w:rPr>
                <w:rFonts w:cs="Arial"/>
                <w:color w:val="000000" w:themeColor="text1"/>
                <w:szCs w:val="16"/>
              </w:rPr>
            </w:pPr>
            <w:r w:rsidRPr="00781112">
              <w:rPr>
                <w:rFonts w:cs="Arial"/>
                <w:color w:val="000000" w:themeColor="text1"/>
                <w:szCs w:val="16"/>
              </w:rPr>
              <w:t>89.79%</w:t>
            </w:r>
          </w:p>
        </w:tc>
      </w:tr>
      <w:tr w:rsidR="005C29F8" w:rsidRPr="00781112" w14:paraId="5BE01A6E" w14:textId="77777777" w:rsidTr="002B4D97">
        <w:trPr>
          <w:trHeight w:val="85"/>
        </w:trPr>
        <w:tc>
          <w:tcPr>
            <w:tcW w:w="498" w:type="pct"/>
            <w:tcBorders>
              <w:left w:val="single" w:sz="4" w:space="0" w:color="auto"/>
              <w:right w:val="single" w:sz="4" w:space="0" w:color="auto"/>
            </w:tcBorders>
            <w:shd w:val="clear" w:color="auto" w:fill="auto"/>
          </w:tcPr>
          <w:p w14:paraId="0125E87E" w14:textId="5AB29B88" w:rsidR="005A338D" w:rsidRPr="00781112" w:rsidRDefault="00230EE6" w:rsidP="004369B2">
            <w:pPr>
              <w:spacing w:line="276" w:lineRule="auto"/>
              <w:jc w:val="center"/>
              <w:rPr>
                <w:rFonts w:cs="Arial"/>
                <w:color w:val="000000" w:themeColor="text1"/>
                <w:szCs w:val="16"/>
              </w:rPr>
            </w:pPr>
            <w:r w:rsidRPr="00781112">
              <w:rPr>
                <w:rFonts w:cs="Arial"/>
                <w:color w:val="000000" w:themeColor="text1"/>
                <w:szCs w:val="16"/>
              </w:rPr>
              <w:t>Preschool</w:t>
            </w:r>
          </w:p>
        </w:tc>
        <w:tc>
          <w:tcPr>
            <w:tcW w:w="501" w:type="pct"/>
            <w:tcBorders>
              <w:left w:val="single" w:sz="4" w:space="0" w:color="auto"/>
              <w:right w:val="single" w:sz="4" w:space="0" w:color="auto"/>
            </w:tcBorders>
            <w:shd w:val="clear" w:color="auto" w:fill="auto"/>
          </w:tcPr>
          <w:p w14:paraId="2654DD8D" w14:textId="0A21E59E" w:rsidR="005A338D" w:rsidRPr="00781112" w:rsidRDefault="002B7490" w:rsidP="00A018D4">
            <w:pPr>
              <w:jc w:val="center"/>
              <w:rPr>
                <w:rFonts w:cs="Arial"/>
                <w:color w:val="000000" w:themeColor="text1"/>
                <w:szCs w:val="16"/>
              </w:rPr>
            </w:pPr>
            <w:r w:rsidRPr="00781112">
              <w:rPr>
                <w:rFonts w:cs="Arial"/>
                <w:color w:val="000000" w:themeColor="text1"/>
                <w:szCs w:val="16"/>
              </w:rPr>
              <w:t>82.18%</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C43168" w14:textId="77777777"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21A83731" w14:textId="348F41D2" w:rsidR="005A338D" w:rsidRPr="00781112" w:rsidRDefault="002B7490" w:rsidP="00A018D4">
            <w:pPr>
              <w:jc w:val="center"/>
              <w:rPr>
                <w:rFonts w:cs="Arial"/>
                <w:color w:val="000000" w:themeColor="text1"/>
                <w:szCs w:val="16"/>
              </w:rPr>
            </w:pPr>
            <w:r w:rsidRPr="00781112">
              <w:rPr>
                <w:rFonts w:cs="Arial"/>
                <w:color w:val="000000" w:themeColor="text1"/>
                <w:szCs w:val="16"/>
              </w:rPr>
              <w:t>84.59%</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4D5A0ACF" w14:textId="15CB8B48" w:rsidR="005A338D" w:rsidRPr="00781112" w:rsidRDefault="002B7490" w:rsidP="00A018D4">
            <w:pPr>
              <w:jc w:val="center"/>
              <w:rPr>
                <w:rFonts w:cs="Arial"/>
                <w:color w:val="000000" w:themeColor="text1"/>
                <w:szCs w:val="16"/>
              </w:rPr>
            </w:pPr>
            <w:r w:rsidRPr="00781112">
              <w:rPr>
                <w:rFonts w:cs="Arial"/>
                <w:color w:val="000000" w:themeColor="text1"/>
                <w:szCs w:val="16"/>
              </w:rPr>
              <w:t>88.79%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25D8BA5" w14:textId="09C400D5" w:rsidR="005A338D" w:rsidRPr="00781112" w:rsidRDefault="002B7490" w:rsidP="00A018D4">
            <w:pPr>
              <w:jc w:val="center"/>
              <w:rPr>
                <w:rFonts w:cs="Arial"/>
                <w:color w:val="000000" w:themeColor="text1"/>
                <w:szCs w:val="16"/>
              </w:rPr>
            </w:pPr>
            <w:r w:rsidRPr="00781112">
              <w:rPr>
                <w:rFonts w:cs="Arial"/>
                <w:color w:val="000000" w:themeColor="text1"/>
                <w:szCs w:val="16"/>
              </w:rPr>
              <w:t>89.34%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9C2EC0B" w14:textId="7AAF32B9" w:rsidR="005A338D" w:rsidRPr="00781112" w:rsidRDefault="002B7490" w:rsidP="00A018D4">
            <w:pPr>
              <w:jc w:val="center"/>
              <w:rPr>
                <w:rFonts w:cs="Arial"/>
                <w:color w:val="000000" w:themeColor="text1"/>
                <w:szCs w:val="16"/>
              </w:rPr>
            </w:pPr>
            <w:r w:rsidRPr="00781112">
              <w:rPr>
                <w:rFonts w:cs="Arial"/>
                <w:color w:val="000000" w:themeColor="text1"/>
                <w:szCs w:val="16"/>
              </w:rPr>
              <w:t>83.90%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5E63731" w14:textId="7F8AF13B" w:rsidR="005A338D" w:rsidRPr="00781112" w:rsidRDefault="002B7490" w:rsidP="00A018D4">
            <w:pPr>
              <w:jc w:val="center"/>
              <w:rPr>
                <w:rFonts w:cs="Arial"/>
                <w:color w:val="000000" w:themeColor="text1"/>
                <w:szCs w:val="16"/>
              </w:rPr>
            </w:pPr>
            <w:r w:rsidRPr="00781112">
              <w:rPr>
                <w:rFonts w:cs="Arial"/>
                <w:color w:val="000000" w:themeColor="text1"/>
                <w:szCs w:val="16"/>
              </w:rPr>
              <w:t>85.15%</w:t>
            </w:r>
          </w:p>
        </w:tc>
      </w:tr>
      <w:tr w:rsidR="005C29F8" w:rsidRPr="00781112" w14:paraId="057E693C" w14:textId="77777777" w:rsidTr="002B4D97">
        <w:trPr>
          <w:trHeight w:val="357"/>
        </w:trPr>
        <w:tc>
          <w:tcPr>
            <w:tcW w:w="498" w:type="pct"/>
            <w:tcBorders>
              <w:top w:val="single" w:sz="4" w:space="0" w:color="auto"/>
              <w:left w:val="single" w:sz="4" w:space="0" w:color="auto"/>
              <w:right w:val="single" w:sz="4" w:space="0" w:color="auto"/>
            </w:tcBorders>
            <w:shd w:val="clear" w:color="auto" w:fill="auto"/>
            <w:vAlign w:val="center"/>
          </w:tcPr>
          <w:p w14:paraId="3F62E0AD" w14:textId="04C6C51F" w:rsidR="005A338D" w:rsidRPr="00781112" w:rsidRDefault="005A338D" w:rsidP="004369B2">
            <w:pPr>
              <w:spacing w:line="276" w:lineRule="auto"/>
              <w:jc w:val="center"/>
              <w:rPr>
                <w:rFonts w:cs="Arial"/>
                <w:color w:val="000000" w:themeColor="text1"/>
                <w:szCs w:val="16"/>
              </w:rPr>
            </w:pPr>
            <w:r w:rsidRPr="00781112">
              <w:rPr>
                <w:rFonts w:cs="Arial"/>
                <w:color w:val="000000" w:themeColor="text1"/>
                <w:szCs w:val="16"/>
              </w:rPr>
              <w:t>School age</w:t>
            </w:r>
          </w:p>
        </w:tc>
        <w:tc>
          <w:tcPr>
            <w:tcW w:w="501" w:type="pct"/>
            <w:tcBorders>
              <w:top w:val="single" w:sz="4" w:space="0" w:color="auto"/>
              <w:left w:val="single" w:sz="4" w:space="0" w:color="auto"/>
              <w:right w:val="single" w:sz="4" w:space="0" w:color="auto"/>
            </w:tcBorders>
            <w:shd w:val="clear" w:color="auto" w:fill="auto"/>
          </w:tcPr>
          <w:p w14:paraId="4F522A35" w14:textId="3619BD83" w:rsidR="005A338D" w:rsidRPr="00781112" w:rsidRDefault="002B7490" w:rsidP="00A018D4">
            <w:pPr>
              <w:jc w:val="center"/>
              <w:rPr>
                <w:rFonts w:cs="Arial"/>
                <w:color w:val="000000" w:themeColor="text1"/>
                <w:szCs w:val="16"/>
              </w:rPr>
            </w:pPr>
            <w:r w:rsidRPr="00781112">
              <w:rPr>
                <w:rFonts w:cs="Arial"/>
                <w:color w:val="000000" w:themeColor="text1"/>
                <w:szCs w:val="16"/>
              </w:rPr>
              <w:t>2014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A1989" w14:textId="68AC0ADC"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50224DEC" w14:textId="025958BD" w:rsidR="005A338D" w:rsidRPr="00781112" w:rsidRDefault="002B7490" w:rsidP="00A018D4">
            <w:pPr>
              <w:jc w:val="center"/>
              <w:rPr>
                <w:rFonts w:cs="Arial"/>
                <w:color w:val="000000" w:themeColor="text1"/>
                <w:szCs w:val="16"/>
              </w:rPr>
            </w:pPr>
            <w:r w:rsidRPr="00781112">
              <w:rPr>
                <w:rFonts w:cs="Arial"/>
                <w:color w:val="000000" w:themeColor="text1"/>
                <w:szCs w:val="16"/>
              </w:rPr>
              <w:t>81.23%</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4F143691" w14:textId="7FE45612" w:rsidR="005A338D" w:rsidRPr="00781112" w:rsidRDefault="002B7490" w:rsidP="00A018D4">
            <w:pPr>
              <w:jc w:val="center"/>
              <w:rPr>
                <w:rFonts w:cs="Arial"/>
                <w:color w:val="000000" w:themeColor="text1"/>
                <w:szCs w:val="16"/>
              </w:rPr>
            </w:pPr>
            <w:r w:rsidRPr="00781112">
              <w:rPr>
                <w:rFonts w:cs="Arial"/>
                <w:color w:val="000000" w:themeColor="text1"/>
                <w:szCs w:val="16"/>
              </w:rPr>
              <w:t>81.23%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57E3EBA" w14:textId="5F33BE5E" w:rsidR="005A338D" w:rsidRPr="00781112" w:rsidRDefault="002B7490" w:rsidP="00A018D4">
            <w:pPr>
              <w:jc w:val="center"/>
              <w:rPr>
                <w:rFonts w:cs="Arial"/>
                <w:color w:val="000000" w:themeColor="text1"/>
                <w:szCs w:val="16"/>
              </w:rPr>
            </w:pPr>
            <w:r w:rsidRPr="00781112">
              <w:rPr>
                <w:rFonts w:cs="Arial"/>
                <w:color w:val="000000" w:themeColor="text1"/>
                <w:szCs w:val="16"/>
              </w:rPr>
              <w:t>83.56%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7394E8B" w14:textId="4AE64919" w:rsidR="005A338D" w:rsidRPr="00781112" w:rsidRDefault="002B7490" w:rsidP="00A018D4">
            <w:pPr>
              <w:jc w:val="center"/>
              <w:rPr>
                <w:rFonts w:cs="Arial"/>
                <w:color w:val="000000" w:themeColor="text1"/>
                <w:szCs w:val="16"/>
              </w:rPr>
            </w:pPr>
            <w:r w:rsidRPr="00781112">
              <w:rPr>
                <w:rFonts w:cs="Arial"/>
                <w:color w:val="000000" w:themeColor="text1"/>
                <w:szCs w:val="16"/>
              </w:rPr>
              <w:t>84.45%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C8716B2" w14:textId="0C095DB4" w:rsidR="005A338D" w:rsidRPr="00781112" w:rsidRDefault="002B7490" w:rsidP="00A018D4">
            <w:pPr>
              <w:jc w:val="center"/>
              <w:rPr>
                <w:rFonts w:cs="Arial"/>
                <w:color w:val="000000" w:themeColor="text1"/>
                <w:szCs w:val="16"/>
              </w:rPr>
            </w:pPr>
            <w:r w:rsidRPr="00781112">
              <w:rPr>
                <w:rFonts w:cs="Arial"/>
                <w:color w:val="000000" w:themeColor="text1"/>
                <w:szCs w:val="16"/>
              </w:rPr>
              <w:t>85.34%</w:t>
            </w:r>
          </w:p>
        </w:tc>
      </w:tr>
      <w:tr w:rsidR="005C29F8" w:rsidRPr="00781112" w14:paraId="50EE8305" w14:textId="77777777" w:rsidTr="002B4D97">
        <w:trPr>
          <w:trHeight w:val="85"/>
        </w:trPr>
        <w:tc>
          <w:tcPr>
            <w:tcW w:w="498" w:type="pct"/>
            <w:tcBorders>
              <w:left w:val="single" w:sz="4" w:space="0" w:color="auto"/>
              <w:right w:val="single" w:sz="4" w:space="0" w:color="auto"/>
            </w:tcBorders>
            <w:shd w:val="clear" w:color="auto" w:fill="auto"/>
          </w:tcPr>
          <w:p w14:paraId="5D97C99C" w14:textId="4A9B199D" w:rsidR="005A338D" w:rsidRPr="00781112" w:rsidRDefault="00230EE6" w:rsidP="004369B2">
            <w:pPr>
              <w:spacing w:line="276" w:lineRule="auto"/>
              <w:jc w:val="center"/>
              <w:rPr>
                <w:rFonts w:cs="Arial"/>
                <w:color w:val="000000" w:themeColor="text1"/>
                <w:szCs w:val="16"/>
              </w:rPr>
            </w:pPr>
            <w:r w:rsidRPr="00781112">
              <w:rPr>
                <w:rFonts w:cs="Arial"/>
                <w:color w:val="000000" w:themeColor="text1"/>
                <w:szCs w:val="16"/>
              </w:rPr>
              <w:t>School age</w:t>
            </w:r>
          </w:p>
        </w:tc>
        <w:tc>
          <w:tcPr>
            <w:tcW w:w="501" w:type="pct"/>
            <w:tcBorders>
              <w:left w:val="single" w:sz="4" w:space="0" w:color="auto"/>
              <w:right w:val="single" w:sz="4" w:space="0" w:color="auto"/>
            </w:tcBorders>
            <w:shd w:val="clear" w:color="auto" w:fill="auto"/>
          </w:tcPr>
          <w:p w14:paraId="231E42F6" w14:textId="5F4BE78D" w:rsidR="005A338D" w:rsidRPr="00781112" w:rsidRDefault="002B7490" w:rsidP="00A018D4">
            <w:pPr>
              <w:jc w:val="center"/>
              <w:rPr>
                <w:rFonts w:cs="Arial"/>
                <w:color w:val="000000" w:themeColor="text1"/>
                <w:szCs w:val="16"/>
              </w:rPr>
            </w:pPr>
            <w:r w:rsidRPr="00781112">
              <w:rPr>
                <w:rFonts w:cs="Arial"/>
                <w:color w:val="000000" w:themeColor="text1"/>
                <w:szCs w:val="16"/>
              </w:rPr>
              <w:t>76.23%</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B9050" w14:textId="77777777" w:rsidR="005A338D" w:rsidRPr="00781112" w:rsidRDefault="005A338D"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7FDC28B2" w14:textId="3B16D415" w:rsidR="005A338D" w:rsidRPr="00781112" w:rsidRDefault="002B7490" w:rsidP="00A018D4">
            <w:pPr>
              <w:jc w:val="center"/>
              <w:rPr>
                <w:rFonts w:cs="Arial"/>
                <w:color w:val="000000" w:themeColor="text1"/>
                <w:szCs w:val="16"/>
              </w:rPr>
            </w:pPr>
            <w:r w:rsidRPr="00781112">
              <w:rPr>
                <w:rFonts w:cs="Arial"/>
                <w:color w:val="000000" w:themeColor="text1"/>
                <w:szCs w:val="16"/>
              </w:rPr>
              <w:t>78.98%</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3C123A7D" w14:textId="3AF3E75F" w:rsidR="005A338D" w:rsidRPr="00781112" w:rsidRDefault="002B7490" w:rsidP="00A018D4">
            <w:pPr>
              <w:jc w:val="center"/>
              <w:rPr>
                <w:rFonts w:cs="Arial"/>
                <w:color w:val="000000" w:themeColor="text1"/>
                <w:szCs w:val="16"/>
              </w:rPr>
            </w:pPr>
            <w:r w:rsidRPr="00781112">
              <w:rPr>
                <w:rFonts w:cs="Arial"/>
                <w:color w:val="000000" w:themeColor="text1"/>
                <w:szCs w:val="16"/>
              </w:rPr>
              <w:t>83.54%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25A90C6" w14:textId="2AC847D2" w:rsidR="005A338D" w:rsidRPr="00781112" w:rsidRDefault="002B7490" w:rsidP="00A018D4">
            <w:pPr>
              <w:jc w:val="center"/>
              <w:rPr>
                <w:rFonts w:cs="Arial"/>
                <w:color w:val="000000" w:themeColor="text1"/>
                <w:szCs w:val="16"/>
              </w:rPr>
            </w:pPr>
            <w:r w:rsidRPr="00781112">
              <w:rPr>
                <w:rFonts w:cs="Arial"/>
                <w:color w:val="000000" w:themeColor="text1"/>
                <w:szCs w:val="16"/>
              </w:rPr>
              <w:t>78.49%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770BAB9" w14:textId="78D4A5BF" w:rsidR="005A338D" w:rsidRPr="00781112" w:rsidRDefault="002B7490" w:rsidP="00A018D4">
            <w:pPr>
              <w:jc w:val="center"/>
              <w:rPr>
                <w:rFonts w:cs="Arial"/>
                <w:color w:val="000000" w:themeColor="text1"/>
                <w:szCs w:val="16"/>
              </w:rPr>
            </w:pPr>
            <w:r w:rsidRPr="00781112">
              <w:rPr>
                <w:rFonts w:cs="Arial"/>
                <w:color w:val="000000" w:themeColor="text1"/>
                <w:szCs w:val="16"/>
              </w:rPr>
              <w:t>76.80%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AB806EE" w14:textId="1DA5CDFC" w:rsidR="005A338D" w:rsidRPr="00781112" w:rsidRDefault="002B7490" w:rsidP="00A018D4">
            <w:pPr>
              <w:jc w:val="center"/>
              <w:rPr>
                <w:rFonts w:cs="Arial"/>
                <w:color w:val="000000" w:themeColor="text1"/>
                <w:szCs w:val="16"/>
              </w:rPr>
            </w:pPr>
            <w:r w:rsidRPr="00781112">
              <w:rPr>
                <w:rFonts w:cs="Arial"/>
                <w:color w:val="000000" w:themeColor="text1"/>
                <w:szCs w:val="16"/>
              </w:rPr>
              <w:t>72.84%</w:t>
            </w:r>
          </w:p>
        </w:tc>
      </w:tr>
    </w:tbl>
    <w:p w14:paraId="63401A30" w14:textId="77777777" w:rsidR="000417B4" w:rsidRPr="00781112" w:rsidRDefault="000417B4" w:rsidP="004369B2">
      <w:pPr>
        <w:rPr>
          <w:color w:val="000000" w:themeColor="text1"/>
        </w:rPr>
      </w:pPr>
    </w:p>
    <w:p w14:paraId="64041579" w14:textId="06E03AE5" w:rsidR="00A80FEB" w:rsidRPr="00781112" w:rsidRDefault="00A80FEB" w:rsidP="004369B2">
      <w:pPr>
        <w:rPr>
          <w:color w:val="000000" w:themeColor="text1"/>
        </w:rPr>
      </w:pPr>
      <w:r w:rsidRPr="00781112">
        <w:rPr>
          <w:b/>
          <w:color w:val="000000" w:themeColor="text1"/>
        </w:rPr>
        <w:t>Targets</w:t>
      </w:r>
    </w:p>
    <w:tbl>
      <w:tblPr>
        <w:tblW w:w="2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8TARGETSOPT2"/>
      </w:tblPr>
      <w:tblGrid>
        <w:gridCol w:w="886"/>
        <w:gridCol w:w="1652"/>
        <w:gridCol w:w="1652"/>
        <w:gridCol w:w="1650"/>
      </w:tblGrid>
      <w:tr w:rsidR="00AC3EF2" w:rsidRPr="00781112" w14:paraId="40E7CBAD" w14:textId="2F3423DB" w:rsidTr="00FE4611">
        <w:trPr>
          <w:trHeight w:val="350"/>
        </w:trPr>
        <w:tc>
          <w:tcPr>
            <w:tcW w:w="759" w:type="pct"/>
            <w:tcBorders>
              <w:bottom w:val="single" w:sz="4" w:space="0" w:color="auto"/>
            </w:tcBorders>
            <w:shd w:val="clear" w:color="auto" w:fill="auto"/>
          </w:tcPr>
          <w:p w14:paraId="58C1A5E2" w14:textId="77777777" w:rsidR="00AC3EF2" w:rsidRPr="00781112" w:rsidRDefault="00AC3EF2" w:rsidP="000F0FCB">
            <w:pPr>
              <w:jc w:val="center"/>
              <w:rPr>
                <w:b/>
                <w:color w:val="000000" w:themeColor="text1"/>
              </w:rPr>
            </w:pPr>
            <w:r w:rsidRPr="00781112">
              <w:rPr>
                <w:b/>
                <w:color w:val="000000" w:themeColor="text1"/>
              </w:rPr>
              <w:t>FFY</w:t>
            </w:r>
          </w:p>
        </w:tc>
        <w:tc>
          <w:tcPr>
            <w:tcW w:w="1414" w:type="pct"/>
            <w:shd w:val="clear" w:color="auto" w:fill="auto"/>
            <w:vAlign w:val="center"/>
          </w:tcPr>
          <w:p w14:paraId="1805BFB9" w14:textId="40FB7546" w:rsidR="00AC3EF2" w:rsidRPr="00781112" w:rsidRDefault="00AC3EF2" w:rsidP="000F0FCB">
            <w:pPr>
              <w:jc w:val="center"/>
              <w:rPr>
                <w:b/>
                <w:color w:val="000000" w:themeColor="text1"/>
              </w:rPr>
            </w:pPr>
            <w:r w:rsidRPr="00781112">
              <w:rPr>
                <w:b/>
                <w:color w:val="000000" w:themeColor="text1"/>
              </w:rPr>
              <w:t>2023</w:t>
            </w:r>
          </w:p>
        </w:tc>
        <w:tc>
          <w:tcPr>
            <w:tcW w:w="1414" w:type="pct"/>
          </w:tcPr>
          <w:p w14:paraId="6A0DC1ED" w14:textId="1017ADE4" w:rsidR="00AC3EF2" w:rsidRPr="00781112" w:rsidRDefault="00AC3EF2" w:rsidP="000F0FCB">
            <w:pPr>
              <w:jc w:val="center"/>
              <w:rPr>
                <w:b/>
                <w:color w:val="000000" w:themeColor="text1"/>
              </w:rPr>
            </w:pPr>
            <w:r w:rsidRPr="00781112">
              <w:rPr>
                <w:rFonts w:cs="Arial"/>
                <w:b/>
                <w:color w:val="000000" w:themeColor="text1"/>
                <w:szCs w:val="16"/>
              </w:rPr>
              <w:t>2024</w:t>
            </w:r>
          </w:p>
        </w:tc>
        <w:tc>
          <w:tcPr>
            <w:tcW w:w="1414" w:type="pct"/>
          </w:tcPr>
          <w:p w14:paraId="2CD59A68" w14:textId="7776BA99" w:rsidR="00AC3EF2" w:rsidRPr="00781112" w:rsidRDefault="00AC3EF2" w:rsidP="000F0FCB">
            <w:pPr>
              <w:jc w:val="center"/>
              <w:rPr>
                <w:b/>
                <w:color w:val="000000" w:themeColor="text1"/>
              </w:rPr>
            </w:pPr>
            <w:r w:rsidRPr="00781112">
              <w:rPr>
                <w:rFonts w:cs="Arial"/>
                <w:b/>
                <w:color w:val="000000" w:themeColor="text1"/>
                <w:szCs w:val="16"/>
              </w:rPr>
              <w:t>2025</w:t>
            </w:r>
          </w:p>
        </w:tc>
      </w:tr>
      <w:tr w:rsidR="00AC3EF2" w:rsidRPr="00781112" w14:paraId="63497877" w14:textId="6C8B3858" w:rsidTr="00FE4611">
        <w:trPr>
          <w:trHeight w:val="357"/>
        </w:trPr>
        <w:tc>
          <w:tcPr>
            <w:tcW w:w="759" w:type="pct"/>
            <w:shd w:val="clear" w:color="auto" w:fill="auto"/>
          </w:tcPr>
          <w:p w14:paraId="177D86BD" w14:textId="75CEEFE5" w:rsidR="00AC3EF2" w:rsidRPr="00781112" w:rsidRDefault="00AC3EF2" w:rsidP="00BA3DBE">
            <w:pPr>
              <w:jc w:val="center"/>
              <w:rPr>
                <w:rFonts w:cs="Arial"/>
                <w:color w:val="000000" w:themeColor="text1"/>
                <w:szCs w:val="16"/>
              </w:rPr>
            </w:pPr>
            <w:r w:rsidRPr="00781112">
              <w:rPr>
                <w:rFonts w:cs="Arial"/>
                <w:color w:val="000000" w:themeColor="text1"/>
                <w:szCs w:val="16"/>
              </w:rPr>
              <w:t>Target A &gt;=</w:t>
            </w:r>
          </w:p>
        </w:tc>
        <w:tc>
          <w:tcPr>
            <w:tcW w:w="1414" w:type="pct"/>
            <w:shd w:val="clear" w:color="auto" w:fill="auto"/>
            <w:vAlign w:val="center"/>
          </w:tcPr>
          <w:p w14:paraId="45A6C0CC" w14:textId="7B92BE4D" w:rsidR="00AC3EF2" w:rsidRPr="00781112" w:rsidRDefault="00AC3EF2" w:rsidP="000F0FCB">
            <w:pPr>
              <w:jc w:val="center"/>
              <w:rPr>
                <w:rFonts w:cs="Arial"/>
                <w:color w:val="000000" w:themeColor="text1"/>
                <w:szCs w:val="16"/>
              </w:rPr>
            </w:pPr>
            <w:r w:rsidRPr="00781112">
              <w:rPr>
                <w:rFonts w:cs="Arial"/>
                <w:color w:val="000000" w:themeColor="text1"/>
                <w:szCs w:val="16"/>
              </w:rPr>
              <w:t>90.20%</w:t>
            </w:r>
          </w:p>
        </w:tc>
        <w:tc>
          <w:tcPr>
            <w:tcW w:w="1414" w:type="pct"/>
            <w:vAlign w:val="center"/>
          </w:tcPr>
          <w:p w14:paraId="79CAFD63" w14:textId="032B919D" w:rsidR="00AC3EF2" w:rsidRPr="00781112" w:rsidRDefault="00AC3EF2" w:rsidP="000F0FCB">
            <w:pPr>
              <w:jc w:val="center"/>
              <w:rPr>
                <w:rFonts w:cs="Arial"/>
                <w:color w:val="000000" w:themeColor="text1"/>
                <w:szCs w:val="16"/>
              </w:rPr>
            </w:pPr>
            <w:r w:rsidRPr="00781112">
              <w:rPr>
                <w:rFonts w:cs="Arial"/>
                <w:color w:val="000000" w:themeColor="text1"/>
                <w:szCs w:val="16"/>
              </w:rPr>
              <w:t>90.60%</w:t>
            </w:r>
          </w:p>
        </w:tc>
        <w:tc>
          <w:tcPr>
            <w:tcW w:w="1414" w:type="pct"/>
            <w:vAlign w:val="center"/>
          </w:tcPr>
          <w:p w14:paraId="7B67B772" w14:textId="397DF5D3" w:rsidR="00AC3EF2" w:rsidRPr="00781112" w:rsidRDefault="00AC3EF2" w:rsidP="000F0FCB">
            <w:pPr>
              <w:jc w:val="center"/>
              <w:rPr>
                <w:rFonts w:cs="Arial"/>
                <w:color w:val="000000" w:themeColor="text1"/>
                <w:szCs w:val="16"/>
              </w:rPr>
            </w:pPr>
            <w:r w:rsidRPr="00781112">
              <w:rPr>
                <w:rFonts w:cs="Arial"/>
                <w:color w:val="000000" w:themeColor="text1"/>
                <w:szCs w:val="16"/>
              </w:rPr>
              <w:t>91.00%</w:t>
            </w:r>
          </w:p>
        </w:tc>
      </w:tr>
      <w:tr w:rsidR="00AC3EF2" w:rsidRPr="00781112" w14:paraId="2317B2F5" w14:textId="205DD1BC" w:rsidTr="00FE4611">
        <w:trPr>
          <w:trHeight w:val="357"/>
        </w:trPr>
        <w:tc>
          <w:tcPr>
            <w:tcW w:w="759" w:type="pct"/>
            <w:shd w:val="clear" w:color="auto" w:fill="auto"/>
          </w:tcPr>
          <w:p w14:paraId="149F53A9" w14:textId="68CCB85F" w:rsidR="00AC3EF2" w:rsidRPr="00781112" w:rsidRDefault="00AC3EF2" w:rsidP="00BA3DBE">
            <w:pPr>
              <w:jc w:val="center"/>
              <w:rPr>
                <w:rFonts w:cs="Arial"/>
                <w:color w:val="000000" w:themeColor="text1"/>
                <w:szCs w:val="16"/>
              </w:rPr>
            </w:pPr>
            <w:r w:rsidRPr="00781112">
              <w:rPr>
                <w:rFonts w:cs="Arial"/>
                <w:color w:val="000000" w:themeColor="text1"/>
                <w:szCs w:val="16"/>
              </w:rPr>
              <w:t>Target B &gt;=</w:t>
            </w:r>
          </w:p>
        </w:tc>
        <w:tc>
          <w:tcPr>
            <w:tcW w:w="1414" w:type="pct"/>
            <w:shd w:val="clear" w:color="auto" w:fill="auto"/>
            <w:vAlign w:val="center"/>
          </w:tcPr>
          <w:p w14:paraId="3F59397C" w14:textId="77CD5E97" w:rsidR="00AC3EF2" w:rsidRPr="00781112" w:rsidRDefault="00AC3EF2" w:rsidP="000F0FCB">
            <w:pPr>
              <w:jc w:val="center"/>
              <w:rPr>
                <w:rFonts w:cs="Arial"/>
                <w:color w:val="000000" w:themeColor="text1"/>
                <w:szCs w:val="16"/>
              </w:rPr>
            </w:pPr>
            <w:r w:rsidRPr="00781112">
              <w:rPr>
                <w:rFonts w:cs="Arial"/>
                <w:color w:val="000000" w:themeColor="text1"/>
                <w:szCs w:val="16"/>
              </w:rPr>
              <w:t>86.22%</w:t>
            </w:r>
          </w:p>
        </w:tc>
        <w:tc>
          <w:tcPr>
            <w:tcW w:w="1414" w:type="pct"/>
            <w:vAlign w:val="center"/>
          </w:tcPr>
          <w:p w14:paraId="6C2CC9F8" w14:textId="02227927" w:rsidR="00AC3EF2" w:rsidRPr="00781112" w:rsidRDefault="00AC3EF2" w:rsidP="000F0FCB">
            <w:pPr>
              <w:jc w:val="center"/>
              <w:rPr>
                <w:rFonts w:cs="Arial"/>
                <w:color w:val="000000" w:themeColor="text1"/>
                <w:szCs w:val="16"/>
              </w:rPr>
            </w:pPr>
            <w:r w:rsidRPr="00781112">
              <w:rPr>
                <w:rFonts w:cs="Arial"/>
                <w:color w:val="000000" w:themeColor="text1"/>
                <w:szCs w:val="16"/>
              </w:rPr>
              <w:t>87.11%</w:t>
            </w:r>
          </w:p>
        </w:tc>
        <w:tc>
          <w:tcPr>
            <w:tcW w:w="1414" w:type="pct"/>
            <w:vAlign w:val="center"/>
          </w:tcPr>
          <w:p w14:paraId="0D4D2A6E" w14:textId="7F8E7759" w:rsidR="00AC3EF2" w:rsidRPr="00781112" w:rsidRDefault="00AC3EF2" w:rsidP="000F0FCB">
            <w:pPr>
              <w:jc w:val="center"/>
              <w:rPr>
                <w:rFonts w:cs="Arial"/>
                <w:color w:val="000000" w:themeColor="text1"/>
                <w:szCs w:val="16"/>
              </w:rPr>
            </w:pPr>
            <w:r w:rsidRPr="00781112">
              <w:rPr>
                <w:rFonts w:cs="Arial"/>
                <w:color w:val="000000" w:themeColor="text1"/>
                <w:szCs w:val="16"/>
              </w:rPr>
              <w:t>88.00%</w:t>
            </w:r>
          </w:p>
        </w:tc>
      </w:tr>
    </w:tbl>
    <w:p w14:paraId="4BB32392" w14:textId="77777777" w:rsidR="00165B2C" w:rsidRPr="00781112" w:rsidRDefault="00165B2C" w:rsidP="004369B2">
      <w:pPr>
        <w:rPr>
          <w:color w:val="000000" w:themeColor="text1"/>
        </w:rPr>
      </w:pPr>
    </w:p>
    <w:p w14:paraId="355812DD" w14:textId="7DD8B320" w:rsidR="00CE1CE8" w:rsidRPr="00781112" w:rsidRDefault="0047313F" w:rsidP="004369B2">
      <w:pPr>
        <w:rPr>
          <w:color w:val="000000" w:themeColor="text1"/>
        </w:rPr>
      </w:pPr>
      <w:r>
        <w:rPr>
          <w:b/>
          <w:color w:val="000000" w:themeColor="text1"/>
        </w:rPr>
        <w:t>FFY 2023 SPP/APR Data: Preschool Children Reported Separately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8CFFYAPRDATAOPT2"/>
      </w:tblPr>
      <w:tblGrid>
        <w:gridCol w:w="928"/>
        <w:gridCol w:w="1894"/>
        <w:gridCol w:w="1465"/>
        <w:gridCol w:w="1167"/>
        <w:gridCol w:w="1683"/>
        <w:gridCol w:w="1064"/>
        <w:gridCol w:w="1314"/>
        <w:gridCol w:w="1275"/>
      </w:tblGrid>
      <w:tr w:rsidR="00206A65" w:rsidRPr="00781112" w14:paraId="0DE6D581" w14:textId="77777777" w:rsidTr="00AF550B">
        <w:trPr>
          <w:trHeight w:val="368"/>
          <w:tblHeader/>
        </w:trPr>
        <w:tc>
          <w:tcPr>
            <w:tcW w:w="302" w:type="pct"/>
            <w:shd w:val="clear" w:color="auto" w:fill="auto"/>
            <w:vAlign w:val="bottom"/>
          </w:tcPr>
          <w:p w14:paraId="6938328D" w14:textId="649774FC" w:rsidR="00206A65" w:rsidRPr="00781112" w:rsidRDefault="00206A65" w:rsidP="00206A65">
            <w:pPr>
              <w:jc w:val="center"/>
              <w:rPr>
                <w:rFonts w:cs="Arial"/>
                <w:b/>
                <w:color w:val="000000" w:themeColor="text1"/>
                <w:szCs w:val="16"/>
              </w:rPr>
            </w:pPr>
            <w:r w:rsidRPr="00781112">
              <w:rPr>
                <w:rFonts w:cs="Arial"/>
                <w:b/>
                <w:color w:val="000000" w:themeColor="text1"/>
                <w:szCs w:val="16"/>
              </w:rPr>
              <w:t>Group</w:t>
            </w:r>
          </w:p>
        </w:tc>
        <w:tc>
          <w:tcPr>
            <w:tcW w:w="896" w:type="pct"/>
            <w:shd w:val="clear" w:color="auto" w:fill="auto"/>
            <w:vAlign w:val="bottom"/>
          </w:tcPr>
          <w:p w14:paraId="5FE60195" w14:textId="33373D52" w:rsidR="00206A65" w:rsidRPr="00781112" w:rsidRDefault="00206A65" w:rsidP="00206A65">
            <w:pPr>
              <w:jc w:val="center"/>
              <w:rPr>
                <w:rFonts w:cs="Arial"/>
                <w:b/>
                <w:color w:val="000000" w:themeColor="text1"/>
                <w:szCs w:val="16"/>
              </w:rPr>
            </w:pPr>
            <w:r w:rsidRPr="00781112">
              <w:rPr>
                <w:rFonts w:cs="Arial"/>
                <w:b/>
                <w:color w:val="000000" w:themeColor="text1"/>
                <w:szCs w:val="16"/>
              </w:rPr>
              <w:t>Number of respondent parents who report schools facilitated parent involvement as a means of improving services and results for children with disabilities</w:t>
            </w:r>
          </w:p>
        </w:tc>
        <w:tc>
          <w:tcPr>
            <w:tcW w:w="697" w:type="pct"/>
            <w:shd w:val="clear" w:color="auto" w:fill="auto"/>
            <w:vAlign w:val="bottom"/>
          </w:tcPr>
          <w:p w14:paraId="15D7934A" w14:textId="77777777" w:rsidR="00206A65" w:rsidRPr="00781112" w:rsidRDefault="00206A65" w:rsidP="00206A65">
            <w:pPr>
              <w:jc w:val="center"/>
              <w:rPr>
                <w:rFonts w:cs="Arial"/>
                <w:b/>
                <w:color w:val="000000" w:themeColor="text1"/>
                <w:szCs w:val="16"/>
              </w:rPr>
            </w:pPr>
            <w:r w:rsidRPr="00781112">
              <w:rPr>
                <w:rFonts w:cs="Arial"/>
                <w:b/>
                <w:color w:val="000000" w:themeColor="text1"/>
                <w:szCs w:val="16"/>
              </w:rPr>
              <w:t>Total number of respondent parents of children with disabilities</w:t>
            </w:r>
          </w:p>
        </w:tc>
        <w:tc>
          <w:tcPr>
            <w:tcW w:w="559" w:type="pct"/>
            <w:shd w:val="clear" w:color="auto" w:fill="auto"/>
            <w:vAlign w:val="bottom"/>
          </w:tcPr>
          <w:p w14:paraId="0A3A2F6A" w14:textId="7D5CC689" w:rsidR="00206A65" w:rsidRPr="00CC1061" w:rsidRDefault="00206A65" w:rsidP="00206A65">
            <w:pPr>
              <w:jc w:val="center"/>
              <w:rPr>
                <w:rFonts w:cs="Arial"/>
                <w:b/>
                <w:bCs/>
                <w:color w:val="000000" w:themeColor="text1"/>
                <w:szCs w:val="16"/>
              </w:rPr>
            </w:pPr>
            <w:r w:rsidRPr="00CC1061">
              <w:rPr>
                <w:b/>
                <w:bCs/>
              </w:rPr>
              <w:t>FFY 2022 Data</w:t>
            </w:r>
          </w:p>
        </w:tc>
        <w:tc>
          <w:tcPr>
            <w:tcW w:w="798" w:type="pct"/>
            <w:shd w:val="clear" w:color="auto" w:fill="auto"/>
            <w:vAlign w:val="bottom"/>
          </w:tcPr>
          <w:p w14:paraId="7539AB74" w14:textId="6B3975F8" w:rsidR="00206A65" w:rsidRPr="00CC1061" w:rsidRDefault="00206A65" w:rsidP="00206A65">
            <w:pPr>
              <w:jc w:val="center"/>
              <w:rPr>
                <w:rFonts w:cs="Arial"/>
                <w:b/>
                <w:bCs/>
                <w:color w:val="000000" w:themeColor="text1"/>
                <w:szCs w:val="16"/>
              </w:rPr>
            </w:pPr>
            <w:r w:rsidRPr="00CC1061">
              <w:rPr>
                <w:b/>
                <w:bCs/>
              </w:rPr>
              <w:t>FFY 2023 Target</w:t>
            </w:r>
          </w:p>
        </w:tc>
        <w:tc>
          <w:tcPr>
            <w:tcW w:w="511" w:type="pct"/>
            <w:shd w:val="clear" w:color="auto" w:fill="auto"/>
            <w:vAlign w:val="bottom"/>
          </w:tcPr>
          <w:p w14:paraId="407378F4" w14:textId="166FA335" w:rsidR="00206A65" w:rsidRPr="00CC1061" w:rsidRDefault="00206A65" w:rsidP="00206A65">
            <w:pPr>
              <w:jc w:val="center"/>
              <w:rPr>
                <w:rFonts w:cs="Arial"/>
                <w:b/>
                <w:bCs/>
                <w:color w:val="000000" w:themeColor="text1"/>
                <w:szCs w:val="16"/>
              </w:rPr>
            </w:pPr>
            <w:r w:rsidRPr="00CC1061">
              <w:rPr>
                <w:b/>
                <w:bCs/>
              </w:rPr>
              <w:t>FFY 2023 Data</w:t>
            </w:r>
          </w:p>
        </w:tc>
        <w:tc>
          <w:tcPr>
            <w:tcW w:w="627" w:type="pct"/>
            <w:shd w:val="clear" w:color="auto" w:fill="auto"/>
            <w:vAlign w:val="bottom"/>
          </w:tcPr>
          <w:p w14:paraId="28F3ED34" w14:textId="77777777" w:rsidR="00206A65" w:rsidRPr="00781112" w:rsidRDefault="00206A65" w:rsidP="00206A65">
            <w:pPr>
              <w:jc w:val="center"/>
              <w:rPr>
                <w:rFonts w:cs="Arial"/>
                <w:b/>
                <w:color w:val="000000" w:themeColor="text1"/>
                <w:szCs w:val="16"/>
              </w:rPr>
            </w:pPr>
            <w:r w:rsidRPr="00781112">
              <w:rPr>
                <w:rFonts w:cs="Arial"/>
                <w:b/>
                <w:color w:val="000000" w:themeColor="text1"/>
                <w:szCs w:val="16"/>
              </w:rPr>
              <w:t>Status</w:t>
            </w:r>
          </w:p>
        </w:tc>
        <w:tc>
          <w:tcPr>
            <w:tcW w:w="609" w:type="pct"/>
            <w:shd w:val="clear" w:color="auto" w:fill="auto"/>
            <w:vAlign w:val="bottom"/>
          </w:tcPr>
          <w:p w14:paraId="30DF9F16" w14:textId="77777777" w:rsidR="00206A65" w:rsidRPr="00781112" w:rsidRDefault="00206A65" w:rsidP="00206A65">
            <w:pPr>
              <w:jc w:val="center"/>
              <w:rPr>
                <w:rFonts w:cs="Arial"/>
                <w:b/>
                <w:color w:val="000000" w:themeColor="text1"/>
                <w:szCs w:val="16"/>
              </w:rPr>
            </w:pPr>
            <w:r w:rsidRPr="00781112">
              <w:rPr>
                <w:rFonts w:cs="Arial"/>
                <w:b/>
                <w:color w:val="000000" w:themeColor="text1"/>
                <w:szCs w:val="16"/>
              </w:rPr>
              <w:t>Slippage</w:t>
            </w:r>
          </w:p>
        </w:tc>
      </w:tr>
      <w:tr w:rsidR="005C29F8" w:rsidRPr="00781112" w14:paraId="7F2B6CD0" w14:textId="77777777" w:rsidTr="00AF550B">
        <w:trPr>
          <w:trHeight w:val="375"/>
        </w:trPr>
        <w:tc>
          <w:tcPr>
            <w:tcW w:w="302" w:type="pct"/>
            <w:shd w:val="clear" w:color="auto" w:fill="auto"/>
          </w:tcPr>
          <w:p w14:paraId="6D02A255" w14:textId="2B8E30CF" w:rsidR="007D6BB1" w:rsidRPr="00781112" w:rsidRDefault="007D6BB1" w:rsidP="007D6BB1">
            <w:pPr>
              <w:jc w:val="center"/>
              <w:rPr>
                <w:rFonts w:cs="Arial"/>
                <w:color w:val="000000" w:themeColor="text1"/>
                <w:szCs w:val="16"/>
              </w:rPr>
            </w:pPr>
            <w:r w:rsidRPr="00781112">
              <w:rPr>
                <w:rFonts w:cs="Arial"/>
                <w:color w:val="000000" w:themeColor="text1"/>
                <w:szCs w:val="16"/>
              </w:rPr>
              <w:t>Preschool</w:t>
            </w:r>
          </w:p>
        </w:tc>
        <w:tc>
          <w:tcPr>
            <w:tcW w:w="896" w:type="pct"/>
            <w:shd w:val="clear" w:color="auto" w:fill="auto"/>
            <w:vAlign w:val="bottom"/>
          </w:tcPr>
          <w:p w14:paraId="6B99666A" w14:textId="69D7E33D" w:rsidR="007D6BB1" w:rsidRPr="00781112" w:rsidRDefault="002B7490" w:rsidP="00A018D4">
            <w:pPr>
              <w:jc w:val="center"/>
              <w:rPr>
                <w:rFonts w:cs="Arial"/>
                <w:color w:val="000000" w:themeColor="text1"/>
                <w:szCs w:val="16"/>
              </w:rPr>
            </w:pPr>
            <w:r w:rsidRPr="00781112">
              <w:rPr>
                <w:rFonts w:cs="Arial"/>
                <w:color w:val="000000" w:themeColor="text1"/>
                <w:szCs w:val="16"/>
              </w:rPr>
              <w:t>251</w:t>
            </w:r>
          </w:p>
        </w:tc>
        <w:tc>
          <w:tcPr>
            <w:tcW w:w="697" w:type="pct"/>
            <w:shd w:val="clear" w:color="auto" w:fill="auto"/>
            <w:vAlign w:val="bottom"/>
          </w:tcPr>
          <w:p w14:paraId="76FAE551" w14:textId="4CC1C92C" w:rsidR="007D6BB1" w:rsidRPr="00781112" w:rsidRDefault="002B7490" w:rsidP="00A018D4">
            <w:pPr>
              <w:jc w:val="center"/>
              <w:rPr>
                <w:rFonts w:cs="Arial"/>
                <w:color w:val="000000" w:themeColor="text1"/>
                <w:szCs w:val="16"/>
              </w:rPr>
            </w:pPr>
            <w:r w:rsidRPr="00781112">
              <w:rPr>
                <w:rFonts w:cs="Arial"/>
                <w:color w:val="000000" w:themeColor="text1"/>
                <w:szCs w:val="16"/>
              </w:rPr>
              <w:t>318</w:t>
            </w:r>
          </w:p>
        </w:tc>
        <w:tc>
          <w:tcPr>
            <w:tcW w:w="559" w:type="pct"/>
            <w:shd w:val="clear" w:color="auto" w:fill="auto"/>
            <w:vAlign w:val="bottom"/>
          </w:tcPr>
          <w:p w14:paraId="123C5B86" w14:textId="2170EE84" w:rsidR="007D6BB1" w:rsidRPr="00781112" w:rsidRDefault="002B7490" w:rsidP="00A018D4">
            <w:pPr>
              <w:jc w:val="center"/>
              <w:rPr>
                <w:rFonts w:cs="Arial"/>
                <w:color w:val="000000" w:themeColor="text1"/>
                <w:szCs w:val="16"/>
              </w:rPr>
            </w:pPr>
            <w:r w:rsidRPr="00781112">
              <w:rPr>
                <w:rFonts w:cs="Arial"/>
                <w:color w:val="000000" w:themeColor="text1"/>
                <w:szCs w:val="16"/>
              </w:rPr>
              <w:t>85.15%</w:t>
            </w:r>
          </w:p>
        </w:tc>
        <w:tc>
          <w:tcPr>
            <w:tcW w:w="798" w:type="pct"/>
            <w:shd w:val="clear" w:color="auto" w:fill="auto"/>
            <w:vAlign w:val="bottom"/>
          </w:tcPr>
          <w:p w14:paraId="308FEA57" w14:textId="7004813A" w:rsidR="007D6BB1" w:rsidRPr="00781112" w:rsidRDefault="002B7490" w:rsidP="00A018D4">
            <w:pPr>
              <w:jc w:val="center"/>
              <w:rPr>
                <w:rFonts w:cs="Arial"/>
                <w:color w:val="000000" w:themeColor="text1"/>
                <w:szCs w:val="16"/>
              </w:rPr>
            </w:pPr>
            <w:r w:rsidRPr="00781112">
              <w:rPr>
                <w:rFonts w:cs="Arial"/>
                <w:color w:val="000000" w:themeColor="text1"/>
                <w:szCs w:val="16"/>
              </w:rPr>
              <w:t>90.20%</w:t>
            </w:r>
          </w:p>
        </w:tc>
        <w:tc>
          <w:tcPr>
            <w:tcW w:w="511" w:type="pct"/>
            <w:shd w:val="clear" w:color="auto" w:fill="auto"/>
            <w:vAlign w:val="bottom"/>
          </w:tcPr>
          <w:p w14:paraId="1C1DCA19" w14:textId="730526F3" w:rsidR="007D6BB1" w:rsidRPr="00781112" w:rsidRDefault="002B7490" w:rsidP="00A018D4">
            <w:pPr>
              <w:jc w:val="center"/>
              <w:rPr>
                <w:rFonts w:cs="Arial"/>
                <w:color w:val="000000" w:themeColor="text1"/>
                <w:szCs w:val="16"/>
              </w:rPr>
            </w:pPr>
            <w:r w:rsidRPr="00781112">
              <w:rPr>
                <w:rFonts w:cs="Arial"/>
                <w:color w:val="000000" w:themeColor="text1"/>
                <w:szCs w:val="16"/>
              </w:rPr>
              <w:t>78.93%</w:t>
            </w:r>
          </w:p>
        </w:tc>
        <w:tc>
          <w:tcPr>
            <w:tcW w:w="627" w:type="pct"/>
            <w:shd w:val="clear" w:color="auto" w:fill="auto"/>
            <w:vAlign w:val="bottom"/>
          </w:tcPr>
          <w:p w14:paraId="3DDEE74A" w14:textId="47BC7A4C" w:rsidR="007D6BB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09" w:type="pct"/>
            <w:shd w:val="clear" w:color="auto" w:fill="auto"/>
            <w:vAlign w:val="bottom"/>
          </w:tcPr>
          <w:p w14:paraId="2B5BE34B" w14:textId="08BABAF7" w:rsidR="007D6BB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r w:rsidR="005C29F8" w:rsidRPr="00781112" w14:paraId="3195A184" w14:textId="77777777" w:rsidTr="00AF550B">
        <w:trPr>
          <w:trHeight w:val="375"/>
        </w:trPr>
        <w:tc>
          <w:tcPr>
            <w:tcW w:w="302" w:type="pct"/>
            <w:shd w:val="clear" w:color="auto" w:fill="auto"/>
          </w:tcPr>
          <w:p w14:paraId="4BB698E5" w14:textId="7EA34994" w:rsidR="007D6BB1" w:rsidRPr="00781112" w:rsidRDefault="00DB1150" w:rsidP="007D6BB1">
            <w:pPr>
              <w:jc w:val="center"/>
              <w:rPr>
                <w:rFonts w:cs="Arial"/>
                <w:color w:val="000000" w:themeColor="text1"/>
                <w:szCs w:val="16"/>
              </w:rPr>
            </w:pPr>
            <w:r w:rsidRPr="00781112">
              <w:rPr>
                <w:rFonts w:cs="Arial"/>
                <w:color w:val="000000" w:themeColor="text1"/>
                <w:szCs w:val="16"/>
              </w:rPr>
              <w:t>School age</w:t>
            </w:r>
          </w:p>
        </w:tc>
        <w:tc>
          <w:tcPr>
            <w:tcW w:w="896" w:type="pct"/>
            <w:shd w:val="clear" w:color="auto" w:fill="auto"/>
            <w:vAlign w:val="bottom"/>
          </w:tcPr>
          <w:p w14:paraId="371458FE" w14:textId="394F3EE9" w:rsidR="007D6BB1" w:rsidRPr="00781112" w:rsidRDefault="002B7490" w:rsidP="00A018D4">
            <w:pPr>
              <w:jc w:val="center"/>
              <w:rPr>
                <w:rFonts w:cs="Arial"/>
                <w:color w:val="000000" w:themeColor="text1"/>
                <w:szCs w:val="16"/>
              </w:rPr>
            </w:pPr>
            <w:r w:rsidRPr="00781112">
              <w:rPr>
                <w:rFonts w:cs="Arial"/>
                <w:color w:val="000000" w:themeColor="text1"/>
                <w:szCs w:val="16"/>
              </w:rPr>
              <w:t>1,288</w:t>
            </w:r>
          </w:p>
        </w:tc>
        <w:tc>
          <w:tcPr>
            <w:tcW w:w="697" w:type="pct"/>
            <w:shd w:val="clear" w:color="auto" w:fill="auto"/>
            <w:vAlign w:val="bottom"/>
          </w:tcPr>
          <w:p w14:paraId="22A6CCE9" w14:textId="104A03FB" w:rsidR="007D6BB1" w:rsidRPr="00781112" w:rsidRDefault="002B7490" w:rsidP="00A018D4">
            <w:pPr>
              <w:jc w:val="center"/>
              <w:rPr>
                <w:rFonts w:cs="Arial"/>
                <w:color w:val="000000" w:themeColor="text1"/>
                <w:szCs w:val="16"/>
              </w:rPr>
            </w:pPr>
            <w:r w:rsidRPr="00781112">
              <w:rPr>
                <w:rFonts w:cs="Arial"/>
                <w:color w:val="000000" w:themeColor="text1"/>
                <w:szCs w:val="16"/>
              </w:rPr>
              <w:t>1,808</w:t>
            </w:r>
          </w:p>
        </w:tc>
        <w:tc>
          <w:tcPr>
            <w:tcW w:w="559" w:type="pct"/>
            <w:shd w:val="clear" w:color="auto" w:fill="auto"/>
            <w:vAlign w:val="bottom"/>
          </w:tcPr>
          <w:p w14:paraId="740FC8CE" w14:textId="67D1D68F" w:rsidR="007D6BB1" w:rsidRPr="00781112" w:rsidRDefault="002B7490" w:rsidP="00A018D4">
            <w:pPr>
              <w:jc w:val="center"/>
              <w:rPr>
                <w:rFonts w:cs="Arial"/>
                <w:color w:val="000000" w:themeColor="text1"/>
                <w:szCs w:val="16"/>
              </w:rPr>
            </w:pPr>
            <w:r w:rsidRPr="00781112">
              <w:rPr>
                <w:rFonts w:cs="Arial"/>
                <w:color w:val="000000" w:themeColor="text1"/>
                <w:szCs w:val="16"/>
              </w:rPr>
              <w:t>72.84%</w:t>
            </w:r>
          </w:p>
        </w:tc>
        <w:tc>
          <w:tcPr>
            <w:tcW w:w="798" w:type="pct"/>
            <w:shd w:val="clear" w:color="auto" w:fill="auto"/>
            <w:vAlign w:val="bottom"/>
          </w:tcPr>
          <w:p w14:paraId="1C976F97" w14:textId="0D0F6366" w:rsidR="007D6BB1" w:rsidRPr="00781112" w:rsidRDefault="002B7490" w:rsidP="00A018D4">
            <w:pPr>
              <w:jc w:val="center"/>
              <w:rPr>
                <w:rFonts w:cs="Arial"/>
                <w:color w:val="000000" w:themeColor="text1"/>
                <w:szCs w:val="16"/>
              </w:rPr>
            </w:pPr>
            <w:r w:rsidRPr="00781112">
              <w:rPr>
                <w:rFonts w:cs="Arial"/>
                <w:color w:val="000000" w:themeColor="text1"/>
                <w:szCs w:val="16"/>
              </w:rPr>
              <w:t>86.22%</w:t>
            </w:r>
          </w:p>
        </w:tc>
        <w:tc>
          <w:tcPr>
            <w:tcW w:w="511" w:type="pct"/>
            <w:shd w:val="clear" w:color="auto" w:fill="auto"/>
            <w:vAlign w:val="bottom"/>
          </w:tcPr>
          <w:p w14:paraId="78A0A4EE" w14:textId="02F22347" w:rsidR="007D6BB1" w:rsidRPr="00781112" w:rsidRDefault="002B7490" w:rsidP="00A018D4">
            <w:pPr>
              <w:jc w:val="center"/>
              <w:rPr>
                <w:rFonts w:cs="Arial"/>
                <w:color w:val="000000" w:themeColor="text1"/>
                <w:szCs w:val="16"/>
              </w:rPr>
            </w:pPr>
            <w:r w:rsidRPr="00781112">
              <w:rPr>
                <w:rFonts w:cs="Arial"/>
                <w:color w:val="000000" w:themeColor="text1"/>
                <w:szCs w:val="16"/>
              </w:rPr>
              <w:t>71.24%</w:t>
            </w:r>
          </w:p>
        </w:tc>
        <w:tc>
          <w:tcPr>
            <w:tcW w:w="627" w:type="pct"/>
            <w:shd w:val="clear" w:color="auto" w:fill="auto"/>
            <w:vAlign w:val="bottom"/>
          </w:tcPr>
          <w:p w14:paraId="45E43DB0" w14:textId="1B4AB4EA" w:rsidR="007D6BB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09" w:type="pct"/>
            <w:shd w:val="clear" w:color="auto" w:fill="auto"/>
            <w:vAlign w:val="bottom"/>
          </w:tcPr>
          <w:p w14:paraId="601F7342" w14:textId="758CB2A7" w:rsidR="007D6BB1" w:rsidRPr="00781112" w:rsidRDefault="002B7490" w:rsidP="00A018D4">
            <w:pPr>
              <w:jc w:val="center"/>
              <w:rPr>
                <w:rFonts w:cs="Arial"/>
                <w:color w:val="000000" w:themeColor="text1"/>
                <w:szCs w:val="16"/>
              </w:rPr>
            </w:pPr>
            <w:r w:rsidRPr="00781112">
              <w:rPr>
                <w:rFonts w:cs="Arial"/>
                <w:color w:val="000000" w:themeColor="text1"/>
                <w:szCs w:val="16"/>
              </w:rPr>
              <w:t>Slippage</w:t>
            </w:r>
          </w:p>
        </w:tc>
      </w:tr>
    </w:tbl>
    <w:p w14:paraId="5EAF5470" w14:textId="0F69B707" w:rsidR="007D6BB1" w:rsidRPr="00781112" w:rsidRDefault="009B37A2" w:rsidP="007D6BB1">
      <w:pPr>
        <w:rPr>
          <w:rFonts w:cs="Arial"/>
          <w:b/>
          <w:i/>
          <w:color w:val="000000" w:themeColor="text1"/>
          <w:szCs w:val="16"/>
        </w:rPr>
      </w:pPr>
      <w:r w:rsidRPr="00781112">
        <w:rPr>
          <w:rFonts w:cs="Arial"/>
          <w:b/>
          <w:color w:val="000000" w:themeColor="text1"/>
          <w:szCs w:val="16"/>
        </w:rPr>
        <w:t>Provide reasons for Preschool slippage, if applicable</w:t>
      </w:r>
    </w:p>
    <w:p w14:paraId="25FB9E7A" w14:textId="191F844A" w:rsidR="00632372" w:rsidRPr="001E2749" w:rsidRDefault="002B7490" w:rsidP="00B6413B">
      <w:pPr>
        <w:rPr>
          <w:rFonts w:cs="Arial"/>
          <w:color w:val="000000" w:themeColor="text1"/>
          <w:szCs w:val="16"/>
        </w:rPr>
      </w:pPr>
      <w:r w:rsidRPr="00781112">
        <w:rPr>
          <w:rFonts w:cs="Arial"/>
          <w:color w:val="000000" w:themeColor="text1"/>
          <w:szCs w:val="16"/>
        </w:rPr>
        <w:t xml:space="preserve">Reasons for Preschool slippage: Slippage may be due to the configuration of counties that were selected this year as part of the sampling plan. The State does not survey each county every year. The State determined that the difference in the parent involvement rate this year compared to last year could be due to different counties surveyed in the sampling plan. While each year’s sample is representative of the State in terms of demographics, one group of counties may be less involved than another group due to the sampling plan. The 2023-24 response rate was 13.57%, representing an increase from a response rate of 6.57% the last time this cohort was surveyed in FFY 2021.The rate of respondent parents who reported that schools facilitated parent involvement as a means of improving services and results for children with disabilities was 84.31% in FFY2021; this year, their rate is 79.04%. Thus, the State examined whether the decrease was specific to particular counties. The State provided each county with a report of their results over time to examine if their parent involvement rate has decreased/increased/stayed the same. </w:t>
      </w:r>
    </w:p>
    <w:p w14:paraId="10724603" w14:textId="77777777" w:rsidR="004E1F08" w:rsidRPr="004E1F08" w:rsidRDefault="004E1F08" w:rsidP="004E1F08">
      <w:pPr>
        <w:rPr>
          <w:rFonts w:cs="Arial"/>
          <w:b/>
          <w:bCs/>
          <w:color w:val="000000" w:themeColor="text1"/>
          <w:szCs w:val="16"/>
        </w:rPr>
      </w:pPr>
      <w:r>
        <w:rPr>
          <w:rFonts w:cs="Arial"/>
          <w:b/>
          <w:bCs/>
          <w:color w:val="000000" w:themeColor="text1"/>
          <w:szCs w:val="16"/>
        </w:rPr>
        <w:t>Provide reasons for School Age slippage, if applicable</w:t>
      </w:r>
    </w:p>
    <w:p w14:paraId="4BF4D7F9" w14:textId="465D2539" w:rsidR="004E1F08" w:rsidRDefault="004E1F08" w:rsidP="004E1F08">
      <w:pPr>
        <w:rPr>
          <w:rFonts w:cs="Arial"/>
          <w:color w:val="000000" w:themeColor="text1"/>
          <w:szCs w:val="16"/>
        </w:rPr>
      </w:pPr>
      <w:r w:rsidRPr="00781112">
        <w:rPr>
          <w:rFonts w:cs="Arial"/>
          <w:color w:val="000000" w:themeColor="text1"/>
          <w:szCs w:val="16"/>
        </w:rPr>
        <w:t xml:space="preserve">Reasons for School Age slippage: Slippage could be due to the configuration of districts that were selected this year as part of the sampling plan. The State does not survey each district every year. The State determined that the difference in the parent involvement rate this year compared to last year could be due to different districts surveyed in the sampling plan. While each year’s sample is representative of the State in terms of demographics, one group of districts may be less involved than another group. The 2023-24 response rate was 8.25% for students K-12, representing an increase from a response rate of 7.48% the last time this cohort was surveyed in FFY 2020. The rate of respondent parents who reported that schools facilitated parent involvement as a means of improving services and results for children with disabilities was 78.47% in FFY 2020; this year, their rate is 71.26%.  </w:t>
      </w:r>
      <w:r w:rsidRPr="00781112">
        <w:rPr>
          <w:rFonts w:cs="Arial"/>
          <w:color w:val="000000" w:themeColor="text1"/>
          <w:szCs w:val="16"/>
        </w:rPr>
        <w:br/>
      </w:r>
      <w:r w:rsidRPr="00781112">
        <w:rPr>
          <w:rFonts w:cs="Arial"/>
          <w:color w:val="000000" w:themeColor="text1"/>
          <w:szCs w:val="16"/>
        </w:rPr>
        <w:br/>
        <w:t xml:space="preserve">An additional possible reason for slippage is the use of landline phone numbers as a primary means to contact parents. As more families primarily use cell phones instead of landlines, it is likely that the district communication strategy of calling landlines is becoming less effective over time.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 xml:space="preserve">Thus, the State examined whether the decrease was specific to particular districts. District Support Specialists provided local results to districts for individual examination.  </w:t>
      </w:r>
    </w:p>
    <w:p w14:paraId="194E8DAB" w14:textId="77777777" w:rsidR="00DF5DC9" w:rsidRDefault="00DF5DC9" w:rsidP="00415FE9">
      <w:pPr>
        <w:rPr>
          <w:rFonts w:cs="Arial"/>
          <w:b/>
          <w:color w:val="000000" w:themeColor="text1"/>
          <w:szCs w:val="16"/>
        </w:rPr>
      </w:pPr>
    </w:p>
    <w:p w14:paraId="1367D5CC" w14:textId="3D23966C" w:rsidR="00415FE9" w:rsidRPr="00781112" w:rsidRDefault="00415FE9" w:rsidP="00415FE9">
      <w:pPr>
        <w:rPr>
          <w:rFonts w:cs="Arial"/>
          <w:b/>
          <w:color w:val="000000" w:themeColor="text1"/>
          <w:szCs w:val="16"/>
        </w:rPr>
      </w:pPr>
      <w:r w:rsidRPr="00781112">
        <w:rPr>
          <w:rFonts w:cs="Arial"/>
          <w:b/>
          <w:color w:val="000000" w:themeColor="text1"/>
          <w:szCs w:val="16"/>
        </w:rPr>
        <w:t>The number of parents to whom the surveys were distributed.</w:t>
      </w:r>
    </w:p>
    <w:p w14:paraId="1181B460" w14:textId="042BF6E0" w:rsidR="00415FE9" w:rsidRPr="00781112" w:rsidRDefault="00415FE9" w:rsidP="00415FE9">
      <w:pPr>
        <w:rPr>
          <w:rFonts w:cs="Arial"/>
          <w:color w:val="000000" w:themeColor="text1"/>
          <w:szCs w:val="16"/>
        </w:rPr>
      </w:pPr>
      <w:r w:rsidRPr="00781112">
        <w:rPr>
          <w:rFonts w:cs="Arial"/>
          <w:color w:val="000000" w:themeColor="text1"/>
          <w:szCs w:val="16"/>
        </w:rPr>
        <w:t>24,246</w:t>
      </w:r>
    </w:p>
    <w:p w14:paraId="37F1825E" w14:textId="77777777" w:rsidR="00415FE9" w:rsidRPr="00781112" w:rsidRDefault="00415FE9" w:rsidP="00415FE9">
      <w:pPr>
        <w:rPr>
          <w:rFonts w:cs="Arial"/>
          <w:b/>
          <w:color w:val="000000" w:themeColor="text1"/>
          <w:szCs w:val="16"/>
        </w:rPr>
      </w:pPr>
      <w:r w:rsidRPr="00781112">
        <w:rPr>
          <w:rFonts w:cs="Arial"/>
          <w:b/>
          <w:color w:val="000000" w:themeColor="text1"/>
          <w:szCs w:val="16"/>
        </w:rPr>
        <w:t>Percentage of respondent parents</w:t>
      </w:r>
    </w:p>
    <w:p w14:paraId="47233287" w14:textId="25AA931E" w:rsidR="00415FE9" w:rsidRPr="00781112" w:rsidRDefault="00415FE9" w:rsidP="00415FE9">
      <w:pPr>
        <w:rPr>
          <w:rFonts w:cs="Arial"/>
          <w:color w:val="000000" w:themeColor="text1"/>
          <w:szCs w:val="16"/>
        </w:rPr>
      </w:pPr>
      <w:r w:rsidRPr="00781112">
        <w:rPr>
          <w:rFonts w:cs="Arial"/>
          <w:color w:val="000000" w:themeColor="text1"/>
          <w:szCs w:val="16"/>
        </w:rPr>
        <w:t>8.77%</w:t>
      </w:r>
    </w:p>
    <w:p w14:paraId="6E133112" w14:textId="714E6C68" w:rsidR="00090132" w:rsidRDefault="00090132" w:rsidP="00AF550B">
      <w:pPr>
        <w:rPr>
          <w:rFonts w:cs="Arial"/>
          <w:iCs/>
          <w:color w:val="000000" w:themeColor="text1"/>
          <w:szCs w:val="16"/>
        </w:rPr>
      </w:pPr>
    </w:p>
    <w:p w14:paraId="22944736" w14:textId="77777777" w:rsidR="00090132" w:rsidRPr="00F737BA" w:rsidRDefault="00090132" w:rsidP="00090132">
      <w:pPr>
        <w:rPr>
          <w:rFonts w:cs="Arial"/>
          <w:b/>
          <w:bCs/>
          <w:szCs w:val="16"/>
        </w:rPr>
      </w:pPr>
      <w:r w:rsidRPr="00F737BA">
        <w:rPr>
          <w:rFonts w:cs="Arial"/>
          <w:b/>
          <w:bCs/>
          <w:szCs w:val="16"/>
        </w:rPr>
        <w:t>Response Rate</w:t>
      </w:r>
    </w:p>
    <w:tbl>
      <w:tblPr>
        <w:tblStyle w:val="TableGrid"/>
        <w:tblW w:w="0" w:type="auto"/>
        <w:tblLook w:val="04A0" w:firstRow="1" w:lastRow="0" w:firstColumn="1" w:lastColumn="0" w:noHBand="0" w:noVBand="1"/>
        <w:tblCaption w:val="B08CFFYDISTPER"/>
      </w:tblPr>
      <w:tblGrid>
        <w:gridCol w:w="1885"/>
        <w:gridCol w:w="2340"/>
        <w:gridCol w:w="670"/>
      </w:tblGrid>
      <w:tr w:rsidR="00090132" w:rsidRPr="00F737BA" w14:paraId="0E1B543B" w14:textId="77777777" w:rsidTr="00DF5DC9">
        <w:tc>
          <w:tcPr>
            <w:tcW w:w="1885" w:type="dxa"/>
          </w:tcPr>
          <w:p w14:paraId="2D7C9FC3" w14:textId="77777777" w:rsidR="00090132" w:rsidRPr="00F737BA" w:rsidRDefault="00090132" w:rsidP="00DF5DC9">
            <w:pPr>
              <w:jc w:val="center"/>
              <w:rPr>
                <w:rFonts w:cs="Arial"/>
                <w:b/>
                <w:szCs w:val="16"/>
              </w:rPr>
            </w:pPr>
            <w:bookmarkStart w:id="44" w:name="_Hlk79652737"/>
            <w:r w:rsidRPr="00F737BA">
              <w:rPr>
                <w:rFonts w:cs="Arial"/>
                <w:b/>
                <w:szCs w:val="16"/>
              </w:rPr>
              <w:t>FFY</w:t>
            </w:r>
          </w:p>
        </w:tc>
        <w:tc>
          <w:tcPr>
            <w:tcW w:w="2340" w:type="dxa"/>
          </w:tcPr>
          <w:p w14:paraId="2109B7B6" w14:textId="77777777" w:rsidR="00090132" w:rsidRPr="004A62FE" w:rsidRDefault="00090132" w:rsidP="00DF5DC9">
            <w:pPr>
              <w:jc w:val="center"/>
              <w:rPr>
                <w:rFonts w:cs="Arial"/>
                <w:b/>
                <w:szCs w:val="16"/>
              </w:rPr>
            </w:pPr>
            <w:r w:rsidRPr="004A62FE">
              <w:rPr>
                <w:rFonts w:cs="Arial"/>
                <w:b/>
                <w:color w:val="000000" w:themeColor="text1"/>
                <w:szCs w:val="16"/>
              </w:rPr>
              <w:t>2022</w:t>
            </w:r>
          </w:p>
        </w:tc>
        <w:tc>
          <w:tcPr>
            <w:tcW w:w="360" w:type="dxa"/>
          </w:tcPr>
          <w:p w14:paraId="0CD9799E" w14:textId="77777777" w:rsidR="00090132" w:rsidRPr="004A62FE" w:rsidRDefault="00090132" w:rsidP="00DF5DC9">
            <w:pPr>
              <w:jc w:val="center"/>
              <w:rPr>
                <w:rFonts w:cs="Arial"/>
                <w:b/>
                <w:szCs w:val="16"/>
              </w:rPr>
            </w:pPr>
            <w:r w:rsidRPr="004A62FE">
              <w:rPr>
                <w:rFonts w:cs="Arial"/>
                <w:b/>
                <w:color w:val="000000" w:themeColor="text1"/>
                <w:szCs w:val="16"/>
              </w:rPr>
              <w:t>2023</w:t>
            </w:r>
          </w:p>
        </w:tc>
      </w:tr>
      <w:tr w:rsidR="00090132" w:rsidRPr="00F737BA" w14:paraId="3E600875" w14:textId="77777777" w:rsidTr="00DF5DC9">
        <w:tc>
          <w:tcPr>
            <w:tcW w:w="1885" w:type="dxa"/>
          </w:tcPr>
          <w:p w14:paraId="497B06E4" w14:textId="77777777" w:rsidR="00090132" w:rsidRPr="00F737BA" w:rsidRDefault="00090132" w:rsidP="00DF5DC9">
            <w:pPr>
              <w:rPr>
                <w:rFonts w:cs="Arial"/>
                <w:szCs w:val="16"/>
              </w:rPr>
            </w:pPr>
            <w:r w:rsidRPr="00F737BA">
              <w:rPr>
                <w:rFonts w:cs="Arial"/>
                <w:szCs w:val="16"/>
              </w:rPr>
              <w:t xml:space="preserve">Response Rate </w:t>
            </w:r>
          </w:p>
        </w:tc>
        <w:tc>
          <w:tcPr>
            <w:tcW w:w="2340" w:type="dxa"/>
            <w:shd w:val="clear" w:color="auto" w:fill="auto"/>
          </w:tcPr>
          <w:p w14:paraId="0FC44028" w14:textId="50784D2F" w:rsidR="00090132" w:rsidRPr="004A62FE" w:rsidRDefault="00090132" w:rsidP="000B4405">
            <w:pPr>
              <w:jc w:val="center"/>
              <w:rPr>
                <w:rFonts w:cs="Arial"/>
                <w:szCs w:val="16"/>
              </w:rPr>
            </w:pPr>
            <w:r w:rsidRPr="004A62FE">
              <w:rPr>
                <w:rFonts w:cs="Arial"/>
                <w:iCs/>
                <w:color w:val="000000" w:themeColor="text1"/>
                <w:szCs w:val="16"/>
              </w:rPr>
              <w:t>15.14%</w:t>
            </w:r>
          </w:p>
        </w:tc>
        <w:tc>
          <w:tcPr>
            <w:tcW w:w="360" w:type="dxa"/>
            <w:shd w:val="clear" w:color="auto" w:fill="auto"/>
          </w:tcPr>
          <w:p w14:paraId="76DE0483" w14:textId="3235EE79" w:rsidR="00090132" w:rsidRPr="004A62FE" w:rsidRDefault="00090132" w:rsidP="000B4405">
            <w:pPr>
              <w:jc w:val="center"/>
              <w:rPr>
                <w:rFonts w:cs="Arial"/>
                <w:szCs w:val="16"/>
              </w:rPr>
            </w:pPr>
            <w:r w:rsidRPr="00090132">
              <w:rPr>
                <w:rFonts w:cs="Arial"/>
                <w:iCs/>
                <w:color w:val="000000" w:themeColor="text1"/>
                <w:szCs w:val="16"/>
              </w:rPr>
              <w:t>8.77%</w:t>
            </w:r>
          </w:p>
        </w:tc>
      </w:tr>
      <w:bookmarkEnd w:id="44"/>
    </w:tbl>
    <w:p w14:paraId="05313584" w14:textId="77777777" w:rsidR="00090132" w:rsidRPr="00F737BA" w:rsidRDefault="00090132" w:rsidP="00090132">
      <w:pPr>
        <w:pStyle w:val="Header"/>
        <w:tabs>
          <w:tab w:val="clear" w:pos="4320"/>
          <w:tab w:val="clear" w:pos="8640"/>
        </w:tabs>
        <w:spacing w:before="0"/>
        <w:rPr>
          <w:rFonts w:ascii="Arial" w:hAnsi="Arial" w:cs="Arial"/>
          <w:bCs/>
          <w:sz w:val="16"/>
          <w:szCs w:val="16"/>
        </w:rPr>
      </w:pPr>
    </w:p>
    <w:p w14:paraId="7EAF7EA9" w14:textId="77777777" w:rsidR="00156FDD" w:rsidRPr="000B29F8" w:rsidRDefault="00156FDD" w:rsidP="00156FDD">
      <w:pPr>
        <w:rPr>
          <w:b/>
          <w:bCs/>
        </w:rPr>
      </w:pPr>
      <w:r w:rsidRPr="000B29F8">
        <w:rPr>
          <w:b/>
          <w:bCs/>
        </w:rPr>
        <w:t>Describe the metric used to determine representativeness (e.g., +/- 3% discrepancy in the proportion of responders compared to target group).</w:t>
      </w:r>
    </w:p>
    <w:p w14:paraId="2D9B0A76" w14:textId="77777777" w:rsidR="00156FDD" w:rsidRPr="000A2B9F" w:rsidRDefault="00156FDD" w:rsidP="00156FDD">
      <w:pPr>
        <w:pStyle w:val="Subhed"/>
        <w:rPr>
          <w:b w:val="0"/>
          <w:bCs/>
        </w:rPr>
      </w:pPr>
      <w:r w:rsidRPr="000A2B9F">
        <w:rPr>
          <w:b w:val="0"/>
          <w:bCs/>
        </w:rPr>
        <w:t xml:space="preserve">+/- 3% discrepancy in the proportion of responders compared to target group. </w:t>
      </w:r>
    </w:p>
    <w:p w14:paraId="69B8C995" w14:textId="77777777" w:rsidR="00156FDD" w:rsidRDefault="00156FDD" w:rsidP="00090132">
      <w:pPr>
        <w:rPr>
          <w:rFonts w:cs="Arial"/>
          <w:b/>
          <w:color w:val="000000" w:themeColor="text1"/>
          <w:szCs w:val="16"/>
        </w:rPr>
      </w:pPr>
    </w:p>
    <w:p w14:paraId="7DF43855" w14:textId="7693C672" w:rsidR="00156FDD" w:rsidRPr="000762B0" w:rsidRDefault="00156FDD" w:rsidP="00156FDD">
      <w:pPr>
        <w:rPr>
          <w:b/>
          <w:bCs/>
        </w:rPr>
      </w:pPr>
      <w:r w:rsidRPr="000762B0">
        <w:rPr>
          <w:b/>
          <w:bCs/>
        </w:rPr>
        <w:t>Include the State’s analyses of the extent to which the demographics of the children for whom parents responded are representative of the demographics of children receiving special education services. States must include race/ethnicity in their analysis. In addition, the State’s analysis must also include at least one of the following demographics: age of the student, disability category, gender, geographic location, and/or another demographic category approved through the stakeholder input process.</w:t>
      </w:r>
    </w:p>
    <w:p w14:paraId="1D2210F6" w14:textId="77777777" w:rsidR="00156FDD" w:rsidRDefault="00156FDD" w:rsidP="00156FDD">
      <w:pPr>
        <w:rPr>
          <w:b/>
          <w:bCs/>
        </w:rPr>
      </w:pPr>
      <w:r w:rsidRPr="000A2B9F">
        <w:rPr>
          <w:bCs/>
          <w:color w:val="000000" w:themeColor="text1"/>
        </w:rPr>
        <w:t xml:space="preserve">For Part B 619 Preschool Age the State compared the representation by race/ethnicity and age in the population to the representation in the respondents using a +/- 3% criteria to identify over-or under-representativeness.  Using this methodology, all racial/ethnic groups and ages were represented within 3% of their population, therefore no differences were found by race/ethnicity or age. One difference was found by disability category. The SWD population consists of 40% of students with a Speech/Language Impairment and the respondents consist of 37% of students with a Speech/Language Impairment.  All other disability categories were within 3% of their population.  Furthermore, parents from a wide range of counties from across the state responded to the survey. Due to the difference in the disability category the results are not representative. </w:t>
      </w:r>
      <w:r w:rsidRPr="000A2B9F">
        <w:rPr>
          <w:bCs/>
          <w:color w:val="000000" w:themeColor="text1"/>
        </w:rPr>
        <w:br/>
      </w:r>
      <w:r w:rsidRPr="000A2B9F">
        <w:rPr>
          <w:bCs/>
          <w:color w:val="000000" w:themeColor="text1"/>
        </w:rPr>
        <w:br/>
        <w:t>For Part B School Age, the State compared the representation by race/ethnicity and grade group in the population to the representation in the respondents using a +/- 3% criteria to identify over-or under-representativeness.  Using this methodology, all racial/ethnic groups and grade groups were represented within 3% of their population, therefore no differences were found by race/ethnicity or grade group. Differences were found by disability category. The SWD population consists of 15% of students with Autism Spectrum Disorder and 26% of students with a Specific Learning Disability; the respondents consist of 18% of students with Autism Spectrum Disorder and 22% of students with a Specific Learning Disability.  All other disability categories were within 3% of their population. Furthermore, parents from a wide range of districts from across the state responded to the survey and results are weighted by county/district to ensure that the parent survey results reflect the population of parents in terms of geographic distribution. Due to differences in the disability category the results are not representative.</w:t>
      </w:r>
    </w:p>
    <w:p w14:paraId="3EF17F6A" w14:textId="0A433742" w:rsidR="00156FDD" w:rsidRPr="00A178D0" w:rsidRDefault="00156FDD" w:rsidP="00A178D0">
      <w:pPr>
        <w:rPr>
          <w:b/>
          <w:bCs/>
        </w:rPr>
      </w:pPr>
      <w:r w:rsidRPr="00A178D0">
        <w:rPr>
          <w:b/>
          <w:bCs/>
        </w:rPr>
        <w:t>The demographics of the children for whom parents are responding are representative of the demographics of children receiving special education services. (yes/no)</w:t>
      </w:r>
    </w:p>
    <w:p w14:paraId="51B1DB60" w14:textId="77777777" w:rsidR="00156FDD" w:rsidRDefault="00156FDD" w:rsidP="00156FDD">
      <w:pPr>
        <w:pStyle w:val="Subhed"/>
        <w:rPr>
          <w:b w:val="0"/>
          <w:bCs/>
          <w:color w:val="000000" w:themeColor="text1"/>
        </w:rPr>
      </w:pPr>
      <w:r w:rsidRPr="000A2B9F">
        <w:rPr>
          <w:b w:val="0"/>
          <w:bCs/>
          <w:color w:val="000000" w:themeColor="text1"/>
        </w:rPr>
        <w:t>NO</w:t>
      </w:r>
    </w:p>
    <w:p w14:paraId="2F39D1DC" w14:textId="77777777" w:rsidR="00156FDD" w:rsidRPr="00A12797" w:rsidRDefault="00156FDD" w:rsidP="00156FDD">
      <w:pPr>
        <w:rPr>
          <w:b/>
          <w:bCs/>
        </w:rPr>
      </w:pPr>
      <w:r w:rsidRPr="000762B0">
        <w:rPr>
          <w:b/>
          <w:bCs/>
        </w:rPr>
        <w:t>If no, describe the strategies that the State will use to ensure that in the future the response data are representative of those demographics</w:t>
      </w:r>
    </w:p>
    <w:p w14:paraId="5834B28C" w14:textId="77777777" w:rsidR="00156FDD" w:rsidRPr="000A2B9F" w:rsidRDefault="00156FDD" w:rsidP="00156FDD">
      <w:pPr>
        <w:pStyle w:val="Subhed"/>
        <w:rPr>
          <w:b w:val="0"/>
          <w:bCs/>
        </w:rPr>
      </w:pPr>
      <w:r w:rsidRPr="000A2B9F">
        <w:rPr>
          <w:b w:val="0"/>
          <w:bCs/>
          <w:color w:val="000000" w:themeColor="text1"/>
        </w:rPr>
        <w:t xml:space="preserve">The State gathered information from districts to determine possible reasons for low rates of parent participation on the survey, especially among parents of students with an SLD eligibility. One possible cause of low participation rates is that parents may not be expecting a text message or email from TAESE, the survey administrator. The State will encourage districts to collect parent cell phone numbers rather than landline numbers to increase the response rate via text message. The State will also encourage districts to inform families during IEP meetings and prior to the survey to be expecting the survey from TAESE. The State District Support Specialists will also share the parent survey results with individual districts to develop local solutions.  </w:t>
      </w:r>
    </w:p>
    <w:p w14:paraId="4FDE2F5E" w14:textId="77777777" w:rsidR="00156FDD" w:rsidRDefault="00156FDD" w:rsidP="00090132">
      <w:pPr>
        <w:rPr>
          <w:rFonts w:cs="Arial"/>
          <w:b/>
          <w:color w:val="000000" w:themeColor="text1"/>
          <w:szCs w:val="16"/>
        </w:rPr>
      </w:pPr>
    </w:p>
    <w:p w14:paraId="4BDEC798" w14:textId="64E8BE6C" w:rsidR="00090132" w:rsidRPr="0061205F" w:rsidRDefault="00090132" w:rsidP="00090132">
      <w:pPr>
        <w:rPr>
          <w:rFonts w:cs="Arial"/>
          <w:b/>
          <w:color w:val="000000" w:themeColor="text1"/>
          <w:szCs w:val="16"/>
        </w:rPr>
      </w:pPr>
      <w:r w:rsidRPr="0061205F">
        <w:rPr>
          <w:rFonts w:cs="Arial"/>
          <w:b/>
          <w:color w:val="000000" w:themeColor="text1"/>
          <w:szCs w:val="16"/>
        </w:rPr>
        <w:t>Describe strategies that will be implemented which are expected to increase the response rate year over year, particularly for those groups that are underrepresented.</w:t>
      </w:r>
    </w:p>
    <w:p w14:paraId="3C9BE65D" w14:textId="77777777" w:rsidR="00090132" w:rsidRPr="000A2B9F" w:rsidRDefault="00090132" w:rsidP="00090132">
      <w:pPr>
        <w:rPr>
          <w:rFonts w:cs="Arial"/>
          <w:bCs/>
          <w:color w:val="000000" w:themeColor="text1"/>
          <w:szCs w:val="16"/>
        </w:rPr>
      </w:pPr>
      <w:r w:rsidRPr="0061205F">
        <w:rPr>
          <w:rFonts w:cs="Arial"/>
          <w:bCs/>
          <w:color w:val="000000" w:themeColor="text1"/>
          <w:szCs w:val="16"/>
        </w:rPr>
        <w:t xml:space="preserve">The State has identified the need to increase parent response rates statewide. To support this effort, districts will be encouraged to collect parent cell phone numbers instead of landlines to enhance survey participation. Additionally, districts will remind parents in advance that they will receive a text or email from TAESE prior to survey administration. </w:t>
      </w:r>
      <w:r w:rsidRPr="0061205F">
        <w:rPr>
          <w:rFonts w:cs="Arial"/>
          <w:bCs/>
          <w:color w:val="000000" w:themeColor="text1"/>
          <w:szCs w:val="16"/>
        </w:rPr>
        <w:br/>
      </w:r>
      <w:r w:rsidRPr="0061205F">
        <w:rPr>
          <w:rFonts w:cs="Arial"/>
          <w:bCs/>
          <w:color w:val="000000" w:themeColor="text1"/>
          <w:szCs w:val="16"/>
        </w:rPr>
        <w:br/>
        <w:t xml:space="preserve">To further support districts, the State will provide universal technical assistance to LEAs during the survey administration year, aligned with the sampling schedule. Participating districts will receive sample surveys and outreach resources to inform parents about the upcoming survey. </w:t>
      </w:r>
      <w:r w:rsidRPr="0061205F">
        <w:rPr>
          <w:rFonts w:cs="Arial"/>
          <w:bCs/>
          <w:color w:val="000000" w:themeColor="text1"/>
          <w:szCs w:val="16"/>
        </w:rPr>
        <w:br/>
      </w:r>
      <w:r w:rsidRPr="0061205F">
        <w:rPr>
          <w:rFonts w:cs="Arial"/>
          <w:bCs/>
          <w:color w:val="000000" w:themeColor="text1"/>
          <w:szCs w:val="16"/>
        </w:rPr>
        <w:br/>
        <w:t xml:space="preserve">District Support Specialists will collaborate with each assigned district before survey administration to address potential barriers and develop a district-specific parent communication plan. Following the survey, these specialists will meet with districts to review results and identify strategies to improve future participation, with a focus on family engagement. One recommended strategy is discussing the survey during IEP meetings to pre-inform parents and increase response rates. </w:t>
      </w:r>
      <w:r w:rsidRPr="0061205F">
        <w:rPr>
          <w:rFonts w:cs="Arial"/>
          <w:bCs/>
          <w:color w:val="000000" w:themeColor="text1"/>
          <w:szCs w:val="16"/>
        </w:rPr>
        <w:br/>
      </w:r>
      <w:r w:rsidRPr="0061205F">
        <w:rPr>
          <w:rFonts w:cs="Arial"/>
          <w:bCs/>
          <w:color w:val="000000" w:themeColor="text1"/>
          <w:szCs w:val="16"/>
        </w:rPr>
        <w:br/>
        <w:t xml:space="preserve">Districts will also be encouraged to share survey results and timelines with their communities. Specifically, they should include a notice in procedural safeguards informing parents of the next survey date and advising them that the survey will come from an out-of-state phone number. </w:t>
      </w:r>
      <w:r w:rsidRPr="0061205F">
        <w:rPr>
          <w:rFonts w:cs="Arial"/>
          <w:bCs/>
          <w:color w:val="000000" w:themeColor="text1"/>
          <w:szCs w:val="16"/>
        </w:rPr>
        <w:br/>
      </w:r>
      <w:r w:rsidRPr="0061205F">
        <w:rPr>
          <w:rFonts w:cs="Arial"/>
          <w:bCs/>
          <w:color w:val="000000" w:themeColor="text1"/>
          <w:szCs w:val="16"/>
        </w:rPr>
        <w:br/>
        <w:t xml:space="preserve">The State expects that these combined efforts—promoting cell phone contact collection, providing technical assistance, and tailoring district-level communication plans—will lead to an increase in the statewide response rate. </w:t>
      </w:r>
    </w:p>
    <w:p w14:paraId="43E156F3" w14:textId="001639B3" w:rsidR="00090132" w:rsidRDefault="00090132" w:rsidP="00090132">
      <w:pPr>
        <w:rPr>
          <w:rFonts w:cs="Arial"/>
          <w:b/>
          <w:color w:val="000000" w:themeColor="text1"/>
          <w:szCs w:val="16"/>
        </w:rPr>
      </w:pPr>
      <w:r w:rsidRPr="0061205F">
        <w:rPr>
          <w:rFonts w:cs="Arial"/>
          <w:b/>
          <w:color w:val="000000" w:themeColor="text1"/>
          <w:szCs w:val="16"/>
        </w:rPr>
        <w:t xml:space="preserve">Describe the analysis </w:t>
      </w:r>
      <w:bookmarkStart w:id="45" w:name="_Hlk81486999"/>
      <w:r w:rsidRPr="0061205F">
        <w:rPr>
          <w:rFonts w:cs="Arial"/>
          <w:b/>
          <w:color w:val="000000" w:themeColor="text1"/>
          <w:szCs w:val="16"/>
        </w:rPr>
        <w:t>of the response rate including any nonresponse bias that was identified,</w:t>
      </w:r>
      <w:bookmarkEnd w:id="45"/>
      <w:r w:rsidRPr="0061205F">
        <w:rPr>
          <w:rFonts w:cs="Arial"/>
          <w:b/>
          <w:color w:val="000000" w:themeColor="text1"/>
          <w:szCs w:val="16"/>
        </w:rPr>
        <w:t xml:space="preserve"> and the steps taken to reduce any identified bias and promote response from a broad cross section of </w:t>
      </w:r>
      <w:r w:rsidR="009B0EF0" w:rsidRPr="007A62B9">
        <w:rPr>
          <w:rFonts w:cs="Arial"/>
          <w:b/>
          <w:szCs w:val="16"/>
        </w:rPr>
        <w:t>parents of children with disabilities</w:t>
      </w:r>
      <w:r w:rsidRPr="0061205F">
        <w:rPr>
          <w:rFonts w:cs="Arial"/>
          <w:b/>
          <w:color w:val="000000" w:themeColor="text1"/>
          <w:szCs w:val="16"/>
        </w:rPr>
        <w:t>.</w:t>
      </w:r>
    </w:p>
    <w:p w14:paraId="36D187F6" w14:textId="77777777" w:rsidR="00090132" w:rsidRPr="000A2B9F" w:rsidRDefault="00090132" w:rsidP="00090132">
      <w:pPr>
        <w:rPr>
          <w:rFonts w:cs="Arial"/>
          <w:b/>
          <w:color w:val="000000" w:themeColor="text1"/>
          <w:szCs w:val="16"/>
        </w:rPr>
      </w:pPr>
      <w:r>
        <w:rPr>
          <w:rFonts w:cs="Arial"/>
          <w:szCs w:val="16"/>
        </w:rPr>
        <w:t xml:space="preserve">Nonresponse bias measures the differences in opinions between respondents and non-respondents in meaningful ways, such as the positivity of responses.  A few things can be examined to determine nonresponse bias.  One is the overall response rate.  The higher the response rate, the less likely nonresponse bias will occur. The Part B School Age response rate is 8%, which is lower than last year’s response rate of 15%. Additionally, the </w:t>
      </w:r>
      <w:r>
        <w:rPr>
          <w:rFonts w:cs="Arial"/>
          <w:szCs w:val="16"/>
        </w:rPr>
        <w:lastRenderedPageBreak/>
        <w:t xml:space="preserve">Part B 619 Preschool Age response rate is 14%, which is also lower than last year’s response rate of 20%. It is possible that those parents who did not respond are different in some meaningful way in their level of positivity from those who did respond.  Thus, we proceeded with the next two ways for examining nonresponse bias. </w:t>
      </w:r>
      <w:r>
        <w:rPr>
          <w:rFonts w:cs="Arial"/>
          <w:szCs w:val="16"/>
        </w:rPr>
        <w:br/>
      </w:r>
      <w:r>
        <w:rPr>
          <w:rFonts w:cs="Arial"/>
          <w:szCs w:val="16"/>
        </w:rPr>
        <w:br/>
        <w:t xml:space="preserve">Second, the representativeness of the responses can be examined. Although significant differences were found in response rates by disability category, the actual responses of these different groups of parents showed no significant differences in the overall parent involvement percentage. Furthermore, results are weighted by county/district to ensure that the parent survey results reflect the population of parents in terms of geographic distribution. </w:t>
      </w:r>
      <w:r>
        <w:rPr>
          <w:rFonts w:cs="Arial"/>
          <w:szCs w:val="16"/>
        </w:rPr>
        <w:br/>
      </w:r>
      <w:r>
        <w:rPr>
          <w:rFonts w:cs="Arial"/>
          <w:szCs w:val="16"/>
        </w:rPr>
        <w:br/>
        <w:t xml:space="preserve">Third, we can compare the responses of parents who responded early in the process to those who responded later in the process. The state hypothesized that perhaps those parents who do not immediately respond are different in some meaningful way than those who respond immediately. Unfortunately, survey methodology was confounded with timing. The parents who completed the text survey responded early in the cycle; the parents who completed the mailed survey responded late in the cycle.  Parents who completed the text survey were less positive than parents who completed the mailed survey.  These results suggest that the mode of responding might influence how parents perceive and report their attitude and/or that different types of parents have a preferred mode of responding.  Therefore, we conclude that nonresponse bias is potentially present. </w:t>
      </w:r>
      <w:r>
        <w:rPr>
          <w:rFonts w:cs="Arial"/>
          <w:szCs w:val="16"/>
        </w:rPr>
        <w:br/>
      </w:r>
      <w:r>
        <w:rPr>
          <w:rFonts w:cs="Arial"/>
          <w:szCs w:val="16"/>
        </w:rPr>
        <w:br/>
        <w:t xml:space="preserve">The Statewide strategies of encouraging districts to collect cell phone numbers and remind families that a survey will be sent from an out of state phone number from TAESE are expected to promote a broad response from a cross section of parents of children with disabilities, including those in underrepresented groups. </w:t>
      </w:r>
    </w:p>
    <w:p w14:paraId="78A83A27" w14:textId="50D5E24D" w:rsidR="001F448F" w:rsidRDefault="001F448F" w:rsidP="00A12797">
      <w:pPr>
        <w:rPr>
          <w:b/>
          <w:bCs/>
        </w:rPr>
      </w:pPr>
    </w:p>
    <w:tbl>
      <w:tblPr>
        <w:tblStyle w:val="TableGrid"/>
        <w:tblW w:w="0" w:type="auto"/>
        <w:tblLayout w:type="fixed"/>
        <w:tblLook w:val="04A0" w:firstRow="1" w:lastRow="0" w:firstColumn="1" w:lastColumn="0" w:noHBand="0" w:noVBand="1"/>
        <w:tblCaption w:val="B08SAMPLEUSED"/>
      </w:tblPr>
      <w:tblGrid>
        <w:gridCol w:w="8550"/>
        <w:gridCol w:w="2245"/>
      </w:tblGrid>
      <w:tr w:rsidR="005C29F8" w:rsidRPr="00781112" w14:paraId="4C454EA6" w14:textId="77777777" w:rsidTr="002B4D97">
        <w:trPr>
          <w:tblHeader/>
        </w:trPr>
        <w:tc>
          <w:tcPr>
            <w:tcW w:w="8550" w:type="dxa"/>
            <w:shd w:val="clear" w:color="auto" w:fill="auto"/>
          </w:tcPr>
          <w:p w14:paraId="641A3E2E" w14:textId="371AB589" w:rsidR="00564D95" w:rsidRPr="00781112" w:rsidRDefault="00E91363" w:rsidP="00B6413B">
            <w:pPr>
              <w:rPr>
                <w:rFonts w:cs="Arial"/>
                <w:b/>
                <w:bCs/>
                <w:color w:val="000000" w:themeColor="text1"/>
                <w:szCs w:val="16"/>
              </w:rPr>
            </w:pPr>
            <w:r w:rsidRPr="00781112">
              <w:rPr>
                <w:rFonts w:cs="Arial"/>
                <w:b/>
                <w:bCs/>
                <w:color w:val="000000" w:themeColor="text1"/>
                <w:szCs w:val="16"/>
              </w:rPr>
              <w:t>Sampling Question</w:t>
            </w:r>
          </w:p>
        </w:tc>
        <w:tc>
          <w:tcPr>
            <w:tcW w:w="2245" w:type="dxa"/>
            <w:shd w:val="clear" w:color="auto" w:fill="auto"/>
          </w:tcPr>
          <w:p w14:paraId="5DD050D6" w14:textId="45F46418" w:rsidR="00564D95" w:rsidRPr="00781112" w:rsidRDefault="00564D9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5780CF1" w14:textId="46D0A53A" w:rsidTr="002B4D97">
        <w:tc>
          <w:tcPr>
            <w:tcW w:w="8550" w:type="dxa"/>
            <w:shd w:val="clear" w:color="auto" w:fill="auto"/>
          </w:tcPr>
          <w:p w14:paraId="43F69327" w14:textId="1229D955" w:rsidR="00564D95" w:rsidRPr="00781112" w:rsidRDefault="00564D95" w:rsidP="00B6413B">
            <w:pPr>
              <w:rPr>
                <w:rFonts w:cs="Arial"/>
                <w:color w:val="000000" w:themeColor="text1"/>
                <w:szCs w:val="16"/>
              </w:rPr>
            </w:pPr>
            <w:r w:rsidRPr="00781112">
              <w:rPr>
                <w:rFonts w:cs="Arial"/>
                <w:color w:val="000000" w:themeColor="text1"/>
                <w:szCs w:val="16"/>
              </w:rPr>
              <w:t xml:space="preserve">Was sampling used? </w:t>
            </w:r>
          </w:p>
        </w:tc>
        <w:tc>
          <w:tcPr>
            <w:tcW w:w="2245" w:type="dxa"/>
            <w:shd w:val="clear" w:color="auto" w:fill="auto"/>
          </w:tcPr>
          <w:p w14:paraId="1BA005BB" w14:textId="4AC8FD0F" w:rsidR="00564D9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46B6D7FE" w14:textId="62FEECDE" w:rsidTr="002B4D97">
        <w:tc>
          <w:tcPr>
            <w:tcW w:w="8550" w:type="dxa"/>
            <w:shd w:val="clear" w:color="auto" w:fill="auto"/>
          </w:tcPr>
          <w:p w14:paraId="03CC110D" w14:textId="013D0EF2" w:rsidR="00564D95" w:rsidRPr="00781112" w:rsidRDefault="00EF1C23" w:rsidP="00B6413B">
            <w:pPr>
              <w:rPr>
                <w:rFonts w:cs="Arial"/>
                <w:color w:val="000000" w:themeColor="text1"/>
                <w:szCs w:val="16"/>
              </w:rPr>
            </w:pPr>
            <w:r w:rsidRPr="00781112">
              <w:rPr>
                <w:rFonts w:cs="Arial"/>
                <w:color w:val="000000" w:themeColor="text1"/>
                <w:szCs w:val="16"/>
              </w:rPr>
              <w:t>If yes, has your previously approved sampling plan changed?</w:t>
            </w:r>
          </w:p>
        </w:tc>
        <w:tc>
          <w:tcPr>
            <w:tcW w:w="2245" w:type="dxa"/>
            <w:shd w:val="clear" w:color="auto" w:fill="auto"/>
          </w:tcPr>
          <w:p w14:paraId="152E1EC0" w14:textId="4401EFC8" w:rsidR="00564D9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7C7B18C6" w14:textId="2B0391C4" w:rsidR="009B37A2" w:rsidRPr="00781112" w:rsidRDefault="009B37A2" w:rsidP="00B6413B">
      <w:pPr>
        <w:rPr>
          <w:rFonts w:cs="Arial"/>
          <w:b/>
          <w:color w:val="000000" w:themeColor="text1"/>
          <w:szCs w:val="16"/>
        </w:rPr>
      </w:pPr>
      <w:r w:rsidRPr="00781112">
        <w:rPr>
          <w:rFonts w:cs="Arial"/>
          <w:b/>
          <w:color w:val="000000" w:themeColor="text1"/>
          <w:szCs w:val="16"/>
        </w:rPr>
        <w:t>Describe the sampling methodology outlining how the design will yield valid and reliable estimates.</w:t>
      </w:r>
    </w:p>
    <w:p w14:paraId="1972664F" w14:textId="35FA6AAA" w:rsidR="009B37A2" w:rsidRPr="00781112" w:rsidRDefault="002B7490" w:rsidP="00B6413B">
      <w:pPr>
        <w:rPr>
          <w:rFonts w:cs="Arial"/>
          <w:color w:val="000000" w:themeColor="text1"/>
          <w:szCs w:val="16"/>
        </w:rPr>
      </w:pPr>
      <w:r w:rsidRPr="00781112">
        <w:rPr>
          <w:rFonts w:cs="Arial"/>
          <w:color w:val="000000" w:themeColor="text1"/>
          <w:szCs w:val="16"/>
        </w:rPr>
        <w:t xml:space="preserve">The current sampling methodology was designed to yield valid and reliable estimates through the use of a stratified random sampling in survey design. Within each group of districts sampled, the demographic make-up of parents selected to receive the survey matches the demographic make-up of children in selected districts. Weighting response data further promotes the validity of drawing conclusions from these data. The sampling design also supports drawing valid and reliable conclusions from data gathered, because the same survey is used with the different groups of families across time and locations. </w:t>
      </w:r>
    </w:p>
    <w:p w14:paraId="12C8B638" w14:textId="77777777" w:rsidR="00AF550B" w:rsidRPr="00781112" w:rsidRDefault="00AF550B" w:rsidP="00AF550B">
      <w:pPr>
        <w:rPr>
          <w:rFonts w:cs="Arial"/>
          <w:color w:val="000000" w:themeColor="text1"/>
          <w:szCs w:val="16"/>
        </w:rPr>
      </w:pPr>
    </w:p>
    <w:tbl>
      <w:tblPr>
        <w:tblStyle w:val="TableGrid"/>
        <w:tblW w:w="10800" w:type="dxa"/>
        <w:tblLayout w:type="fixed"/>
        <w:tblLook w:val="04A0" w:firstRow="1" w:lastRow="0" w:firstColumn="1" w:lastColumn="0" w:noHBand="0" w:noVBand="1"/>
        <w:tblCaption w:val="B08SURVEYUSED"/>
      </w:tblPr>
      <w:tblGrid>
        <w:gridCol w:w="8550"/>
        <w:gridCol w:w="2250"/>
      </w:tblGrid>
      <w:tr w:rsidR="005C29F8" w:rsidRPr="00781112" w14:paraId="5A4C524D" w14:textId="77777777" w:rsidTr="0033429D">
        <w:trPr>
          <w:tblHeader/>
        </w:trPr>
        <w:tc>
          <w:tcPr>
            <w:tcW w:w="8550" w:type="dxa"/>
          </w:tcPr>
          <w:p w14:paraId="3B302184" w14:textId="3C2CBF4D" w:rsidR="00B5350E" w:rsidRPr="00781112" w:rsidRDefault="00BC5CA0" w:rsidP="00B6413B">
            <w:pPr>
              <w:rPr>
                <w:rFonts w:cs="Arial"/>
                <w:b/>
                <w:bCs/>
                <w:color w:val="000000" w:themeColor="text1"/>
                <w:szCs w:val="16"/>
              </w:rPr>
            </w:pPr>
            <w:r w:rsidRPr="00781112">
              <w:rPr>
                <w:rFonts w:cs="Arial"/>
                <w:b/>
                <w:bCs/>
                <w:color w:val="000000" w:themeColor="text1"/>
                <w:szCs w:val="16"/>
              </w:rPr>
              <w:t>Survey Question</w:t>
            </w:r>
          </w:p>
        </w:tc>
        <w:tc>
          <w:tcPr>
            <w:tcW w:w="2250" w:type="dxa"/>
          </w:tcPr>
          <w:p w14:paraId="4082973A" w14:textId="148FA82D" w:rsidR="00B5350E" w:rsidRPr="00781112" w:rsidRDefault="00B5350E"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2BBB7A7B" w14:textId="530EE0A4" w:rsidTr="00E0321D">
        <w:tc>
          <w:tcPr>
            <w:tcW w:w="8550" w:type="dxa"/>
          </w:tcPr>
          <w:p w14:paraId="1C595FC3" w14:textId="00C59640" w:rsidR="00B5350E" w:rsidRPr="00781112" w:rsidRDefault="00B5350E" w:rsidP="00B6413B">
            <w:pPr>
              <w:rPr>
                <w:rFonts w:cs="Arial"/>
                <w:color w:val="000000" w:themeColor="text1"/>
                <w:szCs w:val="16"/>
              </w:rPr>
            </w:pPr>
            <w:r w:rsidRPr="00781112">
              <w:rPr>
                <w:rFonts w:cs="Arial"/>
                <w:color w:val="000000" w:themeColor="text1"/>
                <w:szCs w:val="16"/>
              </w:rPr>
              <w:t xml:space="preserve">Was a survey used? </w:t>
            </w:r>
          </w:p>
        </w:tc>
        <w:tc>
          <w:tcPr>
            <w:tcW w:w="2250" w:type="dxa"/>
          </w:tcPr>
          <w:p w14:paraId="694FDC95" w14:textId="251E84C1" w:rsidR="00B5350E"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1198B60F" w14:textId="5AD58247" w:rsidTr="00E0321D">
        <w:tc>
          <w:tcPr>
            <w:tcW w:w="8550" w:type="dxa"/>
          </w:tcPr>
          <w:p w14:paraId="7B6CA23B" w14:textId="49CC8BE9" w:rsidR="00B5350E" w:rsidRPr="00781112" w:rsidRDefault="0020552B" w:rsidP="00B6413B">
            <w:pPr>
              <w:rPr>
                <w:rFonts w:cs="Arial"/>
                <w:color w:val="000000" w:themeColor="text1"/>
                <w:szCs w:val="16"/>
              </w:rPr>
            </w:pPr>
            <w:r w:rsidRPr="00781112">
              <w:rPr>
                <w:rFonts w:cs="Arial"/>
                <w:color w:val="000000" w:themeColor="text1"/>
                <w:szCs w:val="16"/>
              </w:rPr>
              <w:t>If yes, is it a new or revised survey?</w:t>
            </w:r>
          </w:p>
        </w:tc>
        <w:tc>
          <w:tcPr>
            <w:tcW w:w="2250" w:type="dxa"/>
          </w:tcPr>
          <w:p w14:paraId="7CA6C425" w14:textId="5334C716" w:rsidR="00B5350E"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20B301BF" w14:textId="77777777" w:rsidTr="00E0321D">
        <w:tc>
          <w:tcPr>
            <w:tcW w:w="8550" w:type="dxa"/>
          </w:tcPr>
          <w:p w14:paraId="5941AFA2" w14:textId="5CB4672E" w:rsidR="00371D57" w:rsidRPr="00781112" w:rsidRDefault="00BB56EB" w:rsidP="00B6413B">
            <w:pPr>
              <w:rPr>
                <w:rFonts w:cs="Arial"/>
                <w:color w:val="000000" w:themeColor="text1"/>
                <w:szCs w:val="16"/>
              </w:rPr>
            </w:pPr>
            <w:r w:rsidRPr="00781112">
              <w:rPr>
                <w:rFonts w:cs="Arial"/>
                <w:color w:val="000000" w:themeColor="text1"/>
                <w:szCs w:val="16"/>
              </w:rPr>
              <w:t>If yes, provide a copy of the survey.</w:t>
            </w:r>
          </w:p>
        </w:tc>
        <w:tc>
          <w:tcPr>
            <w:tcW w:w="2250" w:type="dxa"/>
          </w:tcPr>
          <w:p w14:paraId="47FBC4A0" w14:textId="3B42F246" w:rsidR="00371D57" w:rsidRPr="00781112" w:rsidRDefault="00371D57" w:rsidP="00A018D4">
            <w:pPr>
              <w:jc w:val="center"/>
              <w:rPr>
                <w:rFonts w:cs="Arial"/>
                <w:color w:val="000000" w:themeColor="text1"/>
                <w:szCs w:val="16"/>
              </w:rPr>
            </w:pPr>
          </w:p>
        </w:tc>
      </w:tr>
    </w:tbl>
    <w:p w14:paraId="15C9B2F7" w14:textId="77777777" w:rsidR="00991685" w:rsidRDefault="00991685" w:rsidP="00221EC9">
      <w:pPr>
        <w:rPr>
          <w:rFonts w:cs="Arial"/>
          <w:b/>
          <w:color w:val="000000" w:themeColor="text1"/>
          <w:szCs w:val="16"/>
        </w:rPr>
      </w:pPr>
    </w:p>
    <w:p w14:paraId="1A0A4F5E" w14:textId="49FD4EED" w:rsidR="00221EC9" w:rsidRPr="00781112" w:rsidRDefault="00221EC9" w:rsidP="00221EC9">
      <w:pPr>
        <w:rPr>
          <w:rFonts w:cs="Arial"/>
          <w:b/>
          <w:color w:val="000000" w:themeColor="text1"/>
          <w:szCs w:val="16"/>
        </w:rPr>
      </w:pPr>
      <w:r w:rsidRPr="00781112">
        <w:rPr>
          <w:rFonts w:cs="Arial"/>
          <w:b/>
          <w:color w:val="000000" w:themeColor="text1"/>
          <w:szCs w:val="16"/>
        </w:rPr>
        <w:t>Provide additional information about this indicator (optional)</w:t>
      </w:r>
    </w:p>
    <w:p w14:paraId="7F22D6A0" w14:textId="105FEEC5" w:rsidR="009B37A2" w:rsidRPr="00781112" w:rsidRDefault="009B37A2" w:rsidP="007D435F">
      <w:pPr>
        <w:rPr>
          <w:rFonts w:cs="Arial"/>
          <w:color w:val="000000" w:themeColor="text1"/>
          <w:szCs w:val="16"/>
        </w:rPr>
      </w:pPr>
    </w:p>
    <w:p w14:paraId="1CDDE440" w14:textId="050C9555" w:rsidR="000A2C83" w:rsidRPr="00781112" w:rsidRDefault="00752BAF" w:rsidP="005B40C0">
      <w:pPr>
        <w:pStyle w:val="Heading3"/>
      </w:pPr>
      <w:r w:rsidRPr="00781112">
        <w:t>8</w:t>
      </w:r>
      <w:r w:rsidR="001F6BAA" w:rsidRPr="00781112">
        <w:t xml:space="preserve"> </w:t>
      </w:r>
      <w:r w:rsidRPr="00781112">
        <w:t xml:space="preserve">- </w:t>
      </w:r>
      <w:r w:rsidR="000A2C83" w:rsidRPr="00781112">
        <w:t>Prior FFY Required Actions</w:t>
      </w:r>
    </w:p>
    <w:p w14:paraId="078A2B9E" w14:textId="64337A5A" w:rsidR="000A2C83" w:rsidRPr="00781112" w:rsidRDefault="002B7490" w:rsidP="000A2C83">
      <w:pPr>
        <w:rPr>
          <w:rFonts w:cs="Arial"/>
          <w:color w:val="000000" w:themeColor="text1"/>
          <w:szCs w:val="16"/>
        </w:rPr>
      </w:pPr>
      <w:r w:rsidRPr="00781112">
        <w:rPr>
          <w:rFonts w:cs="Arial"/>
          <w:color w:val="000000" w:themeColor="text1"/>
          <w:szCs w:val="16"/>
        </w:rPr>
        <w:t xml:space="preserve">In the FFY 2023 SPP/APR, the State must report whether the FFY 2023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 </w:t>
      </w:r>
    </w:p>
    <w:p w14:paraId="5AB800FF" w14:textId="53D4E253" w:rsidR="000A2C83" w:rsidRPr="00781112" w:rsidRDefault="007639D7" w:rsidP="004369B2">
      <w:pPr>
        <w:rPr>
          <w:b/>
          <w:color w:val="000000" w:themeColor="text1"/>
        </w:rPr>
      </w:pPr>
      <w:r>
        <w:rPr>
          <w:b/>
          <w:color w:val="000000" w:themeColor="text1"/>
        </w:rPr>
        <w:t>Response to actions required in FFY 2022 SPP/APR</w:t>
      </w:r>
    </w:p>
    <w:p w14:paraId="03E9CB46" w14:textId="594F3FDD" w:rsidR="007757B1" w:rsidRPr="00781112" w:rsidRDefault="002B7490" w:rsidP="007757B1">
      <w:pPr>
        <w:rPr>
          <w:rFonts w:cs="Arial"/>
          <w:color w:val="000000" w:themeColor="text1"/>
          <w:szCs w:val="16"/>
        </w:rPr>
      </w:pPr>
      <w:r w:rsidRPr="00781112">
        <w:rPr>
          <w:rFonts w:cs="Arial"/>
          <w:color w:val="000000" w:themeColor="text1"/>
          <w:szCs w:val="16"/>
        </w:rPr>
        <w:t xml:space="preserve">As directed in the FFY 2022 SPP/APR, the State reports in the FFY 2023 SPP/APR that the data indeed are from a response group that is representative of the demographics of children receiving special education services. As described above, the State analyzed the extent to which the response data represented students by race/ethnicity, age or grade, and geographic location. No differences within the +/-3% threshold of representation for any of the above demographic categories were found for both preschool and school age parent respondents.  </w:t>
      </w:r>
      <w:r w:rsidRPr="00781112">
        <w:rPr>
          <w:rFonts w:cs="Arial"/>
          <w:color w:val="000000" w:themeColor="text1"/>
          <w:szCs w:val="16"/>
        </w:rPr>
        <w:br/>
      </w:r>
      <w:r w:rsidRPr="00781112">
        <w:rPr>
          <w:rFonts w:cs="Arial"/>
          <w:color w:val="000000" w:themeColor="text1"/>
          <w:szCs w:val="16"/>
        </w:rPr>
        <w:br/>
        <w:t xml:space="preserve">When examining results by disability category, differences were found, as reported above. For Part B 619 preschool age, one difference was found by disability category. The SWD population consists of 40% of students with a Speech/Language Impairment and the respondents consist of 37% of students with a Speech/Language Impairment.  All other disability categories were within 3% of their population. Due to the difference in the disability category the results are not representative. </w:t>
      </w:r>
      <w:r w:rsidRPr="00781112">
        <w:rPr>
          <w:rFonts w:cs="Arial"/>
          <w:color w:val="000000" w:themeColor="text1"/>
          <w:szCs w:val="16"/>
        </w:rPr>
        <w:br/>
      </w:r>
      <w:r w:rsidRPr="00781112">
        <w:rPr>
          <w:rFonts w:cs="Arial"/>
          <w:color w:val="000000" w:themeColor="text1"/>
          <w:szCs w:val="16"/>
        </w:rPr>
        <w:br/>
        <w:t xml:space="preserve">For school age, differences were found by disability category. The SWD population consists of 15% of students with Autism Spectrum Disorder and 26% of students with a Specific Learning Disability; the respondents consist of 18% of students with Autism Spectrum Disorder and 22% of students with a Specific Learning Disability.  All other disability categories were within 3% of their population. Due to the difference in the disability category the results are not representative. </w:t>
      </w:r>
      <w:r w:rsidRPr="00781112">
        <w:rPr>
          <w:rFonts w:cs="Arial"/>
          <w:color w:val="000000" w:themeColor="text1"/>
          <w:szCs w:val="16"/>
        </w:rPr>
        <w:br/>
      </w:r>
      <w:r w:rsidRPr="00781112">
        <w:rPr>
          <w:rFonts w:cs="Arial"/>
          <w:color w:val="000000" w:themeColor="text1"/>
          <w:szCs w:val="16"/>
        </w:rPr>
        <w:br/>
        <w:t xml:space="preserve">To address the disproportionate representation found among survey respondents, the State identified the overall need to increase response rate among parents statewide. The State will encourage districts to collect parent cell phone numbers rather than landline numbers in order to increase the response rate. The State will also encourage districts to remind parents they will be receiving a text or email from TAESE prior to survey administration. </w:t>
      </w:r>
      <w:r w:rsidRPr="00781112">
        <w:rPr>
          <w:rFonts w:cs="Arial"/>
          <w:color w:val="000000" w:themeColor="text1"/>
          <w:szCs w:val="16"/>
        </w:rPr>
        <w:br/>
      </w:r>
      <w:r w:rsidRPr="00781112">
        <w:rPr>
          <w:rFonts w:cs="Arial"/>
          <w:color w:val="000000" w:themeColor="text1"/>
          <w:szCs w:val="16"/>
        </w:rPr>
        <w:br/>
        <w:t xml:space="preserve">The State will also provide additional universal technical assistance resources to LEAs in the year of survey administration according to the sampling schedule. All participating districts will be provided with sample surveys and sample resources for reaching out to parents informing them the survey is coming. </w:t>
      </w:r>
      <w:r w:rsidRPr="00781112">
        <w:rPr>
          <w:rFonts w:cs="Arial"/>
          <w:color w:val="000000" w:themeColor="text1"/>
          <w:szCs w:val="16"/>
        </w:rPr>
        <w:br/>
      </w:r>
      <w:r w:rsidRPr="00781112">
        <w:rPr>
          <w:rFonts w:cs="Arial"/>
          <w:color w:val="000000" w:themeColor="text1"/>
          <w:szCs w:val="16"/>
        </w:rPr>
        <w:br/>
        <w:t xml:space="preserve">The District Support Specialist assigned to each district will also communicate with each district prior to survey administration, addressing anticipated barriers to responses and planning a district specific communication plan to parents. </w:t>
      </w:r>
      <w:r w:rsidRPr="00781112">
        <w:rPr>
          <w:rFonts w:cs="Arial"/>
          <w:color w:val="000000" w:themeColor="text1"/>
          <w:szCs w:val="16"/>
        </w:rPr>
        <w:br/>
      </w:r>
      <w:r w:rsidRPr="00781112">
        <w:rPr>
          <w:rFonts w:cs="Arial"/>
          <w:color w:val="000000" w:themeColor="text1"/>
          <w:szCs w:val="16"/>
        </w:rPr>
        <w:br/>
      </w:r>
      <w:r w:rsidRPr="00781112">
        <w:rPr>
          <w:rFonts w:cs="Arial"/>
          <w:color w:val="000000" w:themeColor="text1"/>
          <w:szCs w:val="16"/>
        </w:rPr>
        <w:lastRenderedPageBreak/>
        <w:t xml:space="preserve">After survey administration, the District Support Specialist will meet with all surveyed districts to discuss their results and to identify ways to increase survey participation in future years. The conversation will revolve around family engagement. These state staff will discuss engagement during IEP meetings as one strategy to pre-inform parents of the survey and boost future participation. The District Support Specialists will also encourage districts to share survey results and timelines with their communities. Districts will specifically be encouraged to add a notice to procedural safeguards informing parents of the date of the next parent survey, and to expect the survey to come from an out of state phone number.  </w:t>
      </w:r>
      <w:r w:rsidRPr="00781112">
        <w:rPr>
          <w:rFonts w:cs="Arial"/>
          <w:color w:val="000000" w:themeColor="text1"/>
          <w:szCs w:val="16"/>
        </w:rPr>
        <w:br/>
      </w:r>
      <w:r w:rsidRPr="00781112">
        <w:rPr>
          <w:rFonts w:cs="Arial"/>
          <w:color w:val="000000" w:themeColor="text1"/>
          <w:szCs w:val="16"/>
        </w:rPr>
        <w:br/>
        <w:t xml:space="preserve">The State anticipates the statewide response rate to increase through the combined approach of encouraging use of cell phone numbers, providing universal technical assistance, and individualizing survey communication plans by district. </w:t>
      </w:r>
    </w:p>
    <w:p w14:paraId="5B521A52" w14:textId="17857299" w:rsidR="00221EC9" w:rsidRPr="00781112" w:rsidRDefault="00752BAF" w:rsidP="005B40C0">
      <w:pPr>
        <w:pStyle w:val="Heading3"/>
      </w:pPr>
      <w:r w:rsidRPr="00781112">
        <w:t>8 - OSEP Response</w:t>
      </w:r>
    </w:p>
    <w:p w14:paraId="1A55D397" w14:textId="0DDAC080" w:rsidR="009B37A2" w:rsidRPr="00781112" w:rsidRDefault="009B37A2" w:rsidP="001F692C">
      <w:pPr>
        <w:rPr>
          <w:rFonts w:cs="Arial"/>
          <w:color w:val="000000" w:themeColor="text1"/>
          <w:szCs w:val="16"/>
        </w:rPr>
      </w:pPr>
    </w:p>
    <w:p w14:paraId="13389642" w14:textId="758A1D0A" w:rsidR="00221EC9" w:rsidRPr="00781112" w:rsidRDefault="00752BAF" w:rsidP="005B40C0">
      <w:pPr>
        <w:pStyle w:val="Heading3"/>
      </w:pPr>
      <w:r w:rsidRPr="00781112">
        <w:t>8 - Required Actions</w:t>
      </w:r>
    </w:p>
    <w:p w14:paraId="48F68B87" w14:textId="7D160B08" w:rsidR="009B37A2" w:rsidRPr="00781112" w:rsidRDefault="002B7490" w:rsidP="001F692C">
      <w:pPr>
        <w:rPr>
          <w:rFonts w:cs="Arial"/>
          <w:color w:val="000000" w:themeColor="text1"/>
          <w:szCs w:val="16"/>
        </w:rPr>
      </w:pPr>
      <w:r w:rsidRPr="00781112">
        <w:rPr>
          <w:rFonts w:cs="Arial"/>
          <w:color w:val="000000" w:themeColor="text1"/>
          <w:szCs w:val="16"/>
        </w:rPr>
        <w:t>In the FFY 2024 SPP/APR, the State must report whether the FFY 2024 data are from a response group that is representative of the demographics of children receiving special education services, and, if not, the actions the State is taking to address this issue. The State must also include its analysis of the extent to which the response data are representative of the demographics of children receiving special education services.</w:t>
      </w:r>
    </w:p>
    <w:p w14:paraId="6D95E736"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0E39FDA6" w14:textId="025763A2" w:rsidR="00D03701" w:rsidRPr="00781112" w:rsidRDefault="00D03701" w:rsidP="005B40C0">
      <w:pPr>
        <w:pStyle w:val="Heading2"/>
      </w:pPr>
      <w:r w:rsidRPr="00781112">
        <w:rPr>
          <w:color w:val="000000" w:themeColor="text1"/>
          <w:sz w:val="22"/>
        </w:rPr>
        <w:lastRenderedPageBreak/>
        <w:t>Indicator 9: Disproportionate Representation</w:t>
      </w:r>
    </w:p>
    <w:p w14:paraId="30C4375D" w14:textId="64B557D3" w:rsidR="00AF5AFB" w:rsidRPr="002C274F" w:rsidRDefault="00AF5AFB" w:rsidP="002C274F">
      <w:pPr>
        <w:rPr>
          <w:b/>
          <w:bCs/>
          <w:sz w:val="20"/>
          <w:szCs w:val="20"/>
        </w:rPr>
      </w:pPr>
      <w:bookmarkStart w:id="46" w:name="_Toc384383343"/>
      <w:bookmarkStart w:id="47" w:name="_Toc392159311"/>
      <w:r w:rsidRPr="002C274F">
        <w:rPr>
          <w:b/>
          <w:bCs/>
          <w:sz w:val="20"/>
          <w:szCs w:val="20"/>
        </w:rPr>
        <w:t>Instructions and Measurement</w:t>
      </w:r>
    </w:p>
    <w:p w14:paraId="61C479DB" w14:textId="1E252334" w:rsidR="00CC634E" w:rsidRPr="00781112" w:rsidRDefault="00CC634E" w:rsidP="006357C5">
      <w:pPr>
        <w:rPr>
          <w:rFonts w:cs="Arial"/>
          <w:b/>
          <w:color w:val="000000" w:themeColor="text1"/>
          <w:szCs w:val="16"/>
        </w:rPr>
      </w:pPr>
      <w:r w:rsidRPr="00781112">
        <w:rPr>
          <w:rFonts w:cs="Arial"/>
          <w:b/>
          <w:color w:val="000000" w:themeColor="text1"/>
          <w:szCs w:val="16"/>
        </w:rPr>
        <w:t xml:space="preserve">Monitoring Priority: </w:t>
      </w:r>
      <w:r w:rsidRPr="00781112">
        <w:rPr>
          <w:rFonts w:cs="Arial"/>
          <w:color w:val="000000" w:themeColor="text1"/>
          <w:szCs w:val="16"/>
        </w:rPr>
        <w:t>Disproportionality</w:t>
      </w:r>
    </w:p>
    <w:p w14:paraId="2539829F" w14:textId="77777777" w:rsidR="00876394" w:rsidRPr="00781112" w:rsidRDefault="00CC634E" w:rsidP="006357C5">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districts with disproportionate representation of racial and ethnic groups in special education and related services that is the result of inappropriate identification. </w:t>
      </w:r>
    </w:p>
    <w:p w14:paraId="4983BB5F" w14:textId="28C83F84" w:rsidR="00CC634E" w:rsidRPr="00781112" w:rsidRDefault="00CC634E" w:rsidP="006357C5">
      <w:pPr>
        <w:rPr>
          <w:rFonts w:cs="Arial"/>
          <w:color w:val="000000" w:themeColor="text1"/>
          <w:szCs w:val="16"/>
        </w:rPr>
      </w:pPr>
      <w:r w:rsidRPr="00781112">
        <w:rPr>
          <w:rFonts w:cs="Arial"/>
          <w:color w:val="000000" w:themeColor="text1"/>
          <w:szCs w:val="16"/>
        </w:rPr>
        <w:t>(20 U.S.C. 1416(a)(3)(C))</w:t>
      </w:r>
    </w:p>
    <w:p w14:paraId="6D2519CF" w14:textId="77777777" w:rsidR="00A66715" w:rsidRPr="00781112" w:rsidRDefault="00A66715" w:rsidP="004369B2">
      <w:pPr>
        <w:rPr>
          <w:color w:val="000000" w:themeColor="text1"/>
        </w:rPr>
      </w:pPr>
      <w:r w:rsidRPr="00781112">
        <w:rPr>
          <w:b/>
          <w:color w:val="000000" w:themeColor="text1"/>
        </w:rPr>
        <w:t>Data Source</w:t>
      </w:r>
    </w:p>
    <w:p w14:paraId="435C1BC0" w14:textId="1F2EA9FD" w:rsidR="00A66715" w:rsidRPr="00781112" w:rsidRDefault="00A66715"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special education and related services was the result of inappropriate identification.</w:t>
      </w:r>
    </w:p>
    <w:p w14:paraId="3FA170D6" w14:textId="77777777" w:rsidR="00A66715" w:rsidRPr="00781112" w:rsidRDefault="00A66715" w:rsidP="004369B2">
      <w:pPr>
        <w:rPr>
          <w:color w:val="000000" w:themeColor="text1"/>
        </w:rPr>
      </w:pPr>
      <w:r w:rsidRPr="00781112">
        <w:rPr>
          <w:b/>
          <w:color w:val="000000" w:themeColor="text1"/>
        </w:rPr>
        <w:t>Measurement</w:t>
      </w:r>
    </w:p>
    <w:p w14:paraId="477AA533" w14:textId="06ADBA36" w:rsidR="00A66715" w:rsidRPr="00781112" w:rsidRDefault="00A66715" w:rsidP="00286BDF">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special education and related services that is the result of inappropriate identification) divided by the (# of districts in the State that meet the State-established n and/or cell size (if applicable) for one or more racial/ethnic groups)] times 100.</w:t>
      </w:r>
    </w:p>
    <w:p w14:paraId="47207609" w14:textId="77777777" w:rsidR="00A66715" w:rsidRPr="00781112" w:rsidRDefault="00A66715" w:rsidP="00286BDF">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2F72A4A6" w14:textId="4DE78813" w:rsidR="00A66715" w:rsidRPr="00781112" w:rsidRDefault="0016730D" w:rsidP="00286BDF">
      <w:pPr>
        <w:rPr>
          <w:rFonts w:cs="Arial"/>
          <w:color w:val="000000" w:themeColor="text1"/>
          <w:szCs w:val="16"/>
        </w:rPr>
      </w:pPr>
      <w:r w:rsidRPr="00781112">
        <w:rPr>
          <w:rFonts w:cs="Arial"/>
          <w:color w:val="000000" w:themeColor="text1"/>
          <w:szCs w:val="16"/>
        </w:rPr>
        <w:t>Based on its review of the 618 data for the reporting year, describe how the State made its annual determination as to whether the disproportionate representation it identified of racial and ethnic groups in special education and related services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special education and related services is the result of inappropriate identification, even if the determination of inappropriate identification was made after the end of the FFY 2023 reporting period (i.e., after June 30, 2024).</w:t>
      </w:r>
    </w:p>
    <w:p w14:paraId="5C234527" w14:textId="77777777" w:rsidR="00A66715" w:rsidRPr="00781112" w:rsidRDefault="00A66715" w:rsidP="004369B2">
      <w:pPr>
        <w:rPr>
          <w:color w:val="000000" w:themeColor="text1"/>
        </w:rPr>
      </w:pPr>
      <w:r w:rsidRPr="00781112">
        <w:rPr>
          <w:b/>
          <w:color w:val="000000" w:themeColor="text1"/>
        </w:rPr>
        <w:t>Instructions</w:t>
      </w:r>
    </w:p>
    <w:p w14:paraId="66307925" w14:textId="2DC0BC51" w:rsidR="00A66715" w:rsidRPr="00781112" w:rsidRDefault="00A66715"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 xml:space="preserve">rovide racial/ethnic disproportionality data for all children aged </w:t>
      </w:r>
      <w:r w:rsidR="00071D42" w:rsidRPr="00781112">
        <w:rPr>
          <w:rFonts w:cs="Arial"/>
        </w:rPr>
        <w:t xml:space="preserve">5 who are enrolled in kindergarten and </w:t>
      </w:r>
      <w:r w:rsidR="00214BDE">
        <w:rPr>
          <w:rFonts w:cs="Arial"/>
        </w:rPr>
        <w:t xml:space="preserve">aged </w:t>
      </w:r>
      <w:r w:rsidRPr="00781112">
        <w:rPr>
          <w:rFonts w:cs="Arial"/>
          <w:color w:val="000000" w:themeColor="text1"/>
          <w:szCs w:val="16"/>
        </w:rPr>
        <w:t>6 through 21 served under IDEA, aggregated across all disability categories.</w:t>
      </w:r>
      <w:r w:rsidR="009E27F2">
        <w:rPr>
          <w:rFonts w:cs="Arial"/>
          <w:color w:val="000000" w:themeColor="text1"/>
          <w:szCs w:val="16"/>
        </w:rPr>
        <w:t xml:space="preserve"> </w:t>
      </w:r>
      <w:r w:rsidR="009E27F2" w:rsidRPr="009E27F2">
        <w:rPr>
          <w:rFonts w:cs="Arial"/>
          <w:color w:val="000000" w:themeColor="text1"/>
          <w:szCs w:val="16"/>
        </w:rPr>
        <w:t>Provide the actual numbers used in the calculation.</w:t>
      </w:r>
    </w:p>
    <w:p w14:paraId="6CA47C85" w14:textId="77777777" w:rsidR="00A66715" w:rsidRPr="00781112" w:rsidRDefault="00A66715" w:rsidP="00286BDF">
      <w:pPr>
        <w:rPr>
          <w:rFonts w:cs="Arial"/>
          <w:color w:val="000000" w:themeColor="text1"/>
          <w:szCs w:val="16"/>
        </w:rPr>
      </w:pPr>
      <w:r w:rsidRPr="00781112">
        <w:rPr>
          <w:rFonts w:cs="Arial"/>
          <w:color w:val="000000" w:themeColor="text1"/>
          <w:szCs w:val="16"/>
        </w:rPr>
        <w:t>States are not required to report on underrepresentation.</w:t>
      </w:r>
    </w:p>
    <w:p w14:paraId="7D49F2B9" w14:textId="77777777" w:rsidR="00A66715" w:rsidRPr="00781112" w:rsidRDefault="00A66715"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18F19F84" w14:textId="77777777" w:rsidR="00A66715" w:rsidRPr="00781112" w:rsidRDefault="00A66715"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08814B9F" w14:textId="77777777" w:rsidR="00A66715" w:rsidRPr="00781112" w:rsidRDefault="00A66715" w:rsidP="00286BDF">
      <w:pPr>
        <w:rPr>
          <w:rFonts w:cs="Arial"/>
          <w:color w:val="000000" w:themeColor="text1"/>
          <w:szCs w:val="16"/>
        </w:rPr>
      </w:pPr>
      <w:r w:rsidRPr="00781112">
        <w:rPr>
          <w:rFonts w:cs="Arial"/>
          <w:color w:val="000000" w:themeColor="text1"/>
          <w:szCs w:val="16"/>
        </w:rPr>
        <w:t>Provide the number of districts that met the State-established n and/or cell size (if applicable) for one or more racial/ethnic groups identified with disproportionate representation of racial and ethnic groups in special education and related services and the number of those districts identified with disproportionate representation that is the result of inappropriate identification.</w:t>
      </w:r>
    </w:p>
    <w:p w14:paraId="633EBCDF" w14:textId="77777777" w:rsidR="00A66715" w:rsidRPr="00781112" w:rsidRDefault="00A66715" w:rsidP="00286BDF">
      <w:pPr>
        <w:rPr>
          <w:rFonts w:cs="Arial"/>
          <w:color w:val="000000" w:themeColor="text1"/>
          <w:szCs w:val="16"/>
        </w:rPr>
      </w:pPr>
      <w:r w:rsidRPr="00781112">
        <w:rPr>
          <w:rFonts w:cs="Arial"/>
          <w:color w:val="000000" w:themeColor="text1"/>
          <w:szCs w:val="16"/>
        </w:rPr>
        <w:t>Targets must be 0%.</w:t>
      </w:r>
    </w:p>
    <w:p w14:paraId="7D8917BC" w14:textId="77777777" w:rsidR="00AB2AE1" w:rsidRDefault="0016730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48" w:name="_Hlk150864210"/>
      <w:r w:rsidR="009E27F2" w:rsidRPr="009E27F2">
        <w:rPr>
          <w:rFonts w:cs="Arial"/>
          <w:color w:val="000000" w:themeColor="text1"/>
          <w:szCs w:val="16"/>
        </w:rPr>
        <w:t>child-specific and regulatory/systemic</w:t>
      </w:r>
      <w:r w:rsidR="009E27F2">
        <w:rPr>
          <w:sz w:val="20"/>
          <w:szCs w:val="14"/>
        </w:rPr>
        <w:t xml:space="preserve"> </w:t>
      </w:r>
      <w:bookmarkEnd w:id="48"/>
      <w:r w:rsidRPr="00781112">
        <w:rPr>
          <w:rFonts w:cs="Arial"/>
          <w:color w:val="000000" w:themeColor="text1"/>
          <w:szCs w:val="16"/>
        </w:rPr>
        <w:t xml:space="preserve">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 </w:t>
      </w:r>
    </w:p>
    <w:p w14:paraId="78E093FF" w14:textId="59ADF7D6" w:rsidR="00A66715" w:rsidRDefault="0016730D"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5DC380A" w14:textId="351857B0" w:rsidR="00AB2AE1" w:rsidRPr="00FE4611" w:rsidRDefault="00AB2AE1"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1A6C01D0" w14:textId="1BD83E55" w:rsidR="00AF5AFB" w:rsidRPr="00781112" w:rsidRDefault="00400C56" w:rsidP="005B40C0">
      <w:pPr>
        <w:pStyle w:val="Heading3"/>
      </w:pPr>
      <w:bookmarkStart w:id="49" w:name="_Toc384383344"/>
      <w:bookmarkStart w:id="50" w:name="_Toc392159312"/>
      <w:bookmarkEnd w:id="46"/>
      <w:bookmarkEnd w:id="47"/>
      <w:r w:rsidRPr="00781112">
        <w:t>9</w:t>
      </w:r>
      <w:r w:rsidR="000D746C" w:rsidRPr="00781112">
        <w:t xml:space="preserve"> </w:t>
      </w:r>
      <w:r w:rsidRPr="00781112">
        <w:t xml:space="preserve">- </w:t>
      </w:r>
      <w:r w:rsidR="00AF5AFB" w:rsidRPr="00781112">
        <w:t>Indicator Data</w:t>
      </w:r>
    </w:p>
    <w:p w14:paraId="3B629025" w14:textId="77777777" w:rsidR="0091098C" w:rsidRPr="00781112" w:rsidRDefault="0091098C" w:rsidP="004369B2">
      <w:pPr>
        <w:rPr>
          <w:color w:val="000000" w:themeColor="text1"/>
        </w:rPr>
      </w:pPr>
      <w:r w:rsidRPr="00781112">
        <w:rPr>
          <w:b/>
          <w:color w:val="000000" w:themeColor="text1"/>
        </w:rPr>
        <w:t>Not Applicable</w:t>
      </w:r>
    </w:p>
    <w:p w14:paraId="26955027" w14:textId="78EADA59" w:rsidR="003E7FC1" w:rsidRPr="00781112" w:rsidRDefault="00E54DDA">
      <w:pPr>
        <w:rPr>
          <w:b/>
          <w:color w:val="000000" w:themeColor="text1"/>
        </w:rPr>
      </w:pPr>
      <w:r w:rsidRPr="00781112">
        <w:rPr>
          <w:b/>
          <w:color w:val="000000" w:themeColor="text1"/>
        </w:rPr>
        <w:t>Select yes if this indicator is not applicable.</w:t>
      </w:r>
    </w:p>
    <w:p w14:paraId="6AB001BB" w14:textId="1DB937E1" w:rsidR="00043AC9" w:rsidRPr="00781112" w:rsidRDefault="00043AC9" w:rsidP="004369B2">
      <w:pPr>
        <w:rPr>
          <w:rFonts w:cs="Arial"/>
          <w:color w:val="000000" w:themeColor="text1"/>
          <w:szCs w:val="16"/>
        </w:rPr>
      </w:pPr>
      <w:r w:rsidRPr="00781112">
        <w:rPr>
          <w:rFonts w:cs="Arial"/>
          <w:color w:val="000000" w:themeColor="text1"/>
          <w:szCs w:val="16"/>
        </w:rPr>
        <w:t>NO</w:t>
      </w:r>
    </w:p>
    <w:p w14:paraId="3A71D697" w14:textId="346BA4D1"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09BASELINEDATA"/>
      </w:tblPr>
      <w:tblGrid>
        <w:gridCol w:w="1797"/>
        <w:gridCol w:w="1798"/>
      </w:tblGrid>
      <w:tr w:rsidR="00956DB0" w:rsidRPr="00781112" w14:paraId="5182274F" w14:textId="77777777" w:rsidTr="00123D76">
        <w:trPr>
          <w:trHeight w:val="311"/>
          <w:tblHeader/>
        </w:trPr>
        <w:tc>
          <w:tcPr>
            <w:tcW w:w="1797" w:type="dxa"/>
          </w:tcPr>
          <w:p w14:paraId="1A2818C6" w14:textId="77777777" w:rsidR="00956DB0" w:rsidRPr="00781112" w:rsidRDefault="00956DB0" w:rsidP="00123D76">
            <w:pPr>
              <w:jc w:val="center"/>
              <w:rPr>
                <w:b/>
                <w:color w:val="000000" w:themeColor="text1"/>
              </w:rPr>
            </w:pPr>
            <w:r w:rsidRPr="00781112">
              <w:rPr>
                <w:rFonts w:cs="Arial"/>
                <w:b/>
                <w:color w:val="000000" w:themeColor="text1"/>
                <w:szCs w:val="16"/>
              </w:rPr>
              <w:t>Baseline Year</w:t>
            </w:r>
          </w:p>
        </w:tc>
        <w:tc>
          <w:tcPr>
            <w:tcW w:w="1798" w:type="dxa"/>
          </w:tcPr>
          <w:p w14:paraId="0F4B2975" w14:textId="77777777" w:rsidR="00956DB0" w:rsidRPr="00781112" w:rsidRDefault="00956DB0" w:rsidP="00123D76">
            <w:pPr>
              <w:jc w:val="center"/>
              <w:rPr>
                <w:b/>
                <w:color w:val="000000" w:themeColor="text1"/>
              </w:rPr>
            </w:pPr>
            <w:r w:rsidRPr="00781112">
              <w:rPr>
                <w:b/>
                <w:color w:val="000000" w:themeColor="text1"/>
              </w:rPr>
              <w:t>Baseline Data</w:t>
            </w:r>
          </w:p>
        </w:tc>
      </w:tr>
      <w:tr w:rsidR="00956DB0" w:rsidRPr="00781112" w14:paraId="610EE192" w14:textId="77777777" w:rsidTr="00123D76">
        <w:trPr>
          <w:trHeight w:val="311"/>
        </w:trPr>
        <w:tc>
          <w:tcPr>
            <w:tcW w:w="1797" w:type="dxa"/>
            <w:vAlign w:val="center"/>
          </w:tcPr>
          <w:p w14:paraId="092AF3EE" w14:textId="300E0F13" w:rsidR="00956DB0" w:rsidRPr="00781112" w:rsidRDefault="00956DB0" w:rsidP="00123D76">
            <w:pPr>
              <w:jc w:val="center"/>
              <w:rPr>
                <w:bCs/>
                <w:color w:val="000000" w:themeColor="text1"/>
              </w:rPr>
            </w:pPr>
            <w:r w:rsidRPr="00781112">
              <w:rPr>
                <w:bCs/>
                <w:color w:val="000000" w:themeColor="text1"/>
              </w:rPr>
              <w:t>2020</w:t>
            </w:r>
          </w:p>
        </w:tc>
        <w:tc>
          <w:tcPr>
            <w:tcW w:w="1798" w:type="dxa"/>
            <w:vAlign w:val="center"/>
          </w:tcPr>
          <w:p w14:paraId="4FDCB4BF" w14:textId="0D2A0C74" w:rsidR="00956DB0" w:rsidRPr="00781112" w:rsidRDefault="00956DB0" w:rsidP="00123D76">
            <w:pPr>
              <w:jc w:val="center"/>
              <w:rPr>
                <w:bCs/>
                <w:color w:val="000000" w:themeColor="text1"/>
              </w:rPr>
            </w:pPr>
            <w:r w:rsidRPr="00781112">
              <w:rPr>
                <w:bCs/>
                <w:color w:val="000000" w:themeColor="text1"/>
              </w:rPr>
              <w:t>0.00%</w:t>
            </w:r>
          </w:p>
        </w:tc>
      </w:tr>
    </w:tbl>
    <w:p w14:paraId="209EB354" w14:textId="77777777" w:rsidR="00956DB0" w:rsidRPr="00781112" w:rsidRDefault="00956DB0"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09HISTDATA"/>
      </w:tblPr>
      <w:tblGrid>
        <w:gridCol w:w="1798"/>
        <w:gridCol w:w="1798"/>
        <w:gridCol w:w="1798"/>
        <w:gridCol w:w="1798"/>
        <w:gridCol w:w="1798"/>
        <w:gridCol w:w="1800"/>
      </w:tblGrid>
      <w:tr w:rsidR="005C29F8" w:rsidRPr="00781112" w14:paraId="29257DEC" w14:textId="77777777" w:rsidTr="002B4D97">
        <w:trPr>
          <w:trHeight w:val="350"/>
        </w:trPr>
        <w:tc>
          <w:tcPr>
            <w:tcW w:w="833" w:type="pct"/>
            <w:tcBorders>
              <w:bottom w:val="single" w:sz="4" w:space="0" w:color="auto"/>
            </w:tcBorders>
            <w:shd w:val="clear" w:color="auto" w:fill="auto"/>
          </w:tcPr>
          <w:p w14:paraId="2ACD0221" w14:textId="77777777" w:rsidR="006357C5" w:rsidRPr="00781112" w:rsidRDefault="006357C5"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5D764B6" w14:textId="19C54EAA" w:rsidR="006357C5"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33F60DB" w14:textId="27C2FA3D" w:rsidR="006357C5"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vAlign w:val="center"/>
          </w:tcPr>
          <w:p w14:paraId="317350A8" w14:textId="7D4D6C23" w:rsidR="006357C5"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vAlign w:val="center"/>
          </w:tcPr>
          <w:p w14:paraId="2FE9FF1F" w14:textId="6B14CCED" w:rsidR="006357C5"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vAlign w:val="center"/>
          </w:tcPr>
          <w:p w14:paraId="3EED1AAF" w14:textId="5F49372A" w:rsidR="006357C5" w:rsidRPr="00781112" w:rsidRDefault="002B7490" w:rsidP="00B6413B">
            <w:pPr>
              <w:jc w:val="center"/>
              <w:rPr>
                <w:rFonts w:cs="Arial"/>
                <w:b/>
                <w:color w:val="000000" w:themeColor="text1"/>
                <w:szCs w:val="16"/>
              </w:rPr>
            </w:pPr>
            <w:r w:rsidRPr="00781112">
              <w:rPr>
                <w:rFonts w:cs="Arial"/>
                <w:b/>
                <w:color w:val="000000" w:themeColor="text1"/>
                <w:szCs w:val="16"/>
              </w:rPr>
              <w:t>2022</w:t>
            </w:r>
          </w:p>
        </w:tc>
      </w:tr>
      <w:tr w:rsidR="005C29F8" w:rsidRPr="00781112" w14:paraId="2B1048CB" w14:textId="77777777" w:rsidTr="002B4D97">
        <w:trPr>
          <w:trHeight w:val="357"/>
        </w:trPr>
        <w:tc>
          <w:tcPr>
            <w:tcW w:w="833" w:type="pct"/>
            <w:shd w:val="clear" w:color="auto" w:fill="auto"/>
          </w:tcPr>
          <w:p w14:paraId="1E5C921D" w14:textId="552D02B6" w:rsidR="006357C5" w:rsidRPr="00781112" w:rsidRDefault="006357C5"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05E3208" w14:textId="6058696A"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18B25266" w14:textId="3AD0FECB"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0C0FBF57" w14:textId="7ECB922D"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532C2D7E" w14:textId="62B3BFC8" w:rsidR="006357C5" w:rsidRPr="00781112" w:rsidRDefault="00BA56C8">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60DA2026" w14:textId="24D14A2D" w:rsidR="006357C5" w:rsidRPr="00781112" w:rsidRDefault="00BA56C8">
            <w:pPr>
              <w:jc w:val="center"/>
              <w:rPr>
                <w:rFonts w:cs="Arial"/>
                <w:color w:val="000000" w:themeColor="text1"/>
                <w:szCs w:val="16"/>
              </w:rPr>
            </w:pPr>
            <w:r w:rsidRPr="00781112">
              <w:rPr>
                <w:rFonts w:cs="Arial"/>
                <w:color w:val="000000" w:themeColor="text1"/>
                <w:szCs w:val="16"/>
              </w:rPr>
              <w:t>0%</w:t>
            </w:r>
          </w:p>
        </w:tc>
      </w:tr>
      <w:tr w:rsidR="005C29F8" w:rsidRPr="00781112" w14:paraId="3159C03B" w14:textId="77777777" w:rsidTr="002B4D97">
        <w:trPr>
          <w:trHeight w:val="85"/>
        </w:trPr>
        <w:tc>
          <w:tcPr>
            <w:tcW w:w="833" w:type="pct"/>
            <w:shd w:val="clear" w:color="auto" w:fill="auto"/>
          </w:tcPr>
          <w:p w14:paraId="2AC5584F" w14:textId="77777777" w:rsidR="006357C5" w:rsidRPr="00781112" w:rsidRDefault="006357C5"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6FD989E4" w14:textId="34237C82"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078BDCB4" w14:textId="6678F601" w:rsidR="006357C5" w:rsidRPr="00781112" w:rsidRDefault="002B7490" w:rsidP="00A018D4">
            <w:pPr>
              <w:jc w:val="center"/>
              <w:rPr>
                <w:rFonts w:cs="Arial"/>
                <w:color w:val="000000" w:themeColor="text1"/>
                <w:szCs w:val="16"/>
              </w:rPr>
            </w:pPr>
            <w:r w:rsidRPr="00781112">
              <w:rPr>
                <w:rFonts w:cs="Arial"/>
                <w:color w:val="000000" w:themeColor="text1"/>
                <w:szCs w:val="16"/>
              </w:rPr>
              <w:t>Not Valid and Reliable</w:t>
            </w:r>
          </w:p>
        </w:tc>
        <w:tc>
          <w:tcPr>
            <w:tcW w:w="833" w:type="pct"/>
            <w:tcBorders>
              <w:bottom w:val="single" w:sz="4" w:space="0" w:color="auto"/>
            </w:tcBorders>
            <w:shd w:val="clear" w:color="auto" w:fill="auto"/>
            <w:vAlign w:val="center"/>
          </w:tcPr>
          <w:p w14:paraId="1B9E9606" w14:textId="2C899E5A"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2DEE133C" w14:textId="4FA56B6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2164C156" w14:textId="136C88F4" w:rsidR="006357C5" w:rsidRPr="00781112" w:rsidRDefault="002B7490" w:rsidP="00A018D4">
            <w:pPr>
              <w:jc w:val="center"/>
              <w:rPr>
                <w:rFonts w:cs="Arial"/>
                <w:color w:val="000000" w:themeColor="text1"/>
                <w:szCs w:val="16"/>
              </w:rPr>
            </w:pPr>
            <w:r w:rsidRPr="00781112">
              <w:rPr>
                <w:rFonts w:cs="Arial"/>
                <w:color w:val="000000" w:themeColor="text1"/>
                <w:szCs w:val="16"/>
              </w:rPr>
              <w:t>0.00%</w:t>
            </w:r>
          </w:p>
        </w:tc>
      </w:tr>
    </w:tbl>
    <w:p w14:paraId="38D93E0F" w14:textId="77777777" w:rsidR="00870121" w:rsidRPr="00781112" w:rsidRDefault="00870121" w:rsidP="004369B2">
      <w:pPr>
        <w:rPr>
          <w:color w:val="000000" w:themeColor="text1"/>
        </w:rPr>
      </w:pPr>
    </w:p>
    <w:p w14:paraId="1D3DD603" w14:textId="00F457CF" w:rsidR="0016730D" w:rsidRPr="00781112" w:rsidRDefault="0016730D"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TARGETS"/>
      </w:tblPr>
      <w:tblGrid>
        <w:gridCol w:w="679"/>
        <w:gridCol w:w="2397"/>
        <w:gridCol w:w="2570"/>
        <w:gridCol w:w="2570"/>
      </w:tblGrid>
      <w:tr w:rsidR="00AC3EF2" w:rsidRPr="00781112" w14:paraId="3B5E697E" w14:textId="22491944" w:rsidTr="00FE4611">
        <w:trPr>
          <w:trHeight w:val="307"/>
        </w:trPr>
        <w:tc>
          <w:tcPr>
            <w:tcW w:w="406" w:type="pct"/>
            <w:tcBorders>
              <w:bottom w:val="single" w:sz="4" w:space="0" w:color="auto"/>
            </w:tcBorders>
            <w:shd w:val="clear" w:color="auto" w:fill="auto"/>
          </w:tcPr>
          <w:p w14:paraId="6847FBDE" w14:textId="77777777" w:rsidR="00AC3EF2" w:rsidRPr="00781112" w:rsidRDefault="00AC3EF2" w:rsidP="00AD5583">
            <w:pPr>
              <w:jc w:val="center"/>
              <w:rPr>
                <w:b/>
                <w:color w:val="000000" w:themeColor="text1"/>
              </w:rPr>
            </w:pPr>
            <w:r w:rsidRPr="00781112">
              <w:rPr>
                <w:b/>
                <w:color w:val="000000" w:themeColor="text1"/>
              </w:rPr>
              <w:lastRenderedPageBreak/>
              <w:t>FFY</w:t>
            </w:r>
          </w:p>
        </w:tc>
        <w:tc>
          <w:tcPr>
            <w:tcW w:w="1461" w:type="pct"/>
            <w:shd w:val="clear" w:color="auto" w:fill="auto"/>
          </w:tcPr>
          <w:p w14:paraId="2C965821" w14:textId="77777777" w:rsidR="00AC3EF2" w:rsidRPr="00781112" w:rsidRDefault="00AC3EF2" w:rsidP="00AD5583">
            <w:pPr>
              <w:jc w:val="center"/>
              <w:rPr>
                <w:b/>
                <w:color w:val="000000" w:themeColor="text1"/>
              </w:rPr>
            </w:pPr>
            <w:r w:rsidRPr="00781112">
              <w:rPr>
                <w:b/>
                <w:color w:val="000000" w:themeColor="text1"/>
              </w:rPr>
              <w:t>2023</w:t>
            </w:r>
          </w:p>
        </w:tc>
        <w:tc>
          <w:tcPr>
            <w:tcW w:w="1566" w:type="pct"/>
          </w:tcPr>
          <w:p w14:paraId="695B1CC5" w14:textId="0A8E7C74" w:rsidR="00AC3EF2" w:rsidRPr="00781112" w:rsidRDefault="00AC3EF2" w:rsidP="00AD5583">
            <w:pPr>
              <w:jc w:val="center"/>
              <w:rPr>
                <w:b/>
                <w:color w:val="000000" w:themeColor="text1"/>
              </w:rPr>
            </w:pPr>
            <w:r w:rsidRPr="00781112">
              <w:rPr>
                <w:rFonts w:cs="Arial"/>
                <w:b/>
                <w:color w:val="000000" w:themeColor="text1"/>
                <w:szCs w:val="16"/>
              </w:rPr>
              <w:t>2024</w:t>
            </w:r>
          </w:p>
        </w:tc>
        <w:tc>
          <w:tcPr>
            <w:tcW w:w="1566" w:type="pct"/>
          </w:tcPr>
          <w:p w14:paraId="676B8DF3" w14:textId="1749272A" w:rsidR="00AC3EF2" w:rsidRPr="00781112" w:rsidRDefault="00AC3EF2" w:rsidP="00AD5583">
            <w:pPr>
              <w:jc w:val="center"/>
              <w:rPr>
                <w:b/>
                <w:color w:val="000000" w:themeColor="text1"/>
              </w:rPr>
            </w:pPr>
            <w:r w:rsidRPr="00781112">
              <w:rPr>
                <w:rFonts w:cs="Arial"/>
                <w:b/>
                <w:color w:val="000000" w:themeColor="text1"/>
                <w:szCs w:val="16"/>
              </w:rPr>
              <w:t>2025</w:t>
            </w:r>
          </w:p>
        </w:tc>
      </w:tr>
      <w:tr w:rsidR="00AC3EF2" w:rsidRPr="00781112" w14:paraId="48E9BF63" w14:textId="16949127" w:rsidTr="00FE4611">
        <w:trPr>
          <w:trHeight w:val="313"/>
        </w:trPr>
        <w:tc>
          <w:tcPr>
            <w:tcW w:w="406" w:type="pct"/>
            <w:shd w:val="clear" w:color="auto" w:fill="auto"/>
            <w:vAlign w:val="center"/>
          </w:tcPr>
          <w:p w14:paraId="3001E3D6" w14:textId="6C45C234" w:rsidR="00AC3EF2" w:rsidRPr="00781112" w:rsidRDefault="00AC3EF2"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538E5325" w14:textId="0C17771E" w:rsidR="00AC3EF2" w:rsidRPr="00781112" w:rsidRDefault="00AC3EF2" w:rsidP="00AD5583">
            <w:pPr>
              <w:jc w:val="center"/>
              <w:rPr>
                <w:rFonts w:cs="Arial"/>
                <w:color w:val="000000" w:themeColor="text1"/>
                <w:szCs w:val="16"/>
              </w:rPr>
            </w:pPr>
            <w:r w:rsidRPr="00781112">
              <w:rPr>
                <w:rFonts w:cs="Arial"/>
                <w:color w:val="000000" w:themeColor="text1"/>
                <w:szCs w:val="16"/>
              </w:rPr>
              <w:t>0%</w:t>
            </w:r>
          </w:p>
        </w:tc>
        <w:tc>
          <w:tcPr>
            <w:tcW w:w="1566" w:type="pct"/>
          </w:tcPr>
          <w:p w14:paraId="5C91471A" w14:textId="351E6F13" w:rsidR="00AC3EF2" w:rsidRPr="00781112" w:rsidRDefault="00AC3EF2" w:rsidP="00AD5583">
            <w:pPr>
              <w:jc w:val="center"/>
              <w:rPr>
                <w:rFonts w:cs="Arial"/>
                <w:color w:val="000000" w:themeColor="text1"/>
                <w:szCs w:val="16"/>
              </w:rPr>
            </w:pPr>
            <w:r w:rsidRPr="00781112">
              <w:rPr>
                <w:color w:val="000000" w:themeColor="text1"/>
                <w:szCs w:val="16"/>
              </w:rPr>
              <w:t>0%</w:t>
            </w:r>
          </w:p>
        </w:tc>
        <w:tc>
          <w:tcPr>
            <w:tcW w:w="1566" w:type="pct"/>
          </w:tcPr>
          <w:p w14:paraId="4C61AAA7" w14:textId="75046312" w:rsidR="00AC3EF2" w:rsidRPr="00781112" w:rsidRDefault="00AC3EF2" w:rsidP="00AD5583">
            <w:pPr>
              <w:jc w:val="center"/>
              <w:rPr>
                <w:rFonts w:cs="Arial"/>
                <w:color w:val="000000" w:themeColor="text1"/>
                <w:szCs w:val="16"/>
              </w:rPr>
            </w:pPr>
            <w:r w:rsidRPr="00781112">
              <w:rPr>
                <w:color w:val="000000" w:themeColor="text1"/>
                <w:szCs w:val="16"/>
              </w:rPr>
              <w:t>0%</w:t>
            </w:r>
          </w:p>
        </w:tc>
      </w:tr>
      <w:bookmarkEnd w:id="49"/>
      <w:bookmarkEnd w:id="50"/>
    </w:tbl>
    <w:p w14:paraId="2AD56AE3" w14:textId="77777777" w:rsidR="008D766F" w:rsidRDefault="008D766F">
      <w:pPr>
        <w:rPr>
          <w:b/>
          <w:color w:val="000000" w:themeColor="text1"/>
        </w:rPr>
      </w:pPr>
    </w:p>
    <w:p w14:paraId="77101B89" w14:textId="0209B4E6" w:rsidR="00D03701" w:rsidRPr="00781112" w:rsidRDefault="0047313F">
      <w:pPr>
        <w:rPr>
          <w:b/>
          <w:color w:val="000000" w:themeColor="text1"/>
        </w:rPr>
      </w:pPr>
      <w:r>
        <w:rPr>
          <w:b/>
          <w:color w:val="000000" w:themeColor="text1"/>
        </w:rPr>
        <w:t>FFY 2023 SPP/APR Data</w:t>
      </w:r>
    </w:p>
    <w:p w14:paraId="5771AAAE" w14:textId="3421DD27" w:rsidR="003E7FC1" w:rsidRPr="00781112" w:rsidRDefault="003E7FC1">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122DE20F" w14:textId="4373CB68" w:rsidR="003E7FC1" w:rsidRPr="00781112" w:rsidRDefault="003E7FC1">
      <w:pPr>
        <w:rPr>
          <w:rFonts w:cs="Arial"/>
          <w:color w:val="000000" w:themeColor="text1"/>
          <w:szCs w:val="16"/>
        </w:rPr>
      </w:pPr>
      <w:r w:rsidRPr="00781112">
        <w:rPr>
          <w:rFonts w:cs="Arial"/>
          <w:color w:val="000000" w:themeColor="text1"/>
          <w:szCs w:val="16"/>
        </w:rPr>
        <w:t>YES</w:t>
      </w:r>
    </w:p>
    <w:p w14:paraId="76B8CAF9" w14:textId="53FE4658" w:rsidR="003E7FC1" w:rsidRPr="00781112" w:rsidRDefault="003E7FC1">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62270301" w14:textId="20B3D538" w:rsidR="003E7FC1" w:rsidRPr="00781112" w:rsidRDefault="003E7FC1" w:rsidP="004369B2">
      <w:pPr>
        <w:rPr>
          <w:rFonts w:cs="Arial"/>
          <w:color w:val="000000" w:themeColor="text1"/>
          <w:szCs w:val="16"/>
        </w:rPr>
      </w:pPr>
      <w:r w:rsidRPr="00781112">
        <w:rPr>
          <w:rFonts w:cs="Arial"/>
          <w:color w:val="000000" w:themeColor="text1"/>
          <w:szCs w:val="16"/>
        </w:rPr>
        <w:t>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09CFFYAPRDATA"/>
      </w:tblPr>
      <w:tblGrid>
        <w:gridCol w:w="1488"/>
        <w:gridCol w:w="1488"/>
        <w:gridCol w:w="1709"/>
        <w:gridCol w:w="1079"/>
        <w:gridCol w:w="1627"/>
        <w:gridCol w:w="970"/>
        <w:gridCol w:w="1235"/>
        <w:gridCol w:w="1194"/>
      </w:tblGrid>
      <w:tr w:rsidR="00206A65" w:rsidRPr="00781112" w14:paraId="53F272CD" w14:textId="23013B7B" w:rsidTr="002B4D97">
        <w:trPr>
          <w:trHeight w:val="354"/>
          <w:jc w:val="center"/>
        </w:trPr>
        <w:tc>
          <w:tcPr>
            <w:tcW w:w="652" w:type="pct"/>
            <w:shd w:val="clear" w:color="auto" w:fill="auto"/>
            <w:vAlign w:val="bottom"/>
          </w:tcPr>
          <w:p w14:paraId="18E013DB" w14:textId="1E730C58"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w:t>
            </w:r>
          </w:p>
        </w:tc>
        <w:tc>
          <w:tcPr>
            <w:tcW w:w="583" w:type="pct"/>
            <w:shd w:val="clear" w:color="auto" w:fill="auto"/>
            <w:vAlign w:val="bottom"/>
          </w:tcPr>
          <w:p w14:paraId="67667553" w14:textId="3EAD48D0"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special education and related services that is the result of inappropriate identification</w:t>
            </w:r>
          </w:p>
        </w:tc>
        <w:tc>
          <w:tcPr>
            <w:tcW w:w="816" w:type="pct"/>
            <w:shd w:val="clear" w:color="auto" w:fill="auto"/>
            <w:vAlign w:val="bottom"/>
          </w:tcPr>
          <w:p w14:paraId="33AFFA6F" w14:textId="7F185165"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24" w:type="pct"/>
            <w:shd w:val="clear" w:color="auto" w:fill="auto"/>
            <w:vAlign w:val="bottom"/>
          </w:tcPr>
          <w:p w14:paraId="600C49E0" w14:textId="496D7B19" w:rsidR="00206A65" w:rsidRPr="00CC1061" w:rsidRDefault="00206A65" w:rsidP="00206A65">
            <w:pPr>
              <w:jc w:val="center"/>
              <w:rPr>
                <w:b/>
                <w:bCs/>
                <w:color w:val="000000" w:themeColor="text1"/>
              </w:rPr>
            </w:pPr>
            <w:r w:rsidRPr="00CC1061">
              <w:rPr>
                <w:b/>
                <w:bCs/>
              </w:rPr>
              <w:t>FFY 2022 Data</w:t>
            </w:r>
          </w:p>
        </w:tc>
        <w:tc>
          <w:tcPr>
            <w:tcW w:w="778" w:type="pct"/>
            <w:shd w:val="clear" w:color="auto" w:fill="auto"/>
            <w:vAlign w:val="bottom"/>
          </w:tcPr>
          <w:p w14:paraId="1B6D5875" w14:textId="081859FC" w:rsidR="00206A65" w:rsidRPr="00CC1061" w:rsidRDefault="00206A65" w:rsidP="00206A65">
            <w:pPr>
              <w:jc w:val="center"/>
              <w:rPr>
                <w:b/>
                <w:bCs/>
                <w:color w:val="000000" w:themeColor="text1"/>
              </w:rPr>
            </w:pPr>
            <w:r w:rsidRPr="00CC1061">
              <w:rPr>
                <w:b/>
                <w:bCs/>
              </w:rPr>
              <w:t>FFY 2023 Target</w:t>
            </w:r>
          </w:p>
        </w:tc>
        <w:tc>
          <w:tcPr>
            <w:tcW w:w="473" w:type="pct"/>
            <w:shd w:val="clear" w:color="auto" w:fill="auto"/>
            <w:vAlign w:val="bottom"/>
          </w:tcPr>
          <w:p w14:paraId="33B20FA6" w14:textId="2940D23E" w:rsidR="00206A65" w:rsidRPr="00CC1061" w:rsidRDefault="00206A65" w:rsidP="00206A65">
            <w:pPr>
              <w:jc w:val="center"/>
              <w:rPr>
                <w:b/>
                <w:bCs/>
                <w:color w:val="000000" w:themeColor="text1"/>
              </w:rPr>
            </w:pPr>
            <w:r w:rsidRPr="00CC1061">
              <w:rPr>
                <w:b/>
                <w:bCs/>
              </w:rPr>
              <w:t>FFY 2023 Data</w:t>
            </w:r>
          </w:p>
        </w:tc>
        <w:tc>
          <w:tcPr>
            <w:tcW w:w="596" w:type="pct"/>
            <w:shd w:val="clear" w:color="auto" w:fill="auto"/>
            <w:vAlign w:val="bottom"/>
          </w:tcPr>
          <w:p w14:paraId="7561FBFF" w14:textId="5BCCF9DB" w:rsidR="00206A65" w:rsidRPr="00781112" w:rsidRDefault="00206A65" w:rsidP="00206A65">
            <w:pPr>
              <w:jc w:val="center"/>
              <w:rPr>
                <w:b/>
                <w:color w:val="000000" w:themeColor="text1"/>
              </w:rPr>
            </w:pPr>
            <w:r w:rsidRPr="00781112">
              <w:rPr>
                <w:b/>
                <w:color w:val="000000" w:themeColor="text1"/>
              </w:rPr>
              <w:t>Status</w:t>
            </w:r>
          </w:p>
        </w:tc>
        <w:tc>
          <w:tcPr>
            <w:tcW w:w="577" w:type="pct"/>
            <w:shd w:val="clear" w:color="auto" w:fill="auto"/>
            <w:vAlign w:val="bottom"/>
          </w:tcPr>
          <w:p w14:paraId="0153B20F" w14:textId="69571E1B"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57CF8532" w14:textId="02E28ACC" w:rsidTr="002B4D97">
        <w:trPr>
          <w:trHeight w:val="361"/>
          <w:jc w:val="center"/>
        </w:trPr>
        <w:tc>
          <w:tcPr>
            <w:tcW w:w="652" w:type="pct"/>
            <w:shd w:val="clear" w:color="auto" w:fill="auto"/>
            <w:vAlign w:val="center"/>
          </w:tcPr>
          <w:p w14:paraId="172AFDD0" w14:textId="0A73037E" w:rsidR="004B2A77" w:rsidRPr="00781112" w:rsidRDefault="004B2A77" w:rsidP="00A018D4">
            <w:pPr>
              <w:jc w:val="center"/>
              <w:rPr>
                <w:rFonts w:cs="Arial"/>
                <w:color w:val="000000" w:themeColor="text1"/>
                <w:szCs w:val="16"/>
              </w:rPr>
            </w:pPr>
            <w:r w:rsidRPr="00781112">
              <w:rPr>
                <w:rFonts w:cs="Arial"/>
                <w:color w:val="000000" w:themeColor="text1"/>
                <w:szCs w:val="16"/>
              </w:rPr>
              <w:t>10</w:t>
            </w:r>
          </w:p>
        </w:tc>
        <w:tc>
          <w:tcPr>
            <w:tcW w:w="583" w:type="pct"/>
            <w:shd w:val="clear" w:color="auto" w:fill="auto"/>
            <w:vAlign w:val="center"/>
          </w:tcPr>
          <w:p w14:paraId="6757D825" w14:textId="1A92A410" w:rsidR="004B2A77" w:rsidRPr="00781112" w:rsidRDefault="004B2A77" w:rsidP="00A018D4">
            <w:pPr>
              <w:jc w:val="center"/>
              <w:rPr>
                <w:rFonts w:cs="Arial"/>
                <w:color w:val="000000" w:themeColor="text1"/>
                <w:szCs w:val="16"/>
              </w:rPr>
            </w:pPr>
            <w:r w:rsidRPr="00781112">
              <w:rPr>
                <w:rFonts w:cs="Arial"/>
                <w:color w:val="000000" w:themeColor="text1"/>
                <w:szCs w:val="16"/>
              </w:rPr>
              <w:t>0</w:t>
            </w:r>
          </w:p>
        </w:tc>
        <w:tc>
          <w:tcPr>
            <w:tcW w:w="816" w:type="pct"/>
            <w:shd w:val="clear" w:color="auto" w:fill="auto"/>
          </w:tcPr>
          <w:p w14:paraId="5A5C0509" w14:textId="06ACAFFD" w:rsidR="004B2A77" w:rsidRPr="00781112" w:rsidRDefault="004B2A77" w:rsidP="00A018D4">
            <w:pPr>
              <w:jc w:val="center"/>
              <w:rPr>
                <w:rFonts w:cs="Arial"/>
                <w:color w:val="000000" w:themeColor="text1"/>
                <w:szCs w:val="16"/>
              </w:rPr>
            </w:pPr>
            <w:r w:rsidRPr="00781112">
              <w:rPr>
                <w:rFonts w:cs="Arial"/>
                <w:color w:val="000000" w:themeColor="text1"/>
                <w:szCs w:val="16"/>
              </w:rPr>
              <w:t>172</w:t>
            </w:r>
          </w:p>
        </w:tc>
        <w:tc>
          <w:tcPr>
            <w:tcW w:w="524" w:type="pct"/>
            <w:shd w:val="clear" w:color="auto" w:fill="auto"/>
          </w:tcPr>
          <w:p w14:paraId="5124C23D" w14:textId="44EC7AED"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778" w:type="pct"/>
            <w:shd w:val="clear" w:color="auto" w:fill="auto"/>
          </w:tcPr>
          <w:p w14:paraId="60374E05" w14:textId="3E7E167C" w:rsidR="004B2A77" w:rsidRPr="00781112" w:rsidRDefault="009C65E9" w:rsidP="00A018D4">
            <w:pPr>
              <w:jc w:val="center"/>
              <w:rPr>
                <w:rFonts w:cs="Arial"/>
                <w:color w:val="000000" w:themeColor="text1"/>
                <w:szCs w:val="16"/>
              </w:rPr>
            </w:pPr>
            <w:r w:rsidRPr="00781112">
              <w:rPr>
                <w:rFonts w:cs="Arial"/>
                <w:color w:val="000000" w:themeColor="text1"/>
                <w:szCs w:val="16"/>
              </w:rPr>
              <w:t>0%</w:t>
            </w:r>
          </w:p>
        </w:tc>
        <w:tc>
          <w:tcPr>
            <w:tcW w:w="473" w:type="pct"/>
            <w:shd w:val="clear" w:color="auto" w:fill="auto"/>
          </w:tcPr>
          <w:p w14:paraId="4C77CACE" w14:textId="610C95DA" w:rsidR="004B2A77" w:rsidRPr="00781112" w:rsidRDefault="004B2A77" w:rsidP="00A018D4">
            <w:pPr>
              <w:jc w:val="center"/>
              <w:rPr>
                <w:rFonts w:cs="Arial"/>
                <w:color w:val="000000" w:themeColor="text1"/>
                <w:szCs w:val="16"/>
              </w:rPr>
            </w:pPr>
            <w:r w:rsidRPr="00781112">
              <w:rPr>
                <w:rFonts w:cs="Arial"/>
                <w:color w:val="000000" w:themeColor="text1"/>
                <w:szCs w:val="16"/>
              </w:rPr>
              <w:t>0.00%</w:t>
            </w:r>
          </w:p>
        </w:tc>
        <w:tc>
          <w:tcPr>
            <w:tcW w:w="596" w:type="pct"/>
            <w:shd w:val="clear" w:color="auto" w:fill="auto"/>
          </w:tcPr>
          <w:p w14:paraId="58A781DA" w14:textId="678D3288" w:rsidR="004B2A77" w:rsidRPr="00781112" w:rsidRDefault="004B2A77" w:rsidP="00A018D4">
            <w:pPr>
              <w:jc w:val="center"/>
              <w:rPr>
                <w:rFonts w:cs="Arial"/>
                <w:color w:val="000000" w:themeColor="text1"/>
                <w:szCs w:val="16"/>
              </w:rPr>
            </w:pPr>
            <w:r w:rsidRPr="00781112">
              <w:rPr>
                <w:rFonts w:cs="Arial"/>
                <w:color w:val="000000" w:themeColor="text1"/>
                <w:szCs w:val="16"/>
              </w:rPr>
              <w:t>Met target</w:t>
            </w:r>
          </w:p>
        </w:tc>
        <w:tc>
          <w:tcPr>
            <w:tcW w:w="577" w:type="pct"/>
            <w:shd w:val="clear" w:color="auto" w:fill="auto"/>
          </w:tcPr>
          <w:p w14:paraId="47F36111" w14:textId="3F2C8DFF" w:rsidR="004B2A77" w:rsidRPr="00781112" w:rsidRDefault="004B2A77" w:rsidP="00A018D4">
            <w:pPr>
              <w:jc w:val="center"/>
              <w:rPr>
                <w:rFonts w:cs="Arial"/>
                <w:color w:val="000000" w:themeColor="text1"/>
                <w:szCs w:val="16"/>
              </w:rPr>
            </w:pPr>
            <w:r w:rsidRPr="00781112">
              <w:rPr>
                <w:rFonts w:cs="Arial"/>
                <w:color w:val="000000" w:themeColor="text1"/>
                <w:szCs w:val="16"/>
              </w:rPr>
              <w:t>No Slippage</w:t>
            </w:r>
          </w:p>
        </w:tc>
      </w:tr>
    </w:tbl>
    <w:p w14:paraId="220899ED" w14:textId="09CDAC50" w:rsidR="003E7FC1" w:rsidRPr="00781112" w:rsidRDefault="00955FDB" w:rsidP="007D435F">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64B5C6B5" w14:textId="17D64090" w:rsidR="003E7FC1" w:rsidRPr="00781112" w:rsidRDefault="003E7FC1" w:rsidP="007D435F">
      <w:pPr>
        <w:rPr>
          <w:rFonts w:cs="Arial"/>
          <w:color w:val="000000" w:themeColor="text1"/>
          <w:szCs w:val="16"/>
        </w:rPr>
      </w:pPr>
      <w:r w:rsidRPr="00781112">
        <w:rPr>
          <w:rFonts w:cs="Arial"/>
          <w:color w:val="000000" w:themeColor="text1"/>
          <w:szCs w:val="16"/>
        </w:rPr>
        <w:t>YES</w:t>
      </w:r>
    </w:p>
    <w:p w14:paraId="6A959542" w14:textId="25AC6B55" w:rsidR="00030B45" w:rsidRPr="00781112" w:rsidRDefault="000F256B"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6885C863" w14:textId="66F69B19" w:rsidR="009B37A2" w:rsidRPr="00781112" w:rsidRDefault="002B7490" w:rsidP="00CE1CE8">
      <w:pPr>
        <w:rPr>
          <w:rFonts w:cs="Arial"/>
          <w:color w:val="000000" w:themeColor="text1"/>
          <w:szCs w:val="16"/>
        </w:rPr>
      </w:pPr>
      <w:bookmarkStart w:id="51" w:name="_Hlk494459610"/>
      <w:r w:rsidRPr="00781112">
        <w:rPr>
          <w:rFonts w:cs="Arial"/>
          <w:color w:val="000000" w:themeColor="text1"/>
          <w:szCs w:val="16"/>
        </w:rPr>
        <w:t xml:space="preserve">The State’s definition of Disproportionate Representation of racial and ethnic groups in special education and related services:  </w:t>
      </w:r>
      <w:r w:rsidRPr="00781112">
        <w:rPr>
          <w:rFonts w:cs="Arial"/>
          <w:color w:val="000000" w:themeColor="text1"/>
          <w:szCs w:val="16"/>
        </w:rPr>
        <w:br/>
        <w:t xml:space="preserve">1. Calculation method: the State uses a weighted risk ratio analysis that shows a value of &gt;2.0 in the same race/ethnicity category.  </w:t>
      </w:r>
      <w:r w:rsidRPr="00781112">
        <w:rPr>
          <w:rFonts w:cs="Arial"/>
          <w:color w:val="000000" w:themeColor="text1"/>
          <w:szCs w:val="16"/>
        </w:rPr>
        <w:br/>
        <w:t xml:space="preserve">2. The percentage of IDEA eligible students disaggregated by race/ethnicity differs by +/- 20% from the percentage of all students within the district disaggregated by race/ethnicity in at least one race/ethnicity category.  </w:t>
      </w:r>
      <w:r w:rsidRPr="00781112">
        <w:rPr>
          <w:rFonts w:cs="Arial"/>
          <w:color w:val="000000" w:themeColor="text1"/>
          <w:szCs w:val="16"/>
        </w:rPr>
        <w:br/>
        <w:t xml:space="preserve">3. The State uses one year of data in the calculation.  </w:t>
      </w:r>
      <w:r w:rsidRPr="00781112">
        <w:rPr>
          <w:rFonts w:cs="Arial"/>
          <w:color w:val="000000" w:themeColor="text1"/>
          <w:szCs w:val="16"/>
        </w:rPr>
        <w:br/>
        <w:t xml:space="preserve">4. The minimum cell size is at least 10 IDEA eligible students in the same race/ethnicity category in special education. </w:t>
      </w:r>
    </w:p>
    <w:bookmarkEnd w:id="51"/>
    <w:p w14:paraId="7574A63E" w14:textId="34AB5613" w:rsidR="000F256B" w:rsidRPr="00781112" w:rsidRDefault="000F256B" w:rsidP="004369B2">
      <w:pPr>
        <w:rPr>
          <w:b/>
          <w:color w:val="000000" w:themeColor="text1"/>
        </w:rPr>
      </w:pPr>
      <w:r w:rsidRPr="00781112">
        <w:rPr>
          <w:b/>
          <w:color w:val="000000" w:themeColor="text1"/>
        </w:rPr>
        <w:t>Describe how the State made its annual determination as to whether the disproportionate representation it identified of racial and ethnic groups in special education and related services was the result of inappropriate identification.</w:t>
      </w:r>
    </w:p>
    <w:p w14:paraId="43771B17" w14:textId="1EE1B86A" w:rsidR="009B37A2" w:rsidRPr="00781112" w:rsidRDefault="002B7490" w:rsidP="003817C0">
      <w:pPr>
        <w:rPr>
          <w:rFonts w:cs="Arial"/>
          <w:color w:val="000000" w:themeColor="text1"/>
          <w:szCs w:val="16"/>
        </w:rPr>
      </w:pPr>
      <w:r w:rsidRPr="00781112">
        <w:rPr>
          <w:rFonts w:cs="Arial"/>
          <w:color w:val="000000" w:themeColor="text1"/>
          <w:szCs w:val="16"/>
        </w:rPr>
        <w:t xml:space="preserve">The State used district-provided data collected from the State’s December 1, 2022 Special Education Child Count (SECC) (Data Year 2023) to identify Disproportionate Representation in Special Education. Disproportionate Representation in Special Education was identified in 10 districts (5.81%). The State conducted follow-up interviews with each of the 10 districts where disproportionate representation was identified. The State conducted these interviews to review the district’s data and root causes of the disproportionate representation; to review district policies, procedures, and practices which could have contributed to the disproportionate representation; and to determine whether the disproportionate representation was the result of inappropriate identification.  </w:t>
      </w:r>
      <w:r w:rsidRPr="00781112">
        <w:rPr>
          <w:rFonts w:cs="Arial"/>
          <w:color w:val="000000" w:themeColor="text1"/>
          <w:szCs w:val="16"/>
        </w:rPr>
        <w:br/>
        <w:t xml:space="preserve"> </w:t>
      </w:r>
      <w:r w:rsidRPr="00781112">
        <w:rPr>
          <w:rFonts w:cs="Arial"/>
          <w:color w:val="000000" w:themeColor="text1"/>
          <w:szCs w:val="16"/>
        </w:rPr>
        <w:br/>
        <w:t xml:space="preserve">Based on these interviews with the identified districts, the State determined that there were no districts for which inappropriate identification of students was the cause for disproportionate representation of racial and ethnic groups in special education. The State determined that the identification of disproportionate representation was not indicative of noncompliance for any of the identified districts and therefore did not need to apply correction or verification of correction processes.  </w:t>
      </w:r>
    </w:p>
    <w:p w14:paraId="3B71A72A" w14:textId="77777777" w:rsidR="00DF1529" w:rsidRPr="00781112" w:rsidRDefault="00DF1529" w:rsidP="00DF1529">
      <w:pPr>
        <w:rPr>
          <w:rFonts w:cs="Arial"/>
          <w:b/>
          <w:color w:val="000000" w:themeColor="text1"/>
          <w:szCs w:val="16"/>
        </w:rPr>
      </w:pPr>
      <w:bookmarkStart w:id="52" w:name="_Toc381956337"/>
      <w:bookmarkStart w:id="53" w:name="_Toc384383347"/>
      <w:bookmarkStart w:id="54" w:name="_Toc392159315"/>
      <w:r w:rsidRPr="00781112">
        <w:rPr>
          <w:rFonts w:cs="Arial"/>
          <w:b/>
          <w:color w:val="000000" w:themeColor="text1"/>
          <w:szCs w:val="16"/>
        </w:rPr>
        <w:t>Provide additional information about this indicator (optional)</w:t>
      </w:r>
    </w:p>
    <w:p w14:paraId="0CC85C5C" w14:textId="196142DC" w:rsidR="009B37A2" w:rsidRPr="00781112" w:rsidRDefault="009B37A2" w:rsidP="007D435F">
      <w:pPr>
        <w:rPr>
          <w:rFonts w:cs="Arial"/>
          <w:color w:val="000000" w:themeColor="text1"/>
          <w:szCs w:val="16"/>
        </w:rPr>
      </w:pPr>
    </w:p>
    <w:p w14:paraId="69DF7E10" w14:textId="07C421A8"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09PFFYNCFINDINGS"/>
      </w:tblPr>
      <w:tblGrid>
        <w:gridCol w:w="2650"/>
        <w:gridCol w:w="2780"/>
        <w:gridCol w:w="2656"/>
        <w:gridCol w:w="2704"/>
      </w:tblGrid>
      <w:tr w:rsidR="005C29F8" w:rsidRPr="00781112" w14:paraId="435C2E3A" w14:textId="77777777" w:rsidTr="004671FF">
        <w:trPr>
          <w:trHeight w:val="389"/>
          <w:tblHeader/>
        </w:trPr>
        <w:tc>
          <w:tcPr>
            <w:tcW w:w="1228" w:type="pct"/>
            <w:shd w:val="clear" w:color="auto" w:fill="auto"/>
            <w:vAlign w:val="bottom"/>
          </w:tcPr>
          <w:p w14:paraId="3DF4178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5838AA6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10EF2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13FB05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64124D7" w14:textId="77777777" w:rsidTr="004671FF">
        <w:tc>
          <w:tcPr>
            <w:tcW w:w="1228" w:type="pct"/>
            <w:shd w:val="clear" w:color="auto" w:fill="auto"/>
          </w:tcPr>
          <w:p w14:paraId="42664B40" w14:textId="26FCEE8E"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6961AA78" w14:textId="6F435E7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62D59DBA" w14:textId="3A100C9A"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3810C422" w14:textId="3AC4106C"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7600374" w14:textId="77777777" w:rsidR="00F5391D" w:rsidRPr="00781112" w:rsidRDefault="00F5391D" w:rsidP="004369B2">
      <w:pPr>
        <w:rPr>
          <w:color w:val="000000" w:themeColor="text1"/>
        </w:rPr>
      </w:pPr>
    </w:p>
    <w:p w14:paraId="287CA0E8" w14:textId="0AEACF11"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09PPFFYNCFINDINGS"/>
      </w:tblPr>
      <w:tblGrid>
        <w:gridCol w:w="1890"/>
        <w:gridCol w:w="3131"/>
        <w:gridCol w:w="3123"/>
        <w:gridCol w:w="2646"/>
      </w:tblGrid>
      <w:tr w:rsidR="005C29F8" w:rsidRPr="00781112" w14:paraId="45BB80A1" w14:textId="77777777" w:rsidTr="00052590">
        <w:trPr>
          <w:tblHeader/>
        </w:trPr>
        <w:tc>
          <w:tcPr>
            <w:tcW w:w="876" w:type="pct"/>
            <w:shd w:val="clear" w:color="auto" w:fill="auto"/>
            <w:vAlign w:val="bottom"/>
          </w:tcPr>
          <w:p w14:paraId="5035B654" w14:textId="11C86A5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51" w:type="pct"/>
            <w:shd w:val="clear" w:color="auto" w:fill="auto"/>
            <w:vAlign w:val="bottom"/>
          </w:tcPr>
          <w:p w14:paraId="37A08A62" w14:textId="6D1686CE"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447" w:type="pct"/>
            <w:shd w:val="clear" w:color="auto" w:fill="auto"/>
            <w:vAlign w:val="bottom"/>
          </w:tcPr>
          <w:p w14:paraId="24E9B19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26" w:type="pct"/>
            <w:shd w:val="clear" w:color="auto" w:fill="auto"/>
            <w:vAlign w:val="bottom"/>
          </w:tcPr>
          <w:p w14:paraId="344E951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988805E" w14:textId="77777777" w:rsidTr="00052590">
        <w:tc>
          <w:tcPr>
            <w:tcW w:w="876" w:type="pct"/>
            <w:shd w:val="clear" w:color="auto" w:fill="auto"/>
          </w:tcPr>
          <w:p w14:paraId="45428D6F" w14:textId="7D4EAEAA" w:rsidR="009A755E" w:rsidRPr="00781112" w:rsidRDefault="009A755E" w:rsidP="00A018D4">
            <w:pPr>
              <w:jc w:val="center"/>
              <w:rPr>
                <w:rFonts w:cs="Arial"/>
                <w:color w:val="000000" w:themeColor="text1"/>
                <w:szCs w:val="16"/>
              </w:rPr>
            </w:pPr>
          </w:p>
        </w:tc>
        <w:tc>
          <w:tcPr>
            <w:tcW w:w="1451" w:type="pct"/>
            <w:shd w:val="clear" w:color="auto" w:fill="auto"/>
          </w:tcPr>
          <w:p w14:paraId="2538B936" w14:textId="1E5EBCEA" w:rsidR="009A755E" w:rsidRPr="00781112" w:rsidRDefault="009A755E">
            <w:pPr>
              <w:jc w:val="center"/>
              <w:rPr>
                <w:rFonts w:cs="Arial"/>
                <w:noProof/>
                <w:color w:val="000000" w:themeColor="text1"/>
                <w:szCs w:val="16"/>
              </w:rPr>
            </w:pPr>
          </w:p>
        </w:tc>
        <w:tc>
          <w:tcPr>
            <w:tcW w:w="1447" w:type="pct"/>
            <w:shd w:val="clear" w:color="auto" w:fill="auto"/>
          </w:tcPr>
          <w:p w14:paraId="0C2616F3" w14:textId="51C19A6F" w:rsidR="009A755E" w:rsidRPr="00781112" w:rsidRDefault="009A755E">
            <w:pPr>
              <w:jc w:val="center"/>
              <w:rPr>
                <w:rFonts w:cs="Arial"/>
                <w:noProof/>
                <w:color w:val="000000" w:themeColor="text1"/>
                <w:szCs w:val="16"/>
              </w:rPr>
            </w:pPr>
          </w:p>
        </w:tc>
        <w:tc>
          <w:tcPr>
            <w:tcW w:w="1226" w:type="pct"/>
            <w:shd w:val="clear" w:color="auto" w:fill="auto"/>
          </w:tcPr>
          <w:p w14:paraId="2C4B22F3" w14:textId="328F69BF" w:rsidR="009A755E" w:rsidRPr="00781112" w:rsidRDefault="009A755E">
            <w:pPr>
              <w:jc w:val="center"/>
              <w:rPr>
                <w:rFonts w:cs="Arial"/>
                <w:noProof/>
                <w:color w:val="000000" w:themeColor="text1"/>
                <w:szCs w:val="16"/>
              </w:rPr>
            </w:pPr>
          </w:p>
        </w:tc>
      </w:tr>
      <w:tr w:rsidR="005C29F8" w:rsidRPr="00781112" w14:paraId="64C29D12" w14:textId="77777777" w:rsidTr="00052590">
        <w:tc>
          <w:tcPr>
            <w:tcW w:w="876" w:type="pct"/>
            <w:shd w:val="clear" w:color="auto" w:fill="auto"/>
          </w:tcPr>
          <w:p w14:paraId="64B189E9" w14:textId="0AFBAB97" w:rsidR="009A755E" w:rsidRPr="00781112" w:rsidRDefault="009A755E" w:rsidP="00A018D4">
            <w:pPr>
              <w:jc w:val="center"/>
              <w:rPr>
                <w:rFonts w:cs="Arial"/>
                <w:color w:val="000000" w:themeColor="text1"/>
                <w:szCs w:val="16"/>
              </w:rPr>
            </w:pPr>
          </w:p>
        </w:tc>
        <w:tc>
          <w:tcPr>
            <w:tcW w:w="1451" w:type="pct"/>
            <w:shd w:val="clear" w:color="auto" w:fill="auto"/>
          </w:tcPr>
          <w:p w14:paraId="0A04A1D7" w14:textId="686FEC4A" w:rsidR="009A755E" w:rsidRPr="00781112" w:rsidRDefault="009A755E">
            <w:pPr>
              <w:jc w:val="center"/>
              <w:rPr>
                <w:rFonts w:cs="Arial"/>
                <w:noProof/>
                <w:color w:val="000000" w:themeColor="text1"/>
                <w:szCs w:val="16"/>
              </w:rPr>
            </w:pPr>
          </w:p>
        </w:tc>
        <w:tc>
          <w:tcPr>
            <w:tcW w:w="1447" w:type="pct"/>
            <w:shd w:val="clear" w:color="auto" w:fill="auto"/>
          </w:tcPr>
          <w:p w14:paraId="6EC161AF" w14:textId="6E0D3C99" w:rsidR="009A755E" w:rsidRPr="00781112" w:rsidRDefault="009A755E">
            <w:pPr>
              <w:jc w:val="center"/>
              <w:rPr>
                <w:rFonts w:cs="Arial"/>
                <w:noProof/>
                <w:color w:val="000000" w:themeColor="text1"/>
                <w:szCs w:val="16"/>
              </w:rPr>
            </w:pPr>
          </w:p>
        </w:tc>
        <w:tc>
          <w:tcPr>
            <w:tcW w:w="1226" w:type="pct"/>
            <w:shd w:val="clear" w:color="auto" w:fill="auto"/>
          </w:tcPr>
          <w:p w14:paraId="0BCD79B4" w14:textId="02E3B9EE" w:rsidR="009A755E" w:rsidRPr="00781112" w:rsidRDefault="009A755E">
            <w:pPr>
              <w:jc w:val="center"/>
              <w:rPr>
                <w:rFonts w:cs="Arial"/>
                <w:noProof/>
                <w:color w:val="000000" w:themeColor="text1"/>
                <w:szCs w:val="16"/>
              </w:rPr>
            </w:pPr>
          </w:p>
        </w:tc>
      </w:tr>
      <w:tr w:rsidR="005C29F8" w:rsidRPr="00781112" w14:paraId="5DBE1D84" w14:textId="77777777" w:rsidTr="00052590">
        <w:tc>
          <w:tcPr>
            <w:tcW w:w="876" w:type="pct"/>
            <w:shd w:val="clear" w:color="auto" w:fill="auto"/>
          </w:tcPr>
          <w:p w14:paraId="19109B9A" w14:textId="16CEFD65" w:rsidR="009A755E" w:rsidRPr="00781112" w:rsidRDefault="009A755E" w:rsidP="00A018D4">
            <w:pPr>
              <w:jc w:val="center"/>
              <w:rPr>
                <w:rFonts w:cs="Arial"/>
                <w:color w:val="000000" w:themeColor="text1"/>
                <w:szCs w:val="16"/>
              </w:rPr>
            </w:pPr>
          </w:p>
        </w:tc>
        <w:tc>
          <w:tcPr>
            <w:tcW w:w="1451" w:type="pct"/>
            <w:shd w:val="clear" w:color="auto" w:fill="auto"/>
          </w:tcPr>
          <w:p w14:paraId="2D2E112D" w14:textId="794C18F8" w:rsidR="009A755E" w:rsidRPr="00781112" w:rsidRDefault="009A755E">
            <w:pPr>
              <w:jc w:val="center"/>
              <w:rPr>
                <w:rFonts w:cs="Arial"/>
                <w:noProof/>
                <w:color w:val="000000" w:themeColor="text1"/>
                <w:szCs w:val="16"/>
              </w:rPr>
            </w:pPr>
          </w:p>
        </w:tc>
        <w:tc>
          <w:tcPr>
            <w:tcW w:w="1447" w:type="pct"/>
            <w:shd w:val="clear" w:color="auto" w:fill="auto"/>
          </w:tcPr>
          <w:p w14:paraId="5B55C7F5" w14:textId="3406276E" w:rsidR="009A755E" w:rsidRPr="00781112" w:rsidRDefault="009A755E">
            <w:pPr>
              <w:jc w:val="center"/>
              <w:rPr>
                <w:rFonts w:cs="Arial"/>
                <w:noProof/>
                <w:color w:val="000000" w:themeColor="text1"/>
                <w:szCs w:val="16"/>
              </w:rPr>
            </w:pPr>
          </w:p>
        </w:tc>
        <w:tc>
          <w:tcPr>
            <w:tcW w:w="1226" w:type="pct"/>
            <w:shd w:val="clear" w:color="auto" w:fill="auto"/>
          </w:tcPr>
          <w:p w14:paraId="04E4EF54" w14:textId="064E0A7A" w:rsidR="009A755E" w:rsidRPr="00781112" w:rsidRDefault="009A755E">
            <w:pPr>
              <w:jc w:val="center"/>
              <w:rPr>
                <w:rFonts w:cs="Arial"/>
                <w:noProof/>
                <w:color w:val="000000" w:themeColor="text1"/>
                <w:szCs w:val="16"/>
              </w:rPr>
            </w:pPr>
          </w:p>
        </w:tc>
      </w:tr>
      <w:tr w:rsidR="00052590" w:rsidRPr="00781112" w14:paraId="48E611E2" w14:textId="77777777" w:rsidTr="00052590">
        <w:tc>
          <w:tcPr>
            <w:tcW w:w="876" w:type="pct"/>
            <w:shd w:val="clear" w:color="auto" w:fill="auto"/>
          </w:tcPr>
          <w:p w14:paraId="04BACD3E" w14:textId="36D5B78A" w:rsidR="00052590" w:rsidRPr="00781112" w:rsidRDefault="00052590" w:rsidP="00052590">
            <w:pPr>
              <w:jc w:val="center"/>
              <w:rPr>
                <w:rFonts w:cs="Arial"/>
                <w:color w:val="000000" w:themeColor="text1"/>
                <w:szCs w:val="16"/>
              </w:rPr>
            </w:pPr>
          </w:p>
        </w:tc>
        <w:tc>
          <w:tcPr>
            <w:tcW w:w="1451" w:type="pct"/>
            <w:shd w:val="clear" w:color="auto" w:fill="auto"/>
          </w:tcPr>
          <w:p w14:paraId="0D60840A" w14:textId="145B9759" w:rsidR="00052590" w:rsidRPr="00781112" w:rsidRDefault="00052590" w:rsidP="00052590">
            <w:pPr>
              <w:jc w:val="center"/>
              <w:rPr>
                <w:rFonts w:cs="Arial"/>
                <w:color w:val="000000" w:themeColor="text1"/>
                <w:szCs w:val="16"/>
              </w:rPr>
            </w:pPr>
          </w:p>
        </w:tc>
        <w:tc>
          <w:tcPr>
            <w:tcW w:w="1447" w:type="pct"/>
            <w:shd w:val="clear" w:color="auto" w:fill="auto"/>
          </w:tcPr>
          <w:p w14:paraId="4AB6362B" w14:textId="02CFA0F9" w:rsidR="00052590" w:rsidRPr="00781112" w:rsidRDefault="00052590" w:rsidP="00052590">
            <w:pPr>
              <w:jc w:val="center"/>
              <w:rPr>
                <w:rFonts w:cs="Arial"/>
                <w:color w:val="000000" w:themeColor="text1"/>
                <w:szCs w:val="16"/>
              </w:rPr>
            </w:pPr>
          </w:p>
        </w:tc>
        <w:tc>
          <w:tcPr>
            <w:tcW w:w="1226" w:type="pct"/>
            <w:shd w:val="clear" w:color="auto" w:fill="auto"/>
          </w:tcPr>
          <w:p w14:paraId="4B48F4D9" w14:textId="7D6E3BDD" w:rsidR="00052590" w:rsidRPr="00781112" w:rsidRDefault="00052590" w:rsidP="00052590">
            <w:pPr>
              <w:jc w:val="center"/>
              <w:rPr>
                <w:rFonts w:cs="Arial"/>
                <w:color w:val="000000" w:themeColor="text1"/>
                <w:szCs w:val="16"/>
              </w:rPr>
            </w:pPr>
          </w:p>
        </w:tc>
      </w:tr>
      <w:tr w:rsidR="00052590" w:rsidRPr="00781112" w14:paraId="0E5C2E26" w14:textId="77777777" w:rsidTr="00052590">
        <w:tc>
          <w:tcPr>
            <w:tcW w:w="876" w:type="pct"/>
            <w:shd w:val="clear" w:color="auto" w:fill="auto"/>
          </w:tcPr>
          <w:p w14:paraId="209314FB" w14:textId="49BE47EC" w:rsidR="00052590" w:rsidRPr="00781112" w:rsidRDefault="00052590" w:rsidP="00052590">
            <w:pPr>
              <w:jc w:val="center"/>
              <w:rPr>
                <w:rFonts w:cs="Arial"/>
                <w:color w:val="000000" w:themeColor="text1"/>
                <w:szCs w:val="16"/>
              </w:rPr>
            </w:pPr>
          </w:p>
        </w:tc>
        <w:tc>
          <w:tcPr>
            <w:tcW w:w="1451" w:type="pct"/>
            <w:shd w:val="clear" w:color="auto" w:fill="auto"/>
          </w:tcPr>
          <w:p w14:paraId="459895DC" w14:textId="6755A04B" w:rsidR="00052590" w:rsidRPr="00781112" w:rsidRDefault="00052590" w:rsidP="00052590">
            <w:pPr>
              <w:jc w:val="center"/>
              <w:rPr>
                <w:rFonts w:cs="Arial"/>
                <w:color w:val="000000" w:themeColor="text1"/>
                <w:szCs w:val="16"/>
              </w:rPr>
            </w:pPr>
          </w:p>
        </w:tc>
        <w:tc>
          <w:tcPr>
            <w:tcW w:w="1447" w:type="pct"/>
            <w:shd w:val="clear" w:color="auto" w:fill="auto"/>
          </w:tcPr>
          <w:p w14:paraId="09B9E700" w14:textId="2464B5FB" w:rsidR="00052590" w:rsidRPr="00781112" w:rsidRDefault="00052590" w:rsidP="00052590">
            <w:pPr>
              <w:jc w:val="center"/>
              <w:rPr>
                <w:rFonts w:cs="Arial"/>
                <w:color w:val="000000" w:themeColor="text1"/>
                <w:szCs w:val="16"/>
              </w:rPr>
            </w:pPr>
          </w:p>
        </w:tc>
        <w:tc>
          <w:tcPr>
            <w:tcW w:w="1226" w:type="pct"/>
            <w:shd w:val="clear" w:color="auto" w:fill="auto"/>
          </w:tcPr>
          <w:p w14:paraId="3BDFA8D1" w14:textId="2BBB1D3D" w:rsidR="00052590" w:rsidRPr="00781112" w:rsidRDefault="00052590" w:rsidP="00052590">
            <w:pPr>
              <w:jc w:val="center"/>
              <w:rPr>
                <w:rFonts w:cs="Arial"/>
                <w:color w:val="000000" w:themeColor="text1"/>
                <w:szCs w:val="16"/>
              </w:rPr>
            </w:pPr>
          </w:p>
        </w:tc>
      </w:tr>
    </w:tbl>
    <w:p w14:paraId="7A74DCD8" w14:textId="61B7BAF7" w:rsidR="004E2151" w:rsidRPr="00781112" w:rsidRDefault="00400C56" w:rsidP="005B40C0">
      <w:pPr>
        <w:pStyle w:val="Heading3"/>
      </w:pPr>
      <w:r w:rsidRPr="00781112">
        <w:t>9</w:t>
      </w:r>
      <w:r w:rsidR="00844ADE" w:rsidRPr="00781112">
        <w:t xml:space="preserve"> </w:t>
      </w:r>
      <w:r w:rsidRPr="00781112">
        <w:t xml:space="preserve">- </w:t>
      </w:r>
      <w:r w:rsidR="004E2151" w:rsidRPr="00781112">
        <w:t>Prior FFY Required Actions</w:t>
      </w:r>
    </w:p>
    <w:p w14:paraId="704944D3" w14:textId="21E697E2" w:rsidR="004E2151" w:rsidRPr="00781112" w:rsidRDefault="002B7490" w:rsidP="004E2151">
      <w:pPr>
        <w:rPr>
          <w:rFonts w:cs="Arial"/>
          <w:color w:val="000000" w:themeColor="text1"/>
          <w:szCs w:val="16"/>
        </w:rPr>
      </w:pPr>
      <w:r w:rsidRPr="00781112">
        <w:rPr>
          <w:rFonts w:cs="Arial"/>
          <w:color w:val="000000" w:themeColor="text1"/>
          <w:szCs w:val="16"/>
        </w:rPr>
        <w:t>None</w:t>
      </w:r>
    </w:p>
    <w:p w14:paraId="7A2A42E5" w14:textId="77777777" w:rsidR="00591597" w:rsidRPr="00781112" w:rsidRDefault="00591597" w:rsidP="004E2151">
      <w:pPr>
        <w:rPr>
          <w:rFonts w:cs="Arial"/>
          <w:color w:val="000000" w:themeColor="text1"/>
          <w:szCs w:val="16"/>
        </w:rPr>
      </w:pPr>
    </w:p>
    <w:p w14:paraId="1139CB4A" w14:textId="77777777" w:rsidR="00591597" w:rsidRPr="00781112" w:rsidRDefault="00591597" w:rsidP="004E2151">
      <w:pPr>
        <w:rPr>
          <w:rFonts w:cs="Arial"/>
          <w:color w:val="000000" w:themeColor="text1"/>
          <w:szCs w:val="16"/>
        </w:rPr>
      </w:pPr>
    </w:p>
    <w:p w14:paraId="6FDBF7F5" w14:textId="608C7842" w:rsidR="007F5071" w:rsidRPr="00781112" w:rsidRDefault="00400C56" w:rsidP="005B40C0">
      <w:pPr>
        <w:pStyle w:val="Heading3"/>
      </w:pPr>
      <w:r w:rsidRPr="00781112">
        <w:t>9 - OSEP Response</w:t>
      </w:r>
    </w:p>
    <w:p w14:paraId="77DED45E" w14:textId="3920B295" w:rsidR="00481536" w:rsidRPr="00781112" w:rsidRDefault="00481536" w:rsidP="00212954">
      <w:pPr>
        <w:rPr>
          <w:rFonts w:cs="Arial"/>
          <w:color w:val="000000" w:themeColor="text1"/>
          <w:szCs w:val="16"/>
        </w:rPr>
      </w:pPr>
    </w:p>
    <w:p w14:paraId="3F79B021" w14:textId="16E0C852" w:rsidR="007F5071" w:rsidRPr="00781112" w:rsidRDefault="00977D0D" w:rsidP="005B40C0">
      <w:pPr>
        <w:pStyle w:val="Heading3"/>
      </w:pPr>
      <w:r w:rsidRPr="00781112">
        <w:t>9 - Required Actions</w:t>
      </w:r>
    </w:p>
    <w:p w14:paraId="0B404586" w14:textId="0A97D85C" w:rsidR="00481536" w:rsidRPr="00781112" w:rsidRDefault="00481536" w:rsidP="00212954">
      <w:pPr>
        <w:rPr>
          <w:rFonts w:cs="Arial"/>
          <w:color w:val="000000" w:themeColor="text1"/>
          <w:szCs w:val="16"/>
        </w:rPr>
      </w:pPr>
    </w:p>
    <w:p w14:paraId="20A15EBC"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D8087B6" w14:textId="0C652DF9" w:rsidR="00D03701" w:rsidRPr="00781112" w:rsidRDefault="00D03701" w:rsidP="005B40C0">
      <w:pPr>
        <w:pStyle w:val="Heading2"/>
      </w:pPr>
      <w:r w:rsidRPr="00781112">
        <w:rPr>
          <w:color w:val="000000" w:themeColor="text1"/>
          <w:sz w:val="22"/>
        </w:rPr>
        <w:lastRenderedPageBreak/>
        <w:t>Indicator 10: Disproportionate Representation in Specific Disability Categories</w:t>
      </w:r>
      <w:bookmarkEnd w:id="52"/>
      <w:bookmarkEnd w:id="53"/>
      <w:bookmarkEnd w:id="54"/>
      <w:r w:rsidRPr="00781112">
        <w:rPr>
          <w:color w:val="000000" w:themeColor="text1"/>
          <w:sz w:val="22"/>
        </w:rPr>
        <w:t xml:space="preserve"> </w:t>
      </w:r>
    </w:p>
    <w:p w14:paraId="139B488B" w14:textId="72279883" w:rsidR="00B70FBF" w:rsidRPr="002C274F" w:rsidRDefault="00B70FBF" w:rsidP="002C274F">
      <w:pPr>
        <w:rPr>
          <w:b/>
          <w:bCs/>
          <w:sz w:val="20"/>
          <w:szCs w:val="20"/>
        </w:rPr>
      </w:pPr>
      <w:bookmarkStart w:id="55" w:name="_Toc384383348"/>
      <w:bookmarkStart w:id="56" w:name="_Toc392159316"/>
      <w:r w:rsidRPr="002C274F">
        <w:rPr>
          <w:b/>
          <w:bCs/>
          <w:sz w:val="20"/>
          <w:szCs w:val="20"/>
        </w:rPr>
        <w:t>Instructions and Measurement</w:t>
      </w:r>
    </w:p>
    <w:p w14:paraId="26E33C31" w14:textId="3616C8E9" w:rsidR="00CC634E" w:rsidRPr="00781112" w:rsidRDefault="00CC634E" w:rsidP="005A3C12">
      <w:pPr>
        <w:rPr>
          <w:rFonts w:cs="Arial"/>
          <w:b/>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xml:space="preserve"> Disproportionality</w:t>
      </w:r>
    </w:p>
    <w:p w14:paraId="2D2ACC66" w14:textId="20EBB47F" w:rsidR="001D677D" w:rsidRPr="00781112" w:rsidRDefault="00CC634E" w:rsidP="005A3C12">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Percent of districts with disproportionate representation of racial and ethnic groups in specific disability categories that is the result of inappropriate identification.</w:t>
      </w:r>
    </w:p>
    <w:p w14:paraId="7688ECEE" w14:textId="1C1D5AA2" w:rsidR="00CC634E" w:rsidRPr="00781112" w:rsidRDefault="00CC634E" w:rsidP="005A3C12">
      <w:pPr>
        <w:rPr>
          <w:rFonts w:cs="Arial"/>
          <w:color w:val="000000" w:themeColor="text1"/>
          <w:szCs w:val="16"/>
        </w:rPr>
      </w:pPr>
      <w:r w:rsidRPr="00781112">
        <w:rPr>
          <w:rFonts w:cs="Arial"/>
          <w:color w:val="000000" w:themeColor="text1"/>
          <w:szCs w:val="16"/>
        </w:rPr>
        <w:t xml:space="preserve"> (20 U.S.C. 1416(a)(3)(C))</w:t>
      </w:r>
    </w:p>
    <w:p w14:paraId="37F13F1F" w14:textId="77777777" w:rsidR="001D677D" w:rsidRPr="00781112" w:rsidRDefault="001D677D" w:rsidP="004369B2">
      <w:pPr>
        <w:rPr>
          <w:color w:val="000000" w:themeColor="text1"/>
        </w:rPr>
      </w:pPr>
      <w:r w:rsidRPr="00781112">
        <w:rPr>
          <w:b/>
          <w:color w:val="000000" w:themeColor="text1"/>
        </w:rPr>
        <w:t>Data Source</w:t>
      </w:r>
    </w:p>
    <w:p w14:paraId="3D0F53DD" w14:textId="1C69F23D" w:rsidR="001D677D" w:rsidRPr="00781112" w:rsidRDefault="007A3964" w:rsidP="00286BDF">
      <w:pPr>
        <w:rPr>
          <w:rFonts w:cs="Arial"/>
          <w:color w:val="000000" w:themeColor="text1"/>
          <w:szCs w:val="16"/>
        </w:rPr>
      </w:pPr>
      <w:r w:rsidRPr="00781112">
        <w:rPr>
          <w:rFonts w:cs="Arial"/>
          <w:color w:val="000000" w:themeColor="text1"/>
          <w:szCs w:val="16"/>
          <w:shd w:val="clear" w:color="auto" w:fill="FFFFFF"/>
        </w:rPr>
        <w:t>State’s analysis, based on State’s Child Count data collected under IDEA section 618, to determine if the disproportionate representation of racial and ethnic groups in specific disability categories was the result of inappropriate identification.</w:t>
      </w:r>
    </w:p>
    <w:p w14:paraId="101129B1" w14:textId="77777777" w:rsidR="001D677D" w:rsidRPr="00781112" w:rsidRDefault="001D677D" w:rsidP="004369B2">
      <w:pPr>
        <w:rPr>
          <w:color w:val="000000" w:themeColor="text1"/>
        </w:rPr>
      </w:pPr>
      <w:r w:rsidRPr="00781112">
        <w:rPr>
          <w:b/>
          <w:color w:val="000000" w:themeColor="text1"/>
        </w:rPr>
        <w:t>Measurement</w:t>
      </w:r>
    </w:p>
    <w:p w14:paraId="564157FF" w14:textId="77777777" w:rsidR="007A3964" w:rsidRPr="00781112" w:rsidRDefault="007A3964" w:rsidP="007A3964">
      <w:pPr>
        <w:rPr>
          <w:rFonts w:cs="Arial"/>
          <w:color w:val="000000" w:themeColor="text1"/>
          <w:szCs w:val="16"/>
        </w:rPr>
      </w:pPr>
      <w:r w:rsidRPr="00781112">
        <w:rPr>
          <w:rFonts w:cs="Arial"/>
          <w:color w:val="000000" w:themeColor="text1"/>
          <w:szCs w:val="16"/>
        </w:rPr>
        <w:t>Percent = [(# of districts, that meet the State-established n and/or cell size (if applicable) for one or more racial/ethnic groups, with disproportionate representation of racial and ethnic groups in specific disability categories that is the result of inappropriate identification) divided by the (# of districts in the State that meet the State-established n and/or cell size (if applicable) for one or more racial/ethnic groups)] times 100.</w:t>
      </w:r>
    </w:p>
    <w:p w14:paraId="23D9C135" w14:textId="3CB021A9" w:rsidR="007A3964" w:rsidRPr="00781112" w:rsidRDefault="007A3964" w:rsidP="007A3964">
      <w:pPr>
        <w:rPr>
          <w:rFonts w:cs="Arial"/>
          <w:color w:val="000000" w:themeColor="text1"/>
          <w:szCs w:val="16"/>
        </w:rPr>
      </w:pPr>
      <w:r w:rsidRPr="00781112">
        <w:rPr>
          <w:rFonts w:cs="Arial"/>
          <w:color w:val="000000" w:themeColor="text1"/>
          <w:szCs w:val="16"/>
        </w:rPr>
        <w:t>Include State’s definition of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w:t>
      </w:r>
    </w:p>
    <w:p w14:paraId="7F3C03F6" w14:textId="6D71D230" w:rsidR="001D677D" w:rsidRPr="00781112" w:rsidRDefault="007A3964" w:rsidP="007A3964">
      <w:pPr>
        <w:rPr>
          <w:rFonts w:cs="Arial"/>
          <w:color w:val="000000" w:themeColor="text1"/>
          <w:szCs w:val="16"/>
        </w:rPr>
      </w:pPr>
      <w:r w:rsidRPr="00781112">
        <w:rPr>
          <w:rFonts w:cs="Arial"/>
          <w:color w:val="000000" w:themeColor="text1"/>
          <w:szCs w:val="16"/>
        </w:rPr>
        <w:t xml:space="preserve">Based on its review of the section 618 data for the reporting year, describe how the State made its annual determination as to whether the disproportionate representation it identified of racial and ethnic groups in specific disability categories was the result of inappropriate identification as required by 34 CFR §§300.600(d)(3) and 300.602(a), (e.g., using monitoring data; reviewing policies, practices and procedures). In determining disproportionate representation, analyze data, for each district, for all racial and ethnic groups in the district, or all racial and ethnic groups in the district that meet a minimum n and/or cell size set by the State. Report on the percent of districts in which disproportionate representation of racial and ethnic groups in </w:t>
      </w:r>
      <w:r w:rsidR="00C77D8E" w:rsidRPr="00781112">
        <w:rPr>
          <w:rFonts w:cs="Arial"/>
          <w:szCs w:val="16"/>
        </w:rPr>
        <w:t xml:space="preserve">specific disability categories </w:t>
      </w:r>
      <w:r w:rsidRPr="00781112">
        <w:rPr>
          <w:rFonts w:cs="Arial"/>
          <w:color w:val="000000" w:themeColor="text1"/>
          <w:szCs w:val="16"/>
        </w:rPr>
        <w:t xml:space="preserve">is the result of inappropriate identification, even if the determination of inappropriate identification was made after the end of the FFY </w:t>
      </w:r>
      <w:r w:rsidR="00206A65" w:rsidRPr="00781112">
        <w:rPr>
          <w:rFonts w:cs="Arial"/>
          <w:color w:val="000000" w:themeColor="text1"/>
          <w:szCs w:val="16"/>
        </w:rPr>
        <w:t>202</w:t>
      </w:r>
      <w:r w:rsidR="00FA5955">
        <w:rPr>
          <w:rFonts w:cs="Arial"/>
          <w:color w:val="000000" w:themeColor="text1"/>
          <w:szCs w:val="16"/>
        </w:rPr>
        <w:t>3</w:t>
      </w:r>
      <w:r w:rsidR="00206A65" w:rsidRPr="00781112">
        <w:rPr>
          <w:rFonts w:cs="Arial"/>
          <w:color w:val="000000" w:themeColor="text1"/>
          <w:szCs w:val="16"/>
        </w:rPr>
        <w:t xml:space="preserve"> </w:t>
      </w:r>
      <w:r w:rsidRPr="00781112">
        <w:rPr>
          <w:rFonts w:cs="Arial"/>
          <w:color w:val="000000" w:themeColor="text1"/>
          <w:szCs w:val="16"/>
        </w:rPr>
        <w:t xml:space="preserve">reporting period (i.e., after June 30, </w:t>
      </w:r>
      <w:r w:rsidR="00206A65" w:rsidRPr="00781112">
        <w:rPr>
          <w:rFonts w:cs="Arial"/>
          <w:color w:val="000000" w:themeColor="text1"/>
          <w:szCs w:val="16"/>
        </w:rPr>
        <w:t>202</w:t>
      </w:r>
      <w:r w:rsidR="00FA5955">
        <w:rPr>
          <w:rFonts w:cs="Arial"/>
          <w:color w:val="000000" w:themeColor="text1"/>
          <w:szCs w:val="16"/>
        </w:rPr>
        <w:t>4</w:t>
      </w:r>
      <w:r w:rsidRPr="00781112">
        <w:rPr>
          <w:rFonts w:cs="Arial"/>
          <w:color w:val="000000" w:themeColor="text1"/>
          <w:szCs w:val="16"/>
        </w:rPr>
        <w:t>).</w:t>
      </w:r>
    </w:p>
    <w:p w14:paraId="3C70F698" w14:textId="77777777" w:rsidR="001D677D" w:rsidRPr="00781112" w:rsidRDefault="001D677D" w:rsidP="004369B2">
      <w:pPr>
        <w:rPr>
          <w:color w:val="000000" w:themeColor="text1"/>
        </w:rPr>
      </w:pPr>
      <w:r w:rsidRPr="00781112">
        <w:rPr>
          <w:b/>
          <w:color w:val="000000" w:themeColor="text1"/>
        </w:rPr>
        <w:t>Instructions</w:t>
      </w:r>
    </w:p>
    <w:p w14:paraId="54B0F35E" w14:textId="65BA9D20" w:rsidR="001D677D" w:rsidRPr="00781112" w:rsidRDefault="001D677D" w:rsidP="00286BDF">
      <w:pPr>
        <w:rPr>
          <w:rFonts w:cs="Arial"/>
          <w:color w:val="000000" w:themeColor="text1"/>
          <w:szCs w:val="16"/>
        </w:rPr>
      </w:pPr>
      <w:r w:rsidRPr="00781112">
        <w:rPr>
          <w:rFonts w:cs="Arial"/>
          <w:iCs/>
          <w:color w:val="000000" w:themeColor="text1"/>
          <w:szCs w:val="16"/>
        </w:rPr>
        <w:t>P</w:t>
      </w:r>
      <w:r w:rsidRPr="00781112">
        <w:rPr>
          <w:rFonts w:cs="Arial"/>
          <w:color w:val="000000" w:themeColor="text1"/>
          <w:szCs w:val="16"/>
        </w:rPr>
        <w:t>rovide racial/ethnic disproportionality data for all children</w:t>
      </w:r>
      <w:r w:rsidR="00522BEA" w:rsidRPr="00522BEA">
        <w:t xml:space="preserve"> </w:t>
      </w:r>
      <w:r w:rsidR="00522BEA" w:rsidRPr="00522BEA">
        <w:rPr>
          <w:rFonts w:cs="Arial"/>
          <w:color w:val="000000" w:themeColor="text1"/>
          <w:szCs w:val="16"/>
        </w:rPr>
        <w:t>aged 5 who are enrolled in kindergarten and</w:t>
      </w:r>
      <w:r w:rsidRPr="00781112">
        <w:rPr>
          <w:rFonts w:cs="Arial"/>
          <w:color w:val="000000" w:themeColor="text1"/>
          <w:szCs w:val="16"/>
        </w:rPr>
        <w:t xml:space="preserve"> aged 6 through 21 served under IDEA.</w:t>
      </w:r>
      <w:r w:rsidR="006E0CC6" w:rsidRPr="00781112">
        <w:rPr>
          <w:rFonts w:cs="Arial"/>
          <w:color w:val="000000" w:themeColor="text1"/>
          <w:szCs w:val="16"/>
        </w:rPr>
        <w:t xml:space="preserve"> </w:t>
      </w:r>
      <w:r w:rsidR="006E0CC6" w:rsidRPr="00781112">
        <w:rPr>
          <w:rFonts w:cs="Arial"/>
          <w:szCs w:val="16"/>
        </w:rPr>
        <w:t>Provide these data at a minimum for children in the following six disability categories: intellectual disability, specific learning disabilities, emotional disturbance, speech or language impairments, other health impairments, and autism. If a State has identified disproportionate representation of racial and ethnic groups in specific disability categories other than these six disability categories, the State must include these data and report on whether the State determined that the disproportionate representation of racial and ethnic groups in specific disability categories was the result of inappropriate identification</w:t>
      </w:r>
      <w:r w:rsidR="009F2D7B" w:rsidRPr="00781112">
        <w:rPr>
          <w:rFonts w:cs="Arial"/>
          <w:szCs w:val="16"/>
        </w:rPr>
        <w:t>.</w:t>
      </w:r>
      <w:r w:rsidR="00084AD7">
        <w:rPr>
          <w:rFonts w:cs="Arial"/>
          <w:szCs w:val="16"/>
        </w:rPr>
        <w:t xml:space="preserve"> </w:t>
      </w:r>
      <w:r w:rsidR="00084AD7" w:rsidRPr="00084AD7">
        <w:rPr>
          <w:rFonts w:cs="Arial"/>
          <w:szCs w:val="16"/>
        </w:rPr>
        <w:t>Provide the actual numbers used in the calculation.</w:t>
      </w:r>
    </w:p>
    <w:p w14:paraId="2375484C" w14:textId="77777777" w:rsidR="001D677D" w:rsidRPr="00781112" w:rsidRDefault="001D677D" w:rsidP="00286BDF">
      <w:pPr>
        <w:rPr>
          <w:rFonts w:cs="Arial"/>
          <w:color w:val="000000" w:themeColor="text1"/>
          <w:szCs w:val="16"/>
        </w:rPr>
      </w:pPr>
      <w:r w:rsidRPr="00781112">
        <w:rPr>
          <w:rFonts w:cs="Arial"/>
          <w:color w:val="000000" w:themeColor="text1"/>
          <w:szCs w:val="16"/>
        </w:rPr>
        <w:t>States are not required to report on underrepresentation.</w:t>
      </w:r>
    </w:p>
    <w:p w14:paraId="65635BB5" w14:textId="77777777" w:rsidR="001D677D" w:rsidRPr="00781112" w:rsidRDefault="001D677D" w:rsidP="00286BDF">
      <w:pPr>
        <w:rPr>
          <w:rFonts w:cs="Arial"/>
          <w:color w:val="000000" w:themeColor="text1"/>
          <w:szCs w:val="16"/>
        </w:rPr>
      </w:pPr>
      <w:r w:rsidRPr="00781112">
        <w:rPr>
          <w:rFonts w:cs="Arial"/>
          <w:color w:val="000000" w:themeColor="text1"/>
          <w:szCs w:val="16"/>
        </w:rPr>
        <w:t>If the State has established a minimum n and/or cell size requirement, the State may only include, in both the numerator and the denominator, districts that met that State-established n and/or cell size. If the State used a minimum n and/or cell size requirement, report the number of districts totally excluded from the calculation as a result of this requirement because the district did not meet the minimum n and/or cell size for any racial/ethnic group.</w:t>
      </w:r>
    </w:p>
    <w:p w14:paraId="2FC20F43" w14:textId="77777777" w:rsidR="001D677D" w:rsidRPr="00781112" w:rsidRDefault="001D677D" w:rsidP="00286BDF">
      <w:pPr>
        <w:rPr>
          <w:rFonts w:cs="Arial"/>
          <w:color w:val="000000" w:themeColor="text1"/>
          <w:szCs w:val="16"/>
        </w:rPr>
      </w:pPr>
      <w:r w:rsidRPr="00781112">
        <w:rPr>
          <w:rFonts w:cs="Arial"/>
          <w:color w:val="000000" w:themeColor="text1"/>
          <w:szCs w:val="16"/>
        </w:rPr>
        <w:t>Consider using multiple methods in calculating disproportionate representation of racial and ethnic groups to reduce the risk of overlooking potential problems. Describe the method(s) used to calculate disproportionate representation.</w:t>
      </w:r>
    </w:p>
    <w:p w14:paraId="42D05561" w14:textId="057A6DF7" w:rsidR="001D677D" w:rsidRPr="00781112" w:rsidRDefault="001D677D" w:rsidP="00286BDF">
      <w:pPr>
        <w:rPr>
          <w:rFonts w:cs="Arial"/>
          <w:color w:val="000000" w:themeColor="text1"/>
          <w:szCs w:val="16"/>
        </w:rPr>
      </w:pPr>
      <w:r w:rsidRPr="00781112">
        <w:rPr>
          <w:rFonts w:cs="Arial"/>
          <w:color w:val="000000" w:themeColor="text1"/>
          <w:szCs w:val="16"/>
        </w:rPr>
        <w:t xml:space="preserve">Provide the number of districts that met the State-established n and/or cell size (if applicable) for one or more racial/ethnic groups identified with disproportionate representation of racial and ethnic groups in </w:t>
      </w:r>
      <w:r w:rsidR="00175656" w:rsidRPr="00781112">
        <w:rPr>
          <w:rFonts w:cs="Arial"/>
          <w:szCs w:val="16"/>
        </w:rPr>
        <w:t>specific disability categories</w:t>
      </w:r>
      <w:r w:rsidRPr="00781112">
        <w:rPr>
          <w:rFonts w:cs="Arial"/>
          <w:color w:val="000000" w:themeColor="text1"/>
          <w:szCs w:val="16"/>
        </w:rPr>
        <w:t xml:space="preserve"> and the number of those districts identified with disproportionate representation that is the result of inappropriate identification.</w:t>
      </w:r>
    </w:p>
    <w:p w14:paraId="4D68547C" w14:textId="77777777" w:rsidR="001D677D" w:rsidRPr="00781112" w:rsidRDefault="001D677D" w:rsidP="00286BDF">
      <w:pPr>
        <w:rPr>
          <w:rFonts w:cs="Arial"/>
          <w:color w:val="000000" w:themeColor="text1"/>
          <w:szCs w:val="16"/>
        </w:rPr>
      </w:pPr>
      <w:r w:rsidRPr="00781112">
        <w:rPr>
          <w:rFonts w:cs="Arial"/>
          <w:color w:val="000000" w:themeColor="text1"/>
          <w:szCs w:val="16"/>
        </w:rPr>
        <w:t>Targets must be 0%.</w:t>
      </w:r>
    </w:p>
    <w:p w14:paraId="7F575E8E" w14:textId="0308BFD7" w:rsidR="001D677D" w:rsidRPr="00781112" w:rsidRDefault="001D677D"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57" w:name="_Hlk150864288"/>
      <w:r w:rsidR="00084AD7" w:rsidRPr="00084AD7">
        <w:rPr>
          <w:rFonts w:cs="Arial"/>
          <w:color w:val="000000" w:themeColor="text1"/>
          <w:szCs w:val="16"/>
        </w:rPr>
        <w:t>child-specific and regulatory/systemic</w:t>
      </w:r>
      <w:r w:rsidR="00084AD7">
        <w:rPr>
          <w:sz w:val="20"/>
          <w:szCs w:val="14"/>
        </w:rPr>
        <w:t xml:space="preserve"> </w:t>
      </w:r>
      <w:bookmarkEnd w:id="57"/>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367E089E" w14:textId="105DAB7A" w:rsidR="001D677D"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4450CF7" w14:textId="2D028AE8" w:rsidR="00AB2AE1" w:rsidRPr="00FE4611" w:rsidRDefault="00AB2AE1"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07820E6" w14:textId="2418F86F" w:rsidR="00B70FBF" w:rsidRPr="00781112" w:rsidRDefault="009F64D5" w:rsidP="005B40C0">
      <w:pPr>
        <w:pStyle w:val="Heading3"/>
      </w:pPr>
      <w:bookmarkStart w:id="58" w:name="_Toc384383349"/>
      <w:bookmarkStart w:id="59" w:name="_Toc392159317"/>
      <w:bookmarkEnd w:id="55"/>
      <w:bookmarkEnd w:id="56"/>
      <w:r w:rsidRPr="00781112">
        <w:t>10</w:t>
      </w:r>
      <w:r w:rsidR="00596F4D" w:rsidRPr="00781112">
        <w:t xml:space="preserve"> </w:t>
      </w:r>
      <w:r w:rsidRPr="00781112">
        <w:t xml:space="preserve">- </w:t>
      </w:r>
      <w:r w:rsidR="00D853AE" w:rsidRPr="00781112">
        <w:t>Indicator Data</w:t>
      </w:r>
    </w:p>
    <w:p w14:paraId="198C31F1" w14:textId="77777777" w:rsidR="0091098C" w:rsidRPr="00781112" w:rsidRDefault="0091098C" w:rsidP="004369B2">
      <w:pPr>
        <w:rPr>
          <w:color w:val="000000" w:themeColor="text1"/>
        </w:rPr>
      </w:pPr>
      <w:r w:rsidRPr="00781112">
        <w:rPr>
          <w:b/>
          <w:color w:val="000000" w:themeColor="text1"/>
        </w:rPr>
        <w:t>Not Applicable</w:t>
      </w:r>
    </w:p>
    <w:p w14:paraId="769429F9" w14:textId="2143DCD6" w:rsidR="00C2395D" w:rsidRPr="00781112" w:rsidRDefault="001B07D3">
      <w:pPr>
        <w:rPr>
          <w:b/>
          <w:color w:val="000000" w:themeColor="text1"/>
        </w:rPr>
      </w:pPr>
      <w:r w:rsidRPr="00781112">
        <w:rPr>
          <w:b/>
          <w:color w:val="000000" w:themeColor="text1"/>
        </w:rPr>
        <w:t>Select yes if this indicator is not applicable.</w:t>
      </w:r>
    </w:p>
    <w:p w14:paraId="5BEDAC27" w14:textId="63B8B677" w:rsidR="00043AC9" w:rsidRPr="00781112" w:rsidRDefault="00043AC9" w:rsidP="004369B2">
      <w:pPr>
        <w:rPr>
          <w:rFonts w:cs="Arial"/>
          <w:color w:val="000000" w:themeColor="text1"/>
          <w:szCs w:val="16"/>
        </w:rPr>
      </w:pPr>
      <w:r w:rsidRPr="00781112">
        <w:rPr>
          <w:rFonts w:cs="Arial"/>
          <w:color w:val="000000" w:themeColor="text1"/>
          <w:szCs w:val="16"/>
        </w:rPr>
        <w:t>NO</w:t>
      </w:r>
    </w:p>
    <w:p w14:paraId="74ABC795" w14:textId="77777777" w:rsidR="00C50290" w:rsidRPr="00781112" w:rsidRDefault="00C50290" w:rsidP="004369B2">
      <w:pPr>
        <w:rPr>
          <w:color w:val="000000" w:themeColor="text1"/>
        </w:rPr>
      </w:pPr>
    </w:p>
    <w:p w14:paraId="07402C56" w14:textId="1ED19344" w:rsidR="005A3C12" w:rsidRPr="00781112" w:rsidRDefault="005A3C12"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0BASELINEDATA"/>
      </w:tblPr>
      <w:tblGrid>
        <w:gridCol w:w="1797"/>
        <w:gridCol w:w="1798"/>
      </w:tblGrid>
      <w:tr w:rsidR="00D533A5" w:rsidRPr="00781112" w14:paraId="7C3AA767" w14:textId="77777777" w:rsidTr="00123D76">
        <w:trPr>
          <w:trHeight w:val="311"/>
          <w:tblHeader/>
        </w:trPr>
        <w:tc>
          <w:tcPr>
            <w:tcW w:w="1797" w:type="dxa"/>
          </w:tcPr>
          <w:p w14:paraId="1A4E37E9" w14:textId="77777777" w:rsidR="00D533A5" w:rsidRPr="00781112" w:rsidRDefault="00D533A5" w:rsidP="00123D76">
            <w:pPr>
              <w:jc w:val="center"/>
              <w:rPr>
                <w:b/>
                <w:color w:val="000000" w:themeColor="text1"/>
              </w:rPr>
            </w:pPr>
            <w:r w:rsidRPr="00781112">
              <w:rPr>
                <w:rFonts w:cs="Arial"/>
                <w:b/>
                <w:color w:val="000000" w:themeColor="text1"/>
                <w:szCs w:val="16"/>
              </w:rPr>
              <w:t>Baseline Year</w:t>
            </w:r>
          </w:p>
        </w:tc>
        <w:tc>
          <w:tcPr>
            <w:tcW w:w="1798" w:type="dxa"/>
          </w:tcPr>
          <w:p w14:paraId="45C39BBE" w14:textId="77777777" w:rsidR="00D533A5" w:rsidRPr="00781112" w:rsidRDefault="00D533A5" w:rsidP="00123D76">
            <w:pPr>
              <w:jc w:val="center"/>
              <w:rPr>
                <w:b/>
                <w:color w:val="000000" w:themeColor="text1"/>
              </w:rPr>
            </w:pPr>
            <w:r w:rsidRPr="00781112">
              <w:rPr>
                <w:b/>
                <w:color w:val="000000" w:themeColor="text1"/>
              </w:rPr>
              <w:t>Baseline Data</w:t>
            </w:r>
          </w:p>
        </w:tc>
      </w:tr>
      <w:tr w:rsidR="00D533A5" w:rsidRPr="00781112" w14:paraId="4AFD3BFF" w14:textId="77777777" w:rsidTr="00123D76">
        <w:trPr>
          <w:trHeight w:val="311"/>
        </w:trPr>
        <w:tc>
          <w:tcPr>
            <w:tcW w:w="1797" w:type="dxa"/>
            <w:vAlign w:val="center"/>
          </w:tcPr>
          <w:p w14:paraId="71352362" w14:textId="3C2D4289" w:rsidR="00D533A5" w:rsidRPr="00781112" w:rsidRDefault="00D533A5" w:rsidP="00123D76">
            <w:pPr>
              <w:jc w:val="center"/>
              <w:rPr>
                <w:bCs/>
                <w:color w:val="000000" w:themeColor="text1"/>
              </w:rPr>
            </w:pPr>
            <w:r w:rsidRPr="00781112">
              <w:rPr>
                <w:bCs/>
                <w:color w:val="000000" w:themeColor="text1"/>
              </w:rPr>
              <w:t>2020</w:t>
            </w:r>
          </w:p>
        </w:tc>
        <w:tc>
          <w:tcPr>
            <w:tcW w:w="1798" w:type="dxa"/>
            <w:vAlign w:val="center"/>
          </w:tcPr>
          <w:p w14:paraId="1E9B684E" w14:textId="004A2B05" w:rsidR="00D533A5" w:rsidRPr="00781112" w:rsidRDefault="00D533A5" w:rsidP="00123D76">
            <w:pPr>
              <w:jc w:val="center"/>
              <w:rPr>
                <w:bCs/>
                <w:color w:val="000000" w:themeColor="text1"/>
              </w:rPr>
            </w:pPr>
            <w:r w:rsidRPr="00781112">
              <w:rPr>
                <w:bCs/>
                <w:color w:val="000000" w:themeColor="text1"/>
              </w:rPr>
              <w:t>0.00%</w:t>
            </w:r>
          </w:p>
        </w:tc>
      </w:tr>
    </w:tbl>
    <w:p w14:paraId="690B4CC0" w14:textId="77777777" w:rsidR="00D533A5" w:rsidRPr="00781112" w:rsidRDefault="00D533A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HISTDATA"/>
      </w:tblPr>
      <w:tblGrid>
        <w:gridCol w:w="1798"/>
        <w:gridCol w:w="1798"/>
        <w:gridCol w:w="1798"/>
        <w:gridCol w:w="1798"/>
        <w:gridCol w:w="1798"/>
        <w:gridCol w:w="1800"/>
      </w:tblGrid>
      <w:tr w:rsidR="005C29F8" w:rsidRPr="00781112" w14:paraId="489E6808" w14:textId="77777777" w:rsidTr="002B4D97">
        <w:trPr>
          <w:trHeight w:val="350"/>
        </w:trPr>
        <w:tc>
          <w:tcPr>
            <w:tcW w:w="833" w:type="pct"/>
            <w:tcBorders>
              <w:bottom w:val="single" w:sz="4" w:space="0" w:color="auto"/>
            </w:tcBorders>
            <w:shd w:val="clear" w:color="auto" w:fill="auto"/>
          </w:tcPr>
          <w:p w14:paraId="0171756F" w14:textId="77777777" w:rsidR="005A3C12" w:rsidRPr="00781112" w:rsidRDefault="005A3C12" w:rsidP="004369B2">
            <w:pPr>
              <w:jc w:val="center"/>
              <w:rPr>
                <w:b/>
                <w:color w:val="000000" w:themeColor="text1"/>
              </w:rPr>
            </w:pPr>
            <w:r w:rsidRPr="00781112">
              <w:rPr>
                <w:b/>
                <w:color w:val="000000" w:themeColor="text1"/>
              </w:rPr>
              <w:t>FFY</w:t>
            </w:r>
          </w:p>
        </w:tc>
        <w:tc>
          <w:tcPr>
            <w:tcW w:w="833" w:type="pct"/>
            <w:shd w:val="clear" w:color="auto" w:fill="auto"/>
          </w:tcPr>
          <w:p w14:paraId="78B2C5F0" w14:textId="44C4ABDF" w:rsidR="005A3C12" w:rsidRPr="00781112" w:rsidRDefault="002B7490" w:rsidP="0077257F">
            <w:pPr>
              <w:jc w:val="center"/>
              <w:rPr>
                <w:b/>
                <w:color w:val="000000" w:themeColor="text1"/>
              </w:rPr>
            </w:pPr>
            <w:r w:rsidRPr="00781112">
              <w:rPr>
                <w:b/>
                <w:color w:val="000000" w:themeColor="text1"/>
              </w:rPr>
              <w:t>2018</w:t>
            </w:r>
          </w:p>
        </w:tc>
        <w:tc>
          <w:tcPr>
            <w:tcW w:w="833" w:type="pct"/>
            <w:shd w:val="clear" w:color="auto" w:fill="auto"/>
          </w:tcPr>
          <w:p w14:paraId="7D60853E" w14:textId="148AFB2D" w:rsidR="005A3C12" w:rsidRPr="00781112" w:rsidRDefault="002B7490" w:rsidP="0077257F">
            <w:pPr>
              <w:jc w:val="center"/>
              <w:rPr>
                <w:b/>
                <w:color w:val="000000" w:themeColor="text1"/>
              </w:rPr>
            </w:pPr>
            <w:r w:rsidRPr="00781112">
              <w:rPr>
                <w:b/>
                <w:color w:val="000000" w:themeColor="text1"/>
              </w:rPr>
              <w:t>2019</w:t>
            </w:r>
          </w:p>
        </w:tc>
        <w:tc>
          <w:tcPr>
            <w:tcW w:w="833" w:type="pct"/>
            <w:shd w:val="clear" w:color="auto" w:fill="auto"/>
          </w:tcPr>
          <w:p w14:paraId="7AE4870B" w14:textId="1CBB7B36" w:rsidR="005A3C12" w:rsidRPr="00781112" w:rsidRDefault="002B7490" w:rsidP="0077257F">
            <w:pPr>
              <w:jc w:val="center"/>
              <w:rPr>
                <w:b/>
                <w:color w:val="000000" w:themeColor="text1"/>
              </w:rPr>
            </w:pPr>
            <w:r w:rsidRPr="00781112">
              <w:rPr>
                <w:b/>
                <w:color w:val="000000" w:themeColor="text1"/>
              </w:rPr>
              <w:t>2020</w:t>
            </w:r>
          </w:p>
        </w:tc>
        <w:tc>
          <w:tcPr>
            <w:tcW w:w="833" w:type="pct"/>
            <w:shd w:val="clear" w:color="auto" w:fill="auto"/>
          </w:tcPr>
          <w:p w14:paraId="2C1DA403" w14:textId="484DDCF7" w:rsidR="005A3C12" w:rsidRPr="00781112" w:rsidRDefault="002B7490" w:rsidP="0077257F">
            <w:pPr>
              <w:jc w:val="center"/>
              <w:rPr>
                <w:b/>
                <w:color w:val="000000" w:themeColor="text1"/>
              </w:rPr>
            </w:pPr>
            <w:r w:rsidRPr="00781112">
              <w:rPr>
                <w:b/>
                <w:color w:val="000000" w:themeColor="text1"/>
              </w:rPr>
              <w:t>2021</w:t>
            </w:r>
          </w:p>
        </w:tc>
        <w:tc>
          <w:tcPr>
            <w:tcW w:w="834" w:type="pct"/>
            <w:shd w:val="clear" w:color="auto" w:fill="auto"/>
          </w:tcPr>
          <w:p w14:paraId="0829DA0A" w14:textId="7480CDCA" w:rsidR="005A3C12" w:rsidRPr="00781112" w:rsidRDefault="002B7490" w:rsidP="0077257F">
            <w:pPr>
              <w:jc w:val="center"/>
              <w:rPr>
                <w:b/>
                <w:color w:val="000000" w:themeColor="text1"/>
              </w:rPr>
            </w:pPr>
            <w:r w:rsidRPr="00781112">
              <w:rPr>
                <w:b/>
                <w:color w:val="000000" w:themeColor="text1"/>
              </w:rPr>
              <w:t>2022</w:t>
            </w:r>
          </w:p>
        </w:tc>
      </w:tr>
      <w:tr w:rsidR="005C29F8" w:rsidRPr="00781112" w14:paraId="070DB2EE" w14:textId="77777777" w:rsidTr="002B4D97">
        <w:trPr>
          <w:trHeight w:val="357"/>
        </w:trPr>
        <w:tc>
          <w:tcPr>
            <w:tcW w:w="833" w:type="pct"/>
            <w:shd w:val="clear" w:color="auto" w:fill="auto"/>
          </w:tcPr>
          <w:p w14:paraId="0009CFCE" w14:textId="438B1224" w:rsidR="005A3C12" w:rsidRPr="00781112" w:rsidRDefault="005A3C12"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75BD99" w14:textId="6D10741B"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26F74D0F" w14:textId="4AE09CE9"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7853FB9A" w14:textId="12B0C6E3"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3" w:type="pct"/>
            <w:shd w:val="clear" w:color="auto" w:fill="auto"/>
          </w:tcPr>
          <w:p w14:paraId="48E831B0" w14:textId="55B124AD"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c>
          <w:tcPr>
            <w:tcW w:w="834" w:type="pct"/>
            <w:shd w:val="clear" w:color="auto" w:fill="auto"/>
          </w:tcPr>
          <w:p w14:paraId="0EC718C3" w14:textId="25E87C80" w:rsidR="005A3C12" w:rsidRPr="00781112" w:rsidRDefault="009C65E9" w:rsidP="004369B2">
            <w:pPr>
              <w:jc w:val="center"/>
              <w:rPr>
                <w:rFonts w:cs="Arial"/>
                <w:color w:val="000000" w:themeColor="text1"/>
                <w:szCs w:val="16"/>
              </w:rPr>
            </w:pPr>
            <w:r w:rsidRPr="00781112">
              <w:rPr>
                <w:rFonts w:cs="Arial"/>
                <w:color w:val="000000" w:themeColor="text1"/>
                <w:szCs w:val="16"/>
              </w:rPr>
              <w:t>0%</w:t>
            </w:r>
          </w:p>
        </w:tc>
      </w:tr>
      <w:tr w:rsidR="005C29F8" w:rsidRPr="00781112" w14:paraId="72345F0E" w14:textId="77777777" w:rsidTr="002B4D97">
        <w:trPr>
          <w:trHeight w:val="85"/>
        </w:trPr>
        <w:tc>
          <w:tcPr>
            <w:tcW w:w="833" w:type="pct"/>
            <w:shd w:val="clear" w:color="auto" w:fill="auto"/>
          </w:tcPr>
          <w:p w14:paraId="33960FE1" w14:textId="77777777" w:rsidR="005A3C12" w:rsidRPr="00781112" w:rsidRDefault="005A3C12" w:rsidP="00BA3DBE">
            <w:pPr>
              <w:jc w:val="center"/>
              <w:rPr>
                <w:rFonts w:cs="Arial"/>
                <w:color w:val="000000" w:themeColor="text1"/>
                <w:szCs w:val="16"/>
              </w:rPr>
            </w:pPr>
            <w:r w:rsidRPr="00781112">
              <w:rPr>
                <w:rFonts w:cs="Arial"/>
                <w:color w:val="000000" w:themeColor="text1"/>
                <w:szCs w:val="16"/>
              </w:rPr>
              <w:lastRenderedPageBreak/>
              <w:t>Data</w:t>
            </w:r>
          </w:p>
        </w:tc>
        <w:tc>
          <w:tcPr>
            <w:tcW w:w="833" w:type="pct"/>
            <w:shd w:val="clear" w:color="auto" w:fill="auto"/>
          </w:tcPr>
          <w:p w14:paraId="1EEC0627" w14:textId="677F8A3D"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shd w:val="clear" w:color="auto" w:fill="auto"/>
          </w:tcPr>
          <w:p w14:paraId="5FB4D0B8" w14:textId="190E02CD" w:rsidR="005A3C12" w:rsidRPr="00781112" w:rsidRDefault="002B7490" w:rsidP="004369B2">
            <w:pPr>
              <w:jc w:val="center"/>
              <w:rPr>
                <w:rFonts w:cs="Arial"/>
                <w:color w:val="000000" w:themeColor="text1"/>
                <w:szCs w:val="16"/>
              </w:rPr>
            </w:pPr>
            <w:r w:rsidRPr="00781112">
              <w:rPr>
                <w:rFonts w:cs="Arial"/>
                <w:color w:val="000000" w:themeColor="text1"/>
                <w:szCs w:val="16"/>
              </w:rPr>
              <w:t>Not Valid and Reliable</w:t>
            </w:r>
          </w:p>
        </w:tc>
        <w:tc>
          <w:tcPr>
            <w:tcW w:w="833" w:type="pct"/>
            <w:tcBorders>
              <w:bottom w:val="single" w:sz="4" w:space="0" w:color="auto"/>
            </w:tcBorders>
            <w:shd w:val="clear" w:color="auto" w:fill="auto"/>
            <w:vAlign w:val="center"/>
          </w:tcPr>
          <w:p w14:paraId="36B818C8" w14:textId="70F8E2EA"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4F9B86C0" w14:textId="2EC4A366"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c>
          <w:tcPr>
            <w:tcW w:w="834" w:type="pct"/>
            <w:tcBorders>
              <w:bottom w:val="single" w:sz="4" w:space="0" w:color="auto"/>
            </w:tcBorders>
            <w:shd w:val="clear" w:color="auto" w:fill="auto"/>
            <w:vAlign w:val="center"/>
          </w:tcPr>
          <w:p w14:paraId="1C8D4247" w14:textId="1E5D4F59" w:rsidR="005A3C12" w:rsidRPr="00781112" w:rsidRDefault="002B7490" w:rsidP="004369B2">
            <w:pPr>
              <w:jc w:val="center"/>
              <w:rPr>
                <w:rFonts w:cs="Arial"/>
                <w:color w:val="000000" w:themeColor="text1"/>
                <w:szCs w:val="16"/>
              </w:rPr>
            </w:pPr>
            <w:r w:rsidRPr="00781112">
              <w:rPr>
                <w:rFonts w:cs="Arial"/>
                <w:color w:val="000000" w:themeColor="text1"/>
                <w:szCs w:val="16"/>
              </w:rPr>
              <w:t>0.00%</w:t>
            </w:r>
          </w:p>
        </w:tc>
      </w:tr>
      <w:bookmarkEnd w:id="58"/>
      <w:bookmarkEnd w:id="59"/>
    </w:tbl>
    <w:p w14:paraId="1840A66A" w14:textId="77777777" w:rsidR="00BA687C" w:rsidRPr="00781112" w:rsidRDefault="00BA687C" w:rsidP="004369B2">
      <w:pPr>
        <w:rPr>
          <w:color w:val="000000" w:themeColor="text1"/>
        </w:rPr>
      </w:pPr>
    </w:p>
    <w:p w14:paraId="618FFFDA" w14:textId="2F1D75E5" w:rsidR="007A3964" w:rsidRPr="00781112" w:rsidRDefault="007A3964" w:rsidP="004369B2">
      <w:pPr>
        <w:rPr>
          <w:color w:val="000000" w:themeColor="text1"/>
        </w:rPr>
      </w:pPr>
      <w:r w:rsidRPr="00781112">
        <w:rPr>
          <w:b/>
          <w:color w:val="000000" w:themeColor="text1"/>
        </w:rPr>
        <w:t>Targets</w:t>
      </w:r>
    </w:p>
    <w:tbl>
      <w:tblPr>
        <w:tblW w:w="2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0TARGETS"/>
      </w:tblPr>
      <w:tblGrid>
        <w:gridCol w:w="1540"/>
        <w:gridCol w:w="1542"/>
        <w:gridCol w:w="1542"/>
        <w:gridCol w:w="1541"/>
      </w:tblGrid>
      <w:tr w:rsidR="00233EFB" w:rsidRPr="00781112" w14:paraId="66B5B2AB" w14:textId="77A1A8F1" w:rsidTr="00FE4611">
        <w:trPr>
          <w:trHeight w:val="424"/>
        </w:trPr>
        <w:tc>
          <w:tcPr>
            <w:tcW w:w="1248" w:type="pct"/>
            <w:tcBorders>
              <w:bottom w:val="single" w:sz="4" w:space="0" w:color="auto"/>
            </w:tcBorders>
            <w:shd w:val="clear" w:color="auto" w:fill="auto"/>
          </w:tcPr>
          <w:p w14:paraId="6C572A94" w14:textId="77777777" w:rsidR="00233EFB" w:rsidRPr="00781112" w:rsidRDefault="00233EFB" w:rsidP="00D0796B">
            <w:pPr>
              <w:jc w:val="center"/>
              <w:rPr>
                <w:b/>
                <w:color w:val="000000" w:themeColor="text1"/>
              </w:rPr>
            </w:pPr>
            <w:r w:rsidRPr="00781112">
              <w:rPr>
                <w:b/>
                <w:color w:val="000000" w:themeColor="text1"/>
              </w:rPr>
              <w:t>FFY</w:t>
            </w:r>
          </w:p>
        </w:tc>
        <w:tc>
          <w:tcPr>
            <w:tcW w:w="1250" w:type="pct"/>
            <w:shd w:val="clear" w:color="auto" w:fill="auto"/>
          </w:tcPr>
          <w:p w14:paraId="67096E8B" w14:textId="77777777" w:rsidR="00233EFB" w:rsidRPr="00781112" w:rsidRDefault="00233EFB" w:rsidP="00D0796B">
            <w:pPr>
              <w:jc w:val="center"/>
              <w:rPr>
                <w:b/>
                <w:color w:val="000000" w:themeColor="text1"/>
              </w:rPr>
            </w:pPr>
            <w:r w:rsidRPr="00781112">
              <w:rPr>
                <w:b/>
                <w:color w:val="000000" w:themeColor="text1"/>
              </w:rPr>
              <w:t>2023</w:t>
            </w:r>
          </w:p>
        </w:tc>
        <w:tc>
          <w:tcPr>
            <w:tcW w:w="1251" w:type="pct"/>
          </w:tcPr>
          <w:p w14:paraId="0FDB27DB" w14:textId="2A7CA3D5" w:rsidR="00233EFB" w:rsidRPr="00781112" w:rsidRDefault="00233EFB" w:rsidP="00D0796B">
            <w:pPr>
              <w:jc w:val="center"/>
              <w:rPr>
                <w:b/>
                <w:color w:val="000000" w:themeColor="text1"/>
              </w:rPr>
            </w:pPr>
            <w:r w:rsidRPr="00781112">
              <w:rPr>
                <w:rFonts w:cs="Arial"/>
                <w:b/>
                <w:color w:val="000000" w:themeColor="text1"/>
                <w:szCs w:val="16"/>
              </w:rPr>
              <w:t>2024</w:t>
            </w:r>
          </w:p>
        </w:tc>
        <w:tc>
          <w:tcPr>
            <w:tcW w:w="1250" w:type="pct"/>
          </w:tcPr>
          <w:p w14:paraId="6594AB3D" w14:textId="0AA5EB84" w:rsidR="00233EFB" w:rsidRPr="00781112" w:rsidRDefault="00233EFB" w:rsidP="00D0796B">
            <w:pPr>
              <w:jc w:val="center"/>
              <w:rPr>
                <w:b/>
                <w:color w:val="000000" w:themeColor="text1"/>
              </w:rPr>
            </w:pPr>
            <w:r w:rsidRPr="00781112">
              <w:rPr>
                <w:rFonts w:cs="Arial"/>
                <w:b/>
                <w:color w:val="000000" w:themeColor="text1"/>
                <w:szCs w:val="16"/>
              </w:rPr>
              <w:t>2025</w:t>
            </w:r>
          </w:p>
        </w:tc>
      </w:tr>
      <w:tr w:rsidR="00233EFB" w:rsidRPr="00781112" w14:paraId="169ED4F0" w14:textId="16F5CD6F" w:rsidTr="00FE4611">
        <w:trPr>
          <w:trHeight w:val="432"/>
        </w:trPr>
        <w:tc>
          <w:tcPr>
            <w:tcW w:w="1248" w:type="pct"/>
            <w:shd w:val="clear" w:color="auto" w:fill="auto"/>
            <w:vAlign w:val="center"/>
          </w:tcPr>
          <w:p w14:paraId="639437BD" w14:textId="5F1854A1" w:rsidR="00233EFB" w:rsidRPr="00781112" w:rsidRDefault="00233EFB" w:rsidP="00BA3DBE">
            <w:pPr>
              <w:jc w:val="center"/>
              <w:rPr>
                <w:rFonts w:cs="Arial"/>
                <w:color w:val="000000" w:themeColor="text1"/>
                <w:szCs w:val="16"/>
              </w:rPr>
            </w:pPr>
            <w:r w:rsidRPr="00781112">
              <w:rPr>
                <w:rFonts w:cs="Arial"/>
                <w:color w:val="000000" w:themeColor="text1"/>
                <w:szCs w:val="16"/>
              </w:rPr>
              <w:t>Target</w:t>
            </w:r>
          </w:p>
        </w:tc>
        <w:tc>
          <w:tcPr>
            <w:tcW w:w="1250" w:type="pct"/>
            <w:shd w:val="clear" w:color="auto" w:fill="auto"/>
            <w:vAlign w:val="center"/>
          </w:tcPr>
          <w:p w14:paraId="482B43E6" w14:textId="62FCF10C" w:rsidR="00233EFB" w:rsidRPr="00781112" w:rsidRDefault="00233EFB" w:rsidP="00D0796B">
            <w:pPr>
              <w:jc w:val="center"/>
              <w:rPr>
                <w:rFonts w:cs="Arial"/>
                <w:color w:val="000000" w:themeColor="text1"/>
                <w:szCs w:val="16"/>
              </w:rPr>
            </w:pPr>
            <w:r w:rsidRPr="00781112">
              <w:rPr>
                <w:rFonts w:cs="Arial"/>
                <w:color w:val="000000" w:themeColor="text1"/>
                <w:szCs w:val="16"/>
              </w:rPr>
              <w:t>0%</w:t>
            </w:r>
          </w:p>
        </w:tc>
        <w:tc>
          <w:tcPr>
            <w:tcW w:w="1251" w:type="pct"/>
          </w:tcPr>
          <w:p w14:paraId="6ED6CF52" w14:textId="07C8F82B" w:rsidR="00233EFB" w:rsidRPr="00781112" w:rsidRDefault="00233EFB" w:rsidP="00D0796B">
            <w:pPr>
              <w:jc w:val="center"/>
              <w:rPr>
                <w:rFonts w:cs="Arial"/>
                <w:color w:val="000000" w:themeColor="text1"/>
                <w:szCs w:val="16"/>
              </w:rPr>
            </w:pPr>
            <w:r w:rsidRPr="00781112">
              <w:rPr>
                <w:color w:val="000000" w:themeColor="text1"/>
                <w:szCs w:val="16"/>
              </w:rPr>
              <w:t>0%</w:t>
            </w:r>
          </w:p>
        </w:tc>
        <w:tc>
          <w:tcPr>
            <w:tcW w:w="1250" w:type="pct"/>
          </w:tcPr>
          <w:p w14:paraId="41DC7F3D" w14:textId="129F7B75" w:rsidR="00233EFB" w:rsidRPr="00781112" w:rsidRDefault="00233EFB" w:rsidP="00D0796B">
            <w:pPr>
              <w:jc w:val="center"/>
              <w:rPr>
                <w:rFonts w:cs="Arial"/>
                <w:color w:val="000000" w:themeColor="text1"/>
                <w:szCs w:val="16"/>
              </w:rPr>
            </w:pPr>
            <w:r w:rsidRPr="00781112">
              <w:rPr>
                <w:color w:val="000000" w:themeColor="text1"/>
                <w:szCs w:val="16"/>
              </w:rPr>
              <w:t>0%</w:t>
            </w:r>
          </w:p>
        </w:tc>
      </w:tr>
    </w:tbl>
    <w:p w14:paraId="52F4815B" w14:textId="77777777" w:rsidR="00BA687C" w:rsidRPr="00781112" w:rsidRDefault="00BA687C" w:rsidP="004369B2">
      <w:pPr>
        <w:rPr>
          <w:color w:val="000000" w:themeColor="text1"/>
        </w:rPr>
      </w:pPr>
    </w:p>
    <w:p w14:paraId="7CAE922F" w14:textId="74881553" w:rsidR="005A3C12" w:rsidRPr="00781112" w:rsidRDefault="0047313F">
      <w:pPr>
        <w:rPr>
          <w:b/>
          <w:color w:val="000000" w:themeColor="text1"/>
        </w:rPr>
      </w:pPr>
      <w:r>
        <w:rPr>
          <w:b/>
          <w:color w:val="000000" w:themeColor="text1"/>
        </w:rPr>
        <w:t>FFY 2023 SPP/APR Data</w:t>
      </w:r>
    </w:p>
    <w:p w14:paraId="2910402D" w14:textId="579385FD" w:rsidR="00C2395D" w:rsidRPr="00781112" w:rsidRDefault="00C2395D">
      <w:pPr>
        <w:rPr>
          <w:rFonts w:cs="Arial"/>
          <w:b/>
          <w:color w:val="000000" w:themeColor="text1"/>
          <w:szCs w:val="16"/>
        </w:rPr>
      </w:pPr>
      <w:r w:rsidRPr="00781112">
        <w:rPr>
          <w:rFonts w:cs="Arial"/>
          <w:b/>
          <w:color w:val="000000" w:themeColor="text1"/>
          <w:szCs w:val="16"/>
        </w:rPr>
        <w:t>Has the state established a minimum n and/or cell size requirement? (yes/no)</w:t>
      </w:r>
    </w:p>
    <w:p w14:paraId="51881593" w14:textId="15FAF06D" w:rsidR="00C2395D" w:rsidRPr="00781112" w:rsidRDefault="00C2395D">
      <w:pPr>
        <w:rPr>
          <w:rFonts w:cs="Arial"/>
          <w:color w:val="000000" w:themeColor="text1"/>
          <w:szCs w:val="16"/>
        </w:rPr>
      </w:pPr>
      <w:bookmarkStart w:id="60" w:name="_Hlk20258880"/>
      <w:r w:rsidRPr="00781112">
        <w:rPr>
          <w:rFonts w:cs="Arial"/>
          <w:color w:val="000000" w:themeColor="text1"/>
          <w:szCs w:val="16"/>
        </w:rPr>
        <w:t>YES</w:t>
      </w:r>
    </w:p>
    <w:bookmarkEnd w:id="60"/>
    <w:p w14:paraId="68C2343A" w14:textId="52DDFC94" w:rsidR="00C2395D" w:rsidRPr="00781112" w:rsidRDefault="00C2395D">
      <w:pPr>
        <w:rPr>
          <w:rFonts w:cs="Arial"/>
          <w:b/>
          <w:color w:val="000000" w:themeColor="text1"/>
          <w:szCs w:val="16"/>
        </w:rPr>
      </w:pPr>
      <w:r w:rsidRPr="00781112">
        <w:rPr>
          <w:rFonts w:cs="Arial"/>
          <w:b/>
          <w:color w:val="000000" w:themeColor="text1"/>
          <w:szCs w:val="16"/>
        </w:rPr>
        <w:t>If yes, the State may only include, in both the numerator and the denominator, districts that met the State-established n and/or cell size. Report the number of districts excluded from the calculation as a result of the requirement.</w:t>
      </w:r>
    </w:p>
    <w:p w14:paraId="0B319A04" w14:textId="0BE2333F" w:rsidR="00C2395D" w:rsidRPr="00781112" w:rsidRDefault="00C2395D">
      <w:pPr>
        <w:rPr>
          <w:rFonts w:cs="Arial"/>
          <w:color w:val="000000" w:themeColor="text1"/>
          <w:szCs w:val="16"/>
        </w:rPr>
      </w:pPr>
      <w:r w:rsidRPr="00781112">
        <w:rPr>
          <w:rFonts w:cs="Arial"/>
          <w:color w:val="000000" w:themeColor="text1"/>
          <w:szCs w:val="16"/>
        </w:rPr>
        <w:t>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0CFFYAPRDATA"/>
      </w:tblPr>
      <w:tblGrid>
        <w:gridCol w:w="1488"/>
        <w:gridCol w:w="1488"/>
        <w:gridCol w:w="1720"/>
        <w:gridCol w:w="1073"/>
        <w:gridCol w:w="1638"/>
        <w:gridCol w:w="958"/>
        <w:gridCol w:w="1233"/>
        <w:gridCol w:w="1192"/>
      </w:tblGrid>
      <w:tr w:rsidR="00206A65" w:rsidRPr="00781112" w14:paraId="46B7EEE9" w14:textId="299BDFCD" w:rsidTr="002B4D97">
        <w:trPr>
          <w:trHeight w:val="354"/>
        </w:trPr>
        <w:tc>
          <w:tcPr>
            <w:tcW w:w="556" w:type="pct"/>
            <w:shd w:val="clear" w:color="auto" w:fill="auto"/>
            <w:vAlign w:val="bottom"/>
          </w:tcPr>
          <w:p w14:paraId="0E28349C" w14:textId="44D96017"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w:t>
            </w:r>
          </w:p>
        </w:tc>
        <w:tc>
          <w:tcPr>
            <w:tcW w:w="583" w:type="pct"/>
            <w:shd w:val="clear" w:color="auto" w:fill="auto"/>
            <w:vAlign w:val="bottom"/>
          </w:tcPr>
          <w:p w14:paraId="3776FC0B" w14:textId="62483782" w:rsidR="00206A65" w:rsidRPr="00781112" w:rsidRDefault="00206A65" w:rsidP="00206A65">
            <w:pPr>
              <w:jc w:val="center"/>
              <w:rPr>
                <w:b/>
                <w:color w:val="000000" w:themeColor="text1"/>
              </w:rPr>
            </w:pPr>
            <w:r w:rsidRPr="00781112">
              <w:rPr>
                <w:b/>
                <w:color w:val="000000" w:themeColor="text1"/>
              </w:rPr>
              <w:t>Number of districts with disproportionate representation of racial/ethnic groups in specific disability categories that is the result of inappropriate identification</w:t>
            </w:r>
          </w:p>
        </w:tc>
        <w:tc>
          <w:tcPr>
            <w:tcW w:w="837" w:type="pct"/>
            <w:shd w:val="clear" w:color="auto" w:fill="auto"/>
            <w:vAlign w:val="bottom"/>
          </w:tcPr>
          <w:p w14:paraId="355E2973" w14:textId="5007428A" w:rsidR="00206A65" w:rsidRPr="00781112" w:rsidRDefault="00206A65" w:rsidP="00206A65">
            <w:pPr>
              <w:jc w:val="center"/>
              <w:rPr>
                <w:b/>
                <w:color w:val="000000" w:themeColor="text1"/>
              </w:rPr>
            </w:pPr>
            <w:r w:rsidRPr="00781112">
              <w:rPr>
                <w:b/>
                <w:color w:val="000000" w:themeColor="text1"/>
              </w:rPr>
              <w:t>Number of districts that met the State's minimum n and/or cell size</w:t>
            </w:r>
          </w:p>
        </w:tc>
        <w:tc>
          <w:tcPr>
            <w:tcW w:w="537" w:type="pct"/>
            <w:shd w:val="clear" w:color="auto" w:fill="auto"/>
            <w:vAlign w:val="bottom"/>
          </w:tcPr>
          <w:p w14:paraId="7466F790" w14:textId="23A6FF39" w:rsidR="00206A65" w:rsidRPr="00CC1061" w:rsidRDefault="00206A65" w:rsidP="00206A65">
            <w:pPr>
              <w:jc w:val="center"/>
              <w:rPr>
                <w:b/>
                <w:bCs/>
                <w:color w:val="000000" w:themeColor="text1"/>
              </w:rPr>
            </w:pPr>
            <w:r w:rsidRPr="00CC1061">
              <w:rPr>
                <w:b/>
                <w:bCs/>
              </w:rPr>
              <w:t>FFY 2022 Data</w:t>
            </w:r>
          </w:p>
        </w:tc>
        <w:tc>
          <w:tcPr>
            <w:tcW w:w="799" w:type="pct"/>
            <w:shd w:val="clear" w:color="auto" w:fill="auto"/>
            <w:vAlign w:val="bottom"/>
          </w:tcPr>
          <w:p w14:paraId="72475F3B" w14:textId="589A011A" w:rsidR="00206A65" w:rsidRPr="00CC1061" w:rsidRDefault="00206A65" w:rsidP="00206A65">
            <w:pPr>
              <w:jc w:val="center"/>
              <w:rPr>
                <w:b/>
                <w:bCs/>
                <w:color w:val="000000" w:themeColor="text1"/>
              </w:rPr>
            </w:pPr>
            <w:r w:rsidRPr="00CC1061">
              <w:rPr>
                <w:b/>
                <w:bCs/>
              </w:rPr>
              <w:t>FFY 2023 Target</w:t>
            </w:r>
          </w:p>
        </w:tc>
        <w:tc>
          <w:tcPr>
            <w:tcW w:w="484" w:type="pct"/>
            <w:shd w:val="clear" w:color="auto" w:fill="auto"/>
            <w:vAlign w:val="bottom"/>
          </w:tcPr>
          <w:p w14:paraId="71FC938A" w14:textId="272922A8" w:rsidR="00206A65" w:rsidRPr="00CC1061" w:rsidRDefault="00206A65" w:rsidP="00206A65">
            <w:pPr>
              <w:jc w:val="center"/>
              <w:rPr>
                <w:b/>
                <w:bCs/>
                <w:color w:val="000000" w:themeColor="text1"/>
              </w:rPr>
            </w:pPr>
            <w:r w:rsidRPr="00CC1061">
              <w:rPr>
                <w:b/>
                <w:bCs/>
              </w:rPr>
              <w:t>FFY 2023 Data</w:t>
            </w:r>
          </w:p>
        </w:tc>
        <w:tc>
          <w:tcPr>
            <w:tcW w:w="611" w:type="pct"/>
            <w:shd w:val="clear" w:color="auto" w:fill="auto"/>
            <w:vAlign w:val="bottom"/>
          </w:tcPr>
          <w:p w14:paraId="3412B11F" w14:textId="60F985B5" w:rsidR="00206A65" w:rsidRPr="00781112" w:rsidRDefault="00206A65" w:rsidP="00206A65">
            <w:pPr>
              <w:jc w:val="center"/>
              <w:rPr>
                <w:b/>
                <w:color w:val="000000" w:themeColor="text1"/>
              </w:rPr>
            </w:pPr>
            <w:r w:rsidRPr="00781112">
              <w:rPr>
                <w:b/>
                <w:color w:val="000000" w:themeColor="text1"/>
              </w:rPr>
              <w:t>Status</w:t>
            </w:r>
          </w:p>
        </w:tc>
        <w:tc>
          <w:tcPr>
            <w:tcW w:w="592" w:type="pct"/>
            <w:shd w:val="clear" w:color="auto" w:fill="auto"/>
            <w:vAlign w:val="bottom"/>
          </w:tcPr>
          <w:p w14:paraId="5BE578EA" w14:textId="42655681" w:rsidR="00206A65" w:rsidRPr="00781112" w:rsidRDefault="00206A65" w:rsidP="00206A65">
            <w:pPr>
              <w:jc w:val="center"/>
              <w:rPr>
                <w:b/>
                <w:color w:val="000000" w:themeColor="text1"/>
              </w:rPr>
            </w:pPr>
            <w:r w:rsidRPr="00781112">
              <w:rPr>
                <w:b/>
                <w:color w:val="000000" w:themeColor="text1"/>
              </w:rPr>
              <w:t>Slippage</w:t>
            </w:r>
          </w:p>
        </w:tc>
      </w:tr>
      <w:tr w:rsidR="005C29F8" w:rsidRPr="00781112" w14:paraId="15B9A5E7" w14:textId="77777777" w:rsidTr="002B4D97">
        <w:tblPrEx>
          <w:jc w:val="center"/>
        </w:tblPrEx>
        <w:trPr>
          <w:trHeight w:val="361"/>
          <w:jc w:val="center"/>
        </w:trPr>
        <w:tc>
          <w:tcPr>
            <w:tcW w:w="556" w:type="pct"/>
            <w:shd w:val="clear" w:color="auto" w:fill="auto"/>
            <w:vAlign w:val="center"/>
          </w:tcPr>
          <w:p w14:paraId="4E60E5C8" w14:textId="6324B6DD" w:rsidR="00832807" w:rsidRPr="00781112" w:rsidRDefault="002B7490" w:rsidP="00A018D4">
            <w:pPr>
              <w:jc w:val="center"/>
              <w:rPr>
                <w:rFonts w:cs="Arial"/>
                <w:color w:val="000000" w:themeColor="text1"/>
                <w:szCs w:val="16"/>
              </w:rPr>
            </w:pPr>
            <w:r w:rsidRPr="00781112">
              <w:rPr>
                <w:rFonts w:cs="Arial"/>
                <w:color w:val="000000" w:themeColor="text1"/>
                <w:szCs w:val="16"/>
              </w:rPr>
              <w:t>38</w:t>
            </w:r>
          </w:p>
        </w:tc>
        <w:tc>
          <w:tcPr>
            <w:tcW w:w="583" w:type="pct"/>
            <w:shd w:val="clear" w:color="auto" w:fill="auto"/>
            <w:vAlign w:val="center"/>
          </w:tcPr>
          <w:p w14:paraId="765C1600" w14:textId="09979D5F" w:rsidR="00832807" w:rsidRPr="00781112" w:rsidRDefault="002B7490">
            <w:pPr>
              <w:jc w:val="center"/>
              <w:rPr>
                <w:rFonts w:cs="Arial"/>
                <w:color w:val="000000" w:themeColor="text1"/>
                <w:szCs w:val="16"/>
              </w:rPr>
            </w:pPr>
            <w:r w:rsidRPr="00781112">
              <w:rPr>
                <w:rFonts w:cs="Arial"/>
                <w:color w:val="000000" w:themeColor="text1"/>
                <w:szCs w:val="16"/>
              </w:rPr>
              <w:t>0</w:t>
            </w:r>
          </w:p>
        </w:tc>
        <w:tc>
          <w:tcPr>
            <w:tcW w:w="837" w:type="pct"/>
            <w:shd w:val="clear" w:color="auto" w:fill="auto"/>
          </w:tcPr>
          <w:p w14:paraId="2F5939A9" w14:textId="0BB9A6FC" w:rsidR="00832807" w:rsidRPr="00781112" w:rsidRDefault="002B7490">
            <w:pPr>
              <w:jc w:val="center"/>
              <w:rPr>
                <w:rFonts w:cs="Arial"/>
                <w:color w:val="000000" w:themeColor="text1"/>
                <w:szCs w:val="16"/>
              </w:rPr>
            </w:pPr>
            <w:r w:rsidRPr="00781112">
              <w:rPr>
                <w:rFonts w:cs="Arial"/>
                <w:color w:val="000000" w:themeColor="text1"/>
                <w:szCs w:val="16"/>
              </w:rPr>
              <w:t>156</w:t>
            </w:r>
          </w:p>
        </w:tc>
        <w:tc>
          <w:tcPr>
            <w:tcW w:w="537" w:type="pct"/>
            <w:shd w:val="clear" w:color="auto" w:fill="auto"/>
          </w:tcPr>
          <w:p w14:paraId="0D05C70A" w14:textId="18F3C221"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799" w:type="pct"/>
            <w:shd w:val="clear" w:color="auto" w:fill="auto"/>
          </w:tcPr>
          <w:p w14:paraId="31B1786A" w14:textId="1C0FB493" w:rsidR="00832807" w:rsidRPr="00781112" w:rsidRDefault="009C65E9">
            <w:pPr>
              <w:jc w:val="center"/>
              <w:rPr>
                <w:rFonts w:cs="Arial"/>
                <w:color w:val="000000" w:themeColor="text1"/>
                <w:szCs w:val="16"/>
              </w:rPr>
            </w:pPr>
            <w:r w:rsidRPr="00781112">
              <w:rPr>
                <w:rFonts w:cs="Arial"/>
                <w:color w:val="000000" w:themeColor="text1"/>
                <w:szCs w:val="16"/>
              </w:rPr>
              <w:t>0%</w:t>
            </w:r>
          </w:p>
        </w:tc>
        <w:tc>
          <w:tcPr>
            <w:tcW w:w="484" w:type="pct"/>
            <w:shd w:val="clear" w:color="auto" w:fill="auto"/>
          </w:tcPr>
          <w:p w14:paraId="006553AD" w14:textId="5CF8CF00" w:rsidR="00832807" w:rsidRPr="00781112" w:rsidRDefault="002B7490">
            <w:pPr>
              <w:jc w:val="center"/>
              <w:rPr>
                <w:rFonts w:cs="Arial"/>
                <w:color w:val="000000" w:themeColor="text1"/>
                <w:szCs w:val="16"/>
              </w:rPr>
            </w:pPr>
            <w:r w:rsidRPr="00781112">
              <w:rPr>
                <w:rFonts w:cs="Arial"/>
                <w:color w:val="000000" w:themeColor="text1"/>
                <w:szCs w:val="16"/>
              </w:rPr>
              <w:t>0.00%</w:t>
            </w:r>
          </w:p>
        </w:tc>
        <w:tc>
          <w:tcPr>
            <w:tcW w:w="611" w:type="pct"/>
            <w:shd w:val="clear" w:color="auto" w:fill="auto"/>
          </w:tcPr>
          <w:p w14:paraId="4A47CD2B" w14:textId="7BEFFB19" w:rsidR="00832807" w:rsidRPr="00781112" w:rsidRDefault="002B7490">
            <w:pPr>
              <w:jc w:val="center"/>
              <w:rPr>
                <w:rFonts w:cs="Arial"/>
                <w:color w:val="000000" w:themeColor="text1"/>
                <w:szCs w:val="16"/>
              </w:rPr>
            </w:pPr>
            <w:r w:rsidRPr="00781112">
              <w:rPr>
                <w:rFonts w:cs="Arial"/>
                <w:color w:val="000000" w:themeColor="text1"/>
                <w:szCs w:val="16"/>
              </w:rPr>
              <w:t>Met target</w:t>
            </w:r>
          </w:p>
        </w:tc>
        <w:tc>
          <w:tcPr>
            <w:tcW w:w="592" w:type="pct"/>
            <w:shd w:val="clear" w:color="auto" w:fill="auto"/>
          </w:tcPr>
          <w:p w14:paraId="3F96C2BD" w14:textId="2A9BD6CA" w:rsidR="00832807" w:rsidRPr="00781112" w:rsidRDefault="002B7490">
            <w:pPr>
              <w:jc w:val="center"/>
              <w:rPr>
                <w:rFonts w:cs="Arial"/>
                <w:color w:val="000000" w:themeColor="text1"/>
                <w:szCs w:val="16"/>
              </w:rPr>
            </w:pPr>
            <w:r w:rsidRPr="00781112">
              <w:rPr>
                <w:rFonts w:cs="Arial"/>
                <w:color w:val="000000" w:themeColor="text1"/>
                <w:szCs w:val="16"/>
              </w:rPr>
              <w:t>No Slippage</w:t>
            </w:r>
          </w:p>
        </w:tc>
      </w:tr>
    </w:tbl>
    <w:p w14:paraId="59BA2CEF" w14:textId="4C507427" w:rsidR="00590296" w:rsidRPr="00781112" w:rsidRDefault="00A479A0" w:rsidP="00B6413B">
      <w:pPr>
        <w:rPr>
          <w:rFonts w:cs="Arial"/>
          <w:b/>
          <w:color w:val="000000" w:themeColor="text1"/>
          <w:szCs w:val="16"/>
        </w:rPr>
      </w:pPr>
      <w:r w:rsidRPr="00781112">
        <w:rPr>
          <w:rFonts w:cs="Arial"/>
          <w:b/>
          <w:color w:val="000000" w:themeColor="text1"/>
          <w:szCs w:val="16"/>
        </w:rPr>
        <w:t xml:space="preserve">Were all races and ethnicities included in the review? </w:t>
      </w:r>
    </w:p>
    <w:p w14:paraId="1590ED0F" w14:textId="7DC32C1D" w:rsidR="00590296" w:rsidRPr="00781112" w:rsidRDefault="00590296" w:rsidP="00B6413B">
      <w:pPr>
        <w:rPr>
          <w:rFonts w:cs="Arial"/>
          <w:color w:val="000000" w:themeColor="text1"/>
          <w:szCs w:val="16"/>
        </w:rPr>
      </w:pPr>
      <w:r w:rsidRPr="00781112">
        <w:rPr>
          <w:rFonts w:cs="Arial"/>
          <w:color w:val="000000" w:themeColor="text1"/>
          <w:szCs w:val="16"/>
        </w:rPr>
        <w:t>YES</w:t>
      </w:r>
    </w:p>
    <w:p w14:paraId="6EC83BB6" w14:textId="70234332" w:rsidR="0057259D" w:rsidRPr="00781112" w:rsidRDefault="0057259D" w:rsidP="004369B2">
      <w:pPr>
        <w:rPr>
          <w:b/>
          <w:color w:val="000000" w:themeColor="text1"/>
        </w:rPr>
      </w:pPr>
      <w:r w:rsidRPr="00781112">
        <w:rPr>
          <w:b/>
          <w:color w:val="000000" w:themeColor="text1"/>
        </w:rPr>
        <w:t xml:space="preserve">Define “disproportionate representation”. Please specify in your definition: 1) the calculation method(s) being used (i.e., risk ratio, weighted risk ratio, e-formula, etc.); and 2) the threshold at which disproportionate representation is identified. Also include, as appropriate, 3) the number of years of data used in the calculation; and 4) any minimum cell and/or n-sizes (i.e., risk numerator and/or risk denominator). </w:t>
      </w:r>
    </w:p>
    <w:p w14:paraId="5C0E7099" w14:textId="60F75C08" w:rsidR="00481536" w:rsidRPr="00781112" w:rsidRDefault="002B7490" w:rsidP="003817C0">
      <w:pPr>
        <w:rPr>
          <w:rFonts w:cs="Arial"/>
          <w:color w:val="000000" w:themeColor="text1"/>
          <w:szCs w:val="16"/>
        </w:rPr>
      </w:pPr>
      <w:r w:rsidRPr="00781112">
        <w:rPr>
          <w:rFonts w:cs="Arial"/>
          <w:color w:val="000000" w:themeColor="text1"/>
          <w:szCs w:val="16"/>
        </w:rPr>
        <w:t xml:space="preserve">The State’s definition of Disproportionate Representation of racial and ethnic groups in special education and related services, for each of the six required disability categories of Autism Spectrum Disorder, Intellectual Disability, Specific Learning Disability, Emotional Disturbance, Speech Language Impairment, and Other Health Impairment:  </w:t>
      </w:r>
      <w:r w:rsidRPr="00781112">
        <w:rPr>
          <w:rFonts w:cs="Arial"/>
          <w:color w:val="000000" w:themeColor="text1"/>
          <w:szCs w:val="16"/>
        </w:rPr>
        <w:br/>
        <w:t xml:space="preserve">1. Calculation method: the State uses a weighted risk ratio analysis that shows a value of &gt;2.0 in the same race/ethnicity for each of the six required disability categories. </w:t>
      </w:r>
      <w:r w:rsidRPr="00781112">
        <w:rPr>
          <w:rFonts w:cs="Arial"/>
          <w:color w:val="000000" w:themeColor="text1"/>
          <w:szCs w:val="16"/>
        </w:rPr>
        <w:br/>
        <w:t xml:space="preserve">2. The percentage of IDEA eligible students disaggregated by race/ethnicity differs by +/- 20% from the percentage of all students within the district disaggregated by race/ethnicity in at least one race/ethnicity category.  </w:t>
      </w:r>
      <w:r w:rsidRPr="00781112">
        <w:rPr>
          <w:rFonts w:cs="Arial"/>
          <w:color w:val="000000" w:themeColor="text1"/>
          <w:szCs w:val="16"/>
        </w:rPr>
        <w:br/>
        <w:t xml:space="preserve">3. The State used one year of data in the calculation.  </w:t>
      </w:r>
      <w:r w:rsidRPr="00781112">
        <w:rPr>
          <w:rFonts w:cs="Arial"/>
          <w:color w:val="000000" w:themeColor="text1"/>
          <w:szCs w:val="16"/>
        </w:rPr>
        <w:br/>
        <w:t xml:space="preserve">4. The minimum cell size is at least 10 IDEA eligible students in the same race/ethnicity category in special education in each of the six required disability categories. </w:t>
      </w:r>
    </w:p>
    <w:p w14:paraId="469A27F6" w14:textId="13AEF7C8" w:rsidR="0057259D" w:rsidRPr="00781112" w:rsidRDefault="0057259D" w:rsidP="004369B2">
      <w:pPr>
        <w:rPr>
          <w:b/>
          <w:color w:val="000000" w:themeColor="text1"/>
        </w:rPr>
      </w:pPr>
      <w:r w:rsidRPr="00781112">
        <w:rPr>
          <w:b/>
          <w:color w:val="000000" w:themeColor="text1"/>
        </w:rPr>
        <w:t>Describe how the State made its annual determination as to whether the disproportionate overrepresentation it identified of racial and ethnic groups in specific disability categories was the result of inappropriate identification.</w:t>
      </w:r>
    </w:p>
    <w:p w14:paraId="37B23307" w14:textId="467F2F39" w:rsidR="00481536" w:rsidRPr="00781112" w:rsidRDefault="002B7490" w:rsidP="003817C0">
      <w:pPr>
        <w:rPr>
          <w:rFonts w:cs="Arial"/>
          <w:color w:val="000000" w:themeColor="text1"/>
          <w:szCs w:val="16"/>
        </w:rPr>
      </w:pPr>
      <w:r w:rsidRPr="00781112">
        <w:rPr>
          <w:rFonts w:cs="Arial"/>
          <w:color w:val="000000" w:themeColor="text1"/>
          <w:szCs w:val="16"/>
        </w:rPr>
        <w:t xml:space="preserve">The State used district-provided data collected from the State’s December 1, 2022 Special Education Child Count (SECC) (Data Year 2022-2023) to identify disproportionate representation of racial/ethnic groups in specific disability categories. The State prepared and disseminated a Disproportionate Representation in Special Education Report to all districts with the following information:  </w:t>
      </w:r>
      <w:r w:rsidRPr="00781112">
        <w:rPr>
          <w:rFonts w:cs="Arial"/>
          <w:color w:val="000000" w:themeColor="text1"/>
          <w:szCs w:val="16"/>
        </w:rPr>
        <w:br/>
      </w:r>
      <w:r w:rsidRPr="00781112">
        <w:rPr>
          <w:rFonts w:cs="Arial"/>
          <w:color w:val="000000" w:themeColor="text1"/>
          <w:szCs w:val="16"/>
        </w:rPr>
        <w:br/>
        <w:t xml:space="preserve">1. The percentage of IDEA eligible students for each of the six required disability categories disaggregated by race/ethnicity compared to all students within district disaggregated.  </w:t>
      </w:r>
      <w:r w:rsidRPr="00781112">
        <w:rPr>
          <w:rFonts w:cs="Arial"/>
          <w:color w:val="000000" w:themeColor="text1"/>
          <w:szCs w:val="16"/>
        </w:rPr>
        <w:br/>
      </w:r>
      <w:r w:rsidRPr="00781112">
        <w:rPr>
          <w:rFonts w:cs="Arial"/>
          <w:color w:val="000000" w:themeColor="text1"/>
          <w:szCs w:val="16"/>
        </w:rPr>
        <w:br/>
        <w:t xml:space="preserve">2. A weighted risk ratio analysis for each race/ethnicity category and each of the six disability categories.  </w:t>
      </w:r>
      <w:r w:rsidRPr="00781112">
        <w:rPr>
          <w:rFonts w:cs="Arial"/>
          <w:color w:val="000000" w:themeColor="text1"/>
          <w:szCs w:val="16"/>
        </w:rPr>
        <w:br/>
      </w:r>
      <w:r w:rsidRPr="00781112">
        <w:rPr>
          <w:rFonts w:cs="Arial"/>
          <w:color w:val="000000" w:themeColor="text1"/>
          <w:szCs w:val="16"/>
        </w:rPr>
        <w:br/>
        <w:t xml:space="preserve">3. The number of IDEA eligible students in each race/ethnicity category and each of the six disability categories. </w:t>
      </w:r>
      <w:r w:rsidRPr="00781112">
        <w:rPr>
          <w:rFonts w:cs="Arial"/>
          <w:color w:val="000000" w:themeColor="text1"/>
          <w:szCs w:val="16"/>
        </w:rPr>
        <w:br/>
      </w:r>
      <w:r w:rsidRPr="00781112">
        <w:rPr>
          <w:rFonts w:cs="Arial"/>
          <w:color w:val="000000" w:themeColor="text1"/>
          <w:szCs w:val="16"/>
        </w:rPr>
        <w:br/>
        <w:t xml:space="preserve">The State conducted follow-up interviews with all 38 districts where disproportionate representation was identified. These interviews aimed to review district data, examine root causes, assess policies, procedures, and practices contributing to the disparities, and determine whether inappropriate identification played a role. In preparation, the State provided districts with resources on conducting root-cause analyses and policy-to-practice reviews. </w:t>
      </w:r>
      <w:r w:rsidRPr="00781112">
        <w:rPr>
          <w:rFonts w:cs="Arial"/>
          <w:color w:val="000000" w:themeColor="text1"/>
          <w:szCs w:val="16"/>
        </w:rPr>
        <w:br/>
      </w:r>
      <w:r w:rsidRPr="00781112">
        <w:rPr>
          <w:rFonts w:cs="Arial"/>
          <w:color w:val="000000" w:themeColor="text1"/>
          <w:szCs w:val="16"/>
        </w:rPr>
        <w:br/>
        <w:t xml:space="preserve">Based on these interviews, the State found no instances where inappropriate student identification contributed to disproportionate representation of racial and ethnic groups in specific disability categories. As a result, the State concluded that the identified disproportionality did not indicate noncompliance, and no corrective actions or verification processes were required. </w:t>
      </w:r>
    </w:p>
    <w:p w14:paraId="1FCF1BF3" w14:textId="77777777" w:rsidR="00DF1529" w:rsidRPr="00781112" w:rsidRDefault="00DF1529" w:rsidP="00DF1529">
      <w:pPr>
        <w:rPr>
          <w:rFonts w:cs="Arial"/>
          <w:b/>
          <w:color w:val="000000" w:themeColor="text1"/>
          <w:szCs w:val="16"/>
        </w:rPr>
      </w:pPr>
      <w:bookmarkStart w:id="61" w:name="_Toc381956338"/>
      <w:bookmarkStart w:id="62" w:name="_Toc384383352"/>
      <w:bookmarkStart w:id="63" w:name="_Toc392159320"/>
      <w:r w:rsidRPr="00781112">
        <w:rPr>
          <w:rFonts w:cs="Arial"/>
          <w:b/>
          <w:color w:val="000000" w:themeColor="text1"/>
          <w:szCs w:val="16"/>
        </w:rPr>
        <w:t>Provide additional information about this indicator (optional)</w:t>
      </w:r>
    </w:p>
    <w:p w14:paraId="6A3194C2" w14:textId="40939986" w:rsidR="00481536" w:rsidRPr="00781112" w:rsidRDefault="00481536" w:rsidP="007D435F">
      <w:pPr>
        <w:rPr>
          <w:rFonts w:cs="Arial"/>
          <w:color w:val="000000" w:themeColor="text1"/>
          <w:szCs w:val="16"/>
        </w:rPr>
      </w:pPr>
    </w:p>
    <w:p w14:paraId="6268B372" w14:textId="4303E10A"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0PFFYNCFINDINGS"/>
      </w:tblPr>
      <w:tblGrid>
        <w:gridCol w:w="2650"/>
        <w:gridCol w:w="2780"/>
        <w:gridCol w:w="2656"/>
        <w:gridCol w:w="2704"/>
      </w:tblGrid>
      <w:tr w:rsidR="005C29F8" w:rsidRPr="00781112" w14:paraId="56588706" w14:textId="77777777" w:rsidTr="0033429D">
        <w:trPr>
          <w:trHeight w:val="389"/>
          <w:tblHeader/>
        </w:trPr>
        <w:tc>
          <w:tcPr>
            <w:tcW w:w="1228" w:type="pct"/>
            <w:shd w:val="clear" w:color="auto" w:fill="auto"/>
            <w:vAlign w:val="bottom"/>
          </w:tcPr>
          <w:p w14:paraId="65B8FFC5"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lastRenderedPageBreak/>
              <w:t>Findings of Noncompliance Identified</w:t>
            </w:r>
          </w:p>
        </w:tc>
        <w:tc>
          <w:tcPr>
            <w:tcW w:w="1288" w:type="pct"/>
            <w:shd w:val="clear" w:color="auto" w:fill="auto"/>
            <w:vAlign w:val="bottom"/>
          </w:tcPr>
          <w:p w14:paraId="053913D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79BBE35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380C990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7C6EB489" w14:textId="77777777" w:rsidTr="00690A61">
        <w:tc>
          <w:tcPr>
            <w:tcW w:w="1228" w:type="pct"/>
            <w:shd w:val="clear" w:color="auto" w:fill="auto"/>
          </w:tcPr>
          <w:p w14:paraId="1D40E253" w14:textId="63B8E0E2"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88" w:type="pct"/>
            <w:shd w:val="clear" w:color="auto" w:fill="auto"/>
          </w:tcPr>
          <w:p w14:paraId="5D374844" w14:textId="5622CFF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31" w:type="pct"/>
            <w:shd w:val="clear" w:color="auto" w:fill="auto"/>
          </w:tcPr>
          <w:p w14:paraId="2CDC48CC" w14:textId="2F009478"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9E189C3" w14:textId="39CA8E23"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60BB42FC" w14:textId="74C33FE4"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0BPPFFYNCFINDINGS"/>
      </w:tblPr>
      <w:tblGrid>
        <w:gridCol w:w="1890"/>
        <w:gridCol w:w="3332"/>
        <w:gridCol w:w="2743"/>
        <w:gridCol w:w="2825"/>
      </w:tblGrid>
      <w:tr w:rsidR="005C29F8" w:rsidRPr="00781112" w14:paraId="730926F0" w14:textId="77777777" w:rsidTr="00BD26DC">
        <w:trPr>
          <w:tblHeader/>
        </w:trPr>
        <w:tc>
          <w:tcPr>
            <w:tcW w:w="876" w:type="pct"/>
            <w:shd w:val="clear" w:color="auto" w:fill="auto"/>
            <w:vAlign w:val="bottom"/>
          </w:tcPr>
          <w:p w14:paraId="0B05B92F" w14:textId="50A415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544" w:type="pct"/>
            <w:shd w:val="clear" w:color="auto" w:fill="auto"/>
            <w:vAlign w:val="bottom"/>
          </w:tcPr>
          <w:p w14:paraId="759DE84F" w14:textId="017705F1"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271" w:type="pct"/>
            <w:shd w:val="clear" w:color="auto" w:fill="auto"/>
            <w:vAlign w:val="bottom"/>
          </w:tcPr>
          <w:p w14:paraId="45E60D4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309" w:type="pct"/>
            <w:shd w:val="clear" w:color="auto" w:fill="auto"/>
            <w:vAlign w:val="bottom"/>
          </w:tcPr>
          <w:p w14:paraId="2598D3F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7C292A1" w14:textId="77777777" w:rsidTr="00BD26DC">
        <w:tc>
          <w:tcPr>
            <w:tcW w:w="876" w:type="pct"/>
            <w:shd w:val="clear" w:color="auto" w:fill="auto"/>
          </w:tcPr>
          <w:p w14:paraId="4127AE76" w14:textId="36C06893" w:rsidR="009A755E" w:rsidRPr="00781112" w:rsidRDefault="009A755E" w:rsidP="00A018D4">
            <w:pPr>
              <w:jc w:val="center"/>
              <w:rPr>
                <w:rFonts w:cs="Arial"/>
                <w:color w:val="000000" w:themeColor="text1"/>
                <w:szCs w:val="16"/>
              </w:rPr>
            </w:pPr>
          </w:p>
        </w:tc>
        <w:tc>
          <w:tcPr>
            <w:tcW w:w="1544" w:type="pct"/>
            <w:shd w:val="clear" w:color="auto" w:fill="auto"/>
          </w:tcPr>
          <w:p w14:paraId="2A5CC6A6" w14:textId="3962DD57" w:rsidR="009A755E" w:rsidRPr="00781112" w:rsidRDefault="009A755E">
            <w:pPr>
              <w:jc w:val="center"/>
              <w:rPr>
                <w:rFonts w:cs="Arial"/>
                <w:noProof/>
                <w:color w:val="000000" w:themeColor="text1"/>
                <w:szCs w:val="16"/>
              </w:rPr>
            </w:pPr>
          </w:p>
        </w:tc>
        <w:tc>
          <w:tcPr>
            <w:tcW w:w="1271" w:type="pct"/>
            <w:shd w:val="clear" w:color="auto" w:fill="auto"/>
          </w:tcPr>
          <w:p w14:paraId="443DA9B8" w14:textId="5BA02353" w:rsidR="009A755E" w:rsidRPr="00781112" w:rsidRDefault="009A755E">
            <w:pPr>
              <w:jc w:val="center"/>
              <w:rPr>
                <w:rFonts w:cs="Arial"/>
                <w:noProof/>
                <w:color w:val="000000" w:themeColor="text1"/>
                <w:szCs w:val="16"/>
              </w:rPr>
            </w:pPr>
          </w:p>
        </w:tc>
        <w:tc>
          <w:tcPr>
            <w:tcW w:w="1309" w:type="pct"/>
            <w:shd w:val="clear" w:color="auto" w:fill="auto"/>
          </w:tcPr>
          <w:p w14:paraId="0CA4C267" w14:textId="5E5F97F2" w:rsidR="009A755E" w:rsidRPr="00781112" w:rsidRDefault="009A755E">
            <w:pPr>
              <w:jc w:val="center"/>
              <w:rPr>
                <w:rFonts w:cs="Arial"/>
                <w:noProof/>
                <w:color w:val="000000" w:themeColor="text1"/>
                <w:szCs w:val="16"/>
              </w:rPr>
            </w:pPr>
          </w:p>
        </w:tc>
      </w:tr>
      <w:tr w:rsidR="005C29F8" w:rsidRPr="00781112" w14:paraId="21AB92FA" w14:textId="77777777" w:rsidTr="00BD26DC">
        <w:tc>
          <w:tcPr>
            <w:tcW w:w="876" w:type="pct"/>
            <w:shd w:val="clear" w:color="auto" w:fill="auto"/>
          </w:tcPr>
          <w:p w14:paraId="6E800094" w14:textId="1F782081" w:rsidR="009A755E" w:rsidRPr="00781112" w:rsidRDefault="009A755E" w:rsidP="00A018D4">
            <w:pPr>
              <w:jc w:val="center"/>
              <w:rPr>
                <w:rFonts w:cs="Arial"/>
                <w:color w:val="000000" w:themeColor="text1"/>
                <w:szCs w:val="16"/>
              </w:rPr>
            </w:pPr>
          </w:p>
        </w:tc>
        <w:tc>
          <w:tcPr>
            <w:tcW w:w="1544" w:type="pct"/>
            <w:shd w:val="clear" w:color="auto" w:fill="auto"/>
          </w:tcPr>
          <w:p w14:paraId="3FA322A7" w14:textId="2543A74B" w:rsidR="009A755E" w:rsidRPr="00781112" w:rsidRDefault="009A755E">
            <w:pPr>
              <w:jc w:val="center"/>
              <w:rPr>
                <w:rFonts w:cs="Arial"/>
                <w:noProof/>
                <w:color w:val="000000" w:themeColor="text1"/>
                <w:szCs w:val="16"/>
              </w:rPr>
            </w:pPr>
          </w:p>
        </w:tc>
        <w:tc>
          <w:tcPr>
            <w:tcW w:w="1271" w:type="pct"/>
            <w:shd w:val="clear" w:color="auto" w:fill="auto"/>
          </w:tcPr>
          <w:p w14:paraId="7075484B" w14:textId="56719905" w:rsidR="009A755E" w:rsidRPr="00781112" w:rsidRDefault="009A755E">
            <w:pPr>
              <w:jc w:val="center"/>
              <w:rPr>
                <w:rFonts w:cs="Arial"/>
                <w:noProof/>
                <w:color w:val="000000" w:themeColor="text1"/>
                <w:szCs w:val="16"/>
              </w:rPr>
            </w:pPr>
          </w:p>
        </w:tc>
        <w:tc>
          <w:tcPr>
            <w:tcW w:w="1309" w:type="pct"/>
            <w:shd w:val="clear" w:color="auto" w:fill="auto"/>
          </w:tcPr>
          <w:p w14:paraId="5E63471A" w14:textId="5230E0AF" w:rsidR="009A755E" w:rsidRPr="00781112" w:rsidRDefault="009A755E">
            <w:pPr>
              <w:jc w:val="center"/>
              <w:rPr>
                <w:rFonts w:cs="Arial"/>
                <w:noProof/>
                <w:color w:val="000000" w:themeColor="text1"/>
                <w:szCs w:val="16"/>
              </w:rPr>
            </w:pPr>
          </w:p>
        </w:tc>
      </w:tr>
      <w:tr w:rsidR="005C29F8" w:rsidRPr="00781112" w14:paraId="57ACE7BC" w14:textId="77777777" w:rsidTr="00BD26DC">
        <w:tc>
          <w:tcPr>
            <w:tcW w:w="876" w:type="pct"/>
            <w:shd w:val="clear" w:color="auto" w:fill="auto"/>
          </w:tcPr>
          <w:p w14:paraId="4E325530" w14:textId="03DA8FEF" w:rsidR="009A755E" w:rsidRPr="00781112" w:rsidRDefault="009A755E" w:rsidP="00A018D4">
            <w:pPr>
              <w:jc w:val="center"/>
              <w:rPr>
                <w:rFonts w:cs="Arial"/>
                <w:color w:val="000000" w:themeColor="text1"/>
                <w:szCs w:val="16"/>
              </w:rPr>
            </w:pPr>
          </w:p>
        </w:tc>
        <w:tc>
          <w:tcPr>
            <w:tcW w:w="1544" w:type="pct"/>
            <w:shd w:val="clear" w:color="auto" w:fill="auto"/>
          </w:tcPr>
          <w:p w14:paraId="7BFB0081" w14:textId="12B35F6B" w:rsidR="009A755E" w:rsidRPr="00781112" w:rsidRDefault="009A755E">
            <w:pPr>
              <w:jc w:val="center"/>
              <w:rPr>
                <w:rFonts w:cs="Arial"/>
                <w:noProof/>
                <w:color w:val="000000" w:themeColor="text1"/>
                <w:szCs w:val="16"/>
              </w:rPr>
            </w:pPr>
          </w:p>
        </w:tc>
        <w:tc>
          <w:tcPr>
            <w:tcW w:w="1271" w:type="pct"/>
            <w:shd w:val="clear" w:color="auto" w:fill="auto"/>
          </w:tcPr>
          <w:p w14:paraId="674F4E8B" w14:textId="257F6F9E" w:rsidR="009A755E" w:rsidRPr="00781112" w:rsidRDefault="009A755E">
            <w:pPr>
              <w:jc w:val="center"/>
              <w:rPr>
                <w:rFonts w:cs="Arial"/>
                <w:noProof/>
                <w:color w:val="000000" w:themeColor="text1"/>
                <w:szCs w:val="16"/>
              </w:rPr>
            </w:pPr>
          </w:p>
        </w:tc>
        <w:tc>
          <w:tcPr>
            <w:tcW w:w="1309" w:type="pct"/>
            <w:shd w:val="clear" w:color="auto" w:fill="auto"/>
          </w:tcPr>
          <w:p w14:paraId="68852A19" w14:textId="65403F00" w:rsidR="009A755E" w:rsidRPr="00781112" w:rsidRDefault="009A755E">
            <w:pPr>
              <w:jc w:val="center"/>
              <w:rPr>
                <w:rFonts w:cs="Arial"/>
                <w:noProof/>
                <w:color w:val="000000" w:themeColor="text1"/>
                <w:szCs w:val="16"/>
              </w:rPr>
            </w:pPr>
          </w:p>
        </w:tc>
      </w:tr>
      <w:tr w:rsidR="00BD26DC" w:rsidRPr="00781112" w14:paraId="64582DB8" w14:textId="77777777" w:rsidTr="00BD26DC">
        <w:tc>
          <w:tcPr>
            <w:tcW w:w="876" w:type="pct"/>
            <w:shd w:val="clear" w:color="auto" w:fill="auto"/>
          </w:tcPr>
          <w:p w14:paraId="32592256" w14:textId="3B313C7D" w:rsidR="00BD26DC" w:rsidRPr="00781112" w:rsidRDefault="00BD26DC" w:rsidP="00BD26DC">
            <w:pPr>
              <w:jc w:val="center"/>
              <w:rPr>
                <w:rFonts w:cs="Arial"/>
                <w:color w:val="000000" w:themeColor="text1"/>
                <w:szCs w:val="16"/>
              </w:rPr>
            </w:pPr>
          </w:p>
        </w:tc>
        <w:tc>
          <w:tcPr>
            <w:tcW w:w="1544" w:type="pct"/>
            <w:shd w:val="clear" w:color="auto" w:fill="auto"/>
          </w:tcPr>
          <w:p w14:paraId="208707CC" w14:textId="30B27EFB" w:rsidR="00BD26DC" w:rsidRPr="00781112" w:rsidRDefault="00BD26DC" w:rsidP="00BD26DC">
            <w:pPr>
              <w:jc w:val="center"/>
              <w:rPr>
                <w:rFonts w:cs="Arial"/>
                <w:color w:val="000000" w:themeColor="text1"/>
                <w:szCs w:val="16"/>
              </w:rPr>
            </w:pPr>
          </w:p>
        </w:tc>
        <w:tc>
          <w:tcPr>
            <w:tcW w:w="1271" w:type="pct"/>
            <w:shd w:val="clear" w:color="auto" w:fill="auto"/>
          </w:tcPr>
          <w:p w14:paraId="7742ECAE" w14:textId="32CF75EB" w:rsidR="00BD26DC" w:rsidRPr="00781112" w:rsidRDefault="00BD26DC" w:rsidP="00BD26DC">
            <w:pPr>
              <w:jc w:val="center"/>
              <w:rPr>
                <w:rFonts w:cs="Arial"/>
                <w:color w:val="000000" w:themeColor="text1"/>
                <w:szCs w:val="16"/>
              </w:rPr>
            </w:pPr>
          </w:p>
        </w:tc>
        <w:tc>
          <w:tcPr>
            <w:tcW w:w="1309" w:type="pct"/>
            <w:shd w:val="clear" w:color="auto" w:fill="auto"/>
          </w:tcPr>
          <w:p w14:paraId="5D7ECBAA" w14:textId="4F3CE826" w:rsidR="00BD26DC" w:rsidRPr="00781112" w:rsidRDefault="00BD26DC" w:rsidP="00BD26DC">
            <w:pPr>
              <w:jc w:val="center"/>
              <w:rPr>
                <w:rFonts w:cs="Arial"/>
                <w:color w:val="000000" w:themeColor="text1"/>
                <w:szCs w:val="16"/>
              </w:rPr>
            </w:pPr>
          </w:p>
        </w:tc>
      </w:tr>
      <w:tr w:rsidR="00BD26DC" w:rsidRPr="00781112" w14:paraId="09F5081B" w14:textId="77777777" w:rsidTr="00BD26DC">
        <w:tc>
          <w:tcPr>
            <w:tcW w:w="876" w:type="pct"/>
            <w:shd w:val="clear" w:color="auto" w:fill="auto"/>
          </w:tcPr>
          <w:p w14:paraId="7F0790E2" w14:textId="44868A49" w:rsidR="00BD26DC" w:rsidRPr="00781112" w:rsidRDefault="00BD26DC" w:rsidP="00BD26DC">
            <w:pPr>
              <w:jc w:val="center"/>
              <w:rPr>
                <w:rFonts w:cs="Arial"/>
                <w:color w:val="000000" w:themeColor="text1"/>
                <w:szCs w:val="16"/>
              </w:rPr>
            </w:pPr>
          </w:p>
        </w:tc>
        <w:tc>
          <w:tcPr>
            <w:tcW w:w="1544" w:type="pct"/>
            <w:shd w:val="clear" w:color="auto" w:fill="auto"/>
          </w:tcPr>
          <w:p w14:paraId="604E28D5" w14:textId="62E5C7BB" w:rsidR="00BD26DC" w:rsidRPr="00781112" w:rsidRDefault="00BD26DC" w:rsidP="00BD26DC">
            <w:pPr>
              <w:jc w:val="center"/>
              <w:rPr>
                <w:rFonts w:cs="Arial"/>
                <w:color w:val="000000" w:themeColor="text1"/>
                <w:szCs w:val="16"/>
              </w:rPr>
            </w:pPr>
          </w:p>
        </w:tc>
        <w:tc>
          <w:tcPr>
            <w:tcW w:w="1271" w:type="pct"/>
            <w:shd w:val="clear" w:color="auto" w:fill="auto"/>
          </w:tcPr>
          <w:p w14:paraId="3181619A" w14:textId="2221FD22" w:rsidR="00BD26DC" w:rsidRPr="00781112" w:rsidRDefault="00BD26DC" w:rsidP="00BD26DC">
            <w:pPr>
              <w:jc w:val="center"/>
              <w:rPr>
                <w:rFonts w:cs="Arial"/>
                <w:color w:val="000000" w:themeColor="text1"/>
                <w:szCs w:val="16"/>
              </w:rPr>
            </w:pPr>
          </w:p>
        </w:tc>
        <w:tc>
          <w:tcPr>
            <w:tcW w:w="1309" w:type="pct"/>
            <w:shd w:val="clear" w:color="auto" w:fill="auto"/>
          </w:tcPr>
          <w:p w14:paraId="4B8A0BD7" w14:textId="0CF6AEE6" w:rsidR="00BD26DC" w:rsidRPr="00781112" w:rsidRDefault="00BD26DC" w:rsidP="00BD26DC">
            <w:pPr>
              <w:jc w:val="center"/>
              <w:rPr>
                <w:rFonts w:cs="Arial"/>
                <w:color w:val="000000" w:themeColor="text1"/>
                <w:szCs w:val="16"/>
              </w:rPr>
            </w:pPr>
          </w:p>
        </w:tc>
      </w:tr>
    </w:tbl>
    <w:p w14:paraId="53A11FEB" w14:textId="6CFF8254" w:rsidR="004E2151" w:rsidRPr="00781112" w:rsidRDefault="009F64D5" w:rsidP="005B40C0">
      <w:pPr>
        <w:pStyle w:val="Heading3"/>
      </w:pPr>
      <w:r w:rsidRPr="00781112">
        <w:t>10</w:t>
      </w:r>
      <w:r w:rsidR="00596F4D" w:rsidRPr="00781112">
        <w:t xml:space="preserve"> </w:t>
      </w:r>
      <w:r w:rsidRPr="00781112">
        <w:t xml:space="preserve">- </w:t>
      </w:r>
      <w:r w:rsidR="004E2151" w:rsidRPr="00781112">
        <w:t>Prior FFY Required Actions</w:t>
      </w:r>
    </w:p>
    <w:p w14:paraId="67525E19" w14:textId="2FAD1162" w:rsidR="004E2151" w:rsidRPr="00781112" w:rsidRDefault="002B7490" w:rsidP="004E2151">
      <w:pPr>
        <w:rPr>
          <w:rFonts w:cs="Arial"/>
          <w:color w:val="000000" w:themeColor="text1"/>
          <w:szCs w:val="16"/>
        </w:rPr>
      </w:pPr>
      <w:r w:rsidRPr="00781112">
        <w:rPr>
          <w:rFonts w:cs="Arial"/>
          <w:color w:val="000000" w:themeColor="text1"/>
          <w:szCs w:val="16"/>
        </w:rPr>
        <w:t>None</w:t>
      </w:r>
    </w:p>
    <w:p w14:paraId="7C7C5568" w14:textId="77777777" w:rsidR="009F69E7" w:rsidRPr="00781112" w:rsidRDefault="009F69E7" w:rsidP="004E2151">
      <w:pPr>
        <w:rPr>
          <w:rFonts w:cs="Arial"/>
          <w:color w:val="000000" w:themeColor="text1"/>
          <w:szCs w:val="16"/>
        </w:rPr>
      </w:pPr>
    </w:p>
    <w:p w14:paraId="7C3D22D6" w14:textId="3FC2A3F5" w:rsidR="004E2151" w:rsidRPr="00781112" w:rsidRDefault="004E2151" w:rsidP="004E2151">
      <w:pPr>
        <w:rPr>
          <w:rFonts w:cs="Arial"/>
          <w:color w:val="000000" w:themeColor="text1"/>
          <w:szCs w:val="16"/>
        </w:rPr>
      </w:pPr>
    </w:p>
    <w:p w14:paraId="024AE3FE" w14:textId="2137BFB6" w:rsidR="007F5071" w:rsidRPr="00781112" w:rsidRDefault="008B2598" w:rsidP="005B40C0">
      <w:pPr>
        <w:pStyle w:val="Heading3"/>
      </w:pPr>
      <w:r w:rsidRPr="00781112">
        <w:t>10 - OSEP Response</w:t>
      </w:r>
    </w:p>
    <w:p w14:paraId="4384A342" w14:textId="2981C3D3" w:rsidR="00481536" w:rsidRPr="00781112" w:rsidRDefault="00481536" w:rsidP="00212954">
      <w:pPr>
        <w:rPr>
          <w:rFonts w:cs="Arial"/>
          <w:color w:val="000000" w:themeColor="text1"/>
          <w:szCs w:val="16"/>
        </w:rPr>
      </w:pPr>
    </w:p>
    <w:p w14:paraId="36F60250" w14:textId="56BA36D9" w:rsidR="007F5071" w:rsidRPr="00781112" w:rsidRDefault="007C1BCF" w:rsidP="005B40C0">
      <w:pPr>
        <w:pStyle w:val="Heading3"/>
      </w:pPr>
      <w:r w:rsidRPr="00781112">
        <w:t xml:space="preserve">10 - </w:t>
      </w:r>
      <w:r w:rsidR="007F5071" w:rsidRPr="00781112">
        <w:t>Required Actions</w:t>
      </w:r>
    </w:p>
    <w:p w14:paraId="12C0EBBF" w14:textId="69C4D7D0" w:rsidR="00481536" w:rsidRPr="00781112" w:rsidRDefault="00481536" w:rsidP="00212954">
      <w:pPr>
        <w:rPr>
          <w:rFonts w:cs="Arial"/>
          <w:color w:val="000000" w:themeColor="text1"/>
          <w:szCs w:val="16"/>
        </w:rPr>
      </w:pPr>
    </w:p>
    <w:p w14:paraId="2B0C5DE2"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F067DF" w14:textId="45BAD1B8" w:rsidR="00D03701" w:rsidRPr="00781112" w:rsidRDefault="00D03701" w:rsidP="005B40C0">
      <w:pPr>
        <w:pStyle w:val="Heading2"/>
      </w:pPr>
      <w:r w:rsidRPr="00781112">
        <w:rPr>
          <w:color w:val="000000" w:themeColor="text1"/>
          <w:sz w:val="22"/>
        </w:rPr>
        <w:lastRenderedPageBreak/>
        <w:t>Indicator 11: Child Find</w:t>
      </w:r>
      <w:bookmarkEnd w:id="61"/>
      <w:bookmarkEnd w:id="62"/>
      <w:bookmarkEnd w:id="63"/>
    </w:p>
    <w:p w14:paraId="4F5D642D" w14:textId="17D375FD" w:rsidR="00E119B0" w:rsidRPr="002C274F" w:rsidRDefault="00E119B0" w:rsidP="002C274F">
      <w:pPr>
        <w:rPr>
          <w:b/>
          <w:bCs/>
          <w:sz w:val="20"/>
          <w:szCs w:val="20"/>
        </w:rPr>
      </w:pPr>
      <w:bookmarkStart w:id="64" w:name="_Toc384383353"/>
      <w:bookmarkStart w:id="65" w:name="_Toc392159321"/>
      <w:r w:rsidRPr="002C274F">
        <w:rPr>
          <w:b/>
          <w:bCs/>
          <w:sz w:val="20"/>
          <w:szCs w:val="20"/>
        </w:rPr>
        <w:t>Instructions and Measurement</w:t>
      </w:r>
    </w:p>
    <w:p w14:paraId="4ECD8CEF" w14:textId="094F874E" w:rsidR="001F3A65" w:rsidRPr="00781112" w:rsidRDefault="001F3A65" w:rsidP="00832807">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Child Find</w:t>
      </w:r>
    </w:p>
    <w:p w14:paraId="56D17CB3" w14:textId="77777777" w:rsidR="003356F1" w:rsidRPr="00781112" w:rsidRDefault="001F3A65" w:rsidP="00832807">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who were evaluated within 60 days of receiving parental consent for initial evaluation or, if the State establishes a timeframe within which the evaluation must be conducted, within that timeframe. </w:t>
      </w:r>
    </w:p>
    <w:p w14:paraId="3EA48C22" w14:textId="29F5D3F7" w:rsidR="001F3A65" w:rsidRPr="00781112" w:rsidRDefault="001F3A65" w:rsidP="00832807">
      <w:pPr>
        <w:rPr>
          <w:rFonts w:cs="Arial"/>
          <w:color w:val="000000" w:themeColor="text1"/>
          <w:szCs w:val="16"/>
        </w:rPr>
      </w:pPr>
      <w:r w:rsidRPr="00781112">
        <w:rPr>
          <w:rFonts w:cs="Arial"/>
          <w:color w:val="000000" w:themeColor="text1"/>
          <w:szCs w:val="16"/>
        </w:rPr>
        <w:t>(20 U.S.C. 1416(a)(3)(B))</w:t>
      </w:r>
    </w:p>
    <w:p w14:paraId="3DA9D44A" w14:textId="77777777" w:rsidR="003356F1" w:rsidRPr="00781112" w:rsidRDefault="003356F1" w:rsidP="004369B2">
      <w:pPr>
        <w:rPr>
          <w:color w:val="000000" w:themeColor="text1"/>
        </w:rPr>
      </w:pPr>
      <w:r w:rsidRPr="00781112">
        <w:rPr>
          <w:b/>
          <w:color w:val="000000" w:themeColor="text1"/>
        </w:rPr>
        <w:t>Data Source</w:t>
      </w:r>
    </w:p>
    <w:p w14:paraId="3741FEFD" w14:textId="2D50FC3E" w:rsidR="003356F1" w:rsidRPr="00781112" w:rsidRDefault="003356F1"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 and must be based on actual, not an average, number of days. Indicate if the State has established a timeline and, if so, what is the State’s timeline for initial evaluations.</w:t>
      </w:r>
    </w:p>
    <w:p w14:paraId="79DFFD28" w14:textId="77777777" w:rsidR="003356F1" w:rsidRPr="00781112" w:rsidRDefault="003356F1" w:rsidP="004369B2">
      <w:pPr>
        <w:rPr>
          <w:color w:val="000000" w:themeColor="text1"/>
        </w:rPr>
      </w:pPr>
      <w:r w:rsidRPr="00781112">
        <w:rPr>
          <w:b/>
          <w:color w:val="000000" w:themeColor="text1"/>
        </w:rPr>
        <w:t>Measurement</w:t>
      </w:r>
    </w:p>
    <w:p w14:paraId="6421FFFB" w14:textId="6BB4E0C2"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a. # of children for whom parental consent to evaluate was received.</w:t>
      </w:r>
    </w:p>
    <w:p w14:paraId="07661B9A" w14:textId="43097164" w:rsidR="003356F1" w:rsidRPr="00781112" w:rsidRDefault="003F4D08" w:rsidP="006A01BD">
      <w:pPr>
        <w:spacing w:before="0" w:after="0"/>
        <w:ind w:firstLine="720"/>
        <w:rPr>
          <w:rFonts w:eastAsia="Times New Roman" w:cs="Arial"/>
          <w:color w:val="000000" w:themeColor="text1"/>
          <w:szCs w:val="16"/>
        </w:rPr>
      </w:pPr>
      <w:r w:rsidRPr="00781112">
        <w:rPr>
          <w:rFonts w:eastAsia="Times New Roman" w:cs="Arial"/>
          <w:color w:val="000000" w:themeColor="text1"/>
          <w:szCs w:val="16"/>
        </w:rPr>
        <w:t>b. # of children whose evaluations were completed within 60 days (or State-established timeline).</w:t>
      </w:r>
    </w:p>
    <w:p w14:paraId="733D8722" w14:textId="77777777" w:rsidR="003356F1" w:rsidRPr="00781112" w:rsidRDefault="003356F1" w:rsidP="006A01BD">
      <w:pPr>
        <w:spacing w:before="0" w:after="210"/>
        <w:ind w:left="72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Indicate the range of days beyond the timeline when the evaluation was completed and any reasons for the delays.</w:t>
      </w:r>
    </w:p>
    <w:p w14:paraId="1A76194B" w14:textId="382D2A54" w:rsidR="003356F1" w:rsidRPr="00781112" w:rsidRDefault="003356F1" w:rsidP="006A01BD">
      <w:pPr>
        <w:spacing w:before="0" w:after="210"/>
        <w:ind w:firstLine="720"/>
        <w:rPr>
          <w:rFonts w:eastAsia="Times New Roman" w:cs="Arial"/>
          <w:color w:val="000000" w:themeColor="text1"/>
          <w:szCs w:val="16"/>
        </w:rPr>
      </w:pPr>
      <w:r w:rsidRPr="00781112">
        <w:rPr>
          <w:rFonts w:eastAsia="Times New Roman" w:cs="Arial"/>
          <w:color w:val="000000" w:themeColor="text1"/>
          <w:szCs w:val="16"/>
        </w:rPr>
        <w:t>Percent = [(b) divided by (a)] times 100.</w:t>
      </w:r>
    </w:p>
    <w:p w14:paraId="5F28023C" w14:textId="77777777" w:rsidR="003356F1" w:rsidRPr="00781112" w:rsidRDefault="003356F1" w:rsidP="004369B2">
      <w:pPr>
        <w:rPr>
          <w:color w:val="000000" w:themeColor="text1"/>
        </w:rPr>
      </w:pPr>
      <w:r w:rsidRPr="00781112">
        <w:rPr>
          <w:b/>
          <w:color w:val="000000" w:themeColor="text1"/>
        </w:rPr>
        <w:t>Instructions</w:t>
      </w:r>
    </w:p>
    <w:p w14:paraId="3DD8C135" w14:textId="77777777" w:rsidR="003356F1" w:rsidRPr="00781112" w:rsidRDefault="003356F1"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3F78D968" w14:textId="77777777" w:rsidR="003356F1" w:rsidRPr="00781112" w:rsidRDefault="003356F1"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1A394BBE" w14:textId="77777777" w:rsidR="003356F1" w:rsidRPr="00781112" w:rsidRDefault="003356F1" w:rsidP="00286BDF">
      <w:pPr>
        <w:rPr>
          <w:rFonts w:cs="Arial"/>
          <w:color w:val="000000" w:themeColor="text1"/>
          <w:szCs w:val="16"/>
        </w:rPr>
      </w:pPr>
      <w:r w:rsidRPr="00781112">
        <w:rPr>
          <w:rFonts w:cs="Arial"/>
          <w:color w:val="000000" w:themeColor="text1"/>
          <w:szCs w:val="16"/>
        </w:rPr>
        <w:t>Note that under 34 CFR §300.301(d), the timeframe set for initial evaluation does not apply to a public agency if: (1) the parent of a child repeatedly fails or refuses to produce the child for the evaluation; or (2) a child enrolls in a school of another public agency after the timeframe for initial evaluations has begun, and prior to a determination by the child’s previous public agency as to whether the child is a child with a disability. States should not report these exceptions in either the numerator (b) or denominator (a). If the State-established timeframe provides for exceptions through State regulation or policy, describe cases falling within those exceptions and include in b.</w:t>
      </w:r>
    </w:p>
    <w:p w14:paraId="231B6D26" w14:textId="77777777" w:rsidR="003356F1" w:rsidRPr="00781112" w:rsidRDefault="003356F1" w:rsidP="00286BDF">
      <w:pPr>
        <w:rPr>
          <w:rFonts w:cs="Arial"/>
          <w:color w:val="000000" w:themeColor="text1"/>
          <w:szCs w:val="16"/>
        </w:rPr>
      </w:pPr>
      <w:r w:rsidRPr="00781112">
        <w:rPr>
          <w:rFonts w:cs="Arial"/>
          <w:color w:val="000000" w:themeColor="text1"/>
          <w:szCs w:val="16"/>
        </w:rPr>
        <w:t>Targets must be 100%.</w:t>
      </w:r>
    </w:p>
    <w:p w14:paraId="6E371C53" w14:textId="01B44093" w:rsidR="003356F1" w:rsidRPr="00781112" w:rsidRDefault="003356F1"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66" w:name="_Hlk150864333"/>
      <w:r w:rsidR="005F55E8" w:rsidRPr="005F55E8">
        <w:rPr>
          <w:rFonts w:cs="Arial"/>
          <w:color w:val="000000" w:themeColor="text1"/>
          <w:szCs w:val="16"/>
        </w:rPr>
        <w:t>child-specific and regulatory/systemic</w:t>
      </w:r>
      <w:r w:rsidR="005F55E8">
        <w:rPr>
          <w:sz w:val="20"/>
          <w:szCs w:val="14"/>
        </w:rPr>
        <w:t xml:space="preserve"> </w:t>
      </w:r>
      <w:bookmarkEnd w:id="66"/>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53468DF8" w14:textId="5B236136" w:rsidR="003356F1" w:rsidRDefault="007A3964"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3D959517" w14:textId="56706A14" w:rsidR="007B2985" w:rsidRPr="00FE4611" w:rsidRDefault="007B2985" w:rsidP="00286BDF">
      <w:pPr>
        <w:rPr>
          <w:rFonts w:cs="Arial"/>
          <w:szCs w:val="16"/>
        </w:rPr>
      </w:pPr>
      <w:r w:rsidRPr="004605DC">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4CA3F78B" w14:textId="72C271DF" w:rsidR="00DB20BC" w:rsidRPr="00781112" w:rsidRDefault="00C22B92" w:rsidP="005B40C0">
      <w:pPr>
        <w:pStyle w:val="Heading3"/>
      </w:pPr>
      <w:bookmarkStart w:id="67" w:name="_Toc384383354"/>
      <w:bookmarkStart w:id="68" w:name="_Toc392159322"/>
      <w:bookmarkEnd w:id="64"/>
      <w:bookmarkEnd w:id="65"/>
      <w:r w:rsidRPr="00781112">
        <w:t>11</w:t>
      </w:r>
      <w:r w:rsidR="00596F4D" w:rsidRPr="00781112">
        <w:t xml:space="preserve"> </w:t>
      </w:r>
      <w:r w:rsidRPr="00781112">
        <w:t xml:space="preserve">- </w:t>
      </w:r>
      <w:r w:rsidR="00DB20BC" w:rsidRPr="00781112">
        <w:t>Indicator Data</w:t>
      </w:r>
    </w:p>
    <w:p w14:paraId="7C465821" w14:textId="6E27EB07" w:rsidR="00B6413B" w:rsidRPr="00781112" w:rsidRDefault="00B6413B"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1BASELINEDATA"/>
      </w:tblPr>
      <w:tblGrid>
        <w:gridCol w:w="1797"/>
        <w:gridCol w:w="1798"/>
      </w:tblGrid>
      <w:tr w:rsidR="00126B45" w:rsidRPr="00781112" w14:paraId="1E9ECD4B" w14:textId="77777777" w:rsidTr="00123D76">
        <w:trPr>
          <w:trHeight w:val="311"/>
          <w:tblHeader/>
        </w:trPr>
        <w:tc>
          <w:tcPr>
            <w:tcW w:w="1797" w:type="dxa"/>
          </w:tcPr>
          <w:p w14:paraId="7AF55935" w14:textId="77777777" w:rsidR="00126B45" w:rsidRPr="00781112" w:rsidRDefault="00126B45" w:rsidP="00123D76">
            <w:pPr>
              <w:jc w:val="center"/>
              <w:rPr>
                <w:b/>
                <w:color w:val="000000" w:themeColor="text1"/>
              </w:rPr>
            </w:pPr>
            <w:r w:rsidRPr="00781112">
              <w:rPr>
                <w:rFonts w:cs="Arial"/>
                <w:b/>
                <w:color w:val="000000" w:themeColor="text1"/>
                <w:szCs w:val="16"/>
              </w:rPr>
              <w:t>Baseline Year</w:t>
            </w:r>
          </w:p>
        </w:tc>
        <w:tc>
          <w:tcPr>
            <w:tcW w:w="1798" w:type="dxa"/>
          </w:tcPr>
          <w:p w14:paraId="316C30F4" w14:textId="77777777" w:rsidR="00126B45" w:rsidRPr="00781112" w:rsidRDefault="00126B45" w:rsidP="00123D76">
            <w:pPr>
              <w:jc w:val="center"/>
              <w:rPr>
                <w:b/>
                <w:color w:val="000000" w:themeColor="text1"/>
              </w:rPr>
            </w:pPr>
            <w:r w:rsidRPr="00781112">
              <w:rPr>
                <w:b/>
                <w:color w:val="000000" w:themeColor="text1"/>
              </w:rPr>
              <w:t>Baseline Data</w:t>
            </w:r>
          </w:p>
        </w:tc>
      </w:tr>
      <w:tr w:rsidR="00126B45" w:rsidRPr="00781112" w14:paraId="1CE17451" w14:textId="77777777" w:rsidTr="00123D76">
        <w:trPr>
          <w:trHeight w:val="311"/>
        </w:trPr>
        <w:tc>
          <w:tcPr>
            <w:tcW w:w="1797" w:type="dxa"/>
            <w:vAlign w:val="center"/>
          </w:tcPr>
          <w:p w14:paraId="4D36891E" w14:textId="227D3313" w:rsidR="00126B45" w:rsidRPr="00781112" w:rsidRDefault="00126B45" w:rsidP="00123D76">
            <w:pPr>
              <w:jc w:val="center"/>
              <w:rPr>
                <w:bCs/>
                <w:color w:val="000000" w:themeColor="text1"/>
              </w:rPr>
            </w:pPr>
            <w:r w:rsidRPr="00781112">
              <w:rPr>
                <w:bCs/>
                <w:color w:val="000000" w:themeColor="text1"/>
              </w:rPr>
              <w:t>2005</w:t>
            </w:r>
          </w:p>
        </w:tc>
        <w:tc>
          <w:tcPr>
            <w:tcW w:w="1798" w:type="dxa"/>
            <w:vAlign w:val="center"/>
          </w:tcPr>
          <w:p w14:paraId="403719B1" w14:textId="522EF75C" w:rsidR="00126B45" w:rsidRPr="00781112" w:rsidRDefault="00126B45" w:rsidP="00123D76">
            <w:pPr>
              <w:jc w:val="center"/>
              <w:rPr>
                <w:bCs/>
                <w:color w:val="000000" w:themeColor="text1"/>
              </w:rPr>
            </w:pPr>
            <w:r w:rsidRPr="00781112">
              <w:rPr>
                <w:bCs/>
                <w:color w:val="000000" w:themeColor="text1"/>
              </w:rPr>
              <w:t>94.30%</w:t>
            </w:r>
          </w:p>
        </w:tc>
      </w:tr>
    </w:tbl>
    <w:p w14:paraId="0C706E5F" w14:textId="77777777" w:rsidR="00126B45" w:rsidRPr="00781112" w:rsidRDefault="00126B45"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1HISTDATA"/>
      </w:tblPr>
      <w:tblGrid>
        <w:gridCol w:w="1798"/>
        <w:gridCol w:w="1798"/>
        <w:gridCol w:w="1798"/>
        <w:gridCol w:w="1798"/>
        <w:gridCol w:w="1798"/>
        <w:gridCol w:w="1800"/>
      </w:tblGrid>
      <w:tr w:rsidR="005C29F8" w:rsidRPr="00781112" w14:paraId="185735BC" w14:textId="77777777" w:rsidTr="005F2FF9">
        <w:trPr>
          <w:trHeight w:val="350"/>
        </w:trPr>
        <w:tc>
          <w:tcPr>
            <w:tcW w:w="833" w:type="pct"/>
            <w:tcBorders>
              <w:bottom w:val="single" w:sz="4" w:space="0" w:color="auto"/>
            </w:tcBorders>
            <w:shd w:val="clear" w:color="auto" w:fill="auto"/>
          </w:tcPr>
          <w:p w14:paraId="40BFC57F" w14:textId="77777777" w:rsidR="00B6413B" w:rsidRPr="00781112" w:rsidRDefault="00B6413B"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80872C1" w14:textId="09E6591B" w:rsidR="00B6413B" w:rsidRPr="00781112" w:rsidRDefault="002B7490" w:rsidP="00B6413B">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172712E2" w14:textId="17CB7B21" w:rsidR="00B6413B" w:rsidRPr="00781112" w:rsidRDefault="002B7490" w:rsidP="00B6413B">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10C277D" w14:textId="7361F007" w:rsidR="00B6413B" w:rsidRPr="00781112" w:rsidRDefault="002B7490" w:rsidP="00B6413B">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5A53D9E0" w14:textId="2FECDD8F" w:rsidR="00B6413B" w:rsidRPr="00781112" w:rsidRDefault="002B7490" w:rsidP="00B6413B">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5DDA3CB1" w14:textId="7CA07026" w:rsidR="00B6413B" w:rsidRPr="00781112" w:rsidRDefault="002B7490" w:rsidP="00B6413B">
            <w:pPr>
              <w:jc w:val="center"/>
              <w:rPr>
                <w:rFonts w:cs="Arial"/>
                <w:b/>
                <w:color w:val="000000" w:themeColor="text1"/>
                <w:szCs w:val="16"/>
              </w:rPr>
            </w:pPr>
            <w:r w:rsidRPr="00781112">
              <w:rPr>
                <w:rFonts w:cs="Arial"/>
                <w:b/>
                <w:color w:val="000000" w:themeColor="text1"/>
                <w:szCs w:val="16"/>
              </w:rPr>
              <w:t>2022</w:t>
            </w:r>
          </w:p>
        </w:tc>
      </w:tr>
      <w:tr w:rsidR="005C29F8" w:rsidRPr="00781112" w14:paraId="1D8C5E85" w14:textId="77777777" w:rsidTr="005F2FF9">
        <w:trPr>
          <w:trHeight w:val="357"/>
        </w:trPr>
        <w:tc>
          <w:tcPr>
            <w:tcW w:w="833" w:type="pct"/>
            <w:shd w:val="clear" w:color="auto" w:fill="auto"/>
          </w:tcPr>
          <w:p w14:paraId="64B52232" w14:textId="1F81B17C" w:rsidR="00B6413B" w:rsidRPr="00781112" w:rsidRDefault="00B6413B"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13EDBB26" w14:textId="03929D2F"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2315242" w14:textId="2AA4BC03"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592D8352" w14:textId="0CCD91D0"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213B65B" w14:textId="455FA06B" w:rsidR="00B6413B" w:rsidRPr="00781112" w:rsidRDefault="00B16A26">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0947AB89" w14:textId="009A0A22" w:rsidR="00B6413B" w:rsidRPr="00781112" w:rsidRDefault="00B16A26">
            <w:pPr>
              <w:jc w:val="center"/>
              <w:rPr>
                <w:rFonts w:cs="Arial"/>
                <w:color w:val="000000" w:themeColor="text1"/>
                <w:szCs w:val="16"/>
              </w:rPr>
            </w:pPr>
            <w:r w:rsidRPr="00781112">
              <w:rPr>
                <w:rFonts w:cs="Arial"/>
                <w:color w:val="000000" w:themeColor="text1"/>
                <w:szCs w:val="16"/>
              </w:rPr>
              <w:t>100%</w:t>
            </w:r>
          </w:p>
        </w:tc>
      </w:tr>
      <w:tr w:rsidR="005C29F8" w:rsidRPr="00781112" w14:paraId="034A91A9" w14:textId="77777777" w:rsidTr="005F2FF9">
        <w:trPr>
          <w:trHeight w:val="85"/>
        </w:trPr>
        <w:tc>
          <w:tcPr>
            <w:tcW w:w="833" w:type="pct"/>
            <w:shd w:val="clear" w:color="auto" w:fill="auto"/>
          </w:tcPr>
          <w:p w14:paraId="2D12CD30" w14:textId="77777777" w:rsidR="00B6413B" w:rsidRPr="00781112" w:rsidRDefault="00B6413B"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45567F1B" w14:textId="15BD6387" w:rsidR="00B6413B" w:rsidRPr="00781112" w:rsidRDefault="002B7490" w:rsidP="00A018D4">
            <w:pPr>
              <w:jc w:val="center"/>
              <w:rPr>
                <w:rFonts w:cs="Arial"/>
                <w:color w:val="000000" w:themeColor="text1"/>
                <w:szCs w:val="16"/>
              </w:rPr>
            </w:pPr>
            <w:r w:rsidRPr="00781112">
              <w:rPr>
                <w:rFonts w:cs="Arial"/>
                <w:color w:val="000000" w:themeColor="text1"/>
                <w:szCs w:val="16"/>
              </w:rPr>
              <w:t>98.61%</w:t>
            </w:r>
          </w:p>
        </w:tc>
        <w:tc>
          <w:tcPr>
            <w:tcW w:w="833" w:type="pct"/>
            <w:shd w:val="clear" w:color="auto" w:fill="auto"/>
          </w:tcPr>
          <w:p w14:paraId="22571264" w14:textId="18DEE061" w:rsidR="00B6413B" w:rsidRPr="00781112" w:rsidRDefault="002B7490" w:rsidP="00A018D4">
            <w:pPr>
              <w:jc w:val="center"/>
              <w:rPr>
                <w:rFonts w:cs="Arial"/>
                <w:color w:val="000000" w:themeColor="text1"/>
                <w:szCs w:val="16"/>
              </w:rPr>
            </w:pPr>
            <w:r w:rsidRPr="00781112">
              <w:rPr>
                <w:rFonts w:cs="Arial"/>
                <w:color w:val="000000" w:themeColor="text1"/>
                <w:szCs w:val="16"/>
              </w:rPr>
              <w:t>98.53%</w:t>
            </w:r>
          </w:p>
        </w:tc>
        <w:tc>
          <w:tcPr>
            <w:tcW w:w="833" w:type="pct"/>
            <w:tcBorders>
              <w:bottom w:val="single" w:sz="4" w:space="0" w:color="auto"/>
            </w:tcBorders>
            <w:shd w:val="clear" w:color="auto" w:fill="auto"/>
            <w:vAlign w:val="center"/>
          </w:tcPr>
          <w:p w14:paraId="0169492B" w14:textId="35C25712" w:rsidR="00B6413B" w:rsidRPr="00781112" w:rsidRDefault="002B7490" w:rsidP="00A018D4">
            <w:pPr>
              <w:jc w:val="center"/>
              <w:rPr>
                <w:rFonts w:cs="Arial"/>
                <w:color w:val="000000" w:themeColor="text1"/>
                <w:szCs w:val="16"/>
              </w:rPr>
            </w:pPr>
            <w:r w:rsidRPr="00781112">
              <w:rPr>
                <w:rFonts w:cs="Arial"/>
                <w:color w:val="000000" w:themeColor="text1"/>
                <w:szCs w:val="16"/>
              </w:rPr>
              <w:t>98.71%</w:t>
            </w:r>
          </w:p>
        </w:tc>
        <w:tc>
          <w:tcPr>
            <w:tcW w:w="833" w:type="pct"/>
            <w:tcBorders>
              <w:bottom w:val="single" w:sz="4" w:space="0" w:color="auto"/>
            </w:tcBorders>
            <w:shd w:val="clear" w:color="auto" w:fill="auto"/>
            <w:vAlign w:val="center"/>
          </w:tcPr>
          <w:p w14:paraId="3F28AAFF" w14:textId="54CE0344" w:rsidR="00B6413B" w:rsidRPr="00781112" w:rsidRDefault="002B7490" w:rsidP="00A018D4">
            <w:pPr>
              <w:jc w:val="center"/>
              <w:rPr>
                <w:rFonts w:cs="Arial"/>
                <w:color w:val="000000" w:themeColor="text1"/>
                <w:szCs w:val="16"/>
              </w:rPr>
            </w:pPr>
            <w:r w:rsidRPr="00781112">
              <w:rPr>
                <w:rFonts w:cs="Arial"/>
                <w:color w:val="000000" w:themeColor="text1"/>
                <w:szCs w:val="16"/>
              </w:rPr>
              <w:t>97.53%</w:t>
            </w:r>
          </w:p>
        </w:tc>
        <w:tc>
          <w:tcPr>
            <w:tcW w:w="834" w:type="pct"/>
            <w:tcBorders>
              <w:bottom w:val="single" w:sz="4" w:space="0" w:color="auto"/>
            </w:tcBorders>
            <w:shd w:val="clear" w:color="auto" w:fill="auto"/>
            <w:vAlign w:val="center"/>
          </w:tcPr>
          <w:p w14:paraId="1634D135" w14:textId="4B1B8A56" w:rsidR="00B6413B" w:rsidRPr="00781112" w:rsidRDefault="002B7490" w:rsidP="00A018D4">
            <w:pPr>
              <w:jc w:val="center"/>
              <w:rPr>
                <w:rFonts w:cs="Arial"/>
                <w:color w:val="000000" w:themeColor="text1"/>
                <w:szCs w:val="16"/>
              </w:rPr>
            </w:pPr>
            <w:r w:rsidRPr="00781112">
              <w:rPr>
                <w:rFonts w:cs="Arial"/>
                <w:color w:val="000000" w:themeColor="text1"/>
                <w:szCs w:val="16"/>
              </w:rPr>
              <w:t>97.57%</w:t>
            </w:r>
          </w:p>
        </w:tc>
      </w:tr>
    </w:tbl>
    <w:p w14:paraId="4B68E2EB" w14:textId="77777777" w:rsidR="00DE2E22" w:rsidRPr="00781112" w:rsidRDefault="00DE2E22" w:rsidP="004369B2">
      <w:pPr>
        <w:rPr>
          <w:color w:val="000000" w:themeColor="text1"/>
        </w:rPr>
      </w:pPr>
    </w:p>
    <w:p w14:paraId="665BBDF2" w14:textId="3C595D9B" w:rsidR="007A3964" w:rsidRPr="00781112" w:rsidRDefault="007A3964"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TARGETS"/>
      </w:tblPr>
      <w:tblGrid>
        <w:gridCol w:w="679"/>
        <w:gridCol w:w="2397"/>
        <w:gridCol w:w="2570"/>
        <w:gridCol w:w="2570"/>
      </w:tblGrid>
      <w:tr w:rsidR="007F76DD" w:rsidRPr="00781112" w14:paraId="76DFECC2" w14:textId="07DDD47D" w:rsidTr="007F76DD">
        <w:trPr>
          <w:trHeight w:val="460"/>
        </w:trPr>
        <w:tc>
          <w:tcPr>
            <w:tcW w:w="406" w:type="pct"/>
            <w:tcBorders>
              <w:bottom w:val="single" w:sz="4" w:space="0" w:color="auto"/>
            </w:tcBorders>
            <w:shd w:val="clear" w:color="auto" w:fill="auto"/>
          </w:tcPr>
          <w:p w14:paraId="6892E70C" w14:textId="77777777" w:rsidR="007F76DD" w:rsidRPr="00781112" w:rsidRDefault="007F76DD" w:rsidP="00487DD1">
            <w:pPr>
              <w:jc w:val="center"/>
              <w:rPr>
                <w:b/>
                <w:color w:val="000000" w:themeColor="text1"/>
              </w:rPr>
            </w:pPr>
            <w:r w:rsidRPr="00781112">
              <w:rPr>
                <w:b/>
                <w:color w:val="000000" w:themeColor="text1"/>
              </w:rPr>
              <w:t>FFY</w:t>
            </w:r>
          </w:p>
        </w:tc>
        <w:tc>
          <w:tcPr>
            <w:tcW w:w="1461" w:type="pct"/>
            <w:shd w:val="clear" w:color="auto" w:fill="auto"/>
          </w:tcPr>
          <w:p w14:paraId="66B6940B" w14:textId="77777777" w:rsidR="007F76DD" w:rsidRPr="00781112" w:rsidRDefault="007F76DD" w:rsidP="00487DD1">
            <w:pPr>
              <w:jc w:val="center"/>
              <w:rPr>
                <w:b/>
                <w:color w:val="000000" w:themeColor="text1"/>
              </w:rPr>
            </w:pPr>
            <w:r w:rsidRPr="00781112">
              <w:rPr>
                <w:b/>
                <w:color w:val="000000" w:themeColor="text1"/>
              </w:rPr>
              <w:t>2023</w:t>
            </w:r>
          </w:p>
        </w:tc>
        <w:tc>
          <w:tcPr>
            <w:tcW w:w="1566" w:type="pct"/>
          </w:tcPr>
          <w:p w14:paraId="642D6D44" w14:textId="2A5BD9E4" w:rsidR="007F76DD" w:rsidRPr="00781112" w:rsidRDefault="007F76DD" w:rsidP="00487DD1">
            <w:pPr>
              <w:jc w:val="center"/>
              <w:rPr>
                <w:b/>
                <w:color w:val="000000" w:themeColor="text1"/>
              </w:rPr>
            </w:pPr>
            <w:r w:rsidRPr="00781112">
              <w:rPr>
                <w:rFonts w:cs="Arial"/>
                <w:b/>
                <w:color w:val="000000" w:themeColor="text1"/>
                <w:szCs w:val="16"/>
              </w:rPr>
              <w:t>2024</w:t>
            </w:r>
          </w:p>
        </w:tc>
        <w:tc>
          <w:tcPr>
            <w:tcW w:w="1566" w:type="pct"/>
          </w:tcPr>
          <w:p w14:paraId="3DC5C0D5" w14:textId="20C2B807" w:rsidR="007F76DD" w:rsidRPr="00781112" w:rsidRDefault="007F76DD" w:rsidP="00487DD1">
            <w:pPr>
              <w:jc w:val="center"/>
              <w:rPr>
                <w:b/>
                <w:color w:val="000000" w:themeColor="text1"/>
              </w:rPr>
            </w:pPr>
            <w:r w:rsidRPr="00781112">
              <w:rPr>
                <w:rFonts w:cs="Arial"/>
                <w:b/>
                <w:color w:val="000000" w:themeColor="text1"/>
                <w:szCs w:val="16"/>
              </w:rPr>
              <w:t>2025</w:t>
            </w:r>
          </w:p>
        </w:tc>
      </w:tr>
      <w:tr w:rsidR="007F76DD" w:rsidRPr="00781112" w14:paraId="3EC10007" w14:textId="1FF3F876" w:rsidTr="007F76DD">
        <w:trPr>
          <w:trHeight w:val="469"/>
        </w:trPr>
        <w:tc>
          <w:tcPr>
            <w:tcW w:w="406" w:type="pct"/>
            <w:shd w:val="clear" w:color="auto" w:fill="auto"/>
            <w:vAlign w:val="center"/>
          </w:tcPr>
          <w:p w14:paraId="078AD14E" w14:textId="4163BE23" w:rsidR="007F76DD" w:rsidRPr="00781112" w:rsidRDefault="007F76DD"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738C5681" w14:textId="308364FD" w:rsidR="007F76DD" w:rsidRPr="00781112" w:rsidRDefault="007F76DD" w:rsidP="00487DD1">
            <w:pPr>
              <w:jc w:val="center"/>
              <w:rPr>
                <w:rFonts w:cs="Arial"/>
                <w:color w:val="000000" w:themeColor="text1"/>
                <w:szCs w:val="16"/>
              </w:rPr>
            </w:pPr>
            <w:r w:rsidRPr="00781112">
              <w:rPr>
                <w:rFonts w:cs="Arial"/>
                <w:color w:val="000000" w:themeColor="text1"/>
                <w:szCs w:val="16"/>
              </w:rPr>
              <w:t>100%</w:t>
            </w:r>
          </w:p>
        </w:tc>
        <w:tc>
          <w:tcPr>
            <w:tcW w:w="1566" w:type="pct"/>
          </w:tcPr>
          <w:p w14:paraId="6D8F87FA" w14:textId="469699AF" w:rsidR="007F76DD" w:rsidRPr="00781112" w:rsidRDefault="007F76DD" w:rsidP="00487DD1">
            <w:pPr>
              <w:jc w:val="center"/>
              <w:rPr>
                <w:rFonts w:cs="Arial"/>
                <w:color w:val="000000" w:themeColor="text1"/>
                <w:szCs w:val="16"/>
              </w:rPr>
            </w:pPr>
            <w:r w:rsidRPr="00781112">
              <w:rPr>
                <w:color w:val="000000" w:themeColor="text1"/>
                <w:szCs w:val="16"/>
              </w:rPr>
              <w:t>100%</w:t>
            </w:r>
          </w:p>
        </w:tc>
        <w:tc>
          <w:tcPr>
            <w:tcW w:w="1566" w:type="pct"/>
          </w:tcPr>
          <w:p w14:paraId="36607C1B" w14:textId="54CF66D1" w:rsidR="007F76DD" w:rsidRPr="00781112" w:rsidRDefault="007F76DD" w:rsidP="00487DD1">
            <w:pPr>
              <w:jc w:val="center"/>
              <w:rPr>
                <w:rFonts w:cs="Arial"/>
                <w:color w:val="000000" w:themeColor="text1"/>
                <w:szCs w:val="16"/>
              </w:rPr>
            </w:pPr>
            <w:r w:rsidRPr="00781112">
              <w:rPr>
                <w:color w:val="000000" w:themeColor="text1"/>
                <w:szCs w:val="16"/>
              </w:rPr>
              <w:t>100%</w:t>
            </w:r>
          </w:p>
        </w:tc>
      </w:tr>
    </w:tbl>
    <w:p w14:paraId="5CBD7BB2" w14:textId="77777777" w:rsidR="00DE2E22" w:rsidRPr="00781112" w:rsidRDefault="00DE2E22" w:rsidP="004369B2">
      <w:pPr>
        <w:rPr>
          <w:color w:val="000000" w:themeColor="text1"/>
        </w:rPr>
      </w:pPr>
    </w:p>
    <w:bookmarkEnd w:id="67"/>
    <w:bookmarkEnd w:id="68"/>
    <w:p w14:paraId="3FAEB3AB" w14:textId="77553BF1" w:rsidR="00D03701"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1CFFYAPRDATA"/>
      </w:tblPr>
      <w:tblGrid>
        <w:gridCol w:w="1462"/>
        <w:gridCol w:w="1363"/>
        <w:gridCol w:w="1407"/>
        <w:gridCol w:w="2123"/>
        <w:gridCol w:w="1265"/>
        <w:gridCol w:w="1612"/>
        <w:gridCol w:w="1558"/>
      </w:tblGrid>
      <w:tr w:rsidR="00B1652C" w:rsidRPr="00781112" w14:paraId="4D51CA61" w14:textId="77777777" w:rsidTr="008227D4">
        <w:trPr>
          <w:trHeight w:val="357"/>
          <w:tblHeader/>
        </w:trPr>
        <w:tc>
          <w:tcPr>
            <w:tcW w:w="677" w:type="pct"/>
            <w:shd w:val="clear" w:color="auto" w:fill="auto"/>
            <w:vAlign w:val="bottom"/>
          </w:tcPr>
          <w:p w14:paraId="2C2F907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(a) Number of children for whom parental consent to evaluate was received</w:t>
            </w:r>
          </w:p>
        </w:tc>
        <w:tc>
          <w:tcPr>
            <w:tcW w:w="631" w:type="pct"/>
            <w:shd w:val="clear" w:color="auto" w:fill="auto"/>
            <w:vAlign w:val="bottom"/>
          </w:tcPr>
          <w:p w14:paraId="37C63445"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(b) Number of children whose evaluations were completed within 60 days (or State-established timeline)</w:t>
            </w:r>
          </w:p>
        </w:tc>
        <w:tc>
          <w:tcPr>
            <w:tcW w:w="652" w:type="pct"/>
            <w:shd w:val="clear" w:color="auto" w:fill="auto"/>
            <w:vAlign w:val="bottom"/>
          </w:tcPr>
          <w:p w14:paraId="0F3587FA" w14:textId="1BE978E6" w:rsidR="00B1652C" w:rsidRPr="00CC1061" w:rsidRDefault="00B1652C" w:rsidP="00B1652C">
            <w:pPr>
              <w:jc w:val="center"/>
              <w:rPr>
                <w:rFonts w:cs="Arial"/>
                <w:b/>
                <w:bCs/>
                <w:color w:val="000000" w:themeColor="text1"/>
                <w:szCs w:val="16"/>
              </w:rPr>
            </w:pPr>
            <w:r w:rsidRPr="00CC1061">
              <w:rPr>
                <w:b/>
                <w:bCs/>
              </w:rPr>
              <w:t>FFY 2022 Data</w:t>
            </w:r>
          </w:p>
        </w:tc>
        <w:tc>
          <w:tcPr>
            <w:tcW w:w="984" w:type="pct"/>
            <w:shd w:val="clear" w:color="auto" w:fill="auto"/>
            <w:vAlign w:val="bottom"/>
          </w:tcPr>
          <w:p w14:paraId="46349806" w14:textId="66CFDC34" w:rsidR="00B1652C" w:rsidRPr="00CC1061" w:rsidRDefault="00B1652C" w:rsidP="00B1652C">
            <w:pPr>
              <w:jc w:val="center"/>
              <w:rPr>
                <w:rFonts w:cs="Arial"/>
                <w:b/>
                <w:bCs/>
                <w:color w:val="000000" w:themeColor="text1"/>
                <w:szCs w:val="16"/>
              </w:rPr>
            </w:pPr>
            <w:r w:rsidRPr="00CC1061">
              <w:rPr>
                <w:b/>
                <w:bCs/>
              </w:rPr>
              <w:t>FFY 2023 Target</w:t>
            </w:r>
          </w:p>
        </w:tc>
        <w:tc>
          <w:tcPr>
            <w:tcW w:w="586" w:type="pct"/>
            <w:shd w:val="clear" w:color="auto" w:fill="auto"/>
            <w:vAlign w:val="bottom"/>
          </w:tcPr>
          <w:p w14:paraId="789B0350" w14:textId="4F3FB020" w:rsidR="00B1652C" w:rsidRPr="00CC1061" w:rsidRDefault="00B1652C" w:rsidP="00B1652C">
            <w:pPr>
              <w:jc w:val="center"/>
              <w:rPr>
                <w:rFonts w:cs="Arial"/>
                <w:b/>
                <w:bCs/>
                <w:color w:val="000000" w:themeColor="text1"/>
                <w:szCs w:val="16"/>
              </w:rPr>
            </w:pPr>
            <w:r w:rsidRPr="00CC1061">
              <w:rPr>
                <w:b/>
                <w:bCs/>
              </w:rPr>
              <w:t>FFY 2023 Data</w:t>
            </w:r>
          </w:p>
        </w:tc>
        <w:tc>
          <w:tcPr>
            <w:tcW w:w="747" w:type="pct"/>
            <w:shd w:val="clear" w:color="auto" w:fill="auto"/>
            <w:vAlign w:val="bottom"/>
          </w:tcPr>
          <w:p w14:paraId="1F8A5D0B" w14:textId="1CA25A33"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22" w:type="pct"/>
            <w:shd w:val="clear" w:color="auto" w:fill="auto"/>
            <w:vAlign w:val="bottom"/>
          </w:tcPr>
          <w:p w14:paraId="072F67FA" w14:textId="0AF25FE9"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601FAE62" w14:textId="77777777" w:rsidTr="008227D4">
        <w:tblPrEx>
          <w:jc w:val="center"/>
        </w:tblPrEx>
        <w:trPr>
          <w:trHeight w:val="361"/>
          <w:jc w:val="center"/>
        </w:trPr>
        <w:tc>
          <w:tcPr>
            <w:tcW w:w="677" w:type="pct"/>
            <w:shd w:val="clear" w:color="auto" w:fill="auto"/>
            <w:vAlign w:val="center"/>
          </w:tcPr>
          <w:p w14:paraId="40E44618" w14:textId="45B3AEC4" w:rsidR="00227DE4" w:rsidRPr="00781112" w:rsidRDefault="002B7490" w:rsidP="004369B2">
            <w:pPr>
              <w:jc w:val="center"/>
              <w:rPr>
                <w:rFonts w:cs="Arial"/>
                <w:color w:val="000000" w:themeColor="text1"/>
                <w:szCs w:val="16"/>
              </w:rPr>
            </w:pPr>
            <w:r w:rsidRPr="00781112">
              <w:rPr>
                <w:rFonts w:cs="Arial"/>
                <w:color w:val="000000" w:themeColor="text1"/>
                <w:szCs w:val="16"/>
              </w:rPr>
              <w:t>19,066</w:t>
            </w:r>
          </w:p>
        </w:tc>
        <w:tc>
          <w:tcPr>
            <w:tcW w:w="631" w:type="pct"/>
            <w:shd w:val="clear" w:color="auto" w:fill="auto"/>
          </w:tcPr>
          <w:p w14:paraId="12D46373" w14:textId="70B5728E" w:rsidR="00227DE4" w:rsidRPr="00781112" w:rsidRDefault="002B7490" w:rsidP="004369B2">
            <w:pPr>
              <w:jc w:val="center"/>
              <w:rPr>
                <w:rFonts w:cs="Arial"/>
                <w:color w:val="000000" w:themeColor="text1"/>
                <w:szCs w:val="16"/>
              </w:rPr>
            </w:pPr>
            <w:r w:rsidRPr="00781112">
              <w:rPr>
                <w:rFonts w:cs="Arial"/>
                <w:color w:val="000000" w:themeColor="text1"/>
                <w:szCs w:val="16"/>
              </w:rPr>
              <w:t>18,573</w:t>
            </w:r>
          </w:p>
        </w:tc>
        <w:tc>
          <w:tcPr>
            <w:tcW w:w="652" w:type="pct"/>
            <w:shd w:val="clear" w:color="auto" w:fill="auto"/>
          </w:tcPr>
          <w:p w14:paraId="78F7DC6F" w14:textId="0C25E273" w:rsidR="00227DE4" w:rsidRPr="00781112" w:rsidRDefault="002B7490" w:rsidP="004369B2">
            <w:pPr>
              <w:jc w:val="center"/>
              <w:rPr>
                <w:rFonts w:cs="Arial"/>
                <w:color w:val="000000" w:themeColor="text1"/>
                <w:szCs w:val="16"/>
              </w:rPr>
            </w:pPr>
            <w:r w:rsidRPr="00781112">
              <w:rPr>
                <w:rFonts w:cs="Arial"/>
                <w:color w:val="000000" w:themeColor="text1"/>
                <w:szCs w:val="16"/>
              </w:rPr>
              <w:t>97.57%</w:t>
            </w:r>
          </w:p>
        </w:tc>
        <w:tc>
          <w:tcPr>
            <w:tcW w:w="984" w:type="pct"/>
            <w:shd w:val="clear" w:color="auto" w:fill="auto"/>
          </w:tcPr>
          <w:p w14:paraId="57D08E3A" w14:textId="02A6843C" w:rsidR="00227DE4"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86" w:type="pct"/>
            <w:shd w:val="clear" w:color="auto" w:fill="auto"/>
          </w:tcPr>
          <w:p w14:paraId="76ED234E" w14:textId="0761C4C5" w:rsidR="00227DE4" w:rsidRPr="00781112" w:rsidRDefault="002B7490" w:rsidP="004369B2">
            <w:pPr>
              <w:jc w:val="center"/>
              <w:rPr>
                <w:rFonts w:cs="Arial"/>
                <w:color w:val="000000" w:themeColor="text1"/>
                <w:szCs w:val="16"/>
              </w:rPr>
            </w:pPr>
            <w:r w:rsidRPr="00781112">
              <w:rPr>
                <w:rFonts w:cs="Arial"/>
                <w:color w:val="000000" w:themeColor="text1"/>
                <w:szCs w:val="16"/>
              </w:rPr>
              <w:t>97.41%</w:t>
            </w:r>
          </w:p>
        </w:tc>
        <w:tc>
          <w:tcPr>
            <w:tcW w:w="747" w:type="pct"/>
            <w:shd w:val="clear" w:color="auto" w:fill="auto"/>
          </w:tcPr>
          <w:p w14:paraId="0270582F" w14:textId="73E1CA33" w:rsidR="00227DE4"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22" w:type="pct"/>
            <w:shd w:val="clear" w:color="auto" w:fill="auto"/>
          </w:tcPr>
          <w:p w14:paraId="2AF3A578" w14:textId="64369F07" w:rsidR="00227DE4"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0FCD0E7" w14:textId="5068539E" w:rsidR="00596F83" w:rsidRPr="00781112" w:rsidRDefault="00596F83" w:rsidP="007D435F">
      <w:pPr>
        <w:rPr>
          <w:rFonts w:cs="Arial"/>
          <w:b/>
          <w:color w:val="000000" w:themeColor="text1"/>
          <w:szCs w:val="16"/>
        </w:rPr>
      </w:pPr>
      <w:r w:rsidRPr="00781112">
        <w:rPr>
          <w:rFonts w:cs="Arial"/>
          <w:b/>
          <w:color w:val="000000" w:themeColor="text1"/>
          <w:szCs w:val="16"/>
        </w:rPr>
        <w:t>Number of children included in (a) but not included in (b)</w:t>
      </w:r>
    </w:p>
    <w:p w14:paraId="500E5C8C" w14:textId="708E8E06" w:rsidR="00596F83" w:rsidRPr="00781112" w:rsidRDefault="00596F83" w:rsidP="007D435F">
      <w:pPr>
        <w:rPr>
          <w:rFonts w:cs="Arial"/>
          <w:color w:val="000000" w:themeColor="text1"/>
          <w:szCs w:val="16"/>
        </w:rPr>
      </w:pPr>
      <w:r w:rsidRPr="00781112">
        <w:rPr>
          <w:rFonts w:cs="Arial"/>
          <w:color w:val="000000" w:themeColor="text1"/>
          <w:szCs w:val="16"/>
        </w:rPr>
        <w:t>493</w:t>
      </w:r>
    </w:p>
    <w:p w14:paraId="59300647" w14:textId="301BC4BA" w:rsidR="00E418E6" w:rsidRPr="00781112" w:rsidRDefault="00481536" w:rsidP="006A01BD">
      <w:pPr>
        <w:rPr>
          <w:b/>
          <w:color w:val="000000" w:themeColor="text1"/>
        </w:rPr>
      </w:pPr>
      <w:r w:rsidRPr="00781112">
        <w:rPr>
          <w:b/>
          <w:color w:val="000000" w:themeColor="text1"/>
        </w:rPr>
        <w:t>Account for children included in (a) but not included in (b). Indicate the range of days beyond the timeline when the evaluation was completed and any reasons for the delays.</w:t>
      </w:r>
    </w:p>
    <w:p w14:paraId="7FF7A4DA" w14:textId="602A3FE9" w:rsidR="00481536" w:rsidRPr="00781112" w:rsidRDefault="002B7490" w:rsidP="006A01BD">
      <w:pPr>
        <w:rPr>
          <w:color w:val="000000" w:themeColor="text1"/>
        </w:rPr>
      </w:pPr>
      <w:r w:rsidRPr="00781112">
        <w:rPr>
          <w:color w:val="000000" w:themeColor="text1"/>
        </w:rPr>
        <w:t xml:space="preserve">The following data accounts for children included in (a) but not included in (b). The range of days beyond the timeline when the evaluation was completed and any reasons for the delays are indicated below: </w:t>
      </w:r>
      <w:r w:rsidRPr="00781112">
        <w:rPr>
          <w:color w:val="000000" w:themeColor="text1"/>
        </w:rPr>
        <w:br/>
      </w:r>
      <w:r w:rsidRPr="00781112">
        <w:rPr>
          <w:color w:val="000000" w:themeColor="text1"/>
        </w:rPr>
        <w:br/>
        <w:t xml:space="preserve">61 to 70 Days (1 to 10 days over) 53.14% (262/493) </w:t>
      </w:r>
      <w:r w:rsidRPr="00781112">
        <w:rPr>
          <w:color w:val="000000" w:themeColor="text1"/>
        </w:rPr>
        <w:br/>
        <w:t xml:space="preserve">71 to 80 Days (11 to 20 days over) 22.52% (111/493) </w:t>
      </w:r>
      <w:r w:rsidRPr="00781112">
        <w:rPr>
          <w:color w:val="000000" w:themeColor="text1"/>
        </w:rPr>
        <w:br/>
        <w:t xml:space="preserve">81 to 90 Days (21 to 30 days over) 8.52% (42/493) </w:t>
      </w:r>
      <w:r w:rsidRPr="00781112">
        <w:rPr>
          <w:color w:val="000000" w:themeColor="text1"/>
        </w:rPr>
        <w:br/>
        <w:t xml:space="preserve">Over 90 Days (more than 30 days over) 15.82% (78/493) </w:t>
      </w:r>
      <w:r w:rsidRPr="00781112">
        <w:rPr>
          <w:color w:val="000000" w:themeColor="text1"/>
        </w:rPr>
        <w:br/>
      </w:r>
      <w:r w:rsidRPr="00781112">
        <w:rPr>
          <w:color w:val="000000" w:themeColor="text1"/>
        </w:rPr>
        <w:br/>
        <w:t xml:space="preserve">Reasons for delays: </w:t>
      </w:r>
      <w:r w:rsidRPr="00781112">
        <w:rPr>
          <w:color w:val="000000" w:themeColor="text1"/>
        </w:rPr>
        <w:br/>
        <w:t xml:space="preserve">Code 3 (Parent/guardian did not attend eligibility meeting) 16.02% (79/493) </w:t>
      </w:r>
      <w:r w:rsidRPr="00781112">
        <w:rPr>
          <w:color w:val="000000" w:themeColor="text1"/>
        </w:rPr>
        <w:br/>
        <w:t xml:space="preserve">Code 4 (Initial testing results indicated need for additional testing not identified through initial evaluation planning) 4.67% (23/493) </w:t>
      </w:r>
      <w:r w:rsidRPr="00781112">
        <w:rPr>
          <w:color w:val="000000" w:themeColor="text1"/>
        </w:rPr>
        <w:br/>
        <w:t xml:space="preserve">Code 5 (Delay by doctor/medical personnel) 7.71% (38/493) </w:t>
      </w:r>
      <w:r w:rsidRPr="00781112">
        <w:rPr>
          <w:color w:val="000000" w:themeColor="text1"/>
        </w:rPr>
        <w:br/>
        <w:t xml:space="preserve">Code 6 (Delay by district/program evaluation staff) 71.60% (353/493) </w:t>
      </w:r>
    </w:p>
    <w:p w14:paraId="4FE2B83B" w14:textId="50CDAD1F" w:rsidR="00596F83" w:rsidRPr="00781112" w:rsidRDefault="00596F83" w:rsidP="00596F83">
      <w:pPr>
        <w:rPr>
          <w:rFonts w:cs="Arial"/>
          <w:b/>
          <w:color w:val="000000" w:themeColor="text1"/>
          <w:szCs w:val="16"/>
        </w:rPr>
      </w:pPr>
      <w:r w:rsidRPr="00781112">
        <w:rPr>
          <w:rFonts w:cs="Arial"/>
          <w:b/>
          <w:color w:val="000000" w:themeColor="text1"/>
          <w:szCs w:val="16"/>
        </w:rPr>
        <w:t>Indicate the evaluation timeline used:</w:t>
      </w:r>
    </w:p>
    <w:p w14:paraId="7D77618A" w14:textId="3A3B87A2" w:rsidR="00596F83" w:rsidRPr="00781112" w:rsidRDefault="00596F83" w:rsidP="004369B2">
      <w:pPr>
        <w:rPr>
          <w:rFonts w:cs="Arial"/>
          <w:color w:val="000000" w:themeColor="text1"/>
          <w:szCs w:val="16"/>
        </w:rPr>
      </w:pPr>
      <w:r w:rsidRPr="00781112">
        <w:rPr>
          <w:rFonts w:cs="Arial"/>
          <w:color w:val="000000" w:themeColor="text1"/>
          <w:szCs w:val="16"/>
        </w:rPr>
        <w:t>The State established a timeline within which the evaluation must be conducted</w:t>
      </w:r>
    </w:p>
    <w:p w14:paraId="7D54DFB3" w14:textId="4948BCA9" w:rsidR="00E418E6" w:rsidRPr="00781112" w:rsidRDefault="00481536" w:rsidP="001011BB">
      <w:pPr>
        <w:tabs>
          <w:tab w:val="left" w:pos="751"/>
        </w:tabs>
        <w:rPr>
          <w:rFonts w:cs="Arial"/>
          <w:b/>
          <w:color w:val="000000" w:themeColor="text1"/>
          <w:szCs w:val="16"/>
        </w:rPr>
      </w:pPr>
      <w:r w:rsidRPr="00781112">
        <w:rPr>
          <w:rFonts w:cs="Arial"/>
          <w:b/>
          <w:color w:val="000000" w:themeColor="text1"/>
          <w:szCs w:val="16"/>
        </w:rPr>
        <w:t>What is the State’s timeline for initial evaluations? If the State-established timeframe provides for exceptions through State regulation or policy, describe cases falling within those exceptions and include in (b).</w:t>
      </w:r>
    </w:p>
    <w:p w14:paraId="396060FF" w14:textId="37C040FE" w:rsidR="00481536" w:rsidRPr="00781112" w:rsidRDefault="002B7490" w:rsidP="001011BB">
      <w:pPr>
        <w:tabs>
          <w:tab w:val="left" w:pos="751"/>
        </w:tabs>
        <w:rPr>
          <w:rFonts w:cs="Arial"/>
          <w:color w:val="000000" w:themeColor="text1"/>
          <w:szCs w:val="16"/>
        </w:rPr>
      </w:pPr>
      <w:r w:rsidRPr="00781112">
        <w:rPr>
          <w:rFonts w:cs="Arial"/>
          <w:color w:val="000000" w:themeColor="text1"/>
          <w:szCs w:val="16"/>
        </w:rPr>
        <w:t xml:space="preserve">The State used 60 school days for the evaluation time frame. </w:t>
      </w:r>
    </w:p>
    <w:p w14:paraId="7B602C87" w14:textId="77777777" w:rsidR="00596F83" w:rsidRPr="00781112" w:rsidRDefault="00030B45">
      <w:pPr>
        <w:rPr>
          <w:b/>
          <w:color w:val="000000" w:themeColor="text1"/>
        </w:rPr>
      </w:pPr>
      <w:r w:rsidRPr="00781112">
        <w:rPr>
          <w:b/>
          <w:color w:val="000000" w:themeColor="text1"/>
        </w:rPr>
        <w:t xml:space="preserve">What is the source of the data provided for this indicator? </w:t>
      </w:r>
    </w:p>
    <w:p w14:paraId="6EC5182D" w14:textId="7DE4D103" w:rsidR="00030B45" w:rsidRPr="00781112" w:rsidRDefault="002B7490" w:rsidP="004369B2">
      <w:pPr>
        <w:rPr>
          <w:iCs/>
          <w:color w:val="000000" w:themeColor="text1"/>
        </w:rPr>
      </w:pPr>
      <w:r w:rsidRPr="00781112">
        <w:rPr>
          <w:iCs/>
          <w:color w:val="000000" w:themeColor="text1"/>
        </w:rPr>
        <w:t>State database that includes data for the entire reporting year</w:t>
      </w:r>
    </w:p>
    <w:p w14:paraId="5C41E868" w14:textId="77777777" w:rsidR="00030B45" w:rsidRPr="00781112" w:rsidRDefault="00030B45"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41D2EA17" w14:textId="243E2564" w:rsidR="00326C0B" w:rsidRPr="00781112" w:rsidRDefault="002B7490" w:rsidP="00030B45">
      <w:pPr>
        <w:rPr>
          <w:rFonts w:cs="Arial"/>
          <w:color w:val="000000" w:themeColor="text1"/>
          <w:szCs w:val="16"/>
        </w:rPr>
      </w:pPr>
      <w:r w:rsidRPr="00781112">
        <w:rPr>
          <w:rFonts w:cs="Arial"/>
          <w:color w:val="000000" w:themeColor="text1"/>
          <w:szCs w:val="16"/>
        </w:rPr>
        <w:t xml:space="preserve">Districts/programs submit data about all initial evaluations they complete as part of the Consolidated Collection Child Find Report required by the State. </w:t>
      </w:r>
    </w:p>
    <w:p w14:paraId="4F981BFF" w14:textId="77777777" w:rsidR="00C86164" w:rsidRPr="00781112" w:rsidRDefault="00C86164" w:rsidP="00C86164">
      <w:pPr>
        <w:rPr>
          <w:rFonts w:cs="Arial"/>
          <w:b/>
          <w:color w:val="000000" w:themeColor="text1"/>
          <w:szCs w:val="16"/>
        </w:rPr>
      </w:pPr>
      <w:bookmarkStart w:id="69" w:name="_Toc381956339"/>
      <w:bookmarkStart w:id="70" w:name="_Toc384383357"/>
      <w:bookmarkStart w:id="71" w:name="_Toc392159325"/>
      <w:r w:rsidRPr="00781112">
        <w:rPr>
          <w:rFonts w:cs="Arial"/>
          <w:b/>
          <w:color w:val="000000" w:themeColor="text1"/>
          <w:szCs w:val="16"/>
        </w:rPr>
        <w:t>Provide additional information about this indicator (optional)</w:t>
      </w:r>
    </w:p>
    <w:p w14:paraId="4D7330D9" w14:textId="5E39C58C" w:rsidR="00326C0B" w:rsidRPr="00781112" w:rsidRDefault="00326C0B" w:rsidP="007D435F">
      <w:pPr>
        <w:rPr>
          <w:rFonts w:cs="Arial"/>
          <w:color w:val="000000" w:themeColor="text1"/>
          <w:szCs w:val="16"/>
        </w:rPr>
      </w:pPr>
    </w:p>
    <w:p w14:paraId="3221D503" w14:textId="43CA4FBA"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1PFFYNCFINDINGS"/>
      </w:tblPr>
      <w:tblGrid>
        <w:gridCol w:w="2650"/>
        <w:gridCol w:w="2780"/>
        <w:gridCol w:w="2656"/>
        <w:gridCol w:w="2704"/>
      </w:tblGrid>
      <w:tr w:rsidR="005C29F8" w:rsidRPr="00781112" w14:paraId="19F31341" w14:textId="77777777" w:rsidTr="008227D4">
        <w:trPr>
          <w:trHeight w:val="389"/>
          <w:tblHeader/>
        </w:trPr>
        <w:tc>
          <w:tcPr>
            <w:tcW w:w="1228" w:type="pct"/>
            <w:shd w:val="clear" w:color="auto" w:fill="auto"/>
            <w:vAlign w:val="bottom"/>
          </w:tcPr>
          <w:p w14:paraId="56F59E58"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27C8700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4F7EC97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4E04671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A7D6F00" w14:textId="77777777" w:rsidTr="008227D4">
        <w:tc>
          <w:tcPr>
            <w:tcW w:w="1228" w:type="pct"/>
            <w:shd w:val="clear" w:color="auto" w:fill="auto"/>
          </w:tcPr>
          <w:p w14:paraId="1D3665CE" w14:textId="31AA2004" w:rsidR="009A755E" w:rsidRPr="00781112" w:rsidRDefault="002B7490" w:rsidP="00A018D4">
            <w:pPr>
              <w:jc w:val="center"/>
              <w:rPr>
                <w:rFonts w:cs="Arial"/>
                <w:color w:val="000000" w:themeColor="text1"/>
                <w:szCs w:val="16"/>
              </w:rPr>
            </w:pPr>
            <w:r w:rsidRPr="00781112">
              <w:rPr>
                <w:rFonts w:cs="Arial"/>
                <w:color w:val="000000" w:themeColor="text1"/>
                <w:szCs w:val="16"/>
              </w:rPr>
              <w:t>484</w:t>
            </w:r>
          </w:p>
        </w:tc>
        <w:tc>
          <w:tcPr>
            <w:tcW w:w="1288" w:type="pct"/>
            <w:shd w:val="clear" w:color="auto" w:fill="auto"/>
          </w:tcPr>
          <w:p w14:paraId="4AEC445C" w14:textId="6396B491" w:rsidR="009A755E" w:rsidRPr="00781112" w:rsidRDefault="002B7490" w:rsidP="00A018D4">
            <w:pPr>
              <w:jc w:val="center"/>
              <w:rPr>
                <w:rFonts w:cs="Arial"/>
                <w:color w:val="000000" w:themeColor="text1"/>
                <w:szCs w:val="16"/>
              </w:rPr>
            </w:pPr>
            <w:r w:rsidRPr="00781112">
              <w:rPr>
                <w:rFonts w:cs="Arial"/>
                <w:color w:val="000000" w:themeColor="text1"/>
                <w:szCs w:val="16"/>
              </w:rPr>
              <w:t>484</w:t>
            </w:r>
          </w:p>
        </w:tc>
        <w:tc>
          <w:tcPr>
            <w:tcW w:w="1231" w:type="pct"/>
            <w:shd w:val="clear" w:color="auto" w:fill="auto"/>
          </w:tcPr>
          <w:p w14:paraId="650763EC" w14:textId="5B71F402"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67914127" w14:textId="0865F5F8"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49183A2D" w14:textId="436161EB" w:rsidR="009A755E" w:rsidRPr="00781112" w:rsidRDefault="00450F98" w:rsidP="004369B2">
      <w:pPr>
        <w:rPr>
          <w:color w:val="000000" w:themeColor="text1"/>
        </w:rPr>
      </w:pPr>
      <w:r>
        <w:rPr>
          <w:b/>
          <w:color w:val="000000" w:themeColor="text1"/>
        </w:rPr>
        <w:t>FFY 2022 Findings of Noncompliance Verified as Corrected</w:t>
      </w:r>
    </w:p>
    <w:p w14:paraId="417CAEC2" w14:textId="31AFF48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61965D8E" w14:textId="42E8D356" w:rsidR="00326C0B" w:rsidRPr="00781112" w:rsidRDefault="002B7490" w:rsidP="009A755E">
      <w:pPr>
        <w:rPr>
          <w:rFonts w:cs="Arial"/>
          <w:color w:val="000000" w:themeColor="text1"/>
          <w:szCs w:val="16"/>
        </w:rPr>
      </w:pPr>
      <w:r w:rsidRPr="00781112">
        <w:rPr>
          <w:rFonts w:cs="Arial"/>
          <w:color w:val="000000" w:themeColor="text1"/>
          <w:szCs w:val="16"/>
        </w:rPr>
        <w:t>For each of the LEAs with a finding of noncompliance from FFY 2022, the State verified that the LEA is correctly implementing the regulatory requirements in accordance with OSEP Memo 23-01. The SEA required each LEA with less than 100% compliance to review its policy, procedures, and practices for compliance with IDEA with an ODE district support specialist. In addition, for each LEA that completed a policy, procedure, and practice review, the LEA was required to submit subsequent data demonstrating that the LEA is completing 100% of evaluations for an identified period by the state required timeline. The State verified that each district with a finding of noncompliance from FFY 2022 was implementing the regulatory requirements with 100% compliance in accordance with OSEP Memo 23-01.</w:t>
      </w:r>
    </w:p>
    <w:p w14:paraId="51512AE8" w14:textId="46445215"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1D2403D9" w14:textId="1E0996F1" w:rsidR="00326C0B" w:rsidRPr="00781112" w:rsidRDefault="002B7490" w:rsidP="009A755E">
      <w:pPr>
        <w:rPr>
          <w:rFonts w:cs="Arial"/>
          <w:color w:val="000000" w:themeColor="text1"/>
          <w:szCs w:val="16"/>
        </w:rPr>
      </w:pPr>
      <w:r w:rsidRPr="00781112">
        <w:rPr>
          <w:rFonts w:cs="Arial"/>
          <w:color w:val="000000" w:themeColor="text1"/>
          <w:szCs w:val="16"/>
        </w:rPr>
        <w:t>The State verified the correction of noncompliance for the 484 individual instances of noncompliance. For each of the 484 reported individual incidents of noncompliance in FFY 2022, LEAs reported to the SEA the date when the evaluation was completed and therefore corrected. Of the 484 evaluations completed late, the state checked the date of completion to verify that each individual case of noncompliance was corrected within one year of the finding, in accordance with OSEP Memo 23-01.</w:t>
      </w:r>
    </w:p>
    <w:p w14:paraId="47B6C111" w14:textId="77777777" w:rsidR="008227D4" w:rsidRPr="00781112" w:rsidRDefault="008227D4" w:rsidP="004369B2">
      <w:pPr>
        <w:rPr>
          <w:color w:val="000000" w:themeColor="text1"/>
        </w:rPr>
      </w:pPr>
    </w:p>
    <w:p w14:paraId="3D219E0E" w14:textId="4B31479F"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1PPFFYNCFINDINGS"/>
      </w:tblPr>
      <w:tblGrid>
        <w:gridCol w:w="2132"/>
        <w:gridCol w:w="3153"/>
        <w:gridCol w:w="2842"/>
        <w:gridCol w:w="2663"/>
      </w:tblGrid>
      <w:tr w:rsidR="005C29F8" w:rsidRPr="00781112" w14:paraId="24C0CC8B" w14:textId="77777777" w:rsidTr="003968A6">
        <w:trPr>
          <w:tblHeader/>
        </w:trPr>
        <w:tc>
          <w:tcPr>
            <w:tcW w:w="988" w:type="pct"/>
            <w:shd w:val="clear" w:color="auto" w:fill="auto"/>
            <w:vAlign w:val="bottom"/>
          </w:tcPr>
          <w:p w14:paraId="4DB94990" w14:textId="41E221B0"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58480848" w14:textId="3C958544"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17" w:type="pct"/>
            <w:shd w:val="clear" w:color="auto" w:fill="auto"/>
            <w:vAlign w:val="bottom"/>
          </w:tcPr>
          <w:p w14:paraId="5E728C5E"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6B7FE6A9"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4D9969AD" w14:textId="77777777" w:rsidTr="003968A6">
        <w:tc>
          <w:tcPr>
            <w:tcW w:w="988" w:type="pct"/>
            <w:shd w:val="clear" w:color="auto" w:fill="auto"/>
          </w:tcPr>
          <w:p w14:paraId="1373C0BF" w14:textId="5ED00762" w:rsidR="009A755E" w:rsidRPr="00781112" w:rsidRDefault="002B7490" w:rsidP="00A018D4">
            <w:pPr>
              <w:jc w:val="center"/>
              <w:rPr>
                <w:rFonts w:cs="Arial"/>
                <w:color w:val="000000" w:themeColor="text1"/>
                <w:szCs w:val="16"/>
              </w:rPr>
            </w:pPr>
            <w:r w:rsidRPr="00781112">
              <w:rPr>
                <w:rFonts w:cs="Arial"/>
                <w:color w:val="000000" w:themeColor="text1"/>
                <w:szCs w:val="16"/>
              </w:rPr>
              <w:t>FFY 2021</w:t>
            </w:r>
          </w:p>
        </w:tc>
        <w:tc>
          <w:tcPr>
            <w:tcW w:w="1461" w:type="pct"/>
            <w:shd w:val="clear" w:color="auto" w:fill="auto"/>
          </w:tcPr>
          <w:p w14:paraId="5AB62777" w14:textId="29B5602C" w:rsidR="009A755E" w:rsidRPr="00781112" w:rsidRDefault="002B7490">
            <w:pPr>
              <w:jc w:val="center"/>
              <w:rPr>
                <w:rFonts w:cs="Arial"/>
                <w:noProof/>
                <w:color w:val="000000" w:themeColor="text1"/>
                <w:szCs w:val="16"/>
              </w:rPr>
            </w:pPr>
            <w:r w:rsidRPr="00781112">
              <w:rPr>
                <w:rFonts w:cs="Arial"/>
                <w:color w:val="000000" w:themeColor="text1"/>
                <w:szCs w:val="16"/>
              </w:rPr>
              <w:t>52</w:t>
            </w:r>
          </w:p>
        </w:tc>
        <w:tc>
          <w:tcPr>
            <w:tcW w:w="1317" w:type="pct"/>
            <w:shd w:val="clear" w:color="auto" w:fill="auto"/>
          </w:tcPr>
          <w:p w14:paraId="1914F665" w14:textId="53788CBE" w:rsidR="009A755E" w:rsidRPr="00781112" w:rsidRDefault="002B7490">
            <w:pPr>
              <w:jc w:val="center"/>
              <w:rPr>
                <w:rFonts w:cs="Arial"/>
                <w:noProof/>
                <w:color w:val="000000" w:themeColor="text1"/>
                <w:szCs w:val="16"/>
              </w:rPr>
            </w:pPr>
            <w:r w:rsidRPr="00781112">
              <w:rPr>
                <w:rFonts w:cs="Arial"/>
                <w:color w:val="000000" w:themeColor="text1"/>
                <w:szCs w:val="16"/>
              </w:rPr>
              <w:t>52</w:t>
            </w:r>
          </w:p>
        </w:tc>
        <w:tc>
          <w:tcPr>
            <w:tcW w:w="1234" w:type="pct"/>
            <w:shd w:val="clear" w:color="auto" w:fill="auto"/>
          </w:tcPr>
          <w:p w14:paraId="543D4553" w14:textId="411E0F5D"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1816F3D1" w14:textId="77777777" w:rsidTr="003968A6">
        <w:tc>
          <w:tcPr>
            <w:tcW w:w="988" w:type="pct"/>
            <w:shd w:val="clear" w:color="auto" w:fill="auto"/>
          </w:tcPr>
          <w:p w14:paraId="1177FA9A" w14:textId="73A2A90B" w:rsidR="009A755E" w:rsidRPr="00781112" w:rsidRDefault="00596F83" w:rsidP="00A018D4">
            <w:pPr>
              <w:jc w:val="center"/>
              <w:rPr>
                <w:rFonts w:cs="Arial"/>
                <w:color w:val="000000" w:themeColor="text1"/>
                <w:szCs w:val="16"/>
              </w:rPr>
            </w:pPr>
            <w:r w:rsidRPr="00781112">
              <w:rPr>
                <w:rFonts w:cs="Arial"/>
                <w:color w:val="000000" w:themeColor="text1"/>
                <w:szCs w:val="16"/>
              </w:rPr>
              <w:lastRenderedPageBreak/>
              <w:t>FFY 2020</w:t>
            </w:r>
          </w:p>
        </w:tc>
        <w:tc>
          <w:tcPr>
            <w:tcW w:w="1461" w:type="pct"/>
            <w:shd w:val="clear" w:color="auto" w:fill="auto"/>
          </w:tcPr>
          <w:p w14:paraId="42D596E0" w14:textId="4BE898FD" w:rsidR="009A755E" w:rsidRPr="00781112" w:rsidRDefault="00596F83">
            <w:pPr>
              <w:jc w:val="center"/>
              <w:rPr>
                <w:rFonts w:cs="Arial"/>
                <w:noProof/>
                <w:color w:val="000000" w:themeColor="text1"/>
                <w:szCs w:val="16"/>
              </w:rPr>
            </w:pPr>
            <w:r w:rsidRPr="00781112">
              <w:rPr>
                <w:rFonts w:cs="Arial"/>
                <w:color w:val="000000" w:themeColor="text1"/>
                <w:szCs w:val="16"/>
              </w:rPr>
              <w:t>145</w:t>
            </w:r>
          </w:p>
        </w:tc>
        <w:tc>
          <w:tcPr>
            <w:tcW w:w="1317" w:type="pct"/>
            <w:shd w:val="clear" w:color="auto" w:fill="auto"/>
          </w:tcPr>
          <w:p w14:paraId="1709DA4E" w14:textId="03D6E40F" w:rsidR="009A755E" w:rsidRPr="00781112" w:rsidRDefault="002B7490">
            <w:pPr>
              <w:jc w:val="center"/>
              <w:rPr>
                <w:rFonts w:cs="Arial"/>
                <w:noProof/>
                <w:color w:val="000000" w:themeColor="text1"/>
                <w:szCs w:val="16"/>
              </w:rPr>
            </w:pPr>
            <w:r w:rsidRPr="00781112">
              <w:rPr>
                <w:rFonts w:cs="Arial"/>
                <w:color w:val="000000" w:themeColor="text1"/>
                <w:szCs w:val="16"/>
              </w:rPr>
              <w:t>145</w:t>
            </w:r>
          </w:p>
        </w:tc>
        <w:tc>
          <w:tcPr>
            <w:tcW w:w="1234" w:type="pct"/>
            <w:shd w:val="clear" w:color="auto" w:fill="auto"/>
          </w:tcPr>
          <w:p w14:paraId="7008AE63" w14:textId="0E87CC18" w:rsidR="009A755E" w:rsidRPr="00781112" w:rsidRDefault="002B7490">
            <w:pPr>
              <w:jc w:val="center"/>
              <w:rPr>
                <w:rFonts w:cs="Arial"/>
                <w:noProof/>
                <w:color w:val="000000" w:themeColor="text1"/>
                <w:szCs w:val="16"/>
              </w:rPr>
            </w:pPr>
            <w:r w:rsidRPr="00781112">
              <w:rPr>
                <w:rFonts w:cs="Arial"/>
                <w:color w:val="000000" w:themeColor="text1"/>
                <w:szCs w:val="16"/>
              </w:rPr>
              <w:t>0</w:t>
            </w:r>
          </w:p>
        </w:tc>
      </w:tr>
      <w:tr w:rsidR="005C29F8" w:rsidRPr="00781112" w14:paraId="6B4A8AF5" w14:textId="77777777" w:rsidTr="003968A6">
        <w:tc>
          <w:tcPr>
            <w:tcW w:w="988" w:type="pct"/>
            <w:shd w:val="clear" w:color="auto" w:fill="auto"/>
          </w:tcPr>
          <w:p w14:paraId="43946979" w14:textId="506054A6" w:rsidR="009A755E" w:rsidRPr="00781112" w:rsidRDefault="009A755E" w:rsidP="00A018D4">
            <w:pPr>
              <w:jc w:val="center"/>
              <w:rPr>
                <w:rFonts w:cs="Arial"/>
                <w:color w:val="000000" w:themeColor="text1"/>
                <w:szCs w:val="16"/>
              </w:rPr>
            </w:pPr>
          </w:p>
        </w:tc>
        <w:tc>
          <w:tcPr>
            <w:tcW w:w="1461" w:type="pct"/>
            <w:shd w:val="clear" w:color="auto" w:fill="auto"/>
          </w:tcPr>
          <w:p w14:paraId="2F9F2AEA" w14:textId="4F1403DB" w:rsidR="009A755E" w:rsidRPr="00781112" w:rsidRDefault="009A755E">
            <w:pPr>
              <w:jc w:val="center"/>
              <w:rPr>
                <w:rFonts w:cs="Arial"/>
                <w:noProof/>
                <w:color w:val="000000" w:themeColor="text1"/>
                <w:szCs w:val="16"/>
              </w:rPr>
            </w:pPr>
          </w:p>
        </w:tc>
        <w:tc>
          <w:tcPr>
            <w:tcW w:w="1317" w:type="pct"/>
            <w:shd w:val="clear" w:color="auto" w:fill="auto"/>
          </w:tcPr>
          <w:p w14:paraId="083E1253" w14:textId="465F1687" w:rsidR="009A755E" w:rsidRPr="00781112" w:rsidRDefault="009A755E">
            <w:pPr>
              <w:jc w:val="center"/>
              <w:rPr>
                <w:rFonts w:cs="Arial"/>
                <w:noProof/>
                <w:color w:val="000000" w:themeColor="text1"/>
                <w:szCs w:val="16"/>
              </w:rPr>
            </w:pPr>
          </w:p>
        </w:tc>
        <w:tc>
          <w:tcPr>
            <w:tcW w:w="1234" w:type="pct"/>
            <w:shd w:val="clear" w:color="auto" w:fill="auto"/>
          </w:tcPr>
          <w:p w14:paraId="5051C049" w14:textId="54F55515" w:rsidR="009A755E" w:rsidRPr="00781112" w:rsidRDefault="009A755E">
            <w:pPr>
              <w:jc w:val="center"/>
              <w:rPr>
                <w:rFonts w:cs="Arial"/>
                <w:noProof/>
                <w:color w:val="000000" w:themeColor="text1"/>
                <w:szCs w:val="16"/>
              </w:rPr>
            </w:pPr>
          </w:p>
        </w:tc>
      </w:tr>
      <w:tr w:rsidR="009A0A1A" w:rsidRPr="00781112" w14:paraId="326044C9" w14:textId="77777777" w:rsidTr="003968A6">
        <w:tc>
          <w:tcPr>
            <w:tcW w:w="988" w:type="pct"/>
            <w:shd w:val="clear" w:color="auto" w:fill="auto"/>
          </w:tcPr>
          <w:p w14:paraId="4BA2A9AB" w14:textId="600C6311" w:rsidR="009A0A1A" w:rsidRPr="00781112" w:rsidRDefault="009A0A1A" w:rsidP="009A0A1A">
            <w:pPr>
              <w:jc w:val="center"/>
              <w:rPr>
                <w:rFonts w:cs="Arial"/>
                <w:color w:val="000000" w:themeColor="text1"/>
                <w:szCs w:val="16"/>
              </w:rPr>
            </w:pPr>
          </w:p>
        </w:tc>
        <w:tc>
          <w:tcPr>
            <w:tcW w:w="1461" w:type="pct"/>
            <w:shd w:val="clear" w:color="auto" w:fill="auto"/>
          </w:tcPr>
          <w:p w14:paraId="3A53DE5D" w14:textId="1B675A3C" w:rsidR="009A0A1A" w:rsidRPr="00781112" w:rsidRDefault="009A0A1A" w:rsidP="009A0A1A">
            <w:pPr>
              <w:jc w:val="center"/>
              <w:rPr>
                <w:rFonts w:cs="Arial"/>
                <w:color w:val="000000" w:themeColor="text1"/>
                <w:szCs w:val="16"/>
              </w:rPr>
            </w:pPr>
          </w:p>
        </w:tc>
        <w:tc>
          <w:tcPr>
            <w:tcW w:w="1317" w:type="pct"/>
            <w:shd w:val="clear" w:color="auto" w:fill="auto"/>
          </w:tcPr>
          <w:p w14:paraId="3E865613" w14:textId="390526A2" w:rsidR="009A0A1A" w:rsidRPr="00781112" w:rsidRDefault="009A0A1A" w:rsidP="009A0A1A">
            <w:pPr>
              <w:jc w:val="center"/>
              <w:rPr>
                <w:rFonts w:cs="Arial"/>
                <w:color w:val="000000" w:themeColor="text1"/>
                <w:szCs w:val="16"/>
              </w:rPr>
            </w:pPr>
          </w:p>
        </w:tc>
        <w:tc>
          <w:tcPr>
            <w:tcW w:w="1234" w:type="pct"/>
            <w:shd w:val="clear" w:color="auto" w:fill="auto"/>
          </w:tcPr>
          <w:p w14:paraId="42A0EAE6" w14:textId="26C893D7" w:rsidR="009A0A1A" w:rsidRPr="00781112" w:rsidRDefault="009A0A1A" w:rsidP="009A0A1A">
            <w:pPr>
              <w:jc w:val="center"/>
              <w:rPr>
                <w:rFonts w:cs="Arial"/>
                <w:color w:val="000000" w:themeColor="text1"/>
                <w:szCs w:val="16"/>
              </w:rPr>
            </w:pPr>
          </w:p>
        </w:tc>
      </w:tr>
      <w:tr w:rsidR="009A0A1A" w:rsidRPr="00781112" w14:paraId="1C2753A1" w14:textId="77777777" w:rsidTr="003968A6">
        <w:tc>
          <w:tcPr>
            <w:tcW w:w="988" w:type="pct"/>
            <w:shd w:val="clear" w:color="auto" w:fill="auto"/>
          </w:tcPr>
          <w:p w14:paraId="36D3903A" w14:textId="2B275116" w:rsidR="009A0A1A" w:rsidRPr="00781112" w:rsidRDefault="009A0A1A" w:rsidP="009A0A1A">
            <w:pPr>
              <w:jc w:val="center"/>
              <w:rPr>
                <w:rFonts w:cs="Arial"/>
                <w:color w:val="000000" w:themeColor="text1"/>
                <w:szCs w:val="16"/>
              </w:rPr>
            </w:pPr>
          </w:p>
        </w:tc>
        <w:tc>
          <w:tcPr>
            <w:tcW w:w="1461" w:type="pct"/>
            <w:shd w:val="clear" w:color="auto" w:fill="auto"/>
          </w:tcPr>
          <w:p w14:paraId="6D50DE81" w14:textId="31EC2B0E" w:rsidR="009A0A1A" w:rsidRPr="00781112" w:rsidRDefault="009A0A1A" w:rsidP="009A0A1A">
            <w:pPr>
              <w:jc w:val="center"/>
              <w:rPr>
                <w:rFonts w:cs="Arial"/>
                <w:color w:val="000000" w:themeColor="text1"/>
                <w:szCs w:val="16"/>
              </w:rPr>
            </w:pPr>
          </w:p>
        </w:tc>
        <w:tc>
          <w:tcPr>
            <w:tcW w:w="1317" w:type="pct"/>
            <w:shd w:val="clear" w:color="auto" w:fill="auto"/>
          </w:tcPr>
          <w:p w14:paraId="5274E81C" w14:textId="6539CB22" w:rsidR="009A0A1A" w:rsidRPr="00781112" w:rsidRDefault="009A0A1A" w:rsidP="009A0A1A">
            <w:pPr>
              <w:jc w:val="center"/>
              <w:rPr>
                <w:rFonts w:cs="Arial"/>
                <w:color w:val="000000" w:themeColor="text1"/>
                <w:szCs w:val="16"/>
              </w:rPr>
            </w:pPr>
          </w:p>
        </w:tc>
        <w:tc>
          <w:tcPr>
            <w:tcW w:w="1234" w:type="pct"/>
            <w:shd w:val="clear" w:color="auto" w:fill="auto"/>
          </w:tcPr>
          <w:p w14:paraId="69F94DB7" w14:textId="3F25747D" w:rsidR="009A0A1A" w:rsidRPr="00781112" w:rsidRDefault="009A0A1A" w:rsidP="009A0A1A">
            <w:pPr>
              <w:jc w:val="center"/>
              <w:rPr>
                <w:rFonts w:cs="Arial"/>
                <w:color w:val="000000" w:themeColor="text1"/>
                <w:szCs w:val="16"/>
              </w:rPr>
            </w:pPr>
          </w:p>
        </w:tc>
      </w:tr>
    </w:tbl>
    <w:p w14:paraId="0ED1B1B5" w14:textId="6853D71E" w:rsidR="009A221D" w:rsidRPr="00781112" w:rsidRDefault="009A221D" w:rsidP="004369B2">
      <w:pPr>
        <w:rPr>
          <w:rFonts w:cs="Arial"/>
          <w:b/>
          <w:bCs/>
          <w:color w:val="000000" w:themeColor="text1"/>
          <w:szCs w:val="16"/>
        </w:rPr>
      </w:pPr>
      <w:r w:rsidRPr="00781112">
        <w:rPr>
          <w:rFonts w:cs="Arial"/>
          <w:b/>
          <w:bCs/>
          <w:color w:val="000000" w:themeColor="text1"/>
          <w:szCs w:val="16"/>
        </w:rPr>
        <w:t>FFY 2021</w:t>
      </w:r>
    </w:p>
    <w:p w14:paraId="25C1BC10" w14:textId="12C6C3A0" w:rsidR="009A755E" w:rsidRPr="00781112" w:rsidRDefault="009A755E" w:rsidP="004369B2">
      <w:pPr>
        <w:rPr>
          <w:color w:val="000000" w:themeColor="text1"/>
        </w:rPr>
      </w:pPr>
      <w:r w:rsidRPr="00781112">
        <w:rPr>
          <w:b/>
          <w:color w:val="000000" w:themeColor="text1"/>
        </w:rPr>
        <w:t>Findings of Noncompliance Verified as Corrected</w:t>
      </w:r>
    </w:p>
    <w:p w14:paraId="14586A63" w14:textId="460DC4B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470A5E59" w14:textId="6E4B93E2" w:rsidR="00326C0B" w:rsidRPr="00781112" w:rsidRDefault="002B7490" w:rsidP="009A755E">
      <w:pPr>
        <w:rPr>
          <w:rFonts w:cs="Arial"/>
          <w:color w:val="000000" w:themeColor="text1"/>
          <w:szCs w:val="16"/>
        </w:rPr>
      </w:pPr>
      <w:r w:rsidRPr="00781112">
        <w:rPr>
          <w:rFonts w:cs="Arial"/>
          <w:color w:val="000000" w:themeColor="text1"/>
          <w:szCs w:val="16"/>
        </w:rPr>
        <w:t>For each of the LEAs with a finding of noncompliance from FFY 2021, the State verified that the LEA is correctly implementing the regulatory requirements in accordance with OSEP Memo 23-01. The SEA required each LEA with less than 100% compliance to review its policy, procedures, and practices for compliance with IDEA with an ODE district support specialist. In addition, for each LEA that completed a policy, procedure, and practice review, the LEA was required to submit subsequent data demonstrating that the LEA is completing 100% of evaluations for an identified period by the state required timeline. The State verified that each district with a finding of noncompliance from FFY 2021 was implementing the regulatory requirements with 100% compliance in accordance with OSEP Memo 23-01.</w:t>
      </w:r>
    </w:p>
    <w:p w14:paraId="1F4C53D6" w14:textId="19404A71"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4D6CFCBF" w14:textId="034DF97C" w:rsidR="00596F83" w:rsidRPr="00781112" w:rsidRDefault="00596F83" w:rsidP="009A755E">
      <w:pPr>
        <w:rPr>
          <w:rFonts w:cs="Arial"/>
          <w:color w:val="000000" w:themeColor="text1"/>
          <w:szCs w:val="16"/>
        </w:rPr>
      </w:pPr>
      <w:r w:rsidRPr="00781112">
        <w:rPr>
          <w:rFonts w:cs="Arial"/>
          <w:color w:val="000000" w:themeColor="text1"/>
          <w:szCs w:val="16"/>
        </w:rPr>
        <w:t>For each of the 52 reported individual incidents of noncompliance identified in FFY 2021, LEAs reported to the SEA the date when the evaluation was completed and therefore corrected. Of the 52 evaluations completed late, the state checked the date of completion to verify that each individual case of noncompliance was corrected within one year of the finding, in accordance with OSEP Memo 23-01.</w:t>
      </w:r>
    </w:p>
    <w:p w14:paraId="08634A47" w14:textId="0468EE5A" w:rsidR="009A221D" w:rsidRPr="00781112" w:rsidRDefault="009A221D" w:rsidP="009A221D">
      <w:pPr>
        <w:rPr>
          <w:rFonts w:cs="Arial"/>
          <w:b/>
          <w:bCs/>
          <w:color w:val="000000" w:themeColor="text1"/>
          <w:szCs w:val="16"/>
        </w:rPr>
      </w:pPr>
      <w:r w:rsidRPr="00781112">
        <w:rPr>
          <w:rFonts w:cs="Arial"/>
          <w:b/>
          <w:bCs/>
          <w:color w:val="000000" w:themeColor="text1"/>
          <w:szCs w:val="16"/>
        </w:rPr>
        <w:t>FFY 2020</w:t>
      </w:r>
    </w:p>
    <w:p w14:paraId="13EA08E3" w14:textId="60D8D7D4" w:rsidR="009A755E" w:rsidRPr="00781112" w:rsidRDefault="009A755E" w:rsidP="004369B2">
      <w:pPr>
        <w:rPr>
          <w:color w:val="000000" w:themeColor="text1"/>
        </w:rPr>
      </w:pPr>
      <w:r w:rsidRPr="00781112">
        <w:rPr>
          <w:b/>
          <w:color w:val="000000" w:themeColor="text1"/>
        </w:rPr>
        <w:t>Findings of Noncompliance Verified as Corrected</w:t>
      </w:r>
    </w:p>
    <w:p w14:paraId="1463A5DD" w14:textId="5274A019"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0FCB1F5A" w14:textId="4276DF9C" w:rsidR="00596F83" w:rsidRPr="00781112" w:rsidRDefault="00596F83" w:rsidP="00596F83">
      <w:pPr>
        <w:rPr>
          <w:rFonts w:cs="Arial"/>
          <w:color w:val="000000" w:themeColor="text1"/>
          <w:szCs w:val="16"/>
        </w:rPr>
      </w:pPr>
      <w:r w:rsidRPr="00781112">
        <w:rPr>
          <w:rFonts w:cs="Arial"/>
          <w:color w:val="000000" w:themeColor="text1"/>
          <w:szCs w:val="16"/>
        </w:rPr>
        <w:t>For each of the LEAs with a finding of noncompliance from FFY 2020, the State verified that the LEA is correctly implementing the regulatory requirements in accordance with OSEP Memo 23-01. The SEA required each LEA with less than 100% compliance to review its policy, procedures, and practices for compliance with IDEA with an ODE district support specialist. In addition, for each LEA that completed a policy, procedure, and practice review, the LEA was required to submit subsequent data demonstrating that the LEA is completing 100% of evaluations for an identified period by the state required timeline. The State verified that each district with a finding of noncompliance from FFY 2020 was implementing the regulatory requirements with 100% compliance in accordance with OSEP Memo 23-01.</w:t>
      </w:r>
    </w:p>
    <w:p w14:paraId="35436354" w14:textId="5F2ED11F"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619A77FA" w14:textId="4B745BDF" w:rsidR="00326C0B" w:rsidRPr="00781112" w:rsidRDefault="002B7490" w:rsidP="009A755E">
      <w:pPr>
        <w:rPr>
          <w:rFonts w:cs="Arial"/>
          <w:color w:val="000000" w:themeColor="text1"/>
          <w:szCs w:val="16"/>
        </w:rPr>
      </w:pPr>
      <w:r w:rsidRPr="00781112">
        <w:rPr>
          <w:rFonts w:cs="Arial"/>
          <w:color w:val="000000" w:themeColor="text1"/>
          <w:szCs w:val="16"/>
        </w:rPr>
        <w:br/>
        <w:t>For each of the 145 reported individual incidents of noncompliance identified in FFY 2020, LEAs reported to the SEA the date when the evaluation was completed and therefore corrected. Of the 145 evaluations completed late, the state checked the date of completion to verify that each individual case of noncompliance was corrected within one year of the finding, in accordance with OSEP Memo 23-01.</w:t>
      </w:r>
    </w:p>
    <w:p w14:paraId="3F4BF14E" w14:textId="77777777" w:rsidR="009A0A1A" w:rsidRPr="00781112" w:rsidRDefault="009A0A1A" w:rsidP="009A755E">
      <w:pPr>
        <w:rPr>
          <w:rFonts w:cs="Arial"/>
          <w:color w:val="000000" w:themeColor="text1"/>
          <w:szCs w:val="16"/>
        </w:rPr>
      </w:pPr>
    </w:p>
    <w:p w14:paraId="6AA9F004" w14:textId="407DFBC2" w:rsidR="004E2151" w:rsidRPr="00781112" w:rsidRDefault="00C22B92" w:rsidP="005B40C0">
      <w:pPr>
        <w:pStyle w:val="Heading3"/>
      </w:pPr>
      <w:r w:rsidRPr="00781112">
        <w:t>11</w:t>
      </w:r>
      <w:r w:rsidR="004838A4" w:rsidRPr="00781112">
        <w:t xml:space="preserve"> </w:t>
      </w:r>
      <w:r w:rsidRPr="00781112">
        <w:t xml:space="preserve">- </w:t>
      </w:r>
      <w:r w:rsidR="004E2151" w:rsidRPr="00781112">
        <w:t>Prior FFY Required Actions</w:t>
      </w:r>
    </w:p>
    <w:p w14:paraId="1469B26E" w14:textId="5BCE6CA0"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In addition, the State must demonstrate, in the FFY 2023 SPP/APR, that the remaining 145 uncorrected findings of noncompliance identified in FFY 2020 were corrected.   When reporting on the correction of noncompliance, the State must report, in the FFY 2023 SPP/APR, that it has verified that each LEA with findings of noncompliance identified in FFY 2022 and each LEA with remaining noncompliance identified in FFY 2020: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314020BE" w14:textId="77777777" w:rsidR="009F69E7" w:rsidRPr="00781112" w:rsidRDefault="009F69E7" w:rsidP="004E2151">
      <w:pPr>
        <w:rPr>
          <w:rFonts w:cs="Arial"/>
          <w:color w:val="000000" w:themeColor="text1"/>
          <w:szCs w:val="16"/>
        </w:rPr>
      </w:pPr>
    </w:p>
    <w:p w14:paraId="35EEEBCC" w14:textId="4F2647C3" w:rsidR="004E2151" w:rsidRPr="00781112" w:rsidRDefault="007639D7" w:rsidP="004369B2">
      <w:pPr>
        <w:rPr>
          <w:b/>
          <w:color w:val="000000" w:themeColor="text1"/>
        </w:rPr>
      </w:pPr>
      <w:r>
        <w:rPr>
          <w:b/>
          <w:color w:val="000000" w:themeColor="text1"/>
        </w:rPr>
        <w:t>Response to actions required in FFY 2022 SPP/APR</w:t>
      </w:r>
    </w:p>
    <w:p w14:paraId="29D8AFAD" w14:textId="6EBD882C" w:rsidR="004E2151" w:rsidRPr="00781112" w:rsidRDefault="002B7490" w:rsidP="004E2151">
      <w:pPr>
        <w:rPr>
          <w:rFonts w:cs="Arial"/>
          <w:color w:val="000000" w:themeColor="text1"/>
          <w:szCs w:val="16"/>
        </w:rPr>
      </w:pPr>
      <w:r w:rsidRPr="00781112">
        <w:rPr>
          <w:rFonts w:cs="Arial"/>
          <w:color w:val="000000" w:themeColor="text1"/>
          <w:szCs w:val="16"/>
        </w:rPr>
        <w:t xml:space="preserve">In the FFY 2023 submission, the State reported on the status of noncompliance correction identified in FFY 2022, as well as the correction of 145 findings from FFY 2020. In the FFY 2022 submission, the State mistakenly cited a 95% threshold for verifying correction of noncompliance; this was a typographical error, as 100% of noncompliance had been verified at the time of submission. The sections above detail (1) how subsequent correct implementation of regulatory requirements was verified through the review of additional student evaluation data and monitoring processes, and (2) how each instance of noncompliance was corrected in accordance with OSEP QA 23-01. </w:t>
      </w:r>
    </w:p>
    <w:p w14:paraId="1D3AFFE6" w14:textId="5250F151" w:rsidR="007F5071" w:rsidRPr="00781112" w:rsidRDefault="00C22B92" w:rsidP="005B40C0">
      <w:pPr>
        <w:pStyle w:val="Heading3"/>
      </w:pPr>
      <w:r w:rsidRPr="00781112">
        <w:t>11 - OSEP Response</w:t>
      </w:r>
    </w:p>
    <w:p w14:paraId="2479DA6D" w14:textId="3DE51C13" w:rsidR="00326C0B" w:rsidRPr="00781112" w:rsidRDefault="00326C0B" w:rsidP="00212954">
      <w:pPr>
        <w:rPr>
          <w:rFonts w:cs="Arial"/>
          <w:color w:val="000000" w:themeColor="text1"/>
          <w:szCs w:val="16"/>
        </w:rPr>
      </w:pPr>
    </w:p>
    <w:p w14:paraId="140652C1" w14:textId="064683E6" w:rsidR="007F5071" w:rsidRPr="00781112" w:rsidRDefault="00C22B92" w:rsidP="005B40C0">
      <w:pPr>
        <w:pStyle w:val="Heading3"/>
      </w:pPr>
      <w:r w:rsidRPr="00781112">
        <w:t>11 - Required Actions</w:t>
      </w:r>
    </w:p>
    <w:p w14:paraId="542023B0" w14:textId="425F5FF5" w:rsidR="00326C0B" w:rsidRPr="00781112" w:rsidRDefault="002B7490" w:rsidP="00212954">
      <w:pPr>
        <w:rPr>
          <w:rFonts w:cs="Arial"/>
          <w:color w:val="000000" w:themeColor="text1"/>
          <w:szCs w:val="16"/>
        </w:rPr>
      </w:pPr>
      <w:r w:rsidRPr="00781112">
        <w:rPr>
          <w:rFonts w:cs="Arial"/>
          <w:color w:val="000000" w:themeColor="text1"/>
          <w:szCs w:val="16"/>
        </w:rPr>
        <w:t xml:space="preserve">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w:t>
      </w:r>
      <w:r w:rsidRPr="00781112">
        <w:rPr>
          <w:rFonts w:cs="Arial"/>
          <w:color w:val="000000" w:themeColor="text1"/>
          <w:szCs w:val="16"/>
        </w:rPr>
        <w:lastRenderedPageBreak/>
        <w:t>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529C4C74"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5C7C90D" w14:textId="1ACF121A" w:rsidR="00D03701" w:rsidRPr="00781112" w:rsidRDefault="00D03701" w:rsidP="005B40C0">
      <w:pPr>
        <w:pStyle w:val="Heading2"/>
      </w:pPr>
      <w:r w:rsidRPr="00781112">
        <w:rPr>
          <w:color w:val="000000" w:themeColor="text1"/>
          <w:sz w:val="22"/>
        </w:rPr>
        <w:lastRenderedPageBreak/>
        <w:t>Indicator 12: Early Childhood Transition</w:t>
      </w:r>
      <w:bookmarkEnd w:id="69"/>
      <w:bookmarkEnd w:id="70"/>
      <w:bookmarkEnd w:id="71"/>
    </w:p>
    <w:p w14:paraId="435B75C0" w14:textId="5FEEFEAC" w:rsidR="00652135" w:rsidRPr="002C274F" w:rsidRDefault="00652135" w:rsidP="002C274F">
      <w:pPr>
        <w:rPr>
          <w:b/>
          <w:bCs/>
          <w:sz w:val="20"/>
          <w:szCs w:val="20"/>
        </w:rPr>
      </w:pPr>
      <w:r w:rsidRPr="002C274F">
        <w:rPr>
          <w:b/>
          <w:bCs/>
          <w:sz w:val="20"/>
          <w:szCs w:val="20"/>
        </w:rPr>
        <w:t>Instructions and Measurement</w:t>
      </w:r>
    </w:p>
    <w:p w14:paraId="6C78EC4F" w14:textId="77777777" w:rsidR="001F3A65" w:rsidRPr="00781112" w:rsidRDefault="001F3A65" w:rsidP="009447A3">
      <w:pPr>
        <w:rPr>
          <w:rFonts w:cs="Arial"/>
          <w:color w:val="000000" w:themeColor="text1"/>
          <w:szCs w:val="16"/>
        </w:rPr>
      </w:pPr>
      <w:bookmarkStart w:id="72" w:name="_Toc384383358"/>
      <w:bookmarkStart w:id="73" w:name="_Toc392159326"/>
      <w:r w:rsidRPr="00781112">
        <w:rPr>
          <w:rFonts w:cs="Arial"/>
          <w:b/>
          <w:color w:val="000000" w:themeColor="text1"/>
          <w:szCs w:val="16"/>
        </w:rPr>
        <w:t>Monitoring Priorit</w:t>
      </w:r>
      <w:r w:rsidRPr="00781112">
        <w:rPr>
          <w:rFonts w:cs="Arial"/>
          <w:color w:val="000000" w:themeColor="text1"/>
          <w:szCs w:val="16"/>
        </w:rPr>
        <w:t>y: Effective General Supervision Part B / Effective Transition</w:t>
      </w:r>
    </w:p>
    <w:p w14:paraId="5BB6E6C8" w14:textId="77777777" w:rsidR="00704E6A"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children referred by Part C prior to age 3, who are found eligible for Part B, and who have an IEP developed and implemented by their third birthdays. </w:t>
      </w:r>
    </w:p>
    <w:p w14:paraId="760E84D0" w14:textId="3B0C2366" w:rsidR="001F3A65" w:rsidRPr="00781112" w:rsidRDefault="001F3A65" w:rsidP="009447A3">
      <w:pPr>
        <w:rPr>
          <w:rFonts w:cs="Arial"/>
          <w:color w:val="000000" w:themeColor="text1"/>
          <w:szCs w:val="16"/>
        </w:rPr>
      </w:pPr>
      <w:r w:rsidRPr="00781112">
        <w:rPr>
          <w:rFonts w:cs="Arial"/>
          <w:color w:val="000000" w:themeColor="text1"/>
          <w:szCs w:val="16"/>
        </w:rPr>
        <w:t>(20 U.S.C. 1416(a)(3)(B))</w:t>
      </w:r>
    </w:p>
    <w:p w14:paraId="10C4B518" w14:textId="77777777" w:rsidR="00704E6A" w:rsidRPr="00781112" w:rsidRDefault="00704E6A" w:rsidP="004369B2">
      <w:pPr>
        <w:rPr>
          <w:color w:val="000000" w:themeColor="text1"/>
        </w:rPr>
      </w:pPr>
      <w:r w:rsidRPr="00781112">
        <w:rPr>
          <w:b/>
          <w:color w:val="000000" w:themeColor="text1"/>
        </w:rPr>
        <w:t>Data Source</w:t>
      </w:r>
    </w:p>
    <w:p w14:paraId="65642578" w14:textId="09D10273" w:rsidR="00704E6A" w:rsidRPr="00781112" w:rsidRDefault="00704E6A"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DFE5EEF" w14:textId="77777777" w:rsidR="00704E6A" w:rsidRPr="00781112" w:rsidRDefault="00704E6A" w:rsidP="004369B2">
      <w:pPr>
        <w:rPr>
          <w:color w:val="000000" w:themeColor="text1"/>
        </w:rPr>
      </w:pPr>
      <w:r w:rsidRPr="00781112">
        <w:rPr>
          <w:b/>
          <w:color w:val="000000" w:themeColor="text1"/>
        </w:rPr>
        <w:t>Measurement</w:t>
      </w:r>
    </w:p>
    <w:p w14:paraId="577779AD" w14:textId="51863F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a. # of children who have been served in Part C and referred to Part B for Part B eligibility determination.</w:t>
      </w:r>
    </w:p>
    <w:p w14:paraId="1D83C19C" w14:textId="0381C17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b. # of those referred determined to be NOT eligible and whose eligibility was determined prior to their third birthdays.</w:t>
      </w:r>
    </w:p>
    <w:p w14:paraId="62A73664" w14:textId="3A860DF6"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c. # of those found eligible who have an IEP developed and implemented by their third birthdays.</w:t>
      </w:r>
    </w:p>
    <w:p w14:paraId="43DE876C" w14:textId="58ABBAA9"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d. # of children for whom parent refusal to provide consent caused delays in evaluation or initial services or to whom exceptions under 34 CFR </w:t>
      </w:r>
      <w:r w:rsidRPr="00781112">
        <w:rPr>
          <w:rFonts w:eastAsia="Times New Roman" w:cs="Arial"/>
          <w:color w:val="000000" w:themeColor="text1"/>
          <w:szCs w:val="16"/>
        </w:rPr>
        <w:tab/>
      </w:r>
      <w:r w:rsidR="00704E6A" w:rsidRPr="00781112">
        <w:rPr>
          <w:rFonts w:eastAsia="Times New Roman" w:cs="Arial"/>
          <w:color w:val="000000" w:themeColor="text1"/>
          <w:szCs w:val="16"/>
        </w:rPr>
        <w:t>§300.301(d) applied.</w:t>
      </w:r>
    </w:p>
    <w:p w14:paraId="4AFE260E" w14:textId="6A26A1CE" w:rsidR="00704E6A" w:rsidRPr="00781112" w:rsidRDefault="00A90E71" w:rsidP="006A01BD">
      <w:pPr>
        <w:spacing w:before="0" w:after="0"/>
        <w:rPr>
          <w:rFonts w:eastAsia="Times New Roman" w:cs="Arial"/>
          <w:color w:val="000000" w:themeColor="text1"/>
          <w:szCs w:val="16"/>
        </w:rPr>
      </w:pPr>
      <w:r w:rsidRPr="00781112">
        <w:rPr>
          <w:rFonts w:eastAsia="Times New Roman" w:cs="Arial"/>
          <w:color w:val="000000" w:themeColor="text1"/>
          <w:szCs w:val="16"/>
        </w:rPr>
        <w:tab/>
        <w:t>e. # of children determined to be eligible for early intervention services under Part C less than 90 days before their third birthdays.</w:t>
      </w:r>
    </w:p>
    <w:p w14:paraId="1306CF8A" w14:textId="7D69EBBD" w:rsidR="00704E6A" w:rsidRPr="00781112" w:rsidRDefault="00A90E71" w:rsidP="00A90E71">
      <w:pPr>
        <w:spacing w:before="0" w:after="0"/>
        <w:rPr>
          <w:rFonts w:eastAsia="Times New Roman" w:cs="Arial"/>
          <w:color w:val="000000" w:themeColor="text1"/>
          <w:szCs w:val="16"/>
        </w:rPr>
      </w:pPr>
      <w:r w:rsidRPr="00781112">
        <w:rPr>
          <w:rFonts w:eastAsia="Times New Roman" w:cs="Arial"/>
          <w:color w:val="000000" w:themeColor="text1"/>
          <w:szCs w:val="16"/>
        </w:rPr>
        <w:tab/>
        <w:t xml:space="preserve">f. # of children whose parents chose to continue early intervention services beyond the child’s third birthday through a State’s policy under 34 </w:t>
      </w:r>
      <w:r w:rsidRPr="00781112">
        <w:rPr>
          <w:rFonts w:eastAsia="Times New Roman" w:cs="Arial"/>
          <w:color w:val="000000" w:themeColor="text1"/>
          <w:szCs w:val="16"/>
        </w:rPr>
        <w:tab/>
      </w:r>
      <w:r w:rsidR="00704E6A" w:rsidRPr="00781112">
        <w:rPr>
          <w:rFonts w:eastAsia="Times New Roman" w:cs="Arial"/>
          <w:color w:val="000000" w:themeColor="text1"/>
          <w:szCs w:val="16"/>
        </w:rPr>
        <w:t>CFR §303.211 or a similar State option.</w:t>
      </w:r>
    </w:p>
    <w:p w14:paraId="13DB13F0" w14:textId="77777777" w:rsidR="00A90E71" w:rsidRPr="00781112" w:rsidRDefault="00A90E71" w:rsidP="006A01BD">
      <w:pPr>
        <w:spacing w:before="0" w:after="0"/>
        <w:rPr>
          <w:rFonts w:eastAsia="Times New Roman" w:cs="Arial"/>
          <w:color w:val="000000" w:themeColor="text1"/>
          <w:szCs w:val="16"/>
        </w:rPr>
      </w:pPr>
    </w:p>
    <w:p w14:paraId="07549C8E" w14:textId="77777777" w:rsidR="00704E6A" w:rsidRPr="00781112" w:rsidRDefault="00704E6A" w:rsidP="006A01BD">
      <w:pPr>
        <w:spacing w:before="0" w:after="210"/>
        <w:rPr>
          <w:rFonts w:eastAsia="Times New Roman" w:cs="Arial"/>
          <w:color w:val="000000" w:themeColor="text1"/>
          <w:szCs w:val="16"/>
        </w:rPr>
      </w:pPr>
      <w:r w:rsidRPr="00781112">
        <w:rPr>
          <w:rFonts w:eastAsia="Times New Roman" w:cs="Arial"/>
          <w:color w:val="000000" w:themeColor="text1"/>
          <w:szCs w:val="16"/>
        </w:rPr>
        <w:t>Account for children included in (a), but not included in b, c, d, e, or f. Indicate the range of days beyond the third birthday when eligibility was determined and the IEP developed, and the reasons for the delays.</w:t>
      </w:r>
    </w:p>
    <w:p w14:paraId="5406A8A2" w14:textId="2622A063" w:rsidR="00704E6A" w:rsidRPr="00781112" w:rsidRDefault="00704E6A" w:rsidP="009447A3">
      <w:pPr>
        <w:spacing w:before="0" w:after="210"/>
        <w:rPr>
          <w:rFonts w:eastAsia="Times New Roman" w:cs="Arial"/>
          <w:color w:val="000000" w:themeColor="text1"/>
          <w:szCs w:val="16"/>
        </w:rPr>
      </w:pPr>
      <w:r w:rsidRPr="00781112">
        <w:rPr>
          <w:rFonts w:eastAsia="Times New Roman" w:cs="Arial"/>
          <w:color w:val="000000" w:themeColor="text1"/>
          <w:szCs w:val="16"/>
        </w:rPr>
        <w:t>Percent = [(c) divided by (a - b - d - e - f)] times 100.</w:t>
      </w:r>
    </w:p>
    <w:p w14:paraId="568E2452" w14:textId="77777777" w:rsidR="00704E6A" w:rsidRPr="00781112" w:rsidRDefault="00704E6A" w:rsidP="004369B2">
      <w:pPr>
        <w:rPr>
          <w:color w:val="000000" w:themeColor="text1"/>
        </w:rPr>
      </w:pPr>
      <w:r w:rsidRPr="00781112">
        <w:rPr>
          <w:b/>
          <w:color w:val="000000" w:themeColor="text1"/>
        </w:rPr>
        <w:t>Instructions</w:t>
      </w:r>
    </w:p>
    <w:p w14:paraId="26144B56" w14:textId="77777777" w:rsidR="00704E6A" w:rsidRPr="00781112" w:rsidRDefault="00704E6A"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739AF8C8" w14:textId="7B1DF3FC" w:rsidR="00704E6A" w:rsidRPr="00781112" w:rsidRDefault="00704E6A"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216DD8AC" w14:textId="77777777" w:rsidR="001F165D" w:rsidRPr="00781112" w:rsidRDefault="001F165D" w:rsidP="001F165D">
      <w:pPr>
        <w:rPr>
          <w:rFonts w:cs="Arial"/>
          <w:color w:val="000000" w:themeColor="text1"/>
          <w:szCs w:val="16"/>
        </w:rPr>
      </w:pPr>
      <w:r w:rsidRPr="00781112">
        <w:rPr>
          <w:rFonts w:cs="Arial"/>
          <w:color w:val="000000" w:themeColor="text1"/>
          <w:szCs w:val="16"/>
        </w:rPr>
        <w:t>Targets must be 100%.</w:t>
      </w:r>
    </w:p>
    <w:p w14:paraId="1B4708FE" w14:textId="1629AEED" w:rsidR="00704E6A" w:rsidRPr="00781112" w:rsidRDefault="00BA70F9" w:rsidP="00286BDF">
      <w:pPr>
        <w:rPr>
          <w:rFonts w:cs="Arial"/>
          <w:color w:val="000000" w:themeColor="text1"/>
          <w:szCs w:val="16"/>
        </w:rPr>
      </w:pPr>
      <w:r w:rsidRPr="00781112">
        <w:rPr>
          <w:rFonts w:cs="Arial"/>
          <w:color w:val="000000" w:themeColor="text1"/>
          <w:szCs w:val="16"/>
        </w:rPr>
        <w:t>Category f is to be used only by States that have an approved policy for providing parents the option of continuing early intervention services beyond the child’s third birthday under 34 CFR §303.211 or a similar State option.</w:t>
      </w:r>
    </w:p>
    <w:p w14:paraId="5D5B86D4" w14:textId="4725FE4E" w:rsidR="00704E6A" w:rsidRPr="00781112" w:rsidRDefault="00704E6A"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74" w:name="_Hlk150864384"/>
      <w:r w:rsidR="005F55E8" w:rsidRPr="005F55E8">
        <w:rPr>
          <w:rFonts w:cs="Arial"/>
          <w:color w:val="000000" w:themeColor="text1"/>
          <w:szCs w:val="16"/>
        </w:rPr>
        <w:t>child-specific and regulatory/systemic</w:t>
      </w:r>
      <w:r w:rsidR="005F55E8">
        <w:rPr>
          <w:sz w:val="20"/>
          <w:szCs w:val="14"/>
        </w:rPr>
        <w:t xml:space="preserve"> </w:t>
      </w:r>
      <w:bookmarkEnd w:id="74"/>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B505E64" w14:textId="179FD8E1" w:rsidR="00704E6A"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6A39D7E8"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182D7424" w14:textId="77777777" w:rsidR="00655489" w:rsidRPr="00781112" w:rsidRDefault="00655489" w:rsidP="00286BDF">
      <w:pPr>
        <w:rPr>
          <w:rFonts w:cs="Arial"/>
          <w:color w:val="000000" w:themeColor="text1"/>
          <w:szCs w:val="16"/>
        </w:rPr>
      </w:pPr>
    </w:p>
    <w:p w14:paraId="79824C1D" w14:textId="3C301685" w:rsidR="00FE7D29" w:rsidRPr="00781112" w:rsidRDefault="00056350" w:rsidP="005B40C0">
      <w:pPr>
        <w:pStyle w:val="Heading3"/>
      </w:pPr>
      <w:bookmarkStart w:id="75" w:name="_Toc384383359"/>
      <w:bookmarkStart w:id="76" w:name="_Toc392159327"/>
      <w:bookmarkEnd w:id="72"/>
      <w:bookmarkEnd w:id="73"/>
      <w:r w:rsidRPr="00781112">
        <w:t>12</w:t>
      </w:r>
      <w:r w:rsidR="004838A4" w:rsidRPr="00781112">
        <w:t xml:space="preserve"> </w:t>
      </w:r>
      <w:r w:rsidRPr="00781112">
        <w:t xml:space="preserve">- </w:t>
      </w:r>
      <w:r w:rsidR="00211617" w:rsidRPr="00781112">
        <w:t>Indicator Data</w:t>
      </w:r>
    </w:p>
    <w:p w14:paraId="0150EC4C" w14:textId="77777777" w:rsidR="0091098C" w:rsidRPr="00781112" w:rsidRDefault="0091098C" w:rsidP="004369B2">
      <w:pPr>
        <w:rPr>
          <w:color w:val="000000" w:themeColor="text1"/>
        </w:rPr>
      </w:pPr>
      <w:r w:rsidRPr="00781112">
        <w:rPr>
          <w:b/>
          <w:color w:val="000000" w:themeColor="text1"/>
        </w:rPr>
        <w:t>Not Applicable</w:t>
      </w:r>
    </w:p>
    <w:p w14:paraId="1844E5CA" w14:textId="6EC3A331" w:rsidR="00A5601C" w:rsidRPr="00781112" w:rsidRDefault="005D604C">
      <w:pPr>
        <w:rPr>
          <w:b/>
          <w:color w:val="000000" w:themeColor="text1"/>
        </w:rPr>
      </w:pPr>
      <w:r w:rsidRPr="00781112">
        <w:rPr>
          <w:b/>
          <w:color w:val="000000" w:themeColor="text1"/>
        </w:rPr>
        <w:t>Select yes if this indicator is not applicable.</w:t>
      </w:r>
    </w:p>
    <w:p w14:paraId="5B7EBB05" w14:textId="76B0BD88" w:rsidR="00043AC9" w:rsidRPr="00781112" w:rsidRDefault="00043AC9" w:rsidP="004369B2">
      <w:pPr>
        <w:rPr>
          <w:rFonts w:cs="Arial"/>
          <w:color w:val="000000" w:themeColor="text1"/>
          <w:szCs w:val="16"/>
        </w:rPr>
      </w:pPr>
      <w:r w:rsidRPr="00781112">
        <w:rPr>
          <w:rFonts w:cs="Arial"/>
          <w:color w:val="000000" w:themeColor="text1"/>
          <w:szCs w:val="16"/>
        </w:rPr>
        <w:t>NO</w:t>
      </w:r>
    </w:p>
    <w:p w14:paraId="0D26312C" w14:textId="77777777" w:rsidR="00C50290" w:rsidRPr="00781112" w:rsidRDefault="00C50290" w:rsidP="004369B2">
      <w:pPr>
        <w:rPr>
          <w:color w:val="000000" w:themeColor="text1"/>
        </w:rPr>
      </w:pPr>
    </w:p>
    <w:p w14:paraId="71DDF5C0" w14:textId="3F9EB38B"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2BASELINEDATA"/>
      </w:tblPr>
      <w:tblGrid>
        <w:gridCol w:w="1797"/>
        <w:gridCol w:w="1798"/>
      </w:tblGrid>
      <w:tr w:rsidR="001875AF" w:rsidRPr="00781112" w14:paraId="056D9953" w14:textId="77777777" w:rsidTr="00123D76">
        <w:trPr>
          <w:trHeight w:val="311"/>
          <w:tblHeader/>
        </w:trPr>
        <w:tc>
          <w:tcPr>
            <w:tcW w:w="1797" w:type="dxa"/>
          </w:tcPr>
          <w:p w14:paraId="3B806594" w14:textId="77777777" w:rsidR="001875AF" w:rsidRPr="00781112" w:rsidRDefault="001875AF" w:rsidP="00123D76">
            <w:pPr>
              <w:jc w:val="center"/>
              <w:rPr>
                <w:b/>
                <w:color w:val="000000" w:themeColor="text1"/>
              </w:rPr>
            </w:pPr>
            <w:r w:rsidRPr="00781112">
              <w:rPr>
                <w:rFonts w:cs="Arial"/>
                <w:b/>
                <w:color w:val="000000" w:themeColor="text1"/>
                <w:szCs w:val="16"/>
              </w:rPr>
              <w:t>Baseline Year</w:t>
            </w:r>
          </w:p>
        </w:tc>
        <w:tc>
          <w:tcPr>
            <w:tcW w:w="1798" w:type="dxa"/>
          </w:tcPr>
          <w:p w14:paraId="47C5AC3E" w14:textId="77777777" w:rsidR="001875AF" w:rsidRPr="00781112" w:rsidRDefault="001875AF" w:rsidP="00123D76">
            <w:pPr>
              <w:jc w:val="center"/>
              <w:rPr>
                <w:b/>
                <w:color w:val="000000" w:themeColor="text1"/>
              </w:rPr>
            </w:pPr>
            <w:r w:rsidRPr="00781112">
              <w:rPr>
                <w:b/>
                <w:color w:val="000000" w:themeColor="text1"/>
              </w:rPr>
              <w:t>Baseline Data</w:t>
            </w:r>
          </w:p>
        </w:tc>
      </w:tr>
      <w:tr w:rsidR="001875AF" w:rsidRPr="00781112" w14:paraId="693B925B" w14:textId="77777777" w:rsidTr="00123D76">
        <w:trPr>
          <w:trHeight w:val="311"/>
        </w:trPr>
        <w:tc>
          <w:tcPr>
            <w:tcW w:w="1797" w:type="dxa"/>
            <w:vAlign w:val="center"/>
          </w:tcPr>
          <w:p w14:paraId="589FAD9D" w14:textId="6C47315C" w:rsidR="001875AF" w:rsidRPr="00781112" w:rsidRDefault="001875AF" w:rsidP="00123D76">
            <w:pPr>
              <w:jc w:val="center"/>
              <w:rPr>
                <w:bCs/>
                <w:color w:val="000000" w:themeColor="text1"/>
              </w:rPr>
            </w:pPr>
            <w:r w:rsidRPr="00781112">
              <w:rPr>
                <w:bCs/>
                <w:color w:val="000000" w:themeColor="text1"/>
              </w:rPr>
              <w:t>2005</w:t>
            </w:r>
          </w:p>
        </w:tc>
        <w:tc>
          <w:tcPr>
            <w:tcW w:w="1798" w:type="dxa"/>
            <w:vAlign w:val="center"/>
          </w:tcPr>
          <w:p w14:paraId="00D43D2D" w14:textId="0C3ED28A" w:rsidR="001875AF" w:rsidRPr="00781112" w:rsidRDefault="001875AF" w:rsidP="00123D76">
            <w:pPr>
              <w:jc w:val="center"/>
              <w:rPr>
                <w:bCs/>
                <w:color w:val="000000" w:themeColor="text1"/>
              </w:rPr>
            </w:pPr>
            <w:r w:rsidRPr="00781112">
              <w:rPr>
                <w:bCs/>
                <w:color w:val="000000" w:themeColor="text1"/>
              </w:rPr>
              <w:t>97.00%</w:t>
            </w:r>
          </w:p>
        </w:tc>
      </w:tr>
    </w:tbl>
    <w:p w14:paraId="465AB33D" w14:textId="77777777" w:rsidR="001875AF" w:rsidRPr="00781112" w:rsidRDefault="001875AF"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HISTDATA"/>
      </w:tblPr>
      <w:tblGrid>
        <w:gridCol w:w="1798"/>
        <w:gridCol w:w="1798"/>
        <w:gridCol w:w="1798"/>
        <w:gridCol w:w="1798"/>
        <w:gridCol w:w="1798"/>
        <w:gridCol w:w="1800"/>
      </w:tblGrid>
      <w:tr w:rsidR="005C29F8" w:rsidRPr="00781112" w14:paraId="641F8356" w14:textId="77777777" w:rsidTr="005F2FF9">
        <w:trPr>
          <w:trHeight w:val="350"/>
        </w:trPr>
        <w:tc>
          <w:tcPr>
            <w:tcW w:w="833" w:type="pct"/>
            <w:tcBorders>
              <w:bottom w:val="single" w:sz="4" w:space="0" w:color="auto"/>
            </w:tcBorders>
            <w:shd w:val="clear" w:color="auto" w:fill="auto"/>
          </w:tcPr>
          <w:bookmarkEnd w:id="75"/>
          <w:bookmarkEnd w:id="76"/>
          <w:p w14:paraId="5D9A28F2"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E21A227" w14:textId="61889525"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6B56B4FE" w14:textId="34D3DC5E"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786A53CE" w14:textId="3A94FF3D"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221DF675" w14:textId="00A1F14E"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72849A47" w14:textId="21327CD6"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1A3B7AC8" w14:textId="77777777" w:rsidTr="005F2FF9">
        <w:trPr>
          <w:trHeight w:val="357"/>
        </w:trPr>
        <w:tc>
          <w:tcPr>
            <w:tcW w:w="833" w:type="pct"/>
            <w:shd w:val="clear" w:color="auto" w:fill="auto"/>
          </w:tcPr>
          <w:p w14:paraId="27FE69AA" w14:textId="697900D5"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6628560E" w14:textId="0BC4570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47A32E0" w14:textId="064AD14E"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EFE8268" w14:textId="7F4C4E30"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14DDB11E" w14:textId="2D6071C3"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17E07D81" w14:textId="67F91616" w:rsidR="009447A3" w:rsidRPr="00781112" w:rsidRDefault="00B16A26" w:rsidP="003A4027">
            <w:pPr>
              <w:jc w:val="center"/>
              <w:rPr>
                <w:rFonts w:cs="Arial"/>
                <w:color w:val="000000" w:themeColor="text1"/>
                <w:szCs w:val="16"/>
              </w:rPr>
            </w:pPr>
            <w:r w:rsidRPr="00781112">
              <w:rPr>
                <w:rFonts w:cs="Arial"/>
                <w:color w:val="000000" w:themeColor="text1"/>
                <w:szCs w:val="16"/>
              </w:rPr>
              <w:t>100%</w:t>
            </w:r>
          </w:p>
        </w:tc>
      </w:tr>
      <w:tr w:rsidR="005C29F8" w:rsidRPr="00781112" w14:paraId="6BA24638" w14:textId="77777777" w:rsidTr="005F2FF9">
        <w:trPr>
          <w:trHeight w:val="85"/>
        </w:trPr>
        <w:tc>
          <w:tcPr>
            <w:tcW w:w="833" w:type="pct"/>
            <w:shd w:val="clear" w:color="auto" w:fill="auto"/>
          </w:tcPr>
          <w:p w14:paraId="76E217FB"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ABEE368" w14:textId="7DA2F686" w:rsidR="009447A3" w:rsidRPr="00781112" w:rsidRDefault="002B7490" w:rsidP="003A4027">
            <w:pPr>
              <w:jc w:val="center"/>
              <w:rPr>
                <w:rFonts w:cs="Arial"/>
                <w:color w:val="000000" w:themeColor="text1"/>
                <w:szCs w:val="16"/>
              </w:rPr>
            </w:pPr>
            <w:r w:rsidRPr="00781112">
              <w:rPr>
                <w:rFonts w:cs="Arial"/>
                <w:color w:val="000000" w:themeColor="text1"/>
                <w:szCs w:val="16"/>
              </w:rPr>
              <w:t>99.33%</w:t>
            </w:r>
          </w:p>
        </w:tc>
        <w:tc>
          <w:tcPr>
            <w:tcW w:w="833" w:type="pct"/>
            <w:shd w:val="clear" w:color="auto" w:fill="auto"/>
          </w:tcPr>
          <w:p w14:paraId="6826E3EC" w14:textId="5DEFD785" w:rsidR="009447A3" w:rsidRPr="00781112" w:rsidRDefault="002B7490" w:rsidP="003A4027">
            <w:pPr>
              <w:jc w:val="center"/>
              <w:rPr>
                <w:rFonts w:cs="Arial"/>
                <w:color w:val="000000" w:themeColor="text1"/>
                <w:szCs w:val="16"/>
              </w:rPr>
            </w:pPr>
            <w:r w:rsidRPr="00781112">
              <w:rPr>
                <w:rFonts w:cs="Arial"/>
                <w:color w:val="000000" w:themeColor="text1"/>
                <w:szCs w:val="16"/>
              </w:rPr>
              <w:t>100.00%</w:t>
            </w:r>
          </w:p>
        </w:tc>
        <w:tc>
          <w:tcPr>
            <w:tcW w:w="833" w:type="pct"/>
            <w:tcBorders>
              <w:bottom w:val="single" w:sz="4" w:space="0" w:color="auto"/>
            </w:tcBorders>
            <w:shd w:val="clear" w:color="auto" w:fill="auto"/>
            <w:vAlign w:val="center"/>
          </w:tcPr>
          <w:p w14:paraId="3702B817" w14:textId="1114F76E" w:rsidR="009447A3" w:rsidRPr="00781112" w:rsidRDefault="002B7490" w:rsidP="003A4027">
            <w:pPr>
              <w:jc w:val="center"/>
              <w:rPr>
                <w:rFonts w:cs="Arial"/>
                <w:color w:val="000000" w:themeColor="text1"/>
                <w:szCs w:val="16"/>
              </w:rPr>
            </w:pPr>
            <w:r w:rsidRPr="00781112">
              <w:rPr>
                <w:rFonts w:cs="Arial"/>
                <w:color w:val="000000" w:themeColor="text1"/>
                <w:szCs w:val="16"/>
              </w:rPr>
              <w:t>99.34%</w:t>
            </w:r>
          </w:p>
        </w:tc>
        <w:tc>
          <w:tcPr>
            <w:tcW w:w="833" w:type="pct"/>
            <w:tcBorders>
              <w:bottom w:val="single" w:sz="4" w:space="0" w:color="auto"/>
            </w:tcBorders>
            <w:shd w:val="clear" w:color="auto" w:fill="auto"/>
            <w:vAlign w:val="center"/>
          </w:tcPr>
          <w:p w14:paraId="7E5D1EA5" w14:textId="75D6241E" w:rsidR="009447A3" w:rsidRPr="00781112" w:rsidRDefault="002B7490" w:rsidP="003A4027">
            <w:pPr>
              <w:jc w:val="center"/>
              <w:rPr>
                <w:rFonts w:cs="Arial"/>
                <w:color w:val="000000" w:themeColor="text1"/>
                <w:szCs w:val="16"/>
              </w:rPr>
            </w:pPr>
            <w:r w:rsidRPr="00781112">
              <w:rPr>
                <w:rFonts w:cs="Arial"/>
                <w:color w:val="000000" w:themeColor="text1"/>
                <w:szCs w:val="16"/>
              </w:rPr>
              <w:t>97.10%</w:t>
            </w:r>
          </w:p>
        </w:tc>
        <w:tc>
          <w:tcPr>
            <w:tcW w:w="834" w:type="pct"/>
            <w:tcBorders>
              <w:bottom w:val="single" w:sz="4" w:space="0" w:color="auto"/>
            </w:tcBorders>
            <w:shd w:val="clear" w:color="auto" w:fill="auto"/>
            <w:vAlign w:val="center"/>
          </w:tcPr>
          <w:p w14:paraId="556DAD68" w14:textId="7FC0436F" w:rsidR="009447A3" w:rsidRPr="00781112" w:rsidRDefault="002B7490" w:rsidP="003A4027">
            <w:pPr>
              <w:jc w:val="center"/>
              <w:rPr>
                <w:rFonts w:cs="Arial"/>
                <w:color w:val="000000" w:themeColor="text1"/>
                <w:szCs w:val="16"/>
              </w:rPr>
            </w:pPr>
            <w:r w:rsidRPr="00781112">
              <w:rPr>
                <w:rFonts w:cs="Arial"/>
                <w:color w:val="000000" w:themeColor="text1"/>
                <w:szCs w:val="16"/>
              </w:rPr>
              <w:t>97.28%</w:t>
            </w:r>
          </w:p>
        </w:tc>
      </w:tr>
    </w:tbl>
    <w:p w14:paraId="3BDF8559" w14:textId="77777777" w:rsidR="00D82883" w:rsidRPr="00781112" w:rsidRDefault="00D82883" w:rsidP="004369B2">
      <w:pPr>
        <w:rPr>
          <w:color w:val="000000" w:themeColor="text1"/>
        </w:rPr>
      </w:pPr>
    </w:p>
    <w:p w14:paraId="32D6DA70" w14:textId="38C36AA8" w:rsidR="007A3964" w:rsidRPr="00781112" w:rsidRDefault="007A3964" w:rsidP="004369B2">
      <w:pPr>
        <w:rPr>
          <w:color w:val="000000" w:themeColor="text1"/>
        </w:rPr>
      </w:pPr>
      <w:r w:rsidRPr="00781112">
        <w:rPr>
          <w:b/>
          <w:color w:val="000000" w:themeColor="text1"/>
        </w:rPr>
        <w:t>Targets</w:t>
      </w:r>
    </w:p>
    <w:tbl>
      <w:tblPr>
        <w:tblW w:w="3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TARGETS"/>
      </w:tblPr>
      <w:tblGrid>
        <w:gridCol w:w="679"/>
        <w:gridCol w:w="2397"/>
        <w:gridCol w:w="2570"/>
        <w:gridCol w:w="2570"/>
      </w:tblGrid>
      <w:tr w:rsidR="007B2985" w:rsidRPr="00781112" w14:paraId="41D3AE7A" w14:textId="578794F0" w:rsidTr="00FE4611">
        <w:trPr>
          <w:trHeight w:val="328"/>
        </w:trPr>
        <w:tc>
          <w:tcPr>
            <w:tcW w:w="406" w:type="pct"/>
            <w:tcBorders>
              <w:bottom w:val="single" w:sz="4" w:space="0" w:color="auto"/>
            </w:tcBorders>
            <w:shd w:val="clear" w:color="auto" w:fill="auto"/>
          </w:tcPr>
          <w:p w14:paraId="7786D02D" w14:textId="77777777" w:rsidR="007B2985" w:rsidRPr="00781112" w:rsidRDefault="007B2985" w:rsidP="00AF574F">
            <w:pPr>
              <w:jc w:val="center"/>
              <w:rPr>
                <w:b/>
                <w:color w:val="000000" w:themeColor="text1"/>
              </w:rPr>
            </w:pPr>
            <w:r w:rsidRPr="00781112">
              <w:rPr>
                <w:b/>
                <w:color w:val="000000" w:themeColor="text1"/>
              </w:rPr>
              <w:t>FFY</w:t>
            </w:r>
          </w:p>
        </w:tc>
        <w:tc>
          <w:tcPr>
            <w:tcW w:w="1461" w:type="pct"/>
            <w:shd w:val="clear" w:color="auto" w:fill="auto"/>
          </w:tcPr>
          <w:p w14:paraId="09ED5838" w14:textId="77777777" w:rsidR="007B2985" w:rsidRPr="00781112" w:rsidRDefault="007B2985" w:rsidP="00AF574F">
            <w:pPr>
              <w:jc w:val="center"/>
              <w:rPr>
                <w:b/>
                <w:color w:val="000000" w:themeColor="text1"/>
              </w:rPr>
            </w:pPr>
            <w:r w:rsidRPr="00781112">
              <w:rPr>
                <w:b/>
                <w:color w:val="000000" w:themeColor="text1"/>
              </w:rPr>
              <w:t>2023</w:t>
            </w:r>
          </w:p>
        </w:tc>
        <w:tc>
          <w:tcPr>
            <w:tcW w:w="1566" w:type="pct"/>
          </w:tcPr>
          <w:p w14:paraId="0769903C" w14:textId="05A227DB" w:rsidR="007B2985" w:rsidRPr="00781112" w:rsidRDefault="007B2985" w:rsidP="00AF574F">
            <w:pPr>
              <w:jc w:val="center"/>
              <w:rPr>
                <w:b/>
                <w:color w:val="000000" w:themeColor="text1"/>
              </w:rPr>
            </w:pPr>
            <w:r w:rsidRPr="00781112">
              <w:rPr>
                <w:rFonts w:cs="Arial"/>
                <w:b/>
                <w:color w:val="000000" w:themeColor="text1"/>
                <w:szCs w:val="16"/>
              </w:rPr>
              <w:t>2024</w:t>
            </w:r>
          </w:p>
        </w:tc>
        <w:tc>
          <w:tcPr>
            <w:tcW w:w="1566" w:type="pct"/>
          </w:tcPr>
          <w:p w14:paraId="77CF077D" w14:textId="38DFC132" w:rsidR="007B2985" w:rsidRPr="00781112" w:rsidRDefault="007B2985" w:rsidP="00AF574F">
            <w:pPr>
              <w:jc w:val="center"/>
              <w:rPr>
                <w:b/>
                <w:color w:val="000000" w:themeColor="text1"/>
              </w:rPr>
            </w:pPr>
            <w:r w:rsidRPr="00781112">
              <w:rPr>
                <w:rFonts w:cs="Arial"/>
                <w:b/>
                <w:color w:val="000000" w:themeColor="text1"/>
                <w:szCs w:val="16"/>
              </w:rPr>
              <w:t>2025</w:t>
            </w:r>
          </w:p>
        </w:tc>
      </w:tr>
      <w:tr w:rsidR="007B2985" w:rsidRPr="00781112" w14:paraId="2B267817" w14:textId="2A03C05D" w:rsidTr="00FE4611">
        <w:trPr>
          <w:trHeight w:val="335"/>
        </w:trPr>
        <w:tc>
          <w:tcPr>
            <w:tcW w:w="406" w:type="pct"/>
            <w:shd w:val="clear" w:color="auto" w:fill="auto"/>
            <w:vAlign w:val="center"/>
          </w:tcPr>
          <w:p w14:paraId="70D956A8" w14:textId="6CD3BD29" w:rsidR="007B2985" w:rsidRPr="00781112" w:rsidRDefault="007B2985" w:rsidP="00BA3DBE">
            <w:pPr>
              <w:jc w:val="center"/>
              <w:rPr>
                <w:rFonts w:cs="Arial"/>
                <w:color w:val="000000" w:themeColor="text1"/>
                <w:szCs w:val="16"/>
              </w:rPr>
            </w:pPr>
            <w:r w:rsidRPr="00781112">
              <w:rPr>
                <w:rFonts w:cs="Arial"/>
                <w:color w:val="000000" w:themeColor="text1"/>
                <w:szCs w:val="16"/>
              </w:rPr>
              <w:t>Target</w:t>
            </w:r>
          </w:p>
        </w:tc>
        <w:tc>
          <w:tcPr>
            <w:tcW w:w="1461" w:type="pct"/>
            <w:shd w:val="clear" w:color="auto" w:fill="auto"/>
            <w:vAlign w:val="center"/>
          </w:tcPr>
          <w:p w14:paraId="5CDE7127" w14:textId="59D1386F" w:rsidR="007B2985" w:rsidRPr="00781112" w:rsidRDefault="007B2985" w:rsidP="00AF574F">
            <w:pPr>
              <w:jc w:val="center"/>
              <w:rPr>
                <w:rFonts w:cs="Arial"/>
                <w:color w:val="000000" w:themeColor="text1"/>
                <w:szCs w:val="16"/>
              </w:rPr>
            </w:pPr>
            <w:r w:rsidRPr="00781112">
              <w:rPr>
                <w:rFonts w:cs="Arial"/>
                <w:color w:val="000000" w:themeColor="text1"/>
                <w:szCs w:val="16"/>
              </w:rPr>
              <w:t>100%</w:t>
            </w:r>
          </w:p>
        </w:tc>
        <w:tc>
          <w:tcPr>
            <w:tcW w:w="1566" w:type="pct"/>
          </w:tcPr>
          <w:p w14:paraId="6CF78C3F" w14:textId="1B45F3AE" w:rsidR="007B2985" w:rsidRPr="00781112" w:rsidRDefault="007B2985" w:rsidP="00AF574F">
            <w:pPr>
              <w:jc w:val="center"/>
              <w:rPr>
                <w:rFonts w:cs="Arial"/>
                <w:color w:val="000000" w:themeColor="text1"/>
                <w:szCs w:val="16"/>
              </w:rPr>
            </w:pPr>
            <w:r w:rsidRPr="00781112">
              <w:rPr>
                <w:color w:val="000000" w:themeColor="text1"/>
                <w:szCs w:val="16"/>
              </w:rPr>
              <w:t>100%</w:t>
            </w:r>
          </w:p>
        </w:tc>
        <w:tc>
          <w:tcPr>
            <w:tcW w:w="1566" w:type="pct"/>
          </w:tcPr>
          <w:p w14:paraId="6FCC2C45" w14:textId="5131688B" w:rsidR="007B2985" w:rsidRPr="00781112" w:rsidRDefault="007B2985" w:rsidP="00AF574F">
            <w:pPr>
              <w:jc w:val="center"/>
              <w:rPr>
                <w:rFonts w:cs="Arial"/>
                <w:color w:val="000000" w:themeColor="text1"/>
                <w:szCs w:val="16"/>
              </w:rPr>
            </w:pPr>
            <w:r w:rsidRPr="00781112">
              <w:rPr>
                <w:color w:val="000000" w:themeColor="text1"/>
                <w:szCs w:val="16"/>
              </w:rPr>
              <w:t>100%</w:t>
            </w:r>
          </w:p>
        </w:tc>
      </w:tr>
    </w:tbl>
    <w:p w14:paraId="1AD7361B" w14:textId="77777777" w:rsidR="00D82883" w:rsidRPr="00781112" w:rsidRDefault="00D82883" w:rsidP="004369B2">
      <w:pPr>
        <w:rPr>
          <w:color w:val="000000" w:themeColor="text1"/>
        </w:rPr>
      </w:pPr>
    </w:p>
    <w:p w14:paraId="4C8DD49F" w14:textId="6A4FE7C8" w:rsidR="00634AD8" w:rsidRPr="00781112" w:rsidRDefault="0047313F" w:rsidP="004369B2">
      <w:pPr>
        <w:rPr>
          <w:color w:val="000000" w:themeColor="text1"/>
        </w:rPr>
      </w:pPr>
      <w:r>
        <w:rPr>
          <w:b/>
          <w:color w:val="000000" w:themeColor="text1"/>
        </w:rPr>
        <w:lastRenderedPageBreak/>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2CFFYAPRDATA"/>
      </w:tblPr>
      <w:tblGrid>
        <w:gridCol w:w="9355"/>
        <w:gridCol w:w="1435"/>
      </w:tblGrid>
      <w:tr w:rsidR="005C29F8" w:rsidRPr="00781112" w14:paraId="5DD64811" w14:textId="77777777" w:rsidTr="009D3860">
        <w:trPr>
          <w:trHeight w:val="350"/>
        </w:trPr>
        <w:tc>
          <w:tcPr>
            <w:tcW w:w="4335" w:type="pct"/>
          </w:tcPr>
          <w:p w14:paraId="7822AF5A"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a. Number of children who have been served in Part C and referred to Part B for Part B eligibility determination. </w:t>
            </w:r>
          </w:p>
        </w:tc>
        <w:tc>
          <w:tcPr>
            <w:tcW w:w="665" w:type="pct"/>
            <w:shd w:val="clear" w:color="auto" w:fill="auto"/>
            <w:vAlign w:val="center"/>
          </w:tcPr>
          <w:p w14:paraId="65ADF67F" w14:textId="14592995" w:rsidR="00634AD8" w:rsidRPr="00781112" w:rsidRDefault="002B7490" w:rsidP="00A018D4">
            <w:pPr>
              <w:jc w:val="center"/>
              <w:rPr>
                <w:rFonts w:cs="Arial"/>
                <w:color w:val="000000" w:themeColor="text1"/>
                <w:szCs w:val="16"/>
              </w:rPr>
            </w:pPr>
            <w:r w:rsidRPr="00781112">
              <w:rPr>
                <w:rFonts w:cs="Arial"/>
                <w:color w:val="000000" w:themeColor="text1"/>
                <w:szCs w:val="16"/>
              </w:rPr>
              <w:t>149</w:t>
            </w:r>
          </w:p>
        </w:tc>
      </w:tr>
      <w:tr w:rsidR="005C29F8" w:rsidRPr="00781112" w14:paraId="6497A162" w14:textId="77777777" w:rsidTr="009D3860">
        <w:trPr>
          <w:trHeight w:val="357"/>
        </w:trPr>
        <w:tc>
          <w:tcPr>
            <w:tcW w:w="4335" w:type="pct"/>
          </w:tcPr>
          <w:p w14:paraId="00979D87"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b. Number of those referred determined to be NOT eligible and whose eligibility was determined prior to third birthday. </w:t>
            </w:r>
          </w:p>
        </w:tc>
        <w:tc>
          <w:tcPr>
            <w:tcW w:w="665" w:type="pct"/>
            <w:shd w:val="clear" w:color="auto" w:fill="auto"/>
            <w:vAlign w:val="center"/>
          </w:tcPr>
          <w:p w14:paraId="5383065B" w14:textId="0CFFF590" w:rsidR="00634AD8"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3372C19D" w14:textId="77777777" w:rsidTr="009D3860">
        <w:trPr>
          <w:trHeight w:val="357"/>
        </w:trPr>
        <w:tc>
          <w:tcPr>
            <w:tcW w:w="4335" w:type="pct"/>
          </w:tcPr>
          <w:p w14:paraId="2817071E"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c. Number of those found eligible who have an IEP developed and implemented by their third birthdays. </w:t>
            </w:r>
          </w:p>
        </w:tc>
        <w:tc>
          <w:tcPr>
            <w:tcW w:w="665" w:type="pct"/>
            <w:shd w:val="clear" w:color="auto" w:fill="auto"/>
            <w:vAlign w:val="center"/>
          </w:tcPr>
          <w:p w14:paraId="1678CD90" w14:textId="068B0D57" w:rsidR="00634AD8" w:rsidRPr="00781112" w:rsidRDefault="002B7490" w:rsidP="00A018D4">
            <w:pPr>
              <w:jc w:val="center"/>
              <w:rPr>
                <w:rFonts w:cs="Arial"/>
                <w:color w:val="000000" w:themeColor="text1"/>
                <w:szCs w:val="16"/>
              </w:rPr>
            </w:pPr>
            <w:r w:rsidRPr="00781112">
              <w:rPr>
                <w:rFonts w:cs="Arial"/>
                <w:color w:val="000000" w:themeColor="text1"/>
                <w:szCs w:val="16"/>
              </w:rPr>
              <w:t>146</w:t>
            </w:r>
          </w:p>
        </w:tc>
      </w:tr>
      <w:tr w:rsidR="005C29F8" w:rsidRPr="00781112" w14:paraId="00CE41C8" w14:textId="77777777" w:rsidTr="009D3860">
        <w:trPr>
          <w:trHeight w:val="357"/>
        </w:trPr>
        <w:tc>
          <w:tcPr>
            <w:tcW w:w="4335" w:type="pct"/>
          </w:tcPr>
          <w:p w14:paraId="547A75A2"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d. Number for whom parent refusals to provide consent caused delays in evaluation or initial services or to whom exceptions under 34 CFR §300.301(d) applied. </w:t>
            </w:r>
          </w:p>
        </w:tc>
        <w:tc>
          <w:tcPr>
            <w:tcW w:w="665" w:type="pct"/>
            <w:shd w:val="clear" w:color="auto" w:fill="auto"/>
            <w:vAlign w:val="center"/>
          </w:tcPr>
          <w:p w14:paraId="78FF9A45" w14:textId="45CD6353" w:rsidR="00634AD8" w:rsidRPr="00781112" w:rsidRDefault="002B7490" w:rsidP="00A018D4">
            <w:pPr>
              <w:jc w:val="center"/>
              <w:rPr>
                <w:rFonts w:cs="Arial"/>
                <w:color w:val="000000" w:themeColor="text1"/>
                <w:szCs w:val="16"/>
              </w:rPr>
            </w:pPr>
            <w:r w:rsidRPr="00781112">
              <w:rPr>
                <w:rFonts w:cs="Arial"/>
                <w:color w:val="000000" w:themeColor="text1"/>
                <w:szCs w:val="16"/>
              </w:rPr>
              <w:t>2</w:t>
            </w:r>
          </w:p>
        </w:tc>
      </w:tr>
      <w:tr w:rsidR="005C29F8" w:rsidRPr="00781112" w14:paraId="47C8B30F" w14:textId="77777777" w:rsidTr="009D3860">
        <w:trPr>
          <w:trHeight w:val="357"/>
        </w:trPr>
        <w:tc>
          <w:tcPr>
            <w:tcW w:w="4335" w:type="pct"/>
          </w:tcPr>
          <w:p w14:paraId="03BE3AC0" w14:textId="77777777" w:rsidR="00634AD8" w:rsidRPr="00781112" w:rsidRDefault="00634AD8" w:rsidP="003E65F5">
            <w:pPr>
              <w:rPr>
                <w:rFonts w:cs="Arial"/>
                <w:color w:val="000000" w:themeColor="text1"/>
                <w:szCs w:val="16"/>
              </w:rPr>
            </w:pPr>
            <w:r w:rsidRPr="00781112">
              <w:rPr>
                <w:rFonts w:cs="Arial"/>
                <w:color w:val="000000" w:themeColor="text1"/>
                <w:szCs w:val="16"/>
              </w:rPr>
              <w:t xml:space="preserve">e. Number of children who were referred to Part C less than 90 days before their third birthdays. </w:t>
            </w:r>
          </w:p>
        </w:tc>
        <w:tc>
          <w:tcPr>
            <w:tcW w:w="665" w:type="pct"/>
            <w:shd w:val="clear" w:color="auto" w:fill="auto"/>
            <w:vAlign w:val="center"/>
          </w:tcPr>
          <w:p w14:paraId="33E087DB" w14:textId="01E57E33" w:rsidR="00634AD8"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4E67B3" w:rsidRPr="00781112" w14:paraId="19297440" w14:textId="77777777" w:rsidTr="009D3860">
        <w:trPr>
          <w:trHeight w:val="357"/>
        </w:trPr>
        <w:tc>
          <w:tcPr>
            <w:tcW w:w="4335" w:type="pct"/>
          </w:tcPr>
          <w:p w14:paraId="592F3289" w14:textId="43CA733D" w:rsidR="004E67B3" w:rsidRPr="00781112" w:rsidRDefault="004E67B3" w:rsidP="003E65F5">
            <w:pPr>
              <w:rPr>
                <w:rFonts w:cs="Arial"/>
                <w:color w:val="000000" w:themeColor="text1"/>
                <w:szCs w:val="16"/>
              </w:rPr>
            </w:pPr>
            <w:r w:rsidRPr="00781112">
              <w:rPr>
                <w:rFonts w:cs="Arial"/>
                <w:color w:val="000000" w:themeColor="text1"/>
                <w:szCs w:val="16"/>
              </w:rPr>
              <w:t>f. Number of children whose parents chose to continue early intervention services beyond the child’s third birthday through a State’s policy under 34 CFR §303.211 or a similar State option.</w:t>
            </w:r>
          </w:p>
        </w:tc>
        <w:tc>
          <w:tcPr>
            <w:tcW w:w="665" w:type="pct"/>
            <w:shd w:val="clear" w:color="auto" w:fill="auto"/>
            <w:vAlign w:val="center"/>
          </w:tcPr>
          <w:p w14:paraId="02B29C79" w14:textId="62FEE650" w:rsidR="004E67B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798A2079"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2CFFYAPRDATA1"/>
      </w:tblPr>
      <w:tblGrid>
        <w:gridCol w:w="1794"/>
        <w:gridCol w:w="1285"/>
        <w:gridCol w:w="1285"/>
        <w:gridCol w:w="1285"/>
        <w:gridCol w:w="1285"/>
        <w:gridCol w:w="1285"/>
        <w:gridCol w:w="1285"/>
        <w:gridCol w:w="1286"/>
      </w:tblGrid>
      <w:tr w:rsidR="00B1652C" w:rsidRPr="00781112" w14:paraId="666B6B4E" w14:textId="2C1DC9A0" w:rsidTr="0010170F">
        <w:trPr>
          <w:trHeight w:val="340"/>
          <w:tblHeader/>
        </w:trPr>
        <w:tc>
          <w:tcPr>
            <w:tcW w:w="831" w:type="pct"/>
            <w:shd w:val="clear" w:color="auto" w:fill="auto"/>
          </w:tcPr>
          <w:p w14:paraId="5A0321EA" w14:textId="34C57852" w:rsidR="00B1652C" w:rsidRPr="00781112" w:rsidRDefault="00B1652C" w:rsidP="00BA3DBE">
            <w:pPr>
              <w:jc w:val="center"/>
              <w:rPr>
                <w:rFonts w:cs="Arial"/>
                <w:b/>
                <w:bCs/>
                <w:color w:val="000000" w:themeColor="text1"/>
                <w:szCs w:val="16"/>
              </w:rPr>
            </w:pPr>
            <w:r w:rsidRPr="00781112">
              <w:rPr>
                <w:rFonts w:cs="Arial"/>
                <w:b/>
                <w:bCs/>
                <w:color w:val="000000" w:themeColor="text1"/>
                <w:szCs w:val="16"/>
              </w:rPr>
              <w:t>Measure</w:t>
            </w:r>
          </w:p>
        </w:tc>
        <w:tc>
          <w:tcPr>
            <w:tcW w:w="595" w:type="pct"/>
            <w:shd w:val="clear" w:color="auto" w:fill="auto"/>
          </w:tcPr>
          <w:p w14:paraId="4539005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Numerator (c)</w:t>
            </w:r>
          </w:p>
        </w:tc>
        <w:tc>
          <w:tcPr>
            <w:tcW w:w="595" w:type="pct"/>
            <w:shd w:val="clear" w:color="auto" w:fill="auto"/>
          </w:tcPr>
          <w:p w14:paraId="46860D80" w14:textId="77777777" w:rsidR="00B1652C" w:rsidRPr="0075451F" w:rsidRDefault="00B1652C" w:rsidP="00B1652C">
            <w:pPr>
              <w:jc w:val="center"/>
              <w:rPr>
                <w:rFonts w:cs="Arial"/>
                <w:b/>
                <w:color w:val="000000" w:themeColor="text1"/>
                <w:szCs w:val="16"/>
                <w:lang w:val="es-ES"/>
              </w:rPr>
            </w:pPr>
            <w:r w:rsidRPr="0075451F">
              <w:rPr>
                <w:rFonts w:cs="Arial"/>
                <w:b/>
                <w:color w:val="000000" w:themeColor="text1"/>
                <w:szCs w:val="16"/>
                <w:lang w:val="es-ES"/>
              </w:rPr>
              <w:t>Denominator (a-b-d-e-f)</w:t>
            </w:r>
          </w:p>
        </w:tc>
        <w:tc>
          <w:tcPr>
            <w:tcW w:w="595" w:type="pct"/>
            <w:shd w:val="clear" w:color="auto" w:fill="auto"/>
            <w:vAlign w:val="bottom"/>
          </w:tcPr>
          <w:p w14:paraId="58F547FF" w14:textId="167BDEC4" w:rsidR="00B1652C" w:rsidRPr="006D0A52" w:rsidRDefault="00B1652C" w:rsidP="00B1652C">
            <w:pPr>
              <w:jc w:val="center"/>
              <w:rPr>
                <w:rFonts w:cs="Arial"/>
                <w:b/>
                <w:bCs/>
                <w:color w:val="000000" w:themeColor="text1"/>
                <w:szCs w:val="16"/>
              </w:rPr>
            </w:pPr>
            <w:r w:rsidRPr="006D0A52">
              <w:rPr>
                <w:b/>
                <w:bCs/>
              </w:rPr>
              <w:t>FFY 2022 Data</w:t>
            </w:r>
          </w:p>
        </w:tc>
        <w:tc>
          <w:tcPr>
            <w:tcW w:w="595" w:type="pct"/>
            <w:shd w:val="clear" w:color="auto" w:fill="auto"/>
            <w:vAlign w:val="bottom"/>
          </w:tcPr>
          <w:p w14:paraId="36BD2BCA" w14:textId="291DC964" w:rsidR="00B1652C" w:rsidRPr="006D0A52" w:rsidRDefault="00B1652C" w:rsidP="00B1652C">
            <w:pPr>
              <w:jc w:val="center"/>
              <w:rPr>
                <w:rFonts w:cs="Arial"/>
                <w:b/>
                <w:bCs/>
                <w:color w:val="000000" w:themeColor="text1"/>
                <w:szCs w:val="16"/>
              </w:rPr>
            </w:pPr>
            <w:r w:rsidRPr="006D0A52">
              <w:rPr>
                <w:b/>
                <w:bCs/>
              </w:rPr>
              <w:t>FFY 2023 Target</w:t>
            </w:r>
          </w:p>
        </w:tc>
        <w:tc>
          <w:tcPr>
            <w:tcW w:w="595" w:type="pct"/>
            <w:shd w:val="clear" w:color="auto" w:fill="auto"/>
            <w:vAlign w:val="bottom"/>
          </w:tcPr>
          <w:p w14:paraId="0030B6C4" w14:textId="76C3C00A" w:rsidR="00B1652C" w:rsidRPr="006D0A52" w:rsidRDefault="00B1652C" w:rsidP="00B1652C">
            <w:pPr>
              <w:jc w:val="center"/>
              <w:rPr>
                <w:rFonts w:cs="Arial"/>
                <w:b/>
                <w:bCs/>
                <w:color w:val="000000" w:themeColor="text1"/>
                <w:szCs w:val="16"/>
              </w:rPr>
            </w:pPr>
            <w:r w:rsidRPr="006D0A52">
              <w:rPr>
                <w:b/>
                <w:bCs/>
              </w:rPr>
              <w:t>FFY 2023 Data</w:t>
            </w:r>
          </w:p>
        </w:tc>
        <w:tc>
          <w:tcPr>
            <w:tcW w:w="595" w:type="pct"/>
            <w:shd w:val="clear" w:color="auto" w:fill="auto"/>
          </w:tcPr>
          <w:p w14:paraId="16905A6D" w14:textId="19A3632B"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596" w:type="pct"/>
            <w:shd w:val="clear" w:color="auto" w:fill="auto"/>
          </w:tcPr>
          <w:p w14:paraId="0DCCD9DE" w14:textId="3F28AD6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F7C0EED" w14:textId="06CECBDB" w:rsidTr="005F2FF9">
        <w:trPr>
          <w:trHeight w:val="347"/>
        </w:trPr>
        <w:tc>
          <w:tcPr>
            <w:tcW w:w="831" w:type="pct"/>
            <w:shd w:val="clear" w:color="auto" w:fill="auto"/>
          </w:tcPr>
          <w:p w14:paraId="42006EF2" w14:textId="30F01538" w:rsidR="009447A3" w:rsidRPr="00781112" w:rsidRDefault="00616BA4" w:rsidP="009447A3">
            <w:pPr>
              <w:rPr>
                <w:rFonts w:cs="Arial"/>
                <w:color w:val="000000" w:themeColor="text1"/>
                <w:szCs w:val="16"/>
              </w:rPr>
            </w:pPr>
            <w:r w:rsidRPr="00781112">
              <w:rPr>
                <w:rFonts w:cs="Arial"/>
                <w:color w:val="000000" w:themeColor="text1"/>
                <w:szCs w:val="16"/>
              </w:rPr>
              <w:t>Percent of children referred by Part C prior to age 3 who are found eligible for Part B, and who have an IEP developed and implemented by their third birthdays.</w:t>
            </w:r>
          </w:p>
        </w:tc>
        <w:tc>
          <w:tcPr>
            <w:tcW w:w="595" w:type="pct"/>
            <w:shd w:val="clear" w:color="auto" w:fill="auto"/>
            <w:vAlign w:val="center"/>
          </w:tcPr>
          <w:p w14:paraId="25AD0B10" w14:textId="530E8072" w:rsidR="009447A3" w:rsidRPr="00781112" w:rsidRDefault="00FA318E" w:rsidP="004369B2">
            <w:pPr>
              <w:jc w:val="center"/>
              <w:rPr>
                <w:rFonts w:cs="Arial"/>
                <w:color w:val="000000" w:themeColor="text1"/>
                <w:szCs w:val="16"/>
              </w:rPr>
            </w:pPr>
            <w:r w:rsidRPr="00781112">
              <w:rPr>
                <w:rFonts w:cs="Arial"/>
                <w:color w:val="000000" w:themeColor="text1"/>
                <w:szCs w:val="16"/>
              </w:rPr>
              <w:t>146</w:t>
            </w:r>
          </w:p>
        </w:tc>
        <w:tc>
          <w:tcPr>
            <w:tcW w:w="595" w:type="pct"/>
            <w:shd w:val="clear" w:color="auto" w:fill="auto"/>
            <w:vAlign w:val="center"/>
          </w:tcPr>
          <w:p w14:paraId="7A8E33C9" w14:textId="2CE029E7" w:rsidR="009447A3" w:rsidRPr="00781112" w:rsidRDefault="00FA318E" w:rsidP="004369B2">
            <w:pPr>
              <w:jc w:val="center"/>
              <w:rPr>
                <w:rFonts w:cs="Arial"/>
                <w:color w:val="000000" w:themeColor="text1"/>
                <w:szCs w:val="16"/>
              </w:rPr>
            </w:pPr>
            <w:r w:rsidRPr="00781112">
              <w:rPr>
                <w:rFonts w:cs="Arial"/>
                <w:color w:val="000000" w:themeColor="text1"/>
                <w:szCs w:val="16"/>
              </w:rPr>
              <w:t>147</w:t>
            </w:r>
          </w:p>
        </w:tc>
        <w:tc>
          <w:tcPr>
            <w:tcW w:w="595" w:type="pct"/>
            <w:shd w:val="clear" w:color="auto" w:fill="auto"/>
            <w:vAlign w:val="center"/>
          </w:tcPr>
          <w:p w14:paraId="7A618E17" w14:textId="730CF37E" w:rsidR="009447A3" w:rsidRPr="00781112" w:rsidRDefault="002B7490" w:rsidP="004369B2">
            <w:pPr>
              <w:jc w:val="center"/>
              <w:rPr>
                <w:rFonts w:cs="Arial"/>
                <w:color w:val="000000" w:themeColor="text1"/>
                <w:szCs w:val="16"/>
              </w:rPr>
            </w:pPr>
            <w:r w:rsidRPr="00781112">
              <w:rPr>
                <w:rFonts w:cs="Arial"/>
                <w:color w:val="000000" w:themeColor="text1"/>
                <w:szCs w:val="16"/>
              </w:rPr>
              <w:t>97.28%</w:t>
            </w:r>
          </w:p>
        </w:tc>
        <w:tc>
          <w:tcPr>
            <w:tcW w:w="595" w:type="pct"/>
            <w:shd w:val="clear" w:color="auto" w:fill="auto"/>
            <w:vAlign w:val="center"/>
          </w:tcPr>
          <w:p w14:paraId="173DD24A" w14:textId="02E11A38"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95" w:type="pct"/>
            <w:shd w:val="clear" w:color="auto" w:fill="auto"/>
            <w:vAlign w:val="center"/>
          </w:tcPr>
          <w:p w14:paraId="1BEC9517" w14:textId="612C62AC" w:rsidR="009447A3" w:rsidRPr="00781112" w:rsidRDefault="002B7490" w:rsidP="004369B2">
            <w:pPr>
              <w:jc w:val="center"/>
              <w:rPr>
                <w:rFonts w:cs="Arial"/>
                <w:color w:val="000000" w:themeColor="text1"/>
                <w:szCs w:val="16"/>
              </w:rPr>
            </w:pPr>
            <w:r w:rsidRPr="00781112">
              <w:rPr>
                <w:rFonts w:cs="Arial"/>
                <w:color w:val="000000" w:themeColor="text1"/>
                <w:szCs w:val="16"/>
              </w:rPr>
              <w:t>99.32%</w:t>
            </w:r>
          </w:p>
        </w:tc>
        <w:tc>
          <w:tcPr>
            <w:tcW w:w="595" w:type="pct"/>
            <w:shd w:val="clear" w:color="auto" w:fill="auto"/>
            <w:vAlign w:val="center"/>
          </w:tcPr>
          <w:p w14:paraId="35C0024C" w14:textId="6347E5FC" w:rsidR="009447A3"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96" w:type="pct"/>
            <w:shd w:val="clear" w:color="auto" w:fill="auto"/>
            <w:vAlign w:val="center"/>
          </w:tcPr>
          <w:p w14:paraId="466F387F" w14:textId="652A9CC9" w:rsidR="009447A3"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416C2F1" w14:textId="701A59F0" w:rsidR="00A5601C" w:rsidRPr="00781112" w:rsidRDefault="00A5601C" w:rsidP="007D435F">
      <w:pPr>
        <w:rPr>
          <w:rFonts w:cs="Arial"/>
          <w:b/>
          <w:color w:val="000000" w:themeColor="text1"/>
          <w:szCs w:val="16"/>
        </w:rPr>
      </w:pPr>
      <w:r w:rsidRPr="00781112">
        <w:rPr>
          <w:rFonts w:cs="Arial"/>
          <w:b/>
          <w:color w:val="000000" w:themeColor="text1"/>
          <w:szCs w:val="16"/>
        </w:rPr>
        <w:t>Number of children who served in Part C and referred to Part B for eligibility determination that are not included in b, c, d, e, or f</w:t>
      </w:r>
    </w:p>
    <w:p w14:paraId="621D77AD" w14:textId="2BC90681" w:rsidR="00A5601C" w:rsidRPr="00781112" w:rsidRDefault="00A5601C" w:rsidP="007D435F">
      <w:pPr>
        <w:rPr>
          <w:rFonts w:cs="Arial"/>
          <w:color w:val="000000" w:themeColor="text1"/>
          <w:szCs w:val="16"/>
        </w:rPr>
      </w:pPr>
      <w:r w:rsidRPr="00781112">
        <w:rPr>
          <w:rFonts w:cs="Arial"/>
          <w:color w:val="000000" w:themeColor="text1"/>
          <w:szCs w:val="16"/>
        </w:rPr>
        <w:t>1</w:t>
      </w:r>
    </w:p>
    <w:p w14:paraId="2DB77447" w14:textId="5C5B3699" w:rsidR="00E418E6" w:rsidRPr="00781112" w:rsidRDefault="00326C0B" w:rsidP="006A01BD">
      <w:pPr>
        <w:rPr>
          <w:b/>
          <w:color w:val="000000" w:themeColor="text1"/>
        </w:rPr>
      </w:pPr>
      <w:r w:rsidRPr="00781112">
        <w:rPr>
          <w:b/>
          <w:color w:val="000000" w:themeColor="text1"/>
        </w:rPr>
        <w:t>Account for children included in (a), but not included in b, c, d, e, or f. Indicate the range of days beyond the third birthday when eligibility was determined and the IEP developed, and the reasons for the delays.</w:t>
      </w:r>
    </w:p>
    <w:p w14:paraId="542A680D" w14:textId="2831B065" w:rsidR="00326C0B" w:rsidRPr="00781112" w:rsidRDefault="002B7490" w:rsidP="006A01BD">
      <w:pPr>
        <w:rPr>
          <w:bCs/>
          <w:color w:val="000000" w:themeColor="text1"/>
        </w:rPr>
      </w:pPr>
      <w:r w:rsidRPr="00781112">
        <w:rPr>
          <w:bCs/>
          <w:color w:val="000000" w:themeColor="text1"/>
        </w:rPr>
        <w:t xml:space="preserve">The reason(s) for the four findings are listed below: </w:t>
      </w:r>
      <w:r w:rsidRPr="00781112">
        <w:rPr>
          <w:bCs/>
          <w:color w:val="000000" w:themeColor="text1"/>
        </w:rPr>
        <w:br/>
        <w:t>1. One eligibility/IEP was completed 10 days after the child’s 3rd birthday. The delay in IEP development and implementation was due to staff mis-scheduling.</w:t>
      </w:r>
    </w:p>
    <w:p w14:paraId="4BE9E8DB" w14:textId="127EF17F" w:rsidR="00A5601C" w:rsidRPr="00781112" w:rsidRDefault="00326C0B" w:rsidP="006A01BD">
      <w:pPr>
        <w:rPr>
          <w:b/>
          <w:color w:val="000000" w:themeColor="text1"/>
        </w:rPr>
      </w:pPr>
      <w:r w:rsidRPr="00781112">
        <w:rPr>
          <w:b/>
          <w:color w:val="000000" w:themeColor="text1"/>
        </w:rPr>
        <w:t>Attach PDF table (optional)</w:t>
      </w:r>
    </w:p>
    <w:p w14:paraId="79E6A8DD" w14:textId="2B03416C" w:rsidR="00326C0B" w:rsidRPr="00781112" w:rsidRDefault="00326C0B" w:rsidP="006A01BD">
      <w:pPr>
        <w:rPr>
          <w:bCs/>
          <w:color w:val="000000" w:themeColor="text1"/>
        </w:rPr>
      </w:pPr>
      <w:bookmarkStart w:id="77" w:name="_Hlk20318414"/>
      <w:bookmarkEnd w:id="77"/>
    </w:p>
    <w:p w14:paraId="5E057416" w14:textId="77777777" w:rsidR="00A5601C" w:rsidRPr="00781112" w:rsidRDefault="009447A3">
      <w:pPr>
        <w:rPr>
          <w:b/>
          <w:color w:val="000000" w:themeColor="text1"/>
        </w:rPr>
      </w:pPr>
      <w:r w:rsidRPr="00781112">
        <w:rPr>
          <w:b/>
          <w:color w:val="000000" w:themeColor="text1"/>
        </w:rPr>
        <w:t>What is the source of the data provided for this indicator?</w:t>
      </w:r>
    </w:p>
    <w:p w14:paraId="50B7435C" w14:textId="024484CA" w:rsidR="009447A3" w:rsidRPr="00781112" w:rsidRDefault="002B7490" w:rsidP="004369B2">
      <w:pPr>
        <w:rPr>
          <w:color w:val="000000" w:themeColor="text1"/>
        </w:rPr>
      </w:pPr>
      <w:r w:rsidRPr="00781112">
        <w:rPr>
          <w:color w:val="000000" w:themeColor="text1"/>
        </w:rPr>
        <w:t>State monitoring</w:t>
      </w:r>
    </w:p>
    <w:p w14:paraId="4558F99F" w14:textId="77777777" w:rsidR="009447A3" w:rsidRPr="00781112" w:rsidRDefault="009447A3"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6C2B5D1A" w14:textId="61019073" w:rsidR="00326C0B" w:rsidRPr="00781112" w:rsidRDefault="002B7490" w:rsidP="008E31C4">
      <w:pPr>
        <w:rPr>
          <w:rFonts w:cs="Arial"/>
          <w:color w:val="000000" w:themeColor="text1"/>
          <w:szCs w:val="16"/>
        </w:rPr>
      </w:pPr>
      <w:r w:rsidRPr="00781112">
        <w:rPr>
          <w:rFonts w:cs="Arial"/>
          <w:color w:val="000000" w:themeColor="text1"/>
          <w:szCs w:val="16"/>
        </w:rPr>
        <w:t>All Early Intervention (EI) programs in Oregon receiving IDEA funds are required to participate in the Oregon Department of Education (ODE) System Performance Review &amp; Improvement (SPR&amp;I) system of annual accountability and performance reporting. This system focuses on procedural compliance and performance indicators identified through federal and state regulation and previous state monitoring findings. Programs conduct individual child file reviews annually to collect procedural compliance data. These data are collected on a specified number of child files determined by the State and are evenly split between EI, EI Transition, and Early Childhood Special Education (ECSE). Files are selected to match the individual race/ethnicity, disability, and gender distribution for each EI/ECSE program based on the December child count. Individual child procedural compliance data is collected by programs and submitted to the State electronically through the SPR&amp;I system. The State works collaboratively with programs on comprehensive data collection, analyses, performance reporting, improvement planning, implementation, and reporting of progress. The SPR&amp;I system provides the State with the mechanism for review of district/program policies, procedures, and systems to ensure the requirements set forth in 34 CFR §300.600-609 are met.</w:t>
      </w:r>
    </w:p>
    <w:p w14:paraId="6353DD92" w14:textId="77777777" w:rsidR="00E46206" w:rsidRPr="00781112" w:rsidRDefault="00E46206" w:rsidP="00E46206">
      <w:pPr>
        <w:rPr>
          <w:rFonts w:cs="Arial"/>
          <w:b/>
          <w:color w:val="000000" w:themeColor="text1"/>
          <w:szCs w:val="16"/>
        </w:rPr>
      </w:pPr>
      <w:r w:rsidRPr="00781112">
        <w:rPr>
          <w:rFonts w:cs="Arial"/>
          <w:b/>
          <w:color w:val="000000" w:themeColor="text1"/>
          <w:szCs w:val="16"/>
        </w:rPr>
        <w:t>Provide additional information about this indicator (optional)</w:t>
      </w:r>
    </w:p>
    <w:p w14:paraId="7201221D" w14:textId="686A034C" w:rsidR="00326C0B" w:rsidRPr="00781112" w:rsidRDefault="00326C0B" w:rsidP="007D435F">
      <w:pPr>
        <w:rPr>
          <w:rFonts w:cs="Arial"/>
          <w:color w:val="000000" w:themeColor="text1"/>
          <w:szCs w:val="16"/>
        </w:rPr>
      </w:pPr>
    </w:p>
    <w:p w14:paraId="4E94D02C" w14:textId="77777777" w:rsidR="009C5AE7" w:rsidRPr="00781112" w:rsidRDefault="009C5AE7" w:rsidP="004369B2">
      <w:pPr>
        <w:rPr>
          <w:color w:val="000000" w:themeColor="text1"/>
        </w:rPr>
      </w:pPr>
    </w:p>
    <w:p w14:paraId="7740DC21" w14:textId="4EAB411C"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2PFFYNCFINDINGS"/>
      </w:tblPr>
      <w:tblGrid>
        <w:gridCol w:w="2650"/>
        <w:gridCol w:w="2780"/>
        <w:gridCol w:w="2656"/>
        <w:gridCol w:w="2704"/>
      </w:tblGrid>
      <w:tr w:rsidR="005C29F8" w:rsidRPr="00781112" w14:paraId="716024C7" w14:textId="77777777" w:rsidTr="00455889">
        <w:trPr>
          <w:trHeight w:val="389"/>
          <w:tblHeader/>
        </w:trPr>
        <w:tc>
          <w:tcPr>
            <w:tcW w:w="1228" w:type="pct"/>
            <w:shd w:val="clear" w:color="auto" w:fill="auto"/>
            <w:vAlign w:val="bottom"/>
          </w:tcPr>
          <w:p w14:paraId="0E49E3D0"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43B565EC"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113F3E4"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15802D8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5362EE0E" w14:textId="77777777" w:rsidTr="00455889">
        <w:tc>
          <w:tcPr>
            <w:tcW w:w="1228" w:type="pct"/>
            <w:shd w:val="clear" w:color="auto" w:fill="auto"/>
          </w:tcPr>
          <w:p w14:paraId="106FED18" w14:textId="3538FD80" w:rsidR="009A755E" w:rsidRPr="00781112" w:rsidRDefault="002B7490" w:rsidP="00A018D4">
            <w:pPr>
              <w:jc w:val="center"/>
              <w:rPr>
                <w:rFonts w:cs="Arial"/>
                <w:color w:val="000000" w:themeColor="text1"/>
                <w:szCs w:val="16"/>
              </w:rPr>
            </w:pPr>
            <w:r w:rsidRPr="00781112">
              <w:rPr>
                <w:rFonts w:cs="Arial"/>
                <w:color w:val="000000" w:themeColor="text1"/>
                <w:szCs w:val="16"/>
              </w:rPr>
              <w:t>4</w:t>
            </w:r>
          </w:p>
        </w:tc>
        <w:tc>
          <w:tcPr>
            <w:tcW w:w="1288" w:type="pct"/>
            <w:shd w:val="clear" w:color="auto" w:fill="auto"/>
          </w:tcPr>
          <w:p w14:paraId="30E75C81" w14:textId="5263D718" w:rsidR="009A755E" w:rsidRPr="00781112" w:rsidRDefault="002B7490" w:rsidP="00A018D4">
            <w:pPr>
              <w:jc w:val="center"/>
              <w:rPr>
                <w:rFonts w:cs="Arial"/>
                <w:color w:val="000000" w:themeColor="text1"/>
                <w:szCs w:val="16"/>
              </w:rPr>
            </w:pPr>
            <w:r w:rsidRPr="00781112">
              <w:rPr>
                <w:rFonts w:cs="Arial"/>
                <w:color w:val="000000" w:themeColor="text1"/>
                <w:szCs w:val="16"/>
              </w:rPr>
              <w:t>4</w:t>
            </w:r>
          </w:p>
        </w:tc>
        <w:tc>
          <w:tcPr>
            <w:tcW w:w="1231" w:type="pct"/>
            <w:shd w:val="clear" w:color="auto" w:fill="auto"/>
          </w:tcPr>
          <w:p w14:paraId="36D48FD7" w14:textId="2F6E80E6"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1254" w:type="pct"/>
            <w:shd w:val="clear" w:color="auto" w:fill="auto"/>
          </w:tcPr>
          <w:p w14:paraId="139EEFD1" w14:textId="6A5591D3" w:rsidR="009A755E"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37852744" w14:textId="77777777" w:rsidR="00614992" w:rsidRDefault="00614992" w:rsidP="004369B2">
      <w:pPr>
        <w:rPr>
          <w:b/>
          <w:color w:val="000000" w:themeColor="text1"/>
        </w:rPr>
      </w:pPr>
    </w:p>
    <w:p w14:paraId="155373B8" w14:textId="1AEDA438" w:rsidR="009A755E" w:rsidRPr="00781112" w:rsidRDefault="00450F98" w:rsidP="004369B2">
      <w:pPr>
        <w:rPr>
          <w:color w:val="000000" w:themeColor="text1"/>
        </w:rPr>
      </w:pPr>
      <w:r>
        <w:rPr>
          <w:b/>
          <w:color w:val="000000" w:themeColor="text1"/>
        </w:rPr>
        <w:t>FFY 2022 Findings of Noncompliance Verified as Corrected</w:t>
      </w:r>
    </w:p>
    <w:p w14:paraId="3D8B0B26" w14:textId="565C69B4"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669CC58" w14:textId="38E853B3" w:rsidR="00326C0B" w:rsidRPr="00781112" w:rsidRDefault="002B7490" w:rsidP="009A755E">
      <w:pPr>
        <w:rPr>
          <w:rFonts w:cs="Arial"/>
          <w:color w:val="000000" w:themeColor="text1"/>
          <w:szCs w:val="16"/>
        </w:rPr>
      </w:pPr>
      <w:r w:rsidRPr="00781112">
        <w:rPr>
          <w:rFonts w:cs="Arial"/>
          <w:color w:val="000000" w:themeColor="text1"/>
          <w:szCs w:val="16"/>
        </w:rPr>
        <w:t>n FFY 2022, 97.28% (147/143) of child files that the State reviewed for transition from Part C to Part B demonstrated eligibility determination and IEP implementation by the third birthdays.</w:t>
      </w:r>
      <w:r w:rsidRPr="00781112">
        <w:rPr>
          <w:rFonts w:cs="Arial"/>
          <w:color w:val="000000" w:themeColor="text1"/>
          <w:szCs w:val="16"/>
        </w:rPr>
        <w:br/>
      </w:r>
      <w:r w:rsidRPr="00781112">
        <w:rPr>
          <w:rFonts w:cs="Arial"/>
          <w:color w:val="000000" w:themeColor="text1"/>
          <w:szCs w:val="16"/>
        </w:rPr>
        <w:br/>
        <w:t>The State verified that 100% (4/4) of findings of noncompliance in FFY 2022 were corrected within one year and that the program with noncompliance demonstrated correction of practices that contributed to the noncompliance, as well as current compliance with 34 CFR §300.124 based on a review corrective action and new files submitted in SPR&amp;I and subsequent review of those files in ecWeb, the statewide EI/ECSE special education database. Verifications were completed as per OSEP QA 23-01.</w:t>
      </w:r>
    </w:p>
    <w:p w14:paraId="1F3D7853" w14:textId="324FF78E"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0E95D025" w14:textId="78E1AA95" w:rsidR="00326C0B" w:rsidRPr="00781112" w:rsidRDefault="002B7490" w:rsidP="009A755E">
      <w:pPr>
        <w:rPr>
          <w:rFonts w:cs="Arial"/>
          <w:color w:val="000000" w:themeColor="text1"/>
          <w:szCs w:val="16"/>
        </w:rPr>
      </w:pPr>
      <w:r w:rsidRPr="00781112">
        <w:rPr>
          <w:rFonts w:cs="Arial"/>
          <w:color w:val="000000" w:themeColor="text1"/>
          <w:szCs w:val="16"/>
        </w:rPr>
        <w:lastRenderedPageBreak/>
        <w:t>The State verified through data submission to SPR&amp;I and review of those files in ecWeb, that 100% (4/4) of incidents of noncompliance in FFY 2022 were corrected within one year and that the program with noncompliance developed an IEP for each child, unless the child was no longer within the jurisdiction of the Local Education Agency. The program with noncompliance provided through SPR&amp;I the cause of the noncompliance and demonstrated correction of practices that contributed to the noncompliance through subsequent data submission (additional file reviews) to SPR&amp;I. The State reviewed, verified, and approved the corrective actions and the program is correctly implementing the specific regulatory requirements. Corrective actions and individual files were reviewed by ODE using ecWeb the statewide EI/ECSE special education database. Corrections were completed as per OSEP QA 23-01</w:t>
      </w:r>
    </w:p>
    <w:p w14:paraId="1A909BBB" w14:textId="77777777" w:rsidR="00455889" w:rsidRPr="00781112" w:rsidRDefault="00455889" w:rsidP="004369B2">
      <w:pPr>
        <w:rPr>
          <w:color w:val="000000" w:themeColor="text1"/>
        </w:rPr>
      </w:pPr>
    </w:p>
    <w:p w14:paraId="1C75EC2F" w14:textId="06D7FE3B"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2PPFFYNCFINDINGS"/>
      </w:tblPr>
      <w:tblGrid>
        <w:gridCol w:w="2192"/>
        <w:gridCol w:w="2935"/>
        <w:gridCol w:w="2924"/>
        <w:gridCol w:w="2739"/>
      </w:tblGrid>
      <w:tr w:rsidR="005C29F8" w:rsidRPr="00781112" w14:paraId="4192A257" w14:textId="77777777" w:rsidTr="00AB0D6A">
        <w:trPr>
          <w:tblHeader/>
        </w:trPr>
        <w:tc>
          <w:tcPr>
            <w:tcW w:w="1016" w:type="pct"/>
            <w:shd w:val="clear" w:color="auto" w:fill="auto"/>
            <w:vAlign w:val="bottom"/>
          </w:tcPr>
          <w:p w14:paraId="72F29034" w14:textId="1B3341B8"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360" w:type="pct"/>
            <w:shd w:val="clear" w:color="auto" w:fill="auto"/>
            <w:vAlign w:val="bottom"/>
          </w:tcPr>
          <w:p w14:paraId="5E92FF85" w14:textId="2740D3AF"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55" w:type="pct"/>
            <w:shd w:val="clear" w:color="auto" w:fill="auto"/>
            <w:vAlign w:val="bottom"/>
          </w:tcPr>
          <w:p w14:paraId="4861690F"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69" w:type="pct"/>
            <w:shd w:val="clear" w:color="auto" w:fill="auto"/>
            <w:vAlign w:val="bottom"/>
          </w:tcPr>
          <w:p w14:paraId="5C0832D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204865EB" w14:textId="77777777" w:rsidTr="00AB0D6A">
        <w:tc>
          <w:tcPr>
            <w:tcW w:w="1016" w:type="pct"/>
            <w:shd w:val="clear" w:color="auto" w:fill="auto"/>
          </w:tcPr>
          <w:p w14:paraId="316ACDB5" w14:textId="541F250F" w:rsidR="009A755E" w:rsidRPr="00781112" w:rsidRDefault="009A755E" w:rsidP="00A018D4">
            <w:pPr>
              <w:jc w:val="center"/>
              <w:rPr>
                <w:rFonts w:cs="Arial"/>
                <w:color w:val="000000" w:themeColor="text1"/>
                <w:szCs w:val="16"/>
              </w:rPr>
            </w:pPr>
          </w:p>
        </w:tc>
        <w:tc>
          <w:tcPr>
            <w:tcW w:w="1360" w:type="pct"/>
            <w:shd w:val="clear" w:color="auto" w:fill="auto"/>
          </w:tcPr>
          <w:p w14:paraId="69625405" w14:textId="789965CC" w:rsidR="009A755E" w:rsidRPr="00781112" w:rsidRDefault="009A755E">
            <w:pPr>
              <w:jc w:val="center"/>
              <w:rPr>
                <w:rFonts w:cs="Arial"/>
                <w:noProof/>
                <w:color w:val="000000" w:themeColor="text1"/>
                <w:szCs w:val="16"/>
              </w:rPr>
            </w:pPr>
          </w:p>
        </w:tc>
        <w:tc>
          <w:tcPr>
            <w:tcW w:w="1355" w:type="pct"/>
            <w:shd w:val="clear" w:color="auto" w:fill="auto"/>
          </w:tcPr>
          <w:p w14:paraId="7C3E37A7" w14:textId="61202FB3" w:rsidR="009A755E" w:rsidRPr="00781112" w:rsidRDefault="009A755E">
            <w:pPr>
              <w:jc w:val="center"/>
              <w:rPr>
                <w:rFonts w:cs="Arial"/>
                <w:noProof/>
                <w:color w:val="000000" w:themeColor="text1"/>
                <w:szCs w:val="16"/>
              </w:rPr>
            </w:pPr>
          </w:p>
        </w:tc>
        <w:tc>
          <w:tcPr>
            <w:tcW w:w="1269" w:type="pct"/>
            <w:shd w:val="clear" w:color="auto" w:fill="auto"/>
          </w:tcPr>
          <w:p w14:paraId="79E9FAD3" w14:textId="3428603A" w:rsidR="009A755E" w:rsidRPr="00781112" w:rsidRDefault="009A755E">
            <w:pPr>
              <w:jc w:val="center"/>
              <w:rPr>
                <w:rFonts w:cs="Arial"/>
                <w:noProof/>
                <w:color w:val="000000" w:themeColor="text1"/>
                <w:szCs w:val="16"/>
              </w:rPr>
            </w:pPr>
          </w:p>
        </w:tc>
      </w:tr>
      <w:tr w:rsidR="005C29F8" w:rsidRPr="00781112" w14:paraId="7F75F2C7" w14:textId="77777777" w:rsidTr="00AB0D6A">
        <w:tc>
          <w:tcPr>
            <w:tcW w:w="1016" w:type="pct"/>
            <w:shd w:val="clear" w:color="auto" w:fill="auto"/>
          </w:tcPr>
          <w:p w14:paraId="147AA631" w14:textId="76843337" w:rsidR="009A755E" w:rsidRPr="00781112" w:rsidRDefault="009A755E" w:rsidP="00A018D4">
            <w:pPr>
              <w:jc w:val="center"/>
              <w:rPr>
                <w:rFonts w:cs="Arial"/>
                <w:color w:val="000000" w:themeColor="text1"/>
                <w:szCs w:val="16"/>
              </w:rPr>
            </w:pPr>
          </w:p>
        </w:tc>
        <w:tc>
          <w:tcPr>
            <w:tcW w:w="1360" w:type="pct"/>
            <w:shd w:val="clear" w:color="auto" w:fill="auto"/>
          </w:tcPr>
          <w:p w14:paraId="404653A8" w14:textId="163A8B38" w:rsidR="009A755E" w:rsidRPr="00781112" w:rsidRDefault="009A755E">
            <w:pPr>
              <w:jc w:val="center"/>
              <w:rPr>
                <w:rFonts w:cs="Arial"/>
                <w:noProof/>
                <w:color w:val="000000" w:themeColor="text1"/>
                <w:szCs w:val="16"/>
              </w:rPr>
            </w:pPr>
          </w:p>
        </w:tc>
        <w:tc>
          <w:tcPr>
            <w:tcW w:w="1355" w:type="pct"/>
            <w:shd w:val="clear" w:color="auto" w:fill="auto"/>
          </w:tcPr>
          <w:p w14:paraId="6504342A" w14:textId="13575C8A" w:rsidR="009A755E" w:rsidRPr="00781112" w:rsidRDefault="009A755E">
            <w:pPr>
              <w:jc w:val="center"/>
              <w:rPr>
                <w:rFonts w:cs="Arial"/>
                <w:noProof/>
                <w:color w:val="000000" w:themeColor="text1"/>
                <w:szCs w:val="16"/>
              </w:rPr>
            </w:pPr>
          </w:p>
        </w:tc>
        <w:tc>
          <w:tcPr>
            <w:tcW w:w="1269" w:type="pct"/>
            <w:shd w:val="clear" w:color="auto" w:fill="auto"/>
          </w:tcPr>
          <w:p w14:paraId="6D520AD1" w14:textId="4947031C" w:rsidR="009A755E" w:rsidRPr="00781112" w:rsidRDefault="009A755E">
            <w:pPr>
              <w:jc w:val="center"/>
              <w:rPr>
                <w:rFonts w:cs="Arial"/>
                <w:noProof/>
                <w:color w:val="000000" w:themeColor="text1"/>
                <w:szCs w:val="16"/>
              </w:rPr>
            </w:pPr>
          </w:p>
        </w:tc>
      </w:tr>
      <w:tr w:rsidR="005C29F8" w:rsidRPr="00781112" w14:paraId="2D4810B4" w14:textId="77777777" w:rsidTr="00AB0D6A">
        <w:tc>
          <w:tcPr>
            <w:tcW w:w="1016" w:type="pct"/>
            <w:shd w:val="clear" w:color="auto" w:fill="auto"/>
          </w:tcPr>
          <w:p w14:paraId="6AEFAA10" w14:textId="16E2E3E6" w:rsidR="009A755E" w:rsidRPr="00781112" w:rsidRDefault="009A755E" w:rsidP="00A018D4">
            <w:pPr>
              <w:jc w:val="center"/>
              <w:rPr>
                <w:rFonts w:cs="Arial"/>
                <w:color w:val="000000" w:themeColor="text1"/>
                <w:szCs w:val="16"/>
              </w:rPr>
            </w:pPr>
          </w:p>
        </w:tc>
        <w:tc>
          <w:tcPr>
            <w:tcW w:w="1360" w:type="pct"/>
            <w:shd w:val="clear" w:color="auto" w:fill="auto"/>
          </w:tcPr>
          <w:p w14:paraId="075C05B4" w14:textId="1672B0AC" w:rsidR="009A755E" w:rsidRPr="00781112" w:rsidRDefault="009A755E">
            <w:pPr>
              <w:jc w:val="center"/>
              <w:rPr>
                <w:rFonts w:cs="Arial"/>
                <w:noProof/>
                <w:color w:val="000000" w:themeColor="text1"/>
                <w:szCs w:val="16"/>
              </w:rPr>
            </w:pPr>
          </w:p>
        </w:tc>
        <w:tc>
          <w:tcPr>
            <w:tcW w:w="1355" w:type="pct"/>
            <w:shd w:val="clear" w:color="auto" w:fill="auto"/>
          </w:tcPr>
          <w:p w14:paraId="70536E6E" w14:textId="5BE8198D" w:rsidR="009A755E" w:rsidRPr="00781112" w:rsidRDefault="009A755E">
            <w:pPr>
              <w:jc w:val="center"/>
              <w:rPr>
                <w:rFonts w:cs="Arial"/>
                <w:noProof/>
                <w:color w:val="000000" w:themeColor="text1"/>
                <w:szCs w:val="16"/>
              </w:rPr>
            </w:pPr>
          </w:p>
        </w:tc>
        <w:tc>
          <w:tcPr>
            <w:tcW w:w="1269" w:type="pct"/>
            <w:shd w:val="clear" w:color="auto" w:fill="auto"/>
          </w:tcPr>
          <w:p w14:paraId="4BC059F6" w14:textId="5DCA531E" w:rsidR="009A755E" w:rsidRPr="00781112" w:rsidRDefault="009A755E">
            <w:pPr>
              <w:jc w:val="center"/>
              <w:rPr>
                <w:rFonts w:cs="Arial"/>
                <w:noProof/>
                <w:color w:val="000000" w:themeColor="text1"/>
                <w:szCs w:val="16"/>
              </w:rPr>
            </w:pPr>
          </w:p>
        </w:tc>
      </w:tr>
      <w:tr w:rsidR="00427654" w:rsidRPr="00781112" w14:paraId="396E5878" w14:textId="77777777" w:rsidTr="00AB0D6A">
        <w:tc>
          <w:tcPr>
            <w:tcW w:w="1016" w:type="pct"/>
            <w:shd w:val="clear" w:color="auto" w:fill="auto"/>
          </w:tcPr>
          <w:p w14:paraId="2526939E" w14:textId="4B0F7EA1" w:rsidR="00427654" w:rsidRPr="00781112" w:rsidRDefault="00427654" w:rsidP="00427654">
            <w:pPr>
              <w:jc w:val="center"/>
              <w:rPr>
                <w:rFonts w:cs="Arial"/>
                <w:color w:val="000000" w:themeColor="text1"/>
                <w:szCs w:val="16"/>
              </w:rPr>
            </w:pPr>
          </w:p>
        </w:tc>
        <w:tc>
          <w:tcPr>
            <w:tcW w:w="1360" w:type="pct"/>
            <w:shd w:val="clear" w:color="auto" w:fill="auto"/>
          </w:tcPr>
          <w:p w14:paraId="53F9CFD1" w14:textId="649082E1" w:rsidR="00427654" w:rsidRPr="00781112" w:rsidRDefault="00427654" w:rsidP="00427654">
            <w:pPr>
              <w:jc w:val="center"/>
              <w:rPr>
                <w:rFonts w:cs="Arial"/>
                <w:color w:val="000000" w:themeColor="text1"/>
                <w:szCs w:val="16"/>
              </w:rPr>
            </w:pPr>
          </w:p>
        </w:tc>
        <w:tc>
          <w:tcPr>
            <w:tcW w:w="1355" w:type="pct"/>
            <w:shd w:val="clear" w:color="auto" w:fill="auto"/>
          </w:tcPr>
          <w:p w14:paraId="31A66057" w14:textId="56F35F0C" w:rsidR="00427654" w:rsidRPr="00781112" w:rsidRDefault="00427654" w:rsidP="00427654">
            <w:pPr>
              <w:jc w:val="center"/>
              <w:rPr>
                <w:rFonts w:cs="Arial"/>
                <w:color w:val="000000" w:themeColor="text1"/>
                <w:szCs w:val="16"/>
              </w:rPr>
            </w:pPr>
          </w:p>
        </w:tc>
        <w:tc>
          <w:tcPr>
            <w:tcW w:w="1269" w:type="pct"/>
            <w:shd w:val="clear" w:color="auto" w:fill="auto"/>
          </w:tcPr>
          <w:p w14:paraId="56CAB428" w14:textId="2EB1A710" w:rsidR="00427654" w:rsidRPr="00781112" w:rsidRDefault="00427654" w:rsidP="00427654">
            <w:pPr>
              <w:jc w:val="center"/>
              <w:rPr>
                <w:rFonts w:cs="Arial"/>
                <w:color w:val="000000" w:themeColor="text1"/>
                <w:szCs w:val="16"/>
              </w:rPr>
            </w:pPr>
          </w:p>
        </w:tc>
      </w:tr>
      <w:tr w:rsidR="00427654" w:rsidRPr="00781112" w14:paraId="0E34CBDE" w14:textId="77777777" w:rsidTr="00AB0D6A">
        <w:tc>
          <w:tcPr>
            <w:tcW w:w="1016" w:type="pct"/>
            <w:shd w:val="clear" w:color="auto" w:fill="auto"/>
          </w:tcPr>
          <w:p w14:paraId="4797FB89" w14:textId="78458E90" w:rsidR="00427654" w:rsidRPr="00781112" w:rsidRDefault="00427654" w:rsidP="00427654">
            <w:pPr>
              <w:jc w:val="center"/>
              <w:rPr>
                <w:rFonts w:cs="Arial"/>
                <w:color w:val="000000" w:themeColor="text1"/>
                <w:szCs w:val="16"/>
              </w:rPr>
            </w:pPr>
          </w:p>
        </w:tc>
        <w:tc>
          <w:tcPr>
            <w:tcW w:w="1360" w:type="pct"/>
            <w:shd w:val="clear" w:color="auto" w:fill="auto"/>
          </w:tcPr>
          <w:p w14:paraId="2C99A152" w14:textId="2B976E01" w:rsidR="00427654" w:rsidRPr="00781112" w:rsidRDefault="00427654" w:rsidP="00427654">
            <w:pPr>
              <w:jc w:val="center"/>
              <w:rPr>
                <w:rFonts w:cs="Arial"/>
                <w:color w:val="000000" w:themeColor="text1"/>
                <w:szCs w:val="16"/>
              </w:rPr>
            </w:pPr>
          </w:p>
        </w:tc>
        <w:tc>
          <w:tcPr>
            <w:tcW w:w="1355" w:type="pct"/>
            <w:shd w:val="clear" w:color="auto" w:fill="auto"/>
          </w:tcPr>
          <w:p w14:paraId="1CCE8582" w14:textId="782DE568" w:rsidR="00427654" w:rsidRPr="00781112" w:rsidRDefault="00427654" w:rsidP="00427654">
            <w:pPr>
              <w:jc w:val="center"/>
              <w:rPr>
                <w:rFonts w:cs="Arial"/>
                <w:color w:val="000000" w:themeColor="text1"/>
                <w:szCs w:val="16"/>
              </w:rPr>
            </w:pPr>
          </w:p>
        </w:tc>
        <w:tc>
          <w:tcPr>
            <w:tcW w:w="1269" w:type="pct"/>
            <w:shd w:val="clear" w:color="auto" w:fill="auto"/>
          </w:tcPr>
          <w:p w14:paraId="39E480FA" w14:textId="06CE7186" w:rsidR="00427654" w:rsidRPr="00781112" w:rsidRDefault="00427654" w:rsidP="00427654">
            <w:pPr>
              <w:jc w:val="center"/>
              <w:rPr>
                <w:rFonts w:cs="Arial"/>
                <w:color w:val="000000" w:themeColor="text1"/>
                <w:szCs w:val="16"/>
              </w:rPr>
            </w:pPr>
          </w:p>
        </w:tc>
      </w:tr>
    </w:tbl>
    <w:p w14:paraId="201CFF85" w14:textId="77777777" w:rsidR="00427654" w:rsidRPr="00781112" w:rsidRDefault="00427654" w:rsidP="00455889">
      <w:pPr>
        <w:rPr>
          <w:rFonts w:cs="Arial"/>
          <w:color w:val="000000" w:themeColor="text1"/>
          <w:szCs w:val="16"/>
        </w:rPr>
      </w:pPr>
    </w:p>
    <w:p w14:paraId="2F3E7ED0" w14:textId="1BDCCC61" w:rsidR="004E2151" w:rsidRPr="00781112" w:rsidRDefault="00056350" w:rsidP="005B40C0">
      <w:pPr>
        <w:pStyle w:val="Heading3"/>
      </w:pPr>
      <w:r w:rsidRPr="00781112">
        <w:t>12</w:t>
      </w:r>
      <w:r w:rsidR="004838A4" w:rsidRPr="00781112">
        <w:t xml:space="preserve"> </w:t>
      </w:r>
      <w:r w:rsidRPr="00781112">
        <w:t xml:space="preserve">- </w:t>
      </w:r>
      <w:r w:rsidR="004E2151" w:rsidRPr="00781112">
        <w:t>Prior FFY Required Actions</w:t>
      </w:r>
    </w:p>
    <w:p w14:paraId="3D03A210" w14:textId="19033EA5" w:rsidR="009F69E7"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3F84A4E0" w14:textId="7D05A787" w:rsidR="004E2151" w:rsidRPr="00781112" w:rsidRDefault="007639D7" w:rsidP="004369B2">
      <w:pPr>
        <w:rPr>
          <w:b/>
          <w:color w:val="000000" w:themeColor="text1"/>
        </w:rPr>
      </w:pPr>
      <w:r>
        <w:rPr>
          <w:b/>
          <w:color w:val="000000" w:themeColor="text1"/>
        </w:rPr>
        <w:t>Response to actions required in FFY 2022 SPP/APR</w:t>
      </w:r>
    </w:p>
    <w:p w14:paraId="5EB5FDCA" w14:textId="5CB823AF" w:rsidR="004E2151" w:rsidRPr="00781112" w:rsidRDefault="002B7490" w:rsidP="004E2151">
      <w:pPr>
        <w:rPr>
          <w:rFonts w:cs="Arial"/>
          <w:color w:val="000000" w:themeColor="text1"/>
          <w:szCs w:val="16"/>
        </w:rPr>
      </w:pPr>
      <w:r w:rsidRPr="00781112">
        <w:rPr>
          <w:rFonts w:cs="Arial"/>
          <w:color w:val="000000" w:themeColor="text1"/>
          <w:szCs w:val="16"/>
        </w:rPr>
        <w:t>Describe how the State verified that the source of noncompliance is correctly implementing the regulatory requirements</w:t>
      </w:r>
      <w:r w:rsidRPr="00781112">
        <w:rPr>
          <w:rFonts w:cs="Arial"/>
          <w:color w:val="000000" w:themeColor="text1"/>
          <w:szCs w:val="16"/>
        </w:rPr>
        <w:br/>
      </w:r>
      <w:r w:rsidRPr="00781112">
        <w:rPr>
          <w:rFonts w:cs="Arial"/>
          <w:color w:val="000000" w:themeColor="text1"/>
          <w:szCs w:val="16"/>
        </w:rPr>
        <w:br/>
        <w:t>In FFY 2022, 97.28% (147/143) of child files that the State reviewed for transition from Part C to Part B demonstrated eligibility determination and IEP implementation by the third birthdays.</w:t>
      </w:r>
      <w:r w:rsidRPr="00781112">
        <w:rPr>
          <w:rFonts w:cs="Arial"/>
          <w:color w:val="000000" w:themeColor="text1"/>
          <w:szCs w:val="16"/>
        </w:rPr>
        <w:br/>
      </w:r>
      <w:r w:rsidRPr="00781112">
        <w:rPr>
          <w:rFonts w:cs="Arial"/>
          <w:color w:val="000000" w:themeColor="text1"/>
          <w:szCs w:val="16"/>
        </w:rPr>
        <w:br/>
        <w:t>The State verified that 100% (4/4) of findings of noncompliance in FFY 2022 were corrected within one year and that the program with noncompliance demonstrated correction of practices that contributed to the noncompliance, as well as current compliance with 34 CFR §300.124 based on a review corrective action and new files submitted in SPR&amp;I and subsequent review of those files in ecWeb, the statewide EI/ECSE special education database. Verifications were completed as per OSEP QA 23-01.</w:t>
      </w:r>
      <w:r w:rsidRPr="00781112">
        <w:rPr>
          <w:rFonts w:cs="Arial"/>
          <w:color w:val="000000" w:themeColor="text1"/>
          <w:szCs w:val="16"/>
        </w:rPr>
        <w:br/>
      </w:r>
      <w:r w:rsidRPr="00781112">
        <w:rPr>
          <w:rFonts w:cs="Arial"/>
          <w:color w:val="000000" w:themeColor="text1"/>
          <w:szCs w:val="16"/>
        </w:rPr>
        <w:br/>
        <w:t>Describe how the State verified that each individual case of noncompliance was corrected</w:t>
      </w:r>
      <w:r w:rsidRPr="00781112">
        <w:rPr>
          <w:rFonts w:cs="Arial"/>
          <w:color w:val="000000" w:themeColor="text1"/>
          <w:szCs w:val="16"/>
        </w:rPr>
        <w:br/>
      </w:r>
      <w:r w:rsidRPr="00781112">
        <w:rPr>
          <w:rFonts w:cs="Arial"/>
          <w:color w:val="000000" w:themeColor="text1"/>
          <w:szCs w:val="16"/>
        </w:rPr>
        <w:br/>
        <w:t>The State verified through data submission to SPR&amp;I and review of those files in ecWeb, that 100% (4/4) of incidents of noncompliance in FFY 2022 were corrected within one year and that the program with noncompliance developed an IEP for each child, unless the child was no longer within the jurisdiction of the Local Education Agency. The program with noncompliance provided through SPR&amp;I the cause of the noncompliance and demonstrated correction of practices that contributed to the noncompliance through subsequent data submission (additional file reviews) to SPR&amp;I. The State reviewed, verified, and approved the corrective actions and the program is correctly implementing the specific regulatory requirements. Corrective actions and individual files were reviewed by ODE using ecWeb the statewide EI/ECSE special education database. Corrections were completed as per OSEP QA 23-01</w:t>
      </w:r>
    </w:p>
    <w:p w14:paraId="29993C29" w14:textId="00995379" w:rsidR="007F5071" w:rsidRPr="00781112" w:rsidRDefault="00056350" w:rsidP="005B40C0">
      <w:pPr>
        <w:pStyle w:val="Heading3"/>
      </w:pPr>
      <w:r w:rsidRPr="00781112">
        <w:t>12 - OSEP Response</w:t>
      </w:r>
    </w:p>
    <w:p w14:paraId="25E9178D" w14:textId="14A4C34F" w:rsidR="00326C0B" w:rsidRPr="00781112" w:rsidRDefault="00326C0B" w:rsidP="00212954">
      <w:pPr>
        <w:rPr>
          <w:rFonts w:cs="Arial"/>
          <w:color w:val="000000" w:themeColor="text1"/>
          <w:szCs w:val="16"/>
        </w:rPr>
      </w:pPr>
    </w:p>
    <w:p w14:paraId="06759F0A" w14:textId="1523FF35" w:rsidR="007F5071" w:rsidRPr="00781112" w:rsidRDefault="00056350" w:rsidP="005B40C0">
      <w:pPr>
        <w:pStyle w:val="Heading3"/>
      </w:pPr>
      <w:r w:rsidRPr="00781112">
        <w:t>12 - Required Actions</w:t>
      </w:r>
    </w:p>
    <w:p w14:paraId="57889B20" w14:textId="73162143" w:rsidR="00326C0B"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09BE7DCF"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117517B2" w14:textId="1ECF1753" w:rsidR="00D03701" w:rsidRPr="00781112" w:rsidRDefault="00D03701" w:rsidP="005B40C0">
      <w:pPr>
        <w:pStyle w:val="Heading2"/>
      </w:pPr>
      <w:r w:rsidRPr="00781112">
        <w:rPr>
          <w:color w:val="000000" w:themeColor="text1"/>
          <w:sz w:val="22"/>
        </w:rPr>
        <w:lastRenderedPageBreak/>
        <w:t>Indicator 13: Secondary Transition</w:t>
      </w:r>
    </w:p>
    <w:p w14:paraId="20F3CA53" w14:textId="7C76A029" w:rsidR="00D04044" w:rsidRPr="002C274F" w:rsidRDefault="00D04044" w:rsidP="002C274F">
      <w:pPr>
        <w:rPr>
          <w:b/>
          <w:bCs/>
          <w:sz w:val="20"/>
          <w:szCs w:val="20"/>
        </w:rPr>
      </w:pPr>
      <w:bookmarkStart w:id="78" w:name="_Toc384383363"/>
      <w:bookmarkStart w:id="79" w:name="_Toc392159331"/>
      <w:r w:rsidRPr="002C274F">
        <w:rPr>
          <w:b/>
          <w:bCs/>
          <w:sz w:val="20"/>
          <w:szCs w:val="20"/>
        </w:rPr>
        <w:t>Instructions and Measurement</w:t>
      </w:r>
    </w:p>
    <w:p w14:paraId="541AD2D1" w14:textId="15B7D425" w:rsidR="001F3A65" w:rsidRPr="00781112" w:rsidRDefault="001F3A65" w:rsidP="009447A3">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Effective Transition</w:t>
      </w:r>
    </w:p>
    <w:p w14:paraId="2098A995" w14:textId="53B9EFCD" w:rsidR="0096257C" w:rsidRPr="00781112" w:rsidRDefault="001F3A65" w:rsidP="009447A3">
      <w:pPr>
        <w:rPr>
          <w:rFonts w:cs="Arial"/>
          <w:color w:val="000000" w:themeColor="text1"/>
          <w:szCs w:val="16"/>
        </w:rPr>
      </w:pPr>
      <w:r w:rsidRPr="00781112">
        <w:rPr>
          <w:rFonts w:cs="Arial"/>
          <w:b/>
          <w:color w:val="000000" w:themeColor="text1"/>
          <w:szCs w:val="16"/>
        </w:rPr>
        <w:t>Compliance indicator</w:t>
      </w:r>
      <w:r w:rsidRPr="00781112">
        <w:rPr>
          <w:rFonts w:cs="Arial"/>
          <w:color w:val="000000" w:themeColor="text1"/>
          <w:szCs w:val="16"/>
        </w:rPr>
        <w:t xml:space="preserve">: Percent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C973D4"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w:t>
      </w:r>
    </w:p>
    <w:p w14:paraId="24167CE3" w14:textId="32AC8C8C" w:rsidR="001F3A65" w:rsidRPr="00781112" w:rsidRDefault="001F3A65" w:rsidP="009447A3">
      <w:pPr>
        <w:rPr>
          <w:rFonts w:cs="Arial"/>
          <w:color w:val="000000" w:themeColor="text1"/>
          <w:szCs w:val="16"/>
        </w:rPr>
      </w:pPr>
      <w:r w:rsidRPr="00781112">
        <w:rPr>
          <w:rFonts w:cs="Arial"/>
          <w:color w:val="000000" w:themeColor="text1"/>
          <w:szCs w:val="16"/>
        </w:rPr>
        <w:t xml:space="preserve"> (20 U.S.C. 1416(a)(3)(B))</w:t>
      </w:r>
    </w:p>
    <w:p w14:paraId="1BD1BDBD" w14:textId="77777777" w:rsidR="0096257C" w:rsidRPr="00781112" w:rsidRDefault="0096257C" w:rsidP="004369B2">
      <w:pPr>
        <w:rPr>
          <w:color w:val="000000" w:themeColor="text1"/>
        </w:rPr>
      </w:pPr>
      <w:r w:rsidRPr="00781112">
        <w:rPr>
          <w:b/>
          <w:color w:val="000000" w:themeColor="text1"/>
        </w:rPr>
        <w:t>Data Source</w:t>
      </w:r>
    </w:p>
    <w:p w14:paraId="5868BA99" w14:textId="77777777" w:rsidR="0096257C" w:rsidRPr="00781112" w:rsidRDefault="0096257C" w:rsidP="00286BDF">
      <w:pPr>
        <w:rPr>
          <w:rFonts w:cs="Arial"/>
          <w:color w:val="000000" w:themeColor="text1"/>
          <w:szCs w:val="16"/>
        </w:rPr>
      </w:pPr>
      <w:r w:rsidRPr="00781112">
        <w:rPr>
          <w:rFonts w:cs="Arial"/>
          <w:color w:val="000000" w:themeColor="text1"/>
          <w:szCs w:val="16"/>
          <w:shd w:val="clear" w:color="auto" w:fill="FFFFFF"/>
        </w:rPr>
        <w:t>Data to be taken from State monitoring or State data system.</w:t>
      </w:r>
    </w:p>
    <w:p w14:paraId="44CB6F9A" w14:textId="71312CEA" w:rsidR="0096257C" w:rsidRPr="00781112" w:rsidRDefault="0096257C" w:rsidP="004369B2">
      <w:pPr>
        <w:rPr>
          <w:color w:val="000000" w:themeColor="text1"/>
        </w:rPr>
      </w:pPr>
      <w:r w:rsidRPr="00781112">
        <w:rPr>
          <w:b/>
          <w:color w:val="000000" w:themeColor="text1"/>
        </w:rPr>
        <w:t>Measurement</w:t>
      </w:r>
    </w:p>
    <w:p w14:paraId="780214FF" w14:textId="487AF808" w:rsidR="00B67038" w:rsidRPr="00781112" w:rsidRDefault="00B67038" w:rsidP="00286BDF">
      <w:pPr>
        <w:rPr>
          <w:rFonts w:cs="Arial"/>
          <w:color w:val="000000" w:themeColor="text1"/>
          <w:szCs w:val="16"/>
        </w:rPr>
      </w:pPr>
      <w:r w:rsidRPr="00781112">
        <w:rPr>
          <w:rFonts w:cs="Arial"/>
          <w:color w:val="000000" w:themeColor="text1"/>
          <w:szCs w:val="16"/>
        </w:rPr>
        <w:t xml:space="preserve">Percent = [(# of youth with IEPs aged 16 and above with an IEP that includes appropriate measurable postsecondary goals that are annually updated and based upon an age appropriate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t>
      </w:r>
      <w:r w:rsidR="006D650D" w:rsidRPr="00781112">
        <w:rPr>
          <w:rFonts w:cs="Arial"/>
          <w:szCs w:val="16"/>
        </w:rPr>
        <w:t xml:space="preserve">that is likely to be responsible for providing or paying for transition services, including, if appropriate, pre-employment transition services, </w:t>
      </w:r>
      <w:r w:rsidRPr="00781112">
        <w:rPr>
          <w:rFonts w:cs="Arial"/>
          <w:color w:val="000000" w:themeColor="text1"/>
          <w:szCs w:val="16"/>
        </w:rPr>
        <w:t>was invited to the IEP Team meeting with the prior consent of the parent or student who has reached the age of majority) divided by the (# of youth with an IEP age 16 and above)] times 100.</w:t>
      </w:r>
    </w:p>
    <w:p w14:paraId="0695051F" w14:textId="0AB8CE10" w:rsidR="00B67038" w:rsidRPr="00781112" w:rsidRDefault="00B67038" w:rsidP="00286BDF">
      <w:pPr>
        <w:rPr>
          <w:rFonts w:cs="Arial"/>
          <w:color w:val="000000" w:themeColor="text1"/>
          <w:szCs w:val="16"/>
        </w:rPr>
      </w:pPr>
      <w:r w:rsidRPr="00781112">
        <w:rPr>
          <w:rFonts w:cs="Arial"/>
          <w:color w:val="000000" w:themeColor="text1"/>
          <w:szCs w:val="16"/>
        </w:rPr>
        <w:t>If a State’s policies and procedures provide that public agencies must meet these requirements at an age younger than 16, the State may, but is not required to, choose to include youth beginning at that younger age in its data for this indicator. If a State chooses to do this, it must state this clearly in its SPP/APR and ensure that its baseline data are based on youth beginning at that younger age.</w:t>
      </w:r>
    </w:p>
    <w:p w14:paraId="6D498B21" w14:textId="77777777" w:rsidR="0096257C" w:rsidRPr="00781112" w:rsidRDefault="0096257C" w:rsidP="004369B2">
      <w:pPr>
        <w:rPr>
          <w:color w:val="000000" w:themeColor="text1"/>
        </w:rPr>
      </w:pPr>
      <w:r w:rsidRPr="00781112">
        <w:rPr>
          <w:b/>
          <w:color w:val="000000" w:themeColor="text1"/>
        </w:rPr>
        <w:t>Instructions</w:t>
      </w:r>
    </w:p>
    <w:p w14:paraId="7B194027" w14:textId="77777777" w:rsidR="00B67038" w:rsidRPr="00781112" w:rsidRDefault="00B67038" w:rsidP="00286BDF">
      <w:pPr>
        <w:rPr>
          <w:rFonts w:cs="Arial"/>
          <w:i/>
          <w:iCs/>
          <w:color w:val="000000" w:themeColor="text1"/>
          <w:szCs w:val="16"/>
        </w:rPr>
      </w:pPr>
      <w:r w:rsidRPr="00781112">
        <w:rPr>
          <w:rFonts w:cs="Arial"/>
          <w:i/>
          <w:iCs/>
          <w:color w:val="000000" w:themeColor="text1"/>
          <w:szCs w:val="16"/>
        </w:rPr>
        <w:t>If data are from State monitoring, describe the method used to select LEAs for monitoring. If data are from a State database, include data for the entire reporting year.</w:t>
      </w:r>
    </w:p>
    <w:p w14:paraId="12BF2230" w14:textId="77777777" w:rsidR="00B67038" w:rsidRPr="00781112" w:rsidRDefault="00B67038" w:rsidP="00286BDF">
      <w:pPr>
        <w:rPr>
          <w:rFonts w:cs="Arial"/>
          <w:color w:val="000000" w:themeColor="text1"/>
          <w:szCs w:val="16"/>
        </w:rPr>
      </w:pPr>
      <w:r w:rsidRPr="00781112">
        <w:rPr>
          <w:rFonts w:cs="Arial"/>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the actual numbers used in the calculation.</w:t>
      </w:r>
    </w:p>
    <w:p w14:paraId="498F5564" w14:textId="77777777" w:rsidR="00B67038" w:rsidRPr="00781112" w:rsidRDefault="00B67038" w:rsidP="00286BDF">
      <w:pPr>
        <w:rPr>
          <w:rFonts w:cs="Arial"/>
          <w:color w:val="000000" w:themeColor="text1"/>
          <w:szCs w:val="16"/>
        </w:rPr>
      </w:pPr>
      <w:r w:rsidRPr="00781112">
        <w:rPr>
          <w:rFonts w:cs="Arial"/>
          <w:color w:val="000000" w:themeColor="text1"/>
          <w:szCs w:val="16"/>
        </w:rPr>
        <w:t>Targets must be 100%.</w:t>
      </w:r>
    </w:p>
    <w:p w14:paraId="1ACBC1E2" w14:textId="1799E0F6" w:rsidR="00B67038" w:rsidRPr="00781112" w:rsidRDefault="00B67038" w:rsidP="00286BDF">
      <w:pPr>
        <w:rPr>
          <w:rFonts w:cs="Arial"/>
          <w:color w:val="000000" w:themeColor="text1"/>
          <w:szCs w:val="16"/>
        </w:rPr>
      </w:pPr>
      <w:r w:rsidRPr="00781112">
        <w:rPr>
          <w:rFonts w:cs="Arial"/>
          <w:color w:val="000000" w:themeColor="text1"/>
          <w:szCs w:val="16"/>
        </w:rPr>
        <w:t xml:space="preserve">Provide detailed information about the timely correction of </w:t>
      </w:r>
      <w:bookmarkStart w:id="80" w:name="_Hlk150864402"/>
      <w:r w:rsidR="00F047EF" w:rsidRPr="00F047EF">
        <w:rPr>
          <w:rFonts w:cs="Arial"/>
          <w:color w:val="000000" w:themeColor="text1"/>
          <w:szCs w:val="16"/>
        </w:rPr>
        <w:t>child-specific and regulatory/systemic</w:t>
      </w:r>
      <w:r w:rsidR="00F047EF">
        <w:rPr>
          <w:sz w:val="20"/>
        </w:rPr>
        <w:t xml:space="preserve"> </w:t>
      </w:r>
      <w:bookmarkEnd w:id="80"/>
      <w:r w:rsidRPr="00781112">
        <w:rPr>
          <w:rFonts w:cs="Arial"/>
          <w:color w:val="000000" w:themeColor="text1"/>
          <w:szCs w:val="16"/>
        </w:rPr>
        <w:t>noncompliance as noted in OSEP’s response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improvement activities completed (e.g., review of policies and procedures, technical assistance, training) and any enforcement actions that were taken.</w:t>
      </w:r>
    </w:p>
    <w:p w14:paraId="15D9CBCD" w14:textId="3EBEE46A" w:rsidR="00B67038" w:rsidRDefault="003A4027" w:rsidP="00286BDF">
      <w:pPr>
        <w:rPr>
          <w:rFonts w:cs="Arial"/>
          <w:color w:val="000000" w:themeColor="text1"/>
          <w:szCs w:val="16"/>
        </w:rPr>
      </w:pPr>
      <w:r w:rsidRPr="00781112">
        <w:rPr>
          <w:rFonts w:cs="Arial"/>
          <w:color w:val="000000" w:themeColor="text1"/>
          <w:szCs w:val="16"/>
        </w:rPr>
        <w:t>If the State reported less than 100% compliance for the previous reporting period (e.g., for the FFY 2023 SPP/APR, the data for FFY 2022), and the State did not identify any findings of noncompliance, provide an explanation of why the State did not identify any findings of noncompliance.</w:t>
      </w:r>
    </w:p>
    <w:p w14:paraId="063DB23E" w14:textId="77777777" w:rsidR="00655489" w:rsidRPr="00FE4611" w:rsidRDefault="00655489" w:rsidP="00655489">
      <w:pPr>
        <w:rPr>
          <w:rFonts w:cs="Arial"/>
          <w:szCs w:val="16"/>
        </w:rPr>
      </w:pPr>
      <w:r w:rsidRPr="002049C0">
        <w:rPr>
          <w:rFonts w:cs="Arial"/>
          <w:szCs w:val="16"/>
        </w:rPr>
        <w:t>Beginning with the FFY 2024 SPP/APR (due February 2, 2026), if the State did not issue any findings because it has adopted procedures that permit its LEAs to correct noncompliance prior to the State’s issuance of a finding (i.e., pre-finding correction), the explanation within each applicable indicator must include how the State verified, prior to issuing a finding, that the LEA has corrected each individual case of child-specific noncompliance and is correctly implementing the specific regulatory requirements.</w:t>
      </w:r>
    </w:p>
    <w:p w14:paraId="3ACF8252" w14:textId="77777777" w:rsidR="00655489" w:rsidRPr="00781112" w:rsidRDefault="00655489" w:rsidP="00286BDF">
      <w:pPr>
        <w:rPr>
          <w:rFonts w:cs="Arial"/>
          <w:color w:val="000000" w:themeColor="text1"/>
          <w:szCs w:val="16"/>
        </w:rPr>
      </w:pPr>
    </w:p>
    <w:p w14:paraId="43E6D66A" w14:textId="21025B37" w:rsidR="00D04044" w:rsidRPr="00781112" w:rsidRDefault="00056350" w:rsidP="005B40C0">
      <w:pPr>
        <w:pStyle w:val="Heading3"/>
      </w:pPr>
      <w:bookmarkStart w:id="81" w:name="_Toc384383364"/>
      <w:bookmarkStart w:id="82" w:name="_Toc392159332"/>
      <w:bookmarkEnd w:id="78"/>
      <w:bookmarkEnd w:id="79"/>
      <w:r w:rsidRPr="00781112">
        <w:t>13</w:t>
      </w:r>
      <w:r w:rsidR="004838A4" w:rsidRPr="00781112">
        <w:t xml:space="preserve"> </w:t>
      </w:r>
      <w:r w:rsidRPr="00781112">
        <w:t xml:space="preserve">- </w:t>
      </w:r>
      <w:r w:rsidR="00D04044" w:rsidRPr="00781112">
        <w:t>Indicator Data</w:t>
      </w:r>
    </w:p>
    <w:p w14:paraId="61C4C68D" w14:textId="294F0305" w:rsidR="009447A3" w:rsidRPr="00781112" w:rsidRDefault="009447A3"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3BASELINEDATA"/>
      </w:tblPr>
      <w:tblGrid>
        <w:gridCol w:w="1797"/>
        <w:gridCol w:w="1798"/>
      </w:tblGrid>
      <w:tr w:rsidR="00694A39" w:rsidRPr="00781112" w14:paraId="03B988E1" w14:textId="77777777" w:rsidTr="00123D76">
        <w:trPr>
          <w:trHeight w:val="311"/>
          <w:tblHeader/>
        </w:trPr>
        <w:tc>
          <w:tcPr>
            <w:tcW w:w="1797" w:type="dxa"/>
          </w:tcPr>
          <w:p w14:paraId="74B6B294" w14:textId="77777777" w:rsidR="00694A39" w:rsidRPr="00781112" w:rsidRDefault="00694A39" w:rsidP="00123D76">
            <w:pPr>
              <w:jc w:val="center"/>
              <w:rPr>
                <w:b/>
                <w:color w:val="000000" w:themeColor="text1"/>
              </w:rPr>
            </w:pPr>
            <w:r w:rsidRPr="00781112">
              <w:rPr>
                <w:rFonts w:cs="Arial"/>
                <w:b/>
                <w:color w:val="000000" w:themeColor="text1"/>
                <w:szCs w:val="16"/>
              </w:rPr>
              <w:t>Baseline Year</w:t>
            </w:r>
          </w:p>
        </w:tc>
        <w:tc>
          <w:tcPr>
            <w:tcW w:w="1798" w:type="dxa"/>
          </w:tcPr>
          <w:p w14:paraId="1FEDE010" w14:textId="77777777" w:rsidR="00694A39" w:rsidRPr="00781112" w:rsidRDefault="00694A39" w:rsidP="00123D76">
            <w:pPr>
              <w:jc w:val="center"/>
              <w:rPr>
                <w:b/>
                <w:color w:val="000000" w:themeColor="text1"/>
              </w:rPr>
            </w:pPr>
            <w:r w:rsidRPr="00781112">
              <w:rPr>
                <w:b/>
                <w:color w:val="000000" w:themeColor="text1"/>
              </w:rPr>
              <w:t>Baseline Data</w:t>
            </w:r>
          </w:p>
        </w:tc>
      </w:tr>
      <w:tr w:rsidR="00694A39" w:rsidRPr="00781112" w14:paraId="6D8D944B" w14:textId="77777777" w:rsidTr="00123D76">
        <w:trPr>
          <w:trHeight w:val="311"/>
        </w:trPr>
        <w:tc>
          <w:tcPr>
            <w:tcW w:w="1797" w:type="dxa"/>
            <w:vAlign w:val="center"/>
          </w:tcPr>
          <w:p w14:paraId="7FC4C2A7" w14:textId="00CC5CF2" w:rsidR="00694A39" w:rsidRPr="00781112" w:rsidRDefault="00694A39" w:rsidP="00123D76">
            <w:pPr>
              <w:jc w:val="center"/>
              <w:rPr>
                <w:bCs/>
                <w:color w:val="000000" w:themeColor="text1"/>
              </w:rPr>
            </w:pPr>
            <w:r w:rsidRPr="00781112">
              <w:rPr>
                <w:bCs/>
                <w:color w:val="000000" w:themeColor="text1"/>
              </w:rPr>
              <w:t>2020</w:t>
            </w:r>
          </w:p>
        </w:tc>
        <w:tc>
          <w:tcPr>
            <w:tcW w:w="1798" w:type="dxa"/>
            <w:vAlign w:val="center"/>
          </w:tcPr>
          <w:p w14:paraId="3A6C733C" w14:textId="66F52DB8" w:rsidR="00694A39" w:rsidRPr="00781112" w:rsidRDefault="00694A39" w:rsidP="00123D76">
            <w:pPr>
              <w:jc w:val="center"/>
              <w:rPr>
                <w:bCs/>
                <w:color w:val="000000" w:themeColor="text1"/>
              </w:rPr>
            </w:pPr>
            <w:r w:rsidRPr="00781112">
              <w:rPr>
                <w:bCs/>
                <w:color w:val="000000" w:themeColor="text1"/>
              </w:rPr>
              <w:t>81.47%</w:t>
            </w:r>
          </w:p>
        </w:tc>
      </w:tr>
    </w:tbl>
    <w:p w14:paraId="5733AE68" w14:textId="77777777" w:rsidR="00694A39" w:rsidRPr="00781112" w:rsidRDefault="00694A39"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HISTDATA"/>
      </w:tblPr>
      <w:tblGrid>
        <w:gridCol w:w="1798"/>
        <w:gridCol w:w="1798"/>
        <w:gridCol w:w="1798"/>
        <w:gridCol w:w="1798"/>
        <w:gridCol w:w="1798"/>
        <w:gridCol w:w="1800"/>
      </w:tblGrid>
      <w:tr w:rsidR="005C29F8" w:rsidRPr="00781112" w14:paraId="687251DC" w14:textId="77777777" w:rsidTr="00943314">
        <w:trPr>
          <w:trHeight w:val="350"/>
        </w:trPr>
        <w:tc>
          <w:tcPr>
            <w:tcW w:w="833" w:type="pct"/>
            <w:tcBorders>
              <w:bottom w:val="single" w:sz="4" w:space="0" w:color="auto"/>
            </w:tcBorders>
            <w:shd w:val="clear" w:color="auto" w:fill="auto"/>
          </w:tcPr>
          <w:p w14:paraId="14E01593" w14:textId="77777777" w:rsidR="009447A3" w:rsidRPr="00781112" w:rsidRDefault="009447A3"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73A85907" w14:textId="1D9118C1" w:rsidR="009447A3"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1C6C5D54" w14:textId="213C7749" w:rsidR="009447A3"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044515B1" w14:textId="14B45245" w:rsidR="009447A3"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695DE74A" w14:textId="50B444D4" w:rsidR="009447A3"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527EE05E" w14:textId="3E89E5BC" w:rsidR="009447A3"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0A07B33E" w14:textId="77777777" w:rsidTr="00943314">
        <w:trPr>
          <w:trHeight w:val="357"/>
        </w:trPr>
        <w:tc>
          <w:tcPr>
            <w:tcW w:w="833" w:type="pct"/>
            <w:shd w:val="clear" w:color="auto" w:fill="auto"/>
          </w:tcPr>
          <w:p w14:paraId="04BB4B5A" w14:textId="7106977F" w:rsidR="009447A3" w:rsidRPr="00781112" w:rsidRDefault="009447A3" w:rsidP="00BA3DBE">
            <w:pPr>
              <w:jc w:val="center"/>
              <w:rPr>
                <w:rFonts w:cs="Arial"/>
                <w:color w:val="000000" w:themeColor="text1"/>
                <w:szCs w:val="16"/>
              </w:rPr>
            </w:pPr>
            <w:r w:rsidRPr="00781112">
              <w:rPr>
                <w:rFonts w:cs="Arial"/>
                <w:color w:val="000000" w:themeColor="text1"/>
                <w:szCs w:val="16"/>
              </w:rPr>
              <w:t>Target</w:t>
            </w:r>
          </w:p>
        </w:tc>
        <w:tc>
          <w:tcPr>
            <w:tcW w:w="833" w:type="pct"/>
            <w:shd w:val="clear" w:color="auto" w:fill="auto"/>
          </w:tcPr>
          <w:p w14:paraId="20467ACA" w14:textId="658A99BC"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4AE1489C" w14:textId="1138B82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3FAB6F79" w14:textId="47FCCD56"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3" w:type="pct"/>
            <w:shd w:val="clear" w:color="auto" w:fill="auto"/>
          </w:tcPr>
          <w:p w14:paraId="2EE056E4" w14:textId="485E460A"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834" w:type="pct"/>
            <w:shd w:val="clear" w:color="auto" w:fill="auto"/>
          </w:tcPr>
          <w:p w14:paraId="6F722BD0" w14:textId="06244133" w:rsidR="009447A3" w:rsidRPr="00781112" w:rsidRDefault="00B16A26" w:rsidP="004369B2">
            <w:pPr>
              <w:jc w:val="center"/>
              <w:rPr>
                <w:rFonts w:cs="Arial"/>
                <w:color w:val="000000" w:themeColor="text1"/>
                <w:szCs w:val="16"/>
              </w:rPr>
            </w:pPr>
            <w:r w:rsidRPr="00781112">
              <w:rPr>
                <w:rFonts w:cs="Arial"/>
                <w:color w:val="000000" w:themeColor="text1"/>
                <w:szCs w:val="16"/>
              </w:rPr>
              <w:t>100%</w:t>
            </w:r>
          </w:p>
        </w:tc>
      </w:tr>
      <w:tr w:rsidR="005C29F8" w:rsidRPr="00781112" w14:paraId="4403D1A8" w14:textId="77777777" w:rsidTr="00943314">
        <w:trPr>
          <w:trHeight w:val="85"/>
        </w:trPr>
        <w:tc>
          <w:tcPr>
            <w:tcW w:w="833" w:type="pct"/>
            <w:shd w:val="clear" w:color="auto" w:fill="auto"/>
          </w:tcPr>
          <w:p w14:paraId="6473FB8E" w14:textId="77777777" w:rsidR="009447A3" w:rsidRPr="00781112" w:rsidRDefault="009447A3"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08672F7" w14:textId="4FDD51CC" w:rsidR="009447A3" w:rsidRPr="00781112" w:rsidRDefault="002B7490" w:rsidP="004369B2">
            <w:pPr>
              <w:jc w:val="center"/>
              <w:rPr>
                <w:rFonts w:cs="Arial"/>
                <w:color w:val="000000" w:themeColor="text1"/>
                <w:szCs w:val="16"/>
              </w:rPr>
            </w:pPr>
            <w:r w:rsidRPr="00781112">
              <w:rPr>
                <w:rFonts w:cs="Arial"/>
                <w:color w:val="000000" w:themeColor="text1"/>
                <w:szCs w:val="16"/>
              </w:rPr>
              <w:t>80.83%</w:t>
            </w:r>
          </w:p>
        </w:tc>
        <w:tc>
          <w:tcPr>
            <w:tcW w:w="833" w:type="pct"/>
            <w:shd w:val="clear" w:color="auto" w:fill="auto"/>
          </w:tcPr>
          <w:p w14:paraId="50F55BA6" w14:textId="73CC9B0F" w:rsidR="009447A3" w:rsidRPr="00781112" w:rsidRDefault="002B7490" w:rsidP="004369B2">
            <w:pPr>
              <w:jc w:val="center"/>
              <w:rPr>
                <w:rFonts w:cs="Arial"/>
                <w:color w:val="000000" w:themeColor="text1"/>
                <w:szCs w:val="16"/>
              </w:rPr>
            </w:pPr>
            <w:r w:rsidRPr="00781112">
              <w:rPr>
                <w:rFonts w:cs="Arial"/>
                <w:color w:val="000000" w:themeColor="text1"/>
                <w:szCs w:val="16"/>
              </w:rPr>
              <w:t>82.35%</w:t>
            </w:r>
          </w:p>
        </w:tc>
        <w:tc>
          <w:tcPr>
            <w:tcW w:w="833" w:type="pct"/>
            <w:tcBorders>
              <w:bottom w:val="single" w:sz="4" w:space="0" w:color="auto"/>
            </w:tcBorders>
            <w:shd w:val="clear" w:color="auto" w:fill="auto"/>
            <w:vAlign w:val="center"/>
          </w:tcPr>
          <w:p w14:paraId="6FC9DB0D" w14:textId="5188F524" w:rsidR="009447A3" w:rsidRPr="00781112" w:rsidRDefault="002B7490" w:rsidP="004369B2">
            <w:pPr>
              <w:jc w:val="center"/>
              <w:rPr>
                <w:rFonts w:cs="Arial"/>
                <w:color w:val="000000" w:themeColor="text1"/>
                <w:szCs w:val="16"/>
              </w:rPr>
            </w:pPr>
            <w:r w:rsidRPr="00781112">
              <w:rPr>
                <w:rFonts w:cs="Arial"/>
                <w:color w:val="000000" w:themeColor="text1"/>
                <w:szCs w:val="16"/>
              </w:rPr>
              <w:t>81.47%</w:t>
            </w:r>
          </w:p>
        </w:tc>
        <w:tc>
          <w:tcPr>
            <w:tcW w:w="833" w:type="pct"/>
            <w:tcBorders>
              <w:bottom w:val="single" w:sz="4" w:space="0" w:color="auto"/>
            </w:tcBorders>
            <w:shd w:val="clear" w:color="auto" w:fill="auto"/>
            <w:vAlign w:val="center"/>
          </w:tcPr>
          <w:p w14:paraId="2DE56335" w14:textId="11069C36" w:rsidR="009447A3" w:rsidRPr="00781112" w:rsidRDefault="002B7490" w:rsidP="004369B2">
            <w:pPr>
              <w:jc w:val="center"/>
              <w:rPr>
                <w:rFonts w:cs="Arial"/>
                <w:color w:val="000000" w:themeColor="text1"/>
                <w:szCs w:val="16"/>
              </w:rPr>
            </w:pPr>
            <w:r w:rsidRPr="00781112">
              <w:rPr>
                <w:rFonts w:cs="Arial"/>
                <w:color w:val="000000" w:themeColor="text1"/>
                <w:szCs w:val="16"/>
              </w:rPr>
              <w:t>78.98%</w:t>
            </w:r>
          </w:p>
        </w:tc>
        <w:tc>
          <w:tcPr>
            <w:tcW w:w="834" w:type="pct"/>
            <w:tcBorders>
              <w:bottom w:val="single" w:sz="4" w:space="0" w:color="auto"/>
            </w:tcBorders>
            <w:shd w:val="clear" w:color="auto" w:fill="auto"/>
            <w:vAlign w:val="center"/>
          </w:tcPr>
          <w:p w14:paraId="541BA7DE" w14:textId="2D80E9D8" w:rsidR="009447A3" w:rsidRPr="00781112" w:rsidRDefault="002B7490" w:rsidP="004369B2">
            <w:pPr>
              <w:jc w:val="center"/>
              <w:rPr>
                <w:rFonts w:cs="Arial"/>
                <w:color w:val="000000" w:themeColor="text1"/>
                <w:szCs w:val="16"/>
              </w:rPr>
            </w:pPr>
            <w:r w:rsidRPr="00781112">
              <w:rPr>
                <w:rFonts w:cs="Arial"/>
                <w:color w:val="000000" w:themeColor="text1"/>
                <w:szCs w:val="16"/>
              </w:rPr>
              <w:t>62.12%</w:t>
            </w:r>
          </w:p>
        </w:tc>
      </w:tr>
    </w:tbl>
    <w:p w14:paraId="30C8D33B" w14:textId="77777777" w:rsidR="00AF12E4" w:rsidRPr="00781112" w:rsidRDefault="00AF12E4" w:rsidP="004369B2">
      <w:pPr>
        <w:rPr>
          <w:color w:val="000000" w:themeColor="text1"/>
        </w:rPr>
      </w:pPr>
    </w:p>
    <w:p w14:paraId="75465A8F" w14:textId="65C77B0F" w:rsidR="007A3964" w:rsidRPr="00781112" w:rsidRDefault="007A3964" w:rsidP="004369B2">
      <w:pPr>
        <w:rPr>
          <w:color w:val="000000" w:themeColor="text1"/>
        </w:rPr>
      </w:pPr>
      <w:r w:rsidRPr="00781112">
        <w:rPr>
          <w:b/>
          <w:color w:val="000000" w:themeColor="text1"/>
        </w:rPr>
        <w:t>Targets</w:t>
      </w:r>
    </w:p>
    <w:tbl>
      <w:tblPr>
        <w:tblW w:w="2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3TARGETS"/>
      </w:tblPr>
      <w:tblGrid>
        <w:gridCol w:w="715"/>
        <w:gridCol w:w="1682"/>
        <w:gridCol w:w="1678"/>
        <w:gridCol w:w="1678"/>
      </w:tblGrid>
      <w:tr w:rsidR="00FE4611" w:rsidRPr="00781112" w14:paraId="75609119" w14:textId="4FD44BFE" w:rsidTr="00FE4611">
        <w:trPr>
          <w:trHeight w:val="281"/>
        </w:trPr>
        <w:tc>
          <w:tcPr>
            <w:tcW w:w="622" w:type="pct"/>
            <w:tcBorders>
              <w:bottom w:val="single" w:sz="4" w:space="0" w:color="auto"/>
            </w:tcBorders>
            <w:shd w:val="clear" w:color="auto" w:fill="auto"/>
          </w:tcPr>
          <w:p w14:paraId="270D1909" w14:textId="77777777" w:rsidR="00FE4611" w:rsidRPr="00781112" w:rsidRDefault="00FE4611" w:rsidP="00AF574F">
            <w:pPr>
              <w:jc w:val="center"/>
              <w:rPr>
                <w:b/>
                <w:color w:val="000000" w:themeColor="text1"/>
              </w:rPr>
            </w:pPr>
            <w:r w:rsidRPr="00781112">
              <w:rPr>
                <w:b/>
                <w:color w:val="000000" w:themeColor="text1"/>
              </w:rPr>
              <w:t>FFY</w:t>
            </w:r>
          </w:p>
        </w:tc>
        <w:tc>
          <w:tcPr>
            <w:tcW w:w="1462" w:type="pct"/>
            <w:shd w:val="clear" w:color="auto" w:fill="auto"/>
            <w:vAlign w:val="center"/>
          </w:tcPr>
          <w:p w14:paraId="3C863620" w14:textId="77777777" w:rsidR="00FE4611" w:rsidRPr="00781112" w:rsidRDefault="00FE4611" w:rsidP="00AF574F">
            <w:pPr>
              <w:jc w:val="center"/>
              <w:rPr>
                <w:b/>
                <w:color w:val="000000" w:themeColor="text1"/>
              </w:rPr>
            </w:pPr>
            <w:r w:rsidRPr="00781112">
              <w:rPr>
                <w:b/>
                <w:color w:val="000000" w:themeColor="text1"/>
              </w:rPr>
              <w:t>2023</w:t>
            </w:r>
          </w:p>
        </w:tc>
        <w:tc>
          <w:tcPr>
            <w:tcW w:w="1458" w:type="pct"/>
          </w:tcPr>
          <w:p w14:paraId="1E742631" w14:textId="024F7853" w:rsidR="00FE4611" w:rsidRPr="00781112" w:rsidRDefault="00FE4611" w:rsidP="00AF574F">
            <w:pPr>
              <w:jc w:val="center"/>
              <w:rPr>
                <w:b/>
                <w:color w:val="000000" w:themeColor="text1"/>
              </w:rPr>
            </w:pPr>
            <w:r w:rsidRPr="00781112">
              <w:rPr>
                <w:rFonts w:cs="Arial"/>
                <w:b/>
                <w:color w:val="000000" w:themeColor="text1"/>
                <w:szCs w:val="16"/>
              </w:rPr>
              <w:t>2024</w:t>
            </w:r>
          </w:p>
        </w:tc>
        <w:tc>
          <w:tcPr>
            <w:tcW w:w="1458" w:type="pct"/>
          </w:tcPr>
          <w:p w14:paraId="68E9F440" w14:textId="3DC7BEDA" w:rsidR="00FE4611" w:rsidRPr="00781112" w:rsidRDefault="00FE4611" w:rsidP="00AF574F">
            <w:pPr>
              <w:jc w:val="center"/>
              <w:rPr>
                <w:b/>
                <w:color w:val="000000" w:themeColor="text1"/>
              </w:rPr>
            </w:pPr>
            <w:r w:rsidRPr="00781112">
              <w:rPr>
                <w:rFonts w:cs="Arial"/>
                <w:b/>
                <w:color w:val="000000" w:themeColor="text1"/>
                <w:szCs w:val="16"/>
              </w:rPr>
              <w:t>2025</w:t>
            </w:r>
          </w:p>
        </w:tc>
      </w:tr>
      <w:tr w:rsidR="00FE4611" w:rsidRPr="00781112" w14:paraId="129EADEA" w14:textId="243BFF73" w:rsidTr="00FE4611">
        <w:trPr>
          <w:trHeight w:val="287"/>
        </w:trPr>
        <w:tc>
          <w:tcPr>
            <w:tcW w:w="622" w:type="pct"/>
            <w:shd w:val="clear" w:color="auto" w:fill="auto"/>
            <w:vAlign w:val="center"/>
          </w:tcPr>
          <w:p w14:paraId="14AB537C" w14:textId="075F2E43" w:rsidR="00FE4611" w:rsidRPr="00781112" w:rsidRDefault="00FE4611" w:rsidP="00BA3DBE">
            <w:pPr>
              <w:jc w:val="center"/>
              <w:rPr>
                <w:rFonts w:cs="Arial"/>
                <w:color w:val="000000" w:themeColor="text1"/>
                <w:szCs w:val="16"/>
              </w:rPr>
            </w:pPr>
            <w:r w:rsidRPr="00781112">
              <w:rPr>
                <w:rFonts w:cs="Arial"/>
                <w:color w:val="000000" w:themeColor="text1"/>
                <w:szCs w:val="16"/>
              </w:rPr>
              <w:t>Target</w:t>
            </w:r>
          </w:p>
        </w:tc>
        <w:tc>
          <w:tcPr>
            <w:tcW w:w="1462" w:type="pct"/>
            <w:shd w:val="clear" w:color="auto" w:fill="auto"/>
            <w:vAlign w:val="center"/>
          </w:tcPr>
          <w:p w14:paraId="0BAE8900" w14:textId="37E5F8C0" w:rsidR="00FE4611" w:rsidRPr="00781112" w:rsidRDefault="00FE4611" w:rsidP="00AF574F">
            <w:pPr>
              <w:jc w:val="center"/>
              <w:rPr>
                <w:rFonts w:cs="Arial"/>
                <w:color w:val="000000" w:themeColor="text1"/>
                <w:szCs w:val="16"/>
              </w:rPr>
            </w:pPr>
            <w:r w:rsidRPr="00781112">
              <w:rPr>
                <w:rFonts w:cs="Arial"/>
                <w:color w:val="000000" w:themeColor="text1"/>
                <w:szCs w:val="16"/>
              </w:rPr>
              <w:t>100%</w:t>
            </w:r>
          </w:p>
        </w:tc>
        <w:tc>
          <w:tcPr>
            <w:tcW w:w="1458" w:type="pct"/>
          </w:tcPr>
          <w:p w14:paraId="2CC39FD1" w14:textId="0A351FA5" w:rsidR="00FE4611" w:rsidRPr="00781112" w:rsidRDefault="00FE4611" w:rsidP="00AF574F">
            <w:pPr>
              <w:jc w:val="center"/>
              <w:rPr>
                <w:rFonts w:cs="Arial"/>
                <w:color w:val="000000" w:themeColor="text1"/>
                <w:szCs w:val="16"/>
              </w:rPr>
            </w:pPr>
            <w:r w:rsidRPr="00781112">
              <w:rPr>
                <w:color w:val="000000" w:themeColor="text1"/>
                <w:szCs w:val="16"/>
              </w:rPr>
              <w:t>100%</w:t>
            </w:r>
          </w:p>
        </w:tc>
        <w:tc>
          <w:tcPr>
            <w:tcW w:w="1458" w:type="pct"/>
          </w:tcPr>
          <w:p w14:paraId="67D6E1E0" w14:textId="00533F6B" w:rsidR="00FE4611" w:rsidRPr="00781112" w:rsidRDefault="00FE4611" w:rsidP="00AF574F">
            <w:pPr>
              <w:jc w:val="center"/>
              <w:rPr>
                <w:rFonts w:cs="Arial"/>
                <w:color w:val="000000" w:themeColor="text1"/>
                <w:szCs w:val="16"/>
              </w:rPr>
            </w:pPr>
            <w:r w:rsidRPr="00781112">
              <w:rPr>
                <w:color w:val="000000" w:themeColor="text1"/>
                <w:szCs w:val="16"/>
              </w:rPr>
              <w:t>100%</w:t>
            </w:r>
          </w:p>
        </w:tc>
      </w:tr>
    </w:tbl>
    <w:p w14:paraId="2E844227" w14:textId="77777777" w:rsidR="00AF12E4" w:rsidRPr="00781112" w:rsidRDefault="00AF12E4" w:rsidP="004369B2">
      <w:pPr>
        <w:rPr>
          <w:color w:val="000000" w:themeColor="text1"/>
        </w:rPr>
      </w:pPr>
    </w:p>
    <w:bookmarkEnd w:id="81"/>
    <w:bookmarkEnd w:id="82"/>
    <w:p w14:paraId="596F7C13" w14:textId="3C4D7B4B" w:rsidR="00D03701"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3CFFYAPRDATA"/>
      </w:tblPr>
      <w:tblGrid>
        <w:gridCol w:w="1533"/>
        <w:gridCol w:w="1498"/>
        <w:gridCol w:w="1372"/>
        <w:gridCol w:w="2067"/>
        <w:gridCol w:w="1232"/>
        <w:gridCol w:w="1571"/>
        <w:gridCol w:w="1517"/>
      </w:tblGrid>
      <w:tr w:rsidR="00B1652C" w:rsidRPr="00781112" w14:paraId="22208B6A" w14:textId="2EBA1D17" w:rsidTr="00A947D9">
        <w:trPr>
          <w:trHeight w:val="354"/>
          <w:tblHeader/>
        </w:trPr>
        <w:tc>
          <w:tcPr>
            <w:tcW w:w="710" w:type="pct"/>
            <w:shd w:val="clear" w:color="auto" w:fill="auto"/>
            <w:vAlign w:val="bottom"/>
          </w:tcPr>
          <w:p w14:paraId="24F7C6E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lastRenderedPageBreak/>
              <w:t>Number of youth aged 16 and above with IEPs that contain each of the required components for secondary transition</w:t>
            </w:r>
          </w:p>
        </w:tc>
        <w:tc>
          <w:tcPr>
            <w:tcW w:w="694" w:type="pct"/>
            <w:shd w:val="clear" w:color="auto" w:fill="auto"/>
            <w:vAlign w:val="bottom"/>
          </w:tcPr>
          <w:p w14:paraId="5096A299"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youth with IEPs aged 16 and above</w:t>
            </w:r>
          </w:p>
        </w:tc>
        <w:tc>
          <w:tcPr>
            <w:tcW w:w="636" w:type="pct"/>
            <w:shd w:val="clear" w:color="auto" w:fill="auto"/>
            <w:vAlign w:val="bottom"/>
          </w:tcPr>
          <w:p w14:paraId="77D0CB34" w14:textId="037FBC59" w:rsidR="00B1652C" w:rsidRPr="006D0A52" w:rsidRDefault="00B1652C" w:rsidP="00B1652C">
            <w:pPr>
              <w:jc w:val="center"/>
              <w:rPr>
                <w:rFonts w:cs="Arial"/>
                <w:b/>
                <w:bCs/>
                <w:color w:val="000000" w:themeColor="text1"/>
                <w:szCs w:val="16"/>
              </w:rPr>
            </w:pPr>
            <w:r w:rsidRPr="006D0A52">
              <w:rPr>
                <w:b/>
                <w:bCs/>
              </w:rPr>
              <w:t>FFY 2022 Data</w:t>
            </w:r>
          </w:p>
        </w:tc>
        <w:tc>
          <w:tcPr>
            <w:tcW w:w="958" w:type="pct"/>
            <w:shd w:val="clear" w:color="auto" w:fill="auto"/>
            <w:vAlign w:val="bottom"/>
          </w:tcPr>
          <w:p w14:paraId="0E375E75" w14:textId="56695C7A" w:rsidR="00B1652C" w:rsidRPr="006D0A52" w:rsidRDefault="00B1652C" w:rsidP="00B1652C">
            <w:pPr>
              <w:jc w:val="center"/>
              <w:rPr>
                <w:rFonts w:cs="Arial"/>
                <w:b/>
                <w:bCs/>
                <w:color w:val="000000" w:themeColor="text1"/>
                <w:szCs w:val="16"/>
              </w:rPr>
            </w:pPr>
            <w:r w:rsidRPr="006D0A52">
              <w:rPr>
                <w:b/>
                <w:bCs/>
              </w:rPr>
              <w:t>FFY 2023 Target</w:t>
            </w:r>
          </w:p>
        </w:tc>
        <w:tc>
          <w:tcPr>
            <w:tcW w:w="571" w:type="pct"/>
            <w:shd w:val="clear" w:color="auto" w:fill="auto"/>
            <w:vAlign w:val="bottom"/>
          </w:tcPr>
          <w:p w14:paraId="58CCB0C1" w14:textId="230D8C5D" w:rsidR="00B1652C" w:rsidRPr="006D0A52" w:rsidRDefault="00B1652C" w:rsidP="00B1652C">
            <w:pPr>
              <w:jc w:val="center"/>
              <w:rPr>
                <w:rFonts w:cs="Arial"/>
                <w:b/>
                <w:bCs/>
                <w:color w:val="000000" w:themeColor="text1"/>
                <w:szCs w:val="16"/>
              </w:rPr>
            </w:pPr>
            <w:r w:rsidRPr="006D0A52">
              <w:rPr>
                <w:b/>
                <w:bCs/>
              </w:rPr>
              <w:t>FFY 2023 Data</w:t>
            </w:r>
          </w:p>
        </w:tc>
        <w:tc>
          <w:tcPr>
            <w:tcW w:w="728" w:type="pct"/>
            <w:shd w:val="clear" w:color="auto" w:fill="auto"/>
            <w:vAlign w:val="bottom"/>
          </w:tcPr>
          <w:p w14:paraId="3A7C3260" w14:textId="5AACBA6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704" w:type="pct"/>
            <w:shd w:val="clear" w:color="auto" w:fill="auto"/>
            <w:vAlign w:val="bottom"/>
          </w:tcPr>
          <w:p w14:paraId="34FABCEB" w14:textId="119B0EB2"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18CC159D" w14:textId="122E5ABE" w:rsidTr="00A947D9">
        <w:trPr>
          <w:trHeight w:val="361"/>
        </w:trPr>
        <w:tc>
          <w:tcPr>
            <w:tcW w:w="710" w:type="pct"/>
            <w:shd w:val="clear" w:color="auto" w:fill="auto"/>
            <w:vAlign w:val="center"/>
          </w:tcPr>
          <w:p w14:paraId="55912D09" w14:textId="371B119A" w:rsidR="00070D9E" w:rsidRPr="00781112" w:rsidRDefault="002B7490" w:rsidP="004369B2">
            <w:pPr>
              <w:jc w:val="center"/>
              <w:rPr>
                <w:rFonts w:cs="Arial"/>
                <w:color w:val="000000" w:themeColor="text1"/>
                <w:szCs w:val="16"/>
              </w:rPr>
            </w:pPr>
            <w:r w:rsidRPr="00781112">
              <w:rPr>
                <w:rFonts w:cs="Arial"/>
                <w:color w:val="000000" w:themeColor="text1"/>
                <w:szCs w:val="16"/>
              </w:rPr>
              <w:t>257</w:t>
            </w:r>
          </w:p>
        </w:tc>
        <w:tc>
          <w:tcPr>
            <w:tcW w:w="694" w:type="pct"/>
            <w:shd w:val="clear" w:color="auto" w:fill="auto"/>
            <w:vAlign w:val="center"/>
          </w:tcPr>
          <w:p w14:paraId="3D798FB5" w14:textId="3B2AC314" w:rsidR="00070D9E" w:rsidRPr="00781112" w:rsidRDefault="002B7490" w:rsidP="004369B2">
            <w:pPr>
              <w:jc w:val="center"/>
              <w:rPr>
                <w:rFonts w:cs="Arial"/>
                <w:color w:val="000000" w:themeColor="text1"/>
                <w:szCs w:val="16"/>
              </w:rPr>
            </w:pPr>
            <w:r w:rsidRPr="00781112">
              <w:rPr>
                <w:rFonts w:cs="Arial"/>
                <w:color w:val="000000" w:themeColor="text1"/>
                <w:szCs w:val="16"/>
              </w:rPr>
              <w:t>365</w:t>
            </w:r>
          </w:p>
        </w:tc>
        <w:tc>
          <w:tcPr>
            <w:tcW w:w="636" w:type="pct"/>
            <w:shd w:val="clear" w:color="auto" w:fill="auto"/>
            <w:vAlign w:val="center"/>
          </w:tcPr>
          <w:p w14:paraId="36E1BD35" w14:textId="4F5BD8EB" w:rsidR="00070D9E" w:rsidRPr="00781112" w:rsidRDefault="002B7490" w:rsidP="004369B2">
            <w:pPr>
              <w:jc w:val="center"/>
              <w:rPr>
                <w:rFonts w:cs="Arial"/>
                <w:color w:val="000000" w:themeColor="text1"/>
                <w:szCs w:val="16"/>
              </w:rPr>
            </w:pPr>
            <w:r w:rsidRPr="00781112">
              <w:rPr>
                <w:rFonts w:cs="Arial"/>
                <w:color w:val="000000" w:themeColor="text1"/>
                <w:szCs w:val="16"/>
              </w:rPr>
              <w:t>62.12%</w:t>
            </w:r>
          </w:p>
        </w:tc>
        <w:tc>
          <w:tcPr>
            <w:tcW w:w="958" w:type="pct"/>
            <w:shd w:val="clear" w:color="auto" w:fill="auto"/>
            <w:vAlign w:val="center"/>
          </w:tcPr>
          <w:p w14:paraId="20E5284B" w14:textId="1FE0CF32" w:rsidR="00070D9E" w:rsidRPr="00781112" w:rsidRDefault="00B16A26" w:rsidP="004369B2">
            <w:pPr>
              <w:jc w:val="center"/>
              <w:rPr>
                <w:rFonts w:cs="Arial"/>
                <w:color w:val="000000" w:themeColor="text1"/>
                <w:szCs w:val="16"/>
              </w:rPr>
            </w:pPr>
            <w:r w:rsidRPr="00781112">
              <w:rPr>
                <w:rFonts w:cs="Arial"/>
                <w:color w:val="000000" w:themeColor="text1"/>
                <w:szCs w:val="16"/>
              </w:rPr>
              <w:t>100%</w:t>
            </w:r>
          </w:p>
        </w:tc>
        <w:tc>
          <w:tcPr>
            <w:tcW w:w="571" w:type="pct"/>
            <w:shd w:val="clear" w:color="auto" w:fill="auto"/>
            <w:vAlign w:val="center"/>
          </w:tcPr>
          <w:p w14:paraId="55A387E5" w14:textId="6321743C" w:rsidR="00070D9E" w:rsidRPr="00781112" w:rsidRDefault="002B7490" w:rsidP="004369B2">
            <w:pPr>
              <w:jc w:val="center"/>
              <w:rPr>
                <w:rFonts w:cs="Arial"/>
                <w:color w:val="000000" w:themeColor="text1"/>
                <w:szCs w:val="16"/>
              </w:rPr>
            </w:pPr>
            <w:r w:rsidRPr="00781112">
              <w:rPr>
                <w:rFonts w:cs="Arial"/>
                <w:color w:val="000000" w:themeColor="text1"/>
                <w:szCs w:val="16"/>
              </w:rPr>
              <w:t>70.41%</w:t>
            </w:r>
          </w:p>
        </w:tc>
        <w:tc>
          <w:tcPr>
            <w:tcW w:w="728" w:type="pct"/>
            <w:shd w:val="clear" w:color="auto" w:fill="auto"/>
            <w:vAlign w:val="center"/>
          </w:tcPr>
          <w:p w14:paraId="66968C5A" w14:textId="493EB054" w:rsidR="00070D9E"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704" w:type="pct"/>
            <w:shd w:val="clear" w:color="auto" w:fill="auto"/>
            <w:vAlign w:val="center"/>
          </w:tcPr>
          <w:p w14:paraId="175BD68F" w14:textId="534B9E4D" w:rsidR="00070D9E" w:rsidRPr="00781112" w:rsidRDefault="002B7490" w:rsidP="004369B2">
            <w:pPr>
              <w:jc w:val="center"/>
              <w:rPr>
                <w:rFonts w:cs="Arial"/>
                <w:color w:val="000000" w:themeColor="text1"/>
                <w:szCs w:val="16"/>
              </w:rPr>
            </w:pPr>
            <w:r w:rsidRPr="00781112">
              <w:rPr>
                <w:rFonts w:cs="Arial"/>
                <w:color w:val="000000" w:themeColor="text1"/>
                <w:szCs w:val="16"/>
              </w:rPr>
              <w:t>No Slippage</w:t>
            </w:r>
          </w:p>
        </w:tc>
      </w:tr>
    </w:tbl>
    <w:p w14:paraId="01C32496" w14:textId="77777777" w:rsidR="00A5601C" w:rsidRPr="00781112" w:rsidRDefault="00070D9E">
      <w:pPr>
        <w:rPr>
          <w:b/>
          <w:color w:val="000000" w:themeColor="text1"/>
        </w:rPr>
      </w:pPr>
      <w:r w:rsidRPr="00781112">
        <w:rPr>
          <w:b/>
          <w:color w:val="000000" w:themeColor="text1"/>
        </w:rPr>
        <w:t xml:space="preserve">What is the source of the data provided for this indicator? </w:t>
      </w:r>
    </w:p>
    <w:p w14:paraId="2BFF05E7" w14:textId="7BFBE390" w:rsidR="00070D9E" w:rsidRPr="00781112" w:rsidRDefault="002B7490" w:rsidP="004369B2">
      <w:pPr>
        <w:rPr>
          <w:iCs/>
          <w:color w:val="000000" w:themeColor="text1"/>
        </w:rPr>
      </w:pPr>
      <w:r w:rsidRPr="00781112">
        <w:rPr>
          <w:iCs/>
          <w:color w:val="000000" w:themeColor="text1"/>
        </w:rPr>
        <w:t>State monitoring</w:t>
      </w:r>
    </w:p>
    <w:p w14:paraId="68493AF0" w14:textId="77777777" w:rsidR="00070D9E" w:rsidRPr="00781112" w:rsidRDefault="00070D9E" w:rsidP="004369B2">
      <w:pPr>
        <w:rPr>
          <w:b/>
          <w:color w:val="000000" w:themeColor="text1"/>
        </w:rPr>
      </w:pPr>
      <w:r w:rsidRPr="00781112">
        <w:rPr>
          <w:b/>
          <w:color w:val="000000" w:themeColor="text1"/>
        </w:rPr>
        <w:t xml:space="preserve">Describe the method used to collect these data, and if data are from the State’s monitoring, describe the procedures used to collect these data. </w:t>
      </w:r>
    </w:p>
    <w:p w14:paraId="22E8774A" w14:textId="46B4955A" w:rsidR="00326C0B" w:rsidRPr="00781112" w:rsidRDefault="002B7490" w:rsidP="008E31C4">
      <w:pPr>
        <w:rPr>
          <w:rFonts w:cs="Arial"/>
          <w:color w:val="000000" w:themeColor="text1"/>
          <w:szCs w:val="16"/>
        </w:rPr>
      </w:pPr>
      <w:r w:rsidRPr="00781112">
        <w:rPr>
          <w:rFonts w:cs="Arial"/>
          <w:color w:val="000000" w:themeColor="text1"/>
          <w:szCs w:val="16"/>
        </w:rPr>
        <w:t>The State collects secondary transition data through cyclical and focused monitoring processes. Each transition-aged student’s file is reviewed using the State’s file review protocol to ensure all required transition components are present in the IEP. Files are classified as compliant or noncompliant based on this review.</w:t>
      </w:r>
      <w:r w:rsidRPr="00781112">
        <w:rPr>
          <w:rFonts w:cs="Arial"/>
          <w:color w:val="000000" w:themeColor="text1"/>
          <w:szCs w:val="16"/>
        </w:rPr>
        <w:br/>
        <w:t xml:space="preserve">A compliant file meets all eight transition-related components, referred to as standards in Oregon. In cyclical monitoring, districts complete the protocol, submit data to the State, and the State validates results using individual student records. In focused monitoring, the State conducts all file reviews directly using the secondary transition protocol. </w:t>
      </w:r>
      <w:r w:rsidRPr="00781112">
        <w:rPr>
          <w:rFonts w:cs="Arial"/>
          <w:color w:val="000000" w:themeColor="text1"/>
          <w:szCs w:val="16"/>
        </w:rPr>
        <w:br/>
      </w:r>
      <w:r w:rsidRPr="00781112">
        <w:rPr>
          <w:rFonts w:cs="Arial"/>
          <w:color w:val="000000" w:themeColor="text1"/>
          <w:szCs w:val="16"/>
        </w:rPr>
        <w:br/>
        <w:t xml:space="preserve">A file is noncompliant if it fails to meet one or more of the eight transition standards. If any reviewed file within a district is noncompliant, the district does not meet compliance requirements for Secondary Transition. To be considered compliant, a district must meet all eight standards on every reviewed IEP. </w:t>
      </w:r>
      <w:r w:rsidRPr="00781112">
        <w:rPr>
          <w:rFonts w:cs="Arial"/>
          <w:color w:val="000000" w:themeColor="text1"/>
          <w:szCs w:val="16"/>
        </w:rPr>
        <w:br/>
      </w:r>
      <w:r w:rsidRPr="00781112">
        <w:rPr>
          <w:rFonts w:cs="Arial"/>
          <w:color w:val="000000" w:themeColor="text1"/>
          <w:szCs w:val="16"/>
        </w:rPr>
        <w:br/>
        <w:t xml:space="preserve">The secondary transition protocol evaluates compliance based on the following eight standards: </w:t>
      </w:r>
      <w:r w:rsidRPr="00781112">
        <w:rPr>
          <w:rFonts w:cs="Arial"/>
          <w:color w:val="000000" w:themeColor="text1"/>
          <w:szCs w:val="16"/>
        </w:rPr>
        <w:br/>
      </w:r>
      <w:r w:rsidRPr="00781112">
        <w:rPr>
          <w:rFonts w:cs="Arial"/>
          <w:color w:val="000000" w:themeColor="text1"/>
          <w:szCs w:val="16"/>
        </w:rPr>
        <w:br/>
        <w:t xml:space="preserve">1. The student was invited to the IEP meeting where transition services were discussed. </w:t>
      </w:r>
      <w:r w:rsidRPr="00781112">
        <w:rPr>
          <w:rFonts w:cs="Arial"/>
          <w:color w:val="000000" w:themeColor="text1"/>
          <w:szCs w:val="16"/>
        </w:rPr>
        <w:br/>
      </w:r>
      <w:r w:rsidRPr="00781112">
        <w:rPr>
          <w:rFonts w:cs="Arial"/>
          <w:color w:val="000000" w:themeColor="text1"/>
          <w:szCs w:val="16"/>
        </w:rPr>
        <w:br/>
        <w:t xml:space="preserve">2. If appropriate, a representative from a participating agency responsible for providing or funding transition services, including pre-employment transition services, was invited to the IEP meeting with prior consent from the parent or the student (if they have reached the age of majority). </w:t>
      </w:r>
      <w:r w:rsidRPr="00781112">
        <w:rPr>
          <w:rFonts w:cs="Arial"/>
          <w:color w:val="000000" w:themeColor="text1"/>
          <w:szCs w:val="16"/>
        </w:rPr>
        <w:br/>
      </w:r>
      <w:r w:rsidRPr="00781112">
        <w:rPr>
          <w:rFonts w:cs="Arial"/>
          <w:color w:val="000000" w:themeColor="text1"/>
          <w:szCs w:val="16"/>
        </w:rPr>
        <w:br/>
        <w:t xml:space="preserve">3. Postsecondary goals in the IEP are based on age-appropriate transition assessments. </w:t>
      </w:r>
      <w:r w:rsidRPr="00781112">
        <w:rPr>
          <w:rFonts w:cs="Arial"/>
          <w:color w:val="000000" w:themeColor="text1"/>
          <w:szCs w:val="16"/>
        </w:rPr>
        <w:br/>
      </w:r>
      <w:r w:rsidRPr="00781112">
        <w:rPr>
          <w:rFonts w:cs="Arial"/>
          <w:color w:val="000000" w:themeColor="text1"/>
          <w:szCs w:val="16"/>
        </w:rPr>
        <w:br/>
        <w:t xml:space="preserve">4. The IEP includes measurable postsecondary goals addressing education/training, employment, and independent living (if needed). </w:t>
      </w:r>
      <w:r w:rsidRPr="00781112">
        <w:rPr>
          <w:rFonts w:cs="Arial"/>
          <w:color w:val="000000" w:themeColor="text1"/>
          <w:szCs w:val="16"/>
        </w:rPr>
        <w:br/>
      </w:r>
      <w:r w:rsidRPr="00781112">
        <w:rPr>
          <w:rFonts w:cs="Arial"/>
          <w:color w:val="000000" w:themeColor="text1"/>
          <w:szCs w:val="16"/>
        </w:rPr>
        <w:br/>
        <w:t xml:space="preserve">5. Postsecondary goals are reviewed and updated annually. </w:t>
      </w:r>
      <w:r w:rsidRPr="00781112">
        <w:rPr>
          <w:rFonts w:cs="Arial"/>
          <w:color w:val="000000" w:themeColor="text1"/>
          <w:szCs w:val="16"/>
        </w:rPr>
        <w:br/>
      </w:r>
      <w:r w:rsidRPr="00781112">
        <w:rPr>
          <w:rFonts w:cs="Arial"/>
          <w:color w:val="000000" w:themeColor="text1"/>
          <w:szCs w:val="16"/>
        </w:rPr>
        <w:br/>
        <w:t xml:space="preserve">6. Annual IEP goals align with the student’s transition service needs. </w:t>
      </w:r>
      <w:r w:rsidRPr="00781112">
        <w:rPr>
          <w:rFonts w:cs="Arial"/>
          <w:color w:val="000000" w:themeColor="text1"/>
          <w:szCs w:val="16"/>
        </w:rPr>
        <w:br/>
      </w:r>
      <w:r w:rsidRPr="00781112">
        <w:rPr>
          <w:rFonts w:cs="Arial"/>
          <w:color w:val="000000" w:themeColor="text1"/>
          <w:szCs w:val="16"/>
        </w:rPr>
        <w:br/>
        <w:t xml:space="preserve">7. The IEP includes transition services that will reasonably enable the student to achieve postsecondary goals. These services may include instruction, related services, community experiences, development of employment and other post-school adult living objectives, daily living skills, and/or a functional vocational evaluation. </w:t>
      </w:r>
      <w:r w:rsidRPr="00781112">
        <w:rPr>
          <w:rFonts w:cs="Arial"/>
          <w:color w:val="000000" w:themeColor="text1"/>
          <w:szCs w:val="16"/>
        </w:rPr>
        <w:br/>
      </w:r>
      <w:r w:rsidRPr="00781112">
        <w:rPr>
          <w:rFonts w:cs="Arial"/>
          <w:color w:val="000000" w:themeColor="text1"/>
          <w:szCs w:val="16"/>
        </w:rPr>
        <w:br/>
        <w:t xml:space="preserve">8. The student’s IEP includes courses of study that will reasonably enable the student to meet their postsecondary goals. </w:t>
      </w:r>
    </w:p>
    <w:tbl>
      <w:tblPr>
        <w:tblStyle w:val="TableGrid"/>
        <w:tblW w:w="5000" w:type="pct"/>
        <w:tblLook w:val="04A0" w:firstRow="1" w:lastRow="0" w:firstColumn="1" w:lastColumn="0" w:noHBand="0" w:noVBand="1"/>
        <w:tblCaption w:val="B13CFFYCOLLECT"/>
      </w:tblPr>
      <w:tblGrid>
        <w:gridCol w:w="8503"/>
        <w:gridCol w:w="2287"/>
      </w:tblGrid>
      <w:tr w:rsidR="005C29F8" w:rsidRPr="00781112" w14:paraId="366D2592" w14:textId="77777777" w:rsidTr="0033429D">
        <w:trPr>
          <w:tblHeader/>
        </w:trPr>
        <w:tc>
          <w:tcPr>
            <w:tcW w:w="3940" w:type="pct"/>
          </w:tcPr>
          <w:p w14:paraId="49221B81" w14:textId="4811C153" w:rsidR="006B4D98" w:rsidRPr="00781112" w:rsidRDefault="00694A39" w:rsidP="005F442C">
            <w:pPr>
              <w:rPr>
                <w:rFonts w:cs="Arial"/>
                <w:b/>
                <w:bCs/>
                <w:color w:val="000000" w:themeColor="text1"/>
                <w:szCs w:val="16"/>
              </w:rPr>
            </w:pPr>
            <w:r w:rsidRPr="00781112">
              <w:rPr>
                <w:rFonts w:cs="Arial"/>
                <w:b/>
                <w:bCs/>
                <w:color w:val="000000" w:themeColor="text1"/>
                <w:szCs w:val="16"/>
              </w:rPr>
              <w:t>Question</w:t>
            </w:r>
          </w:p>
        </w:tc>
        <w:tc>
          <w:tcPr>
            <w:tcW w:w="1060" w:type="pct"/>
          </w:tcPr>
          <w:p w14:paraId="3C85F11D" w14:textId="67F200AD" w:rsidR="006B4D98" w:rsidRPr="00781112" w:rsidRDefault="006B4D98"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3EAB126" w14:textId="25879D68" w:rsidTr="00A947D9">
        <w:tc>
          <w:tcPr>
            <w:tcW w:w="3940" w:type="pct"/>
          </w:tcPr>
          <w:p w14:paraId="48B431E3" w14:textId="55B03061" w:rsidR="006B4D98" w:rsidRPr="00781112" w:rsidRDefault="006B4D98" w:rsidP="005F442C">
            <w:pPr>
              <w:rPr>
                <w:rFonts w:cs="Arial"/>
                <w:color w:val="000000" w:themeColor="text1"/>
                <w:szCs w:val="16"/>
              </w:rPr>
            </w:pPr>
            <w:r w:rsidRPr="00781112">
              <w:rPr>
                <w:rFonts w:cs="Arial"/>
                <w:color w:val="000000" w:themeColor="text1"/>
                <w:szCs w:val="16"/>
              </w:rPr>
              <w:t xml:space="preserve">Do the State’s policies and procedures provide that public agencies must meet these requirements at an age younger than 16? </w:t>
            </w:r>
          </w:p>
        </w:tc>
        <w:tc>
          <w:tcPr>
            <w:tcW w:w="1060" w:type="pct"/>
          </w:tcPr>
          <w:p w14:paraId="15F6D513" w14:textId="633CDBEB" w:rsidR="006B4D98"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735DB55A" w14:textId="18C77FF1" w:rsidR="00644AC8" w:rsidRPr="00781112" w:rsidRDefault="00644AC8" w:rsidP="005F442C">
      <w:pPr>
        <w:rPr>
          <w:rFonts w:cs="Arial"/>
          <w:b/>
          <w:color w:val="000000" w:themeColor="text1"/>
          <w:szCs w:val="16"/>
        </w:rPr>
      </w:pPr>
      <w:bookmarkStart w:id="83" w:name="_Toc392159335"/>
      <w:r w:rsidRPr="00781112">
        <w:rPr>
          <w:rFonts w:cs="Arial"/>
          <w:b/>
          <w:color w:val="000000" w:themeColor="text1"/>
          <w:szCs w:val="16"/>
        </w:rPr>
        <w:t>Provide additional information about this indicator (optional)</w:t>
      </w:r>
    </w:p>
    <w:p w14:paraId="2F22AC76" w14:textId="5FF8D00A" w:rsidR="00326C0B" w:rsidRPr="00781112" w:rsidRDefault="00326C0B" w:rsidP="007D435F">
      <w:pPr>
        <w:rPr>
          <w:rFonts w:cs="Arial"/>
          <w:color w:val="000000" w:themeColor="text1"/>
          <w:szCs w:val="16"/>
        </w:rPr>
      </w:pPr>
    </w:p>
    <w:p w14:paraId="1F3D4141" w14:textId="77777777" w:rsidR="00AF12E4" w:rsidRPr="00781112" w:rsidRDefault="00AF12E4" w:rsidP="004369B2">
      <w:pPr>
        <w:rPr>
          <w:color w:val="000000" w:themeColor="text1"/>
        </w:rPr>
      </w:pPr>
    </w:p>
    <w:p w14:paraId="37C34CDA" w14:textId="59CE8FAB" w:rsidR="009A755E" w:rsidRPr="00781112" w:rsidRDefault="00450F98" w:rsidP="004369B2">
      <w:pPr>
        <w:rPr>
          <w:color w:val="000000" w:themeColor="text1"/>
        </w:rPr>
      </w:pPr>
      <w:r>
        <w:rPr>
          <w:b/>
          <w:color w:val="000000" w:themeColor="text1"/>
        </w:rPr>
        <w:t>Correction of Findings of Noncompliance Identified in FFY 2022</w:t>
      </w:r>
    </w:p>
    <w:tbl>
      <w:tblPr>
        <w:tblStyle w:val="TableGrid"/>
        <w:tblW w:w="5000" w:type="pct"/>
        <w:tblLook w:val="04A0" w:firstRow="1" w:lastRow="0" w:firstColumn="1" w:lastColumn="0" w:noHBand="0" w:noVBand="1"/>
        <w:tblCaption w:val="B13PFFYNCFINDINGS"/>
      </w:tblPr>
      <w:tblGrid>
        <w:gridCol w:w="2650"/>
        <w:gridCol w:w="2780"/>
        <w:gridCol w:w="2656"/>
        <w:gridCol w:w="2704"/>
      </w:tblGrid>
      <w:tr w:rsidR="005C29F8" w:rsidRPr="00781112" w14:paraId="6C308319" w14:textId="77777777" w:rsidTr="00A947D9">
        <w:trPr>
          <w:trHeight w:val="389"/>
          <w:tblHeader/>
        </w:trPr>
        <w:tc>
          <w:tcPr>
            <w:tcW w:w="1228" w:type="pct"/>
            <w:shd w:val="clear" w:color="auto" w:fill="auto"/>
            <w:vAlign w:val="bottom"/>
          </w:tcPr>
          <w:p w14:paraId="5A6805D6"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Identified</w:t>
            </w:r>
          </w:p>
        </w:tc>
        <w:tc>
          <w:tcPr>
            <w:tcW w:w="1288" w:type="pct"/>
            <w:shd w:val="clear" w:color="auto" w:fill="auto"/>
            <w:vAlign w:val="bottom"/>
          </w:tcPr>
          <w:p w14:paraId="63B4B6E3"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 Within One Year</w:t>
            </w:r>
          </w:p>
        </w:tc>
        <w:tc>
          <w:tcPr>
            <w:tcW w:w="1231" w:type="pct"/>
            <w:shd w:val="clear" w:color="auto" w:fill="auto"/>
            <w:vAlign w:val="bottom"/>
          </w:tcPr>
          <w:p w14:paraId="26D8FBA2"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Subsequently Corrected</w:t>
            </w:r>
          </w:p>
        </w:tc>
        <w:tc>
          <w:tcPr>
            <w:tcW w:w="1254" w:type="pct"/>
            <w:shd w:val="clear" w:color="auto" w:fill="auto"/>
            <w:vAlign w:val="bottom"/>
          </w:tcPr>
          <w:p w14:paraId="6D3A2F2B"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04582DC7" w14:textId="77777777" w:rsidTr="00A947D9">
        <w:tc>
          <w:tcPr>
            <w:tcW w:w="1228" w:type="pct"/>
            <w:shd w:val="clear" w:color="auto" w:fill="auto"/>
          </w:tcPr>
          <w:p w14:paraId="1C22474D" w14:textId="5ECD77A3" w:rsidR="009A755E" w:rsidRPr="00781112" w:rsidRDefault="002B7490" w:rsidP="004369B2">
            <w:pPr>
              <w:jc w:val="center"/>
              <w:rPr>
                <w:rFonts w:cs="Arial"/>
                <w:color w:val="000000" w:themeColor="text1"/>
                <w:szCs w:val="16"/>
              </w:rPr>
            </w:pPr>
            <w:r w:rsidRPr="00781112">
              <w:rPr>
                <w:rFonts w:cs="Arial"/>
                <w:color w:val="000000" w:themeColor="text1"/>
                <w:szCs w:val="16"/>
              </w:rPr>
              <w:t>136</w:t>
            </w:r>
          </w:p>
        </w:tc>
        <w:tc>
          <w:tcPr>
            <w:tcW w:w="1288" w:type="pct"/>
            <w:shd w:val="clear" w:color="auto" w:fill="auto"/>
          </w:tcPr>
          <w:p w14:paraId="6A161A21" w14:textId="698D820A" w:rsidR="009A755E" w:rsidRPr="00781112" w:rsidRDefault="002B7490" w:rsidP="004369B2">
            <w:pPr>
              <w:jc w:val="center"/>
              <w:rPr>
                <w:rFonts w:cs="Arial"/>
                <w:color w:val="000000" w:themeColor="text1"/>
                <w:szCs w:val="16"/>
              </w:rPr>
            </w:pPr>
            <w:r w:rsidRPr="00781112">
              <w:rPr>
                <w:rFonts w:cs="Arial"/>
                <w:color w:val="000000" w:themeColor="text1"/>
                <w:szCs w:val="16"/>
              </w:rPr>
              <w:t>131</w:t>
            </w:r>
          </w:p>
        </w:tc>
        <w:tc>
          <w:tcPr>
            <w:tcW w:w="1231" w:type="pct"/>
            <w:shd w:val="clear" w:color="auto" w:fill="auto"/>
          </w:tcPr>
          <w:p w14:paraId="6CF556ED" w14:textId="6BD64A21" w:rsidR="009A755E" w:rsidRPr="00781112" w:rsidRDefault="002B7490" w:rsidP="004369B2">
            <w:pPr>
              <w:jc w:val="center"/>
              <w:rPr>
                <w:rFonts w:cs="Arial"/>
                <w:color w:val="000000" w:themeColor="text1"/>
                <w:szCs w:val="16"/>
              </w:rPr>
            </w:pPr>
            <w:r w:rsidRPr="00781112">
              <w:rPr>
                <w:rFonts w:cs="Arial"/>
                <w:color w:val="000000" w:themeColor="text1"/>
                <w:szCs w:val="16"/>
              </w:rPr>
              <w:t>5</w:t>
            </w:r>
          </w:p>
        </w:tc>
        <w:tc>
          <w:tcPr>
            <w:tcW w:w="1254" w:type="pct"/>
            <w:shd w:val="clear" w:color="auto" w:fill="auto"/>
          </w:tcPr>
          <w:p w14:paraId="1B14B45E" w14:textId="6409289E" w:rsidR="009A755E" w:rsidRPr="00781112" w:rsidRDefault="002B7490" w:rsidP="004369B2">
            <w:pPr>
              <w:jc w:val="center"/>
              <w:rPr>
                <w:rFonts w:cs="Arial"/>
                <w:color w:val="000000" w:themeColor="text1"/>
                <w:szCs w:val="16"/>
              </w:rPr>
            </w:pPr>
            <w:r w:rsidRPr="00781112">
              <w:rPr>
                <w:rFonts w:cs="Arial"/>
                <w:color w:val="000000" w:themeColor="text1"/>
                <w:szCs w:val="16"/>
              </w:rPr>
              <w:t>0</w:t>
            </w:r>
          </w:p>
        </w:tc>
      </w:tr>
    </w:tbl>
    <w:p w14:paraId="45E0E48A" w14:textId="646A82B0" w:rsidR="009A755E" w:rsidRPr="00781112" w:rsidRDefault="00450F98" w:rsidP="004369B2">
      <w:pPr>
        <w:rPr>
          <w:color w:val="000000" w:themeColor="text1"/>
        </w:rPr>
      </w:pPr>
      <w:r>
        <w:rPr>
          <w:b/>
          <w:color w:val="000000" w:themeColor="text1"/>
        </w:rPr>
        <w:t>FFY 2022 Findings of Noncompliance Verified as Corrected</w:t>
      </w:r>
    </w:p>
    <w:p w14:paraId="5FAC5347" w14:textId="3A1B8056"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the source of noncompliance is correctly implementing the </w:t>
      </w:r>
      <w:r w:rsidRPr="00781112">
        <w:rPr>
          <w:rFonts w:cs="Arial"/>
          <w:b/>
          <w:i/>
          <w:color w:val="000000" w:themeColor="text1"/>
          <w:szCs w:val="16"/>
        </w:rPr>
        <w:t>regulatory requirements</w:t>
      </w:r>
    </w:p>
    <w:p w14:paraId="7BD51D93" w14:textId="30292384" w:rsidR="00326C0B" w:rsidRPr="00781112" w:rsidRDefault="002B7490" w:rsidP="009A755E">
      <w:pPr>
        <w:rPr>
          <w:rFonts w:cs="Arial"/>
          <w:color w:val="000000" w:themeColor="text1"/>
          <w:szCs w:val="16"/>
        </w:rPr>
      </w:pPr>
      <w:r w:rsidRPr="00781112">
        <w:rPr>
          <w:rFonts w:cs="Arial"/>
          <w:color w:val="000000" w:themeColor="text1"/>
          <w:szCs w:val="16"/>
        </w:rPr>
        <w:t xml:space="preserve">The State required that each LEA with identified noncompliance conduct a root cause analysis, address the root cause of the noncompliance with follow-up actions, collect subsequent evidence in the form of additional student records, and submit the evidence to the State for review.  The State verified that the LEA then correctly implemented the regulatory requirements through review of these records. The State considers compliance corrected within one year when both the individual instance of noncompliance is corrected, and the district submits additional evidence that demonstrates the district has subsequently implemented the regulation correctly. </w:t>
      </w:r>
      <w:r w:rsidRPr="00781112">
        <w:rPr>
          <w:rFonts w:cs="Arial"/>
          <w:color w:val="000000" w:themeColor="text1"/>
          <w:szCs w:val="16"/>
        </w:rPr>
        <w:br/>
      </w:r>
      <w:r w:rsidRPr="00781112">
        <w:rPr>
          <w:rFonts w:cs="Arial"/>
          <w:color w:val="000000" w:themeColor="text1"/>
          <w:szCs w:val="16"/>
        </w:rPr>
        <w:br/>
        <w:t xml:space="preserve">In FFY 2022, one LEA was responsible for all five files with findings that were not corrected within one year. Of these findings, one student file still needed individual corrections. The LEA had yet to demonstrate systems correction through the submission of additional evidence for an additional four files. The district has since submitted subsequent evidence of correction for all five findings of noncompliance. </w:t>
      </w:r>
    </w:p>
    <w:p w14:paraId="580C3804" w14:textId="4C173B5C" w:rsidR="009A755E" w:rsidRPr="00781112" w:rsidRDefault="009A755E" w:rsidP="009A755E">
      <w:pPr>
        <w:rPr>
          <w:rFonts w:cs="Arial"/>
          <w:b/>
          <w:color w:val="000000" w:themeColor="text1"/>
          <w:szCs w:val="16"/>
        </w:rPr>
      </w:pPr>
      <w:r w:rsidRPr="00781112">
        <w:rPr>
          <w:rFonts w:cs="Arial"/>
          <w:b/>
          <w:color w:val="000000" w:themeColor="text1"/>
          <w:szCs w:val="16"/>
        </w:rPr>
        <w:t xml:space="preserve">Describe how the State verified that each </w:t>
      </w:r>
      <w:r w:rsidRPr="00781112">
        <w:rPr>
          <w:rFonts w:cs="Arial"/>
          <w:b/>
          <w:i/>
          <w:color w:val="000000" w:themeColor="text1"/>
          <w:szCs w:val="16"/>
        </w:rPr>
        <w:t>individual case</w:t>
      </w:r>
      <w:r w:rsidRPr="00781112">
        <w:rPr>
          <w:rFonts w:cs="Arial"/>
          <w:b/>
          <w:color w:val="000000" w:themeColor="text1"/>
          <w:szCs w:val="16"/>
        </w:rPr>
        <w:t xml:space="preserve"> of noncompliance was corrected</w:t>
      </w:r>
    </w:p>
    <w:p w14:paraId="3CC9D0C9" w14:textId="1A1AB4E7" w:rsidR="00326C0B" w:rsidRPr="00781112" w:rsidRDefault="002B7490" w:rsidP="009A755E">
      <w:pPr>
        <w:rPr>
          <w:rFonts w:cs="Arial"/>
          <w:color w:val="000000" w:themeColor="text1"/>
          <w:szCs w:val="16"/>
        </w:rPr>
      </w:pPr>
      <w:r w:rsidRPr="00781112">
        <w:rPr>
          <w:rFonts w:cs="Arial"/>
          <w:color w:val="000000" w:themeColor="text1"/>
          <w:szCs w:val="16"/>
        </w:rPr>
        <w:lastRenderedPageBreak/>
        <w:t xml:space="preserve">The State verified that each individual case of noncompliance was corrected through student record review, for all individual cases of noncompliance. Of the 136 cases of noncompliance, 135 individual instances of noncompliance were corrected within one year. One file was corrected after the one-year timeline using the student record review process. This has since been corrected. </w:t>
      </w:r>
    </w:p>
    <w:p w14:paraId="09CD9C74" w14:textId="77777777" w:rsidR="00A947D9" w:rsidRPr="00781112" w:rsidRDefault="00A947D9" w:rsidP="004369B2">
      <w:pPr>
        <w:rPr>
          <w:color w:val="000000" w:themeColor="text1"/>
        </w:rPr>
      </w:pPr>
    </w:p>
    <w:p w14:paraId="59FD8363" w14:textId="4523AC51" w:rsidR="009A755E" w:rsidRPr="00781112" w:rsidRDefault="00450F98" w:rsidP="004369B2">
      <w:pPr>
        <w:rPr>
          <w:color w:val="000000" w:themeColor="text1"/>
        </w:rPr>
      </w:pPr>
      <w:r>
        <w:rPr>
          <w:b/>
          <w:color w:val="000000" w:themeColor="text1"/>
        </w:rPr>
        <w:t>Correction of Findings of Noncompliance Identified Prior to FFY 2022</w:t>
      </w:r>
    </w:p>
    <w:tbl>
      <w:tblPr>
        <w:tblStyle w:val="TableGrid"/>
        <w:tblW w:w="5000" w:type="pct"/>
        <w:tblLook w:val="04A0" w:firstRow="1" w:lastRow="0" w:firstColumn="1" w:lastColumn="0" w:noHBand="0" w:noVBand="1"/>
        <w:tblCaption w:val="B13PPFFYNCFINDINGS"/>
      </w:tblPr>
      <w:tblGrid>
        <w:gridCol w:w="2132"/>
        <w:gridCol w:w="3153"/>
        <w:gridCol w:w="2842"/>
        <w:gridCol w:w="2663"/>
      </w:tblGrid>
      <w:tr w:rsidR="005C29F8" w:rsidRPr="00781112" w14:paraId="1C8DDFE9" w14:textId="77777777" w:rsidTr="00A947D9">
        <w:trPr>
          <w:tblHeader/>
        </w:trPr>
        <w:tc>
          <w:tcPr>
            <w:tcW w:w="988" w:type="pct"/>
            <w:shd w:val="clear" w:color="auto" w:fill="auto"/>
            <w:vAlign w:val="bottom"/>
          </w:tcPr>
          <w:p w14:paraId="6DA65F9A" w14:textId="186CEF16" w:rsidR="009A755E" w:rsidRPr="00781112" w:rsidRDefault="003A4027" w:rsidP="009A755E">
            <w:pPr>
              <w:jc w:val="center"/>
              <w:rPr>
                <w:rFonts w:cs="Arial"/>
                <w:b/>
                <w:color w:val="000000" w:themeColor="text1"/>
                <w:szCs w:val="16"/>
              </w:rPr>
            </w:pPr>
            <w:r w:rsidRPr="00781112">
              <w:rPr>
                <w:rFonts w:cs="Arial"/>
                <w:b/>
                <w:color w:val="000000" w:themeColor="text1"/>
                <w:szCs w:val="16"/>
              </w:rPr>
              <w:t>Year Findings of Noncompliance Were Identified</w:t>
            </w:r>
          </w:p>
        </w:tc>
        <w:tc>
          <w:tcPr>
            <w:tcW w:w="1461" w:type="pct"/>
            <w:shd w:val="clear" w:color="auto" w:fill="auto"/>
            <w:vAlign w:val="bottom"/>
          </w:tcPr>
          <w:p w14:paraId="22AE93B4" w14:textId="04966736" w:rsidR="009A755E" w:rsidRPr="00781112" w:rsidRDefault="00450F98" w:rsidP="009A755E">
            <w:pPr>
              <w:jc w:val="center"/>
              <w:rPr>
                <w:rFonts w:cs="Arial"/>
                <w:b/>
                <w:color w:val="000000" w:themeColor="text1"/>
                <w:szCs w:val="16"/>
              </w:rPr>
            </w:pPr>
            <w:r>
              <w:rPr>
                <w:rFonts w:cs="Arial"/>
                <w:b/>
                <w:color w:val="000000" w:themeColor="text1"/>
                <w:szCs w:val="16"/>
              </w:rPr>
              <w:t>Findings of Noncompliance Not Yet Verified as Corrected as of FFY 2022 APR</w:t>
            </w:r>
          </w:p>
        </w:tc>
        <w:tc>
          <w:tcPr>
            <w:tcW w:w="1317" w:type="pct"/>
            <w:shd w:val="clear" w:color="auto" w:fill="auto"/>
            <w:vAlign w:val="bottom"/>
          </w:tcPr>
          <w:p w14:paraId="1E652481"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of Noncompliance Verified as Corrected</w:t>
            </w:r>
          </w:p>
        </w:tc>
        <w:tc>
          <w:tcPr>
            <w:tcW w:w="1234" w:type="pct"/>
            <w:shd w:val="clear" w:color="auto" w:fill="auto"/>
            <w:vAlign w:val="bottom"/>
          </w:tcPr>
          <w:p w14:paraId="2936209D" w14:textId="77777777" w:rsidR="009A755E" w:rsidRPr="00781112" w:rsidRDefault="009A755E" w:rsidP="009A755E">
            <w:pPr>
              <w:jc w:val="center"/>
              <w:rPr>
                <w:rFonts w:cs="Arial"/>
                <w:b/>
                <w:color w:val="000000" w:themeColor="text1"/>
                <w:szCs w:val="16"/>
              </w:rPr>
            </w:pPr>
            <w:r w:rsidRPr="00781112">
              <w:rPr>
                <w:rFonts w:cs="Arial"/>
                <w:b/>
                <w:color w:val="000000" w:themeColor="text1"/>
                <w:szCs w:val="16"/>
              </w:rPr>
              <w:t>Findings Not Yet Verified as Corrected</w:t>
            </w:r>
          </w:p>
        </w:tc>
      </w:tr>
      <w:tr w:rsidR="005C29F8" w:rsidRPr="00781112" w14:paraId="1DF4458C" w14:textId="77777777" w:rsidTr="00A947D9">
        <w:tc>
          <w:tcPr>
            <w:tcW w:w="988" w:type="pct"/>
            <w:shd w:val="clear" w:color="auto" w:fill="auto"/>
          </w:tcPr>
          <w:p w14:paraId="09D39BF4" w14:textId="12080EC7" w:rsidR="009A755E" w:rsidRPr="00781112" w:rsidRDefault="009A755E" w:rsidP="00A018D4">
            <w:pPr>
              <w:jc w:val="center"/>
              <w:rPr>
                <w:rFonts w:cs="Arial"/>
                <w:color w:val="000000" w:themeColor="text1"/>
                <w:szCs w:val="16"/>
              </w:rPr>
            </w:pPr>
          </w:p>
        </w:tc>
        <w:tc>
          <w:tcPr>
            <w:tcW w:w="1461" w:type="pct"/>
            <w:shd w:val="clear" w:color="auto" w:fill="auto"/>
          </w:tcPr>
          <w:p w14:paraId="16129CDC" w14:textId="4ECB3EAC" w:rsidR="009A755E" w:rsidRPr="00781112" w:rsidRDefault="009A755E">
            <w:pPr>
              <w:jc w:val="center"/>
              <w:rPr>
                <w:rFonts w:cs="Arial"/>
                <w:noProof/>
                <w:color w:val="000000" w:themeColor="text1"/>
                <w:szCs w:val="16"/>
              </w:rPr>
            </w:pPr>
          </w:p>
        </w:tc>
        <w:tc>
          <w:tcPr>
            <w:tcW w:w="1317" w:type="pct"/>
            <w:shd w:val="clear" w:color="auto" w:fill="auto"/>
          </w:tcPr>
          <w:p w14:paraId="631866C2" w14:textId="7A733589" w:rsidR="009A755E" w:rsidRPr="00781112" w:rsidRDefault="009A755E">
            <w:pPr>
              <w:jc w:val="center"/>
              <w:rPr>
                <w:rFonts w:cs="Arial"/>
                <w:noProof/>
                <w:color w:val="000000" w:themeColor="text1"/>
                <w:szCs w:val="16"/>
              </w:rPr>
            </w:pPr>
          </w:p>
        </w:tc>
        <w:tc>
          <w:tcPr>
            <w:tcW w:w="1234" w:type="pct"/>
            <w:shd w:val="clear" w:color="auto" w:fill="auto"/>
          </w:tcPr>
          <w:p w14:paraId="3A2AFB37" w14:textId="4D254CD3" w:rsidR="009A755E" w:rsidRPr="00781112" w:rsidRDefault="009A755E">
            <w:pPr>
              <w:jc w:val="center"/>
              <w:rPr>
                <w:rFonts w:cs="Arial"/>
                <w:noProof/>
                <w:color w:val="000000" w:themeColor="text1"/>
                <w:szCs w:val="16"/>
              </w:rPr>
            </w:pPr>
          </w:p>
        </w:tc>
      </w:tr>
      <w:tr w:rsidR="005C29F8" w:rsidRPr="00781112" w14:paraId="22754C03" w14:textId="77777777" w:rsidTr="00A947D9">
        <w:tc>
          <w:tcPr>
            <w:tcW w:w="988" w:type="pct"/>
            <w:shd w:val="clear" w:color="auto" w:fill="auto"/>
          </w:tcPr>
          <w:p w14:paraId="3F1CDA29" w14:textId="16C6A591" w:rsidR="009A755E" w:rsidRPr="00781112" w:rsidRDefault="009A755E" w:rsidP="00A018D4">
            <w:pPr>
              <w:jc w:val="center"/>
              <w:rPr>
                <w:rFonts w:cs="Arial"/>
                <w:color w:val="000000" w:themeColor="text1"/>
                <w:szCs w:val="16"/>
              </w:rPr>
            </w:pPr>
          </w:p>
        </w:tc>
        <w:tc>
          <w:tcPr>
            <w:tcW w:w="1461" w:type="pct"/>
            <w:shd w:val="clear" w:color="auto" w:fill="auto"/>
          </w:tcPr>
          <w:p w14:paraId="50EA299D" w14:textId="70FCF876" w:rsidR="009A755E" w:rsidRPr="00781112" w:rsidRDefault="009A755E">
            <w:pPr>
              <w:jc w:val="center"/>
              <w:rPr>
                <w:rFonts w:cs="Arial"/>
                <w:noProof/>
                <w:color w:val="000000" w:themeColor="text1"/>
                <w:szCs w:val="16"/>
              </w:rPr>
            </w:pPr>
          </w:p>
        </w:tc>
        <w:tc>
          <w:tcPr>
            <w:tcW w:w="1317" w:type="pct"/>
            <w:shd w:val="clear" w:color="auto" w:fill="auto"/>
          </w:tcPr>
          <w:p w14:paraId="424B5A41" w14:textId="57F0D24B" w:rsidR="009A755E" w:rsidRPr="00781112" w:rsidRDefault="009A755E">
            <w:pPr>
              <w:jc w:val="center"/>
              <w:rPr>
                <w:rFonts w:cs="Arial"/>
                <w:noProof/>
                <w:color w:val="000000" w:themeColor="text1"/>
                <w:szCs w:val="16"/>
              </w:rPr>
            </w:pPr>
          </w:p>
        </w:tc>
        <w:tc>
          <w:tcPr>
            <w:tcW w:w="1234" w:type="pct"/>
            <w:shd w:val="clear" w:color="auto" w:fill="auto"/>
          </w:tcPr>
          <w:p w14:paraId="5FD250DE" w14:textId="1F07D8E0" w:rsidR="009A755E" w:rsidRPr="00781112" w:rsidRDefault="009A755E">
            <w:pPr>
              <w:jc w:val="center"/>
              <w:rPr>
                <w:rFonts w:cs="Arial"/>
                <w:noProof/>
                <w:color w:val="000000" w:themeColor="text1"/>
                <w:szCs w:val="16"/>
              </w:rPr>
            </w:pPr>
          </w:p>
        </w:tc>
      </w:tr>
      <w:tr w:rsidR="005C29F8" w:rsidRPr="00781112" w14:paraId="1554C3DE" w14:textId="77777777" w:rsidTr="00A947D9">
        <w:tc>
          <w:tcPr>
            <w:tcW w:w="988" w:type="pct"/>
            <w:shd w:val="clear" w:color="auto" w:fill="auto"/>
          </w:tcPr>
          <w:p w14:paraId="08F1D022" w14:textId="2DEB05AF" w:rsidR="009A755E" w:rsidRPr="00781112" w:rsidRDefault="009A755E" w:rsidP="00A018D4">
            <w:pPr>
              <w:jc w:val="center"/>
              <w:rPr>
                <w:rFonts w:cs="Arial"/>
                <w:color w:val="000000" w:themeColor="text1"/>
                <w:szCs w:val="16"/>
              </w:rPr>
            </w:pPr>
          </w:p>
        </w:tc>
        <w:tc>
          <w:tcPr>
            <w:tcW w:w="1461" w:type="pct"/>
            <w:shd w:val="clear" w:color="auto" w:fill="auto"/>
          </w:tcPr>
          <w:p w14:paraId="3FCA4EF1" w14:textId="25DC21F7" w:rsidR="009A755E" w:rsidRPr="00781112" w:rsidRDefault="009A755E">
            <w:pPr>
              <w:jc w:val="center"/>
              <w:rPr>
                <w:rFonts w:cs="Arial"/>
                <w:noProof/>
                <w:color w:val="000000" w:themeColor="text1"/>
                <w:szCs w:val="16"/>
              </w:rPr>
            </w:pPr>
          </w:p>
        </w:tc>
        <w:tc>
          <w:tcPr>
            <w:tcW w:w="1317" w:type="pct"/>
            <w:shd w:val="clear" w:color="auto" w:fill="auto"/>
          </w:tcPr>
          <w:p w14:paraId="4F433BEE" w14:textId="401E2469" w:rsidR="009A755E" w:rsidRPr="00781112" w:rsidRDefault="009A755E">
            <w:pPr>
              <w:jc w:val="center"/>
              <w:rPr>
                <w:rFonts w:cs="Arial"/>
                <w:noProof/>
                <w:color w:val="000000" w:themeColor="text1"/>
                <w:szCs w:val="16"/>
              </w:rPr>
            </w:pPr>
          </w:p>
        </w:tc>
        <w:tc>
          <w:tcPr>
            <w:tcW w:w="1234" w:type="pct"/>
            <w:shd w:val="clear" w:color="auto" w:fill="auto"/>
          </w:tcPr>
          <w:p w14:paraId="615F0522" w14:textId="27A5AF36" w:rsidR="009A755E" w:rsidRPr="00781112" w:rsidRDefault="009A755E">
            <w:pPr>
              <w:jc w:val="center"/>
              <w:rPr>
                <w:rFonts w:cs="Arial"/>
                <w:noProof/>
                <w:color w:val="000000" w:themeColor="text1"/>
                <w:szCs w:val="16"/>
              </w:rPr>
            </w:pPr>
          </w:p>
        </w:tc>
      </w:tr>
      <w:tr w:rsidR="00427654" w:rsidRPr="00781112" w14:paraId="2815F59D" w14:textId="77777777" w:rsidTr="00A947D9">
        <w:tc>
          <w:tcPr>
            <w:tcW w:w="988" w:type="pct"/>
            <w:shd w:val="clear" w:color="auto" w:fill="auto"/>
          </w:tcPr>
          <w:p w14:paraId="57C99F36" w14:textId="381DB30A" w:rsidR="00427654" w:rsidRPr="00781112" w:rsidRDefault="00427654" w:rsidP="00427654">
            <w:pPr>
              <w:jc w:val="center"/>
              <w:rPr>
                <w:rFonts w:cs="Arial"/>
                <w:color w:val="000000" w:themeColor="text1"/>
                <w:szCs w:val="16"/>
              </w:rPr>
            </w:pPr>
          </w:p>
        </w:tc>
        <w:tc>
          <w:tcPr>
            <w:tcW w:w="1461" w:type="pct"/>
            <w:shd w:val="clear" w:color="auto" w:fill="auto"/>
          </w:tcPr>
          <w:p w14:paraId="6CEDBEB8" w14:textId="18FB85C6" w:rsidR="00427654" w:rsidRPr="00781112" w:rsidRDefault="00427654" w:rsidP="00427654">
            <w:pPr>
              <w:jc w:val="center"/>
              <w:rPr>
                <w:rFonts w:cs="Arial"/>
                <w:color w:val="000000" w:themeColor="text1"/>
                <w:szCs w:val="16"/>
              </w:rPr>
            </w:pPr>
          </w:p>
        </w:tc>
        <w:tc>
          <w:tcPr>
            <w:tcW w:w="1317" w:type="pct"/>
            <w:shd w:val="clear" w:color="auto" w:fill="auto"/>
          </w:tcPr>
          <w:p w14:paraId="77BA8C74" w14:textId="6DF7328B" w:rsidR="00427654" w:rsidRPr="00781112" w:rsidRDefault="00427654" w:rsidP="00427654">
            <w:pPr>
              <w:jc w:val="center"/>
              <w:rPr>
                <w:rFonts w:cs="Arial"/>
                <w:color w:val="000000" w:themeColor="text1"/>
                <w:szCs w:val="16"/>
              </w:rPr>
            </w:pPr>
          </w:p>
        </w:tc>
        <w:tc>
          <w:tcPr>
            <w:tcW w:w="1234" w:type="pct"/>
            <w:shd w:val="clear" w:color="auto" w:fill="auto"/>
          </w:tcPr>
          <w:p w14:paraId="4AAB48D5" w14:textId="1920D04D" w:rsidR="00427654" w:rsidRPr="00781112" w:rsidRDefault="00427654" w:rsidP="00427654">
            <w:pPr>
              <w:jc w:val="center"/>
              <w:rPr>
                <w:rFonts w:cs="Arial"/>
                <w:color w:val="000000" w:themeColor="text1"/>
                <w:szCs w:val="16"/>
              </w:rPr>
            </w:pPr>
          </w:p>
        </w:tc>
      </w:tr>
      <w:tr w:rsidR="00427654" w:rsidRPr="00781112" w14:paraId="3A826F76" w14:textId="77777777" w:rsidTr="00A947D9">
        <w:tc>
          <w:tcPr>
            <w:tcW w:w="988" w:type="pct"/>
            <w:shd w:val="clear" w:color="auto" w:fill="auto"/>
          </w:tcPr>
          <w:p w14:paraId="07376903" w14:textId="6D4FE71F" w:rsidR="00427654" w:rsidRPr="00781112" w:rsidRDefault="00427654" w:rsidP="00427654">
            <w:pPr>
              <w:jc w:val="center"/>
              <w:rPr>
                <w:rFonts w:cs="Arial"/>
                <w:color w:val="000000" w:themeColor="text1"/>
                <w:szCs w:val="16"/>
              </w:rPr>
            </w:pPr>
          </w:p>
        </w:tc>
        <w:tc>
          <w:tcPr>
            <w:tcW w:w="1461" w:type="pct"/>
            <w:shd w:val="clear" w:color="auto" w:fill="auto"/>
          </w:tcPr>
          <w:p w14:paraId="73C45E25" w14:textId="62ECBB51" w:rsidR="00427654" w:rsidRPr="00781112" w:rsidRDefault="00427654" w:rsidP="00427654">
            <w:pPr>
              <w:jc w:val="center"/>
              <w:rPr>
                <w:rFonts w:cs="Arial"/>
                <w:color w:val="000000" w:themeColor="text1"/>
                <w:szCs w:val="16"/>
              </w:rPr>
            </w:pPr>
          </w:p>
        </w:tc>
        <w:tc>
          <w:tcPr>
            <w:tcW w:w="1317" w:type="pct"/>
            <w:shd w:val="clear" w:color="auto" w:fill="auto"/>
          </w:tcPr>
          <w:p w14:paraId="4F5CAB46" w14:textId="2A047DAD" w:rsidR="00427654" w:rsidRPr="00781112" w:rsidRDefault="00427654" w:rsidP="00427654">
            <w:pPr>
              <w:jc w:val="center"/>
              <w:rPr>
                <w:rFonts w:cs="Arial"/>
                <w:color w:val="000000" w:themeColor="text1"/>
                <w:szCs w:val="16"/>
              </w:rPr>
            </w:pPr>
          </w:p>
        </w:tc>
        <w:tc>
          <w:tcPr>
            <w:tcW w:w="1234" w:type="pct"/>
            <w:shd w:val="clear" w:color="auto" w:fill="auto"/>
          </w:tcPr>
          <w:p w14:paraId="312383C2" w14:textId="57A8F1A1" w:rsidR="00427654" w:rsidRPr="00781112" w:rsidRDefault="00427654" w:rsidP="00427654">
            <w:pPr>
              <w:jc w:val="center"/>
              <w:rPr>
                <w:rFonts w:cs="Arial"/>
                <w:color w:val="000000" w:themeColor="text1"/>
                <w:szCs w:val="16"/>
              </w:rPr>
            </w:pPr>
          </w:p>
        </w:tc>
      </w:tr>
    </w:tbl>
    <w:p w14:paraId="0764B6D1" w14:textId="7BF666C6" w:rsidR="004E2151" w:rsidRPr="00781112" w:rsidRDefault="00056350" w:rsidP="005B40C0">
      <w:pPr>
        <w:pStyle w:val="Heading3"/>
      </w:pPr>
      <w:r w:rsidRPr="00781112">
        <w:t>13</w:t>
      </w:r>
      <w:r w:rsidR="001D508D" w:rsidRPr="00781112">
        <w:t xml:space="preserve"> </w:t>
      </w:r>
      <w:r w:rsidRPr="00781112">
        <w:t xml:space="preserve">- </w:t>
      </w:r>
      <w:r w:rsidR="004E2151" w:rsidRPr="00781112">
        <w:t>Prior FFY Required Actions</w:t>
      </w:r>
    </w:p>
    <w:p w14:paraId="3DC62C2B" w14:textId="341FD615" w:rsidR="004E2151" w:rsidRPr="00781112" w:rsidRDefault="002B7490" w:rsidP="004E2151">
      <w:pPr>
        <w:rPr>
          <w:rFonts w:cs="Arial"/>
          <w:color w:val="000000" w:themeColor="text1"/>
          <w:szCs w:val="16"/>
        </w:rPr>
      </w:pPr>
      <w:r w:rsidRPr="00781112">
        <w:rPr>
          <w:rFonts w:cs="Arial"/>
          <w:color w:val="000000" w:themeColor="text1"/>
          <w:szCs w:val="16"/>
        </w:rPr>
        <w:t>Because the State reported less than 100% compliance for FFY 2022, the State must report on the status of correction of noncompliance identified in FFY 2022 for this indicator. When reporting on the correction of noncompliance, the State must report, in the FFY 2023 SPP/APR, that it has verified that each LEA with noncompliance identified in FFY 2022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consistent with OSEP QA 23-01.  In the FFY 2023 SPP/APR, the State must describe the specific actions that were taken to verify the correction. If the State did not identify any findings of noncompliance in FFY 2022, although its FFY 2022 data reflect less than 100% compliance, provide an explanation of why the State did not identify any findings of noncompliance in FFY 2022.</w:t>
      </w:r>
    </w:p>
    <w:p w14:paraId="6FDC964C" w14:textId="7C7EE16F" w:rsidR="009F69E7" w:rsidRPr="00781112" w:rsidRDefault="009F69E7" w:rsidP="004E2151">
      <w:pPr>
        <w:rPr>
          <w:rFonts w:cs="Arial"/>
          <w:color w:val="000000" w:themeColor="text1"/>
          <w:szCs w:val="16"/>
        </w:rPr>
      </w:pPr>
    </w:p>
    <w:p w14:paraId="769948F5" w14:textId="1902368C" w:rsidR="004E2151" w:rsidRPr="00781112" w:rsidRDefault="007639D7" w:rsidP="004369B2">
      <w:pPr>
        <w:rPr>
          <w:b/>
          <w:color w:val="000000" w:themeColor="text1"/>
        </w:rPr>
      </w:pPr>
      <w:r>
        <w:rPr>
          <w:b/>
          <w:color w:val="000000" w:themeColor="text1"/>
        </w:rPr>
        <w:t>Response to actions required in FFY 2022 SPP/APR</w:t>
      </w:r>
    </w:p>
    <w:p w14:paraId="18FDD3C1" w14:textId="77777777" w:rsidR="009F69E7" w:rsidRPr="00781112" w:rsidRDefault="002B7490" w:rsidP="004E2151">
      <w:pPr>
        <w:rPr>
          <w:rFonts w:cs="Arial"/>
          <w:color w:val="000000" w:themeColor="text1"/>
          <w:szCs w:val="16"/>
        </w:rPr>
      </w:pPr>
      <w:r w:rsidRPr="00781112">
        <w:rPr>
          <w:rFonts w:cs="Arial"/>
          <w:color w:val="000000" w:themeColor="text1"/>
          <w:szCs w:val="16"/>
        </w:rPr>
        <w:t xml:space="preserve">In this FFY 2023 submission, the State reports on the status of correction of noncompliance identified in FFY 2022. The State has verified that each of the LEAs with noncompliance identified in FFY 2022 is correctly implementing the specific regulatory requirements based on a review of additional data collected through follow-up monitoring activities and the correction of all individual instances of noncompliance. Throughout the correction process, the State’s District Support Specialists and the Transition Network facilitators provided technical assistance and professional learning to districts on topics including writing appropriate goals and transition planning. </w:t>
      </w:r>
      <w:r w:rsidRPr="00781112">
        <w:rPr>
          <w:rFonts w:cs="Arial"/>
          <w:color w:val="000000" w:themeColor="text1"/>
          <w:szCs w:val="16"/>
        </w:rPr>
        <w:br/>
      </w:r>
      <w:r w:rsidRPr="00781112">
        <w:rPr>
          <w:rFonts w:cs="Arial"/>
          <w:color w:val="000000" w:themeColor="text1"/>
          <w:szCs w:val="16"/>
        </w:rPr>
        <w:br/>
        <w:t xml:space="preserve">The state collected and validated evidence that all individual corrections of noncompliance were complete. The State required that each LEA with identified noncompliance conduct a root cause analysis, take appropriate action, and demonstrate that the LEA was now implementing the regulations correctly. Each LEA had to submit subsequent data proportionate to the noncompliance in the form of new student files that were then validated by the State as demonstrating compliance. </w:t>
      </w:r>
    </w:p>
    <w:p w14:paraId="310A49DA" w14:textId="36D1B81C" w:rsidR="007F5071" w:rsidRPr="00781112" w:rsidRDefault="00056350" w:rsidP="005B40C0">
      <w:pPr>
        <w:pStyle w:val="Heading3"/>
      </w:pPr>
      <w:r w:rsidRPr="00781112">
        <w:t>13 - OSEP Response</w:t>
      </w:r>
    </w:p>
    <w:p w14:paraId="55757593" w14:textId="79413C8B" w:rsidR="00293C7E" w:rsidRPr="00781112" w:rsidRDefault="00293C7E" w:rsidP="00212954">
      <w:pPr>
        <w:rPr>
          <w:rFonts w:cs="Arial"/>
          <w:color w:val="000000" w:themeColor="text1"/>
          <w:szCs w:val="16"/>
        </w:rPr>
      </w:pPr>
    </w:p>
    <w:p w14:paraId="139D82E4" w14:textId="2690DF84" w:rsidR="007F5071" w:rsidRPr="00781112" w:rsidRDefault="00056350" w:rsidP="005B40C0">
      <w:pPr>
        <w:pStyle w:val="Heading3"/>
      </w:pPr>
      <w:r w:rsidRPr="00781112">
        <w:t>13 - Required Actions</w:t>
      </w:r>
    </w:p>
    <w:p w14:paraId="3AC05AE9" w14:textId="66211D68" w:rsidR="00293C7E" w:rsidRPr="00781112" w:rsidRDefault="002B7490" w:rsidP="00212954">
      <w:pPr>
        <w:rPr>
          <w:rFonts w:cs="Arial"/>
          <w:color w:val="000000" w:themeColor="text1"/>
          <w:szCs w:val="16"/>
        </w:rPr>
      </w:pPr>
      <w:r w:rsidRPr="00781112">
        <w:rPr>
          <w:rFonts w:cs="Arial"/>
          <w:color w:val="000000" w:themeColor="text1"/>
          <w:szCs w:val="16"/>
        </w:rPr>
        <w:t>Because the State reported less than 100% compliance for FFY 2023, the State must report on the status of correction of noncompliance identified in FFY 2023 for this indicator. When reporting on the correction of noncompliance, the State must report, in the FFY 2024 SPP/APR, that it has verified that each LEA with noncompliance identified in FFY 2023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LEA and no outstanding corrective action exists under a State complaint or due process hearing decision for the child, consistent with OSEP QA 23-01. In the FFY 2024 SPP/APR, the State must describe the specific actions that were taken to verify the correction. If the State did not identify any findings of noncompliance in FFY 2023, although its FFY 2023 data reflect less than 100% compliance, provide an explanation of why the State did not identify any findings. If the State did not issue any findings because it has adopted procedures that permit its LEAs to correct noncompliance prior to the State's issuance of a finding, the explanation must include how the State verified, prior to issuing a finding, that the LEA has corrected each individual case of child-specific noncompliance and is correctly implementing the specific regulatory requirements.</w:t>
      </w:r>
    </w:p>
    <w:p w14:paraId="2D88F5D3"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6BE48297" w14:textId="049A8FC3" w:rsidR="00B3462E" w:rsidRPr="00781112" w:rsidRDefault="00B3462E" w:rsidP="005B40C0">
      <w:pPr>
        <w:pStyle w:val="Heading2"/>
      </w:pPr>
      <w:r w:rsidRPr="00781112">
        <w:rPr>
          <w:color w:val="000000" w:themeColor="text1"/>
          <w:sz w:val="22"/>
        </w:rPr>
        <w:lastRenderedPageBreak/>
        <w:t>Indicator 14: Post-School Outcomes</w:t>
      </w:r>
      <w:bookmarkEnd w:id="83"/>
    </w:p>
    <w:p w14:paraId="22761492" w14:textId="27E64366" w:rsidR="005C50DB" w:rsidRPr="002C274F" w:rsidRDefault="005C50DB" w:rsidP="002C274F">
      <w:pPr>
        <w:rPr>
          <w:b/>
          <w:bCs/>
          <w:sz w:val="20"/>
          <w:szCs w:val="20"/>
        </w:rPr>
      </w:pPr>
      <w:bookmarkStart w:id="84" w:name="_Toc392159336"/>
      <w:r w:rsidRPr="002C274F">
        <w:rPr>
          <w:b/>
          <w:bCs/>
          <w:sz w:val="20"/>
          <w:szCs w:val="20"/>
        </w:rPr>
        <w:t>Instructions and Measurement</w:t>
      </w:r>
    </w:p>
    <w:p w14:paraId="3872DE81" w14:textId="173DF04F" w:rsidR="001F3A65" w:rsidRPr="00781112" w:rsidRDefault="001F3A65" w:rsidP="005F442C">
      <w:pPr>
        <w:rPr>
          <w:rFonts w:cs="Arial"/>
          <w:szCs w:val="16"/>
        </w:rPr>
      </w:pPr>
      <w:r w:rsidRPr="00781112">
        <w:rPr>
          <w:rFonts w:cs="Arial"/>
          <w:b/>
          <w:szCs w:val="16"/>
        </w:rPr>
        <w:t>Monitoring Priority</w:t>
      </w:r>
      <w:r w:rsidRPr="00781112">
        <w:rPr>
          <w:rFonts w:cs="Arial"/>
          <w:szCs w:val="16"/>
        </w:rPr>
        <w:t>: Effective General Supervision Part B / Effective Transition</w:t>
      </w:r>
    </w:p>
    <w:p w14:paraId="29CEDA40" w14:textId="10BE3AE6" w:rsidR="001F3A65" w:rsidRPr="00781112" w:rsidRDefault="001F3A65" w:rsidP="005F442C">
      <w:pPr>
        <w:rPr>
          <w:rFonts w:cs="Arial"/>
          <w:szCs w:val="16"/>
        </w:rPr>
      </w:pPr>
      <w:r w:rsidRPr="00781112">
        <w:rPr>
          <w:rFonts w:cs="Arial"/>
          <w:b/>
          <w:szCs w:val="16"/>
        </w:rPr>
        <w:t>Results indicator:</w:t>
      </w:r>
      <w:r w:rsidR="00131842" w:rsidRPr="00781112">
        <w:rPr>
          <w:rFonts w:cs="Arial"/>
          <w:szCs w:val="16"/>
        </w:rPr>
        <w:t xml:space="preserve"> </w:t>
      </w:r>
      <w:r w:rsidRPr="00781112">
        <w:rPr>
          <w:rFonts w:cs="Arial"/>
          <w:szCs w:val="16"/>
        </w:rPr>
        <w:t>Percent of youth who are no longer in secondary school, had IEPs in effect at the time they left school, and were:</w:t>
      </w:r>
    </w:p>
    <w:p w14:paraId="7F97857D" w14:textId="783928AC" w:rsidR="001F3A65" w:rsidRPr="00781112" w:rsidRDefault="00F52ED5" w:rsidP="005F442C">
      <w:pPr>
        <w:rPr>
          <w:rFonts w:cs="Arial"/>
          <w:szCs w:val="16"/>
        </w:rPr>
      </w:pPr>
      <w:r w:rsidRPr="00781112">
        <w:rPr>
          <w:rFonts w:cs="Arial"/>
          <w:szCs w:val="16"/>
        </w:rPr>
        <w:tab/>
      </w:r>
      <w:r w:rsidRPr="00781112">
        <w:rPr>
          <w:rFonts w:cs="Arial"/>
          <w:szCs w:val="16"/>
        </w:rPr>
        <w:tab/>
        <w:t>A. Enrolled in higher education within one year of leaving high school.</w:t>
      </w:r>
    </w:p>
    <w:p w14:paraId="72E90E1C" w14:textId="0FC21DC4" w:rsidR="001F3A65" w:rsidRPr="00781112" w:rsidRDefault="00F52ED5" w:rsidP="005F442C">
      <w:pPr>
        <w:rPr>
          <w:rFonts w:cs="Arial"/>
          <w:szCs w:val="16"/>
        </w:rPr>
      </w:pPr>
      <w:r w:rsidRPr="00781112">
        <w:rPr>
          <w:rFonts w:cs="Arial"/>
          <w:szCs w:val="16"/>
        </w:rPr>
        <w:tab/>
      </w:r>
      <w:r w:rsidRPr="00781112">
        <w:rPr>
          <w:rFonts w:cs="Arial"/>
          <w:szCs w:val="16"/>
        </w:rPr>
        <w:tab/>
        <w:t>B. Enrolled in higher education or competitively employed within one year of leaving high school.</w:t>
      </w:r>
    </w:p>
    <w:p w14:paraId="71CF3231" w14:textId="0CA0669B" w:rsidR="001F3A65" w:rsidRPr="00781112" w:rsidRDefault="00F52ED5" w:rsidP="00856B0E">
      <w:pPr>
        <w:tabs>
          <w:tab w:val="left" w:pos="1440"/>
        </w:tabs>
        <w:ind w:left="1440"/>
        <w:rPr>
          <w:rFonts w:cs="Arial"/>
          <w:szCs w:val="16"/>
        </w:rPr>
      </w:pPr>
      <w:r w:rsidRPr="00781112">
        <w:rPr>
          <w:rFonts w:cs="Arial"/>
          <w:szCs w:val="16"/>
        </w:rPr>
        <w:t>C. Enrolled in higher education or in some other postsecondary education or training program; or competitively employed or in some other employment within one year of leaving high school.</w:t>
      </w:r>
    </w:p>
    <w:p w14:paraId="34C582E7" w14:textId="77777777" w:rsidR="001F3A65" w:rsidRPr="00781112" w:rsidRDefault="001F3A65" w:rsidP="005F442C">
      <w:pPr>
        <w:rPr>
          <w:rFonts w:cs="Arial"/>
          <w:szCs w:val="16"/>
        </w:rPr>
      </w:pPr>
      <w:r w:rsidRPr="00781112">
        <w:rPr>
          <w:rFonts w:cs="Arial"/>
          <w:szCs w:val="16"/>
        </w:rPr>
        <w:t>(20 U.S.C. 1416(a)(3)(B))</w:t>
      </w:r>
    </w:p>
    <w:p w14:paraId="48D4CA91" w14:textId="77777777" w:rsidR="00B67038" w:rsidRPr="00781112" w:rsidRDefault="00B67038" w:rsidP="004369B2">
      <w:r w:rsidRPr="00781112">
        <w:rPr>
          <w:b/>
        </w:rPr>
        <w:t>Data Source</w:t>
      </w:r>
    </w:p>
    <w:p w14:paraId="266BF2FF" w14:textId="7EC5F0A3" w:rsidR="00B67038" w:rsidRPr="00781112" w:rsidRDefault="00B67038" w:rsidP="005F442C">
      <w:pPr>
        <w:rPr>
          <w:rFonts w:cs="Arial"/>
          <w:szCs w:val="16"/>
        </w:rPr>
      </w:pPr>
      <w:r w:rsidRPr="00781112">
        <w:rPr>
          <w:rFonts w:cs="Arial"/>
          <w:szCs w:val="16"/>
        </w:rPr>
        <w:t>State selected data source.</w:t>
      </w:r>
    </w:p>
    <w:p w14:paraId="1655DDB5" w14:textId="4F072B5B" w:rsidR="00B67038" w:rsidRPr="00781112" w:rsidRDefault="00B67038" w:rsidP="004369B2">
      <w:r w:rsidRPr="00781112">
        <w:rPr>
          <w:b/>
        </w:rPr>
        <w:t>Measurement</w:t>
      </w:r>
    </w:p>
    <w:p w14:paraId="0B074DD3" w14:textId="77777777" w:rsidR="00B67038" w:rsidRPr="00781112" w:rsidRDefault="009B2B72" w:rsidP="006A01BD">
      <w:pPr>
        <w:pStyle w:val="Numbering"/>
        <w:ind w:left="360"/>
        <w:rPr>
          <w:color w:val="auto"/>
        </w:rPr>
      </w:pPr>
      <w:r w:rsidRPr="00781112">
        <w:rPr>
          <w:color w:val="auto"/>
        </w:rPr>
        <w:t>A. Percent enrolled in higher education = [(# of youth who are no longer in secondary school, had IEPs in effect at the time they left school and were enrolled in higher education within one year of leaving high school) divided by the (# of respondent youth who are no longer in secondary school and had IEPs in effect at the time they left school)] times 100.</w:t>
      </w:r>
    </w:p>
    <w:p w14:paraId="32414D87" w14:textId="01962ED5" w:rsidR="00B67038" w:rsidRPr="00781112" w:rsidRDefault="009B2B72" w:rsidP="006A01BD">
      <w:pPr>
        <w:pStyle w:val="Numbering"/>
        <w:ind w:left="360"/>
        <w:rPr>
          <w:color w:val="auto"/>
        </w:rPr>
      </w:pPr>
      <w:r w:rsidRPr="00781112">
        <w:rPr>
          <w:color w:val="auto"/>
        </w:rPr>
        <w:t>B. Percent enrolled in higher education or competitively employed within one year of leaving high school = [(# of youth who are no longer in secondary school, had IEPs in effect at the time they left school and were enrolled in higher education or competitively employed within one year of leaving high school) divided by the (# of respondent youth who are no longer in secondary school and had IEPs in effect at the time they left school)] times 100.</w:t>
      </w:r>
    </w:p>
    <w:p w14:paraId="0E47FE86" w14:textId="3EAC7580" w:rsidR="00B67038" w:rsidRPr="00781112" w:rsidRDefault="009B2B72" w:rsidP="006A01BD">
      <w:pPr>
        <w:pStyle w:val="Numbering"/>
        <w:ind w:left="360"/>
        <w:rPr>
          <w:color w:val="auto"/>
        </w:rPr>
      </w:pPr>
      <w:r w:rsidRPr="00781112">
        <w:rPr>
          <w:color w:val="auto"/>
        </w:rPr>
        <w:t>C. Percent enrolled in higher education, or in some other postsecondary education or training program; or competitively employed or in some other employment = [(# of youth who are no longer in secondary school, had IEPs in effect at the time they left school and were enrolled in higher education, or in some other postsecondary education or training program; or competitively employed or in some other employment) divided by the (# of respondent youth who are no longer in secondary school and had IEPs in effect at the time they left school)] times 100.</w:t>
      </w:r>
    </w:p>
    <w:p w14:paraId="20442BDD" w14:textId="77777777" w:rsidR="00B67038" w:rsidRPr="00781112" w:rsidRDefault="00B67038" w:rsidP="004369B2">
      <w:r w:rsidRPr="00781112">
        <w:rPr>
          <w:b/>
        </w:rPr>
        <w:t>Instructions</w:t>
      </w:r>
    </w:p>
    <w:p w14:paraId="4987E862" w14:textId="6885D117" w:rsidR="00B67038" w:rsidRPr="00781112" w:rsidRDefault="00B67038" w:rsidP="003A4027">
      <w:pPr>
        <w:spacing w:before="0" w:after="210"/>
        <w:rPr>
          <w:rFonts w:eastAsia="Times New Roman" w:cs="Arial"/>
          <w:i/>
          <w:iCs/>
          <w:szCs w:val="16"/>
        </w:rPr>
      </w:pPr>
      <w:r w:rsidRPr="00781112">
        <w:rPr>
          <w:rFonts w:eastAsia="Times New Roman" w:cs="Arial"/>
          <w:i/>
          <w:iCs/>
          <w:szCs w:val="16"/>
        </w:rPr>
        <w:t>Sampling </w:t>
      </w:r>
      <w:r w:rsidRPr="00781112">
        <w:rPr>
          <w:rFonts w:eastAsia="Times New Roman" w:cs="Arial"/>
          <w:b/>
          <w:bCs/>
          <w:i/>
          <w:iCs/>
          <w:szCs w:val="16"/>
        </w:rPr>
        <w:t>of youth who had IEPs and are no longer in secondary school</w:t>
      </w:r>
      <w:r w:rsidRPr="00781112">
        <w:rPr>
          <w:rFonts w:eastAsia="Times New Roman" w:cs="Arial"/>
          <w:i/>
          <w:iCs/>
          <w:szCs w:val="16"/>
        </w:rPr>
        <w:t> is allowed. When sampling is used, submit a description of the sampling methodology outlining how the design will yield valid and reliable estimates of the target population. (See </w:t>
      </w:r>
      <w:r w:rsidRPr="00781112">
        <w:rPr>
          <w:rFonts w:eastAsia="Times New Roman" w:cs="Arial"/>
          <w:i/>
          <w:iCs/>
          <w:szCs w:val="16"/>
          <w:u w:val="single"/>
        </w:rPr>
        <w:t>General Instructions</w:t>
      </w:r>
      <w:r w:rsidRPr="00781112">
        <w:rPr>
          <w:rFonts w:eastAsia="Times New Roman" w:cs="Arial"/>
          <w:i/>
          <w:iCs/>
          <w:szCs w:val="16"/>
        </w:rPr>
        <w:t xml:space="preserve"> on page </w:t>
      </w:r>
      <w:r w:rsidR="0042509A">
        <w:rPr>
          <w:rFonts w:eastAsia="Times New Roman" w:cs="Arial"/>
          <w:i/>
          <w:iCs/>
          <w:szCs w:val="16"/>
        </w:rPr>
        <w:t>3</w:t>
      </w:r>
      <w:r w:rsidRPr="00781112">
        <w:rPr>
          <w:rFonts w:eastAsia="Times New Roman" w:cs="Arial"/>
          <w:i/>
          <w:iCs/>
          <w:szCs w:val="16"/>
        </w:rPr>
        <w:t xml:space="preserve"> for additional instructions on sampling.)</w:t>
      </w:r>
    </w:p>
    <w:p w14:paraId="7DEAD51C" w14:textId="4E986C4E" w:rsidR="00B67038" w:rsidRPr="00781112" w:rsidRDefault="003A4027" w:rsidP="003A4027">
      <w:pPr>
        <w:spacing w:before="0" w:after="210"/>
        <w:rPr>
          <w:rFonts w:eastAsia="Times New Roman" w:cs="Arial"/>
          <w:szCs w:val="16"/>
        </w:rPr>
      </w:pPr>
      <w:r w:rsidRPr="00781112">
        <w:rPr>
          <w:rFonts w:eastAsia="Times New Roman" w:cs="Arial"/>
          <w:szCs w:val="16"/>
        </w:rPr>
        <w:t>Collect data by September 2024 on students who left school during 2022-2023, timing the data collection so that at least one year has passed since the students left school. Include students who dropped out during 2022-2023 or who were expected to return but did not return for the current school year. This includes all youth who had an IEP in effect at the time they left school, including those who graduated with a regular diploma or some other credential, dropped out, or aged out.</w:t>
      </w:r>
    </w:p>
    <w:p w14:paraId="34FE8763"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 </w:t>
      </w:r>
      <w:r w:rsidRPr="00781112">
        <w:rPr>
          <w:rFonts w:eastAsia="Times New Roman" w:cs="Arial"/>
          <w:b/>
          <w:bCs/>
          <w:i/>
          <w:iCs/>
          <w:szCs w:val="16"/>
        </w:rPr>
        <w:t>Definitions</w:t>
      </w:r>
    </w:p>
    <w:p w14:paraId="239CB051" w14:textId="357D0921"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higher education</w:t>
      </w:r>
      <w:r w:rsidRPr="00781112">
        <w:rPr>
          <w:rFonts w:eastAsia="Times New Roman" w:cs="Arial"/>
          <w:szCs w:val="16"/>
        </w:rPr>
        <w:t> as used in measures A, B, and C means youth have been enrolled on a full- or part-time basis in a community college (</w:t>
      </w:r>
      <w:r w:rsidR="00DB1150" w:rsidRPr="00781112">
        <w:rPr>
          <w:rFonts w:eastAsia="Times New Roman" w:cs="Arial"/>
          <w:szCs w:val="16"/>
        </w:rPr>
        <w:t>two-year</w:t>
      </w:r>
      <w:r w:rsidRPr="00781112">
        <w:rPr>
          <w:rFonts w:eastAsia="Times New Roman" w:cs="Arial"/>
          <w:szCs w:val="16"/>
        </w:rPr>
        <w:t xml:space="preserve"> program) or college/university (four or more year program) for at least one complete term, at any time in the year since leaving high school.</w:t>
      </w:r>
    </w:p>
    <w:p w14:paraId="4D24D49D" w14:textId="70217398" w:rsidR="00B67038" w:rsidRPr="00781112" w:rsidRDefault="003A4027" w:rsidP="003A4027">
      <w:pPr>
        <w:spacing w:before="0" w:after="210"/>
        <w:rPr>
          <w:rFonts w:eastAsia="Times New Roman" w:cs="Arial"/>
          <w:szCs w:val="16"/>
        </w:rPr>
      </w:pPr>
      <w:r w:rsidRPr="00781112">
        <w:rPr>
          <w:rFonts w:eastAsia="Times New Roman" w:cs="Arial"/>
          <w:i/>
          <w:iCs/>
          <w:szCs w:val="16"/>
        </w:rPr>
        <w:t xml:space="preserve">Competitive employment </w:t>
      </w:r>
      <w:r w:rsidRPr="00781112">
        <w:rPr>
          <w:rFonts w:eastAsia="Times New Roman" w:cs="Arial"/>
          <w:iCs/>
          <w:szCs w:val="16"/>
        </w:rPr>
        <w:t>as used in measures B and C: States have two options to report data under “competitive employment”:</w:t>
      </w:r>
    </w:p>
    <w:p w14:paraId="18FD65ED" w14:textId="77777777" w:rsidR="00B67038" w:rsidRPr="00781112" w:rsidRDefault="00B67038" w:rsidP="002D597B">
      <w:pPr>
        <w:spacing w:before="0" w:after="210"/>
        <w:rPr>
          <w:rFonts w:eastAsia="Times New Roman" w:cs="Arial"/>
          <w:szCs w:val="16"/>
        </w:rPr>
      </w:pPr>
      <w:r w:rsidRPr="00781112">
        <w:rPr>
          <w:rFonts w:eastAsia="Times New Roman" w:cs="Arial"/>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4C3BF53C" w14:textId="4E5C90D1" w:rsidR="00B67038" w:rsidRPr="00781112" w:rsidRDefault="00B67038" w:rsidP="002D597B">
      <w:pPr>
        <w:spacing w:before="0"/>
        <w:rPr>
          <w:rFonts w:eastAsia="Times New Roman" w:cs="Arial"/>
          <w:szCs w:val="16"/>
        </w:rPr>
      </w:pPr>
      <w:r w:rsidRPr="00781112">
        <w:rPr>
          <w:rFonts w:eastAsia="Times New Roman" w:cs="Arial"/>
          <w:szCs w:val="16"/>
        </w:rPr>
        <w:t>Option 2: States report in alignment with the term “competitive integrated employment” and its definition, in section 7(5) of the Rehabilitation Act of 1973, as amended by Workforce Innovation and Opportunity Act (WIOA). For the purpose of defining the rate of compensation for students working on a “part-time basis” under this category, OSEP maintains the standard of 20 hours a week for at least 90 days at any time in the year since leaving high school. This definition applies to military employment.</w:t>
      </w:r>
    </w:p>
    <w:p w14:paraId="333BEB38" w14:textId="039F8C06" w:rsidR="00B67038" w:rsidRPr="00781112" w:rsidRDefault="00B67038" w:rsidP="003A4027">
      <w:pPr>
        <w:spacing w:before="0" w:after="0"/>
        <w:rPr>
          <w:rFonts w:eastAsia="Times New Roman" w:cs="Arial"/>
          <w:b/>
          <w:bCs/>
          <w:szCs w:val="16"/>
        </w:rPr>
      </w:pPr>
    </w:p>
    <w:p w14:paraId="1CBB96D1" w14:textId="18D4158D" w:rsidR="00B67038" w:rsidRPr="00781112" w:rsidRDefault="00B67038" w:rsidP="003A4027">
      <w:pPr>
        <w:spacing w:before="0" w:after="210"/>
        <w:rPr>
          <w:rFonts w:eastAsia="Times New Roman" w:cs="Arial"/>
          <w:szCs w:val="16"/>
        </w:rPr>
      </w:pPr>
      <w:r w:rsidRPr="00781112">
        <w:rPr>
          <w:rFonts w:eastAsia="Times New Roman" w:cs="Arial"/>
          <w:i/>
          <w:iCs/>
          <w:szCs w:val="16"/>
        </w:rPr>
        <w:t>Enrolled in other postsecondary education or training</w:t>
      </w:r>
      <w:r w:rsidRPr="00781112">
        <w:rPr>
          <w:rFonts w:eastAsia="Times New Roman" w:cs="Arial"/>
          <w:szCs w:val="16"/>
        </w:rPr>
        <w:t xml:space="preserve"> as used in measure C, means youth have been enrolled on a full- or part-time basis for at least 1 complete term at any time in the year since leaving high school in an education or training program (e.g., Job Corps, adult education, workforce development program, vocational technical school which is less than a </w:t>
      </w:r>
      <w:r w:rsidR="00DB1150" w:rsidRPr="00781112">
        <w:rPr>
          <w:rFonts w:eastAsia="Times New Roman" w:cs="Arial"/>
          <w:szCs w:val="16"/>
        </w:rPr>
        <w:t>two-year</w:t>
      </w:r>
      <w:r w:rsidRPr="00781112">
        <w:rPr>
          <w:rFonts w:eastAsia="Times New Roman" w:cs="Arial"/>
          <w:szCs w:val="16"/>
        </w:rPr>
        <w:t xml:space="preserve"> program).</w:t>
      </w:r>
    </w:p>
    <w:p w14:paraId="639590BD" w14:textId="70B345B4" w:rsidR="00B67038" w:rsidRPr="00781112" w:rsidRDefault="00B67038" w:rsidP="003A4027">
      <w:pPr>
        <w:spacing w:before="0"/>
        <w:rPr>
          <w:rFonts w:eastAsia="Times New Roman" w:cs="Arial"/>
          <w:szCs w:val="16"/>
        </w:rPr>
      </w:pPr>
      <w:r w:rsidRPr="00781112">
        <w:rPr>
          <w:rFonts w:eastAsia="Times New Roman" w:cs="Arial"/>
          <w:i/>
          <w:iCs/>
          <w:szCs w:val="16"/>
        </w:rPr>
        <w:t>Some other employment</w:t>
      </w:r>
      <w:r w:rsidRPr="00781112">
        <w:rPr>
          <w:rFonts w:eastAsia="Times New Roman" w:cs="Arial"/>
          <w:szCs w:val="16"/>
        </w:rPr>
        <w:t> as used in measure C means youth have worked for pay or been self-employed for a period of at least 90 days at any time in the year since leaving high school. This includes working in a family business (e.g., farm, store, fishing, ranching, catering services).</w:t>
      </w:r>
    </w:p>
    <w:p w14:paraId="6F699AAF" w14:textId="77777777" w:rsidR="00A45E9F" w:rsidRPr="00781112" w:rsidRDefault="00A45E9F" w:rsidP="003A4027">
      <w:pPr>
        <w:spacing w:before="0"/>
        <w:rPr>
          <w:rFonts w:eastAsia="Times New Roman" w:cs="Arial"/>
          <w:szCs w:val="16"/>
        </w:rPr>
      </w:pPr>
    </w:p>
    <w:p w14:paraId="7BDE8111" w14:textId="77777777" w:rsidR="00B67038" w:rsidRPr="00781112" w:rsidRDefault="00B67038" w:rsidP="003A4027">
      <w:pPr>
        <w:spacing w:before="0" w:after="0"/>
        <w:rPr>
          <w:rFonts w:eastAsia="Times New Roman" w:cs="Arial"/>
          <w:b/>
          <w:bCs/>
          <w:szCs w:val="16"/>
        </w:rPr>
      </w:pPr>
      <w:r w:rsidRPr="00781112">
        <w:rPr>
          <w:rFonts w:eastAsia="Times New Roman" w:cs="Arial"/>
          <w:b/>
          <w:bCs/>
          <w:szCs w:val="16"/>
        </w:rPr>
        <w:t>II. </w:t>
      </w:r>
      <w:r w:rsidRPr="00781112">
        <w:rPr>
          <w:rFonts w:eastAsia="Times New Roman" w:cs="Arial"/>
          <w:b/>
          <w:bCs/>
          <w:i/>
          <w:iCs/>
          <w:szCs w:val="16"/>
        </w:rPr>
        <w:t>Data Reporting</w:t>
      </w:r>
    </w:p>
    <w:p w14:paraId="46BA4A98" w14:textId="77777777" w:rsidR="003B692F" w:rsidRPr="00781112" w:rsidRDefault="003B692F" w:rsidP="003B692F">
      <w:pPr>
        <w:spacing w:before="0" w:after="0"/>
        <w:rPr>
          <w:rFonts w:eastAsia="Times New Roman" w:cs="Arial"/>
          <w:szCs w:val="16"/>
        </w:rPr>
      </w:pPr>
      <w:r w:rsidRPr="00781112">
        <w:rPr>
          <w:rFonts w:eastAsia="Times New Roman" w:cs="Arial"/>
          <w:szCs w:val="16"/>
        </w:rPr>
        <w:t>States must describe the metric used to determine representativeness (e.g., +/- 3% discrepancy in the proportion of responders compared to target group).</w:t>
      </w:r>
    </w:p>
    <w:p w14:paraId="73CC7B43" w14:textId="77777777" w:rsidR="003B692F" w:rsidRPr="00781112" w:rsidRDefault="003B692F" w:rsidP="003B692F">
      <w:pPr>
        <w:spacing w:before="0" w:after="0"/>
        <w:rPr>
          <w:rFonts w:eastAsia="Times New Roman" w:cs="Arial"/>
          <w:szCs w:val="16"/>
        </w:rPr>
      </w:pPr>
      <w:r w:rsidRPr="00781112">
        <w:rPr>
          <w:rFonts w:eastAsia="Times New Roman" w:cs="Arial"/>
          <w:szCs w:val="16"/>
        </w:rPr>
        <w:t>Provide the total number of targeted youth in the sample or census.</w:t>
      </w:r>
    </w:p>
    <w:p w14:paraId="220A6449" w14:textId="50017A86" w:rsidR="00B67038" w:rsidRPr="00781112" w:rsidRDefault="00B67038" w:rsidP="003A4027">
      <w:pPr>
        <w:spacing w:before="0" w:after="210"/>
        <w:rPr>
          <w:rFonts w:eastAsia="Times New Roman" w:cs="Arial"/>
          <w:szCs w:val="16"/>
        </w:rPr>
      </w:pPr>
      <w:r w:rsidRPr="00781112">
        <w:rPr>
          <w:rFonts w:eastAsia="Times New Roman" w:cs="Arial"/>
          <w:szCs w:val="16"/>
        </w:rPr>
        <w:t>Provide the actual numbers for each of the following mutually exclusive categories. The actual number of “leavers” who are:</w:t>
      </w:r>
    </w:p>
    <w:p w14:paraId="03B608C9" w14:textId="51223E67" w:rsidR="00B67038" w:rsidRPr="00781112" w:rsidRDefault="006C58FD" w:rsidP="006A01BD">
      <w:pPr>
        <w:spacing w:before="0" w:after="0"/>
        <w:ind w:left="432"/>
        <w:rPr>
          <w:rFonts w:eastAsia="Times New Roman" w:cs="Arial"/>
          <w:szCs w:val="16"/>
        </w:rPr>
      </w:pPr>
      <w:r w:rsidRPr="00781112">
        <w:rPr>
          <w:rFonts w:eastAsia="Times New Roman" w:cs="Arial"/>
          <w:szCs w:val="16"/>
        </w:rPr>
        <w:tab/>
        <w:t>1. Enrolled in higher education within one year of leaving high school;</w:t>
      </w:r>
    </w:p>
    <w:p w14:paraId="797BA656" w14:textId="599F8145" w:rsidR="00B67038" w:rsidRPr="00781112" w:rsidRDefault="006C58FD" w:rsidP="006A01BD">
      <w:pPr>
        <w:spacing w:before="0" w:after="0"/>
        <w:ind w:left="432"/>
        <w:rPr>
          <w:rFonts w:eastAsia="Times New Roman" w:cs="Arial"/>
          <w:szCs w:val="16"/>
        </w:rPr>
      </w:pPr>
      <w:r w:rsidRPr="00781112">
        <w:rPr>
          <w:rFonts w:eastAsia="Times New Roman" w:cs="Arial"/>
          <w:szCs w:val="16"/>
        </w:rPr>
        <w:tab/>
        <w:t>2. Competitively employed within one year of leaving high school (but not enrolled in higher education);</w:t>
      </w:r>
    </w:p>
    <w:p w14:paraId="17A92E9A" w14:textId="38C95AA9" w:rsidR="00B67038" w:rsidRPr="00781112" w:rsidRDefault="006C58FD" w:rsidP="00856B0E">
      <w:pPr>
        <w:spacing w:before="0" w:after="0"/>
        <w:ind w:left="720"/>
        <w:rPr>
          <w:rFonts w:eastAsia="Times New Roman" w:cs="Arial"/>
          <w:szCs w:val="16"/>
        </w:rPr>
      </w:pPr>
      <w:r w:rsidRPr="00781112">
        <w:rPr>
          <w:rFonts w:eastAsia="Times New Roman" w:cs="Arial"/>
          <w:szCs w:val="16"/>
        </w:rPr>
        <w:t>3. Enrolled in some other postsecondary education or training program within one year of leaving high school (but not enrolled in higher education or competitively employed);</w:t>
      </w:r>
    </w:p>
    <w:p w14:paraId="506D7913" w14:textId="6D55FB4B" w:rsidR="00B67038" w:rsidRPr="00781112" w:rsidRDefault="006C58FD" w:rsidP="00856B0E">
      <w:pPr>
        <w:spacing w:before="0" w:after="0"/>
        <w:ind w:left="720"/>
        <w:rPr>
          <w:rFonts w:eastAsia="Times New Roman" w:cs="Arial"/>
          <w:szCs w:val="16"/>
        </w:rPr>
      </w:pPr>
      <w:r w:rsidRPr="00781112">
        <w:rPr>
          <w:rFonts w:eastAsia="Times New Roman" w:cs="Arial"/>
          <w:szCs w:val="16"/>
        </w:rPr>
        <w:t>4. In some other employment within one year of leaving high school (but not enrolled in higher education, some other postsecondary education or training program, or competitively employed).</w:t>
      </w:r>
    </w:p>
    <w:p w14:paraId="32C672D4" w14:textId="77777777" w:rsidR="006C58FD" w:rsidRPr="00781112" w:rsidRDefault="006C58FD" w:rsidP="00B67038">
      <w:pPr>
        <w:spacing w:before="0"/>
        <w:ind w:left="432"/>
        <w:rPr>
          <w:rFonts w:eastAsia="Times New Roman" w:cs="Arial"/>
          <w:szCs w:val="16"/>
        </w:rPr>
      </w:pPr>
    </w:p>
    <w:p w14:paraId="12CAB169" w14:textId="34F2A4F0" w:rsidR="00B67038" w:rsidRPr="00781112" w:rsidRDefault="00B67038" w:rsidP="00B67038">
      <w:pPr>
        <w:spacing w:before="0"/>
        <w:ind w:left="432"/>
        <w:rPr>
          <w:rFonts w:eastAsia="Times New Roman" w:cs="Arial"/>
          <w:color w:val="000000" w:themeColor="text1"/>
          <w:szCs w:val="16"/>
        </w:rPr>
      </w:pPr>
      <w:r w:rsidRPr="00781112">
        <w:rPr>
          <w:rFonts w:eastAsia="Times New Roman" w:cs="Arial"/>
          <w:szCs w:val="16"/>
        </w:rPr>
        <w:t xml:space="preserve">“Leavers” should only be counted in one of the above categories, and the categories are organized hierarchically. So, for example, “leavers” who are enrolled in full- or part-time higher education within one year of leaving high school should only be reported in category 1, even if they also </w:t>
      </w:r>
      <w:r w:rsidRPr="00781112">
        <w:rPr>
          <w:rFonts w:eastAsia="Times New Roman" w:cs="Arial"/>
          <w:szCs w:val="16"/>
        </w:rPr>
        <w:lastRenderedPageBreak/>
        <w:t>happen to be employed. Likewise, “leavers” who are not enrolled in either part- or full-time higher education</w:t>
      </w:r>
      <w:r w:rsidRPr="00781112">
        <w:rPr>
          <w:rFonts w:eastAsia="Times New Roman" w:cs="Arial"/>
          <w:color w:val="000000" w:themeColor="text1"/>
          <w:szCs w:val="16"/>
        </w:rPr>
        <w:t>, but who are competitively employed, should only be reported under category 2, even if they happen to be enrolled in some other postsecondary education or training program.</w:t>
      </w:r>
    </w:p>
    <w:p w14:paraId="4A3EA80C" w14:textId="7D5054B8" w:rsidR="00A45E9F" w:rsidRPr="00781112" w:rsidRDefault="00A45E9F" w:rsidP="00A45E9F">
      <w:pPr>
        <w:spacing w:before="0"/>
        <w:rPr>
          <w:rFonts w:eastAsia="Times New Roman" w:cs="Arial"/>
          <w:szCs w:val="16"/>
        </w:rPr>
      </w:pPr>
      <w:r w:rsidRPr="00781112">
        <w:rPr>
          <w:rFonts w:eastAsia="Times New Roman" w:cs="Arial"/>
          <w:szCs w:val="16"/>
        </w:rPr>
        <w:t>States must compare the response rate for the reporting year to the response rate for the previous year (e.g., in the FFY 2023 SPP/APR, compare the FFY 2023 response rate to the FFY 2022 response rate), and describe strategies that will be implemented which are expected to increase the response rate year over year, particularly for those groups that are underrepresented.</w:t>
      </w:r>
    </w:p>
    <w:p w14:paraId="5BAE56A4" w14:textId="0E46D158" w:rsidR="00A45E9F" w:rsidRPr="00781112" w:rsidRDefault="00A45E9F" w:rsidP="00A45E9F">
      <w:pPr>
        <w:spacing w:before="0"/>
        <w:rPr>
          <w:rFonts w:eastAsia="Times New Roman" w:cs="Arial"/>
          <w:szCs w:val="16"/>
        </w:rPr>
      </w:pPr>
      <w:r w:rsidRPr="00781112">
        <w:rPr>
          <w:rFonts w:eastAsia="Times New Roman" w:cs="Arial"/>
          <w:szCs w:val="16"/>
        </w:rPr>
        <w:t>The State must also analyze the response rate to identify potential nonresponse bias and take steps to reduce any identified bias and promote response from a broad cross section of youth who are no longer in secondary school and had IEPs in effect at the time they left school.</w:t>
      </w:r>
    </w:p>
    <w:p w14:paraId="1B5E439E" w14:textId="77777777" w:rsidR="00A45E9F" w:rsidRPr="00781112" w:rsidRDefault="00A45E9F" w:rsidP="00360DD6">
      <w:pPr>
        <w:spacing w:before="0"/>
        <w:rPr>
          <w:rFonts w:eastAsia="Times New Roman" w:cs="Arial"/>
          <w:szCs w:val="16"/>
        </w:rPr>
      </w:pPr>
    </w:p>
    <w:p w14:paraId="0504C504" w14:textId="1B4B7E8B" w:rsidR="00B67038" w:rsidRPr="00781112" w:rsidRDefault="00B67038" w:rsidP="003A4027">
      <w:pPr>
        <w:spacing w:before="0" w:after="0"/>
        <w:rPr>
          <w:rFonts w:eastAsia="Times New Roman" w:cs="Arial"/>
          <w:b/>
          <w:bCs/>
          <w:color w:val="000000" w:themeColor="text1"/>
          <w:szCs w:val="16"/>
        </w:rPr>
      </w:pPr>
      <w:r w:rsidRPr="00781112">
        <w:rPr>
          <w:rFonts w:eastAsia="Times New Roman" w:cs="Arial"/>
          <w:b/>
          <w:bCs/>
          <w:color w:val="000000" w:themeColor="text1"/>
          <w:szCs w:val="16"/>
        </w:rPr>
        <w:t>III. </w:t>
      </w:r>
      <w:r w:rsidRPr="00781112">
        <w:rPr>
          <w:rFonts w:eastAsia="Times New Roman" w:cs="Arial"/>
          <w:b/>
          <w:bCs/>
          <w:i/>
          <w:iCs/>
          <w:color w:val="000000" w:themeColor="text1"/>
          <w:szCs w:val="16"/>
        </w:rPr>
        <w:t xml:space="preserve">Reporting </w:t>
      </w:r>
      <w:r w:rsidR="00DB1150" w:rsidRPr="00781112">
        <w:rPr>
          <w:rFonts w:eastAsia="Times New Roman" w:cs="Arial"/>
          <w:b/>
          <w:bCs/>
          <w:i/>
          <w:iCs/>
          <w:color w:val="000000" w:themeColor="text1"/>
          <w:szCs w:val="16"/>
        </w:rPr>
        <w:t>on</w:t>
      </w:r>
      <w:r w:rsidRPr="00781112">
        <w:rPr>
          <w:rFonts w:eastAsia="Times New Roman" w:cs="Arial"/>
          <w:b/>
          <w:bCs/>
          <w:i/>
          <w:iCs/>
          <w:color w:val="000000" w:themeColor="text1"/>
          <w:szCs w:val="16"/>
        </w:rPr>
        <w:t xml:space="preserve"> the Measures/Indicators</w:t>
      </w:r>
    </w:p>
    <w:p w14:paraId="2306E2F3"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Targets must be established for measures A, B, and C.</w:t>
      </w:r>
    </w:p>
    <w:p w14:paraId="5A3D5C77"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 xml:space="preserve">Measure A: For purposes of reporting on the measures/indicators, please note that any youth enrolled in an institution of higher education (that meets any definition of this term in the Higher Education Act (HEA)) within one year of leaving high school </w:t>
      </w:r>
      <w:r w:rsidRPr="00BA3DBE">
        <w:rPr>
          <w:rFonts w:eastAsia="Times New Roman" w:cs="Arial"/>
          <w:i/>
          <w:iCs/>
          <w:color w:val="000000" w:themeColor="text1"/>
          <w:szCs w:val="16"/>
        </w:rPr>
        <w:t>must</w:t>
      </w:r>
      <w:r w:rsidRPr="00781112">
        <w:rPr>
          <w:rFonts w:eastAsia="Times New Roman" w:cs="Arial"/>
          <w:color w:val="000000" w:themeColor="text1"/>
          <w:szCs w:val="16"/>
        </w:rPr>
        <w:t xml:space="preserve"> be reported under measure A. This could include youth who also happen to be competitively employed, or in some other training program; however, the key outcome we are interested in here is enrollment in higher education.</w:t>
      </w:r>
    </w:p>
    <w:p w14:paraId="7F113969" w14:textId="77777777" w:rsidR="00B67038" w:rsidRPr="00781112"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B: All youth reported under measure A should also be reported under measure B, in addition to all youth that obtain competitive employment within one year of leaving high school.</w:t>
      </w:r>
    </w:p>
    <w:p w14:paraId="52D47ED5" w14:textId="76A8EB3A" w:rsidR="00B67038" w:rsidRDefault="00B67038" w:rsidP="003A4027">
      <w:pPr>
        <w:spacing w:before="0" w:after="210"/>
        <w:rPr>
          <w:rFonts w:eastAsia="Times New Roman" w:cs="Arial"/>
          <w:color w:val="000000" w:themeColor="text1"/>
          <w:szCs w:val="16"/>
        </w:rPr>
      </w:pPr>
      <w:r w:rsidRPr="00781112">
        <w:rPr>
          <w:rFonts w:eastAsia="Times New Roman" w:cs="Arial"/>
          <w:color w:val="000000" w:themeColor="text1"/>
          <w:szCs w:val="16"/>
        </w:rPr>
        <w:t>Measure C: All youth reported under measures A and B should also be reported under measure C, in addition to youth that are enrolled in some other postsecondary education or training program, or in some other employment.</w:t>
      </w:r>
    </w:p>
    <w:p w14:paraId="738C97A7" w14:textId="28860F3E" w:rsidR="004D1797" w:rsidRDefault="004D1797" w:rsidP="003A4027">
      <w:pPr>
        <w:spacing w:before="0" w:after="210"/>
      </w:pPr>
      <w:bookmarkStart w:id="85" w:name="_Hlk116647998"/>
      <w:r>
        <w:t>I</w:t>
      </w:r>
      <w:r w:rsidR="00DF5951">
        <w:t>nclude the State’s analysis of the extent to which the response data are representative of the demographics of youth who are no longer in secondary school and had IEPs in effect at the time they left school. States must include race/ethnicity in their analysis. In addition, the State’s analysis must include at least one of the following demographics:</w:t>
      </w:r>
      <w:r w:rsidR="00F24C95">
        <w:t xml:space="preserve"> disability category, gender, geographic location, and/or another demographic category approved through the stakeholder input process. </w:t>
      </w:r>
    </w:p>
    <w:p w14:paraId="5D1C94BB" w14:textId="13CB2664" w:rsidR="00DF5951" w:rsidRPr="006D5DC4" w:rsidRDefault="00F24C95" w:rsidP="003A4027">
      <w:pPr>
        <w:spacing w:before="0" w:after="210"/>
      </w:pPr>
      <w:r>
        <w:t>If the analysis shows that the response data are not representative of the demographics of youth who are no longer in secondary school and had IEPs in effect at the time they left school, describe the strategies that the State will use to ensure that in the future the response data are representative of those demographics. In identifying such strategies, the State should consider factors such as how the State collected the data.</w:t>
      </w:r>
    </w:p>
    <w:bookmarkEnd w:id="85"/>
    <w:p w14:paraId="3FE9961A" w14:textId="1EDBA086" w:rsidR="000301BA" w:rsidRPr="00781112" w:rsidRDefault="00172058" w:rsidP="005B40C0">
      <w:pPr>
        <w:pStyle w:val="Heading3"/>
      </w:pPr>
      <w:r w:rsidRPr="00781112">
        <w:t>14 - Indicator Data</w:t>
      </w:r>
    </w:p>
    <w:bookmarkEnd w:id="84"/>
    <w:p w14:paraId="373EDCC8" w14:textId="77777777" w:rsidR="005F442C" w:rsidRPr="00781112" w:rsidRDefault="005F442C" w:rsidP="004369B2">
      <w:pPr>
        <w:rPr>
          <w:color w:val="000000" w:themeColor="text1"/>
        </w:rPr>
      </w:pPr>
      <w:r w:rsidRPr="00781112">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14HISTDATA"/>
      </w:tblPr>
      <w:tblGrid>
        <w:gridCol w:w="866"/>
        <w:gridCol w:w="1693"/>
        <w:gridCol w:w="833"/>
        <w:gridCol w:w="1480"/>
        <w:gridCol w:w="1480"/>
        <w:gridCol w:w="1480"/>
        <w:gridCol w:w="1480"/>
        <w:gridCol w:w="1478"/>
      </w:tblGrid>
      <w:tr w:rsidR="005C29F8" w:rsidRPr="00781112" w14:paraId="23017209" w14:textId="77777777" w:rsidTr="00C37CAE">
        <w:trPr>
          <w:trHeight w:val="350"/>
        </w:trPr>
        <w:tc>
          <w:tcPr>
            <w:tcW w:w="190" w:type="pct"/>
            <w:tcBorders>
              <w:top w:val="single" w:sz="4" w:space="0" w:color="auto"/>
              <w:left w:val="single" w:sz="4" w:space="0" w:color="auto"/>
              <w:bottom w:val="single" w:sz="4" w:space="0" w:color="auto"/>
              <w:right w:val="single" w:sz="4" w:space="0" w:color="auto"/>
            </w:tcBorders>
            <w:shd w:val="clear" w:color="auto" w:fill="auto"/>
          </w:tcPr>
          <w:p w14:paraId="01A8BBA7" w14:textId="09A1D650" w:rsidR="005F442C" w:rsidRPr="00781112" w:rsidRDefault="004E1996" w:rsidP="008E31C4">
            <w:pPr>
              <w:spacing w:line="276" w:lineRule="auto"/>
              <w:jc w:val="center"/>
              <w:rPr>
                <w:rFonts w:cs="Arial"/>
                <w:b/>
                <w:color w:val="000000" w:themeColor="text1"/>
                <w:szCs w:val="16"/>
              </w:rPr>
            </w:pPr>
            <w:r w:rsidRPr="00781112">
              <w:rPr>
                <w:rFonts w:cs="Arial"/>
                <w:b/>
                <w:color w:val="000000" w:themeColor="text1"/>
                <w:szCs w:val="16"/>
              </w:rPr>
              <w:t>Measure</w:t>
            </w: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4133A4B9" w14:textId="6C60B813"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 xml:space="preserve">Baseline </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754329BE" w14:textId="77777777" w:rsidR="005F442C" w:rsidRPr="00781112" w:rsidRDefault="005F442C" w:rsidP="008E31C4">
            <w:pPr>
              <w:spacing w:line="276" w:lineRule="auto"/>
              <w:jc w:val="center"/>
              <w:rPr>
                <w:rFonts w:cs="Arial"/>
                <w:b/>
                <w:color w:val="000000" w:themeColor="text1"/>
                <w:szCs w:val="16"/>
              </w:rPr>
            </w:pPr>
            <w:r w:rsidRPr="00781112">
              <w:rPr>
                <w:rFonts w:cs="Arial"/>
                <w:b/>
                <w:color w:val="000000" w:themeColor="text1"/>
                <w:szCs w:val="16"/>
              </w:rPr>
              <w:t>FFY</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2CA54FD7" w14:textId="7E2CC703"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2018</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5CF4C1A5" w14:textId="184560DA"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2019</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4B5CF47" w14:textId="3E5885FF"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2020</w:t>
            </w:r>
          </w:p>
        </w:tc>
        <w:tc>
          <w:tcPr>
            <w:tcW w:w="716" w:type="pct"/>
            <w:tcBorders>
              <w:top w:val="single" w:sz="4" w:space="0" w:color="auto"/>
              <w:left w:val="single" w:sz="4" w:space="0" w:color="auto"/>
              <w:bottom w:val="single" w:sz="4" w:space="0" w:color="auto"/>
              <w:right w:val="single" w:sz="4" w:space="0" w:color="auto"/>
            </w:tcBorders>
            <w:shd w:val="clear" w:color="auto" w:fill="auto"/>
            <w:hideMark/>
          </w:tcPr>
          <w:p w14:paraId="3DDDA5B1" w14:textId="0E359AEC"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2021</w:t>
            </w:r>
          </w:p>
        </w:tc>
        <w:tc>
          <w:tcPr>
            <w:tcW w:w="715" w:type="pct"/>
            <w:tcBorders>
              <w:top w:val="single" w:sz="4" w:space="0" w:color="auto"/>
              <w:left w:val="single" w:sz="4" w:space="0" w:color="auto"/>
              <w:bottom w:val="single" w:sz="4" w:space="0" w:color="auto"/>
              <w:right w:val="single" w:sz="4" w:space="0" w:color="auto"/>
            </w:tcBorders>
            <w:shd w:val="clear" w:color="auto" w:fill="auto"/>
            <w:hideMark/>
          </w:tcPr>
          <w:p w14:paraId="7B2A5B67" w14:textId="00166B91" w:rsidR="005F442C" w:rsidRPr="00781112" w:rsidRDefault="002B7490" w:rsidP="001111BE">
            <w:pPr>
              <w:spacing w:line="276" w:lineRule="auto"/>
              <w:jc w:val="center"/>
              <w:rPr>
                <w:rFonts w:cs="Arial"/>
                <w:b/>
                <w:color w:val="000000" w:themeColor="text1"/>
                <w:szCs w:val="16"/>
              </w:rPr>
            </w:pPr>
            <w:r w:rsidRPr="00781112">
              <w:rPr>
                <w:rFonts w:cs="Arial"/>
                <w:b/>
                <w:color w:val="000000" w:themeColor="text1"/>
                <w:szCs w:val="16"/>
              </w:rPr>
              <w:t>2022</w:t>
            </w:r>
          </w:p>
        </w:tc>
      </w:tr>
      <w:tr w:rsidR="005C29F8" w:rsidRPr="00781112" w14:paraId="083B463F" w14:textId="77777777" w:rsidTr="00C37CAE">
        <w:trPr>
          <w:trHeight w:val="70"/>
        </w:trPr>
        <w:tc>
          <w:tcPr>
            <w:tcW w:w="190" w:type="pct"/>
            <w:tcBorders>
              <w:top w:val="single" w:sz="4" w:space="0" w:color="auto"/>
              <w:left w:val="single" w:sz="4" w:space="0" w:color="auto"/>
              <w:right w:val="single" w:sz="4" w:space="0" w:color="auto"/>
            </w:tcBorders>
            <w:shd w:val="clear" w:color="auto" w:fill="auto"/>
            <w:vAlign w:val="center"/>
          </w:tcPr>
          <w:p w14:paraId="0980813D"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top w:val="single" w:sz="4" w:space="0" w:color="auto"/>
              <w:left w:val="single" w:sz="4" w:space="0" w:color="auto"/>
              <w:right w:val="single" w:sz="4" w:space="0" w:color="auto"/>
            </w:tcBorders>
            <w:shd w:val="clear" w:color="auto" w:fill="auto"/>
          </w:tcPr>
          <w:p w14:paraId="21EABCF5" w14:textId="1AD6B491"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FB488" w14:textId="55829AC6"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39DA1B9" w14:textId="441A6795"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151E14A" w14:textId="4DA0C6F7"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D3CBEBB" w14:textId="1729C879"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6DE686" w14:textId="15B31522" w:rsidR="005F442C" w:rsidRPr="00781112" w:rsidRDefault="002B7490" w:rsidP="00A018D4">
            <w:pPr>
              <w:jc w:val="center"/>
              <w:rPr>
                <w:rFonts w:cs="Arial"/>
                <w:color w:val="000000" w:themeColor="text1"/>
                <w:szCs w:val="16"/>
              </w:rPr>
            </w:pPr>
            <w:r w:rsidRPr="00781112">
              <w:rPr>
                <w:rFonts w:cs="Arial"/>
                <w:color w:val="000000" w:themeColor="text1"/>
                <w:szCs w:val="16"/>
              </w:rPr>
              <w:t>32.00%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49316D4F" w14:textId="0095C778" w:rsidR="005F442C" w:rsidRPr="00781112" w:rsidRDefault="002B7490" w:rsidP="00A018D4">
            <w:pPr>
              <w:jc w:val="center"/>
              <w:rPr>
                <w:rFonts w:cs="Arial"/>
                <w:color w:val="000000" w:themeColor="text1"/>
                <w:szCs w:val="16"/>
              </w:rPr>
            </w:pPr>
            <w:r w:rsidRPr="00781112">
              <w:rPr>
                <w:rFonts w:cs="Arial"/>
                <w:color w:val="000000" w:themeColor="text1"/>
                <w:szCs w:val="16"/>
              </w:rPr>
              <w:t>34.00%</w:t>
            </w:r>
          </w:p>
        </w:tc>
      </w:tr>
      <w:tr w:rsidR="005C29F8" w:rsidRPr="00781112" w14:paraId="4DFAA88C" w14:textId="77777777" w:rsidTr="00C37CAE">
        <w:trPr>
          <w:trHeight w:val="85"/>
        </w:trPr>
        <w:tc>
          <w:tcPr>
            <w:tcW w:w="190" w:type="pct"/>
            <w:tcBorders>
              <w:left w:val="single" w:sz="4" w:space="0" w:color="auto"/>
              <w:right w:val="single" w:sz="4" w:space="0" w:color="auto"/>
            </w:tcBorders>
            <w:shd w:val="clear" w:color="auto" w:fill="auto"/>
          </w:tcPr>
          <w:p w14:paraId="65028A7E" w14:textId="6CD117ED"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A</w:t>
            </w:r>
          </w:p>
        </w:tc>
        <w:tc>
          <w:tcPr>
            <w:tcW w:w="815" w:type="pct"/>
            <w:tcBorders>
              <w:left w:val="single" w:sz="4" w:space="0" w:color="auto"/>
              <w:right w:val="single" w:sz="4" w:space="0" w:color="auto"/>
            </w:tcBorders>
            <w:shd w:val="clear" w:color="auto" w:fill="auto"/>
          </w:tcPr>
          <w:p w14:paraId="2D87F90A" w14:textId="5AE78B73" w:rsidR="005F442C" w:rsidRPr="00781112" w:rsidRDefault="002B7490" w:rsidP="00A018D4">
            <w:pPr>
              <w:jc w:val="center"/>
              <w:rPr>
                <w:rFonts w:cs="Arial"/>
                <w:color w:val="000000" w:themeColor="text1"/>
                <w:szCs w:val="16"/>
              </w:rPr>
            </w:pPr>
            <w:r w:rsidRPr="00781112">
              <w:rPr>
                <w:rFonts w:cs="Arial"/>
                <w:color w:val="000000" w:themeColor="text1"/>
                <w:szCs w:val="16"/>
              </w:rPr>
              <w:t>24.18%</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9B25F"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ECDA20" w14:textId="748C8CB2" w:rsidR="005F442C" w:rsidRPr="00781112" w:rsidRDefault="002B7490" w:rsidP="00A018D4">
            <w:pPr>
              <w:jc w:val="center"/>
              <w:rPr>
                <w:rFonts w:cs="Arial"/>
                <w:color w:val="000000" w:themeColor="text1"/>
                <w:szCs w:val="16"/>
              </w:rPr>
            </w:pPr>
            <w:r w:rsidRPr="00781112">
              <w:rPr>
                <w:rFonts w:cs="Arial"/>
                <w:color w:val="000000" w:themeColor="text1"/>
                <w:szCs w:val="16"/>
              </w:rPr>
              <w:t>25.13%</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1A78E1E2" w14:textId="126BA5B7" w:rsidR="005F442C" w:rsidRPr="00781112" w:rsidRDefault="002B7490" w:rsidP="00A018D4">
            <w:pPr>
              <w:jc w:val="center"/>
              <w:rPr>
                <w:rFonts w:cs="Arial"/>
                <w:color w:val="000000" w:themeColor="text1"/>
                <w:szCs w:val="16"/>
              </w:rPr>
            </w:pPr>
            <w:r w:rsidRPr="00781112">
              <w:rPr>
                <w:rFonts w:cs="Arial"/>
                <w:color w:val="000000" w:themeColor="text1"/>
                <w:szCs w:val="16"/>
              </w:rPr>
              <w:t>24.84%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A7E5014" w14:textId="76B4842F" w:rsidR="005F442C" w:rsidRPr="00781112" w:rsidRDefault="002B7490" w:rsidP="00A018D4">
            <w:pPr>
              <w:jc w:val="center"/>
              <w:rPr>
                <w:rFonts w:cs="Arial"/>
                <w:color w:val="000000" w:themeColor="text1"/>
                <w:szCs w:val="16"/>
              </w:rPr>
            </w:pPr>
            <w:r w:rsidRPr="00781112">
              <w:rPr>
                <w:rFonts w:cs="Arial"/>
                <w:color w:val="000000" w:themeColor="text1"/>
                <w:szCs w:val="16"/>
              </w:rPr>
              <w:t>17.15%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4AD2D2DA" w14:textId="5D991656" w:rsidR="005F442C" w:rsidRPr="00781112" w:rsidRDefault="002B7490" w:rsidP="00A018D4">
            <w:pPr>
              <w:jc w:val="center"/>
              <w:rPr>
                <w:rFonts w:cs="Arial"/>
                <w:color w:val="000000" w:themeColor="text1"/>
                <w:szCs w:val="16"/>
              </w:rPr>
            </w:pPr>
            <w:r w:rsidRPr="00781112">
              <w:rPr>
                <w:rFonts w:cs="Arial"/>
                <w:color w:val="000000" w:themeColor="text1"/>
                <w:szCs w:val="16"/>
              </w:rPr>
              <w:t>19.12%</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4EFC8E5" w14:textId="36855126" w:rsidR="005F442C" w:rsidRPr="00781112" w:rsidRDefault="002B7490" w:rsidP="00A018D4">
            <w:pPr>
              <w:jc w:val="center"/>
              <w:rPr>
                <w:rFonts w:cs="Arial"/>
                <w:color w:val="000000" w:themeColor="text1"/>
                <w:szCs w:val="16"/>
              </w:rPr>
            </w:pPr>
            <w:r w:rsidRPr="00781112">
              <w:rPr>
                <w:rFonts w:cs="Arial"/>
                <w:color w:val="000000" w:themeColor="text1"/>
                <w:szCs w:val="16"/>
              </w:rPr>
              <w:t>19.57%</w:t>
            </w:r>
          </w:p>
        </w:tc>
      </w:tr>
      <w:tr w:rsidR="005C29F8" w:rsidRPr="00781112" w14:paraId="626D1DE5"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2420D4E8"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top w:val="single" w:sz="4" w:space="0" w:color="auto"/>
              <w:left w:val="single" w:sz="4" w:space="0" w:color="auto"/>
              <w:right w:val="single" w:sz="4" w:space="0" w:color="auto"/>
            </w:tcBorders>
            <w:shd w:val="clear" w:color="auto" w:fill="auto"/>
          </w:tcPr>
          <w:p w14:paraId="1A949E27" w14:textId="6BA6427F"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3F7C9" w14:textId="0A3252A0"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2BC5CE03" w14:textId="44707AE5"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E7D0375" w14:textId="72BE41AE"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FA8C72" w14:textId="1DBA7AD5"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2EAF5AA" w14:textId="0EED287F" w:rsidR="005F442C" w:rsidRPr="00781112" w:rsidRDefault="002B7490" w:rsidP="00A018D4">
            <w:pPr>
              <w:jc w:val="center"/>
              <w:rPr>
                <w:rFonts w:cs="Arial"/>
                <w:color w:val="000000" w:themeColor="text1"/>
                <w:szCs w:val="16"/>
              </w:rPr>
            </w:pPr>
            <w:r w:rsidRPr="00781112">
              <w:rPr>
                <w:rFonts w:cs="Arial"/>
                <w:color w:val="000000" w:themeColor="text1"/>
                <w:szCs w:val="16"/>
              </w:rPr>
              <w:t>56.00%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ADF4529" w14:textId="5459CD21" w:rsidR="005F442C" w:rsidRPr="00781112" w:rsidRDefault="002B7490" w:rsidP="00A018D4">
            <w:pPr>
              <w:jc w:val="center"/>
              <w:rPr>
                <w:rFonts w:cs="Arial"/>
                <w:color w:val="000000" w:themeColor="text1"/>
                <w:szCs w:val="16"/>
              </w:rPr>
            </w:pPr>
            <w:r w:rsidRPr="00781112">
              <w:rPr>
                <w:rFonts w:cs="Arial"/>
                <w:color w:val="000000" w:themeColor="text1"/>
                <w:szCs w:val="16"/>
              </w:rPr>
              <w:t>58.00%</w:t>
            </w:r>
          </w:p>
        </w:tc>
      </w:tr>
      <w:tr w:rsidR="005C29F8" w:rsidRPr="00781112" w14:paraId="04BD4647" w14:textId="77777777" w:rsidTr="00C37CAE">
        <w:trPr>
          <w:trHeight w:val="85"/>
        </w:trPr>
        <w:tc>
          <w:tcPr>
            <w:tcW w:w="190" w:type="pct"/>
            <w:tcBorders>
              <w:left w:val="single" w:sz="4" w:space="0" w:color="auto"/>
              <w:right w:val="single" w:sz="4" w:space="0" w:color="auto"/>
            </w:tcBorders>
            <w:shd w:val="clear" w:color="auto" w:fill="auto"/>
          </w:tcPr>
          <w:p w14:paraId="0F20B888" w14:textId="46217DEF"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B</w:t>
            </w:r>
          </w:p>
        </w:tc>
        <w:tc>
          <w:tcPr>
            <w:tcW w:w="815" w:type="pct"/>
            <w:tcBorders>
              <w:left w:val="single" w:sz="4" w:space="0" w:color="auto"/>
              <w:right w:val="single" w:sz="4" w:space="0" w:color="auto"/>
            </w:tcBorders>
            <w:shd w:val="clear" w:color="auto" w:fill="auto"/>
          </w:tcPr>
          <w:p w14:paraId="7553E0D1" w14:textId="50261931" w:rsidR="005F442C" w:rsidRPr="00781112" w:rsidRDefault="002B7490" w:rsidP="00A018D4">
            <w:pPr>
              <w:jc w:val="center"/>
              <w:rPr>
                <w:rFonts w:cs="Arial"/>
                <w:color w:val="000000" w:themeColor="text1"/>
                <w:szCs w:val="16"/>
              </w:rPr>
            </w:pPr>
            <w:r w:rsidRPr="00781112">
              <w:rPr>
                <w:rFonts w:cs="Arial"/>
                <w:color w:val="000000" w:themeColor="text1"/>
                <w:szCs w:val="16"/>
              </w:rPr>
              <w:t>50.60%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4A099"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36F1CC00" w14:textId="27BDC0A1" w:rsidR="005F442C" w:rsidRPr="00781112" w:rsidRDefault="002B7490" w:rsidP="00A018D4">
            <w:pPr>
              <w:jc w:val="center"/>
              <w:rPr>
                <w:rFonts w:cs="Arial"/>
                <w:color w:val="000000" w:themeColor="text1"/>
                <w:szCs w:val="16"/>
              </w:rPr>
            </w:pPr>
            <w:r w:rsidRPr="00781112">
              <w:rPr>
                <w:rFonts w:cs="Arial"/>
                <w:color w:val="000000" w:themeColor="text1"/>
                <w:szCs w:val="16"/>
              </w:rPr>
              <w:t>46.46%</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52BDB3D" w14:textId="7C9CDA00" w:rsidR="005F442C" w:rsidRPr="00781112" w:rsidRDefault="002B7490" w:rsidP="00A018D4">
            <w:pPr>
              <w:jc w:val="center"/>
              <w:rPr>
                <w:rFonts w:cs="Arial"/>
                <w:color w:val="000000" w:themeColor="text1"/>
                <w:szCs w:val="16"/>
              </w:rPr>
            </w:pPr>
            <w:r w:rsidRPr="00781112">
              <w:rPr>
                <w:rFonts w:cs="Arial"/>
                <w:color w:val="000000" w:themeColor="text1"/>
                <w:szCs w:val="16"/>
              </w:rPr>
              <w:t>60.61%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2E8698B0" w14:textId="23886D70" w:rsidR="005F442C" w:rsidRPr="00781112" w:rsidRDefault="002B7490" w:rsidP="00A018D4">
            <w:pPr>
              <w:jc w:val="center"/>
              <w:rPr>
                <w:rFonts w:cs="Arial"/>
                <w:color w:val="000000" w:themeColor="text1"/>
                <w:szCs w:val="16"/>
              </w:rPr>
            </w:pPr>
            <w:r w:rsidRPr="00781112">
              <w:rPr>
                <w:rFonts w:cs="Arial"/>
                <w:color w:val="000000" w:themeColor="text1"/>
                <w:szCs w:val="16"/>
              </w:rPr>
              <w:t>56.32%</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C9C7692" w14:textId="490F43AD" w:rsidR="005F442C" w:rsidRPr="00781112" w:rsidRDefault="002B7490" w:rsidP="00A018D4">
            <w:pPr>
              <w:jc w:val="center"/>
              <w:rPr>
                <w:rFonts w:cs="Arial"/>
                <w:color w:val="000000" w:themeColor="text1"/>
                <w:szCs w:val="16"/>
              </w:rPr>
            </w:pPr>
            <w:r w:rsidRPr="00781112">
              <w:rPr>
                <w:rFonts w:cs="Arial"/>
                <w:color w:val="000000" w:themeColor="text1"/>
                <w:szCs w:val="16"/>
              </w:rPr>
              <w:t>64.39%</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197DA8B1" w14:textId="591F0E95" w:rsidR="005F442C" w:rsidRPr="00781112" w:rsidRDefault="002B7490" w:rsidP="00A018D4">
            <w:pPr>
              <w:jc w:val="center"/>
              <w:rPr>
                <w:rFonts w:cs="Arial"/>
                <w:color w:val="000000" w:themeColor="text1"/>
                <w:szCs w:val="16"/>
              </w:rPr>
            </w:pPr>
            <w:r w:rsidRPr="00781112">
              <w:rPr>
                <w:rFonts w:cs="Arial"/>
                <w:color w:val="000000" w:themeColor="text1"/>
                <w:szCs w:val="16"/>
              </w:rPr>
              <w:t>64.24%</w:t>
            </w:r>
          </w:p>
        </w:tc>
      </w:tr>
      <w:tr w:rsidR="005C29F8" w:rsidRPr="00781112" w14:paraId="3B4797BA" w14:textId="77777777" w:rsidTr="00C37CAE">
        <w:trPr>
          <w:trHeight w:val="357"/>
        </w:trPr>
        <w:tc>
          <w:tcPr>
            <w:tcW w:w="190" w:type="pct"/>
            <w:tcBorders>
              <w:top w:val="single" w:sz="4" w:space="0" w:color="auto"/>
              <w:left w:val="single" w:sz="4" w:space="0" w:color="auto"/>
              <w:right w:val="single" w:sz="4" w:space="0" w:color="auto"/>
            </w:tcBorders>
            <w:shd w:val="clear" w:color="auto" w:fill="auto"/>
            <w:vAlign w:val="center"/>
          </w:tcPr>
          <w:p w14:paraId="6C3DB934" w14:textId="77777777" w:rsidR="005F442C" w:rsidRPr="00781112" w:rsidRDefault="005F442C">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top w:val="single" w:sz="4" w:space="0" w:color="auto"/>
              <w:left w:val="single" w:sz="4" w:space="0" w:color="auto"/>
              <w:right w:val="single" w:sz="4" w:space="0" w:color="auto"/>
            </w:tcBorders>
            <w:shd w:val="clear" w:color="auto" w:fill="auto"/>
          </w:tcPr>
          <w:p w14:paraId="16F6EE90" w14:textId="5DB098B3" w:rsidR="005F442C" w:rsidRPr="00781112" w:rsidRDefault="002B7490" w:rsidP="00A018D4">
            <w:pPr>
              <w:jc w:val="center"/>
              <w:rPr>
                <w:rFonts w:cs="Arial"/>
                <w:color w:val="000000" w:themeColor="text1"/>
                <w:szCs w:val="16"/>
              </w:rPr>
            </w:pPr>
            <w:r w:rsidRPr="00781112">
              <w:rPr>
                <w:rFonts w:cs="Arial"/>
                <w:color w:val="000000" w:themeColor="text1"/>
                <w:szCs w:val="16"/>
              </w:rPr>
              <w:t>2009</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C8BB" w14:textId="575B1EC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Target &gt;=</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76636D2C" w14:textId="048A2FD1"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5F601683" w14:textId="08666F48"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44C7E3A" w14:textId="4B31ECC3"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5933A5C" w14:textId="2942912F" w:rsidR="005F442C" w:rsidRPr="00781112" w:rsidRDefault="002B7490" w:rsidP="00A018D4">
            <w:pPr>
              <w:jc w:val="center"/>
              <w:rPr>
                <w:rFonts w:cs="Arial"/>
                <w:color w:val="000000" w:themeColor="text1"/>
                <w:szCs w:val="16"/>
              </w:rPr>
            </w:pPr>
            <w:r w:rsidRPr="00781112">
              <w:rPr>
                <w:rFonts w:cs="Arial"/>
                <w:color w:val="000000" w:themeColor="text1"/>
                <w:szCs w:val="16"/>
              </w:rPr>
              <w:t>74.00%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C32933D" w14:textId="5E0B7F18" w:rsidR="005F442C" w:rsidRPr="00781112" w:rsidRDefault="002B7490" w:rsidP="00A018D4">
            <w:pPr>
              <w:jc w:val="center"/>
              <w:rPr>
                <w:rFonts w:cs="Arial"/>
                <w:color w:val="000000" w:themeColor="text1"/>
                <w:szCs w:val="16"/>
              </w:rPr>
            </w:pPr>
            <w:r w:rsidRPr="00781112">
              <w:rPr>
                <w:rFonts w:cs="Arial"/>
                <w:color w:val="000000" w:themeColor="text1"/>
                <w:szCs w:val="16"/>
              </w:rPr>
              <w:t>76.00%</w:t>
            </w:r>
          </w:p>
        </w:tc>
      </w:tr>
      <w:tr w:rsidR="005C29F8" w:rsidRPr="00781112" w14:paraId="6F394366" w14:textId="77777777" w:rsidTr="00C37CAE">
        <w:trPr>
          <w:trHeight w:val="85"/>
        </w:trPr>
        <w:tc>
          <w:tcPr>
            <w:tcW w:w="190" w:type="pct"/>
            <w:tcBorders>
              <w:left w:val="single" w:sz="4" w:space="0" w:color="auto"/>
              <w:right w:val="single" w:sz="4" w:space="0" w:color="auto"/>
            </w:tcBorders>
            <w:shd w:val="clear" w:color="auto" w:fill="auto"/>
          </w:tcPr>
          <w:p w14:paraId="44948B1E" w14:textId="67BC5CB9" w:rsidR="005F442C" w:rsidRPr="00781112" w:rsidRDefault="00676431" w:rsidP="00A018D4">
            <w:pPr>
              <w:spacing w:line="276" w:lineRule="auto"/>
              <w:jc w:val="center"/>
              <w:rPr>
                <w:rFonts w:cs="Arial"/>
                <w:color w:val="000000" w:themeColor="text1"/>
                <w:szCs w:val="16"/>
              </w:rPr>
            </w:pPr>
            <w:r w:rsidRPr="00781112">
              <w:rPr>
                <w:rFonts w:cs="Arial"/>
                <w:color w:val="000000" w:themeColor="text1"/>
                <w:szCs w:val="16"/>
              </w:rPr>
              <w:t>C</w:t>
            </w:r>
          </w:p>
        </w:tc>
        <w:tc>
          <w:tcPr>
            <w:tcW w:w="815" w:type="pct"/>
            <w:tcBorders>
              <w:left w:val="single" w:sz="4" w:space="0" w:color="auto"/>
              <w:right w:val="single" w:sz="4" w:space="0" w:color="auto"/>
            </w:tcBorders>
            <w:shd w:val="clear" w:color="auto" w:fill="auto"/>
          </w:tcPr>
          <w:p w14:paraId="11A9E1DB" w14:textId="6AB2315D" w:rsidR="005F442C" w:rsidRPr="00781112" w:rsidRDefault="002B7490" w:rsidP="00A018D4">
            <w:pPr>
              <w:jc w:val="center"/>
              <w:rPr>
                <w:rFonts w:cs="Arial"/>
                <w:color w:val="000000" w:themeColor="text1"/>
                <w:szCs w:val="16"/>
              </w:rPr>
            </w:pPr>
            <w:r w:rsidRPr="00781112">
              <w:rPr>
                <w:rFonts w:cs="Arial"/>
                <w:color w:val="000000" w:themeColor="text1"/>
                <w:szCs w:val="16"/>
              </w:rPr>
              <w:t>66.04%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A4DE0" w14:textId="77777777" w:rsidR="005F442C" w:rsidRPr="00781112" w:rsidRDefault="005F442C" w:rsidP="00BA3DBE">
            <w:pPr>
              <w:spacing w:line="276" w:lineRule="auto"/>
              <w:jc w:val="center"/>
              <w:rPr>
                <w:rFonts w:cs="Arial"/>
                <w:color w:val="000000" w:themeColor="text1"/>
                <w:szCs w:val="16"/>
              </w:rPr>
            </w:pPr>
            <w:r w:rsidRPr="00781112">
              <w:rPr>
                <w:rFonts w:cs="Arial"/>
                <w:color w:val="000000" w:themeColor="text1"/>
                <w:szCs w:val="16"/>
              </w:rPr>
              <w:t>Data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669A5081" w14:textId="5506F90A" w:rsidR="005F442C" w:rsidRPr="00781112" w:rsidRDefault="002B7490" w:rsidP="00A018D4">
            <w:pPr>
              <w:jc w:val="center"/>
              <w:rPr>
                <w:rFonts w:cs="Arial"/>
                <w:color w:val="000000" w:themeColor="text1"/>
                <w:szCs w:val="16"/>
              </w:rPr>
            </w:pPr>
            <w:r w:rsidRPr="00781112">
              <w:rPr>
                <w:rFonts w:cs="Arial"/>
                <w:color w:val="000000" w:themeColor="text1"/>
                <w:szCs w:val="16"/>
              </w:rPr>
              <w:t>81.56%</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490F65AA" w14:textId="42AB492B" w:rsidR="005F442C" w:rsidRPr="00781112" w:rsidRDefault="002B7490" w:rsidP="00A018D4">
            <w:pPr>
              <w:jc w:val="center"/>
              <w:rPr>
                <w:rFonts w:cs="Arial"/>
                <w:color w:val="000000" w:themeColor="text1"/>
                <w:szCs w:val="16"/>
              </w:rPr>
            </w:pPr>
            <w:r w:rsidRPr="00781112">
              <w:rPr>
                <w:rFonts w:cs="Arial"/>
                <w:color w:val="000000" w:themeColor="text1"/>
                <w:szCs w:val="16"/>
              </w:rPr>
              <w:t>77.16%</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EBC0DCF" w14:textId="12C96EDC" w:rsidR="005F442C" w:rsidRPr="00781112" w:rsidRDefault="002B7490" w:rsidP="00A018D4">
            <w:pPr>
              <w:jc w:val="center"/>
              <w:rPr>
                <w:rFonts w:cs="Arial"/>
                <w:color w:val="000000" w:themeColor="text1"/>
                <w:szCs w:val="16"/>
              </w:rPr>
            </w:pPr>
            <w:r w:rsidRPr="00781112">
              <w:rPr>
                <w:rFonts w:cs="Arial"/>
                <w:color w:val="000000" w:themeColor="text1"/>
                <w:szCs w:val="16"/>
              </w:rPr>
              <w:t>72.11%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F6AC359" w14:textId="4DD9908A" w:rsidR="005F442C" w:rsidRPr="00781112" w:rsidRDefault="002B7490" w:rsidP="00A018D4">
            <w:pPr>
              <w:jc w:val="center"/>
              <w:rPr>
                <w:rFonts w:cs="Arial"/>
                <w:color w:val="000000" w:themeColor="text1"/>
                <w:szCs w:val="16"/>
              </w:rPr>
            </w:pPr>
            <w:r w:rsidRPr="00781112">
              <w:rPr>
                <w:rFonts w:cs="Arial"/>
                <w:color w:val="000000" w:themeColor="text1"/>
                <w:szCs w:val="16"/>
              </w:rPr>
              <w:t>75.46%</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DD4FEA0" w14:textId="22130008" w:rsidR="005F442C" w:rsidRPr="00781112" w:rsidRDefault="002B7490" w:rsidP="00A018D4">
            <w:pPr>
              <w:jc w:val="center"/>
              <w:rPr>
                <w:rFonts w:cs="Arial"/>
                <w:color w:val="000000" w:themeColor="text1"/>
                <w:szCs w:val="16"/>
              </w:rPr>
            </w:pPr>
            <w:r w:rsidRPr="00781112">
              <w:rPr>
                <w:rFonts w:cs="Arial"/>
                <w:color w:val="000000" w:themeColor="text1"/>
                <w:szCs w:val="16"/>
              </w:rPr>
              <w:t>74.49%</w:t>
            </w:r>
          </w:p>
        </w:tc>
      </w:tr>
    </w:tbl>
    <w:p w14:paraId="7084612B" w14:textId="77777777" w:rsidR="00E448E9" w:rsidRPr="00781112" w:rsidRDefault="00E448E9" w:rsidP="004369B2">
      <w:pPr>
        <w:rPr>
          <w:color w:val="000000" w:themeColor="text1"/>
        </w:rPr>
      </w:pPr>
    </w:p>
    <w:p w14:paraId="02DB82E4" w14:textId="3E48D02A" w:rsidR="005F442C" w:rsidRPr="00781112" w:rsidRDefault="00806C75" w:rsidP="004369B2">
      <w:pPr>
        <w:rPr>
          <w:color w:val="000000" w:themeColor="text1"/>
        </w:rPr>
      </w:pPr>
      <w:r w:rsidRPr="00781112">
        <w:rPr>
          <w:b/>
          <w:color w:val="000000" w:themeColor="text1"/>
        </w:rPr>
        <w:t>FFY 2021 Targets</w:t>
      </w:r>
    </w:p>
    <w:tbl>
      <w:tblPr>
        <w:tblW w:w="26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TARGETS"/>
      </w:tblPr>
      <w:tblGrid>
        <w:gridCol w:w="823"/>
        <w:gridCol w:w="1664"/>
        <w:gridCol w:w="1664"/>
        <w:gridCol w:w="1663"/>
      </w:tblGrid>
      <w:tr w:rsidR="00233EFB" w:rsidRPr="00781112" w14:paraId="0D5EED67" w14:textId="79D43F28" w:rsidTr="00FE4611">
        <w:trPr>
          <w:trHeight w:val="388"/>
        </w:trPr>
        <w:tc>
          <w:tcPr>
            <w:tcW w:w="708" w:type="pct"/>
            <w:tcBorders>
              <w:bottom w:val="single" w:sz="4" w:space="0" w:color="auto"/>
            </w:tcBorders>
            <w:shd w:val="clear" w:color="auto" w:fill="auto"/>
          </w:tcPr>
          <w:p w14:paraId="3A39086B" w14:textId="77777777" w:rsidR="00233EFB" w:rsidRPr="00781112" w:rsidRDefault="00233EFB" w:rsidP="00AF574F">
            <w:pPr>
              <w:jc w:val="center"/>
              <w:rPr>
                <w:b/>
                <w:color w:val="000000" w:themeColor="text1"/>
              </w:rPr>
            </w:pPr>
            <w:r w:rsidRPr="00781112">
              <w:rPr>
                <w:b/>
                <w:color w:val="000000" w:themeColor="text1"/>
              </w:rPr>
              <w:t>FFY</w:t>
            </w:r>
          </w:p>
        </w:tc>
        <w:tc>
          <w:tcPr>
            <w:tcW w:w="1431" w:type="pct"/>
            <w:shd w:val="clear" w:color="auto" w:fill="auto"/>
          </w:tcPr>
          <w:p w14:paraId="3904D56E" w14:textId="5A40B787" w:rsidR="00233EFB" w:rsidRPr="00781112" w:rsidRDefault="00233EFB" w:rsidP="00AF574F">
            <w:pPr>
              <w:jc w:val="center"/>
              <w:rPr>
                <w:b/>
                <w:color w:val="000000" w:themeColor="text1"/>
              </w:rPr>
            </w:pPr>
            <w:r w:rsidRPr="00781112">
              <w:rPr>
                <w:b/>
                <w:color w:val="000000" w:themeColor="text1"/>
              </w:rPr>
              <w:t>2023</w:t>
            </w:r>
          </w:p>
        </w:tc>
        <w:tc>
          <w:tcPr>
            <w:tcW w:w="1431" w:type="pct"/>
          </w:tcPr>
          <w:p w14:paraId="5E87DEBC" w14:textId="3C58C740" w:rsidR="00233EFB" w:rsidRPr="00781112" w:rsidRDefault="00233EFB" w:rsidP="00AF574F">
            <w:pPr>
              <w:jc w:val="center"/>
              <w:rPr>
                <w:b/>
                <w:color w:val="000000" w:themeColor="text1"/>
              </w:rPr>
            </w:pPr>
            <w:r w:rsidRPr="00781112">
              <w:rPr>
                <w:rFonts w:cs="Arial"/>
                <w:b/>
                <w:color w:val="000000" w:themeColor="text1"/>
                <w:szCs w:val="16"/>
              </w:rPr>
              <w:t>2024</w:t>
            </w:r>
          </w:p>
        </w:tc>
        <w:tc>
          <w:tcPr>
            <w:tcW w:w="1430" w:type="pct"/>
          </w:tcPr>
          <w:p w14:paraId="1D78C038" w14:textId="34E0A4B6" w:rsidR="00233EFB" w:rsidRPr="00781112" w:rsidRDefault="00233EFB" w:rsidP="00AF574F">
            <w:pPr>
              <w:jc w:val="center"/>
              <w:rPr>
                <w:b/>
                <w:color w:val="000000" w:themeColor="text1"/>
              </w:rPr>
            </w:pPr>
            <w:r w:rsidRPr="00781112">
              <w:rPr>
                <w:rFonts w:cs="Arial"/>
                <w:b/>
                <w:color w:val="000000" w:themeColor="text1"/>
                <w:szCs w:val="16"/>
              </w:rPr>
              <w:t>2025</w:t>
            </w:r>
          </w:p>
        </w:tc>
      </w:tr>
      <w:tr w:rsidR="00233EFB" w:rsidRPr="00781112" w14:paraId="7E2B073B" w14:textId="0B5C632B" w:rsidTr="00FE4611">
        <w:trPr>
          <w:trHeight w:val="396"/>
        </w:trPr>
        <w:tc>
          <w:tcPr>
            <w:tcW w:w="708" w:type="pct"/>
            <w:shd w:val="clear" w:color="auto" w:fill="auto"/>
          </w:tcPr>
          <w:p w14:paraId="0DC64663" w14:textId="2175F0A9" w:rsidR="00233EFB" w:rsidRPr="00781112" w:rsidRDefault="00233EFB" w:rsidP="00BA3DBE">
            <w:pPr>
              <w:jc w:val="center"/>
              <w:rPr>
                <w:rFonts w:cs="Arial"/>
                <w:color w:val="000000" w:themeColor="text1"/>
                <w:szCs w:val="16"/>
              </w:rPr>
            </w:pPr>
            <w:r w:rsidRPr="00781112">
              <w:rPr>
                <w:rFonts w:cs="Arial"/>
                <w:color w:val="000000" w:themeColor="text1"/>
                <w:szCs w:val="16"/>
              </w:rPr>
              <w:t>Target A &gt;=</w:t>
            </w:r>
          </w:p>
        </w:tc>
        <w:tc>
          <w:tcPr>
            <w:tcW w:w="1431" w:type="pct"/>
            <w:shd w:val="clear" w:color="auto" w:fill="auto"/>
            <w:vAlign w:val="center"/>
          </w:tcPr>
          <w:p w14:paraId="0A86FFC3" w14:textId="4AE9585E" w:rsidR="00233EFB" w:rsidRPr="00781112" w:rsidRDefault="00233EFB" w:rsidP="00AF574F">
            <w:pPr>
              <w:jc w:val="center"/>
              <w:rPr>
                <w:rFonts w:cs="Arial"/>
                <w:color w:val="000000" w:themeColor="text1"/>
                <w:szCs w:val="16"/>
              </w:rPr>
            </w:pPr>
            <w:r w:rsidRPr="00781112">
              <w:rPr>
                <w:rFonts w:cs="Arial"/>
                <w:color w:val="000000" w:themeColor="text1"/>
                <w:szCs w:val="16"/>
              </w:rPr>
              <w:t>34.00%</w:t>
            </w:r>
          </w:p>
        </w:tc>
        <w:tc>
          <w:tcPr>
            <w:tcW w:w="1431" w:type="pct"/>
          </w:tcPr>
          <w:p w14:paraId="72551055" w14:textId="7A9EF926" w:rsidR="00233EFB" w:rsidRPr="00781112" w:rsidRDefault="00233EFB" w:rsidP="00AF574F">
            <w:pPr>
              <w:jc w:val="center"/>
              <w:rPr>
                <w:rFonts w:cs="Arial"/>
                <w:color w:val="000000" w:themeColor="text1"/>
                <w:szCs w:val="16"/>
              </w:rPr>
            </w:pPr>
            <w:r w:rsidRPr="00781112">
              <w:rPr>
                <w:color w:val="000000" w:themeColor="text1"/>
                <w:szCs w:val="16"/>
              </w:rPr>
              <w:t>36.00%</w:t>
            </w:r>
          </w:p>
        </w:tc>
        <w:tc>
          <w:tcPr>
            <w:tcW w:w="1430" w:type="pct"/>
          </w:tcPr>
          <w:p w14:paraId="4460710F" w14:textId="653162EA" w:rsidR="00233EFB" w:rsidRPr="00781112" w:rsidRDefault="00233EFB" w:rsidP="00AF574F">
            <w:pPr>
              <w:jc w:val="center"/>
              <w:rPr>
                <w:rFonts w:cs="Arial"/>
                <w:color w:val="000000" w:themeColor="text1"/>
                <w:szCs w:val="16"/>
              </w:rPr>
            </w:pPr>
            <w:r w:rsidRPr="00781112">
              <w:rPr>
                <w:color w:val="000000" w:themeColor="text1"/>
                <w:szCs w:val="16"/>
              </w:rPr>
              <w:t>36.00%</w:t>
            </w:r>
          </w:p>
        </w:tc>
      </w:tr>
      <w:tr w:rsidR="00233EFB" w:rsidRPr="00781112" w14:paraId="0314BAE3" w14:textId="455C9C0A" w:rsidTr="00FE4611">
        <w:trPr>
          <w:trHeight w:val="396"/>
        </w:trPr>
        <w:tc>
          <w:tcPr>
            <w:tcW w:w="708" w:type="pct"/>
            <w:shd w:val="clear" w:color="auto" w:fill="auto"/>
          </w:tcPr>
          <w:p w14:paraId="53C1536D" w14:textId="615A342B" w:rsidR="00233EFB" w:rsidRPr="00781112" w:rsidRDefault="00233EFB" w:rsidP="00BA3DBE">
            <w:pPr>
              <w:jc w:val="center"/>
              <w:rPr>
                <w:rFonts w:cs="Arial"/>
                <w:color w:val="000000" w:themeColor="text1"/>
                <w:szCs w:val="16"/>
              </w:rPr>
            </w:pPr>
            <w:r w:rsidRPr="00781112">
              <w:rPr>
                <w:rFonts w:cs="Arial"/>
                <w:color w:val="000000" w:themeColor="text1"/>
                <w:szCs w:val="16"/>
              </w:rPr>
              <w:t>Target B &gt;=</w:t>
            </w:r>
          </w:p>
        </w:tc>
        <w:tc>
          <w:tcPr>
            <w:tcW w:w="1431" w:type="pct"/>
            <w:shd w:val="clear" w:color="auto" w:fill="auto"/>
            <w:vAlign w:val="center"/>
          </w:tcPr>
          <w:p w14:paraId="3AAA5324" w14:textId="5539646A" w:rsidR="00233EFB" w:rsidRPr="00781112" w:rsidRDefault="00233EFB" w:rsidP="00AF574F">
            <w:pPr>
              <w:jc w:val="center"/>
              <w:rPr>
                <w:rFonts w:cs="Arial"/>
                <w:color w:val="000000" w:themeColor="text1"/>
                <w:szCs w:val="16"/>
              </w:rPr>
            </w:pPr>
            <w:r w:rsidRPr="00781112">
              <w:rPr>
                <w:rFonts w:cs="Arial"/>
                <w:color w:val="000000" w:themeColor="text1"/>
                <w:szCs w:val="16"/>
              </w:rPr>
              <w:t>58.00%</w:t>
            </w:r>
          </w:p>
        </w:tc>
        <w:tc>
          <w:tcPr>
            <w:tcW w:w="1431" w:type="pct"/>
          </w:tcPr>
          <w:p w14:paraId="0CDB15F6" w14:textId="4F01BE13" w:rsidR="00233EFB" w:rsidRPr="00781112" w:rsidRDefault="00233EFB" w:rsidP="00AF574F">
            <w:pPr>
              <w:jc w:val="center"/>
              <w:rPr>
                <w:rFonts w:cs="Arial"/>
                <w:color w:val="000000" w:themeColor="text1"/>
                <w:szCs w:val="16"/>
              </w:rPr>
            </w:pPr>
            <w:r w:rsidRPr="00781112">
              <w:rPr>
                <w:color w:val="000000" w:themeColor="text1"/>
                <w:szCs w:val="16"/>
              </w:rPr>
              <w:t>60.00%</w:t>
            </w:r>
          </w:p>
        </w:tc>
        <w:tc>
          <w:tcPr>
            <w:tcW w:w="1430" w:type="pct"/>
          </w:tcPr>
          <w:p w14:paraId="4BE6282D" w14:textId="241D14B5" w:rsidR="00233EFB" w:rsidRPr="00781112" w:rsidRDefault="00233EFB" w:rsidP="00AF574F">
            <w:pPr>
              <w:jc w:val="center"/>
              <w:rPr>
                <w:rFonts w:cs="Arial"/>
                <w:color w:val="000000" w:themeColor="text1"/>
                <w:szCs w:val="16"/>
              </w:rPr>
            </w:pPr>
            <w:r w:rsidRPr="00781112">
              <w:rPr>
                <w:color w:val="000000" w:themeColor="text1"/>
                <w:szCs w:val="16"/>
              </w:rPr>
              <w:t>60.00%</w:t>
            </w:r>
          </w:p>
        </w:tc>
      </w:tr>
      <w:tr w:rsidR="00233EFB" w:rsidRPr="00781112" w14:paraId="571B685C" w14:textId="45446171" w:rsidTr="00FE4611">
        <w:trPr>
          <w:trHeight w:val="396"/>
        </w:trPr>
        <w:tc>
          <w:tcPr>
            <w:tcW w:w="708" w:type="pct"/>
            <w:shd w:val="clear" w:color="auto" w:fill="auto"/>
          </w:tcPr>
          <w:p w14:paraId="4D525255" w14:textId="5D1105EA" w:rsidR="00233EFB" w:rsidRPr="00781112" w:rsidRDefault="00233EFB" w:rsidP="00BA3DBE">
            <w:pPr>
              <w:jc w:val="center"/>
              <w:rPr>
                <w:rFonts w:cs="Arial"/>
                <w:color w:val="000000" w:themeColor="text1"/>
                <w:szCs w:val="16"/>
              </w:rPr>
            </w:pPr>
            <w:r w:rsidRPr="00781112">
              <w:rPr>
                <w:rFonts w:cs="Arial"/>
                <w:color w:val="000000" w:themeColor="text1"/>
                <w:szCs w:val="16"/>
              </w:rPr>
              <w:t>Target C &gt;=</w:t>
            </w:r>
          </w:p>
        </w:tc>
        <w:tc>
          <w:tcPr>
            <w:tcW w:w="1431" w:type="pct"/>
            <w:shd w:val="clear" w:color="auto" w:fill="auto"/>
            <w:vAlign w:val="center"/>
          </w:tcPr>
          <w:p w14:paraId="6A2D65BD" w14:textId="1F6D3E1F" w:rsidR="00233EFB" w:rsidRPr="00781112" w:rsidRDefault="00233EFB" w:rsidP="00AF574F">
            <w:pPr>
              <w:jc w:val="center"/>
              <w:rPr>
                <w:rFonts w:cs="Arial"/>
                <w:color w:val="000000" w:themeColor="text1"/>
                <w:szCs w:val="16"/>
              </w:rPr>
            </w:pPr>
            <w:r w:rsidRPr="00781112">
              <w:rPr>
                <w:rFonts w:cs="Arial"/>
                <w:color w:val="000000" w:themeColor="text1"/>
                <w:szCs w:val="16"/>
              </w:rPr>
              <w:t>76.00%</w:t>
            </w:r>
          </w:p>
        </w:tc>
        <w:tc>
          <w:tcPr>
            <w:tcW w:w="1431" w:type="pct"/>
          </w:tcPr>
          <w:p w14:paraId="6B5B030A" w14:textId="41C6CE98" w:rsidR="00233EFB" w:rsidRPr="00781112" w:rsidRDefault="00233EFB" w:rsidP="00AF574F">
            <w:pPr>
              <w:jc w:val="center"/>
              <w:rPr>
                <w:rFonts w:cs="Arial"/>
                <w:color w:val="000000" w:themeColor="text1"/>
                <w:szCs w:val="16"/>
              </w:rPr>
            </w:pPr>
            <w:r w:rsidRPr="00781112">
              <w:rPr>
                <w:color w:val="000000" w:themeColor="text1"/>
                <w:szCs w:val="16"/>
              </w:rPr>
              <w:t>78.00%</w:t>
            </w:r>
          </w:p>
        </w:tc>
        <w:tc>
          <w:tcPr>
            <w:tcW w:w="1430" w:type="pct"/>
          </w:tcPr>
          <w:p w14:paraId="1D90926B" w14:textId="034D06FC" w:rsidR="00233EFB" w:rsidRPr="00781112" w:rsidRDefault="00233EFB" w:rsidP="00AF574F">
            <w:pPr>
              <w:jc w:val="center"/>
              <w:rPr>
                <w:rFonts w:cs="Arial"/>
                <w:color w:val="000000" w:themeColor="text1"/>
                <w:szCs w:val="16"/>
              </w:rPr>
            </w:pPr>
            <w:r w:rsidRPr="00781112">
              <w:rPr>
                <w:color w:val="000000" w:themeColor="text1"/>
                <w:szCs w:val="16"/>
              </w:rPr>
              <w:t>78.00%</w:t>
            </w:r>
          </w:p>
        </w:tc>
      </w:tr>
    </w:tbl>
    <w:p w14:paraId="007E6F50" w14:textId="125782E4" w:rsidR="000A2C83" w:rsidRPr="00781112" w:rsidRDefault="000A2C83" w:rsidP="004369B2">
      <w:pPr>
        <w:rPr>
          <w:b/>
          <w:color w:val="000000" w:themeColor="text1"/>
        </w:rPr>
      </w:pPr>
      <w:r w:rsidRPr="00781112">
        <w:rPr>
          <w:b/>
          <w:color w:val="000000" w:themeColor="text1"/>
        </w:rPr>
        <w:t xml:space="preserve">Targets: Description of Stakeholder Input </w:t>
      </w:r>
    </w:p>
    <w:p w14:paraId="0D80EDD0" w14:textId="285AFA3B" w:rsidR="000A2C83" w:rsidRPr="00781112" w:rsidRDefault="002B7490" w:rsidP="000A2C83">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w:t>
      </w:r>
      <w:r w:rsidRPr="00781112">
        <w:rPr>
          <w:rFonts w:cs="Arial"/>
          <w:color w:val="000000" w:themeColor="text1"/>
          <w:szCs w:val="16"/>
        </w:rPr>
        <w:lastRenderedPageBreak/>
        <w:t xml:space="preserve">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262FFC50" w14:textId="3E779EE8" w:rsidR="000A2C83" w:rsidRPr="00781112" w:rsidRDefault="000A2C83" w:rsidP="000A2C83">
      <w:pPr>
        <w:rPr>
          <w:rFonts w:cs="Arial"/>
          <w:color w:val="000000" w:themeColor="text1"/>
          <w:szCs w:val="16"/>
        </w:rPr>
      </w:pPr>
    </w:p>
    <w:p w14:paraId="4522ADD4" w14:textId="77777777" w:rsidR="00E448E9" w:rsidRPr="00781112" w:rsidRDefault="00E448E9" w:rsidP="004369B2">
      <w:pPr>
        <w:rPr>
          <w:color w:val="000000" w:themeColor="text1"/>
        </w:rPr>
      </w:pPr>
      <w:bookmarkStart w:id="86" w:name="_Toc392159337"/>
    </w:p>
    <w:bookmarkEnd w:id="86"/>
    <w:p w14:paraId="4202DC3A" w14:textId="074C22DE" w:rsidR="00A03EFA" w:rsidRPr="00781112" w:rsidRDefault="0047313F" w:rsidP="004369B2">
      <w:pPr>
        <w:rPr>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4CFFYAPRDATA"/>
      </w:tblPr>
      <w:tblGrid>
        <w:gridCol w:w="8395"/>
        <w:gridCol w:w="2395"/>
      </w:tblGrid>
      <w:tr w:rsidR="00090132" w:rsidRPr="00781112" w14:paraId="207EB2D1" w14:textId="77777777" w:rsidTr="00090132">
        <w:tc>
          <w:tcPr>
            <w:tcW w:w="3890" w:type="pct"/>
            <w:vAlign w:val="center"/>
          </w:tcPr>
          <w:p w14:paraId="67362B4A" w14:textId="3209EFE1" w:rsidR="00090132" w:rsidRPr="00781112" w:rsidRDefault="00090132" w:rsidP="00090132">
            <w:pPr>
              <w:keepNext/>
              <w:rPr>
                <w:rFonts w:cs="Arial"/>
                <w:color w:val="000000" w:themeColor="text1"/>
                <w:szCs w:val="16"/>
              </w:rPr>
            </w:pPr>
            <w:r>
              <w:rPr>
                <w:rFonts w:cs="Arial"/>
                <w:szCs w:val="16"/>
              </w:rPr>
              <w:t>Total</w:t>
            </w:r>
            <w:r w:rsidRPr="000B10B6">
              <w:rPr>
                <w:rFonts w:eastAsia="Times New Roman" w:cs="Arial"/>
                <w:szCs w:val="16"/>
              </w:rPr>
              <w:t xml:space="preserve"> number of targeted youth in the sample or census</w:t>
            </w:r>
          </w:p>
        </w:tc>
        <w:tc>
          <w:tcPr>
            <w:tcW w:w="1110" w:type="pct"/>
            <w:vAlign w:val="center"/>
          </w:tcPr>
          <w:p w14:paraId="2427A8AD" w14:textId="54179547" w:rsidR="00090132" w:rsidRPr="00781112" w:rsidRDefault="00090132" w:rsidP="00090132">
            <w:pPr>
              <w:jc w:val="center"/>
              <w:rPr>
                <w:rFonts w:cs="Arial"/>
                <w:color w:val="000000" w:themeColor="text1"/>
                <w:szCs w:val="16"/>
              </w:rPr>
            </w:pPr>
            <w:r>
              <w:rPr>
                <w:rFonts w:cs="Arial"/>
                <w:color w:val="000000" w:themeColor="text1"/>
                <w:szCs w:val="16"/>
              </w:rPr>
              <w:t>5,007</w:t>
            </w:r>
          </w:p>
        </w:tc>
      </w:tr>
      <w:tr w:rsidR="00090132" w:rsidRPr="00781112" w14:paraId="4BEBCF45" w14:textId="77777777" w:rsidTr="00090132">
        <w:tc>
          <w:tcPr>
            <w:tcW w:w="3890" w:type="pct"/>
            <w:vAlign w:val="center"/>
          </w:tcPr>
          <w:p w14:paraId="362898CB" w14:textId="77777777" w:rsidR="00090132" w:rsidRPr="00781112" w:rsidRDefault="00090132" w:rsidP="00090132">
            <w:pPr>
              <w:keepNext/>
              <w:rPr>
                <w:rFonts w:cs="Arial"/>
                <w:color w:val="000000" w:themeColor="text1"/>
                <w:szCs w:val="16"/>
              </w:rPr>
            </w:pPr>
            <w:r w:rsidRPr="00781112">
              <w:rPr>
                <w:rFonts w:cs="Arial"/>
                <w:color w:val="000000" w:themeColor="text1"/>
                <w:szCs w:val="16"/>
              </w:rPr>
              <w:t>Number of respondent youth who are no longer in secondary school and had IEPs in effect at the time they left school</w:t>
            </w:r>
          </w:p>
        </w:tc>
        <w:tc>
          <w:tcPr>
            <w:tcW w:w="1110" w:type="pct"/>
            <w:vAlign w:val="center"/>
          </w:tcPr>
          <w:p w14:paraId="4E7A7BCA" w14:textId="4D8CFE95" w:rsidR="00090132" w:rsidRPr="00781112" w:rsidRDefault="00090132" w:rsidP="00090132">
            <w:pPr>
              <w:jc w:val="center"/>
              <w:rPr>
                <w:rFonts w:cs="Arial"/>
                <w:color w:val="000000" w:themeColor="text1"/>
                <w:szCs w:val="16"/>
              </w:rPr>
            </w:pPr>
            <w:r w:rsidRPr="00781112">
              <w:rPr>
                <w:rFonts w:cs="Arial"/>
                <w:color w:val="000000" w:themeColor="text1"/>
                <w:szCs w:val="16"/>
              </w:rPr>
              <w:t>2,855</w:t>
            </w:r>
          </w:p>
        </w:tc>
      </w:tr>
      <w:tr w:rsidR="00090132" w:rsidRPr="00781112" w14:paraId="099154C0" w14:textId="77777777" w:rsidTr="00090132">
        <w:tc>
          <w:tcPr>
            <w:tcW w:w="3890" w:type="pct"/>
            <w:vAlign w:val="center"/>
          </w:tcPr>
          <w:p w14:paraId="5A4C399B" w14:textId="5923727A" w:rsidR="00090132" w:rsidRPr="00781112" w:rsidRDefault="00090132" w:rsidP="00090132">
            <w:pPr>
              <w:rPr>
                <w:rFonts w:cs="Arial"/>
                <w:color w:val="000000" w:themeColor="text1"/>
                <w:szCs w:val="16"/>
              </w:rPr>
            </w:pPr>
            <w:r>
              <w:rPr>
                <w:rFonts w:cs="Arial"/>
                <w:szCs w:val="16"/>
              </w:rPr>
              <w:t>Response Rate</w:t>
            </w:r>
          </w:p>
        </w:tc>
        <w:tc>
          <w:tcPr>
            <w:tcW w:w="1110" w:type="pct"/>
            <w:vAlign w:val="center"/>
          </w:tcPr>
          <w:p w14:paraId="394AE71F" w14:textId="54DFC261" w:rsidR="00090132" w:rsidRPr="00781112" w:rsidRDefault="00090132" w:rsidP="00090132">
            <w:pPr>
              <w:jc w:val="center"/>
              <w:rPr>
                <w:rFonts w:cs="Arial"/>
                <w:color w:val="000000" w:themeColor="text1"/>
                <w:szCs w:val="16"/>
              </w:rPr>
            </w:pPr>
            <w:r w:rsidRPr="00ED172B">
              <w:rPr>
                <w:rFonts w:cs="Arial"/>
                <w:color w:val="000000" w:themeColor="text1"/>
                <w:szCs w:val="16"/>
              </w:rPr>
              <w:t>57.02%</w:t>
            </w:r>
          </w:p>
        </w:tc>
      </w:tr>
      <w:tr w:rsidR="00090132" w:rsidRPr="00781112" w14:paraId="5E0C2D8D" w14:textId="77777777" w:rsidTr="00090132">
        <w:tc>
          <w:tcPr>
            <w:tcW w:w="3890" w:type="pct"/>
            <w:vAlign w:val="center"/>
          </w:tcPr>
          <w:p w14:paraId="307B7092"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1. Number of respondent youth who enrolled in higher education within one year of leaving high school </w:t>
            </w:r>
          </w:p>
        </w:tc>
        <w:tc>
          <w:tcPr>
            <w:tcW w:w="1110" w:type="pct"/>
            <w:vAlign w:val="center"/>
          </w:tcPr>
          <w:p w14:paraId="0A9A571A" w14:textId="2C7C274B" w:rsidR="00090132" w:rsidRPr="00781112" w:rsidRDefault="00090132" w:rsidP="00090132">
            <w:pPr>
              <w:jc w:val="center"/>
              <w:rPr>
                <w:rFonts w:cs="Arial"/>
                <w:color w:val="000000" w:themeColor="text1"/>
                <w:szCs w:val="16"/>
              </w:rPr>
            </w:pPr>
            <w:r w:rsidRPr="00781112">
              <w:rPr>
                <w:rFonts w:cs="Arial"/>
                <w:color w:val="000000" w:themeColor="text1"/>
                <w:szCs w:val="16"/>
              </w:rPr>
              <w:t>714</w:t>
            </w:r>
          </w:p>
        </w:tc>
      </w:tr>
      <w:tr w:rsidR="00090132" w:rsidRPr="00781112" w14:paraId="7827FDF9" w14:textId="77777777" w:rsidTr="00090132">
        <w:tc>
          <w:tcPr>
            <w:tcW w:w="3890" w:type="pct"/>
            <w:vAlign w:val="center"/>
          </w:tcPr>
          <w:p w14:paraId="143C6167" w14:textId="77777777" w:rsidR="00090132" w:rsidRPr="00781112" w:rsidRDefault="00090132" w:rsidP="00090132">
            <w:pPr>
              <w:rPr>
                <w:rFonts w:cs="Arial"/>
                <w:color w:val="000000" w:themeColor="text1"/>
                <w:szCs w:val="16"/>
              </w:rPr>
            </w:pPr>
            <w:r w:rsidRPr="00781112">
              <w:rPr>
                <w:rFonts w:cs="Arial"/>
                <w:color w:val="000000" w:themeColor="text1"/>
                <w:szCs w:val="16"/>
              </w:rPr>
              <w:t xml:space="preserve">2. Number of respondent youth who competitively employed within one year of leaving high school </w:t>
            </w:r>
          </w:p>
        </w:tc>
        <w:tc>
          <w:tcPr>
            <w:tcW w:w="1110" w:type="pct"/>
            <w:vAlign w:val="center"/>
          </w:tcPr>
          <w:p w14:paraId="6B716476" w14:textId="340D4859" w:rsidR="00090132" w:rsidRPr="00781112" w:rsidRDefault="00090132" w:rsidP="00090132">
            <w:pPr>
              <w:jc w:val="center"/>
              <w:rPr>
                <w:rFonts w:cs="Arial"/>
                <w:color w:val="000000" w:themeColor="text1"/>
                <w:szCs w:val="16"/>
              </w:rPr>
            </w:pPr>
            <w:r w:rsidRPr="00781112">
              <w:rPr>
                <w:rFonts w:cs="Arial"/>
                <w:color w:val="000000" w:themeColor="text1"/>
                <w:szCs w:val="16"/>
              </w:rPr>
              <w:t>1,063</w:t>
            </w:r>
          </w:p>
        </w:tc>
      </w:tr>
      <w:tr w:rsidR="00090132" w:rsidRPr="00781112" w14:paraId="5F3556EC" w14:textId="77777777" w:rsidTr="00090132">
        <w:tc>
          <w:tcPr>
            <w:tcW w:w="3890" w:type="pct"/>
            <w:vAlign w:val="center"/>
          </w:tcPr>
          <w:p w14:paraId="31472415" w14:textId="77777777" w:rsidR="00090132" w:rsidRPr="00781112" w:rsidRDefault="00090132" w:rsidP="00090132">
            <w:pPr>
              <w:rPr>
                <w:rFonts w:cs="Arial"/>
                <w:color w:val="000000" w:themeColor="text1"/>
                <w:szCs w:val="16"/>
              </w:rPr>
            </w:pPr>
            <w:r w:rsidRPr="00781112">
              <w:rPr>
                <w:rFonts w:cs="Arial"/>
                <w:color w:val="000000" w:themeColor="text1"/>
                <w:szCs w:val="16"/>
              </w:rPr>
              <w:t>3. Number of respondent youth enrolled in some other postsecondary education or training program within one year of leaving high school (but not enrolled in higher education or competitively employed)</w:t>
            </w:r>
          </w:p>
        </w:tc>
        <w:tc>
          <w:tcPr>
            <w:tcW w:w="1110" w:type="pct"/>
            <w:vAlign w:val="center"/>
          </w:tcPr>
          <w:p w14:paraId="113FFF64" w14:textId="3A694BE0" w:rsidR="00090132" w:rsidRPr="00781112" w:rsidRDefault="00090132" w:rsidP="00090132">
            <w:pPr>
              <w:jc w:val="center"/>
              <w:rPr>
                <w:rFonts w:cs="Arial"/>
                <w:color w:val="000000" w:themeColor="text1"/>
                <w:szCs w:val="16"/>
              </w:rPr>
            </w:pPr>
            <w:r w:rsidRPr="00781112">
              <w:rPr>
                <w:rFonts w:cs="Arial"/>
                <w:color w:val="000000" w:themeColor="text1"/>
                <w:szCs w:val="16"/>
              </w:rPr>
              <w:t>131</w:t>
            </w:r>
          </w:p>
        </w:tc>
      </w:tr>
      <w:tr w:rsidR="00090132" w:rsidRPr="00781112" w14:paraId="781804C6" w14:textId="77777777" w:rsidTr="00090132">
        <w:tc>
          <w:tcPr>
            <w:tcW w:w="3890" w:type="pct"/>
            <w:vAlign w:val="center"/>
          </w:tcPr>
          <w:p w14:paraId="1C549366" w14:textId="77777777" w:rsidR="00090132" w:rsidRPr="00781112" w:rsidRDefault="00090132" w:rsidP="00090132">
            <w:pPr>
              <w:rPr>
                <w:rFonts w:cs="Arial"/>
                <w:color w:val="000000" w:themeColor="text1"/>
                <w:szCs w:val="16"/>
              </w:rPr>
            </w:pPr>
            <w:r w:rsidRPr="00781112">
              <w:rPr>
                <w:rFonts w:cs="Arial"/>
                <w:color w:val="000000" w:themeColor="text1"/>
                <w:szCs w:val="16"/>
              </w:rPr>
              <w:t>4. Number of respondent youth who are in some other employment within one year of leaving high school (but not enrolled in higher education, some other postsecondary education or training program, or competitively employed).</w:t>
            </w:r>
          </w:p>
        </w:tc>
        <w:tc>
          <w:tcPr>
            <w:tcW w:w="1110" w:type="pct"/>
            <w:vAlign w:val="center"/>
          </w:tcPr>
          <w:p w14:paraId="73A7669A" w14:textId="69DC744F" w:rsidR="00090132" w:rsidRPr="00781112" w:rsidRDefault="00090132" w:rsidP="00090132">
            <w:pPr>
              <w:jc w:val="center"/>
              <w:rPr>
                <w:rFonts w:cs="Arial"/>
                <w:color w:val="000000" w:themeColor="text1"/>
                <w:szCs w:val="16"/>
              </w:rPr>
            </w:pPr>
            <w:r w:rsidRPr="00781112">
              <w:rPr>
                <w:rFonts w:cs="Arial"/>
                <w:color w:val="000000" w:themeColor="text1"/>
                <w:szCs w:val="16"/>
              </w:rPr>
              <w:t>195</w:t>
            </w:r>
          </w:p>
        </w:tc>
      </w:tr>
    </w:tbl>
    <w:p w14:paraId="4C7C103F" w14:textId="77777777" w:rsidR="00634AD8" w:rsidRPr="00781112" w:rsidRDefault="00634AD8" w:rsidP="00634AD8">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4CFFYAPRDATA1"/>
      </w:tblPr>
      <w:tblGrid>
        <w:gridCol w:w="1348"/>
        <w:gridCol w:w="1348"/>
        <w:gridCol w:w="1349"/>
        <w:gridCol w:w="1349"/>
        <w:gridCol w:w="1349"/>
        <w:gridCol w:w="1349"/>
        <w:gridCol w:w="1349"/>
        <w:gridCol w:w="1349"/>
      </w:tblGrid>
      <w:tr w:rsidR="00B1652C" w:rsidRPr="00781112" w14:paraId="5EEC1BAF" w14:textId="0A8A2949" w:rsidTr="0033429D">
        <w:trPr>
          <w:trHeight w:val="358"/>
          <w:tblHeader/>
        </w:trPr>
        <w:tc>
          <w:tcPr>
            <w:tcW w:w="625" w:type="pct"/>
            <w:shd w:val="clear" w:color="auto" w:fill="auto"/>
            <w:vAlign w:val="bottom"/>
          </w:tcPr>
          <w:p w14:paraId="4E882584" w14:textId="038C3477" w:rsidR="00B1652C" w:rsidRPr="00781112" w:rsidRDefault="00B1652C" w:rsidP="00B1652C">
            <w:pPr>
              <w:jc w:val="center"/>
              <w:rPr>
                <w:rFonts w:cs="Arial"/>
                <w:b/>
                <w:color w:val="000000" w:themeColor="text1"/>
                <w:szCs w:val="16"/>
              </w:rPr>
            </w:pPr>
            <w:r w:rsidRPr="00781112">
              <w:rPr>
                <w:rFonts w:cs="Arial"/>
                <w:b/>
                <w:color w:val="000000" w:themeColor="text1"/>
                <w:szCs w:val="16"/>
              </w:rPr>
              <w:t>Measure</w:t>
            </w:r>
          </w:p>
        </w:tc>
        <w:tc>
          <w:tcPr>
            <w:tcW w:w="625" w:type="pct"/>
            <w:shd w:val="clear" w:color="auto" w:fill="auto"/>
            <w:vAlign w:val="bottom"/>
          </w:tcPr>
          <w:p w14:paraId="5814109E"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w:t>
            </w:r>
          </w:p>
        </w:tc>
        <w:tc>
          <w:tcPr>
            <w:tcW w:w="625" w:type="pct"/>
            <w:shd w:val="clear" w:color="auto" w:fill="auto"/>
            <w:vAlign w:val="bottom"/>
          </w:tcPr>
          <w:p w14:paraId="14CE6B2C" w14:textId="77777777" w:rsidR="00B1652C" w:rsidRPr="00781112" w:rsidRDefault="00B1652C" w:rsidP="00B1652C">
            <w:pPr>
              <w:jc w:val="center"/>
              <w:rPr>
                <w:rFonts w:cs="Arial"/>
                <w:b/>
                <w:color w:val="000000" w:themeColor="text1"/>
                <w:szCs w:val="16"/>
              </w:rPr>
            </w:pPr>
            <w:r w:rsidRPr="00781112">
              <w:rPr>
                <w:rFonts w:cs="Arial"/>
                <w:b/>
                <w:color w:val="000000" w:themeColor="text1"/>
                <w:szCs w:val="16"/>
              </w:rPr>
              <w:t>Number of respondent youth who are no longer in secondary school and had IEPs in effect at the time they left school</w:t>
            </w:r>
          </w:p>
        </w:tc>
        <w:tc>
          <w:tcPr>
            <w:tcW w:w="625" w:type="pct"/>
            <w:shd w:val="clear" w:color="auto" w:fill="auto"/>
            <w:vAlign w:val="bottom"/>
          </w:tcPr>
          <w:p w14:paraId="12E02A36" w14:textId="0EE25427" w:rsidR="00B1652C" w:rsidRPr="006D0A52" w:rsidRDefault="00B1652C" w:rsidP="00B1652C">
            <w:pPr>
              <w:jc w:val="center"/>
              <w:rPr>
                <w:rFonts w:cs="Arial"/>
                <w:b/>
                <w:bCs/>
                <w:color w:val="000000" w:themeColor="text1"/>
                <w:szCs w:val="16"/>
              </w:rPr>
            </w:pPr>
            <w:r w:rsidRPr="006D0A52">
              <w:rPr>
                <w:b/>
                <w:bCs/>
              </w:rPr>
              <w:t>FFY 2022 Data</w:t>
            </w:r>
          </w:p>
        </w:tc>
        <w:tc>
          <w:tcPr>
            <w:tcW w:w="625" w:type="pct"/>
            <w:shd w:val="clear" w:color="auto" w:fill="auto"/>
            <w:vAlign w:val="bottom"/>
          </w:tcPr>
          <w:p w14:paraId="5152926B" w14:textId="1BC303CF" w:rsidR="00B1652C" w:rsidRPr="006D0A52" w:rsidRDefault="00B1652C" w:rsidP="00B1652C">
            <w:pPr>
              <w:jc w:val="center"/>
              <w:rPr>
                <w:rFonts w:cs="Arial"/>
                <w:b/>
                <w:bCs/>
                <w:color w:val="000000" w:themeColor="text1"/>
                <w:szCs w:val="16"/>
              </w:rPr>
            </w:pPr>
            <w:r w:rsidRPr="006D0A52">
              <w:rPr>
                <w:b/>
                <w:bCs/>
              </w:rPr>
              <w:t>FFY 2023 Target</w:t>
            </w:r>
          </w:p>
        </w:tc>
        <w:tc>
          <w:tcPr>
            <w:tcW w:w="625" w:type="pct"/>
            <w:shd w:val="clear" w:color="auto" w:fill="auto"/>
            <w:vAlign w:val="bottom"/>
          </w:tcPr>
          <w:p w14:paraId="520BBB1B" w14:textId="2375D30C" w:rsidR="00B1652C" w:rsidRPr="006D0A52" w:rsidRDefault="00B1652C" w:rsidP="00B1652C">
            <w:pPr>
              <w:jc w:val="center"/>
              <w:rPr>
                <w:rFonts w:cs="Arial"/>
                <w:b/>
                <w:bCs/>
                <w:color w:val="000000" w:themeColor="text1"/>
                <w:szCs w:val="16"/>
              </w:rPr>
            </w:pPr>
            <w:r w:rsidRPr="006D0A52">
              <w:rPr>
                <w:b/>
                <w:bCs/>
              </w:rPr>
              <w:t>FFY 2023 Data</w:t>
            </w:r>
          </w:p>
        </w:tc>
        <w:tc>
          <w:tcPr>
            <w:tcW w:w="625" w:type="pct"/>
            <w:shd w:val="clear" w:color="auto" w:fill="auto"/>
            <w:vAlign w:val="bottom"/>
          </w:tcPr>
          <w:p w14:paraId="4E9CD96E" w14:textId="648B12FE" w:rsidR="00B1652C" w:rsidRPr="00781112" w:rsidRDefault="00B1652C" w:rsidP="00B1652C">
            <w:pPr>
              <w:jc w:val="center"/>
              <w:rPr>
                <w:rFonts w:cs="Arial"/>
                <w:b/>
                <w:color w:val="000000" w:themeColor="text1"/>
                <w:szCs w:val="16"/>
              </w:rPr>
            </w:pPr>
            <w:r w:rsidRPr="00781112">
              <w:rPr>
                <w:rFonts w:cs="Arial"/>
                <w:b/>
                <w:color w:val="000000" w:themeColor="text1"/>
                <w:szCs w:val="16"/>
              </w:rPr>
              <w:t>Status</w:t>
            </w:r>
          </w:p>
        </w:tc>
        <w:tc>
          <w:tcPr>
            <w:tcW w:w="625" w:type="pct"/>
            <w:shd w:val="clear" w:color="auto" w:fill="auto"/>
            <w:vAlign w:val="bottom"/>
          </w:tcPr>
          <w:p w14:paraId="715E8BB1" w14:textId="2FE9D03B" w:rsidR="00B1652C" w:rsidRPr="00781112" w:rsidRDefault="00B1652C" w:rsidP="00B1652C">
            <w:pPr>
              <w:jc w:val="center"/>
              <w:rPr>
                <w:rFonts w:cs="Arial"/>
                <w:b/>
                <w:color w:val="000000" w:themeColor="text1"/>
                <w:szCs w:val="16"/>
              </w:rPr>
            </w:pPr>
            <w:r w:rsidRPr="00781112">
              <w:rPr>
                <w:rFonts w:cs="Arial"/>
                <w:b/>
                <w:color w:val="000000" w:themeColor="text1"/>
                <w:szCs w:val="16"/>
              </w:rPr>
              <w:t>Slippage</w:t>
            </w:r>
          </w:p>
        </w:tc>
      </w:tr>
      <w:tr w:rsidR="005C29F8" w:rsidRPr="00781112" w14:paraId="2526E003" w14:textId="5321EBA7" w:rsidTr="0033429D">
        <w:trPr>
          <w:trHeight w:val="365"/>
        </w:trPr>
        <w:tc>
          <w:tcPr>
            <w:tcW w:w="625" w:type="pct"/>
            <w:shd w:val="clear" w:color="auto" w:fill="auto"/>
            <w:vAlign w:val="center"/>
          </w:tcPr>
          <w:p w14:paraId="4322DAA7" w14:textId="775B971A" w:rsidR="00C66181" w:rsidRPr="00781112" w:rsidRDefault="00C66181" w:rsidP="00C66181">
            <w:pPr>
              <w:rPr>
                <w:rFonts w:cs="Arial"/>
                <w:color w:val="000000" w:themeColor="text1"/>
                <w:szCs w:val="16"/>
              </w:rPr>
            </w:pPr>
            <w:r w:rsidRPr="00781112">
              <w:rPr>
                <w:rFonts w:cs="Arial"/>
                <w:color w:val="000000" w:themeColor="text1"/>
                <w:szCs w:val="16"/>
              </w:rPr>
              <w:t>A. Enrolled in higher education (1)</w:t>
            </w:r>
          </w:p>
        </w:tc>
        <w:tc>
          <w:tcPr>
            <w:tcW w:w="625" w:type="pct"/>
            <w:shd w:val="clear" w:color="auto" w:fill="auto"/>
            <w:vAlign w:val="center"/>
          </w:tcPr>
          <w:p w14:paraId="2B2B0998" w14:textId="349D0F93" w:rsidR="00C66181" w:rsidRPr="00781112" w:rsidRDefault="002B7490" w:rsidP="00A018D4">
            <w:pPr>
              <w:jc w:val="center"/>
              <w:rPr>
                <w:rFonts w:cs="Arial"/>
                <w:color w:val="000000" w:themeColor="text1"/>
                <w:szCs w:val="16"/>
              </w:rPr>
            </w:pPr>
            <w:r w:rsidRPr="00781112">
              <w:rPr>
                <w:rFonts w:cs="Arial"/>
                <w:color w:val="000000" w:themeColor="text1"/>
                <w:szCs w:val="16"/>
              </w:rPr>
              <w:t>714</w:t>
            </w:r>
          </w:p>
        </w:tc>
        <w:tc>
          <w:tcPr>
            <w:tcW w:w="625" w:type="pct"/>
            <w:shd w:val="clear" w:color="auto" w:fill="auto"/>
            <w:vAlign w:val="center"/>
          </w:tcPr>
          <w:p w14:paraId="2D1BC64A" w14:textId="15C5A024" w:rsidR="00C66181" w:rsidRPr="00781112" w:rsidRDefault="002B7490" w:rsidP="00A018D4">
            <w:pPr>
              <w:jc w:val="center"/>
              <w:rPr>
                <w:rFonts w:cs="Arial"/>
                <w:color w:val="000000" w:themeColor="text1"/>
                <w:szCs w:val="16"/>
              </w:rPr>
            </w:pPr>
            <w:r w:rsidRPr="00781112">
              <w:rPr>
                <w:rFonts w:cs="Arial"/>
                <w:color w:val="000000" w:themeColor="text1"/>
                <w:szCs w:val="16"/>
              </w:rPr>
              <w:t>2,855</w:t>
            </w:r>
          </w:p>
        </w:tc>
        <w:tc>
          <w:tcPr>
            <w:tcW w:w="625" w:type="pct"/>
            <w:shd w:val="clear" w:color="auto" w:fill="auto"/>
            <w:vAlign w:val="center"/>
          </w:tcPr>
          <w:p w14:paraId="3243FB0B" w14:textId="028EEEBB" w:rsidR="00C66181" w:rsidRPr="00781112" w:rsidRDefault="002B7490" w:rsidP="00A018D4">
            <w:pPr>
              <w:jc w:val="center"/>
              <w:rPr>
                <w:rFonts w:cs="Arial"/>
                <w:color w:val="000000" w:themeColor="text1"/>
                <w:szCs w:val="16"/>
              </w:rPr>
            </w:pPr>
            <w:r w:rsidRPr="00781112">
              <w:rPr>
                <w:rFonts w:cs="Arial"/>
                <w:color w:val="000000" w:themeColor="text1"/>
                <w:szCs w:val="16"/>
              </w:rPr>
              <w:t>19.57%</w:t>
            </w:r>
          </w:p>
        </w:tc>
        <w:tc>
          <w:tcPr>
            <w:tcW w:w="625" w:type="pct"/>
            <w:shd w:val="clear" w:color="auto" w:fill="auto"/>
            <w:vAlign w:val="center"/>
          </w:tcPr>
          <w:p w14:paraId="7BCB140B" w14:textId="02D0AFDC" w:rsidR="00C66181" w:rsidRPr="00781112" w:rsidRDefault="002B7490" w:rsidP="00A018D4">
            <w:pPr>
              <w:jc w:val="center"/>
              <w:rPr>
                <w:rFonts w:cs="Arial"/>
                <w:color w:val="000000" w:themeColor="text1"/>
                <w:szCs w:val="16"/>
              </w:rPr>
            </w:pPr>
            <w:r w:rsidRPr="00781112">
              <w:rPr>
                <w:rFonts w:cs="Arial"/>
                <w:color w:val="000000" w:themeColor="text1"/>
                <w:szCs w:val="16"/>
              </w:rPr>
              <w:t>34.00%</w:t>
            </w:r>
          </w:p>
        </w:tc>
        <w:tc>
          <w:tcPr>
            <w:tcW w:w="625" w:type="pct"/>
            <w:shd w:val="clear" w:color="auto" w:fill="auto"/>
            <w:vAlign w:val="center"/>
          </w:tcPr>
          <w:p w14:paraId="0D6600A4" w14:textId="4E0FD8C8" w:rsidR="00C66181" w:rsidRPr="00781112" w:rsidRDefault="002B7490" w:rsidP="00A018D4">
            <w:pPr>
              <w:jc w:val="center"/>
              <w:rPr>
                <w:rFonts w:cs="Arial"/>
                <w:color w:val="000000" w:themeColor="text1"/>
                <w:szCs w:val="16"/>
              </w:rPr>
            </w:pPr>
            <w:r w:rsidRPr="00781112">
              <w:rPr>
                <w:rFonts w:cs="Arial"/>
                <w:color w:val="000000" w:themeColor="text1"/>
                <w:szCs w:val="16"/>
              </w:rPr>
              <w:t>25.01%</w:t>
            </w:r>
          </w:p>
        </w:tc>
        <w:tc>
          <w:tcPr>
            <w:tcW w:w="625" w:type="pct"/>
            <w:shd w:val="clear" w:color="auto" w:fill="auto"/>
            <w:vAlign w:val="center"/>
          </w:tcPr>
          <w:p w14:paraId="3C766484" w14:textId="7B272BC5"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575A444D" w14:textId="78F1C14C"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0D8194" w14:textId="3CFB279F" w:rsidTr="0033429D">
        <w:trPr>
          <w:trHeight w:val="365"/>
        </w:trPr>
        <w:tc>
          <w:tcPr>
            <w:tcW w:w="625" w:type="pct"/>
            <w:shd w:val="clear" w:color="auto" w:fill="auto"/>
            <w:vAlign w:val="center"/>
          </w:tcPr>
          <w:p w14:paraId="64A6757D" w14:textId="0FC0A9B9" w:rsidR="00C66181" w:rsidRPr="00781112" w:rsidRDefault="00C66181" w:rsidP="00C66181">
            <w:pPr>
              <w:rPr>
                <w:rFonts w:cs="Arial"/>
                <w:color w:val="000000" w:themeColor="text1"/>
                <w:szCs w:val="16"/>
              </w:rPr>
            </w:pPr>
            <w:r w:rsidRPr="00781112">
              <w:rPr>
                <w:rFonts w:cs="Arial"/>
                <w:color w:val="000000" w:themeColor="text1"/>
                <w:szCs w:val="16"/>
              </w:rPr>
              <w:t>B. Enrolled in higher education or competitively employed within one year of leaving high school (1 +2)</w:t>
            </w:r>
          </w:p>
        </w:tc>
        <w:tc>
          <w:tcPr>
            <w:tcW w:w="625" w:type="pct"/>
            <w:shd w:val="clear" w:color="auto" w:fill="auto"/>
            <w:vAlign w:val="center"/>
          </w:tcPr>
          <w:p w14:paraId="60F6248F" w14:textId="7EC302DD" w:rsidR="00C66181" w:rsidRPr="00781112" w:rsidRDefault="002B7490" w:rsidP="00A018D4">
            <w:pPr>
              <w:jc w:val="center"/>
              <w:rPr>
                <w:rFonts w:cs="Arial"/>
                <w:color w:val="000000" w:themeColor="text1"/>
                <w:szCs w:val="16"/>
              </w:rPr>
            </w:pPr>
            <w:r w:rsidRPr="00781112">
              <w:rPr>
                <w:rFonts w:cs="Arial"/>
                <w:color w:val="000000" w:themeColor="text1"/>
                <w:szCs w:val="16"/>
              </w:rPr>
              <w:t>1,777</w:t>
            </w:r>
          </w:p>
        </w:tc>
        <w:tc>
          <w:tcPr>
            <w:tcW w:w="625" w:type="pct"/>
            <w:shd w:val="clear" w:color="auto" w:fill="auto"/>
            <w:vAlign w:val="center"/>
          </w:tcPr>
          <w:p w14:paraId="5DE56E38" w14:textId="525AF49A" w:rsidR="00C66181" w:rsidRPr="00781112" w:rsidRDefault="002B7490" w:rsidP="00A018D4">
            <w:pPr>
              <w:jc w:val="center"/>
              <w:rPr>
                <w:rFonts w:cs="Arial"/>
                <w:color w:val="000000" w:themeColor="text1"/>
                <w:szCs w:val="16"/>
              </w:rPr>
            </w:pPr>
            <w:r w:rsidRPr="00781112">
              <w:rPr>
                <w:rFonts w:cs="Arial"/>
                <w:color w:val="000000" w:themeColor="text1"/>
                <w:szCs w:val="16"/>
              </w:rPr>
              <w:t>2,855</w:t>
            </w:r>
          </w:p>
        </w:tc>
        <w:tc>
          <w:tcPr>
            <w:tcW w:w="625" w:type="pct"/>
            <w:shd w:val="clear" w:color="auto" w:fill="auto"/>
            <w:vAlign w:val="center"/>
          </w:tcPr>
          <w:p w14:paraId="7FF1FC54" w14:textId="2A5DA1E3" w:rsidR="00C66181" w:rsidRPr="00781112" w:rsidRDefault="002B7490" w:rsidP="00A018D4">
            <w:pPr>
              <w:jc w:val="center"/>
              <w:rPr>
                <w:rFonts w:cs="Arial"/>
                <w:color w:val="000000" w:themeColor="text1"/>
                <w:szCs w:val="16"/>
              </w:rPr>
            </w:pPr>
            <w:r w:rsidRPr="00781112">
              <w:rPr>
                <w:rFonts w:cs="Arial"/>
                <w:color w:val="000000" w:themeColor="text1"/>
                <w:szCs w:val="16"/>
              </w:rPr>
              <w:t>64.24%</w:t>
            </w:r>
          </w:p>
        </w:tc>
        <w:tc>
          <w:tcPr>
            <w:tcW w:w="625" w:type="pct"/>
            <w:shd w:val="clear" w:color="auto" w:fill="auto"/>
            <w:vAlign w:val="center"/>
          </w:tcPr>
          <w:p w14:paraId="296C6AD3" w14:textId="560D60D3" w:rsidR="00C66181" w:rsidRPr="00781112" w:rsidRDefault="002B7490" w:rsidP="00A018D4">
            <w:pPr>
              <w:jc w:val="center"/>
              <w:rPr>
                <w:rFonts w:cs="Arial"/>
                <w:color w:val="000000" w:themeColor="text1"/>
                <w:szCs w:val="16"/>
              </w:rPr>
            </w:pPr>
            <w:r w:rsidRPr="00781112">
              <w:rPr>
                <w:rFonts w:cs="Arial"/>
                <w:color w:val="000000" w:themeColor="text1"/>
                <w:szCs w:val="16"/>
              </w:rPr>
              <w:t>58.00%</w:t>
            </w:r>
          </w:p>
        </w:tc>
        <w:tc>
          <w:tcPr>
            <w:tcW w:w="625" w:type="pct"/>
            <w:shd w:val="clear" w:color="auto" w:fill="auto"/>
            <w:vAlign w:val="center"/>
          </w:tcPr>
          <w:p w14:paraId="54BDC44C" w14:textId="0AE0B920" w:rsidR="00C66181" w:rsidRPr="00781112" w:rsidRDefault="002B7490" w:rsidP="00A018D4">
            <w:pPr>
              <w:jc w:val="center"/>
              <w:rPr>
                <w:rFonts w:cs="Arial"/>
                <w:color w:val="000000" w:themeColor="text1"/>
                <w:szCs w:val="16"/>
              </w:rPr>
            </w:pPr>
            <w:r w:rsidRPr="00781112">
              <w:rPr>
                <w:rFonts w:cs="Arial"/>
                <w:color w:val="000000" w:themeColor="text1"/>
                <w:szCs w:val="16"/>
              </w:rPr>
              <w:t>62.24%</w:t>
            </w:r>
          </w:p>
        </w:tc>
        <w:tc>
          <w:tcPr>
            <w:tcW w:w="625" w:type="pct"/>
            <w:shd w:val="clear" w:color="auto" w:fill="auto"/>
            <w:vAlign w:val="center"/>
          </w:tcPr>
          <w:p w14:paraId="48B49570" w14:textId="038E3826" w:rsidR="00C66181" w:rsidRPr="00781112" w:rsidRDefault="002B7490" w:rsidP="00A018D4">
            <w:pPr>
              <w:jc w:val="center"/>
              <w:rPr>
                <w:rFonts w:cs="Arial"/>
                <w:color w:val="000000" w:themeColor="text1"/>
                <w:szCs w:val="16"/>
              </w:rPr>
            </w:pPr>
            <w:r w:rsidRPr="00781112">
              <w:rPr>
                <w:rFonts w:cs="Arial"/>
                <w:color w:val="000000" w:themeColor="text1"/>
                <w:szCs w:val="16"/>
              </w:rPr>
              <w:t>Met target</w:t>
            </w:r>
          </w:p>
        </w:tc>
        <w:tc>
          <w:tcPr>
            <w:tcW w:w="625" w:type="pct"/>
            <w:shd w:val="clear" w:color="auto" w:fill="auto"/>
            <w:vAlign w:val="center"/>
          </w:tcPr>
          <w:p w14:paraId="0A2BDCF3" w14:textId="3B0044C6"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r w:rsidR="005C29F8" w:rsidRPr="00781112" w14:paraId="493DA09A" w14:textId="4FC8161E" w:rsidTr="0033429D">
        <w:trPr>
          <w:trHeight w:val="365"/>
        </w:trPr>
        <w:tc>
          <w:tcPr>
            <w:tcW w:w="625" w:type="pct"/>
            <w:shd w:val="clear" w:color="auto" w:fill="auto"/>
            <w:vAlign w:val="center"/>
          </w:tcPr>
          <w:p w14:paraId="3D517963" w14:textId="6D3BD99F" w:rsidR="00C66181" w:rsidRPr="00781112" w:rsidRDefault="00C66181" w:rsidP="00C66181">
            <w:pPr>
              <w:rPr>
                <w:rFonts w:cs="Arial"/>
                <w:color w:val="000000" w:themeColor="text1"/>
                <w:szCs w:val="16"/>
              </w:rPr>
            </w:pPr>
            <w:r w:rsidRPr="00781112">
              <w:rPr>
                <w:rFonts w:cs="Arial"/>
                <w:color w:val="000000" w:themeColor="text1"/>
                <w:szCs w:val="16"/>
              </w:rPr>
              <w:t xml:space="preserve">C. Enrolled in higher education, or in some other postsecondary education or training program; or competitively employed or in </w:t>
            </w:r>
            <w:r w:rsidRPr="00781112">
              <w:rPr>
                <w:rFonts w:cs="Arial"/>
                <w:color w:val="000000" w:themeColor="text1"/>
                <w:szCs w:val="16"/>
              </w:rPr>
              <w:lastRenderedPageBreak/>
              <w:t>some other employment (1+2+3+4)</w:t>
            </w:r>
          </w:p>
        </w:tc>
        <w:tc>
          <w:tcPr>
            <w:tcW w:w="625" w:type="pct"/>
            <w:shd w:val="clear" w:color="auto" w:fill="auto"/>
            <w:vAlign w:val="center"/>
          </w:tcPr>
          <w:p w14:paraId="79AA91FE" w14:textId="0803E2EE" w:rsidR="00C66181" w:rsidRPr="00781112" w:rsidRDefault="002B7490" w:rsidP="00A018D4">
            <w:pPr>
              <w:jc w:val="center"/>
              <w:rPr>
                <w:rFonts w:cs="Arial"/>
                <w:color w:val="000000" w:themeColor="text1"/>
                <w:szCs w:val="16"/>
              </w:rPr>
            </w:pPr>
            <w:r w:rsidRPr="00781112">
              <w:rPr>
                <w:rFonts w:cs="Arial"/>
                <w:color w:val="000000" w:themeColor="text1"/>
                <w:szCs w:val="16"/>
              </w:rPr>
              <w:lastRenderedPageBreak/>
              <w:t>2,103</w:t>
            </w:r>
          </w:p>
        </w:tc>
        <w:tc>
          <w:tcPr>
            <w:tcW w:w="625" w:type="pct"/>
            <w:shd w:val="clear" w:color="auto" w:fill="auto"/>
            <w:vAlign w:val="center"/>
          </w:tcPr>
          <w:p w14:paraId="1FAFC4F9" w14:textId="70DE7F33" w:rsidR="00C66181" w:rsidRPr="00781112" w:rsidRDefault="002B7490" w:rsidP="00A018D4">
            <w:pPr>
              <w:jc w:val="center"/>
              <w:rPr>
                <w:rFonts w:cs="Arial"/>
                <w:color w:val="000000" w:themeColor="text1"/>
                <w:szCs w:val="16"/>
              </w:rPr>
            </w:pPr>
            <w:r w:rsidRPr="00781112">
              <w:rPr>
                <w:rFonts w:cs="Arial"/>
                <w:color w:val="000000" w:themeColor="text1"/>
                <w:szCs w:val="16"/>
              </w:rPr>
              <w:t>2,855</w:t>
            </w:r>
          </w:p>
        </w:tc>
        <w:tc>
          <w:tcPr>
            <w:tcW w:w="625" w:type="pct"/>
            <w:shd w:val="clear" w:color="auto" w:fill="auto"/>
            <w:vAlign w:val="center"/>
          </w:tcPr>
          <w:p w14:paraId="5FB73F1B" w14:textId="26275AAA" w:rsidR="00C66181" w:rsidRPr="00781112" w:rsidRDefault="002B7490" w:rsidP="00A018D4">
            <w:pPr>
              <w:jc w:val="center"/>
              <w:rPr>
                <w:rFonts w:cs="Arial"/>
                <w:color w:val="000000" w:themeColor="text1"/>
                <w:szCs w:val="16"/>
              </w:rPr>
            </w:pPr>
            <w:r w:rsidRPr="00781112">
              <w:rPr>
                <w:rFonts w:cs="Arial"/>
                <w:color w:val="000000" w:themeColor="text1"/>
                <w:szCs w:val="16"/>
              </w:rPr>
              <w:t>74.49%</w:t>
            </w:r>
          </w:p>
        </w:tc>
        <w:tc>
          <w:tcPr>
            <w:tcW w:w="625" w:type="pct"/>
            <w:shd w:val="clear" w:color="auto" w:fill="auto"/>
            <w:vAlign w:val="center"/>
          </w:tcPr>
          <w:p w14:paraId="3A75A593" w14:textId="74B21849" w:rsidR="00C66181" w:rsidRPr="00781112" w:rsidRDefault="002B7490" w:rsidP="00A018D4">
            <w:pPr>
              <w:jc w:val="center"/>
              <w:rPr>
                <w:rFonts w:cs="Arial"/>
                <w:color w:val="000000" w:themeColor="text1"/>
                <w:szCs w:val="16"/>
              </w:rPr>
            </w:pPr>
            <w:r w:rsidRPr="00781112">
              <w:rPr>
                <w:rFonts w:cs="Arial"/>
                <w:color w:val="000000" w:themeColor="text1"/>
                <w:szCs w:val="16"/>
              </w:rPr>
              <w:t>76.00%</w:t>
            </w:r>
          </w:p>
        </w:tc>
        <w:tc>
          <w:tcPr>
            <w:tcW w:w="625" w:type="pct"/>
            <w:shd w:val="clear" w:color="auto" w:fill="auto"/>
            <w:vAlign w:val="center"/>
          </w:tcPr>
          <w:p w14:paraId="6D78DA3F" w14:textId="61DB3CB1" w:rsidR="00C66181" w:rsidRPr="00781112" w:rsidRDefault="002B7490" w:rsidP="00A018D4">
            <w:pPr>
              <w:jc w:val="center"/>
              <w:rPr>
                <w:rFonts w:cs="Arial"/>
                <w:color w:val="000000" w:themeColor="text1"/>
                <w:szCs w:val="16"/>
              </w:rPr>
            </w:pPr>
            <w:r w:rsidRPr="00781112">
              <w:rPr>
                <w:rFonts w:cs="Arial"/>
                <w:color w:val="000000" w:themeColor="text1"/>
                <w:szCs w:val="16"/>
              </w:rPr>
              <w:t>73.66%</w:t>
            </w:r>
          </w:p>
        </w:tc>
        <w:tc>
          <w:tcPr>
            <w:tcW w:w="625" w:type="pct"/>
            <w:shd w:val="clear" w:color="auto" w:fill="auto"/>
            <w:vAlign w:val="center"/>
          </w:tcPr>
          <w:p w14:paraId="6E5BDC78" w14:textId="48EDE622" w:rsidR="00C66181" w:rsidRPr="00781112" w:rsidRDefault="002B7490" w:rsidP="00A018D4">
            <w:pPr>
              <w:jc w:val="center"/>
              <w:rPr>
                <w:rFonts w:cs="Arial"/>
                <w:color w:val="000000" w:themeColor="text1"/>
                <w:szCs w:val="16"/>
              </w:rPr>
            </w:pPr>
            <w:r w:rsidRPr="00781112">
              <w:rPr>
                <w:rFonts w:cs="Arial"/>
                <w:color w:val="000000" w:themeColor="text1"/>
                <w:szCs w:val="16"/>
              </w:rPr>
              <w:t>Did not meet target</w:t>
            </w:r>
          </w:p>
        </w:tc>
        <w:tc>
          <w:tcPr>
            <w:tcW w:w="625" w:type="pct"/>
            <w:shd w:val="clear" w:color="auto" w:fill="auto"/>
            <w:vAlign w:val="center"/>
          </w:tcPr>
          <w:p w14:paraId="4A054D72" w14:textId="19B24E43" w:rsidR="00C66181" w:rsidRPr="00781112" w:rsidRDefault="002B7490" w:rsidP="00A018D4">
            <w:pPr>
              <w:jc w:val="center"/>
              <w:rPr>
                <w:rFonts w:cs="Arial"/>
                <w:color w:val="000000" w:themeColor="text1"/>
                <w:szCs w:val="16"/>
              </w:rPr>
            </w:pPr>
            <w:r w:rsidRPr="00781112">
              <w:rPr>
                <w:rFonts w:cs="Arial"/>
                <w:color w:val="000000" w:themeColor="text1"/>
                <w:szCs w:val="16"/>
              </w:rPr>
              <w:t>No Slippage</w:t>
            </w:r>
          </w:p>
        </w:tc>
      </w:tr>
    </w:tbl>
    <w:p w14:paraId="4A5381A2" w14:textId="3787227C" w:rsidR="001773E7" w:rsidRPr="00781112" w:rsidRDefault="001773E7" w:rsidP="00C66181">
      <w:pPr>
        <w:rPr>
          <w:rFonts w:cs="Arial"/>
          <w:i/>
          <w:color w:val="000000" w:themeColor="text1"/>
          <w:szCs w:val="16"/>
        </w:rPr>
      </w:pPr>
    </w:p>
    <w:p w14:paraId="2B9D1101" w14:textId="12285E81" w:rsidR="00C95094" w:rsidRPr="00781112" w:rsidRDefault="0077712B" w:rsidP="00C66181">
      <w:pPr>
        <w:rPr>
          <w:rFonts w:cs="Arial"/>
          <w:b/>
          <w:color w:val="000000" w:themeColor="text1"/>
          <w:szCs w:val="16"/>
        </w:rPr>
      </w:pPr>
      <w:r w:rsidRPr="00781112">
        <w:rPr>
          <w:rFonts w:cs="Arial"/>
          <w:b/>
          <w:color w:val="000000" w:themeColor="text1"/>
          <w:szCs w:val="16"/>
        </w:rPr>
        <w:t xml:space="preserve">Please select the reporting option your State is using: </w:t>
      </w:r>
    </w:p>
    <w:p w14:paraId="5C46FD26" w14:textId="5673980D" w:rsidR="000070D5" w:rsidRPr="00781112" w:rsidRDefault="002B7490" w:rsidP="00C66181">
      <w:pPr>
        <w:rPr>
          <w:rFonts w:cs="Arial"/>
          <w:color w:val="000000" w:themeColor="text1"/>
          <w:szCs w:val="16"/>
        </w:rPr>
      </w:pPr>
      <w:r w:rsidRPr="00781112">
        <w:rPr>
          <w:rFonts w:cs="Arial"/>
          <w:color w:val="000000" w:themeColor="text1"/>
          <w:szCs w:val="16"/>
        </w:rPr>
        <w:t>Option 1: Use the same definition as used to report in the FFY 2015 SPP/APR, i.e., competitive employment means that youth have worked for pay at or above the minimum wage in a setting with others who are nondisabled for a period of 20 hours a week for at least 90 days at any time in the year since leaving high school. This includes military employment.</w:t>
      </w:r>
    </w:p>
    <w:p w14:paraId="6A816945" w14:textId="687D218F" w:rsidR="00090132" w:rsidRDefault="00090132" w:rsidP="00C66181">
      <w:pPr>
        <w:rPr>
          <w:rFonts w:cs="Arial"/>
          <w:color w:val="000000" w:themeColor="text1"/>
          <w:szCs w:val="16"/>
        </w:rPr>
      </w:pPr>
    </w:p>
    <w:p w14:paraId="18E71DFF" w14:textId="77777777" w:rsidR="00090132" w:rsidRPr="00E578E2" w:rsidRDefault="00090132" w:rsidP="00090132">
      <w:pPr>
        <w:rPr>
          <w:rFonts w:cs="Arial"/>
          <w:b/>
          <w:bCs/>
          <w:szCs w:val="16"/>
        </w:rPr>
      </w:pPr>
      <w:r w:rsidRPr="00E578E2">
        <w:rPr>
          <w:rFonts w:cs="Arial"/>
          <w:b/>
          <w:bCs/>
          <w:szCs w:val="16"/>
        </w:rPr>
        <w:t>Response Rate</w:t>
      </w:r>
    </w:p>
    <w:tbl>
      <w:tblPr>
        <w:tblStyle w:val="TableGrid"/>
        <w:tblW w:w="0" w:type="auto"/>
        <w:tblLook w:val="04A0" w:firstRow="1" w:lastRow="0" w:firstColumn="1" w:lastColumn="0" w:noHBand="0" w:noVBand="1"/>
        <w:tblCaption w:val="B14CFFYRSPRTE"/>
      </w:tblPr>
      <w:tblGrid>
        <w:gridCol w:w="1885"/>
        <w:gridCol w:w="1453"/>
        <w:gridCol w:w="1284"/>
      </w:tblGrid>
      <w:tr w:rsidR="00090132" w:rsidRPr="00353E62" w14:paraId="5280416F" w14:textId="77777777" w:rsidTr="00DF5DC9">
        <w:tc>
          <w:tcPr>
            <w:tcW w:w="1885" w:type="dxa"/>
            <w:shd w:val="clear" w:color="auto" w:fill="auto"/>
          </w:tcPr>
          <w:p w14:paraId="7576786E" w14:textId="77777777" w:rsidR="00090132" w:rsidRPr="008D51F2" w:rsidRDefault="00090132" w:rsidP="00DF5DC9">
            <w:pPr>
              <w:jc w:val="center"/>
              <w:rPr>
                <w:rFonts w:cs="Arial"/>
                <w:b/>
                <w:szCs w:val="16"/>
              </w:rPr>
            </w:pPr>
            <w:r w:rsidRPr="008D51F2">
              <w:rPr>
                <w:rFonts w:cs="Arial"/>
                <w:b/>
                <w:szCs w:val="16"/>
              </w:rPr>
              <w:t>FFY</w:t>
            </w:r>
          </w:p>
        </w:tc>
        <w:tc>
          <w:tcPr>
            <w:tcW w:w="1453" w:type="dxa"/>
            <w:shd w:val="clear" w:color="auto" w:fill="auto"/>
            <w:vAlign w:val="center"/>
          </w:tcPr>
          <w:p w14:paraId="5CF70806" w14:textId="77777777" w:rsidR="00090132" w:rsidRPr="008D51F2" w:rsidRDefault="00090132" w:rsidP="00DF5DC9">
            <w:pPr>
              <w:jc w:val="center"/>
              <w:rPr>
                <w:rFonts w:cs="Arial"/>
                <w:b/>
                <w:szCs w:val="16"/>
              </w:rPr>
            </w:pPr>
            <w:r w:rsidRPr="008D51F2">
              <w:rPr>
                <w:rFonts w:cs="Arial"/>
                <w:b/>
                <w:color w:val="000000" w:themeColor="text1"/>
                <w:szCs w:val="16"/>
              </w:rPr>
              <w:t>2022</w:t>
            </w:r>
          </w:p>
        </w:tc>
        <w:tc>
          <w:tcPr>
            <w:tcW w:w="1284" w:type="dxa"/>
            <w:shd w:val="clear" w:color="auto" w:fill="auto"/>
          </w:tcPr>
          <w:p w14:paraId="0BFBB5F5" w14:textId="77777777" w:rsidR="00090132" w:rsidRPr="008D51F2" w:rsidRDefault="00090132" w:rsidP="00DF5DC9">
            <w:pPr>
              <w:jc w:val="center"/>
              <w:rPr>
                <w:rFonts w:cs="Arial"/>
                <w:b/>
                <w:szCs w:val="16"/>
              </w:rPr>
            </w:pPr>
            <w:r w:rsidRPr="008D51F2">
              <w:rPr>
                <w:rFonts w:cs="Arial"/>
                <w:b/>
                <w:color w:val="000000" w:themeColor="text1"/>
                <w:szCs w:val="16"/>
              </w:rPr>
              <w:t>2023</w:t>
            </w:r>
          </w:p>
        </w:tc>
      </w:tr>
      <w:tr w:rsidR="00090132" w14:paraId="576CCA3B" w14:textId="77777777" w:rsidTr="00DF5DC9">
        <w:tc>
          <w:tcPr>
            <w:tcW w:w="1885" w:type="dxa"/>
            <w:shd w:val="clear" w:color="auto" w:fill="auto"/>
          </w:tcPr>
          <w:p w14:paraId="1D5B1977" w14:textId="77777777" w:rsidR="00090132" w:rsidRPr="008D51F2" w:rsidRDefault="00090132" w:rsidP="00DF5DC9">
            <w:pPr>
              <w:rPr>
                <w:rFonts w:cs="Arial"/>
                <w:szCs w:val="16"/>
              </w:rPr>
            </w:pPr>
            <w:r w:rsidRPr="008D51F2">
              <w:rPr>
                <w:rFonts w:cs="Arial"/>
                <w:szCs w:val="16"/>
              </w:rPr>
              <w:t xml:space="preserve">Response Rate </w:t>
            </w:r>
          </w:p>
        </w:tc>
        <w:tc>
          <w:tcPr>
            <w:tcW w:w="1453" w:type="dxa"/>
            <w:shd w:val="clear" w:color="auto" w:fill="auto"/>
            <w:vAlign w:val="center"/>
          </w:tcPr>
          <w:p w14:paraId="4AECB169" w14:textId="3ECBE4F7" w:rsidR="00090132" w:rsidRPr="008D51F2" w:rsidRDefault="00090132" w:rsidP="00DF5DC9">
            <w:pPr>
              <w:jc w:val="center"/>
              <w:rPr>
                <w:rFonts w:cs="Arial"/>
                <w:szCs w:val="16"/>
              </w:rPr>
            </w:pPr>
            <w:r w:rsidRPr="008D51F2">
              <w:rPr>
                <w:color w:val="000000" w:themeColor="text1"/>
              </w:rPr>
              <w:t>52.73%</w:t>
            </w:r>
          </w:p>
        </w:tc>
        <w:tc>
          <w:tcPr>
            <w:tcW w:w="1284" w:type="dxa"/>
            <w:shd w:val="clear" w:color="auto" w:fill="auto"/>
            <w:vAlign w:val="center"/>
          </w:tcPr>
          <w:p w14:paraId="755EF869" w14:textId="2F1BA7D5" w:rsidR="00090132" w:rsidRPr="008D51F2" w:rsidRDefault="00090132" w:rsidP="00DF5DC9">
            <w:pPr>
              <w:jc w:val="center"/>
              <w:rPr>
                <w:rFonts w:cs="Arial"/>
                <w:szCs w:val="16"/>
              </w:rPr>
            </w:pPr>
            <w:r w:rsidRPr="008D51F2">
              <w:rPr>
                <w:rFonts w:cs="Arial"/>
                <w:color w:val="000000" w:themeColor="text1"/>
                <w:szCs w:val="16"/>
              </w:rPr>
              <w:t>57.02%</w:t>
            </w:r>
          </w:p>
        </w:tc>
      </w:tr>
    </w:tbl>
    <w:p w14:paraId="03971D78" w14:textId="77777777" w:rsidR="00090132" w:rsidRDefault="00090132" w:rsidP="00090132">
      <w:pPr>
        <w:pStyle w:val="Header"/>
        <w:tabs>
          <w:tab w:val="clear" w:pos="4320"/>
          <w:tab w:val="clear" w:pos="8640"/>
        </w:tabs>
        <w:spacing w:before="0"/>
        <w:rPr>
          <w:rFonts w:ascii="Arial" w:hAnsi="Arial" w:cs="Arial"/>
          <w:bCs/>
          <w:sz w:val="16"/>
          <w:szCs w:val="16"/>
          <w:highlight w:val="yellow"/>
        </w:rPr>
      </w:pPr>
    </w:p>
    <w:p w14:paraId="5820FDED" w14:textId="77777777" w:rsidR="00156FDD" w:rsidRPr="005C202C" w:rsidRDefault="00156FDD" w:rsidP="00156FDD">
      <w:pPr>
        <w:rPr>
          <w:b/>
          <w:bCs/>
        </w:rPr>
      </w:pPr>
      <w:r w:rsidRPr="005C202C">
        <w:rPr>
          <w:b/>
          <w:bCs/>
        </w:rPr>
        <w:t>Describe the metric used to determine representativeness (e.g., +/- 3% discrepancy in the proportion of responders compared to target group).</w:t>
      </w:r>
    </w:p>
    <w:p w14:paraId="04BA4870" w14:textId="77777777" w:rsidR="00156FDD" w:rsidRDefault="00156FDD" w:rsidP="00156FDD">
      <w:pPr>
        <w:pStyle w:val="Subhed"/>
        <w:rPr>
          <w:b w:val="0"/>
        </w:rPr>
      </w:pPr>
      <w:r w:rsidRPr="008D51F2">
        <w:rPr>
          <w:b w:val="0"/>
        </w:rPr>
        <w:t xml:space="preserve">+/- 3% discrepancy in the proportion of responders compared to target group. </w:t>
      </w:r>
    </w:p>
    <w:p w14:paraId="06AC8AE1" w14:textId="77777777" w:rsidR="00156FDD" w:rsidRDefault="00156FDD" w:rsidP="00090132">
      <w:pPr>
        <w:rPr>
          <w:b/>
          <w:bCs/>
        </w:rPr>
      </w:pPr>
    </w:p>
    <w:p w14:paraId="16C9E9FA" w14:textId="77777777" w:rsidR="00156FDD" w:rsidRPr="00F03088" w:rsidRDefault="00156FDD" w:rsidP="00156FDD">
      <w:pPr>
        <w:spacing w:before="0"/>
        <w:rPr>
          <w:rFonts w:eastAsia="Times New Roman" w:cs="Arial"/>
          <w:b/>
          <w:bCs/>
          <w:szCs w:val="16"/>
        </w:rPr>
      </w:pPr>
      <w:r w:rsidRPr="00F03088">
        <w:rPr>
          <w:b/>
          <w:bCs/>
        </w:rPr>
        <w:t>Include the State’s analyses of the extent to which the response data are representative of the demographics of youth who are no longer in secondary school and had IEPs in effect at the time they left school.</w:t>
      </w:r>
      <w:r w:rsidRPr="00F03088">
        <w:rPr>
          <w:rFonts w:eastAsia="Times New Roman" w:cs="Arial"/>
          <w:b/>
          <w:bCs/>
          <w:szCs w:val="16"/>
        </w:rPr>
        <w:t xml:space="preserve"> States must include race/ethnicity in its analysis. In addition, the State’s analysis must include at least one of the following demographics: disability category, gender, geographic location, and/or another demographic category approved through the stakeholder input process.</w:t>
      </w:r>
    </w:p>
    <w:p w14:paraId="73A0DF3C" w14:textId="77777777" w:rsidR="00156FDD" w:rsidRPr="00560FEE" w:rsidRDefault="00156FDD" w:rsidP="00156FDD">
      <w:r w:rsidRPr="008D51F2">
        <w:t xml:space="preserve">Response rates were analyzed to determine the extent to which the response data were representative of the demographics of youth who were no longer in secondary school and had IEPs in effect at the time they left school (i.e., representativeness) using the OSEP approved Response Calculator created by the National Post-School Outcomes Center/National Technical Assistance Center: the Collaborative. The Response Calculator uses a +/-3% discrepancy between the proportion of responders with a completed interview compared to a census of all eligible leavers in the state. The following six demographic categories were examined: (a) race/ethnicity (minority), as required, (b) disability (eligibility category), (c) gender (female), (d) exit method (dropout), (e) geographic location (rural), and (f) language (English Language Learner). </w:t>
      </w:r>
      <w:r w:rsidRPr="008D51F2">
        <w:br/>
      </w:r>
      <w:r w:rsidRPr="008D51F2">
        <w:br/>
        <w:t xml:space="preserve">As seen in the disaggregation below, response data were representative of youth who exited secondary school with an IEP in effect in five categories: race/ethnicity, primary disability, gender, and language. </w:t>
      </w:r>
      <w:r w:rsidRPr="008D51F2">
        <w:br/>
      </w:r>
      <w:r w:rsidRPr="008D51F2">
        <w:br/>
        <w:t xml:space="preserve">The demographic categories of Exit Method and Geographic Location exceeded the +/-3% difference between respondents and total target leavers (noted by *asterisk). Specifically, leavers who exited with a regular diploma were slightly over-represented in respondents in FFY23 (50.51%) compared to total target leavers (54.64%); resulting in a 4.13% difference. Leavers who exited school by dropping out were under-represented in respondents (9.14%) compared to total target leavers (14.04%); resulting in a difference of -4.90%. </w:t>
      </w:r>
      <w:r w:rsidRPr="008D51F2">
        <w:br/>
      </w:r>
      <w:r w:rsidRPr="008D51F2">
        <w:br/>
        <w:t xml:space="preserve">RACE/ETHNICITY </w:t>
      </w:r>
      <w:r w:rsidRPr="008D51F2">
        <w:br/>
      </w:r>
      <w:r w:rsidRPr="008D51F2">
        <w:br/>
        <w:t xml:space="preserve">Race/Ethnicity: Asian </w:t>
      </w:r>
      <w:r w:rsidRPr="008D51F2">
        <w:br/>
        <w:t xml:space="preserve">Population Percentage: 1.84 </w:t>
      </w:r>
      <w:r w:rsidRPr="008D51F2">
        <w:br/>
        <w:t xml:space="preserve">Respondent Percentage: 2.17 </w:t>
      </w:r>
      <w:r w:rsidRPr="008D51F2">
        <w:br/>
        <w:t xml:space="preserve">Difference Percentage: 0.33 </w:t>
      </w:r>
      <w:r w:rsidRPr="008D51F2">
        <w:br/>
      </w:r>
      <w:r w:rsidRPr="008D51F2">
        <w:br/>
        <w:t xml:space="preserve">Race/Ethnicity: Black </w:t>
      </w:r>
      <w:r w:rsidRPr="008D51F2">
        <w:br/>
        <w:t xml:space="preserve">Population Percentage: 3.22 </w:t>
      </w:r>
      <w:r w:rsidRPr="008D51F2">
        <w:br/>
        <w:t xml:space="preserve">Respondent Percentage: 3.36 </w:t>
      </w:r>
      <w:r w:rsidRPr="008D51F2">
        <w:br/>
        <w:t xml:space="preserve">Difference Percentage: 0.15 </w:t>
      </w:r>
      <w:r w:rsidRPr="008D51F2">
        <w:br/>
      </w:r>
      <w:r w:rsidRPr="008D51F2">
        <w:br/>
        <w:t xml:space="preserve">Race/Ethnicity: Hispanic </w:t>
      </w:r>
      <w:r w:rsidRPr="008D51F2">
        <w:br/>
        <w:t xml:space="preserve">Population Percentage: 28.02 </w:t>
      </w:r>
      <w:r w:rsidRPr="008D51F2">
        <w:br/>
        <w:t xml:space="preserve">Respondent Percentage: 27.46 </w:t>
      </w:r>
      <w:r w:rsidRPr="008D51F2">
        <w:br/>
        <w:t xml:space="preserve">Difference Percentage: -0.56 </w:t>
      </w:r>
      <w:r w:rsidRPr="008D51F2">
        <w:br/>
      </w:r>
      <w:r w:rsidRPr="008D51F2">
        <w:br/>
        <w:t xml:space="preserve">Race/Ethnicity: Am. Indian </w:t>
      </w:r>
      <w:r w:rsidRPr="008D51F2">
        <w:br/>
        <w:t xml:space="preserve">Population Percentage: 2.06 </w:t>
      </w:r>
      <w:r w:rsidRPr="008D51F2">
        <w:br/>
        <w:t xml:space="preserve">Respondent Percentage: 1.54 </w:t>
      </w:r>
      <w:r w:rsidRPr="008D51F2">
        <w:br/>
        <w:t xml:space="preserve">Difference Percentage: -0.52 </w:t>
      </w:r>
      <w:r w:rsidRPr="008D51F2">
        <w:br/>
      </w:r>
      <w:r w:rsidRPr="008D51F2">
        <w:br/>
        <w:t xml:space="preserve">Race/Ethnicity: Multiple </w:t>
      </w:r>
      <w:r w:rsidRPr="008D51F2">
        <w:br/>
        <w:t xml:space="preserve">Population Percentage: 6.25 </w:t>
      </w:r>
      <w:r w:rsidRPr="008D51F2">
        <w:br/>
        <w:t xml:space="preserve">Respondent Percentage: 6.06 </w:t>
      </w:r>
      <w:r w:rsidRPr="008D51F2">
        <w:br/>
      </w:r>
      <w:r w:rsidRPr="008D51F2">
        <w:lastRenderedPageBreak/>
        <w:t xml:space="preserve">Difference Percentage: -0.19 </w:t>
      </w:r>
      <w:r w:rsidRPr="008D51F2">
        <w:br/>
      </w:r>
      <w:r w:rsidRPr="008D51F2">
        <w:br/>
        <w:t xml:space="preserve">Race/Ethnicity: Pacific </w:t>
      </w:r>
      <w:r w:rsidRPr="008D51F2">
        <w:br/>
        <w:t xml:space="preserve">Population Percentage: 0.64 </w:t>
      </w:r>
      <w:r w:rsidRPr="008D51F2">
        <w:br/>
        <w:t xml:space="preserve">Respondent Percentage: 0.60 </w:t>
      </w:r>
      <w:r w:rsidRPr="008D51F2">
        <w:br/>
        <w:t xml:space="preserve">Difference Percentage: -0.04 </w:t>
      </w:r>
      <w:r w:rsidRPr="008D51F2">
        <w:br/>
      </w:r>
      <w:r w:rsidRPr="008D51F2">
        <w:br/>
        <w:t xml:space="preserve">Race/Ethnicity: White </w:t>
      </w:r>
      <w:r w:rsidRPr="008D51F2">
        <w:br/>
        <w:t xml:space="preserve">Population Percentage: 57.98 </w:t>
      </w:r>
      <w:r w:rsidRPr="008D51F2">
        <w:br/>
        <w:t xml:space="preserve">Respondent Percentage: 58.81 </w:t>
      </w:r>
      <w:r w:rsidRPr="008D51F2">
        <w:br/>
        <w:t xml:space="preserve">Difference Percentage: 0.83 </w:t>
      </w:r>
      <w:r w:rsidRPr="008D51F2">
        <w:br/>
      </w:r>
      <w:r w:rsidRPr="008D51F2">
        <w:br/>
        <w:t xml:space="preserve">PRIMARY DISABILITY </w:t>
      </w:r>
      <w:r w:rsidRPr="008D51F2">
        <w:br/>
      </w:r>
      <w:r w:rsidRPr="008D51F2">
        <w:br/>
        <w:t xml:space="preserve">Primary Disability: Intellectual Disability </w:t>
      </w:r>
      <w:r w:rsidRPr="008D51F2">
        <w:br/>
        <w:t xml:space="preserve">Population Percentage: 6.77 </w:t>
      </w:r>
      <w:r w:rsidRPr="008D51F2">
        <w:br/>
        <w:t xml:space="preserve">Respondent Percentage: 7.53 </w:t>
      </w:r>
      <w:r w:rsidRPr="008D51F2">
        <w:br/>
        <w:t xml:space="preserve">Difference Percentage: 0.76 </w:t>
      </w:r>
      <w:r w:rsidRPr="008D51F2">
        <w:br/>
      </w:r>
      <w:r w:rsidRPr="008D51F2">
        <w:br/>
        <w:t xml:space="preserve">Primary Disability: Deaf or Hard of Hearing </w:t>
      </w:r>
      <w:r w:rsidRPr="008D51F2">
        <w:br/>
        <w:t xml:space="preserve">Population Percentage: 1.16 </w:t>
      </w:r>
      <w:r w:rsidRPr="008D51F2">
        <w:br/>
        <w:t xml:space="preserve">Respondent Percentage:1.26 </w:t>
      </w:r>
      <w:r w:rsidRPr="008D51F2">
        <w:br/>
        <w:t xml:space="preserve">Difference Percentage: 0.10 </w:t>
      </w:r>
      <w:r w:rsidRPr="008D51F2">
        <w:br/>
      </w:r>
      <w:r w:rsidRPr="008D51F2">
        <w:br/>
        <w:t xml:space="preserve">Primary Disability: Visual Impairment, Including Blindness </w:t>
      </w:r>
      <w:r w:rsidRPr="008D51F2">
        <w:br/>
        <w:t xml:space="preserve">Population Percentage: 0.38 </w:t>
      </w:r>
      <w:r w:rsidRPr="008D51F2">
        <w:br/>
        <w:t xml:space="preserve">Respondent Percentage: 0.49 </w:t>
      </w:r>
      <w:r w:rsidRPr="008D51F2">
        <w:br/>
        <w:t xml:space="preserve">Difference Percentage: 0.11 </w:t>
      </w:r>
      <w:r w:rsidRPr="008D51F2">
        <w:br/>
      </w:r>
      <w:r w:rsidRPr="008D51F2">
        <w:br/>
        <w:t xml:space="preserve">Primary Disability: Deafblind </w:t>
      </w:r>
      <w:r w:rsidRPr="008D51F2">
        <w:br/>
        <w:t xml:space="preserve">Population Percentage: 0.00 </w:t>
      </w:r>
      <w:r w:rsidRPr="008D51F2">
        <w:br/>
        <w:t xml:space="preserve">Respondent Percentage: 0.00 </w:t>
      </w:r>
      <w:r w:rsidRPr="008D51F2">
        <w:br/>
        <w:t xml:space="preserve">Difference Percentage: 0.00 </w:t>
      </w:r>
      <w:r w:rsidRPr="008D51F2">
        <w:br/>
      </w:r>
      <w:r w:rsidRPr="008D51F2">
        <w:br/>
        <w:t xml:space="preserve">Primary Disability: Speech or Language Impairment </w:t>
      </w:r>
      <w:r w:rsidRPr="008D51F2">
        <w:br/>
        <w:t xml:space="preserve">Population Percentage: 3.50 </w:t>
      </w:r>
      <w:r w:rsidRPr="008D51F2">
        <w:br/>
        <w:t xml:space="preserve">Respondent Percentage: 2.94 </w:t>
      </w:r>
      <w:r w:rsidRPr="008D51F2">
        <w:br/>
        <w:t xml:space="preserve">Difference Percentage: -0.55 </w:t>
      </w:r>
      <w:r w:rsidRPr="008D51F2">
        <w:br/>
      </w:r>
      <w:r w:rsidRPr="008D51F2">
        <w:br/>
        <w:t xml:space="preserve">Primary Disability: Emotional Behavior Disability </w:t>
      </w:r>
      <w:r w:rsidRPr="008D51F2">
        <w:br/>
        <w:t xml:space="preserve">Population Percentage: 9.39 </w:t>
      </w:r>
      <w:r w:rsidRPr="008D51F2">
        <w:br/>
        <w:t xml:space="preserve">Respondent Percentage: 8.83 </w:t>
      </w:r>
      <w:r w:rsidRPr="008D51F2">
        <w:br/>
        <w:t xml:space="preserve">Difference Percentage: -0.56 </w:t>
      </w:r>
      <w:r w:rsidRPr="008D51F2">
        <w:br/>
      </w:r>
      <w:r w:rsidRPr="008D51F2">
        <w:br/>
        <w:t xml:space="preserve">Primary Disability: Orthopedic Impairment </w:t>
      </w:r>
      <w:r w:rsidRPr="008D51F2">
        <w:br/>
        <w:t xml:space="preserve">Population Percentage: 0.40 </w:t>
      </w:r>
      <w:r w:rsidRPr="008D51F2">
        <w:br/>
        <w:t xml:space="preserve">Respondent Percentage: 0.46 </w:t>
      </w:r>
      <w:r w:rsidRPr="008D51F2">
        <w:br/>
        <w:t xml:space="preserve">Difference Percentage: 0.06 </w:t>
      </w:r>
      <w:r w:rsidRPr="008D51F2">
        <w:br/>
      </w:r>
      <w:r w:rsidRPr="008D51F2">
        <w:br/>
        <w:t xml:space="preserve">Primary Disability: Traumatic Brain Injury </w:t>
      </w:r>
      <w:r w:rsidRPr="008D51F2">
        <w:br/>
        <w:t xml:space="preserve">Population Percentage: 0.48 </w:t>
      </w:r>
      <w:r w:rsidRPr="008D51F2">
        <w:br/>
        <w:t xml:space="preserve">Respondent Percentage: 0.70 </w:t>
      </w:r>
      <w:r w:rsidRPr="008D51F2">
        <w:br/>
        <w:t xml:space="preserve">Difference Percentage: 0.22 </w:t>
      </w:r>
      <w:r w:rsidRPr="008D51F2">
        <w:br/>
      </w:r>
      <w:r w:rsidRPr="008D51F2">
        <w:br/>
        <w:t xml:space="preserve">Primary Disability: Other Health Impairment </w:t>
      </w:r>
      <w:r w:rsidRPr="008D51F2">
        <w:br/>
        <w:t xml:space="preserve">Population Percentage: 24.31 </w:t>
      </w:r>
      <w:r w:rsidRPr="008D51F2">
        <w:br/>
        <w:t xml:space="preserve">Respondent Percentage: 24.59 </w:t>
      </w:r>
      <w:r w:rsidRPr="008D51F2">
        <w:br/>
        <w:t xml:space="preserve">Difference Percentage: 0.28 </w:t>
      </w:r>
      <w:r w:rsidRPr="008D51F2">
        <w:br/>
      </w:r>
      <w:r w:rsidRPr="008D51F2">
        <w:br/>
        <w:t xml:space="preserve">Primary Disability: Autism Spectrum Disorder </w:t>
      </w:r>
      <w:r w:rsidRPr="008D51F2">
        <w:br/>
        <w:t xml:space="preserve">Population Percentage: 12.18 </w:t>
      </w:r>
      <w:r w:rsidRPr="008D51F2">
        <w:br/>
        <w:t xml:space="preserve">Respondent Percentage: 13.45 </w:t>
      </w:r>
      <w:r w:rsidRPr="008D51F2">
        <w:br/>
        <w:t xml:space="preserve">Difference Percentage: 1.27 </w:t>
      </w:r>
      <w:r w:rsidRPr="008D51F2">
        <w:br/>
      </w:r>
      <w:r w:rsidRPr="008D51F2">
        <w:br/>
        <w:t xml:space="preserve">Primary Disability: Specific Learning Disability </w:t>
      </w:r>
      <w:r w:rsidRPr="008D51F2">
        <w:br/>
        <w:t xml:space="preserve">Population Percentage: 41.44 </w:t>
      </w:r>
      <w:r w:rsidRPr="008D51F2">
        <w:br/>
        <w:t xml:space="preserve">Respondent Percentage: 39.75 </w:t>
      </w:r>
      <w:r w:rsidRPr="008D51F2">
        <w:br/>
        <w:t xml:space="preserve">Difference Percentage: -1.69 </w:t>
      </w:r>
      <w:r w:rsidRPr="008D51F2">
        <w:br/>
      </w:r>
      <w:r w:rsidRPr="008D51F2">
        <w:br/>
        <w:t xml:space="preserve">GENDER </w:t>
      </w:r>
      <w:r w:rsidRPr="008D51F2">
        <w:br/>
      </w:r>
      <w:r w:rsidRPr="008D51F2">
        <w:br/>
        <w:t xml:space="preserve">Gender: Female </w:t>
      </w:r>
      <w:r w:rsidRPr="008D51F2">
        <w:br/>
        <w:t xml:space="preserve">Population Percentage: 34.95 </w:t>
      </w:r>
      <w:r w:rsidRPr="008D51F2">
        <w:br/>
        <w:t xml:space="preserve">Respondent Percentage: 36.36 </w:t>
      </w:r>
      <w:r w:rsidRPr="008D51F2">
        <w:br/>
        <w:t xml:space="preserve">Difference Percentage: 1.41 </w:t>
      </w:r>
      <w:r w:rsidRPr="008D51F2">
        <w:br/>
      </w:r>
      <w:r w:rsidRPr="008D51F2">
        <w:br/>
        <w:t xml:space="preserve">Gender: Male </w:t>
      </w:r>
      <w:r w:rsidRPr="008D51F2">
        <w:br/>
      </w:r>
      <w:r w:rsidRPr="008D51F2">
        <w:lastRenderedPageBreak/>
        <w:t xml:space="preserve">Population Percentage: 64.17 </w:t>
      </w:r>
      <w:r w:rsidRPr="008D51F2">
        <w:br/>
        <w:t xml:space="preserve">Respondent Percentage: 62.73 </w:t>
      </w:r>
      <w:r w:rsidRPr="008D51F2">
        <w:br/>
        <w:t xml:space="preserve">Difference Percentage: -1.44 </w:t>
      </w:r>
      <w:r w:rsidRPr="008D51F2">
        <w:br/>
      </w:r>
      <w:r w:rsidRPr="008D51F2">
        <w:br/>
        <w:t xml:space="preserve">Gender: Other </w:t>
      </w:r>
      <w:r w:rsidRPr="008D51F2">
        <w:br/>
        <w:t xml:space="preserve">Population Percentage: 0.88 </w:t>
      </w:r>
      <w:r w:rsidRPr="008D51F2">
        <w:br/>
        <w:t xml:space="preserve">Respondent Percentage: 0.91 </w:t>
      </w:r>
      <w:r w:rsidRPr="008D51F2">
        <w:br/>
        <w:t xml:space="preserve">Difference Percentage: 0.03 </w:t>
      </w:r>
      <w:r w:rsidRPr="008D51F2">
        <w:br/>
      </w:r>
      <w:r w:rsidRPr="008D51F2">
        <w:br/>
        <w:t xml:space="preserve"> </w:t>
      </w:r>
      <w:r w:rsidRPr="008D51F2">
        <w:br/>
        <w:t xml:space="preserve">EXIT METHOD </w:t>
      </w:r>
      <w:r w:rsidRPr="008D51F2">
        <w:br/>
      </w:r>
      <w:r w:rsidRPr="008D51F2">
        <w:br/>
        <w:t xml:space="preserve">Exit Method: Regular Diploma *overrepresented </w:t>
      </w:r>
      <w:r w:rsidRPr="008D51F2">
        <w:br/>
        <w:t xml:space="preserve">Population Percentage: 50.51 </w:t>
      </w:r>
      <w:r w:rsidRPr="008D51F2">
        <w:br/>
        <w:t xml:space="preserve">Respondent Percentage: 54.64 </w:t>
      </w:r>
      <w:r w:rsidRPr="008D51F2">
        <w:br/>
        <w:t xml:space="preserve">Difference Percentage: 4.13 *overrepresented </w:t>
      </w:r>
      <w:r w:rsidRPr="008D51F2">
        <w:br/>
      </w:r>
      <w:r w:rsidRPr="008D51F2">
        <w:br/>
        <w:t xml:space="preserve">Exit Method: Modified Diploma </w:t>
      </w:r>
      <w:r w:rsidRPr="008D51F2">
        <w:br/>
        <w:t xml:space="preserve">Population Percentage: 26.18 </w:t>
      </w:r>
      <w:r w:rsidRPr="008D51F2">
        <w:br/>
        <w:t xml:space="preserve">Respondent Percentage: 25.67 </w:t>
      </w:r>
      <w:r w:rsidRPr="008D51F2">
        <w:br/>
        <w:t xml:space="preserve">Difference Percentage: -0.51 </w:t>
      </w:r>
      <w:r w:rsidRPr="008D51F2">
        <w:br/>
      </w:r>
      <w:r w:rsidRPr="008D51F2">
        <w:br/>
        <w:t xml:space="preserve">Exit Method: Certificate </w:t>
      </w:r>
      <w:r w:rsidRPr="008D51F2">
        <w:br/>
        <w:t xml:space="preserve">Population Percentage: 5.33 </w:t>
      </w:r>
      <w:r w:rsidRPr="008D51F2">
        <w:br/>
        <w:t xml:space="preserve">Respondent Percentage: 5.78 </w:t>
      </w:r>
      <w:r w:rsidRPr="008D51F2">
        <w:br/>
        <w:t xml:space="preserve">Difference Percentage: 0.45 </w:t>
      </w:r>
      <w:r w:rsidRPr="008D51F2">
        <w:br/>
      </w:r>
      <w:r w:rsidRPr="008D51F2">
        <w:br/>
        <w:t xml:space="preserve">Exit Method: Reached Maximum Age </w:t>
      </w:r>
      <w:r w:rsidRPr="008D51F2">
        <w:br/>
        <w:t xml:space="preserve">Population Percentage: 2.36 </w:t>
      </w:r>
      <w:r w:rsidRPr="008D51F2">
        <w:br/>
        <w:t xml:space="preserve">Respondent Percentage: 3.01 </w:t>
      </w:r>
      <w:r w:rsidRPr="008D51F2">
        <w:br/>
        <w:t xml:space="preserve">Difference Percentage: 0.66 </w:t>
      </w:r>
      <w:r w:rsidRPr="008D51F2">
        <w:br/>
      </w:r>
      <w:r w:rsidRPr="008D51F2">
        <w:br/>
        <w:t xml:space="preserve">Exit Method: Extended Diploma </w:t>
      </w:r>
      <w:r w:rsidRPr="008D51F2">
        <w:br/>
        <w:t xml:space="preserve">Population Percentage: 1.58 </w:t>
      </w:r>
      <w:r w:rsidRPr="008D51F2">
        <w:br/>
        <w:t xml:space="preserve">Respondent Percentage: 1.75 </w:t>
      </w:r>
      <w:r w:rsidRPr="008D51F2">
        <w:br/>
        <w:t xml:space="preserve">Difference Percentage: 0.17 </w:t>
      </w:r>
      <w:r w:rsidRPr="008D51F2">
        <w:br/>
      </w:r>
      <w:r w:rsidRPr="008D51F2">
        <w:br/>
        <w:t xml:space="preserve">Exit Method: Dropped Out* underrepresented </w:t>
      </w:r>
      <w:r w:rsidRPr="008D51F2">
        <w:br/>
        <w:t xml:space="preserve">Population Percentage: 14.04 </w:t>
      </w:r>
      <w:r w:rsidRPr="008D51F2">
        <w:br/>
        <w:t xml:space="preserve">Respondent Percentage: 9.14 </w:t>
      </w:r>
      <w:r w:rsidRPr="008D51F2">
        <w:br/>
        <w:t xml:space="preserve">Difference Percentage: -4.90 underrepresented </w:t>
      </w:r>
      <w:r w:rsidRPr="008D51F2">
        <w:br/>
      </w:r>
      <w:r w:rsidRPr="008D51F2">
        <w:br/>
        <w:t xml:space="preserve">GEOGRAPHIC LOCATION* overrepresented </w:t>
      </w:r>
      <w:r w:rsidRPr="008D51F2">
        <w:br/>
        <w:t xml:space="preserve">Geographic Location: City </w:t>
      </w:r>
      <w:r w:rsidRPr="008D51F2">
        <w:br/>
        <w:t xml:space="preserve">Population Percentage: 41.92 </w:t>
      </w:r>
      <w:r w:rsidRPr="008D51F2">
        <w:br/>
        <w:t xml:space="preserve">Respondent Percentage: 41.79 </w:t>
      </w:r>
      <w:r w:rsidRPr="008D51F2">
        <w:br/>
        <w:t xml:space="preserve">Difference Percentage: -0.13 </w:t>
      </w:r>
      <w:r w:rsidRPr="008D51F2">
        <w:br/>
      </w:r>
      <w:r w:rsidRPr="008D51F2">
        <w:br/>
        <w:t xml:space="preserve">Geographic Location: Rural </w:t>
      </w:r>
      <w:r w:rsidRPr="008D51F2">
        <w:br/>
        <w:t xml:space="preserve">Population Percentage: 11.44 </w:t>
      </w:r>
      <w:r w:rsidRPr="008D51F2">
        <w:br/>
        <w:t xml:space="preserve">Respondent Percentage: 9.04 </w:t>
      </w:r>
      <w:r w:rsidRPr="008D51F2">
        <w:br/>
        <w:t xml:space="preserve">Difference Percentage: -2.41 </w:t>
      </w:r>
      <w:r w:rsidRPr="008D51F2">
        <w:br/>
      </w:r>
      <w:r w:rsidRPr="008D51F2">
        <w:br/>
        <w:t xml:space="preserve">Geographic Location: Town </w:t>
      </w:r>
      <w:r w:rsidRPr="008D51F2">
        <w:br/>
        <w:t xml:space="preserve">Population Percentage: 24.25 </w:t>
      </w:r>
      <w:r w:rsidRPr="008D51F2">
        <w:br/>
        <w:t xml:space="preserve">Respondent Percentage: 23.57 </w:t>
      </w:r>
      <w:r w:rsidRPr="008D51F2">
        <w:br/>
        <w:t xml:space="preserve">Difference Percentage: -0.67 </w:t>
      </w:r>
      <w:r w:rsidRPr="008D51F2">
        <w:br/>
      </w:r>
      <w:r w:rsidRPr="008D51F2">
        <w:br/>
        <w:t xml:space="preserve">Geographic Location: Suburb * overrepresented </w:t>
      </w:r>
      <w:r w:rsidRPr="008D51F2">
        <w:br/>
        <w:t xml:space="preserve">Population Percentage: 21.21 </w:t>
      </w:r>
      <w:r w:rsidRPr="008D51F2">
        <w:br/>
        <w:t xml:space="preserve">Respondent Percentage: 24.97 </w:t>
      </w:r>
      <w:r w:rsidRPr="008D51F2">
        <w:br/>
        <w:t xml:space="preserve">Difference Percentage: 3.76* overrepresented </w:t>
      </w:r>
      <w:r w:rsidRPr="008D51F2">
        <w:br/>
      </w:r>
      <w:r w:rsidRPr="008D51F2">
        <w:br/>
        <w:t xml:space="preserve">Geographic Location: Blank </w:t>
      </w:r>
      <w:r w:rsidRPr="008D51F2">
        <w:br/>
        <w:t xml:space="preserve">Population Percentage: 1.18 </w:t>
      </w:r>
      <w:r w:rsidRPr="008D51F2">
        <w:br/>
        <w:t xml:space="preserve">Respondent Percentage: 0.63 </w:t>
      </w:r>
      <w:r w:rsidRPr="008D51F2">
        <w:br/>
        <w:t xml:space="preserve">Difference Percentage: -0.55 </w:t>
      </w:r>
      <w:r w:rsidRPr="008D51F2">
        <w:br/>
      </w:r>
      <w:r w:rsidRPr="008D51F2">
        <w:br/>
        <w:t xml:space="preserve">LANGUAGE </w:t>
      </w:r>
      <w:r w:rsidRPr="008D51F2">
        <w:br/>
      </w:r>
      <w:r w:rsidRPr="008D51F2">
        <w:br/>
        <w:t xml:space="preserve">Language: Mandarin </w:t>
      </w:r>
      <w:r w:rsidRPr="008D51F2">
        <w:br/>
        <w:t xml:space="preserve">Population Percentage: 0.22 </w:t>
      </w:r>
      <w:r w:rsidRPr="008D51F2">
        <w:br/>
        <w:t xml:space="preserve">Respondent Percentage: 0.32 </w:t>
      </w:r>
      <w:r w:rsidRPr="008D51F2">
        <w:br/>
        <w:t xml:space="preserve">Difference Percentage: 0.10 </w:t>
      </w:r>
      <w:r w:rsidRPr="008D51F2">
        <w:br/>
      </w:r>
      <w:r w:rsidRPr="008D51F2">
        <w:br/>
        <w:t xml:space="preserve">Language: English </w:t>
      </w:r>
      <w:r w:rsidRPr="008D51F2">
        <w:br/>
        <w:t xml:space="preserve">Population Percentage: 79.25 </w:t>
      </w:r>
      <w:r w:rsidRPr="008D51F2">
        <w:br/>
      </w:r>
      <w:r w:rsidRPr="008D51F2">
        <w:lastRenderedPageBreak/>
        <w:t xml:space="preserve">Respondent Percentage: 78.67 </w:t>
      </w:r>
      <w:r w:rsidRPr="008D51F2">
        <w:br/>
        <w:t xml:space="preserve">Difference Percentage: -0.58 </w:t>
      </w:r>
      <w:r w:rsidRPr="008D51F2">
        <w:br/>
      </w:r>
      <w:r w:rsidRPr="008D51F2">
        <w:br/>
        <w:t xml:space="preserve">Language: Russian </w:t>
      </w:r>
      <w:r w:rsidRPr="008D51F2">
        <w:br/>
        <w:t xml:space="preserve">Population Percentage: 0.16 </w:t>
      </w:r>
      <w:r w:rsidRPr="008D51F2">
        <w:br/>
        <w:t xml:space="preserve">Respondent Percentage: 0.18 </w:t>
      </w:r>
      <w:r w:rsidRPr="008D51F2">
        <w:br/>
        <w:t xml:space="preserve">Difference Percentage: 0.02 </w:t>
      </w:r>
      <w:r w:rsidRPr="008D51F2">
        <w:br/>
      </w:r>
      <w:r w:rsidRPr="008D51F2">
        <w:br/>
        <w:t xml:space="preserve">Language: Sign Language </w:t>
      </w:r>
      <w:r w:rsidRPr="008D51F2">
        <w:br/>
        <w:t xml:space="preserve">Population Percentage: 0.08 </w:t>
      </w:r>
      <w:r w:rsidRPr="008D51F2">
        <w:br/>
        <w:t xml:space="preserve">Respondent Percentage: 0.04 </w:t>
      </w:r>
      <w:r w:rsidRPr="008D51F2">
        <w:br/>
        <w:t xml:space="preserve">Difference Percentage: -0.04 </w:t>
      </w:r>
      <w:r w:rsidRPr="008D51F2">
        <w:br/>
      </w:r>
      <w:r w:rsidRPr="008D51F2">
        <w:br/>
        <w:t xml:space="preserve">Language: Spanish </w:t>
      </w:r>
      <w:r w:rsidRPr="008D51F2">
        <w:br/>
        <w:t xml:space="preserve">Population Percentage: 16.50 </w:t>
      </w:r>
      <w:r w:rsidRPr="008D51F2">
        <w:br/>
        <w:t xml:space="preserve">Respondent Percentage: 16.53 </w:t>
      </w:r>
      <w:r w:rsidRPr="008D51F2">
        <w:br/>
        <w:t xml:space="preserve">Difference Percentage: 0.04 </w:t>
      </w:r>
      <w:r w:rsidRPr="008D51F2">
        <w:br/>
      </w:r>
      <w:r w:rsidRPr="008D51F2">
        <w:br/>
        <w:t xml:space="preserve">Language: Vietnamese </w:t>
      </w:r>
      <w:r w:rsidRPr="008D51F2">
        <w:br/>
        <w:t xml:space="preserve">Population Percentage: 0.46 </w:t>
      </w:r>
      <w:r w:rsidRPr="008D51F2">
        <w:br/>
        <w:t xml:space="preserve">Respondent Percentage: 0.60 </w:t>
      </w:r>
      <w:r w:rsidRPr="008D51F2">
        <w:br/>
        <w:t xml:space="preserve">Difference Percentage: 0.14 </w:t>
      </w:r>
      <w:r w:rsidRPr="008D51F2">
        <w:br/>
      </w:r>
      <w:r w:rsidRPr="008D51F2">
        <w:br/>
        <w:t xml:space="preserve">Language: Other Language </w:t>
      </w:r>
      <w:r w:rsidRPr="008D51F2">
        <w:br/>
        <w:t xml:space="preserve">Population Percentage: 1.38 </w:t>
      </w:r>
      <w:r w:rsidRPr="008D51F2">
        <w:br/>
        <w:t xml:space="preserve">Respondent Percentage: 1.47 </w:t>
      </w:r>
      <w:r w:rsidRPr="008D51F2">
        <w:br/>
        <w:t xml:space="preserve">Difference Percentage: 0.09 </w:t>
      </w:r>
      <w:r w:rsidRPr="008D51F2">
        <w:br/>
      </w:r>
      <w:r w:rsidRPr="008D51F2">
        <w:br/>
        <w:t xml:space="preserve">Language: Blank </w:t>
      </w:r>
      <w:r w:rsidRPr="008D51F2">
        <w:br/>
        <w:t xml:space="preserve">Population Percentage: 1.96 </w:t>
      </w:r>
      <w:r w:rsidRPr="008D51F2">
        <w:br/>
        <w:t xml:space="preserve">Respondent Percentage: 2.21 </w:t>
      </w:r>
      <w:r w:rsidRPr="008D51F2">
        <w:br/>
        <w:t xml:space="preserve">Difference Percentage: 0.25 </w:t>
      </w:r>
    </w:p>
    <w:p w14:paraId="2E51EAA1" w14:textId="77777777" w:rsidR="00156FDD" w:rsidRPr="005C202C" w:rsidRDefault="00156FDD" w:rsidP="00156FDD">
      <w:pPr>
        <w:rPr>
          <w:b/>
          <w:bCs/>
        </w:rPr>
      </w:pPr>
      <w:r w:rsidRPr="005C202C">
        <w:rPr>
          <w:b/>
          <w:bCs/>
        </w:rPr>
        <w:t>The response data is representative of the demographics of youth who are no longer in school and had IEPs in effect at the time they left school. (yes/no)</w:t>
      </w:r>
    </w:p>
    <w:p w14:paraId="2390BBAE" w14:textId="77777777" w:rsidR="00156FDD" w:rsidRPr="00560FEE" w:rsidRDefault="00156FDD" w:rsidP="00156FDD">
      <w:pPr>
        <w:pStyle w:val="Subhed"/>
        <w:rPr>
          <w:b w:val="0"/>
          <w:bCs/>
        </w:rPr>
      </w:pPr>
      <w:r w:rsidRPr="008D51F2">
        <w:rPr>
          <w:b w:val="0"/>
          <w:bCs/>
        </w:rPr>
        <w:t>NO</w:t>
      </w:r>
    </w:p>
    <w:p w14:paraId="027CD8C2" w14:textId="77777777" w:rsidR="00156FDD" w:rsidRPr="005C202C" w:rsidRDefault="00156FDD" w:rsidP="00156FDD">
      <w:pPr>
        <w:rPr>
          <w:b/>
          <w:bCs/>
        </w:rPr>
      </w:pPr>
      <w:r w:rsidRPr="005C202C">
        <w:rPr>
          <w:b/>
          <w:bCs/>
        </w:rPr>
        <w:t>If no, describe the strategies that the State will use to ensure that in the future the response data are representative of those demographics.</w:t>
      </w:r>
    </w:p>
    <w:p w14:paraId="0A943617" w14:textId="77777777" w:rsidR="00156FDD" w:rsidRPr="00560FEE" w:rsidRDefault="00156FDD" w:rsidP="00156FDD">
      <w:pPr>
        <w:pStyle w:val="Subhed"/>
        <w:rPr>
          <w:b w:val="0"/>
        </w:rPr>
      </w:pPr>
      <w:r w:rsidRPr="008D51F2">
        <w:rPr>
          <w:b w:val="0"/>
        </w:rPr>
        <w:t xml:space="preserve">In addition to ongoing PSO data collection trainings, the State will provide LEAs with communication and training specific to strategies for contacting Hard-to-Find Youth using resources and steps recommended by the NPSO/NTACT: C. </w:t>
      </w:r>
    </w:p>
    <w:p w14:paraId="5B213212" w14:textId="77777777" w:rsidR="00156FDD" w:rsidRDefault="00156FDD" w:rsidP="00090132">
      <w:pPr>
        <w:rPr>
          <w:b/>
          <w:bCs/>
        </w:rPr>
      </w:pPr>
    </w:p>
    <w:p w14:paraId="57522483" w14:textId="26E9319E" w:rsidR="00090132" w:rsidRPr="00002B33" w:rsidRDefault="00090132" w:rsidP="00090132">
      <w:pPr>
        <w:rPr>
          <w:b/>
          <w:bCs/>
        </w:rPr>
      </w:pPr>
      <w:r w:rsidRPr="00002B33">
        <w:rPr>
          <w:b/>
          <w:bCs/>
        </w:rPr>
        <w:t>Describe strategies that will be implemented which are expected to increase the response rate year over year, particularly for those groups that are underrepresented.</w:t>
      </w:r>
    </w:p>
    <w:p w14:paraId="054F9DF8" w14:textId="77777777" w:rsidR="00090132" w:rsidRPr="00B551F2" w:rsidRDefault="00090132" w:rsidP="00090132">
      <w:r w:rsidRPr="00B551F2">
        <w:t xml:space="preserve">To increase response rates, the State will a) encourage LEAs to review post-school outcome data, including response rates and representation, and identify strategies for increasing student participation in PSO interviews; and b) provide LEAs with training specific to contacting hard to find youth. </w:t>
      </w:r>
    </w:p>
    <w:p w14:paraId="5A6BE78B" w14:textId="77777777" w:rsidR="00090132" w:rsidRPr="00002B33" w:rsidRDefault="00090132" w:rsidP="00090132">
      <w:pPr>
        <w:rPr>
          <w:b/>
          <w:bCs/>
        </w:rPr>
      </w:pPr>
      <w:r w:rsidRPr="00002B33">
        <w:rPr>
          <w:b/>
          <w:bCs/>
        </w:rPr>
        <w:t>Describe the analysis of the response rate including any nonresponse bias that was identified, and the steps taken to reduce any identified bias and promote response from a broad cross section of youth who are no longer in secondary school and had IEPs in effect at the time they left school.</w:t>
      </w:r>
    </w:p>
    <w:p w14:paraId="789E9F07" w14:textId="77777777" w:rsidR="00090132" w:rsidRPr="00B551F2" w:rsidRDefault="00090132" w:rsidP="00090132">
      <w:r w:rsidRPr="00B551F2">
        <w:t xml:space="preserve">For school year 2022-23, 5,007 former students were eligible for the PSO interview. Of these, 2,855 students completed an PSO interview, resulting in a response rate of 57.02% in FFY23 and reflecting a 4.29 percentage point increase over the FFY22 response rate of 52.73%. </w:t>
      </w:r>
      <w:r w:rsidRPr="00B551F2">
        <w:br/>
      </w:r>
      <w:r w:rsidRPr="00B551F2">
        <w:br/>
        <w:t xml:space="preserve">To examine potential nonresponse bias, the IDEA Data Center’s Nonresponse Bias App (NRBA) was used to compare engagement outcomes of former students in the underrepresented demographic category of Exit Reason/Method. Comparing the proportion of respondents to all eligible leavers, using the +/-3% metric, the dropout category was underrepresented (-4.90%) at a statistically significant level (p &gt;.05). Based on the underrepresentation of students who dropped out in the response data and their relative difference in post-school outcomes, there is potential for nonresponse bias in the data with respect to Exit Reason/Method. The magnitude of that nonresponse bias was assessed through a comparison of engagement outcomes by Exit Reason/Method. A Chi-square test of independence (p = &lt;.001) showed outcomes differ by Exit Reason sub-groups. Specifically, respondents who dropped out were least likely to enroll in Higher Education (.90%) when compared to respondents who exited school by some other means (e.g., reaching maximum age or obtaining a diploma,?range 2.90% to 31.0%, respectively). To assess the likely effectiveness of statistical adjustments in reducing bias, outcomes were compared before and after applying a statistical adjustment (Krenzke, Van de Kerckhove, &amp; Mohadjer 2005). Comparing unweighted and weighted percentages, the difference was 1.50% for Higher Education, and -1.10% for Not Engaged.  </w:t>
      </w:r>
      <w:r w:rsidRPr="00B551F2">
        <w:br/>
      </w:r>
      <w:r w:rsidRPr="00B551F2">
        <w:br/>
        <w:t xml:space="preserve">Statistically, it is possible that nonresponse bias exists with respect to Exit Reason/Method, however at less than 2.0% difference between the unweighted and weighted adjustments, the difference may not be practically significant, meaning that the difference may not be large enough to be meaningful. The 1.50 percentage difference between unadjusted and adjusted percentages equates to approximately four students with respect to the Higher Education outcome and the -1.10% difference equates to approximately three students with respect to the Not Engaged outcome. </w:t>
      </w:r>
    </w:p>
    <w:p w14:paraId="72EBB8E4" w14:textId="77777777" w:rsidR="00090132" w:rsidRPr="00560FEE" w:rsidRDefault="00090132" w:rsidP="00090132">
      <w:pPr>
        <w:pStyle w:val="Subhed"/>
        <w:rPr>
          <w:b w:val="0"/>
        </w:rPr>
      </w:pPr>
    </w:p>
    <w:p w14:paraId="237D4C5C" w14:textId="77777777" w:rsidR="00090132" w:rsidRPr="00781112" w:rsidRDefault="00090132" w:rsidP="00C66181">
      <w:pPr>
        <w:rPr>
          <w:rFonts w:cs="Arial"/>
          <w:color w:val="000000" w:themeColor="text1"/>
          <w:szCs w:val="16"/>
        </w:rPr>
      </w:pPr>
    </w:p>
    <w:tbl>
      <w:tblPr>
        <w:tblStyle w:val="TableGrid"/>
        <w:tblW w:w="0" w:type="auto"/>
        <w:tblLook w:val="04A0" w:firstRow="1" w:lastRow="0" w:firstColumn="1" w:lastColumn="0" w:noHBand="0" w:noVBand="1"/>
        <w:tblCaption w:val="B14SAMPLEUSED"/>
      </w:tblPr>
      <w:tblGrid>
        <w:gridCol w:w="8306"/>
        <w:gridCol w:w="2484"/>
      </w:tblGrid>
      <w:tr w:rsidR="005C29F8" w:rsidRPr="00781112" w14:paraId="10AC36E3" w14:textId="77777777" w:rsidTr="0033429D">
        <w:trPr>
          <w:tblHeader/>
        </w:trPr>
        <w:tc>
          <w:tcPr>
            <w:tcW w:w="8310" w:type="dxa"/>
            <w:tcBorders>
              <w:top w:val="single" w:sz="4" w:space="0" w:color="auto"/>
              <w:left w:val="single" w:sz="4" w:space="0" w:color="auto"/>
            </w:tcBorders>
            <w:shd w:val="clear" w:color="auto" w:fill="auto"/>
          </w:tcPr>
          <w:p w14:paraId="01371920" w14:textId="2568990B" w:rsidR="00763780" w:rsidRPr="00781112" w:rsidRDefault="00CC2002" w:rsidP="00BA3DBE">
            <w:pPr>
              <w:jc w:val="center"/>
              <w:rPr>
                <w:rFonts w:cs="Arial"/>
                <w:b/>
                <w:bCs/>
                <w:color w:val="000000" w:themeColor="text1"/>
                <w:szCs w:val="16"/>
              </w:rPr>
            </w:pPr>
            <w:r w:rsidRPr="00781112">
              <w:rPr>
                <w:rFonts w:cs="Arial"/>
                <w:b/>
                <w:bCs/>
                <w:color w:val="000000" w:themeColor="text1"/>
                <w:szCs w:val="16"/>
              </w:rPr>
              <w:t>Sampling Question</w:t>
            </w:r>
          </w:p>
        </w:tc>
        <w:tc>
          <w:tcPr>
            <w:tcW w:w="2485" w:type="dxa"/>
            <w:tcBorders>
              <w:top w:val="single" w:sz="4" w:space="0" w:color="auto"/>
            </w:tcBorders>
            <w:shd w:val="clear" w:color="auto" w:fill="auto"/>
          </w:tcPr>
          <w:p w14:paraId="39CB8232" w14:textId="5BE196A9" w:rsidR="00763780" w:rsidRPr="00781112" w:rsidRDefault="00763780"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408903DE" w14:textId="1FE95128" w:rsidTr="0033429D">
        <w:tc>
          <w:tcPr>
            <w:tcW w:w="8310" w:type="dxa"/>
            <w:shd w:val="clear" w:color="auto" w:fill="auto"/>
          </w:tcPr>
          <w:p w14:paraId="0472BB53" w14:textId="55673E5F" w:rsidR="00763780" w:rsidRPr="00781112" w:rsidRDefault="00763780" w:rsidP="008E31C4">
            <w:pPr>
              <w:rPr>
                <w:rFonts w:cs="Arial"/>
                <w:color w:val="000000" w:themeColor="text1"/>
                <w:szCs w:val="16"/>
              </w:rPr>
            </w:pPr>
            <w:r w:rsidRPr="00781112">
              <w:rPr>
                <w:rFonts w:cs="Arial"/>
                <w:color w:val="000000" w:themeColor="text1"/>
                <w:szCs w:val="16"/>
              </w:rPr>
              <w:t xml:space="preserve">Was sampling used? </w:t>
            </w:r>
          </w:p>
        </w:tc>
        <w:tc>
          <w:tcPr>
            <w:tcW w:w="2485" w:type="dxa"/>
            <w:shd w:val="clear" w:color="auto" w:fill="auto"/>
          </w:tcPr>
          <w:p w14:paraId="0BA01DE6" w14:textId="013EE38E" w:rsidR="00763780" w:rsidRPr="00781112" w:rsidRDefault="002B7490" w:rsidP="00A018D4">
            <w:pPr>
              <w:jc w:val="center"/>
              <w:rPr>
                <w:rFonts w:cs="Arial"/>
                <w:color w:val="000000" w:themeColor="text1"/>
                <w:szCs w:val="16"/>
              </w:rPr>
            </w:pPr>
            <w:r w:rsidRPr="00781112">
              <w:rPr>
                <w:rFonts w:cs="Arial"/>
                <w:color w:val="000000" w:themeColor="text1"/>
                <w:szCs w:val="16"/>
              </w:rPr>
              <w:t>NO</w:t>
            </w:r>
          </w:p>
        </w:tc>
      </w:tr>
      <w:tr w:rsidR="005C29F8" w:rsidRPr="00781112" w14:paraId="0E2BC2A3" w14:textId="77777777" w:rsidTr="0033429D">
        <w:trPr>
          <w:tblHeader/>
        </w:trPr>
        <w:tc>
          <w:tcPr>
            <w:tcW w:w="3849" w:type="pct"/>
            <w:tcBorders>
              <w:top w:val="single" w:sz="4" w:space="0" w:color="auto"/>
              <w:left w:val="single" w:sz="4" w:space="0" w:color="auto"/>
            </w:tcBorders>
            <w:shd w:val="clear" w:color="auto" w:fill="auto"/>
          </w:tcPr>
          <w:p w14:paraId="2EA51A3E" w14:textId="6A33A9D8" w:rsidR="00BC4655" w:rsidRPr="00781112" w:rsidRDefault="00CC2002" w:rsidP="00BA3DBE">
            <w:pPr>
              <w:jc w:val="center"/>
              <w:rPr>
                <w:rFonts w:cs="Arial"/>
                <w:b/>
                <w:bCs/>
                <w:color w:val="000000" w:themeColor="text1"/>
                <w:szCs w:val="16"/>
              </w:rPr>
            </w:pPr>
            <w:r w:rsidRPr="00781112">
              <w:rPr>
                <w:rFonts w:cs="Arial"/>
                <w:b/>
                <w:bCs/>
                <w:color w:val="000000" w:themeColor="text1"/>
                <w:szCs w:val="16"/>
              </w:rPr>
              <w:t>Survey Question</w:t>
            </w:r>
          </w:p>
        </w:tc>
        <w:tc>
          <w:tcPr>
            <w:tcW w:w="1151" w:type="pct"/>
            <w:tcBorders>
              <w:top w:val="single" w:sz="4" w:space="0" w:color="auto"/>
            </w:tcBorders>
            <w:shd w:val="clear" w:color="auto" w:fill="auto"/>
          </w:tcPr>
          <w:p w14:paraId="0EEC81FC" w14:textId="73C14A3F" w:rsidR="00BC4655" w:rsidRPr="00781112" w:rsidRDefault="00BC4655" w:rsidP="001011BB">
            <w:pPr>
              <w:jc w:val="center"/>
              <w:rPr>
                <w:rFonts w:cs="Arial"/>
                <w:b/>
                <w:color w:val="000000" w:themeColor="text1"/>
                <w:szCs w:val="16"/>
              </w:rPr>
            </w:pPr>
            <w:r w:rsidRPr="00781112">
              <w:rPr>
                <w:rFonts w:cs="Arial"/>
                <w:b/>
                <w:color w:val="000000" w:themeColor="text1"/>
                <w:szCs w:val="16"/>
              </w:rPr>
              <w:t>Yes / No</w:t>
            </w:r>
          </w:p>
        </w:tc>
      </w:tr>
      <w:tr w:rsidR="005C29F8" w:rsidRPr="00781112" w14:paraId="6901B015" w14:textId="2CE4C417" w:rsidTr="0033429D">
        <w:tc>
          <w:tcPr>
            <w:tcW w:w="3849" w:type="pct"/>
            <w:shd w:val="clear" w:color="auto" w:fill="auto"/>
          </w:tcPr>
          <w:p w14:paraId="0856121E" w14:textId="5B1AD843" w:rsidR="00BC4655" w:rsidRPr="00781112" w:rsidRDefault="00BC4655" w:rsidP="008E31C4">
            <w:pPr>
              <w:rPr>
                <w:rFonts w:cs="Arial"/>
                <w:color w:val="000000" w:themeColor="text1"/>
                <w:szCs w:val="16"/>
              </w:rPr>
            </w:pPr>
            <w:r w:rsidRPr="00781112">
              <w:rPr>
                <w:rFonts w:cs="Arial"/>
                <w:color w:val="000000" w:themeColor="text1"/>
                <w:szCs w:val="16"/>
              </w:rPr>
              <w:t xml:space="preserve">Was a survey used? </w:t>
            </w:r>
          </w:p>
        </w:tc>
        <w:tc>
          <w:tcPr>
            <w:tcW w:w="1151" w:type="pct"/>
            <w:shd w:val="clear" w:color="auto" w:fill="auto"/>
          </w:tcPr>
          <w:p w14:paraId="47AE85B8" w14:textId="2FE77A74" w:rsidR="00BC4655" w:rsidRPr="00781112" w:rsidRDefault="002B7490" w:rsidP="00A018D4">
            <w:pPr>
              <w:jc w:val="center"/>
              <w:rPr>
                <w:rFonts w:cs="Arial"/>
                <w:color w:val="000000" w:themeColor="text1"/>
                <w:szCs w:val="16"/>
              </w:rPr>
            </w:pPr>
            <w:r w:rsidRPr="00781112">
              <w:rPr>
                <w:rFonts w:cs="Arial"/>
                <w:color w:val="000000" w:themeColor="text1"/>
                <w:szCs w:val="16"/>
              </w:rPr>
              <w:t>YES</w:t>
            </w:r>
          </w:p>
        </w:tc>
      </w:tr>
      <w:tr w:rsidR="005C29F8" w:rsidRPr="00781112" w14:paraId="649D8839" w14:textId="3AAB3A92" w:rsidTr="0033429D">
        <w:tc>
          <w:tcPr>
            <w:tcW w:w="3849" w:type="pct"/>
            <w:shd w:val="clear" w:color="auto" w:fill="auto"/>
          </w:tcPr>
          <w:p w14:paraId="56C87E2E" w14:textId="1890EBD8" w:rsidR="00BC4655" w:rsidRPr="00781112" w:rsidRDefault="003805D3" w:rsidP="008E31C4">
            <w:pPr>
              <w:rPr>
                <w:rFonts w:cs="Arial"/>
                <w:color w:val="000000" w:themeColor="text1"/>
                <w:szCs w:val="16"/>
              </w:rPr>
            </w:pPr>
            <w:r w:rsidRPr="00781112">
              <w:rPr>
                <w:rFonts w:cs="Arial"/>
                <w:color w:val="000000" w:themeColor="text1"/>
                <w:szCs w:val="16"/>
              </w:rPr>
              <w:lastRenderedPageBreak/>
              <w:t>If yes, is it a new or revised survey?</w:t>
            </w:r>
          </w:p>
        </w:tc>
        <w:tc>
          <w:tcPr>
            <w:tcW w:w="1151" w:type="pct"/>
            <w:shd w:val="clear" w:color="auto" w:fill="auto"/>
          </w:tcPr>
          <w:p w14:paraId="53803AF8" w14:textId="54EB33AD" w:rsidR="00BC4655" w:rsidRPr="00781112" w:rsidRDefault="002B7490" w:rsidP="00A018D4">
            <w:pPr>
              <w:jc w:val="center"/>
              <w:rPr>
                <w:rFonts w:cs="Arial"/>
                <w:color w:val="000000" w:themeColor="text1"/>
                <w:szCs w:val="16"/>
              </w:rPr>
            </w:pPr>
            <w:r w:rsidRPr="00781112">
              <w:rPr>
                <w:rFonts w:cs="Arial"/>
                <w:color w:val="000000" w:themeColor="text1"/>
                <w:szCs w:val="16"/>
              </w:rPr>
              <w:t>NO</w:t>
            </w:r>
          </w:p>
        </w:tc>
      </w:tr>
    </w:tbl>
    <w:p w14:paraId="62361D73" w14:textId="77777777" w:rsidR="00644AC8" w:rsidRPr="00781112" w:rsidRDefault="00644AC8" w:rsidP="00644AC8">
      <w:pPr>
        <w:rPr>
          <w:rFonts w:cs="Arial"/>
          <w:b/>
          <w:color w:val="000000" w:themeColor="text1"/>
          <w:szCs w:val="16"/>
        </w:rPr>
      </w:pPr>
      <w:bookmarkStart w:id="87" w:name="_Toc382082390"/>
      <w:bookmarkStart w:id="88" w:name="_Toc392159339"/>
      <w:r w:rsidRPr="00781112">
        <w:rPr>
          <w:rFonts w:cs="Arial"/>
          <w:b/>
          <w:color w:val="000000" w:themeColor="text1"/>
          <w:szCs w:val="16"/>
        </w:rPr>
        <w:t>Provide additional information about this indicator (optional)</w:t>
      </w:r>
    </w:p>
    <w:p w14:paraId="30BD41D2" w14:textId="40D58B63" w:rsidR="00293C7E" w:rsidRPr="00781112" w:rsidRDefault="002B7490" w:rsidP="007D435F">
      <w:pPr>
        <w:rPr>
          <w:rFonts w:cs="Arial"/>
          <w:color w:val="000000" w:themeColor="text1"/>
          <w:szCs w:val="16"/>
        </w:rPr>
      </w:pPr>
      <w:r w:rsidRPr="00781112">
        <w:rPr>
          <w:rFonts w:cs="Arial"/>
          <w:color w:val="000000" w:themeColor="text1"/>
          <w:szCs w:val="16"/>
        </w:rPr>
        <w:t xml:space="preserve">Post-school outcomes (PSO) data were collected between June 3 and September 30, 2024. Local Education Agency personnel were asked to conduct in-person or phone interviews with former students, or their designee, based on a census of all former students who had an IEP in effect when they exited school.  The census included those who had been out of school for at least 1 year and had exited school (a) with an Oregon Diploma, Modified Diploma, Extended Diploma, or certificate; (b) upon reaching the maximum age; or (c) by dropping out of school. It also included those who were expected to return to school but did not. Data collectors were asked to enter data into a secure, online data collection system, the PSO App 2.0. These data were then downloaded for analysis after the data collection window closed. The PSO App is a closed system, not publicly available, and used exclusively for PSO data collection with access limited to authorized users only. </w:t>
      </w:r>
    </w:p>
    <w:p w14:paraId="7B9DDAF2" w14:textId="6AA9F8CA" w:rsidR="000A2C83" w:rsidRPr="00781112" w:rsidRDefault="00172058" w:rsidP="005B40C0">
      <w:pPr>
        <w:pStyle w:val="Heading3"/>
      </w:pPr>
      <w:r w:rsidRPr="00781112">
        <w:t>14</w:t>
      </w:r>
      <w:r w:rsidR="001D508D" w:rsidRPr="00781112">
        <w:t xml:space="preserve"> </w:t>
      </w:r>
      <w:r w:rsidRPr="00781112">
        <w:t xml:space="preserve">- </w:t>
      </w:r>
      <w:r w:rsidR="000A2C83" w:rsidRPr="00781112">
        <w:t>Prior FFY Required Actions</w:t>
      </w:r>
    </w:p>
    <w:p w14:paraId="3812AD37" w14:textId="58CBF83D" w:rsidR="009F69E7" w:rsidRPr="00781112" w:rsidRDefault="002B7490" w:rsidP="000A2C83">
      <w:pPr>
        <w:rPr>
          <w:rFonts w:cs="Arial"/>
          <w:color w:val="000000" w:themeColor="text1"/>
          <w:szCs w:val="16"/>
        </w:rPr>
      </w:pPr>
      <w:r w:rsidRPr="00781112">
        <w:rPr>
          <w:rFonts w:cs="Arial"/>
          <w:color w:val="000000" w:themeColor="text1"/>
          <w:szCs w:val="16"/>
        </w:rPr>
        <w:t xml:space="preserve">In the FFY 2023 SPP/APR, the State must report whether the FFY 2023 data are representative of the demographics of youth who are no longer in secondary school and had IEPs in effect at the time they left school, and, if not, the actions the State is taking to address this issue. The State must also include its analysis of the extent to which the response data are representative of the demographics of youth who are no longer in secondary school and had IEPs in effect at the time they left school. </w:t>
      </w:r>
    </w:p>
    <w:p w14:paraId="09927E6D" w14:textId="7A2E4BB2" w:rsidR="000A2C83" w:rsidRPr="00781112" w:rsidRDefault="007639D7" w:rsidP="004369B2">
      <w:pPr>
        <w:rPr>
          <w:b/>
          <w:color w:val="000000" w:themeColor="text1"/>
        </w:rPr>
      </w:pPr>
      <w:r>
        <w:rPr>
          <w:b/>
          <w:color w:val="000000" w:themeColor="text1"/>
        </w:rPr>
        <w:t>Response to actions required in FFY 2022 SPP/APR</w:t>
      </w:r>
    </w:p>
    <w:p w14:paraId="31BF0B33" w14:textId="77777777" w:rsidR="009F69E7" w:rsidRPr="00781112" w:rsidRDefault="002B7490" w:rsidP="000A2C83">
      <w:pPr>
        <w:rPr>
          <w:rFonts w:cs="Arial"/>
          <w:color w:val="000000" w:themeColor="text1"/>
          <w:szCs w:val="16"/>
        </w:rPr>
      </w:pPr>
      <w:r w:rsidRPr="00781112">
        <w:rPr>
          <w:rFonts w:cs="Arial"/>
          <w:color w:val="000000" w:themeColor="text1"/>
          <w:szCs w:val="16"/>
        </w:rPr>
        <w:t xml:space="preserve">As described above, FFY23 response rates were analyzed to determine the extent to which the response data were representative of the demographics of youth who were no longer in secondary school and had IEPs in effect at the time they left school (i.e., representativeness) using the OSEP approved Response Calculator created by the National Post-School Outcomes Center/National Technical Assistance Center: the Collaborative. Using a +/-3% metric, response data were representative in five categories: race/ethnicity, primary disability, gender, and language.  </w:t>
      </w:r>
      <w:r w:rsidRPr="00781112">
        <w:rPr>
          <w:rFonts w:cs="Arial"/>
          <w:color w:val="000000" w:themeColor="text1"/>
          <w:szCs w:val="16"/>
        </w:rPr>
        <w:br/>
      </w:r>
      <w:r w:rsidRPr="00781112">
        <w:rPr>
          <w:rFonts w:cs="Arial"/>
          <w:color w:val="000000" w:themeColor="text1"/>
          <w:szCs w:val="16"/>
        </w:rPr>
        <w:br/>
        <w:t xml:space="preserve">Leavers who exited school by dropping out were under-represented in respondents (9.14%) compared to total target leavers (14.04%); resulting in a difference of -4.90%. The underrepresentation of students who dropped out was statistically significant (p &gt;.05). An analysis for nonresponse bias was conducted. Given the underrepresentation of dropouts responding to the interview, there is potential for nonresponse bias in the data with respect to Exit Reason/Method. The magnitude of that nonresponse bias was assessed through a comparison of engagement outcomes by Exit Reason/Method. A Chi-square test of independence (p = &lt;.001) showed outcomes differ by Exit Reason sub-groups. </w:t>
      </w:r>
      <w:r w:rsidRPr="00781112">
        <w:rPr>
          <w:rFonts w:cs="Arial"/>
          <w:color w:val="000000" w:themeColor="text1"/>
          <w:szCs w:val="16"/>
        </w:rPr>
        <w:br/>
      </w:r>
      <w:r w:rsidRPr="00781112">
        <w:rPr>
          <w:rFonts w:cs="Arial"/>
          <w:color w:val="000000" w:themeColor="text1"/>
          <w:szCs w:val="16"/>
        </w:rPr>
        <w:br/>
        <w:t xml:space="preserve">Specifically, respondents who dropped out were least likely to enroll in Higher Education (.90%) when compared to respondents who exited school by some other means (e.g., reaching maximum age or obtaining a diploma,?range 2.90% to 31.0%, respectively). After applying statistical adjustments, the difference before and after weighting was 1.50% for Higher Education, and -1.10% for Not Engaged; these differences equate to approximately seven students in total and may not be practically significant.? </w:t>
      </w:r>
      <w:r w:rsidRPr="00781112">
        <w:rPr>
          <w:rFonts w:cs="Arial"/>
          <w:color w:val="000000" w:themeColor="text1"/>
          <w:szCs w:val="16"/>
        </w:rPr>
        <w:br/>
      </w:r>
      <w:r w:rsidRPr="00781112">
        <w:rPr>
          <w:rFonts w:cs="Arial"/>
          <w:color w:val="000000" w:themeColor="text1"/>
          <w:szCs w:val="16"/>
        </w:rPr>
        <w:br/>
        <w:t xml:space="preserve">To increase response rates among youth who dropped out, the State will a) encourage LEAs to review post-school outcome data, including response rates and representation, and identify strategies for increasing student participation in PSO interviews; and b) provide LEAs with training specific to contacting hard to find youth.   </w:t>
      </w:r>
    </w:p>
    <w:p w14:paraId="5408D9B6" w14:textId="3CB80FFF" w:rsidR="000A2C83" w:rsidRPr="00781112" w:rsidRDefault="000A2C83" w:rsidP="000A2C83">
      <w:pPr>
        <w:rPr>
          <w:rFonts w:cs="Arial"/>
          <w:color w:val="000000" w:themeColor="text1"/>
          <w:szCs w:val="16"/>
        </w:rPr>
      </w:pPr>
      <w:r w:rsidRPr="00781112">
        <w:rPr>
          <w:rFonts w:cs="Arial"/>
          <w:color w:val="000000" w:themeColor="text1"/>
          <w:szCs w:val="16"/>
        </w:rPr>
        <w:t xml:space="preserve"> </w:t>
      </w:r>
    </w:p>
    <w:p w14:paraId="59CF3C2B" w14:textId="15BA3B7F" w:rsidR="00644AC8" w:rsidRPr="00781112" w:rsidRDefault="00172058" w:rsidP="005B40C0">
      <w:pPr>
        <w:pStyle w:val="Heading3"/>
      </w:pPr>
      <w:r w:rsidRPr="00781112">
        <w:t>14 - OSEP Response</w:t>
      </w:r>
    </w:p>
    <w:p w14:paraId="29D70E23" w14:textId="165DA616" w:rsidR="00293C7E" w:rsidRPr="00781112" w:rsidRDefault="00293C7E" w:rsidP="001F692C">
      <w:pPr>
        <w:rPr>
          <w:rFonts w:cs="Arial"/>
          <w:color w:val="000000" w:themeColor="text1"/>
          <w:szCs w:val="16"/>
        </w:rPr>
      </w:pPr>
    </w:p>
    <w:p w14:paraId="18F151E0" w14:textId="24893002" w:rsidR="00644AC8" w:rsidRPr="00781112" w:rsidRDefault="00172058" w:rsidP="005B40C0">
      <w:pPr>
        <w:pStyle w:val="Heading3"/>
      </w:pPr>
      <w:r w:rsidRPr="00781112">
        <w:t>14 - Required Actions</w:t>
      </w:r>
    </w:p>
    <w:p w14:paraId="623F356B" w14:textId="668EB2DD" w:rsidR="00293C7E" w:rsidRPr="00781112" w:rsidRDefault="00293C7E" w:rsidP="001F692C">
      <w:pPr>
        <w:rPr>
          <w:rFonts w:cs="Arial"/>
          <w:color w:val="000000" w:themeColor="text1"/>
          <w:szCs w:val="16"/>
        </w:rPr>
      </w:pPr>
    </w:p>
    <w:p w14:paraId="1ADD288B" w14:textId="77777777" w:rsidR="00102FA3" w:rsidRPr="00781112" w:rsidRDefault="00102FA3">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7E15DEAF" w14:textId="72984127" w:rsidR="00B3462E" w:rsidRPr="00781112" w:rsidRDefault="00B3462E" w:rsidP="005B40C0">
      <w:pPr>
        <w:pStyle w:val="Heading2"/>
      </w:pPr>
      <w:r w:rsidRPr="00781112">
        <w:rPr>
          <w:color w:val="000000" w:themeColor="text1"/>
          <w:sz w:val="22"/>
        </w:rPr>
        <w:lastRenderedPageBreak/>
        <w:t>Indicator 15: Resolution Sessions</w:t>
      </w:r>
      <w:bookmarkEnd w:id="87"/>
      <w:bookmarkEnd w:id="88"/>
    </w:p>
    <w:p w14:paraId="7EA31497" w14:textId="6754F874" w:rsidR="005B0B58" w:rsidRPr="002C274F" w:rsidRDefault="005B0B58" w:rsidP="002C274F">
      <w:pPr>
        <w:rPr>
          <w:b/>
          <w:bCs/>
          <w:sz w:val="20"/>
          <w:szCs w:val="20"/>
        </w:rPr>
      </w:pPr>
      <w:bookmarkStart w:id="89" w:name="_Toc381786822"/>
      <w:bookmarkStart w:id="90" w:name="_Toc382731911"/>
      <w:bookmarkStart w:id="91" w:name="_Toc382731912"/>
      <w:bookmarkStart w:id="92" w:name="_Toc392159340"/>
      <w:bookmarkEnd w:id="89"/>
      <w:bookmarkEnd w:id="90"/>
      <w:r w:rsidRPr="002C274F">
        <w:rPr>
          <w:b/>
          <w:bCs/>
          <w:sz w:val="20"/>
          <w:szCs w:val="20"/>
        </w:rPr>
        <w:t>Instructions and Measurement</w:t>
      </w:r>
    </w:p>
    <w:p w14:paraId="280CD956" w14:textId="60A4C66A" w:rsidR="009B6586" w:rsidRPr="00781112" w:rsidRDefault="009B6586" w:rsidP="00206890">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676E98EE" w14:textId="77777777" w:rsidR="00692B95" w:rsidRPr="00781112" w:rsidRDefault="009B6586" w:rsidP="00206890">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hearing requests that went to resolution sessions that were resolved through resolution session settlement agreements.</w:t>
      </w:r>
    </w:p>
    <w:p w14:paraId="0FFA722A" w14:textId="6CF0A81F" w:rsidR="009B6586" w:rsidRPr="00781112" w:rsidRDefault="009B6586" w:rsidP="00206890">
      <w:pPr>
        <w:rPr>
          <w:rFonts w:cs="Arial"/>
          <w:color w:val="000000" w:themeColor="text1"/>
          <w:szCs w:val="16"/>
        </w:rPr>
      </w:pPr>
      <w:r w:rsidRPr="00781112">
        <w:rPr>
          <w:rFonts w:cs="Arial"/>
          <w:color w:val="000000" w:themeColor="text1"/>
          <w:szCs w:val="16"/>
        </w:rPr>
        <w:t xml:space="preserve"> (20 U.S.C. 1416(a)(3)(B))</w:t>
      </w:r>
    </w:p>
    <w:p w14:paraId="40DC2407" w14:textId="77777777" w:rsidR="00B14746" w:rsidRPr="00781112" w:rsidRDefault="00B14746" w:rsidP="004369B2">
      <w:pPr>
        <w:rPr>
          <w:color w:val="000000" w:themeColor="text1"/>
        </w:rPr>
      </w:pPr>
      <w:r w:rsidRPr="00781112">
        <w:rPr>
          <w:b/>
          <w:color w:val="000000" w:themeColor="text1"/>
        </w:rPr>
        <w:t>Data Source</w:t>
      </w:r>
    </w:p>
    <w:p w14:paraId="585EF86F" w14:textId="2E239104" w:rsidR="00B14746" w:rsidRPr="00781112" w:rsidRDefault="00B14746" w:rsidP="00206890">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4E6D96A3" w14:textId="77777777" w:rsidR="00B14746" w:rsidRPr="00781112" w:rsidRDefault="00B14746" w:rsidP="004369B2">
      <w:pPr>
        <w:rPr>
          <w:color w:val="000000" w:themeColor="text1"/>
        </w:rPr>
      </w:pPr>
      <w:r w:rsidRPr="00781112">
        <w:rPr>
          <w:b/>
          <w:color w:val="000000" w:themeColor="text1"/>
        </w:rPr>
        <w:t>Measurement</w:t>
      </w:r>
    </w:p>
    <w:p w14:paraId="64AA8A3E" w14:textId="743F9348" w:rsidR="00B14746" w:rsidRPr="00781112" w:rsidRDefault="00B14746" w:rsidP="00206890">
      <w:pPr>
        <w:rPr>
          <w:rFonts w:cs="Arial"/>
          <w:color w:val="000000" w:themeColor="text1"/>
          <w:szCs w:val="16"/>
        </w:rPr>
      </w:pPr>
      <w:r w:rsidRPr="00781112">
        <w:rPr>
          <w:rFonts w:cs="Arial"/>
          <w:color w:val="000000" w:themeColor="text1"/>
          <w:szCs w:val="16"/>
        </w:rPr>
        <w:t>Percent = (3.1(a) divided by 3.1) times 100.</w:t>
      </w:r>
    </w:p>
    <w:p w14:paraId="7D86471C" w14:textId="77777777" w:rsidR="00B14746" w:rsidRPr="00781112" w:rsidRDefault="00B14746" w:rsidP="004369B2">
      <w:pPr>
        <w:rPr>
          <w:color w:val="000000" w:themeColor="text1"/>
        </w:rPr>
      </w:pPr>
      <w:r w:rsidRPr="00781112">
        <w:rPr>
          <w:b/>
          <w:color w:val="000000" w:themeColor="text1"/>
        </w:rPr>
        <w:t>Instructions</w:t>
      </w:r>
    </w:p>
    <w:p w14:paraId="7F1341EF" w14:textId="77777777" w:rsidR="00B14746" w:rsidRPr="00781112" w:rsidRDefault="00B14746" w:rsidP="00286BDF">
      <w:pPr>
        <w:rPr>
          <w:rFonts w:cs="Arial"/>
          <w:i/>
          <w:iCs/>
          <w:color w:val="000000" w:themeColor="text1"/>
          <w:szCs w:val="16"/>
        </w:rPr>
      </w:pPr>
      <w:r w:rsidRPr="00781112">
        <w:rPr>
          <w:rFonts w:cs="Arial"/>
          <w:i/>
          <w:iCs/>
          <w:color w:val="000000" w:themeColor="text1"/>
          <w:szCs w:val="16"/>
        </w:rPr>
        <w:t>Sampling is not allowed.</w:t>
      </w:r>
    </w:p>
    <w:p w14:paraId="20D56B7B" w14:textId="77777777" w:rsidR="00B14746" w:rsidRPr="00781112" w:rsidRDefault="00B14746"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368918B0" w14:textId="3A1BE909" w:rsidR="00B14746" w:rsidRPr="00781112" w:rsidRDefault="00B14746" w:rsidP="00286BDF">
      <w:pPr>
        <w:rPr>
          <w:rFonts w:cs="Arial"/>
          <w:color w:val="000000" w:themeColor="text1"/>
          <w:szCs w:val="16"/>
        </w:rPr>
      </w:pPr>
      <w:r w:rsidRPr="00781112">
        <w:rPr>
          <w:rFonts w:cs="Arial"/>
          <w:color w:val="000000" w:themeColor="text1"/>
          <w:szCs w:val="16"/>
        </w:rPr>
        <w:t>States are not required to establish baselines or targets if the number of resolution sessions is less than 10. In a reporting period when the number of resolution sessions reaches 10 or greater, develop baseline and targets and report on them in the corresponding SPP/APR.</w:t>
      </w:r>
    </w:p>
    <w:p w14:paraId="4484EAF5" w14:textId="77777777" w:rsidR="00B14746" w:rsidRPr="00781112" w:rsidRDefault="00B14746" w:rsidP="00286BDF">
      <w:pPr>
        <w:rPr>
          <w:rFonts w:cs="Arial"/>
          <w:color w:val="000000" w:themeColor="text1"/>
          <w:szCs w:val="16"/>
        </w:rPr>
      </w:pPr>
      <w:r w:rsidRPr="00781112">
        <w:rPr>
          <w:rFonts w:cs="Arial"/>
          <w:color w:val="000000" w:themeColor="text1"/>
          <w:szCs w:val="16"/>
        </w:rPr>
        <w:t>States may express their targets in a range (e.g., 75-85%).</w:t>
      </w:r>
    </w:p>
    <w:p w14:paraId="3A369CBC" w14:textId="77777777" w:rsidR="00B14746" w:rsidRPr="00781112" w:rsidRDefault="00B14746"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5C27A911" w14:textId="0F93F55A" w:rsidR="00B14746" w:rsidRPr="00781112" w:rsidRDefault="00B14746" w:rsidP="00286BDF">
      <w:pPr>
        <w:rPr>
          <w:rFonts w:cs="Arial"/>
          <w:color w:val="000000" w:themeColor="text1"/>
          <w:szCs w:val="16"/>
        </w:rPr>
      </w:pPr>
      <w:r w:rsidRPr="00781112">
        <w:rPr>
          <w:rFonts w:cs="Arial"/>
          <w:color w:val="000000" w:themeColor="text1"/>
          <w:szCs w:val="16"/>
        </w:rPr>
        <w:t>States are not required to report data at the LEA level.</w:t>
      </w:r>
    </w:p>
    <w:p w14:paraId="64F7E7AF" w14:textId="3E039165" w:rsidR="00575F02" w:rsidRPr="00781112" w:rsidRDefault="00DF2D3A" w:rsidP="005B40C0">
      <w:pPr>
        <w:pStyle w:val="Heading3"/>
      </w:pPr>
      <w:r w:rsidRPr="00781112">
        <w:t>15</w:t>
      </w:r>
      <w:r w:rsidR="001D508D" w:rsidRPr="00781112">
        <w:t xml:space="preserve"> </w:t>
      </w:r>
      <w:r w:rsidRPr="00781112">
        <w:t xml:space="preserve">- </w:t>
      </w:r>
      <w:r w:rsidR="00575F02" w:rsidRPr="00781112">
        <w:t>Indicator Data</w:t>
      </w:r>
    </w:p>
    <w:p w14:paraId="787F4BF1" w14:textId="4407EA15" w:rsidR="004A33CD" w:rsidRPr="00781112" w:rsidRDefault="00E31E29" w:rsidP="004A33CD">
      <w:pPr>
        <w:rPr>
          <w:rFonts w:cs="Arial"/>
          <w:color w:val="000000" w:themeColor="text1"/>
          <w:szCs w:val="16"/>
        </w:rPr>
      </w:pPr>
      <w:r w:rsidRPr="00781112">
        <w:rPr>
          <w:rFonts w:cs="Arial"/>
          <w:color w:val="000000" w:themeColor="text1"/>
          <w:szCs w:val="16"/>
        </w:rPr>
        <w:t>Select yes to use target ranges</w:t>
      </w:r>
    </w:p>
    <w:p w14:paraId="28345E9C" w14:textId="1A461958" w:rsidR="004A33CD" w:rsidRPr="00781112" w:rsidRDefault="004A33CD" w:rsidP="004369B2">
      <w:pPr>
        <w:rPr>
          <w:color w:val="000000" w:themeColor="text1"/>
        </w:rPr>
      </w:pPr>
      <w:r w:rsidRPr="00781112">
        <w:rPr>
          <w:rFonts w:cs="Arial"/>
          <w:color w:val="000000" w:themeColor="text1"/>
          <w:szCs w:val="16"/>
        </w:rPr>
        <w:t>Target Range not used</w:t>
      </w:r>
    </w:p>
    <w:bookmarkEnd w:id="91"/>
    <w:bookmarkEnd w:id="92"/>
    <w:p w14:paraId="2C183615" w14:textId="77777777" w:rsidR="00CE0C68" w:rsidRPr="00781112" w:rsidRDefault="00CE0C68" w:rsidP="004369B2">
      <w:pPr>
        <w:rPr>
          <w:color w:val="000000" w:themeColor="text1"/>
        </w:rPr>
      </w:pPr>
    </w:p>
    <w:p w14:paraId="23EC0320" w14:textId="2C5AA27C" w:rsidR="00372DF8" w:rsidRPr="00781112" w:rsidRDefault="00372DF8"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5PREPOPDATA"/>
      </w:tblPr>
      <w:tblGrid>
        <w:gridCol w:w="2605"/>
        <w:gridCol w:w="2700"/>
        <w:gridCol w:w="3571"/>
        <w:gridCol w:w="1914"/>
      </w:tblGrid>
      <w:tr w:rsidR="005C29F8" w:rsidRPr="00781112" w14:paraId="6639EAF6" w14:textId="77777777" w:rsidTr="00AB0D6A">
        <w:trPr>
          <w:trHeight w:val="372"/>
          <w:tblHeader/>
        </w:trPr>
        <w:tc>
          <w:tcPr>
            <w:tcW w:w="1207" w:type="pct"/>
            <w:shd w:val="clear" w:color="auto" w:fill="auto"/>
          </w:tcPr>
          <w:p w14:paraId="3040A217"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Source</w:t>
            </w:r>
          </w:p>
        </w:tc>
        <w:tc>
          <w:tcPr>
            <w:tcW w:w="1251" w:type="pct"/>
            <w:shd w:val="clear" w:color="auto" w:fill="auto"/>
          </w:tcPr>
          <w:p w14:paraId="3A97206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Date</w:t>
            </w:r>
          </w:p>
        </w:tc>
        <w:tc>
          <w:tcPr>
            <w:tcW w:w="1655" w:type="pct"/>
            <w:shd w:val="clear" w:color="auto" w:fill="auto"/>
          </w:tcPr>
          <w:p w14:paraId="52C3C7CB"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Description</w:t>
            </w:r>
          </w:p>
        </w:tc>
        <w:tc>
          <w:tcPr>
            <w:tcW w:w="887" w:type="pct"/>
            <w:shd w:val="clear" w:color="auto" w:fill="auto"/>
          </w:tcPr>
          <w:p w14:paraId="3BD49A8D" w14:textId="77777777" w:rsidR="00372DF8" w:rsidRPr="00781112" w:rsidRDefault="00372DF8"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50C4DB70" w14:textId="77777777" w:rsidTr="00AB0D6A">
        <w:trPr>
          <w:trHeight w:val="380"/>
        </w:trPr>
        <w:tc>
          <w:tcPr>
            <w:tcW w:w="1207" w:type="pct"/>
            <w:shd w:val="clear" w:color="auto" w:fill="auto"/>
          </w:tcPr>
          <w:p w14:paraId="56F7D41B" w14:textId="55A36B40" w:rsidR="001126C3" w:rsidRPr="00781112" w:rsidRDefault="002B7490" w:rsidP="001126C3">
            <w:pPr>
              <w:jc w:val="center"/>
              <w:rPr>
                <w:rFonts w:cs="Arial"/>
                <w:color w:val="000000" w:themeColor="text1"/>
                <w:szCs w:val="16"/>
              </w:rPr>
            </w:pPr>
            <w:r w:rsidRPr="00781112">
              <w:rPr>
                <w:rFonts w:cs="Arial"/>
                <w:color w:val="000000" w:themeColor="text1"/>
                <w:szCs w:val="16"/>
              </w:rPr>
              <w:t>SY 2023-24 EMAPS IDEA Part B Dispute Resolution Survey; Section C: Due Process Complaints</w:t>
            </w:r>
          </w:p>
        </w:tc>
        <w:tc>
          <w:tcPr>
            <w:tcW w:w="1251" w:type="pct"/>
            <w:shd w:val="clear" w:color="auto" w:fill="auto"/>
          </w:tcPr>
          <w:p w14:paraId="7C90E97F" w14:textId="79564898"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55" w:type="pct"/>
            <w:shd w:val="clear" w:color="auto" w:fill="auto"/>
          </w:tcPr>
          <w:p w14:paraId="5E5A973C" w14:textId="77777777" w:rsidR="001126C3" w:rsidRPr="00781112" w:rsidRDefault="001126C3" w:rsidP="001126C3">
            <w:pPr>
              <w:rPr>
                <w:rFonts w:cs="Arial"/>
                <w:color w:val="000000" w:themeColor="text1"/>
                <w:szCs w:val="16"/>
              </w:rPr>
            </w:pPr>
            <w:r w:rsidRPr="00781112">
              <w:rPr>
                <w:rFonts w:cs="Arial"/>
                <w:color w:val="000000" w:themeColor="text1"/>
                <w:szCs w:val="16"/>
              </w:rPr>
              <w:t>3.1 Number of resolution sessions</w:t>
            </w:r>
          </w:p>
        </w:tc>
        <w:tc>
          <w:tcPr>
            <w:tcW w:w="887" w:type="pct"/>
            <w:shd w:val="clear" w:color="auto" w:fill="auto"/>
          </w:tcPr>
          <w:p w14:paraId="5468BA6D" w14:textId="1A6A859B" w:rsidR="001126C3" w:rsidRPr="00781112" w:rsidRDefault="002B7490" w:rsidP="00A018D4">
            <w:pPr>
              <w:jc w:val="center"/>
              <w:rPr>
                <w:rFonts w:cs="Arial"/>
                <w:color w:val="000000" w:themeColor="text1"/>
                <w:szCs w:val="16"/>
              </w:rPr>
            </w:pPr>
            <w:r w:rsidRPr="00781112">
              <w:rPr>
                <w:rFonts w:cs="Arial"/>
                <w:color w:val="000000" w:themeColor="text1"/>
                <w:szCs w:val="16"/>
              </w:rPr>
              <w:t>0</w:t>
            </w:r>
          </w:p>
        </w:tc>
      </w:tr>
      <w:tr w:rsidR="005C29F8" w:rsidRPr="00781112" w14:paraId="2E50DA19" w14:textId="77777777" w:rsidTr="00AB0D6A">
        <w:trPr>
          <w:trHeight w:val="380"/>
        </w:trPr>
        <w:tc>
          <w:tcPr>
            <w:tcW w:w="1207" w:type="pct"/>
            <w:shd w:val="clear" w:color="auto" w:fill="auto"/>
          </w:tcPr>
          <w:p w14:paraId="2B232A7C" w14:textId="7E2BE0F5"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C: Due Process Complaints</w:t>
            </w:r>
          </w:p>
        </w:tc>
        <w:tc>
          <w:tcPr>
            <w:tcW w:w="1251" w:type="pct"/>
            <w:shd w:val="clear" w:color="auto" w:fill="auto"/>
          </w:tcPr>
          <w:p w14:paraId="7F21A5DE" w14:textId="74620D03"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55" w:type="pct"/>
            <w:shd w:val="clear" w:color="auto" w:fill="auto"/>
          </w:tcPr>
          <w:p w14:paraId="48E53926" w14:textId="77777777" w:rsidR="001126C3" w:rsidRPr="00781112" w:rsidRDefault="001126C3" w:rsidP="001126C3">
            <w:pPr>
              <w:rPr>
                <w:rFonts w:cs="Arial"/>
                <w:color w:val="000000" w:themeColor="text1"/>
                <w:szCs w:val="16"/>
              </w:rPr>
            </w:pPr>
            <w:r w:rsidRPr="00781112">
              <w:rPr>
                <w:rFonts w:cs="Arial"/>
                <w:color w:val="000000" w:themeColor="text1"/>
                <w:szCs w:val="16"/>
              </w:rPr>
              <w:t>3.1(a) Number resolution sessions resolved through settlement agreements</w:t>
            </w:r>
          </w:p>
        </w:tc>
        <w:tc>
          <w:tcPr>
            <w:tcW w:w="887" w:type="pct"/>
            <w:shd w:val="clear" w:color="auto" w:fill="auto"/>
          </w:tcPr>
          <w:p w14:paraId="1CCE3841" w14:textId="455ECD7A" w:rsidR="001126C3" w:rsidRPr="00781112" w:rsidRDefault="002B7490" w:rsidP="00A018D4">
            <w:pPr>
              <w:jc w:val="center"/>
              <w:rPr>
                <w:rFonts w:cs="Arial"/>
                <w:color w:val="000000" w:themeColor="text1"/>
                <w:szCs w:val="16"/>
              </w:rPr>
            </w:pPr>
            <w:r w:rsidRPr="00781112">
              <w:rPr>
                <w:rFonts w:cs="Arial"/>
                <w:color w:val="000000" w:themeColor="text1"/>
                <w:szCs w:val="16"/>
              </w:rPr>
              <w:t>0</w:t>
            </w:r>
          </w:p>
        </w:tc>
      </w:tr>
    </w:tbl>
    <w:p w14:paraId="162CEFB3" w14:textId="55A4ED3A" w:rsidR="004A33CD" w:rsidRPr="00781112" w:rsidRDefault="00E31E29">
      <w:pPr>
        <w:rPr>
          <w:b/>
          <w:color w:val="000000" w:themeColor="text1"/>
        </w:rPr>
      </w:pPr>
      <w:bookmarkStart w:id="93" w:name="_Toc382731913"/>
      <w:bookmarkStart w:id="94" w:name="_Toc392159341"/>
      <w:r w:rsidRPr="00781112">
        <w:rPr>
          <w:b/>
          <w:color w:val="000000" w:themeColor="text1"/>
        </w:rPr>
        <w:t>Select yes if the data reported in this indicator are not the same as the State’s data reported under section 618 of the IDEA.</w:t>
      </w:r>
    </w:p>
    <w:p w14:paraId="619A5AA7" w14:textId="55E9BEAB" w:rsidR="004A33CD" w:rsidRPr="00781112" w:rsidRDefault="004A33CD">
      <w:pPr>
        <w:rPr>
          <w:color w:val="000000" w:themeColor="text1"/>
        </w:rPr>
      </w:pPr>
      <w:r w:rsidRPr="00781112">
        <w:rPr>
          <w:color w:val="000000" w:themeColor="text1"/>
        </w:rPr>
        <w:t>NO</w:t>
      </w:r>
    </w:p>
    <w:p w14:paraId="25CD6A7B" w14:textId="77777777" w:rsidR="000657A8" w:rsidRPr="00781112" w:rsidRDefault="000657A8" w:rsidP="004369B2">
      <w:pPr>
        <w:rPr>
          <w:color w:val="000000" w:themeColor="text1"/>
        </w:rPr>
      </w:pPr>
    </w:p>
    <w:p w14:paraId="2AFA559A" w14:textId="46CC9076" w:rsidR="000A2C83" w:rsidRPr="00781112" w:rsidRDefault="000A2C83" w:rsidP="004369B2">
      <w:pPr>
        <w:rPr>
          <w:b/>
          <w:color w:val="000000" w:themeColor="text1"/>
        </w:rPr>
      </w:pPr>
      <w:r w:rsidRPr="00781112">
        <w:rPr>
          <w:b/>
          <w:color w:val="000000" w:themeColor="text1"/>
        </w:rPr>
        <w:t xml:space="preserve">Targets: Description of Stakeholder Input </w:t>
      </w:r>
    </w:p>
    <w:p w14:paraId="60B2BAB4" w14:textId="6EAE1CD9" w:rsidR="000A2C83" w:rsidRPr="00781112" w:rsidRDefault="002B7490" w:rsidP="000A2C83">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lastRenderedPageBreak/>
        <w:br/>
        <w:t xml:space="preserve">Taken together, the State in partnership with supporting organizations has undertaken varied activities to promote the capacity growth of diverse groups of families in the areas of systems interruption and participatory feedback.   </w:t>
      </w:r>
    </w:p>
    <w:p w14:paraId="43B1695A" w14:textId="2970A905" w:rsidR="000A2C83" w:rsidRPr="00781112" w:rsidRDefault="000A2C83" w:rsidP="000A2C83">
      <w:pPr>
        <w:rPr>
          <w:rFonts w:cs="Arial"/>
          <w:color w:val="000000" w:themeColor="text1"/>
          <w:szCs w:val="16"/>
        </w:rPr>
      </w:pPr>
    </w:p>
    <w:bookmarkEnd w:id="93"/>
    <w:bookmarkEnd w:id="94"/>
    <w:p w14:paraId="3A708A87" w14:textId="77777777" w:rsidR="00CE0C68" w:rsidRPr="00781112" w:rsidRDefault="00CE0C68" w:rsidP="00127006">
      <w:pPr>
        <w:pStyle w:val="Bold"/>
        <w:rPr>
          <w:color w:val="000000" w:themeColor="text1"/>
        </w:rPr>
      </w:pPr>
    </w:p>
    <w:p w14:paraId="4E8407A2" w14:textId="6977F9EE" w:rsidR="00EC46E4" w:rsidRPr="00781112" w:rsidRDefault="00EC46E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5BASELINEDATA"/>
      </w:tblPr>
      <w:tblGrid>
        <w:gridCol w:w="1797"/>
        <w:gridCol w:w="1798"/>
      </w:tblGrid>
      <w:tr w:rsidR="00956DFE" w:rsidRPr="00781112" w14:paraId="4BC2AEC0" w14:textId="77777777" w:rsidTr="00123D76">
        <w:trPr>
          <w:trHeight w:val="311"/>
          <w:tblHeader/>
        </w:trPr>
        <w:tc>
          <w:tcPr>
            <w:tcW w:w="1797" w:type="dxa"/>
          </w:tcPr>
          <w:p w14:paraId="5C965FC2" w14:textId="77777777" w:rsidR="00956DFE" w:rsidRPr="00781112" w:rsidRDefault="00956DFE" w:rsidP="00123D76">
            <w:pPr>
              <w:jc w:val="center"/>
              <w:rPr>
                <w:b/>
                <w:color w:val="000000" w:themeColor="text1"/>
              </w:rPr>
            </w:pPr>
            <w:r w:rsidRPr="00781112">
              <w:rPr>
                <w:rFonts w:cs="Arial"/>
                <w:b/>
                <w:color w:val="000000" w:themeColor="text1"/>
                <w:szCs w:val="16"/>
              </w:rPr>
              <w:t>Baseline Year</w:t>
            </w:r>
          </w:p>
        </w:tc>
        <w:tc>
          <w:tcPr>
            <w:tcW w:w="1798" w:type="dxa"/>
          </w:tcPr>
          <w:p w14:paraId="0FE47E01" w14:textId="77777777" w:rsidR="00956DFE" w:rsidRPr="00781112" w:rsidRDefault="00956DFE" w:rsidP="00123D76">
            <w:pPr>
              <w:jc w:val="center"/>
              <w:rPr>
                <w:b/>
                <w:color w:val="000000" w:themeColor="text1"/>
              </w:rPr>
            </w:pPr>
            <w:r w:rsidRPr="00781112">
              <w:rPr>
                <w:b/>
                <w:color w:val="000000" w:themeColor="text1"/>
              </w:rPr>
              <w:t>Baseline Data</w:t>
            </w:r>
          </w:p>
        </w:tc>
      </w:tr>
      <w:tr w:rsidR="00956DFE" w:rsidRPr="00781112" w14:paraId="4061AB26" w14:textId="77777777" w:rsidTr="00123D76">
        <w:trPr>
          <w:trHeight w:val="311"/>
        </w:trPr>
        <w:tc>
          <w:tcPr>
            <w:tcW w:w="1797" w:type="dxa"/>
            <w:vAlign w:val="center"/>
          </w:tcPr>
          <w:p w14:paraId="06B6D30C" w14:textId="2AF9B55C" w:rsidR="00956DFE" w:rsidRPr="00781112" w:rsidRDefault="00956DFE" w:rsidP="00123D76">
            <w:pPr>
              <w:jc w:val="center"/>
              <w:rPr>
                <w:bCs/>
                <w:color w:val="000000" w:themeColor="text1"/>
              </w:rPr>
            </w:pPr>
            <w:r w:rsidRPr="00781112">
              <w:rPr>
                <w:bCs/>
                <w:color w:val="000000" w:themeColor="text1"/>
              </w:rPr>
              <w:t>2005</w:t>
            </w:r>
          </w:p>
        </w:tc>
        <w:tc>
          <w:tcPr>
            <w:tcW w:w="1798" w:type="dxa"/>
            <w:vAlign w:val="center"/>
          </w:tcPr>
          <w:p w14:paraId="2ECB17ED" w14:textId="53ECEEAF" w:rsidR="00956DFE" w:rsidRPr="00781112" w:rsidRDefault="00956DFE" w:rsidP="00123D76">
            <w:pPr>
              <w:jc w:val="center"/>
              <w:rPr>
                <w:bCs/>
                <w:color w:val="000000" w:themeColor="text1"/>
              </w:rPr>
            </w:pPr>
            <w:r w:rsidRPr="00781112">
              <w:rPr>
                <w:bCs/>
                <w:color w:val="000000" w:themeColor="text1"/>
              </w:rPr>
              <w:t>11.00%</w:t>
            </w:r>
          </w:p>
        </w:tc>
      </w:tr>
    </w:tbl>
    <w:p w14:paraId="3ABC15A0" w14:textId="77777777" w:rsidR="00956DFE" w:rsidRPr="00781112" w:rsidRDefault="00956DFE"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5HISTDATA"/>
      </w:tblPr>
      <w:tblGrid>
        <w:gridCol w:w="1798"/>
        <w:gridCol w:w="1798"/>
        <w:gridCol w:w="1798"/>
        <w:gridCol w:w="1798"/>
        <w:gridCol w:w="1798"/>
        <w:gridCol w:w="1800"/>
      </w:tblGrid>
      <w:tr w:rsidR="005C29F8" w:rsidRPr="00781112" w14:paraId="4E412341" w14:textId="77777777" w:rsidTr="004B2960">
        <w:trPr>
          <w:trHeight w:val="350"/>
        </w:trPr>
        <w:tc>
          <w:tcPr>
            <w:tcW w:w="833" w:type="pct"/>
            <w:tcBorders>
              <w:bottom w:val="single" w:sz="4" w:space="0" w:color="auto"/>
            </w:tcBorders>
            <w:shd w:val="clear" w:color="auto" w:fill="auto"/>
          </w:tcPr>
          <w:p w14:paraId="3BCF53D4" w14:textId="77777777" w:rsidR="00206890" w:rsidRPr="00781112" w:rsidRDefault="00206890"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1BCFC70E" w14:textId="1BB5B5A8" w:rsidR="00206890"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833" w:type="pct"/>
            <w:shd w:val="clear" w:color="auto" w:fill="auto"/>
          </w:tcPr>
          <w:p w14:paraId="0D14322A" w14:textId="6BD4D2D0" w:rsidR="00206890"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5AD53313" w14:textId="5FC8C632" w:rsidR="00206890"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833" w:type="pct"/>
            <w:shd w:val="clear" w:color="auto" w:fill="auto"/>
          </w:tcPr>
          <w:p w14:paraId="4015341F" w14:textId="703AE838" w:rsidR="00206890"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34" w:type="pct"/>
            <w:shd w:val="clear" w:color="auto" w:fill="auto"/>
          </w:tcPr>
          <w:p w14:paraId="087D6966" w14:textId="6C948B8E" w:rsidR="00206890"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2C55BF13" w14:textId="77777777" w:rsidTr="004B2960">
        <w:trPr>
          <w:trHeight w:val="357"/>
        </w:trPr>
        <w:tc>
          <w:tcPr>
            <w:tcW w:w="833" w:type="pct"/>
            <w:shd w:val="clear" w:color="auto" w:fill="auto"/>
          </w:tcPr>
          <w:p w14:paraId="33F24D1B" w14:textId="209B7194" w:rsidR="00206890" w:rsidRPr="00781112" w:rsidRDefault="00206890"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7184CC23" w14:textId="0660F716" w:rsidR="00206890" w:rsidRPr="00781112" w:rsidRDefault="002B7490" w:rsidP="00A018D4">
            <w:pPr>
              <w:jc w:val="center"/>
              <w:rPr>
                <w:rFonts w:cs="Arial"/>
                <w:color w:val="000000" w:themeColor="text1"/>
                <w:szCs w:val="16"/>
              </w:rPr>
            </w:pPr>
            <w:r w:rsidRPr="00781112">
              <w:rPr>
                <w:rFonts w:cs="Arial"/>
                <w:color w:val="000000" w:themeColor="text1"/>
                <w:szCs w:val="16"/>
              </w:rPr>
              <w:t>29.50%</w:t>
            </w:r>
          </w:p>
        </w:tc>
        <w:tc>
          <w:tcPr>
            <w:tcW w:w="833" w:type="pct"/>
            <w:shd w:val="clear" w:color="auto" w:fill="auto"/>
          </w:tcPr>
          <w:p w14:paraId="0E9857EC" w14:textId="50F3C2EF" w:rsidR="00206890" w:rsidRPr="00781112" w:rsidRDefault="00206890" w:rsidP="00A018D4">
            <w:pPr>
              <w:jc w:val="center"/>
              <w:rPr>
                <w:rFonts w:cs="Arial"/>
                <w:color w:val="000000" w:themeColor="text1"/>
                <w:szCs w:val="16"/>
              </w:rPr>
            </w:pPr>
          </w:p>
        </w:tc>
        <w:tc>
          <w:tcPr>
            <w:tcW w:w="833" w:type="pct"/>
            <w:shd w:val="clear" w:color="auto" w:fill="auto"/>
            <w:vAlign w:val="center"/>
          </w:tcPr>
          <w:p w14:paraId="0571C04B" w14:textId="328A30A7" w:rsidR="00206890" w:rsidRPr="00781112" w:rsidRDefault="00206890" w:rsidP="00A018D4">
            <w:pPr>
              <w:jc w:val="center"/>
              <w:rPr>
                <w:rFonts w:cs="Arial"/>
                <w:color w:val="000000" w:themeColor="text1"/>
                <w:szCs w:val="16"/>
              </w:rPr>
            </w:pPr>
          </w:p>
        </w:tc>
        <w:tc>
          <w:tcPr>
            <w:tcW w:w="833" w:type="pct"/>
            <w:shd w:val="clear" w:color="auto" w:fill="auto"/>
            <w:vAlign w:val="center"/>
          </w:tcPr>
          <w:p w14:paraId="77EAC2A0" w14:textId="7A794ABC" w:rsidR="00206890" w:rsidRPr="00781112" w:rsidRDefault="00206890" w:rsidP="00A018D4">
            <w:pPr>
              <w:jc w:val="center"/>
              <w:rPr>
                <w:rFonts w:cs="Arial"/>
                <w:color w:val="000000" w:themeColor="text1"/>
                <w:szCs w:val="16"/>
              </w:rPr>
            </w:pPr>
          </w:p>
        </w:tc>
        <w:tc>
          <w:tcPr>
            <w:tcW w:w="834" w:type="pct"/>
            <w:shd w:val="clear" w:color="auto" w:fill="auto"/>
            <w:vAlign w:val="center"/>
          </w:tcPr>
          <w:p w14:paraId="04397BF9" w14:textId="1A3506DC" w:rsidR="00206890" w:rsidRPr="00781112" w:rsidRDefault="00206890" w:rsidP="00A018D4">
            <w:pPr>
              <w:jc w:val="center"/>
              <w:rPr>
                <w:rFonts w:cs="Arial"/>
                <w:color w:val="000000" w:themeColor="text1"/>
                <w:szCs w:val="16"/>
              </w:rPr>
            </w:pPr>
          </w:p>
        </w:tc>
      </w:tr>
      <w:tr w:rsidR="005C29F8" w:rsidRPr="00781112" w14:paraId="10C8B4B5" w14:textId="77777777" w:rsidTr="004B2960">
        <w:trPr>
          <w:trHeight w:val="85"/>
        </w:trPr>
        <w:tc>
          <w:tcPr>
            <w:tcW w:w="833" w:type="pct"/>
            <w:shd w:val="clear" w:color="auto" w:fill="auto"/>
          </w:tcPr>
          <w:p w14:paraId="708FF78B" w14:textId="77777777" w:rsidR="00206890" w:rsidRPr="00781112" w:rsidRDefault="00206890"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E187FD0" w14:textId="3237A264" w:rsidR="00206890" w:rsidRPr="00781112" w:rsidRDefault="00206890" w:rsidP="00A018D4">
            <w:pPr>
              <w:jc w:val="center"/>
              <w:rPr>
                <w:rFonts w:cs="Arial"/>
                <w:color w:val="000000" w:themeColor="text1"/>
                <w:szCs w:val="16"/>
              </w:rPr>
            </w:pPr>
          </w:p>
        </w:tc>
        <w:tc>
          <w:tcPr>
            <w:tcW w:w="833" w:type="pct"/>
            <w:shd w:val="clear" w:color="auto" w:fill="auto"/>
          </w:tcPr>
          <w:p w14:paraId="6CEC3330" w14:textId="5E8A3E06" w:rsidR="00206890" w:rsidRPr="00781112" w:rsidRDefault="002B7490" w:rsidP="00A018D4">
            <w:pPr>
              <w:jc w:val="center"/>
              <w:rPr>
                <w:rFonts w:cs="Arial"/>
                <w:color w:val="000000" w:themeColor="text1"/>
                <w:szCs w:val="16"/>
              </w:rPr>
            </w:pPr>
            <w:r w:rsidRPr="00781112">
              <w:rPr>
                <w:rFonts w:cs="Arial"/>
                <w:color w:val="000000" w:themeColor="text1"/>
                <w:szCs w:val="16"/>
              </w:rPr>
              <w:t>0.00%</w:t>
            </w:r>
          </w:p>
        </w:tc>
        <w:tc>
          <w:tcPr>
            <w:tcW w:w="833" w:type="pct"/>
            <w:tcBorders>
              <w:bottom w:val="single" w:sz="4" w:space="0" w:color="auto"/>
            </w:tcBorders>
            <w:shd w:val="clear" w:color="auto" w:fill="auto"/>
            <w:vAlign w:val="center"/>
          </w:tcPr>
          <w:p w14:paraId="3C74B678" w14:textId="22746FF8" w:rsidR="00206890" w:rsidRPr="00781112" w:rsidRDefault="00206890" w:rsidP="00A018D4">
            <w:pPr>
              <w:jc w:val="center"/>
              <w:rPr>
                <w:rFonts w:cs="Arial"/>
                <w:color w:val="000000" w:themeColor="text1"/>
                <w:szCs w:val="16"/>
              </w:rPr>
            </w:pPr>
          </w:p>
        </w:tc>
        <w:tc>
          <w:tcPr>
            <w:tcW w:w="833" w:type="pct"/>
            <w:tcBorders>
              <w:bottom w:val="single" w:sz="4" w:space="0" w:color="auto"/>
            </w:tcBorders>
            <w:shd w:val="clear" w:color="auto" w:fill="auto"/>
            <w:vAlign w:val="center"/>
          </w:tcPr>
          <w:p w14:paraId="6488E126" w14:textId="74B63322" w:rsidR="00206890" w:rsidRPr="00781112" w:rsidRDefault="00206890" w:rsidP="00A018D4">
            <w:pPr>
              <w:jc w:val="center"/>
              <w:rPr>
                <w:rFonts w:cs="Arial"/>
                <w:color w:val="000000" w:themeColor="text1"/>
                <w:szCs w:val="16"/>
              </w:rPr>
            </w:pPr>
          </w:p>
        </w:tc>
        <w:tc>
          <w:tcPr>
            <w:tcW w:w="834" w:type="pct"/>
            <w:tcBorders>
              <w:bottom w:val="single" w:sz="4" w:space="0" w:color="auto"/>
            </w:tcBorders>
            <w:shd w:val="clear" w:color="auto" w:fill="auto"/>
            <w:vAlign w:val="center"/>
          </w:tcPr>
          <w:p w14:paraId="72325A8D" w14:textId="79CE876D" w:rsidR="00206890" w:rsidRPr="00781112" w:rsidRDefault="00206890" w:rsidP="00A018D4">
            <w:pPr>
              <w:jc w:val="center"/>
              <w:rPr>
                <w:rFonts w:cs="Arial"/>
                <w:color w:val="000000" w:themeColor="text1"/>
                <w:szCs w:val="16"/>
              </w:rPr>
            </w:pPr>
          </w:p>
        </w:tc>
      </w:tr>
    </w:tbl>
    <w:p w14:paraId="49D45707" w14:textId="4136C190" w:rsidR="00CE0C68" w:rsidRPr="00781112" w:rsidRDefault="00CE0C68">
      <w:pPr>
        <w:rPr>
          <w:color w:val="000000" w:themeColor="text1"/>
        </w:rPr>
      </w:pPr>
    </w:p>
    <w:p w14:paraId="0B3CADC6" w14:textId="0A7F1EFC" w:rsidR="00372DF8" w:rsidRPr="00781112" w:rsidRDefault="00372DF8" w:rsidP="004369B2">
      <w:pPr>
        <w:rPr>
          <w:color w:val="000000" w:themeColor="text1"/>
        </w:rPr>
      </w:pPr>
      <w:r w:rsidRPr="00781112">
        <w:rPr>
          <w:b/>
          <w:color w:val="000000" w:themeColor="text1"/>
        </w:rPr>
        <w:t>Targets</w:t>
      </w:r>
    </w:p>
    <w:tbl>
      <w:tblPr>
        <w:tblW w:w="2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TARGETSOPT1"/>
      </w:tblPr>
      <w:tblGrid>
        <w:gridCol w:w="918"/>
        <w:gridCol w:w="2016"/>
        <w:gridCol w:w="1554"/>
        <w:gridCol w:w="1554"/>
      </w:tblGrid>
      <w:tr w:rsidR="00233EFB" w:rsidRPr="00781112" w14:paraId="5B5B06C7" w14:textId="5314EC59" w:rsidTr="00FE4611">
        <w:trPr>
          <w:trHeight w:val="431"/>
        </w:trPr>
        <w:tc>
          <w:tcPr>
            <w:tcW w:w="760" w:type="pct"/>
            <w:tcBorders>
              <w:bottom w:val="single" w:sz="4" w:space="0" w:color="auto"/>
            </w:tcBorders>
            <w:shd w:val="clear" w:color="auto" w:fill="auto"/>
          </w:tcPr>
          <w:p w14:paraId="31E34DD6" w14:textId="77777777" w:rsidR="00233EFB" w:rsidRPr="00781112" w:rsidRDefault="00233EFB" w:rsidP="00AF574F">
            <w:pPr>
              <w:jc w:val="center"/>
              <w:rPr>
                <w:b/>
                <w:color w:val="000000" w:themeColor="text1"/>
              </w:rPr>
            </w:pPr>
            <w:r w:rsidRPr="00781112">
              <w:rPr>
                <w:b/>
                <w:color w:val="000000" w:themeColor="text1"/>
              </w:rPr>
              <w:t>FFY</w:t>
            </w:r>
          </w:p>
        </w:tc>
        <w:tc>
          <w:tcPr>
            <w:tcW w:w="1668" w:type="pct"/>
            <w:shd w:val="clear" w:color="auto" w:fill="auto"/>
          </w:tcPr>
          <w:p w14:paraId="782DDA76" w14:textId="193A6DE4" w:rsidR="00233EFB" w:rsidRPr="00781112" w:rsidRDefault="00233EFB" w:rsidP="00AF574F">
            <w:pPr>
              <w:jc w:val="center"/>
              <w:rPr>
                <w:b/>
                <w:color w:val="000000" w:themeColor="text1"/>
              </w:rPr>
            </w:pPr>
            <w:r w:rsidRPr="00781112">
              <w:rPr>
                <w:b/>
                <w:color w:val="000000" w:themeColor="text1"/>
              </w:rPr>
              <w:t>2023</w:t>
            </w:r>
          </w:p>
        </w:tc>
        <w:tc>
          <w:tcPr>
            <w:tcW w:w="1286" w:type="pct"/>
          </w:tcPr>
          <w:p w14:paraId="64BBFFA7" w14:textId="5A89DD6A" w:rsidR="00233EFB" w:rsidRPr="00781112" w:rsidRDefault="00233EFB" w:rsidP="00AD75EE">
            <w:pPr>
              <w:spacing w:before="0" w:after="200" w:line="276" w:lineRule="auto"/>
              <w:jc w:val="center"/>
            </w:pPr>
            <w:r w:rsidRPr="00781112">
              <w:rPr>
                <w:rFonts w:cs="Arial"/>
                <w:b/>
                <w:color w:val="000000" w:themeColor="text1"/>
                <w:szCs w:val="16"/>
              </w:rPr>
              <w:t>2024</w:t>
            </w:r>
          </w:p>
        </w:tc>
        <w:tc>
          <w:tcPr>
            <w:tcW w:w="1286" w:type="pct"/>
          </w:tcPr>
          <w:p w14:paraId="1B4B8409" w14:textId="760000D9" w:rsidR="00233EFB" w:rsidRPr="00781112" w:rsidRDefault="00233EFB" w:rsidP="00AD75EE">
            <w:pPr>
              <w:spacing w:before="0" w:after="200" w:line="276" w:lineRule="auto"/>
              <w:jc w:val="center"/>
            </w:pPr>
            <w:r w:rsidRPr="00781112">
              <w:rPr>
                <w:rFonts w:cs="Arial"/>
                <w:b/>
                <w:color w:val="000000" w:themeColor="text1"/>
                <w:szCs w:val="16"/>
              </w:rPr>
              <w:t>2025</w:t>
            </w:r>
          </w:p>
        </w:tc>
      </w:tr>
      <w:tr w:rsidR="00233EFB" w:rsidRPr="00781112" w14:paraId="2E97FCFB" w14:textId="76FCB4DE" w:rsidTr="00FE4611">
        <w:trPr>
          <w:trHeight w:val="521"/>
        </w:trPr>
        <w:tc>
          <w:tcPr>
            <w:tcW w:w="760" w:type="pct"/>
            <w:shd w:val="clear" w:color="auto" w:fill="auto"/>
          </w:tcPr>
          <w:p w14:paraId="4E1FED50" w14:textId="35E6081C" w:rsidR="00233EFB" w:rsidRPr="00781112" w:rsidRDefault="00233EFB" w:rsidP="00BA3DBE">
            <w:pPr>
              <w:jc w:val="center"/>
              <w:rPr>
                <w:rFonts w:cs="Arial"/>
                <w:color w:val="000000" w:themeColor="text1"/>
                <w:szCs w:val="16"/>
              </w:rPr>
            </w:pPr>
            <w:r w:rsidRPr="00781112">
              <w:rPr>
                <w:rFonts w:cs="Arial"/>
                <w:color w:val="000000" w:themeColor="text1"/>
                <w:szCs w:val="16"/>
              </w:rPr>
              <w:t>Target &gt;=</w:t>
            </w:r>
          </w:p>
        </w:tc>
        <w:tc>
          <w:tcPr>
            <w:tcW w:w="1668" w:type="pct"/>
            <w:shd w:val="clear" w:color="auto" w:fill="auto"/>
            <w:vAlign w:val="center"/>
          </w:tcPr>
          <w:p w14:paraId="39DFFAEB" w14:textId="54D1D7D6" w:rsidR="00233EFB" w:rsidRPr="00781112" w:rsidRDefault="00233EFB" w:rsidP="008D24E3">
            <w:pPr>
              <w:jc w:val="center"/>
              <w:rPr>
                <w:rFonts w:cs="Arial"/>
                <w:color w:val="000000" w:themeColor="text1"/>
                <w:szCs w:val="16"/>
              </w:rPr>
            </w:pPr>
          </w:p>
        </w:tc>
        <w:tc>
          <w:tcPr>
            <w:tcW w:w="1286" w:type="pct"/>
          </w:tcPr>
          <w:p w14:paraId="57B3A075" w14:textId="21F2B25E" w:rsidR="00233EFB" w:rsidRPr="00781112" w:rsidRDefault="00233EFB" w:rsidP="008D24E3">
            <w:pPr>
              <w:spacing w:before="0" w:after="200" w:line="276" w:lineRule="auto"/>
              <w:jc w:val="center"/>
            </w:pPr>
          </w:p>
        </w:tc>
        <w:tc>
          <w:tcPr>
            <w:tcW w:w="1286" w:type="pct"/>
          </w:tcPr>
          <w:p w14:paraId="211F936E" w14:textId="58F0DC2F" w:rsidR="00233EFB" w:rsidRPr="00781112" w:rsidRDefault="00233EFB" w:rsidP="008D24E3">
            <w:pPr>
              <w:spacing w:before="0" w:after="200" w:line="276" w:lineRule="auto"/>
              <w:jc w:val="center"/>
            </w:pPr>
          </w:p>
        </w:tc>
      </w:tr>
    </w:tbl>
    <w:p w14:paraId="25B7ED55" w14:textId="77777777" w:rsidR="00CE0C68" w:rsidRPr="00781112" w:rsidRDefault="00CE0C68" w:rsidP="004369B2">
      <w:pPr>
        <w:rPr>
          <w:color w:val="000000" w:themeColor="text1"/>
        </w:rPr>
      </w:pPr>
    </w:p>
    <w:p w14:paraId="639445A0" w14:textId="283AE359" w:rsidR="00634AD8" w:rsidRPr="00781112" w:rsidRDefault="0047313F">
      <w:pPr>
        <w:rPr>
          <w:b/>
          <w:color w:val="000000" w:themeColor="text1"/>
        </w:rPr>
      </w:pPr>
      <w:r>
        <w:rPr>
          <w:b/>
          <w:color w:val="000000" w:themeColor="text1"/>
        </w:rPr>
        <w:t>FFY 2023 SPP/APR Data</w:t>
      </w:r>
    </w:p>
    <w:p w14:paraId="59EF63A0" w14:textId="77777777" w:rsidR="00127006" w:rsidRPr="00781112" w:rsidRDefault="00127006"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5CFFYAPRDATA1OPT1"/>
      </w:tblPr>
      <w:tblGrid>
        <w:gridCol w:w="1634"/>
        <w:gridCol w:w="1625"/>
        <w:gridCol w:w="1271"/>
        <w:gridCol w:w="1908"/>
        <w:gridCol w:w="1493"/>
        <w:gridCol w:w="1452"/>
        <w:gridCol w:w="1407"/>
      </w:tblGrid>
      <w:tr w:rsidR="00B21923" w:rsidRPr="00781112" w14:paraId="7CE022CD" w14:textId="689D2875" w:rsidTr="00877012">
        <w:trPr>
          <w:trHeight w:val="354"/>
          <w:tblHeader/>
        </w:trPr>
        <w:tc>
          <w:tcPr>
            <w:tcW w:w="757" w:type="pct"/>
            <w:shd w:val="clear" w:color="auto" w:fill="auto"/>
            <w:vAlign w:val="bottom"/>
          </w:tcPr>
          <w:p w14:paraId="4A4004E2"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3.1(a) Number resolutions sessions resolved through settlement agreements</w:t>
            </w:r>
          </w:p>
        </w:tc>
        <w:tc>
          <w:tcPr>
            <w:tcW w:w="753" w:type="pct"/>
            <w:shd w:val="clear" w:color="auto" w:fill="auto"/>
            <w:vAlign w:val="bottom"/>
          </w:tcPr>
          <w:p w14:paraId="15083250"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3.1 Number of resolutions sessions</w:t>
            </w:r>
          </w:p>
        </w:tc>
        <w:tc>
          <w:tcPr>
            <w:tcW w:w="589" w:type="pct"/>
            <w:shd w:val="clear" w:color="auto" w:fill="auto"/>
            <w:vAlign w:val="bottom"/>
          </w:tcPr>
          <w:p w14:paraId="61FCEFFA" w14:textId="76309496" w:rsidR="00B21923" w:rsidRPr="006D0A52" w:rsidRDefault="00B21923" w:rsidP="00B21923">
            <w:pPr>
              <w:jc w:val="center"/>
              <w:rPr>
                <w:rFonts w:cs="Arial"/>
                <w:b/>
                <w:bCs/>
                <w:color w:val="000000" w:themeColor="text1"/>
                <w:szCs w:val="16"/>
              </w:rPr>
            </w:pPr>
            <w:r w:rsidRPr="006D0A52">
              <w:rPr>
                <w:b/>
                <w:bCs/>
              </w:rPr>
              <w:t>FFY 2022 Data</w:t>
            </w:r>
          </w:p>
        </w:tc>
        <w:tc>
          <w:tcPr>
            <w:tcW w:w="884" w:type="pct"/>
            <w:shd w:val="clear" w:color="auto" w:fill="auto"/>
            <w:vAlign w:val="bottom"/>
          </w:tcPr>
          <w:p w14:paraId="5285C3DA" w14:textId="40C134BB" w:rsidR="00B21923" w:rsidRPr="006D0A52" w:rsidRDefault="00B21923" w:rsidP="00B21923">
            <w:pPr>
              <w:jc w:val="center"/>
              <w:rPr>
                <w:rFonts w:cs="Arial"/>
                <w:b/>
                <w:bCs/>
                <w:color w:val="000000" w:themeColor="text1"/>
                <w:szCs w:val="16"/>
              </w:rPr>
            </w:pPr>
            <w:r w:rsidRPr="006D0A52">
              <w:rPr>
                <w:b/>
                <w:bCs/>
              </w:rPr>
              <w:t>FFY 2023 Target</w:t>
            </w:r>
          </w:p>
        </w:tc>
        <w:tc>
          <w:tcPr>
            <w:tcW w:w="692" w:type="pct"/>
            <w:shd w:val="clear" w:color="auto" w:fill="auto"/>
            <w:vAlign w:val="bottom"/>
          </w:tcPr>
          <w:p w14:paraId="767EE33A" w14:textId="4F10B5AF" w:rsidR="00B21923" w:rsidRPr="006D0A52" w:rsidRDefault="00B21923" w:rsidP="00B21923">
            <w:pPr>
              <w:jc w:val="center"/>
              <w:rPr>
                <w:rFonts w:cs="Arial"/>
                <w:b/>
                <w:bCs/>
                <w:color w:val="000000" w:themeColor="text1"/>
                <w:szCs w:val="16"/>
              </w:rPr>
            </w:pPr>
            <w:r w:rsidRPr="006D0A52">
              <w:rPr>
                <w:b/>
                <w:bCs/>
              </w:rPr>
              <w:t>FFY 2023 Data</w:t>
            </w:r>
          </w:p>
        </w:tc>
        <w:tc>
          <w:tcPr>
            <w:tcW w:w="673" w:type="pct"/>
            <w:shd w:val="clear" w:color="auto" w:fill="auto"/>
            <w:vAlign w:val="bottom"/>
          </w:tcPr>
          <w:p w14:paraId="3FC7FD1C" w14:textId="7EA4D921"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652" w:type="pct"/>
            <w:shd w:val="clear" w:color="auto" w:fill="auto"/>
            <w:vAlign w:val="bottom"/>
          </w:tcPr>
          <w:p w14:paraId="7025F3A2" w14:textId="466A0744"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104AFA36" w14:textId="7B00739A" w:rsidTr="00877012">
        <w:trPr>
          <w:trHeight w:val="361"/>
        </w:trPr>
        <w:tc>
          <w:tcPr>
            <w:tcW w:w="757" w:type="pct"/>
            <w:shd w:val="clear" w:color="auto" w:fill="auto"/>
            <w:vAlign w:val="center"/>
          </w:tcPr>
          <w:p w14:paraId="3DA400B1" w14:textId="063A879F" w:rsidR="00372DF8"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753" w:type="pct"/>
            <w:shd w:val="clear" w:color="auto" w:fill="auto"/>
          </w:tcPr>
          <w:p w14:paraId="57BB67A2" w14:textId="2B997355" w:rsidR="00372DF8" w:rsidRPr="00781112" w:rsidRDefault="002B7490" w:rsidP="00A018D4">
            <w:pPr>
              <w:jc w:val="center"/>
              <w:rPr>
                <w:rFonts w:cs="Arial"/>
                <w:color w:val="000000" w:themeColor="text1"/>
                <w:szCs w:val="16"/>
              </w:rPr>
            </w:pPr>
            <w:r w:rsidRPr="00781112">
              <w:rPr>
                <w:rFonts w:cs="Arial"/>
                <w:color w:val="000000" w:themeColor="text1"/>
                <w:szCs w:val="16"/>
              </w:rPr>
              <w:t>0</w:t>
            </w:r>
          </w:p>
        </w:tc>
        <w:tc>
          <w:tcPr>
            <w:tcW w:w="589" w:type="pct"/>
            <w:shd w:val="clear" w:color="auto" w:fill="auto"/>
          </w:tcPr>
          <w:p w14:paraId="759C2AEB" w14:textId="7C5FF94E" w:rsidR="00372DF8" w:rsidRPr="00781112" w:rsidRDefault="00372DF8" w:rsidP="00A018D4">
            <w:pPr>
              <w:jc w:val="center"/>
              <w:rPr>
                <w:rFonts w:cs="Arial"/>
                <w:color w:val="000000" w:themeColor="text1"/>
                <w:szCs w:val="16"/>
              </w:rPr>
            </w:pPr>
          </w:p>
        </w:tc>
        <w:tc>
          <w:tcPr>
            <w:tcW w:w="884" w:type="pct"/>
            <w:shd w:val="clear" w:color="auto" w:fill="auto"/>
          </w:tcPr>
          <w:p w14:paraId="446CA14A" w14:textId="2AFBAFDB" w:rsidR="00372DF8" w:rsidRPr="00781112" w:rsidRDefault="00372DF8" w:rsidP="00A018D4">
            <w:pPr>
              <w:jc w:val="center"/>
              <w:rPr>
                <w:rFonts w:cs="Arial"/>
                <w:color w:val="000000" w:themeColor="text1"/>
                <w:szCs w:val="16"/>
              </w:rPr>
            </w:pPr>
          </w:p>
        </w:tc>
        <w:tc>
          <w:tcPr>
            <w:tcW w:w="692" w:type="pct"/>
            <w:shd w:val="clear" w:color="auto" w:fill="auto"/>
          </w:tcPr>
          <w:p w14:paraId="4B8389D1" w14:textId="31159250" w:rsidR="00372DF8" w:rsidRPr="00781112" w:rsidRDefault="00372DF8" w:rsidP="00A018D4">
            <w:pPr>
              <w:jc w:val="center"/>
              <w:rPr>
                <w:rFonts w:cs="Arial"/>
                <w:color w:val="000000" w:themeColor="text1"/>
                <w:szCs w:val="16"/>
              </w:rPr>
            </w:pPr>
          </w:p>
        </w:tc>
        <w:tc>
          <w:tcPr>
            <w:tcW w:w="673" w:type="pct"/>
            <w:shd w:val="clear" w:color="auto" w:fill="auto"/>
          </w:tcPr>
          <w:p w14:paraId="73DE10E2" w14:textId="0659DF1D" w:rsidR="00372DF8" w:rsidRPr="00781112" w:rsidRDefault="002B7490" w:rsidP="00A018D4">
            <w:pPr>
              <w:jc w:val="center"/>
              <w:rPr>
                <w:rFonts w:cs="Arial"/>
                <w:color w:val="000000" w:themeColor="text1"/>
                <w:szCs w:val="16"/>
              </w:rPr>
            </w:pPr>
            <w:r w:rsidRPr="00781112">
              <w:rPr>
                <w:rFonts w:cs="Arial"/>
                <w:color w:val="000000" w:themeColor="text1"/>
                <w:szCs w:val="16"/>
              </w:rPr>
              <w:t>N/A</w:t>
            </w:r>
          </w:p>
        </w:tc>
        <w:tc>
          <w:tcPr>
            <w:tcW w:w="652" w:type="pct"/>
            <w:shd w:val="clear" w:color="auto" w:fill="auto"/>
          </w:tcPr>
          <w:p w14:paraId="5B5FCE8F" w14:textId="2E877FC8" w:rsidR="00372DF8" w:rsidRPr="00781112" w:rsidRDefault="002B7490" w:rsidP="00A018D4">
            <w:pPr>
              <w:jc w:val="center"/>
              <w:rPr>
                <w:rFonts w:cs="Arial"/>
                <w:color w:val="000000" w:themeColor="text1"/>
                <w:szCs w:val="16"/>
              </w:rPr>
            </w:pPr>
            <w:r w:rsidRPr="00781112">
              <w:rPr>
                <w:rFonts w:cs="Arial"/>
                <w:color w:val="000000" w:themeColor="text1"/>
                <w:szCs w:val="16"/>
              </w:rPr>
              <w:t>N/A</w:t>
            </w:r>
          </w:p>
        </w:tc>
      </w:tr>
    </w:tbl>
    <w:p w14:paraId="41C1290A" w14:textId="0F368A1B"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225AF7B0" w14:textId="0953EFAC" w:rsidR="00293C7E" w:rsidRPr="00781112" w:rsidRDefault="00293C7E" w:rsidP="007D435F">
      <w:pPr>
        <w:rPr>
          <w:rFonts w:cs="Arial"/>
          <w:color w:val="000000" w:themeColor="text1"/>
          <w:szCs w:val="16"/>
        </w:rPr>
      </w:pPr>
    </w:p>
    <w:p w14:paraId="69486921" w14:textId="29EDB346" w:rsidR="00293C7E" w:rsidRPr="00781112" w:rsidRDefault="00DF2D3A" w:rsidP="005B40C0">
      <w:pPr>
        <w:pStyle w:val="Heading3"/>
      </w:pPr>
      <w:r w:rsidRPr="00781112">
        <w:t>15</w:t>
      </w:r>
      <w:r w:rsidR="001D508D" w:rsidRPr="00781112">
        <w:t xml:space="preserve"> </w:t>
      </w:r>
      <w:r w:rsidRPr="00781112">
        <w:t xml:space="preserve">- </w:t>
      </w:r>
      <w:r w:rsidR="00293C7E" w:rsidRPr="00781112">
        <w:t>Prior FFY Required Actions</w:t>
      </w:r>
    </w:p>
    <w:p w14:paraId="19F5FEB1" w14:textId="2905DE18" w:rsidR="00293C7E" w:rsidRPr="00781112" w:rsidRDefault="002B7490" w:rsidP="00293C7E">
      <w:pPr>
        <w:rPr>
          <w:rFonts w:cs="Arial"/>
          <w:color w:val="000000" w:themeColor="text1"/>
          <w:szCs w:val="16"/>
        </w:rPr>
      </w:pPr>
      <w:r w:rsidRPr="00781112">
        <w:rPr>
          <w:rFonts w:cs="Arial"/>
          <w:color w:val="000000" w:themeColor="text1"/>
          <w:szCs w:val="16"/>
        </w:rPr>
        <w:t>None</w:t>
      </w:r>
    </w:p>
    <w:p w14:paraId="6506D351" w14:textId="1F034745" w:rsidR="00913A33" w:rsidRPr="00781112" w:rsidRDefault="00DF2D3A" w:rsidP="005B40C0">
      <w:pPr>
        <w:pStyle w:val="Heading3"/>
      </w:pPr>
      <w:r w:rsidRPr="00781112">
        <w:t>15 - OSEP Response</w:t>
      </w:r>
    </w:p>
    <w:p w14:paraId="639FEA08" w14:textId="30C19155" w:rsidR="00293C7E" w:rsidRPr="00781112" w:rsidRDefault="002B7490" w:rsidP="001F692C">
      <w:pPr>
        <w:rPr>
          <w:rFonts w:cs="Arial"/>
          <w:color w:val="000000" w:themeColor="text1"/>
          <w:szCs w:val="16"/>
        </w:rPr>
      </w:pPr>
      <w:r w:rsidRPr="00781112">
        <w:rPr>
          <w:rFonts w:cs="Arial"/>
          <w:color w:val="000000" w:themeColor="text1"/>
          <w:szCs w:val="16"/>
        </w:rPr>
        <w:t>The State reported fewer than ten resolution sessions held in FFY 2023. The State is not required to provide targets until any fiscal year in which ten or more resolution sessions were held.</w:t>
      </w:r>
    </w:p>
    <w:p w14:paraId="7634025D" w14:textId="5BD1D671" w:rsidR="00913A33" w:rsidRPr="00781112" w:rsidRDefault="00DF2D3A" w:rsidP="005B40C0">
      <w:pPr>
        <w:pStyle w:val="Heading3"/>
      </w:pPr>
      <w:r w:rsidRPr="00781112">
        <w:t>15 - Required Actions</w:t>
      </w:r>
    </w:p>
    <w:p w14:paraId="06C735B1" w14:textId="277EA689" w:rsidR="00293C7E" w:rsidRPr="00781112" w:rsidRDefault="00293C7E" w:rsidP="001F692C">
      <w:pPr>
        <w:rPr>
          <w:rFonts w:cs="Arial"/>
          <w:color w:val="000000" w:themeColor="text1"/>
          <w:szCs w:val="16"/>
        </w:rPr>
      </w:pPr>
    </w:p>
    <w:p w14:paraId="259DEDCC" w14:textId="77777777" w:rsidR="000C60E1" w:rsidRPr="00781112" w:rsidRDefault="000C60E1">
      <w:pPr>
        <w:spacing w:before="0" w:after="200" w:line="276" w:lineRule="auto"/>
        <w:rPr>
          <w:rFonts w:eastAsiaTheme="majorEastAsia" w:cs="Arial"/>
          <w:b/>
          <w:bCs/>
          <w:color w:val="000000" w:themeColor="text1"/>
          <w:szCs w:val="16"/>
        </w:rPr>
      </w:pPr>
      <w:r w:rsidRPr="00781112">
        <w:rPr>
          <w:rFonts w:cs="Arial"/>
          <w:color w:val="000000" w:themeColor="text1"/>
          <w:szCs w:val="16"/>
        </w:rPr>
        <w:br w:type="page"/>
      </w:r>
    </w:p>
    <w:p w14:paraId="53B0D4FE" w14:textId="095B9B99" w:rsidR="007F0CEC" w:rsidRPr="00781112" w:rsidRDefault="007F0CEC" w:rsidP="005B40C0">
      <w:pPr>
        <w:pStyle w:val="Heading2"/>
      </w:pPr>
      <w:r w:rsidRPr="00781112">
        <w:rPr>
          <w:color w:val="000000" w:themeColor="text1"/>
          <w:sz w:val="22"/>
        </w:rPr>
        <w:lastRenderedPageBreak/>
        <w:t>Indicator 16: Mediation</w:t>
      </w:r>
    </w:p>
    <w:p w14:paraId="589E185D" w14:textId="446D5125" w:rsidR="00BF232E" w:rsidRPr="002C274F" w:rsidRDefault="00BF232E" w:rsidP="002C274F">
      <w:pPr>
        <w:rPr>
          <w:b/>
          <w:bCs/>
          <w:sz w:val="20"/>
          <w:szCs w:val="20"/>
        </w:rPr>
      </w:pPr>
      <w:bookmarkStart w:id="95" w:name="_Toc382731916"/>
      <w:bookmarkStart w:id="96" w:name="_Toc392159344"/>
      <w:r w:rsidRPr="002C274F">
        <w:rPr>
          <w:b/>
          <w:bCs/>
          <w:sz w:val="20"/>
          <w:szCs w:val="20"/>
        </w:rPr>
        <w:t>Instructions and Measurement</w:t>
      </w:r>
    </w:p>
    <w:p w14:paraId="41E7E4F9" w14:textId="500BC36F" w:rsidR="009B6586" w:rsidRPr="00781112" w:rsidRDefault="009B6586" w:rsidP="008E31C4">
      <w:pPr>
        <w:rPr>
          <w:rFonts w:cs="Arial"/>
          <w:color w:val="000000" w:themeColor="text1"/>
          <w:szCs w:val="16"/>
        </w:rPr>
      </w:pPr>
      <w:r w:rsidRPr="00781112">
        <w:rPr>
          <w:rFonts w:cs="Arial"/>
          <w:b/>
          <w:color w:val="000000" w:themeColor="text1"/>
          <w:szCs w:val="16"/>
        </w:rPr>
        <w:t>Monitoring Priority</w:t>
      </w:r>
      <w:r w:rsidRPr="00781112">
        <w:rPr>
          <w:rFonts w:cs="Arial"/>
          <w:color w:val="000000" w:themeColor="text1"/>
          <w:szCs w:val="16"/>
        </w:rPr>
        <w:t>: Effective General Supervision Part B / General Supervision</w:t>
      </w:r>
    </w:p>
    <w:p w14:paraId="573A26D5" w14:textId="77777777" w:rsidR="00692B95" w:rsidRPr="00781112" w:rsidRDefault="009B6586" w:rsidP="008E31C4">
      <w:pPr>
        <w:rPr>
          <w:rFonts w:cs="Arial"/>
          <w:color w:val="000000" w:themeColor="text1"/>
          <w:szCs w:val="16"/>
        </w:rPr>
      </w:pPr>
      <w:r w:rsidRPr="00781112">
        <w:rPr>
          <w:rFonts w:cs="Arial"/>
          <w:b/>
          <w:color w:val="000000" w:themeColor="text1"/>
          <w:szCs w:val="16"/>
        </w:rPr>
        <w:t>Results indicator:</w:t>
      </w:r>
      <w:r w:rsidRPr="00781112">
        <w:rPr>
          <w:rFonts w:cs="Arial"/>
          <w:color w:val="000000" w:themeColor="text1"/>
          <w:szCs w:val="16"/>
        </w:rPr>
        <w:t xml:space="preserve"> Percent of mediations held that resulted in mediation agreements.</w:t>
      </w:r>
      <w:r w:rsidR="00131842" w:rsidRPr="00781112">
        <w:rPr>
          <w:rFonts w:cs="Arial"/>
          <w:color w:val="000000" w:themeColor="text1"/>
          <w:szCs w:val="16"/>
        </w:rPr>
        <w:t xml:space="preserve"> </w:t>
      </w:r>
    </w:p>
    <w:p w14:paraId="7847EFFB" w14:textId="03A11F4B" w:rsidR="009B6586" w:rsidRPr="00781112" w:rsidRDefault="009B6586" w:rsidP="008E31C4">
      <w:pPr>
        <w:rPr>
          <w:rFonts w:cs="Arial"/>
          <w:color w:val="000000" w:themeColor="text1"/>
          <w:szCs w:val="16"/>
        </w:rPr>
      </w:pPr>
      <w:r w:rsidRPr="00781112">
        <w:rPr>
          <w:rFonts w:cs="Arial"/>
          <w:color w:val="000000" w:themeColor="text1"/>
          <w:szCs w:val="16"/>
        </w:rPr>
        <w:t>(20 U.S.C. 1416(a)(3(B))</w:t>
      </w:r>
    </w:p>
    <w:p w14:paraId="0F859DBB" w14:textId="77777777" w:rsidR="00692B95" w:rsidRPr="00781112" w:rsidRDefault="00692B95" w:rsidP="004369B2">
      <w:pPr>
        <w:rPr>
          <w:color w:val="000000" w:themeColor="text1"/>
        </w:rPr>
      </w:pPr>
      <w:r w:rsidRPr="00781112">
        <w:rPr>
          <w:b/>
          <w:color w:val="000000" w:themeColor="text1"/>
        </w:rPr>
        <w:t>Data Source</w:t>
      </w:r>
    </w:p>
    <w:p w14:paraId="1400D43F" w14:textId="253D0B1A" w:rsidR="00692B95" w:rsidRPr="00781112" w:rsidRDefault="00692B95" w:rsidP="008E31C4">
      <w:pPr>
        <w:rPr>
          <w:rFonts w:cs="Arial"/>
          <w:color w:val="000000" w:themeColor="text1"/>
          <w:szCs w:val="16"/>
        </w:rPr>
      </w:pPr>
      <w:r w:rsidRPr="00781112">
        <w:rPr>
          <w:rFonts w:cs="Arial"/>
          <w:color w:val="000000" w:themeColor="text1"/>
          <w:szCs w:val="16"/>
        </w:rPr>
        <w:t>Data collected under section 618 of the IDEA (IDEA Part B Dispute Resolution Survey in the ED</w:t>
      </w:r>
      <w:r w:rsidRPr="00BA3DBE">
        <w:rPr>
          <w:rFonts w:cs="Arial"/>
          <w:i/>
          <w:iCs/>
          <w:color w:val="000000" w:themeColor="text1"/>
          <w:szCs w:val="16"/>
        </w:rPr>
        <w:t>Facts</w:t>
      </w:r>
      <w:r w:rsidRPr="00781112">
        <w:rPr>
          <w:rFonts w:cs="Arial"/>
          <w:color w:val="000000" w:themeColor="text1"/>
          <w:szCs w:val="16"/>
        </w:rPr>
        <w:t xml:space="preserve"> Metadata and Process System (E</w:t>
      </w:r>
      <w:r w:rsidR="00E65E32" w:rsidRPr="00781112">
        <w:rPr>
          <w:rFonts w:cs="Arial"/>
          <w:i/>
          <w:color w:val="000000" w:themeColor="text1"/>
          <w:szCs w:val="16"/>
        </w:rPr>
        <w:t>MAPS</w:t>
      </w:r>
      <w:r w:rsidRPr="00781112">
        <w:rPr>
          <w:rFonts w:cs="Arial"/>
          <w:color w:val="000000" w:themeColor="text1"/>
          <w:szCs w:val="16"/>
        </w:rPr>
        <w:t>)).</w:t>
      </w:r>
    </w:p>
    <w:p w14:paraId="7EDB2909" w14:textId="77777777" w:rsidR="00692B95" w:rsidRPr="00781112" w:rsidRDefault="00692B95" w:rsidP="004369B2">
      <w:pPr>
        <w:rPr>
          <w:color w:val="000000" w:themeColor="text1"/>
        </w:rPr>
      </w:pPr>
      <w:r w:rsidRPr="00781112">
        <w:rPr>
          <w:b/>
          <w:color w:val="000000" w:themeColor="text1"/>
        </w:rPr>
        <w:t>Measurement</w:t>
      </w:r>
    </w:p>
    <w:p w14:paraId="38C2284B" w14:textId="1E75D304" w:rsidR="00692B95" w:rsidRPr="00781112" w:rsidRDefault="00692B95" w:rsidP="008E31C4">
      <w:pPr>
        <w:rPr>
          <w:rFonts w:cs="Arial"/>
          <w:color w:val="000000" w:themeColor="text1"/>
          <w:szCs w:val="16"/>
        </w:rPr>
      </w:pPr>
      <w:r w:rsidRPr="00781112">
        <w:rPr>
          <w:rFonts w:cs="Arial"/>
          <w:color w:val="000000" w:themeColor="text1"/>
          <w:szCs w:val="16"/>
        </w:rPr>
        <w:t>Percent = (2.1(a)(i) + 2.1(b)(i)) divided by 2.1) times 100.</w:t>
      </w:r>
    </w:p>
    <w:p w14:paraId="0B909FFD" w14:textId="77777777" w:rsidR="00692B95" w:rsidRPr="00781112" w:rsidRDefault="00692B95" w:rsidP="004369B2">
      <w:pPr>
        <w:rPr>
          <w:color w:val="000000" w:themeColor="text1"/>
        </w:rPr>
      </w:pPr>
      <w:r w:rsidRPr="00781112">
        <w:rPr>
          <w:b/>
          <w:color w:val="000000" w:themeColor="text1"/>
        </w:rPr>
        <w:t>Instructions</w:t>
      </w:r>
    </w:p>
    <w:p w14:paraId="46565F1D" w14:textId="77777777" w:rsidR="00692B95" w:rsidRPr="00781112" w:rsidRDefault="00692B95" w:rsidP="00286BDF">
      <w:pPr>
        <w:rPr>
          <w:rFonts w:cs="Arial"/>
          <w:i/>
          <w:iCs/>
          <w:color w:val="000000" w:themeColor="text1"/>
          <w:szCs w:val="16"/>
        </w:rPr>
      </w:pPr>
      <w:r w:rsidRPr="00781112">
        <w:rPr>
          <w:rFonts w:cs="Arial"/>
          <w:i/>
          <w:iCs/>
          <w:color w:val="000000" w:themeColor="text1"/>
          <w:szCs w:val="16"/>
        </w:rPr>
        <w:t>Sampling is not allowed.</w:t>
      </w:r>
    </w:p>
    <w:p w14:paraId="7A8BA9D5" w14:textId="77777777" w:rsidR="00692B95" w:rsidRPr="00781112" w:rsidRDefault="00692B95" w:rsidP="00286BDF">
      <w:pPr>
        <w:rPr>
          <w:rFonts w:cs="Arial"/>
          <w:color w:val="000000" w:themeColor="text1"/>
          <w:szCs w:val="16"/>
        </w:rPr>
      </w:pPr>
      <w:r w:rsidRPr="00781112">
        <w:rPr>
          <w:rFonts w:cs="Arial"/>
          <w:color w:val="000000" w:themeColor="text1"/>
          <w:szCs w:val="16"/>
        </w:rPr>
        <w:t>Describe the results of the calculations and compare the results to the target.</w:t>
      </w:r>
    </w:p>
    <w:p w14:paraId="5AFF4976" w14:textId="749CC869" w:rsidR="00692B95" w:rsidRPr="00781112" w:rsidRDefault="00692B95" w:rsidP="00286BDF">
      <w:pPr>
        <w:rPr>
          <w:rFonts w:cs="Arial"/>
          <w:color w:val="000000" w:themeColor="text1"/>
          <w:szCs w:val="16"/>
        </w:rPr>
      </w:pPr>
      <w:r w:rsidRPr="00781112">
        <w:rPr>
          <w:rFonts w:cs="Arial"/>
          <w:color w:val="000000" w:themeColor="text1"/>
          <w:szCs w:val="16"/>
        </w:rPr>
        <w:t xml:space="preserve">States are not required to establish baselines or targets if the number of </w:t>
      </w:r>
      <w:r w:rsidR="00482C3B" w:rsidRPr="00781112">
        <w:rPr>
          <w:rFonts w:cs="Arial"/>
          <w:szCs w:val="16"/>
        </w:rPr>
        <w:t>mediations</w:t>
      </w:r>
      <w:r w:rsidRPr="00781112">
        <w:rPr>
          <w:rFonts w:cs="Arial"/>
          <w:color w:val="000000" w:themeColor="text1"/>
          <w:szCs w:val="16"/>
        </w:rPr>
        <w:t xml:space="preserve"> is less than 10. In a reporting period when the number of </w:t>
      </w:r>
      <w:r w:rsidR="00DA0D8C" w:rsidRPr="00781112">
        <w:rPr>
          <w:rFonts w:cs="Arial"/>
          <w:szCs w:val="16"/>
        </w:rPr>
        <w:t xml:space="preserve">mediations reaches </w:t>
      </w:r>
      <w:r w:rsidRPr="00781112">
        <w:rPr>
          <w:rFonts w:cs="Arial"/>
          <w:color w:val="000000" w:themeColor="text1"/>
          <w:szCs w:val="16"/>
        </w:rPr>
        <w:t>10 or greater, develop baseline</w:t>
      </w:r>
      <w:r w:rsidR="00D14A1B" w:rsidRPr="00781112">
        <w:rPr>
          <w:rFonts w:cs="Arial"/>
          <w:color w:val="000000" w:themeColor="text1"/>
          <w:szCs w:val="16"/>
        </w:rPr>
        <w:t xml:space="preserve"> and</w:t>
      </w:r>
      <w:r w:rsidRPr="00781112">
        <w:rPr>
          <w:rFonts w:cs="Arial"/>
          <w:color w:val="000000" w:themeColor="text1"/>
          <w:szCs w:val="16"/>
        </w:rPr>
        <w:t xml:space="preserve"> targets and report on them in the corresponding SPP/APR.</w:t>
      </w:r>
    </w:p>
    <w:p w14:paraId="0EB22217" w14:textId="77777777" w:rsidR="00692B95" w:rsidRPr="00781112" w:rsidRDefault="00692B95" w:rsidP="00286BDF">
      <w:pPr>
        <w:rPr>
          <w:rFonts w:cs="Arial"/>
          <w:color w:val="000000" w:themeColor="text1"/>
          <w:szCs w:val="16"/>
        </w:rPr>
      </w:pPr>
      <w:r w:rsidRPr="00781112">
        <w:rPr>
          <w:rFonts w:cs="Arial"/>
          <w:color w:val="000000" w:themeColor="text1"/>
          <w:szCs w:val="16"/>
        </w:rPr>
        <w:t>States may express their targets in a range (e.g., 75-85%).</w:t>
      </w:r>
    </w:p>
    <w:p w14:paraId="62D2873F" w14:textId="77777777" w:rsidR="00692B95" w:rsidRPr="00781112" w:rsidRDefault="00692B95" w:rsidP="00286BDF">
      <w:pPr>
        <w:rPr>
          <w:rFonts w:cs="Arial"/>
          <w:color w:val="000000" w:themeColor="text1"/>
          <w:szCs w:val="16"/>
        </w:rPr>
      </w:pPr>
      <w:r w:rsidRPr="00781112">
        <w:rPr>
          <w:rFonts w:cs="Arial"/>
          <w:color w:val="000000" w:themeColor="text1"/>
          <w:szCs w:val="16"/>
        </w:rPr>
        <w:t>If the data reported in this indicator are not the same as the State’s data under IDEA section 618, explain.</w:t>
      </w:r>
    </w:p>
    <w:p w14:paraId="419B733F" w14:textId="44198020" w:rsidR="00692B95" w:rsidRPr="00781112" w:rsidRDefault="00692B95" w:rsidP="00286BDF">
      <w:pPr>
        <w:rPr>
          <w:rFonts w:cs="Arial"/>
          <w:color w:val="000000" w:themeColor="text1"/>
          <w:szCs w:val="16"/>
        </w:rPr>
      </w:pPr>
      <w:r w:rsidRPr="00781112">
        <w:rPr>
          <w:rFonts w:cs="Arial"/>
          <w:color w:val="000000" w:themeColor="text1"/>
          <w:szCs w:val="16"/>
        </w:rPr>
        <w:t>States are not required to report data at the LEA level.</w:t>
      </w:r>
    </w:p>
    <w:p w14:paraId="32179671" w14:textId="1C1C859E" w:rsidR="00B37C74" w:rsidRPr="00781112" w:rsidRDefault="001C46DC" w:rsidP="005B40C0">
      <w:pPr>
        <w:pStyle w:val="Heading3"/>
      </w:pPr>
      <w:r w:rsidRPr="00781112">
        <w:t>16</w:t>
      </w:r>
      <w:r w:rsidR="001D508D" w:rsidRPr="00781112">
        <w:t xml:space="preserve"> </w:t>
      </w:r>
      <w:r w:rsidRPr="00781112">
        <w:t xml:space="preserve">- </w:t>
      </w:r>
      <w:r w:rsidR="00BF232E" w:rsidRPr="00781112">
        <w:t>Indicator Data</w:t>
      </w:r>
    </w:p>
    <w:p w14:paraId="6A39385A" w14:textId="49DFE75B" w:rsidR="00F31AD8" w:rsidRPr="00781112" w:rsidRDefault="007D219D" w:rsidP="00F31AD8">
      <w:pPr>
        <w:rPr>
          <w:rFonts w:cs="Arial"/>
          <w:b/>
          <w:color w:val="000000" w:themeColor="text1"/>
          <w:szCs w:val="16"/>
        </w:rPr>
      </w:pPr>
      <w:r w:rsidRPr="00781112">
        <w:rPr>
          <w:rFonts w:cs="Arial"/>
          <w:b/>
          <w:color w:val="000000" w:themeColor="text1"/>
          <w:szCs w:val="16"/>
        </w:rPr>
        <w:t>Select yes to use target ranges</w:t>
      </w:r>
    </w:p>
    <w:p w14:paraId="6CBE99A1" w14:textId="4EA49071" w:rsidR="00F31AD8" w:rsidRPr="00781112" w:rsidRDefault="00F31AD8" w:rsidP="004369B2">
      <w:pPr>
        <w:rPr>
          <w:color w:val="000000" w:themeColor="text1"/>
        </w:rPr>
      </w:pPr>
      <w:r w:rsidRPr="00781112">
        <w:rPr>
          <w:rFonts w:cs="Arial"/>
          <w:color w:val="000000" w:themeColor="text1"/>
          <w:szCs w:val="16"/>
        </w:rPr>
        <w:t>Target Range not used</w:t>
      </w:r>
    </w:p>
    <w:bookmarkEnd w:id="95"/>
    <w:bookmarkEnd w:id="96"/>
    <w:p w14:paraId="3951D0E9" w14:textId="77777777" w:rsidR="00DA3157" w:rsidRPr="00781112" w:rsidRDefault="00DA3157" w:rsidP="004369B2">
      <w:pPr>
        <w:rPr>
          <w:color w:val="000000" w:themeColor="text1"/>
        </w:rPr>
      </w:pPr>
    </w:p>
    <w:p w14:paraId="118840D3" w14:textId="0C4E77AD" w:rsidR="008E31C4" w:rsidRPr="00781112" w:rsidRDefault="008E31C4" w:rsidP="004369B2">
      <w:pPr>
        <w:rPr>
          <w:color w:val="000000" w:themeColor="text1"/>
        </w:rPr>
      </w:pPr>
      <w:r w:rsidRPr="00781112">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B16PREPOP"/>
      </w:tblPr>
      <w:tblGrid>
        <w:gridCol w:w="2695"/>
        <w:gridCol w:w="2790"/>
        <w:gridCol w:w="3522"/>
        <w:gridCol w:w="1783"/>
      </w:tblGrid>
      <w:tr w:rsidR="005C29F8" w:rsidRPr="00781112" w14:paraId="61A5E3A0" w14:textId="77777777" w:rsidTr="0064117D">
        <w:trPr>
          <w:trHeight w:val="372"/>
          <w:tblHeader/>
        </w:trPr>
        <w:tc>
          <w:tcPr>
            <w:tcW w:w="1249" w:type="pct"/>
            <w:shd w:val="clear" w:color="auto" w:fill="auto"/>
          </w:tcPr>
          <w:p w14:paraId="332BA503"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Source</w:t>
            </w:r>
          </w:p>
        </w:tc>
        <w:tc>
          <w:tcPr>
            <w:tcW w:w="1293" w:type="pct"/>
            <w:shd w:val="clear" w:color="auto" w:fill="auto"/>
          </w:tcPr>
          <w:p w14:paraId="2C662D12"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Date</w:t>
            </w:r>
          </w:p>
        </w:tc>
        <w:tc>
          <w:tcPr>
            <w:tcW w:w="1632" w:type="pct"/>
            <w:shd w:val="clear" w:color="auto" w:fill="auto"/>
          </w:tcPr>
          <w:p w14:paraId="66DBE23B"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Description</w:t>
            </w:r>
          </w:p>
        </w:tc>
        <w:tc>
          <w:tcPr>
            <w:tcW w:w="826" w:type="pct"/>
            <w:shd w:val="clear" w:color="auto" w:fill="auto"/>
          </w:tcPr>
          <w:p w14:paraId="1C82D158" w14:textId="77777777" w:rsidR="008E31C4" w:rsidRPr="00781112" w:rsidRDefault="008E31C4" w:rsidP="008E31C4">
            <w:pPr>
              <w:spacing w:after="0"/>
              <w:jc w:val="center"/>
              <w:rPr>
                <w:rFonts w:cs="Arial"/>
                <w:b/>
                <w:color w:val="000000" w:themeColor="text1"/>
                <w:szCs w:val="16"/>
              </w:rPr>
            </w:pPr>
            <w:r w:rsidRPr="00781112">
              <w:rPr>
                <w:rFonts w:cs="Arial"/>
                <w:b/>
                <w:color w:val="000000" w:themeColor="text1"/>
                <w:szCs w:val="16"/>
              </w:rPr>
              <w:t>Data</w:t>
            </w:r>
          </w:p>
        </w:tc>
      </w:tr>
      <w:tr w:rsidR="005C29F8" w:rsidRPr="00781112" w14:paraId="0EB08E99" w14:textId="77777777" w:rsidTr="0064117D">
        <w:trPr>
          <w:trHeight w:val="380"/>
        </w:trPr>
        <w:tc>
          <w:tcPr>
            <w:tcW w:w="1249" w:type="pct"/>
            <w:shd w:val="clear" w:color="auto" w:fill="auto"/>
          </w:tcPr>
          <w:p w14:paraId="341A55FB" w14:textId="389190B6" w:rsidR="001126C3" w:rsidRPr="00781112" w:rsidRDefault="002B7490"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71614464" w14:textId="4369755A"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3B8991BC" w14:textId="35D24A7C" w:rsidR="001126C3" w:rsidRPr="00781112" w:rsidRDefault="001126C3" w:rsidP="001126C3">
            <w:pPr>
              <w:rPr>
                <w:rFonts w:cs="Arial"/>
                <w:color w:val="000000" w:themeColor="text1"/>
                <w:szCs w:val="16"/>
              </w:rPr>
            </w:pPr>
            <w:r w:rsidRPr="00781112">
              <w:rPr>
                <w:rFonts w:cs="Arial"/>
                <w:color w:val="000000" w:themeColor="text1"/>
                <w:szCs w:val="16"/>
              </w:rPr>
              <w:t>2.1 Mediations held</w:t>
            </w:r>
          </w:p>
        </w:tc>
        <w:tc>
          <w:tcPr>
            <w:tcW w:w="826" w:type="pct"/>
            <w:shd w:val="clear" w:color="auto" w:fill="auto"/>
          </w:tcPr>
          <w:p w14:paraId="27A8B83C" w14:textId="708549A5" w:rsidR="001126C3" w:rsidRPr="00781112" w:rsidRDefault="002B7490" w:rsidP="00A018D4">
            <w:pPr>
              <w:jc w:val="center"/>
              <w:rPr>
                <w:rFonts w:cs="Arial"/>
                <w:color w:val="000000" w:themeColor="text1"/>
                <w:szCs w:val="16"/>
              </w:rPr>
            </w:pPr>
            <w:r w:rsidRPr="00781112">
              <w:rPr>
                <w:rFonts w:cs="Arial"/>
                <w:color w:val="000000" w:themeColor="text1"/>
                <w:szCs w:val="16"/>
              </w:rPr>
              <w:t>30</w:t>
            </w:r>
          </w:p>
        </w:tc>
      </w:tr>
      <w:tr w:rsidR="005C29F8" w:rsidRPr="00781112" w14:paraId="438B012B" w14:textId="77777777" w:rsidTr="0064117D">
        <w:trPr>
          <w:trHeight w:val="380"/>
        </w:trPr>
        <w:tc>
          <w:tcPr>
            <w:tcW w:w="1249" w:type="pct"/>
            <w:shd w:val="clear" w:color="auto" w:fill="auto"/>
          </w:tcPr>
          <w:p w14:paraId="265B2AEC" w14:textId="3FC7D25D"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128A6113" w14:textId="6FDE1D5D"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61BAD85D" w14:textId="300FEE8B" w:rsidR="001126C3" w:rsidRPr="00781112" w:rsidRDefault="001126C3" w:rsidP="001126C3">
            <w:pPr>
              <w:rPr>
                <w:rFonts w:cs="Arial"/>
                <w:color w:val="000000" w:themeColor="text1"/>
                <w:szCs w:val="16"/>
              </w:rPr>
            </w:pPr>
            <w:r w:rsidRPr="00781112">
              <w:rPr>
                <w:rFonts w:cs="Arial"/>
                <w:color w:val="000000" w:themeColor="text1"/>
                <w:szCs w:val="16"/>
              </w:rPr>
              <w:t>2.1.a.i Mediations agreements related to due process complaints</w:t>
            </w:r>
          </w:p>
        </w:tc>
        <w:tc>
          <w:tcPr>
            <w:tcW w:w="826" w:type="pct"/>
            <w:shd w:val="clear" w:color="auto" w:fill="auto"/>
          </w:tcPr>
          <w:p w14:paraId="580B460B" w14:textId="49FBB0F1" w:rsidR="001126C3" w:rsidRPr="00781112" w:rsidRDefault="002B7490" w:rsidP="00A018D4">
            <w:pPr>
              <w:jc w:val="center"/>
              <w:rPr>
                <w:rFonts w:cs="Arial"/>
                <w:color w:val="000000" w:themeColor="text1"/>
                <w:szCs w:val="16"/>
              </w:rPr>
            </w:pPr>
            <w:r w:rsidRPr="00781112">
              <w:rPr>
                <w:rFonts w:cs="Arial"/>
                <w:color w:val="000000" w:themeColor="text1"/>
                <w:szCs w:val="16"/>
              </w:rPr>
              <w:t>3</w:t>
            </w:r>
          </w:p>
        </w:tc>
      </w:tr>
      <w:tr w:rsidR="005C29F8" w:rsidRPr="00781112" w14:paraId="53310D0D" w14:textId="77777777" w:rsidTr="0064117D">
        <w:trPr>
          <w:trHeight w:val="380"/>
        </w:trPr>
        <w:tc>
          <w:tcPr>
            <w:tcW w:w="1249" w:type="pct"/>
            <w:shd w:val="clear" w:color="auto" w:fill="auto"/>
          </w:tcPr>
          <w:p w14:paraId="295563AC" w14:textId="371961FC" w:rsidR="001126C3" w:rsidRPr="00781112" w:rsidRDefault="008174C3" w:rsidP="001126C3">
            <w:pPr>
              <w:jc w:val="center"/>
              <w:rPr>
                <w:rFonts w:cs="Arial"/>
                <w:color w:val="000000" w:themeColor="text1"/>
                <w:szCs w:val="16"/>
              </w:rPr>
            </w:pPr>
            <w:r w:rsidRPr="00781112">
              <w:rPr>
                <w:rFonts w:cs="Arial"/>
                <w:color w:val="000000" w:themeColor="text1"/>
                <w:szCs w:val="16"/>
              </w:rPr>
              <w:t>SY 2023-24 EMAPS IDEA Part B Dispute Resolution Survey; Section B: Mediation Requests</w:t>
            </w:r>
          </w:p>
        </w:tc>
        <w:tc>
          <w:tcPr>
            <w:tcW w:w="1293" w:type="pct"/>
            <w:shd w:val="clear" w:color="auto" w:fill="auto"/>
          </w:tcPr>
          <w:p w14:paraId="4BDD8D48" w14:textId="63D0DB48" w:rsidR="001126C3" w:rsidRPr="00781112" w:rsidRDefault="008174C3" w:rsidP="001126C3">
            <w:pPr>
              <w:jc w:val="center"/>
              <w:rPr>
                <w:rFonts w:cs="Arial"/>
                <w:color w:val="000000" w:themeColor="text1"/>
                <w:szCs w:val="16"/>
              </w:rPr>
            </w:pPr>
            <w:r w:rsidRPr="00781112">
              <w:rPr>
                <w:rFonts w:cs="Arial"/>
                <w:color w:val="000000" w:themeColor="text1"/>
                <w:szCs w:val="16"/>
              </w:rPr>
              <w:t>11/13/2024</w:t>
            </w:r>
          </w:p>
        </w:tc>
        <w:tc>
          <w:tcPr>
            <w:tcW w:w="1632" w:type="pct"/>
            <w:shd w:val="clear" w:color="auto" w:fill="auto"/>
          </w:tcPr>
          <w:p w14:paraId="0D81EE28" w14:textId="0901AFA3" w:rsidR="001126C3" w:rsidRPr="00781112" w:rsidRDefault="001126C3" w:rsidP="001126C3">
            <w:pPr>
              <w:rPr>
                <w:rFonts w:cs="Arial"/>
                <w:color w:val="000000" w:themeColor="text1"/>
                <w:szCs w:val="16"/>
              </w:rPr>
            </w:pPr>
            <w:r w:rsidRPr="00781112">
              <w:rPr>
                <w:rFonts w:cs="Arial"/>
                <w:color w:val="000000" w:themeColor="text1"/>
                <w:szCs w:val="16"/>
              </w:rPr>
              <w:t>2.1.b.i Mediations agreements not related to due process complaints</w:t>
            </w:r>
          </w:p>
        </w:tc>
        <w:tc>
          <w:tcPr>
            <w:tcW w:w="826" w:type="pct"/>
            <w:shd w:val="clear" w:color="auto" w:fill="auto"/>
          </w:tcPr>
          <w:p w14:paraId="4C9A36B1" w14:textId="285B67BA" w:rsidR="001126C3" w:rsidRPr="00781112" w:rsidRDefault="002B7490" w:rsidP="00A018D4">
            <w:pPr>
              <w:jc w:val="center"/>
              <w:rPr>
                <w:rFonts w:cs="Arial"/>
                <w:color w:val="000000" w:themeColor="text1"/>
                <w:szCs w:val="16"/>
              </w:rPr>
            </w:pPr>
            <w:r w:rsidRPr="00781112">
              <w:rPr>
                <w:rFonts w:cs="Arial"/>
                <w:color w:val="000000" w:themeColor="text1"/>
                <w:szCs w:val="16"/>
              </w:rPr>
              <w:t>16</w:t>
            </w:r>
          </w:p>
        </w:tc>
      </w:tr>
    </w:tbl>
    <w:p w14:paraId="2C4CE14C" w14:textId="5AC27D72" w:rsidR="00E8514E" w:rsidRPr="00781112" w:rsidRDefault="007D219D">
      <w:pPr>
        <w:rPr>
          <w:b/>
          <w:color w:val="000000" w:themeColor="text1"/>
        </w:rPr>
      </w:pPr>
      <w:r w:rsidRPr="00781112">
        <w:rPr>
          <w:b/>
          <w:color w:val="000000" w:themeColor="text1"/>
        </w:rPr>
        <w:t>Select yes if the data reported in this indicator are not the same as the State’s data reported under section 618 of the IDEA.</w:t>
      </w:r>
    </w:p>
    <w:p w14:paraId="69D1C140" w14:textId="4BF355D3" w:rsidR="00E8514E" w:rsidRPr="00781112" w:rsidRDefault="00E8514E">
      <w:pPr>
        <w:rPr>
          <w:color w:val="000000" w:themeColor="text1"/>
        </w:rPr>
      </w:pPr>
      <w:r w:rsidRPr="00781112">
        <w:rPr>
          <w:color w:val="000000" w:themeColor="text1"/>
        </w:rPr>
        <w:t>NO</w:t>
      </w:r>
    </w:p>
    <w:p w14:paraId="1451EE58" w14:textId="77777777" w:rsidR="00945274" w:rsidRPr="00781112" w:rsidRDefault="00945274" w:rsidP="004369B2">
      <w:pPr>
        <w:rPr>
          <w:color w:val="000000" w:themeColor="text1"/>
        </w:rPr>
      </w:pPr>
    </w:p>
    <w:p w14:paraId="58C79350" w14:textId="310C06FF" w:rsidR="000A2C83" w:rsidRPr="00781112" w:rsidRDefault="000A2C83" w:rsidP="004369B2">
      <w:pPr>
        <w:rPr>
          <w:b/>
          <w:color w:val="000000" w:themeColor="text1"/>
        </w:rPr>
      </w:pPr>
      <w:r w:rsidRPr="00781112">
        <w:rPr>
          <w:b/>
          <w:color w:val="000000" w:themeColor="text1"/>
        </w:rPr>
        <w:t xml:space="preserve">Targets: Description of Stakeholder Input </w:t>
      </w:r>
    </w:p>
    <w:p w14:paraId="7B6B5101" w14:textId="2C5569CC" w:rsidR="000A2C83" w:rsidRPr="00781112" w:rsidRDefault="002B7490" w:rsidP="000A2C83">
      <w:pPr>
        <w:rPr>
          <w:rFonts w:cs="Arial"/>
          <w:color w:val="000000" w:themeColor="text1"/>
          <w:szCs w:val="16"/>
        </w:rPr>
      </w:pPr>
      <w:r w:rsidRPr="00781112">
        <w:rPr>
          <w:rFonts w:cs="Arial"/>
          <w:color w:val="000000" w:themeColor="text1"/>
          <w:szCs w:val="16"/>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rFonts w:cs="Arial"/>
          <w:color w:val="000000" w:themeColor="text1"/>
          <w:szCs w:val="16"/>
        </w:rPr>
        <w:br/>
      </w:r>
      <w:r w:rsidRPr="00781112">
        <w:rPr>
          <w:rFonts w:cs="Arial"/>
          <w:color w:val="000000" w:themeColor="text1"/>
          <w:szCs w:val="16"/>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rFonts w:cs="Arial"/>
          <w:color w:val="000000" w:themeColor="text1"/>
          <w:szCs w:val="16"/>
        </w:rPr>
        <w:br/>
      </w:r>
      <w:r w:rsidRPr="00781112">
        <w:rPr>
          <w:rFonts w:cs="Arial"/>
          <w:color w:val="000000" w:themeColor="text1"/>
          <w:szCs w:val="16"/>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rFonts w:cs="Arial"/>
          <w:color w:val="000000" w:themeColor="text1"/>
          <w:szCs w:val="16"/>
        </w:rPr>
        <w:br/>
      </w:r>
      <w:r w:rsidRPr="00781112">
        <w:rPr>
          <w:rFonts w:cs="Arial"/>
          <w:color w:val="000000" w:themeColor="text1"/>
          <w:szCs w:val="16"/>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rFonts w:cs="Arial"/>
          <w:color w:val="000000" w:themeColor="text1"/>
          <w:szCs w:val="16"/>
        </w:rPr>
        <w:br/>
      </w:r>
      <w:r w:rsidRPr="00781112">
        <w:rPr>
          <w:rFonts w:cs="Arial"/>
          <w:color w:val="000000" w:themeColor="text1"/>
          <w:szCs w:val="16"/>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w:t>
      </w:r>
      <w:r w:rsidRPr="00781112">
        <w:rPr>
          <w:rFonts w:cs="Arial"/>
          <w:color w:val="000000" w:themeColor="text1"/>
          <w:szCs w:val="16"/>
        </w:rPr>
        <w:lastRenderedPageBreak/>
        <w:t xml:space="preserve">and Wheeler counties, including American Indian/Alaskan Native, Hispanic/Latino, LGBTQ+, homeless, incarcerated, and impoverished parents and youth with disabilities.   </w:t>
      </w:r>
      <w:r w:rsidRPr="00781112">
        <w:rPr>
          <w:rFonts w:cs="Arial"/>
          <w:color w:val="000000" w:themeColor="text1"/>
          <w:szCs w:val="16"/>
        </w:rPr>
        <w:br/>
      </w:r>
      <w:r w:rsidRPr="00781112">
        <w:rPr>
          <w:rFonts w:cs="Arial"/>
          <w:color w:val="000000" w:themeColor="text1"/>
          <w:szCs w:val="16"/>
        </w:rPr>
        <w:br/>
        <w:t xml:space="preserve">Taken together, the State in partnership with supporting organizations has undertaken varied activities to promote the capacity growth of diverse groups of families in the areas of systems interruption and participatory feedback.   </w:t>
      </w:r>
    </w:p>
    <w:p w14:paraId="5F0F979C" w14:textId="2A86F023" w:rsidR="000A2C83" w:rsidRPr="00781112" w:rsidRDefault="000A2C83" w:rsidP="000A2C83">
      <w:pPr>
        <w:rPr>
          <w:rFonts w:cs="Arial"/>
          <w:color w:val="000000" w:themeColor="text1"/>
          <w:szCs w:val="16"/>
        </w:rPr>
      </w:pPr>
    </w:p>
    <w:p w14:paraId="2C7ACE11" w14:textId="77777777" w:rsidR="00E8514E" w:rsidRPr="00781112" w:rsidRDefault="00E8514E" w:rsidP="000A2C83">
      <w:pPr>
        <w:rPr>
          <w:rFonts w:cs="Arial"/>
          <w:color w:val="000000" w:themeColor="text1"/>
          <w:szCs w:val="16"/>
        </w:rPr>
      </w:pPr>
    </w:p>
    <w:p w14:paraId="48B9C9FE" w14:textId="3C4BDA67" w:rsidR="008E31C4" w:rsidRPr="00781112" w:rsidRDefault="008E31C4" w:rsidP="004369B2">
      <w:pPr>
        <w:rPr>
          <w:b/>
          <w:color w:val="000000" w:themeColor="text1"/>
        </w:rPr>
      </w:pPr>
      <w:r w:rsidRPr="00781112">
        <w:rPr>
          <w:b/>
          <w:color w:val="000000" w:themeColor="text1"/>
        </w:rPr>
        <w:t>Historical Data</w:t>
      </w:r>
    </w:p>
    <w:tbl>
      <w:tblPr>
        <w:tblStyle w:val="TableGrid"/>
        <w:tblW w:w="0" w:type="auto"/>
        <w:tblLayout w:type="fixed"/>
        <w:tblLook w:val="04A0" w:firstRow="1" w:lastRow="0" w:firstColumn="1" w:lastColumn="0" w:noHBand="0" w:noVBand="1"/>
        <w:tblCaption w:val="B16BASELINEDATA"/>
      </w:tblPr>
      <w:tblGrid>
        <w:gridCol w:w="1797"/>
        <w:gridCol w:w="1798"/>
      </w:tblGrid>
      <w:tr w:rsidR="00D75351" w:rsidRPr="00781112" w14:paraId="57AEABC0" w14:textId="77777777" w:rsidTr="00123D76">
        <w:trPr>
          <w:trHeight w:val="311"/>
          <w:tblHeader/>
        </w:trPr>
        <w:tc>
          <w:tcPr>
            <w:tcW w:w="1797" w:type="dxa"/>
          </w:tcPr>
          <w:p w14:paraId="38CE882B" w14:textId="77777777" w:rsidR="00D75351" w:rsidRPr="00781112" w:rsidRDefault="00D75351" w:rsidP="00123D76">
            <w:pPr>
              <w:jc w:val="center"/>
              <w:rPr>
                <w:b/>
                <w:color w:val="000000" w:themeColor="text1"/>
              </w:rPr>
            </w:pPr>
            <w:r w:rsidRPr="00781112">
              <w:rPr>
                <w:rFonts w:cs="Arial"/>
                <w:b/>
                <w:color w:val="000000" w:themeColor="text1"/>
                <w:szCs w:val="16"/>
              </w:rPr>
              <w:t>Baseline Year</w:t>
            </w:r>
          </w:p>
        </w:tc>
        <w:tc>
          <w:tcPr>
            <w:tcW w:w="1798" w:type="dxa"/>
          </w:tcPr>
          <w:p w14:paraId="664A9E7A" w14:textId="77777777" w:rsidR="00D75351" w:rsidRPr="00781112" w:rsidRDefault="00D75351" w:rsidP="00123D76">
            <w:pPr>
              <w:jc w:val="center"/>
              <w:rPr>
                <w:b/>
                <w:color w:val="000000" w:themeColor="text1"/>
              </w:rPr>
            </w:pPr>
            <w:r w:rsidRPr="00781112">
              <w:rPr>
                <w:b/>
                <w:color w:val="000000" w:themeColor="text1"/>
              </w:rPr>
              <w:t>Baseline Data</w:t>
            </w:r>
          </w:p>
        </w:tc>
      </w:tr>
      <w:tr w:rsidR="00D75351" w:rsidRPr="00781112" w14:paraId="2B59BCB7" w14:textId="77777777" w:rsidTr="00123D76">
        <w:trPr>
          <w:trHeight w:val="311"/>
        </w:trPr>
        <w:tc>
          <w:tcPr>
            <w:tcW w:w="1797" w:type="dxa"/>
            <w:vAlign w:val="center"/>
          </w:tcPr>
          <w:p w14:paraId="62FFC123" w14:textId="008A4386" w:rsidR="00D75351" w:rsidRPr="00781112" w:rsidRDefault="00D75351" w:rsidP="00123D76">
            <w:pPr>
              <w:jc w:val="center"/>
              <w:rPr>
                <w:bCs/>
                <w:color w:val="000000" w:themeColor="text1"/>
              </w:rPr>
            </w:pPr>
            <w:r w:rsidRPr="00781112">
              <w:rPr>
                <w:bCs/>
                <w:color w:val="000000" w:themeColor="text1"/>
              </w:rPr>
              <w:t>2005</w:t>
            </w:r>
          </w:p>
        </w:tc>
        <w:tc>
          <w:tcPr>
            <w:tcW w:w="1798" w:type="dxa"/>
            <w:vAlign w:val="center"/>
          </w:tcPr>
          <w:p w14:paraId="08A13422" w14:textId="52DBDA3E" w:rsidR="00D75351" w:rsidRPr="00781112" w:rsidRDefault="00D75351" w:rsidP="00123D76">
            <w:pPr>
              <w:jc w:val="center"/>
              <w:rPr>
                <w:bCs/>
                <w:color w:val="000000" w:themeColor="text1"/>
              </w:rPr>
            </w:pPr>
            <w:r w:rsidRPr="00781112">
              <w:rPr>
                <w:bCs/>
                <w:color w:val="000000" w:themeColor="text1"/>
              </w:rPr>
              <w:t>86.36%</w:t>
            </w:r>
          </w:p>
        </w:tc>
      </w:tr>
    </w:tbl>
    <w:p w14:paraId="450682C0" w14:textId="77777777" w:rsidR="00D75351" w:rsidRPr="00781112" w:rsidRDefault="00D75351" w:rsidP="004369B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HISTDATA"/>
      </w:tblPr>
      <w:tblGrid>
        <w:gridCol w:w="1615"/>
        <w:gridCol w:w="1799"/>
        <w:gridCol w:w="1981"/>
        <w:gridCol w:w="1798"/>
        <w:gridCol w:w="1709"/>
        <w:gridCol w:w="1888"/>
      </w:tblGrid>
      <w:tr w:rsidR="005C29F8" w:rsidRPr="00781112" w14:paraId="3061AAFC" w14:textId="77777777" w:rsidTr="004B2960">
        <w:trPr>
          <w:trHeight w:val="350"/>
        </w:trPr>
        <w:tc>
          <w:tcPr>
            <w:tcW w:w="748" w:type="pct"/>
            <w:tcBorders>
              <w:bottom w:val="single" w:sz="4" w:space="0" w:color="auto"/>
            </w:tcBorders>
            <w:shd w:val="clear" w:color="auto" w:fill="auto"/>
          </w:tcPr>
          <w:p w14:paraId="6D321354" w14:textId="77777777" w:rsidR="008E31C4" w:rsidRPr="00781112" w:rsidRDefault="008E31C4" w:rsidP="004369B2">
            <w:pPr>
              <w:jc w:val="center"/>
              <w:rPr>
                <w:rFonts w:cs="Arial"/>
                <w:b/>
                <w:color w:val="000000" w:themeColor="text1"/>
                <w:szCs w:val="16"/>
              </w:rPr>
            </w:pPr>
            <w:r w:rsidRPr="00781112">
              <w:rPr>
                <w:rFonts w:cs="Arial"/>
                <w:b/>
                <w:color w:val="000000" w:themeColor="text1"/>
                <w:szCs w:val="16"/>
              </w:rPr>
              <w:t>FFY</w:t>
            </w:r>
          </w:p>
        </w:tc>
        <w:tc>
          <w:tcPr>
            <w:tcW w:w="833" w:type="pct"/>
            <w:shd w:val="clear" w:color="auto" w:fill="auto"/>
          </w:tcPr>
          <w:p w14:paraId="351C61C5" w14:textId="1A27A18C" w:rsidR="008E31C4" w:rsidRPr="00781112" w:rsidRDefault="002B7490" w:rsidP="008E31C4">
            <w:pPr>
              <w:jc w:val="center"/>
              <w:rPr>
                <w:rFonts w:cs="Arial"/>
                <w:b/>
                <w:color w:val="000000" w:themeColor="text1"/>
                <w:szCs w:val="16"/>
              </w:rPr>
            </w:pPr>
            <w:r w:rsidRPr="00781112">
              <w:rPr>
                <w:rFonts w:cs="Arial"/>
                <w:b/>
                <w:color w:val="000000" w:themeColor="text1"/>
                <w:szCs w:val="16"/>
              </w:rPr>
              <w:t>2018</w:t>
            </w:r>
          </w:p>
        </w:tc>
        <w:tc>
          <w:tcPr>
            <w:tcW w:w="918" w:type="pct"/>
            <w:shd w:val="clear" w:color="auto" w:fill="auto"/>
          </w:tcPr>
          <w:p w14:paraId="1CDF9DE8" w14:textId="0FE9038E" w:rsidR="008E31C4" w:rsidRPr="00781112" w:rsidRDefault="002B7490" w:rsidP="008E31C4">
            <w:pPr>
              <w:jc w:val="center"/>
              <w:rPr>
                <w:rFonts w:cs="Arial"/>
                <w:b/>
                <w:color w:val="000000" w:themeColor="text1"/>
                <w:szCs w:val="16"/>
              </w:rPr>
            </w:pPr>
            <w:r w:rsidRPr="00781112">
              <w:rPr>
                <w:rFonts w:cs="Arial"/>
                <w:b/>
                <w:color w:val="000000" w:themeColor="text1"/>
                <w:szCs w:val="16"/>
              </w:rPr>
              <w:t>2019</w:t>
            </w:r>
          </w:p>
        </w:tc>
        <w:tc>
          <w:tcPr>
            <w:tcW w:w="833" w:type="pct"/>
            <w:shd w:val="clear" w:color="auto" w:fill="auto"/>
          </w:tcPr>
          <w:p w14:paraId="49B990DE" w14:textId="2B6E5021" w:rsidR="008E31C4" w:rsidRPr="00781112" w:rsidRDefault="002B7490" w:rsidP="008E31C4">
            <w:pPr>
              <w:jc w:val="center"/>
              <w:rPr>
                <w:rFonts w:cs="Arial"/>
                <w:b/>
                <w:color w:val="000000" w:themeColor="text1"/>
                <w:szCs w:val="16"/>
              </w:rPr>
            </w:pPr>
            <w:r w:rsidRPr="00781112">
              <w:rPr>
                <w:rFonts w:cs="Arial"/>
                <w:b/>
                <w:color w:val="000000" w:themeColor="text1"/>
                <w:szCs w:val="16"/>
              </w:rPr>
              <w:t>2020</w:t>
            </w:r>
          </w:p>
        </w:tc>
        <w:tc>
          <w:tcPr>
            <w:tcW w:w="792" w:type="pct"/>
            <w:shd w:val="clear" w:color="auto" w:fill="auto"/>
          </w:tcPr>
          <w:p w14:paraId="6EF76857" w14:textId="0F124C26" w:rsidR="008E31C4" w:rsidRPr="00781112" w:rsidRDefault="002B7490" w:rsidP="008E31C4">
            <w:pPr>
              <w:jc w:val="center"/>
              <w:rPr>
                <w:rFonts w:cs="Arial"/>
                <w:b/>
                <w:color w:val="000000" w:themeColor="text1"/>
                <w:szCs w:val="16"/>
              </w:rPr>
            </w:pPr>
            <w:r w:rsidRPr="00781112">
              <w:rPr>
                <w:rFonts w:cs="Arial"/>
                <w:b/>
                <w:color w:val="000000" w:themeColor="text1"/>
                <w:szCs w:val="16"/>
              </w:rPr>
              <w:t>2021</w:t>
            </w:r>
          </w:p>
        </w:tc>
        <w:tc>
          <w:tcPr>
            <w:tcW w:w="875" w:type="pct"/>
            <w:shd w:val="clear" w:color="auto" w:fill="auto"/>
          </w:tcPr>
          <w:p w14:paraId="246ACDB0" w14:textId="7F251A7E" w:rsidR="008E31C4" w:rsidRPr="00781112" w:rsidRDefault="002B7490" w:rsidP="008E31C4">
            <w:pPr>
              <w:jc w:val="center"/>
              <w:rPr>
                <w:rFonts w:cs="Arial"/>
                <w:b/>
                <w:color w:val="000000" w:themeColor="text1"/>
                <w:szCs w:val="16"/>
              </w:rPr>
            </w:pPr>
            <w:r w:rsidRPr="00781112">
              <w:rPr>
                <w:rFonts w:cs="Arial"/>
                <w:b/>
                <w:color w:val="000000" w:themeColor="text1"/>
                <w:szCs w:val="16"/>
              </w:rPr>
              <w:t>2022</w:t>
            </w:r>
          </w:p>
        </w:tc>
      </w:tr>
      <w:tr w:rsidR="005C29F8" w:rsidRPr="00781112" w14:paraId="2A876A9F" w14:textId="77777777" w:rsidTr="004B2960">
        <w:trPr>
          <w:trHeight w:val="357"/>
        </w:trPr>
        <w:tc>
          <w:tcPr>
            <w:tcW w:w="748" w:type="pct"/>
            <w:shd w:val="clear" w:color="auto" w:fill="auto"/>
          </w:tcPr>
          <w:p w14:paraId="2DE95B6B" w14:textId="04DB6250" w:rsidR="008E31C4" w:rsidRPr="00781112" w:rsidRDefault="008E31C4" w:rsidP="00BA3DBE">
            <w:pPr>
              <w:jc w:val="center"/>
              <w:rPr>
                <w:rFonts w:cs="Arial"/>
                <w:color w:val="000000" w:themeColor="text1"/>
                <w:szCs w:val="16"/>
              </w:rPr>
            </w:pPr>
            <w:r w:rsidRPr="00781112">
              <w:rPr>
                <w:rFonts w:cs="Arial"/>
                <w:color w:val="000000" w:themeColor="text1"/>
                <w:szCs w:val="16"/>
              </w:rPr>
              <w:t>Target &gt;=</w:t>
            </w:r>
          </w:p>
        </w:tc>
        <w:tc>
          <w:tcPr>
            <w:tcW w:w="833" w:type="pct"/>
            <w:shd w:val="clear" w:color="auto" w:fill="auto"/>
          </w:tcPr>
          <w:p w14:paraId="6C64D17D" w14:textId="6F575CE5" w:rsidR="008E31C4" w:rsidRPr="00781112" w:rsidRDefault="002B7490">
            <w:pPr>
              <w:jc w:val="center"/>
              <w:rPr>
                <w:rFonts w:cs="Arial"/>
                <w:color w:val="000000" w:themeColor="text1"/>
                <w:szCs w:val="16"/>
              </w:rPr>
            </w:pPr>
            <w:r w:rsidRPr="00781112">
              <w:rPr>
                <w:rFonts w:cs="Arial"/>
                <w:color w:val="000000" w:themeColor="text1"/>
                <w:szCs w:val="16"/>
              </w:rPr>
              <w:t>90.00%</w:t>
            </w:r>
          </w:p>
        </w:tc>
        <w:tc>
          <w:tcPr>
            <w:tcW w:w="918" w:type="pct"/>
            <w:shd w:val="clear" w:color="auto" w:fill="auto"/>
          </w:tcPr>
          <w:p w14:paraId="72C59C65" w14:textId="44E721D8" w:rsidR="008E31C4" w:rsidRPr="00781112" w:rsidRDefault="002B7490">
            <w:pPr>
              <w:jc w:val="center"/>
              <w:rPr>
                <w:rFonts w:cs="Arial"/>
                <w:color w:val="000000" w:themeColor="text1"/>
                <w:szCs w:val="16"/>
              </w:rPr>
            </w:pPr>
            <w:r w:rsidRPr="00781112">
              <w:rPr>
                <w:rFonts w:cs="Arial"/>
                <w:color w:val="000000" w:themeColor="text1"/>
                <w:szCs w:val="16"/>
              </w:rPr>
              <w:t>90.00%</w:t>
            </w:r>
          </w:p>
        </w:tc>
        <w:tc>
          <w:tcPr>
            <w:tcW w:w="833" w:type="pct"/>
            <w:shd w:val="clear" w:color="auto" w:fill="auto"/>
            <w:vAlign w:val="center"/>
          </w:tcPr>
          <w:p w14:paraId="220DD5CA" w14:textId="720A36A7" w:rsidR="008E31C4" w:rsidRPr="00781112" w:rsidRDefault="008E31C4">
            <w:pPr>
              <w:jc w:val="center"/>
              <w:rPr>
                <w:rFonts w:cs="Arial"/>
                <w:color w:val="000000" w:themeColor="text1"/>
                <w:szCs w:val="16"/>
              </w:rPr>
            </w:pPr>
          </w:p>
        </w:tc>
        <w:tc>
          <w:tcPr>
            <w:tcW w:w="792" w:type="pct"/>
            <w:shd w:val="clear" w:color="auto" w:fill="auto"/>
            <w:vAlign w:val="center"/>
          </w:tcPr>
          <w:p w14:paraId="07CF6D0B" w14:textId="0CDFA70C" w:rsidR="008E31C4" w:rsidRPr="00781112" w:rsidRDefault="002B7490">
            <w:pPr>
              <w:jc w:val="center"/>
              <w:rPr>
                <w:rFonts w:cs="Arial"/>
                <w:color w:val="000000" w:themeColor="text1"/>
                <w:szCs w:val="16"/>
              </w:rPr>
            </w:pPr>
            <w:r w:rsidRPr="00781112">
              <w:rPr>
                <w:rFonts w:cs="Arial"/>
                <w:color w:val="000000" w:themeColor="text1"/>
                <w:szCs w:val="16"/>
              </w:rPr>
              <w:t>90.00%</w:t>
            </w:r>
          </w:p>
        </w:tc>
        <w:tc>
          <w:tcPr>
            <w:tcW w:w="875" w:type="pct"/>
            <w:shd w:val="clear" w:color="auto" w:fill="auto"/>
            <w:vAlign w:val="center"/>
          </w:tcPr>
          <w:p w14:paraId="3B96FD7D" w14:textId="7B182CEE" w:rsidR="008E31C4" w:rsidRPr="00781112" w:rsidRDefault="002B7490">
            <w:pPr>
              <w:jc w:val="center"/>
              <w:rPr>
                <w:rFonts w:cs="Arial"/>
                <w:color w:val="000000" w:themeColor="text1"/>
                <w:szCs w:val="16"/>
              </w:rPr>
            </w:pPr>
            <w:r w:rsidRPr="00781112">
              <w:rPr>
                <w:rFonts w:cs="Arial"/>
                <w:color w:val="000000" w:themeColor="text1"/>
                <w:szCs w:val="16"/>
              </w:rPr>
              <w:t>90.00%</w:t>
            </w:r>
          </w:p>
        </w:tc>
      </w:tr>
      <w:tr w:rsidR="005C29F8" w:rsidRPr="00781112" w14:paraId="34F84ECE" w14:textId="77777777" w:rsidTr="004B2960">
        <w:trPr>
          <w:trHeight w:val="85"/>
        </w:trPr>
        <w:tc>
          <w:tcPr>
            <w:tcW w:w="748" w:type="pct"/>
            <w:shd w:val="clear" w:color="auto" w:fill="auto"/>
          </w:tcPr>
          <w:p w14:paraId="281210CF" w14:textId="77777777" w:rsidR="008E31C4" w:rsidRPr="00781112" w:rsidRDefault="008E31C4" w:rsidP="00BA3DBE">
            <w:pPr>
              <w:jc w:val="center"/>
              <w:rPr>
                <w:rFonts w:cs="Arial"/>
                <w:color w:val="000000" w:themeColor="text1"/>
                <w:szCs w:val="16"/>
              </w:rPr>
            </w:pPr>
            <w:r w:rsidRPr="00781112">
              <w:rPr>
                <w:rFonts w:cs="Arial"/>
                <w:color w:val="000000" w:themeColor="text1"/>
                <w:szCs w:val="16"/>
              </w:rPr>
              <w:t>Data</w:t>
            </w:r>
          </w:p>
        </w:tc>
        <w:tc>
          <w:tcPr>
            <w:tcW w:w="833" w:type="pct"/>
            <w:shd w:val="clear" w:color="auto" w:fill="auto"/>
          </w:tcPr>
          <w:p w14:paraId="581B8DC5" w14:textId="4F71DCFC" w:rsidR="008E31C4" w:rsidRPr="00781112" w:rsidRDefault="002B7490">
            <w:pPr>
              <w:jc w:val="center"/>
              <w:rPr>
                <w:rFonts w:cs="Arial"/>
                <w:color w:val="000000" w:themeColor="text1"/>
                <w:szCs w:val="16"/>
              </w:rPr>
            </w:pPr>
            <w:r w:rsidRPr="00781112">
              <w:rPr>
                <w:rFonts w:cs="Arial"/>
                <w:color w:val="000000" w:themeColor="text1"/>
                <w:szCs w:val="16"/>
              </w:rPr>
              <w:t>64.71%</w:t>
            </w:r>
          </w:p>
        </w:tc>
        <w:tc>
          <w:tcPr>
            <w:tcW w:w="918" w:type="pct"/>
            <w:shd w:val="clear" w:color="auto" w:fill="auto"/>
          </w:tcPr>
          <w:p w14:paraId="341A9DBA" w14:textId="51769052" w:rsidR="008E31C4" w:rsidRPr="00781112" w:rsidRDefault="002B7490">
            <w:pPr>
              <w:jc w:val="center"/>
              <w:rPr>
                <w:rFonts w:cs="Arial"/>
                <w:color w:val="000000" w:themeColor="text1"/>
                <w:szCs w:val="16"/>
              </w:rPr>
            </w:pPr>
            <w:r w:rsidRPr="00781112">
              <w:rPr>
                <w:rFonts w:cs="Arial"/>
                <w:color w:val="000000" w:themeColor="text1"/>
                <w:szCs w:val="16"/>
              </w:rPr>
              <w:t>44.00%</w:t>
            </w:r>
          </w:p>
        </w:tc>
        <w:tc>
          <w:tcPr>
            <w:tcW w:w="833" w:type="pct"/>
            <w:tcBorders>
              <w:bottom w:val="single" w:sz="4" w:space="0" w:color="auto"/>
            </w:tcBorders>
            <w:shd w:val="clear" w:color="auto" w:fill="auto"/>
            <w:vAlign w:val="center"/>
          </w:tcPr>
          <w:p w14:paraId="7C21B645" w14:textId="348DEE4D" w:rsidR="008E31C4" w:rsidRPr="00781112" w:rsidRDefault="002B7490">
            <w:pPr>
              <w:jc w:val="center"/>
              <w:rPr>
                <w:rFonts w:cs="Arial"/>
                <w:color w:val="000000" w:themeColor="text1"/>
                <w:szCs w:val="16"/>
              </w:rPr>
            </w:pPr>
            <w:r w:rsidRPr="00781112">
              <w:rPr>
                <w:rFonts w:cs="Arial"/>
                <w:color w:val="000000" w:themeColor="text1"/>
                <w:szCs w:val="16"/>
              </w:rPr>
              <w:t>50.00%</w:t>
            </w:r>
          </w:p>
        </w:tc>
        <w:tc>
          <w:tcPr>
            <w:tcW w:w="792" w:type="pct"/>
            <w:tcBorders>
              <w:bottom w:val="single" w:sz="4" w:space="0" w:color="auto"/>
            </w:tcBorders>
            <w:shd w:val="clear" w:color="auto" w:fill="auto"/>
            <w:vAlign w:val="center"/>
          </w:tcPr>
          <w:p w14:paraId="345A5CC5" w14:textId="67CE713B" w:rsidR="008E31C4" w:rsidRPr="00781112" w:rsidRDefault="002B7490">
            <w:pPr>
              <w:jc w:val="center"/>
              <w:rPr>
                <w:rFonts w:cs="Arial"/>
                <w:color w:val="000000" w:themeColor="text1"/>
                <w:szCs w:val="16"/>
              </w:rPr>
            </w:pPr>
            <w:r w:rsidRPr="00781112">
              <w:rPr>
                <w:rFonts w:cs="Arial"/>
                <w:color w:val="000000" w:themeColor="text1"/>
                <w:szCs w:val="16"/>
              </w:rPr>
              <w:t>78.26%</w:t>
            </w:r>
          </w:p>
        </w:tc>
        <w:tc>
          <w:tcPr>
            <w:tcW w:w="875" w:type="pct"/>
            <w:tcBorders>
              <w:bottom w:val="single" w:sz="4" w:space="0" w:color="auto"/>
            </w:tcBorders>
            <w:shd w:val="clear" w:color="auto" w:fill="auto"/>
            <w:vAlign w:val="center"/>
          </w:tcPr>
          <w:p w14:paraId="09A5B408" w14:textId="4B0EB3D1" w:rsidR="008E31C4" w:rsidRPr="00781112" w:rsidRDefault="002B7490">
            <w:pPr>
              <w:jc w:val="center"/>
              <w:rPr>
                <w:rFonts w:cs="Arial"/>
                <w:color w:val="000000" w:themeColor="text1"/>
                <w:szCs w:val="16"/>
              </w:rPr>
            </w:pPr>
            <w:r w:rsidRPr="00781112">
              <w:rPr>
                <w:rFonts w:cs="Arial"/>
                <w:color w:val="000000" w:themeColor="text1"/>
                <w:szCs w:val="16"/>
              </w:rPr>
              <w:t>73.08%</w:t>
            </w:r>
          </w:p>
        </w:tc>
      </w:tr>
    </w:tbl>
    <w:p w14:paraId="2B5B5701" w14:textId="2BB5836C" w:rsidR="00DA3157" w:rsidRPr="00781112" w:rsidRDefault="00DA3157">
      <w:pPr>
        <w:rPr>
          <w:color w:val="000000" w:themeColor="text1"/>
        </w:rPr>
      </w:pPr>
    </w:p>
    <w:p w14:paraId="0F09B55F" w14:textId="55F1767C" w:rsidR="008E31C4" w:rsidRPr="00781112" w:rsidRDefault="008E31C4" w:rsidP="004369B2">
      <w:pPr>
        <w:rPr>
          <w:color w:val="000000" w:themeColor="text1"/>
        </w:rPr>
      </w:pPr>
      <w:r w:rsidRPr="00781112">
        <w:rPr>
          <w:b/>
          <w:color w:val="000000" w:themeColor="text1"/>
        </w:rPr>
        <w:t>Targets</w:t>
      </w:r>
    </w:p>
    <w:tbl>
      <w:tblPr>
        <w:tblW w:w="2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6TARGETSOPT1"/>
      </w:tblPr>
      <w:tblGrid>
        <w:gridCol w:w="772"/>
        <w:gridCol w:w="1684"/>
        <w:gridCol w:w="1683"/>
        <w:gridCol w:w="1683"/>
      </w:tblGrid>
      <w:tr w:rsidR="00233EFB" w:rsidRPr="00781112" w14:paraId="7D6724D3" w14:textId="3FE2AE32" w:rsidTr="00FE4611">
        <w:trPr>
          <w:trHeight w:val="161"/>
        </w:trPr>
        <w:tc>
          <w:tcPr>
            <w:tcW w:w="664" w:type="pct"/>
            <w:tcBorders>
              <w:bottom w:val="single" w:sz="4" w:space="0" w:color="auto"/>
            </w:tcBorders>
            <w:shd w:val="clear" w:color="auto" w:fill="auto"/>
          </w:tcPr>
          <w:p w14:paraId="027FBB7B" w14:textId="77777777" w:rsidR="00233EFB" w:rsidRPr="00781112" w:rsidRDefault="00233EFB" w:rsidP="00C91F30">
            <w:pPr>
              <w:jc w:val="center"/>
              <w:rPr>
                <w:b/>
                <w:color w:val="000000" w:themeColor="text1"/>
              </w:rPr>
            </w:pPr>
            <w:r w:rsidRPr="00781112">
              <w:rPr>
                <w:b/>
                <w:color w:val="000000" w:themeColor="text1"/>
              </w:rPr>
              <w:t>FFY</w:t>
            </w:r>
          </w:p>
        </w:tc>
        <w:tc>
          <w:tcPr>
            <w:tcW w:w="1446" w:type="pct"/>
            <w:shd w:val="clear" w:color="auto" w:fill="auto"/>
          </w:tcPr>
          <w:p w14:paraId="79481979" w14:textId="1C95D22E" w:rsidR="00233EFB" w:rsidRPr="00781112" w:rsidRDefault="00233EFB" w:rsidP="00C91F30">
            <w:pPr>
              <w:jc w:val="center"/>
              <w:rPr>
                <w:b/>
                <w:color w:val="000000" w:themeColor="text1"/>
              </w:rPr>
            </w:pPr>
            <w:r w:rsidRPr="00781112">
              <w:rPr>
                <w:b/>
                <w:color w:val="000000" w:themeColor="text1"/>
              </w:rPr>
              <w:t>2023</w:t>
            </w:r>
          </w:p>
        </w:tc>
        <w:tc>
          <w:tcPr>
            <w:tcW w:w="1445" w:type="pct"/>
          </w:tcPr>
          <w:p w14:paraId="7641993D" w14:textId="318DCACC" w:rsidR="00233EFB" w:rsidRPr="00781112" w:rsidRDefault="00233EFB" w:rsidP="00C91F30">
            <w:pPr>
              <w:jc w:val="center"/>
              <w:rPr>
                <w:b/>
                <w:color w:val="000000" w:themeColor="text1"/>
              </w:rPr>
            </w:pPr>
            <w:r w:rsidRPr="00781112">
              <w:rPr>
                <w:rFonts w:cs="Arial"/>
                <w:b/>
                <w:color w:val="000000" w:themeColor="text1"/>
                <w:szCs w:val="16"/>
              </w:rPr>
              <w:t>2024</w:t>
            </w:r>
          </w:p>
        </w:tc>
        <w:tc>
          <w:tcPr>
            <w:tcW w:w="1445" w:type="pct"/>
          </w:tcPr>
          <w:p w14:paraId="4DA0BAA3" w14:textId="27A9B6F2" w:rsidR="00233EFB" w:rsidRPr="00781112" w:rsidRDefault="00233EFB" w:rsidP="00C91F30">
            <w:pPr>
              <w:jc w:val="center"/>
              <w:rPr>
                <w:b/>
                <w:color w:val="000000" w:themeColor="text1"/>
              </w:rPr>
            </w:pPr>
            <w:r w:rsidRPr="00781112">
              <w:rPr>
                <w:rFonts w:cs="Arial"/>
                <w:b/>
                <w:color w:val="000000" w:themeColor="text1"/>
                <w:szCs w:val="16"/>
              </w:rPr>
              <w:t>2025</w:t>
            </w:r>
          </w:p>
        </w:tc>
      </w:tr>
      <w:tr w:rsidR="00233EFB" w:rsidRPr="00781112" w14:paraId="3CA53C0F" w14:textId="2DEE5BE6" w:rsidTr="00FE4611">
        <w:trPr>
          <w:trHeight w:val="60"/>
        </w:trPr>
        <w:tc>
          <w:tcPr>
            <w:tcW w:w="664" w:type="pct"/>
            <w:shd w:val="clear" w:color="auto" w:fill="auto"/>
          </w:tcPr>
          <w:p w14:paraId="78FC9CAC" w14:textId="6980A1CA" w:rsidR="00233EFB" w:rsidRPr="00781112" w:rsidRDefault="00233EFB" w:rsidP="00C91F30">
            <w:pPr>
              <w:jc w:val="center"/>
              <w:rPr>
                <w:rFonts w:cs="Arial"/>
                <w:color w:val="000000" w:themeColor="text1"/>
                <w:szCs w:val="16"/>
              </w:rPr>
            </w:pPr>
            <w:r w:rsidRPr="00781112">
              <w:rPr>
                <w:rFonts w:cs="Arial"/>
                <w:color w:val="000000" w:themeColor="text1"/>
                <w:szCs w:val="16"/>
              </w:rPr>
              <w:t>Target &gt;=</w:t>
            </w:r>
          </w:p>
        </w:tc>
        <w:tc>
          <w:tcPr>
            <w:tcW w:w="1446" w:type="pct"/>
            <w:shd w:val="clear" w:color="auto" w:fill="auto"/>
            <w:vAlign w:val="center"/>
          </w:tcPr>
          <w:p w14:paraId="0E137397" w14:textId="06CBC1FD" w:rsidR="00233EFB" w:rsidRPr="00781112" w:rsidRDefault="00233EFB" w:rsidP="00C91F30">
            <w:pPr>
              <w:jc w:val="center"/>
              <w:rPr>
                <w:rFonts w:cs="Arial"/>
                <w:color w:val="000000" w:themeColor="text1"/>
                <w:szCs w:val="16"/>
              </w:rPr>
            </w:pPr>
            <w:r w:rsidRPr="00781112">
              <w:rPr>
                <w:rFonts w:cs="Arial"/>
                <w:color w:val="000000" w:themeColor="text1"/>
                <w:szCs w:val="16"/>
              </w:rPr>
              <w:t>90.00%</w:t>
            </w:r>
          </w:p>
        </w:tc>
        <w:tc>
          <w:tcPr>
            <w:tcW w:w="1445" w:type="pct"/>
          </w:tcPr>
          <w:p w14:paraId="2C484D83" w14:textId="77BCE060" w:rsidR="00233EFB" w:rsidRPr="00781112" w:rsidRDefault="00233EFB" w:rsidP="00C91F30">
            <w:pPr>
              <w:jc w:val="center"/>
              <w:rPr>
                <w:rFonts w:cs="Arial"/>
                <w:color w:val="000000" w:themeColor="text1"/>
                <w:szCs w:val="16"/>
              </w:rPr>
            </w:pPr>
            <w:r w:rsidRPr="00781112">
              <w:rPr>
                <w:color w:val="000000" w:themeColor="text1"/>
                <w:szCs w:val="16"/>
              </w:rPr>
              <w:t>90.00%</w:t>
            </w:r>
          </w:p>
        </w:tc>
        <w:tc>
          <w:tcPr>
            <w:tcW w:w="1445" w:type="pct"/>
          </w:tcPr>
          <w:p w14:paraId="6CD274F3" w14:textId="076582AE" w:rsidR="00233EFB" w:rsidRPr="00781112" w:rsidRDefault="00233EFB" w:rsidP="00C91F30">
            <w:pPr>
              <w:jc w:val="center"/>
              <w:rPr>
                <w:rFonts w:cs="Arial"/>
                <w:color w:val="000000" w:themeColor="text1"/>
                <w:szCs w:val="16"/>
              </w:rPr>
            </w:pPr>
            <w:r w:rsidRPr="00781112">
              <w:rPr>
                <w:color w:val="000000" w:themeColor="text1"/>
                <w:szCs w:val="16"/>
              </w:rPr>
              <w:t>90.00%</w:t>
            </w:r>
          </w:p>
        </w:tc>
      </w:tr>
    </w:tbl>
    <w:p w14:paraId="3BC65958" w14:textId="77777777" w:rsidR="00DA3157" w:rsidRPr="00781112" w:rsidRDefault="00DA3157" w:rsidP="004369B2">
      <w:pPr>
        <w:rPr>
          <w:color w:val="000000" w:themeColor="text1"/>
        </w:rPr>
      </w:pPr>
    </w:p>
    <w:p w14:paraId="29FDEA16" w14:textId="22A7ADF9" w:rsidR="008E31C4" w:rsidRPr="00781112" w:rsidRDefault="0047313F">
      <w:pPr>
        <w:rPr>
          <w:b/>
          <w:color w:val="000000" w:themeColor="text1"/>
        </w:rPr>
      </w:pPr>
      <w:r>
        <w:rPr>
          <w:b/>
          <w:color w:val="000000" w:themeColor="text1"/>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6CFFYAPRDATA1OPT1"/>
      </w:tblPr>
      <w:tblGrid>
        <w:gridCol w:w="1438"/>
        <w:gridCol w:w="1437"/>
        <w:gridCol w:w="1405"/>
        <w:gridCol w:w="1107"/>
        <w:gridCol w:w="1640"/>
        <w:gridCol w:w="1290"/>
        <w:gridCol w:w="1256"/>
        <w:gridCol w:w="1217"/>
      </w:tblGrid>
      <w:tr w:rsidR="00B21923" w:rsidRPr="00781112" w14:paraId="30B18EC1" w14:textId="77777777" w:rsidTr="0033429D">
        <w:trPr>
          <w:trHeight w:val="354"/>
          <w:tblHeader/>
        </w:trPr>
        <w:tc>
          <w:tcPr>
            <w:tcW w:w="666" w:type="pct"/>
            <w:shd w:val="clear" w:color="auto" w:fill="auto"/>
          </w:tcPr>
          <w:p w14:paraId="2285C16D" w14:textId="593BA89E" w:rsidR="00B21923" w:rsidRPr="00781112" w:rsidRDefault="00B21923" w:rsidP="00B21923">
            <w:pPr>
              <w:jc w:val="center"/>
              <w:rPr>
                <w:rFonts w:cs="Arial"/>
                <w:b/>
                <w:color w:val="000000" w:themeColor="text1"/>
                <w:szCs w:val="16"/>
              </w:rPr>
            </w:pPr>
            <w:r w:rsidRPr="00781112">
              <w:rPr>
                <w:rFonts w:cs="Arial"/>
                <w:b/>
                <w:color w:val="000000" w:themeColor="text1"/>
                <w:szCs w:val="16"/>
              </w:rPr>
              <w:t>2.1.a.i Mediation agreements related to due process complaints</w:t>
            </w:r>
          </w:p>
        </w:tc>
        <w:tc>
          <w:tcPr>
            <w:tcW w:w="666" w:type="pct"/>
            <w:shd w:val="clear" w:color="auto" w:fill="auto"/>
            <w:vAlign w:val="bottom"/>
          </w:tcPr>
          <w:p w14:paraId="0D0A1148" w14:textId="5AB9157D" w:rsidR="00B21923" w:rsidRPr="00781112" w:rsidRDefault="00B21923" w:rsidP="00B21923">
            <w:pPr>
              <w:jc w:val="center"/>
              <w:rPr>
                <w:rFonts w:cs="Arial"/>
                <w:b/>
                <w:color w:val="000000" w:themeColor="text1"/>
                <w:szCs w:val="16"/>
              </w:rPr>
            </w:pPr>
            <w:r w:rsidRPr="00781112">
              <w:rPr>
                <w:rFonts w:cs="Arial"/>
                <w:b/>
                <w:color w:val="000000" w:themeColor="text1"/>
                <w:szCs w:val="16"/>
              </w:rPr>
              <w:t>2.1.b.i Mediation agreements not related to due process complaints</w:t>
            </w:r>
          </w:p>
        </w:tc>
        <w:tc>
          <w:tcPr>
            <w:tcW w:w="651" w:type="pct"/>
            <w:shd w:val="clear" w:color="auto" w:fill="auto"/>
            <w:vAlign w:val="bottom"/>
          </w:tcPr>
          <w:p w14:paraId="5645AEFA" w14:textId="3277104A" w:rsidR="00B21923" w:rsidRPr="00781112" w:rsidRDefault="00B21923" w:rsidP="00B21923">
            <w:pPr>
              <w:jc w:val="center"/>
              <w:rPr>
                <w:rFonts w:cs="Arial"/>
                <w:b/>
                <w:color w:val="000000" w:themeColor="text1"/>
                <w:szCs w:val="16"/>
              </w:rPr>
            </w:pPr>
            <w:r w:rsidRPr="00781112">
              <w:rPr>
                <w:rFonts w:cs="Arial"/>
                <w:b/>
                <w:color w:val="000000" w:themeColor="text1"/>
                <w:szCs w:val="16"/>
              </w:rPr>
              <w:t>2.1 Number of mediations held</w:t>
            </w:r>
          </w:p>
        </w:tc>
        <w:tc>
          <w:tcPr>
            <w:tcW w:w="513" w:type="pct"/>
            <w:shd w:val="clear" w:color="auto" w:fill="auto"/>
            <w:vAlign w:val="bottom"/>
          </w:tcPr>
          <w:p w14:paraId="4A569306" w14:textId="15C9FFED" w:rsidR="00B21923" w:rsidRPr="006D0A52" w:rsidRDefault="00B21923" w:rsidP="00B21923">
            <w:pPr>
              <w:jc w:val="center"/>
              <w:rPr>
                <w:rFonts w:cs="Arial"/>
                <w:b/>
                <w:bCs/>
                <w:color w:val="000000" w:themeColor="text1"/>
                <w:szCs w:val="16"/>
              </w:rPr>
            </w:pPr>
            <w:r w:rsidRPr="006D0A52">
              <w:rPr>
                <w:b/>
                <w:bCs/>
              </w:rPr>
              <w:t>FFY 2022 Data</w:t>
            </w:r>
          </w:p>
        </w:tc>
        <w:tc>
          <w:tcPr>
            <w:tcW w:w="760" w:type="pct"/>
            <w:shd w:val="clear" w:color="auto" w:fill="auto"/>
            <w:vAlign w:val="bottom"/>
          </w:tcPr>
          <w:p w14:paraId="76531DBA" w14:textId="016BF21B" w:rsidR="00B21923" w:rsidRPr="006D0A52" w:rsidRDefault="00B21923" w:rsidP="00B21923">
            <w:pPr>
              <w:jc w:val="center"/>
              <w:rPr>
                <w:rFonts w:cs="Arial"/>
                <w:b/>
                <w:bCs/>
                <w:color w:val="000000" w:themeColor="text1"/>
                <w:szCs w:val="16"/>
              </w:rPr>
            </w:pPr>
            <w:r w:rsidRPr="006D0A52">
              <w:rPr>
                <w:b/>
                <w:bCs/>
              </w:rPr>
              <w:t>FFY 2023 Target</w:t>
            </w:r>
          </w:p>
        </w:tc>
        <w:tc>
          <w:tcPr>
            <w:tcW w:w="598" w:type="pct"/>
            <w:shd w:val="clear" w:color="auto" w:fill="auto"/>
            <w:vAlign w:val="bottom"/>
          </w:tcPr>
          <w:p w14:paraId="6DA84C86" w14:textId="2533A278" w:rsidR="00B21923" w:rsidRPr="006D0A52" w:rsidRDefault="00B21923" w:rsidP="00B21923">
            <w:pPr>
              <w:jc w:val="center"/>
              <w:rPr>
                <w:rFonts w:cs="Arial"/>
                <w:b/>
                <w:bCs/>
                <w:color w:val="000000" w:themeColor="text1"/>
                <w:szCs w:val="16"/>
              </w:rPr>
            </w:pPr>
            <w:r w:rsidRPr="006D0A52">
              <w:rPr>
                <w:b/>
                <w:bCs/>
              </w:rPr>
              <w:t>FFY 2023 Data</w:t>
            </w:r>
          </w:p>
        </w:tc>
        <w:tc>
          <w:tcPr>
            <w:tcW w:w="582" w:type="pct"/>
            <w:shd w:val="clear" w:color="auto" w:fill="auto"/>
            <w:vAlign w:val="bottom"/>
          </w:tcPr>
          <w:p w14:paraId="6C8C9681"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Status</w:t>
            </w:r>
          </w:p>
        </w:tc>
        <w:tc>
          <w:tcPr>
            <w:tcW w:w="564" w:type="pct"/>
            <w:shd w:val="clear" w:color="auto" w:fill="auto"/>
            <w:vAlign w:val="bottom"/>
          </w:tcPr>
          <w:p w14:paraId="6876CD5E" w14:textId="77777777" w:rsidR="00B21923" w:rsidRPr="00781112" w:rsidRDefault="00B21923" w:rsidP="00B21923">
            <w:pPr>
              <w:jc w:val="center"/>
              <w:rPr>
                <w:rFonts w:cs="Arial"/>
                <w:b/>
                <w:color w:val="000000" w:themeColor="text1"/>
                <w:szCs w:val="16"/>
              </w:rPr>
            </w:pPr>
            <w:r w:rsidRPr="00781112">
              <w:rPr>
                <w:rFonts w:cs="Arial"/>
                <w:b/>
                <w:color w:val="000000" w:themeColor="text1"/>
                <w:szCs w:val="16"/>
              </w:rPr>
              <w:t>Slippage</w:t>
            </w:r>
          </w:p>
        </w:tc>
      </w:tr>
      <w:tr w:rsidR="005C29F8" w:rsidRPr="00781112" w14:paraId="580CADA4" w14:textId="77777777" w:rsidTr="00326814">
        <w:trPr>
          <w:trHeight w:val="361"/>
        </w:trPr>
        <w:tc>
          <w:tcPr>
            <w:tcW w:w="666" w:type="pct"/>
            <w:shd w:val="clear" w:color="auto" w:fill="auto"/>
          </w:tcPr>
          <w:p w14:paraId="229DBD16" w14:textId="3985AF14" w:rsidR="00ED71A6" w:rsidRPr="00781112" w:rsidRDefault="002B7490" w:rsidP="004369B2">
            <w:pPr>
              <w:jc w:val="center"/>
              <w:rPr>
                <w:rFonts w:cs="Arial"/>
                <w:color w:val="000000" w:themeColor="text1"/>
                <w:szCs w:val="16"/>
              </w:rPr>
            </w:pPr>
            <w:r w:rsidRPr="00781112">
              <w:rPr>
                <w:rFonts w:cs="Arial"/>
                <w:color w:val="000000" w:themeColor="text1"/>
                <w:szCs w:val="16"/>
              </w:rPr>
              <w:t>3</w:t>
            </w:r>
          </w:p>
        </w:tc>
        <w:tc>
          <w:tcPr>
            <w:tcW w:w="666" w:type="pct"/>
            <w:shd w:val="clear" w:color="auto" w:fill="auto"/>
          </w:tcPr>
          <w:p w14:paraId="26BE4267" w14:textId="64153881" w:rsidR="00ED71A6" w:rsidRPr="00781112" w:rsidRDefault="002B7490" w:rsidP="004369B2">
            <w:pPr>
              <w:jc w:val="center"/>
              <w:rPr>
                <w:rFonts w:cs="Arial"/>
                <w:color w:val="000000" w:themeColor="text1"/>
                <w:szCs w:val="16"/>
              </w:rPr>
            </w:pPr>
            <w:r w:rsidRPr="00781112">
              <w:rPr>
                <w:rFonts w:cs="Arial"/>
                <w:color w:val="000000" w:themeColor="text1"/>
                <w:szCs w:val="16"/>
              </w:rPr>
              <w:t>16</w:t>
            </w:r>
          </w:p>
        </w:tc>
        <w:tc>
          <w:tcPr>
            <w:tcW w:w="651" w:type="pct"/>
            <w:shd w:val="clear" w:color="auto" w:fill="auto"/>
            <w:vAlign w:val="center"/>
          </w:tcPr>
          <w:p w14:paraId="6C063D69" w14:textId="6595E94B" w:rsidR="00ED71A6" w:rsidRPr="00781112" w:rsidRDefault="002B7490" w:rsidP="004369B2">
            <w:pPr>
              <w:jc w:val="center"/>
              <w:rPr>
                <w:rFonts w:cs="Arial"/>
                <w:color w:val="000000" w:themeColor="text1"/>
                <w:szCs w:val="16"/>
              </w:rPr>
            </w:pPr>
            <w:r w:rsidRPr="00781112">
              <w:rPr>
                <w:rFonts w:cs="Arial"/>
                <w:color w:val="000000" w:themeColor="text1"/>
                <w:szCs w:val="16"/>
              </w:rPr>
              <w:t>30</w:t>
            </w:r>
          </w:p>
        </w:tc>
        <w:tc>
          <w:tcPr>
            <w:tcW w:w="513" w:type="pct"/>
            <w:shd w:val="clear" w:color="auto" w:fill="auto"/>
          </w:tcPr>
          <w:p w14:paraId="466ED6BC" w14:textId="5349E9C8" w:rsidR="00ED71A6" w:rsidRPr="00781112" w:rsidRDefault="002B7490" w:rsidP="004369B2">
            <w:pPr>
              <w:jc w:val="center"/>
              <w:rPr>
                <w:rFonts w:cs="Arial"/>
                <w:color w:val="000000" w:themeColor="text1"/>
                <w:szCs w:val="16"/>
              </w:rPr>
            </w:pPr>
            <w:r w:rsidRPr="00781112">
              <w:rPr>
                <w:rFonts w:cs="Arial"/>
                <w:color w:val="000000" w:themeColor="text1"/>
                <w:szCs w:val="16"/>
              </w:rPr>
              <w:t>73.08%</w:t>
            </w:r>
          </w:p>
        </w:tc>
        <w:tc>
          <w:tcPr>
            <w:tcW w:w="760" w:type="pct"/>
            <w:shd w:val="clear" w:color="auto" w:fill="auto"/>
          </w:tcPr>
          <w:p w14:paraId="2530D239" w14:textId="21181E1F" w:rsidR="00ED71A6" w:rsidRPr="00781112" w:rsidRDefault="002B7490" w:rsidP="004369B2">
            <w:pPr>
              <w:jc w:val="center"/>
              <w:rPr>
                <w:rFonts w:cs="Arial"/>
                <w:color w:val="000000" w:themeColor="text1"/>
                <w:szCs w:val="16"/>
              </w:rPr>
            </w:pPr>
            <w:r w:rsidRPr="00781112">
              <w:rPr>
                <w:rFonts w:cs="Arial"/>
                <w:color w:val="000000" w:themeColor="text1"/>
                <w:szCs w:val="16"/>
              </w:rPr>
              <w:t>90.00%</w:t>
            </w:r>
          </w:p>
        </w:tc>
        <w:tc>
          <w:tcPr>
            <w:tcW w:w="598" w:type="pct"/>
            <w:shd w:val="clear" w:color="auto" w:fill="auto"/>
          </w:tcPr>
          <w:p w14:paraId="5CFDAC12" w14:textId="030BF46B" w:rsidR="00ED71A6" w:rsidRPr="00781112" w:rsidRDefault="002B7490" w:rsidP="004369B2">
            <w:pPr>
              <w:jc w:val="center"/>
              <w:rPr>
                <w:rFonts w:cs="Arial"/>
                <w:color w:val="000000" w:themeColor="text1"/>
                <w:szCs w:val="16"/>
              </w:rPr>
            </w:pPr>
            <w:r w:rsidRPr="00781112">
              <w:rPr>
                <w:rFonts w:cs="Arial"/>
                <w:color w:val="000000" w:themeColor="text1"/>
                <w:szCs w:val="16"/>
              </w:rPr>
              <w:t>63.33%</w:t>
            </w:r>
          </w:p>
        </w:tc>
        <w:tc>
          <w:tcPr>
            <w:tcW w:w="582" w:type="pct"/>
            <w:shd w:val="clear" w:color="auto" w:fill="auto"/>
          </w:tcPr>
          <w:p w14:paraId="0ABF26CD" w14:textId="7C384528" w:rsidR="00ED71A6" w:rsidRPr="00781112" w:rsidRDefault="002B7490" w:rsidP="004369B2">
            <w:pPr>
              <w:jc w:val="center"/>
              <w:rPr>
                <w:rFonts w:cs="Arial"/>
                <w:color w:val="000000" w:themeColor="text1"/>
                <w:szCs w:val="16"/>
              </w:rPr>
            </w:pPr>
            <w:r w:rsidRPr="00781112">
              <w:rPr>
                <w:rFonts w:cs="Arial"/>
                <w:color w:val="000000" w:themeColor="text1"/>
                <w:szCs w:val="16"/>
              </w:rPr>
              <w:t>Did not meet target</w:t>
            </w:r>
          </w:p>
        </w:tc>
        <w:tc>
          <w:tcPr>
            <w:tcW w:w="564" w:type="pct"/>
            <w:shd w:val="clear" w:color="auto" w:fill="auto"/>
          </w:tcPr>
          <w:p w14:paraId="62404E67" w14:textId="522FE20B" w:rsidR="00ED71A6" w:rsidRPr="00781112" w:rsidRDefault="002B7490" w:rsidP="004369B2">
            <w:pPr>
              <w:jc w:val="center"/>
              <w:rPr>
                <w:rFonts w:cs="Arial"/>
                <w:color w:val="000000" w:themeColor="text1"/>
                <w:szCs w:val="16"/>
              </w:rPr>
            </w:pPr>
            <w:r w:rsidRPr="00781112">
              <w:rPr>
                <w:rFonts w:cs="Arial"/>
                <w:color w:val="000000" w:themeColor="text1"/>
                <w:szCs w:val="16"/>
              </w:rPr>
              <w:t>Slippage</w:t>
            </w:r>
          </w:p>
        </w:tc>
      </w:tr>
    </w:tbl>
    <w:p w14:paraId="03422290" w14:textId="77777777" w:rsidR="00BB79DA" w:rsidRPr="00781112" w:rsidRDefault="00BB79DA">
      <w:pPr>
        <w:rPr>
          <w:color w:val="000000" w:themeColor="text1"/>
        </w:rPr>
      </w:pPr>
    </w:p>
    <w:p w14:paraId="24CDA891" w14:textId="493C5E97" w:rsidR="0059249C" w:rsidRPr="00781112" w:rsidRDefault="00293C7E" w:rsidP="0059249C">
      <w:pPr>
        <w:rPr>
          <w:rFonts w:cs="Arial"/>
          <w:b/>
          <w:i/>
          <w:color w:val="000000" w:themeColor="text1"/>
          <w:szCs w:val="16"/>
        </w:rPr>
      </w:pPr>
      <w:r w:rsidRPr="00781112">
        <w:rPr>
          <w:rFonts w:cs="Arial"/>
          <w:b/>
          <w:color w:val="000000" w:themeColor="text1"/>
          <w:szCs w:val="16"/>
        </w:rPr>
        <w:t>Provide reasons for slippage, if applicable</w:t>
      </w:r>
    </w:p>
    <w:p w14:paraId="79351ACD" w14:textId="4DA6F153" w:rsidR="00293C7E" w:rsidRPr="00781112" w:rsidRDefault="002B7490" w:rsidP="007D435F">
      <w:pPr>
        <w:rPr>
          <w:rFonts w:cs="Arial"/>
          <w:color w:val="000000" w:themeColor="text1"/>
          <w:szCs w:val="16"/>
        </w:rPr>
      </w:pPr>
      <w:r w:rsidRPr="00781112">
        <w:rPr>
          <w:rFonts w:cs="Arial"/>
          <w:color w:val="000000" w:themeColor="text1"/>
          <w:szCs w:val="16"/>
        </w:rPr>
        <w:t xml:space="preserve">The State has analyzed the factors contributing to slippage and determined that it may be due to an increase in the number of mediations and the growing complexity of disputes between parents and school districts. From FFY 2022 to FFY 2023, the number of mediations rose from 26 to 30, while the total number of agreements remained unchanged at 19 per year. The increased complexity of disputes reflects the increasingly diverse needs of students, the legal and factual intricacies of cases, and challenges in communication and collaboration between parents and school districts. This slippage is not attributable to any changes in policy or law during this period. </w:t>
      </w:r>
    </w:p>
    <w:p w14:paraId="7653BA1E" w14:textId="77777777" w:rsidR="00913A33" w:rsidRPr="00781112" w:rsidRDefault="00913A33" w:rsidP="00913A33">
      <w:pPr>
        <w:rPr>
          <w:rFonts w:cs="Arial"/>
          <w:b/>
          <w:color w:val="000000" w:themeColor="text1"/>
          <w:szCs w:val="16"/>
        </w:rPr>
      </w:pPr>
      <w:r w:rsidRPr="00781112">
        <w:rPr>
          <w:rFonts w:cs="Arial"/>
          <w:b/>
          <w:color w:val="000000" w:themeColor="text1"/>
          <w:szCs w:val="16"/>
        </w:rPr>
        <w:t>Provide additional information about this indicator (optional)</w:t>
      </w:r>
    </w:p>
    <w:p w14:paraId="609BD927" w14:textId="47FAE461" w:rsidR="00293C7E" w:rsidRPr="00781112" w:rsidRDefault="00293C7E" w:rsidP="007D435F">
      <w:pPr>
        <w:rPr>
          <w:rFonts w:cs="Arial"/>
          <w:color w:val="000000" w:themeColor="text1"/>
          <w:szCs w:val="16"/>
        </w:rPr>
      </w:pPr>
    </w:p>
    <w:p w14:paraId="01544738" w14:textId="0D3ECCB4" w:rsidR="00293C7E" w:rsidRPr="00781112" w:rsidRDefault="001C46DC" w:rsidP="005B40C0">
      <w:pPr>
        <w:pStyle w:val="Heading3"/>
      </w:pPr>
      <w:r w:rsidRPr="00781112">
        <w:t>16</w:t>
      </w:r>
      <w:r w:rsidR="001D508D" w:rsidRPr="00781112">
        <w:t xml:space="preserve"> </w:t>
      </w:r>
      <w:r w:rsidRPr="00781112">
        <w:t xml:space="preserve">- </w:t>
      </w:r>
      <w:r w:rsidR="00293C7E" w:rsidRPr="00781112">
        <w:t>Prior FFY Required Actions</w:t>
      </w:r>
    </w:p>
    <w:p w14:paraId="7049B053" w14:textId="64040937" w:rsidR="009F69E7" w:rsidRPr="00781112" w:rsidRDefault="002B7490" w:rsidP="00293C7E">
      <w:pPr>
        <w:rPr>
          <w:rFonts w:cs="Arial"/>
          <w:color w:val="000000" w:themeColor="text1"/>
          <w:szCs w:val="16"/>
        </w:rPr>
      </w:pPr>
      <w:r w:rsidRPr="00781112">
        <w:rPr>
          <w:rFonts w:cs="Arial"/>
          <w:color w:val="000000" w:themeColor="text1"/>
          <w:szCs w:val="16"/>
        </w:rPr>
        <w:t>None</w:t>
      </w:r>
    </w:p>
    <w:p w14:paraId="169C5129" w14:textId="3D3FC1C0" w:rsidR="00913A33" w:rsidRPr="00781112" w:rsidRDefault="001C46DC" w:rsidP="005B40C0">
      <w:pPr>
        <w:pStyle w:val="Heading3"/>
      </w:pPr>
      <w:r w:rsidRPr="00781112">
        <w:t>16 - OSEP Response</w:t>
      </w:r>
    </w:p>
    <w:p w14:paraId="5F7A0890" w14:textId="4F76A7D5" w:rsidR="00293C7E" w:rsidRPr="00781112" w:rsidRDefault="002B7490" w:rsidP="001F692C">
      <w:pPr>
        <w:rPr>
          <w:rFonts w:cs="Arial"/>
          <w:color w:val="000000" w:themeColor="text1"/>
          <w:szCs w:val="16"/>
        </w:rPr>
      </w:pPr>
      <w:r w:rsidRPr="00781112">
        <w:rPr>
          <w:rFonts w:cs="Arial"/>
          <w:color w:val="000000" w:themeColor="text1"/>
          <w:szCs w:val="16"/>
        </w:rPr>
        <w:t>The State provided targets for this indicator, and OSEP accepts those targets.</w:t>
      </w:r>
    </w:p>
    <w:p w14:paraId="55A8CDDB" w14:textId="51F8AA9B" w:rsidR="00913A33" w:rsidRPr="00781112" w:rsidRDefault="001C46DC" w:rsidP="005B40C0">
      <w:pPr>
        <w:pStyle w:val="Heading3"/>
      </w:pPr>
      <w:r w:rsidRPr="00781112">
        <w:t>16 - Required Actions</w:t>
      </w:r>
    </w:p>
    <w:p w14:paraId="72813E4E" w14:textId="532E1944" w:rsidR="00293C7E" w:rsidRPr="00781112" w:rsidRDefault="00293C7E" w:rsidP="001F692C">
      <w:pPr>
        <w:rPr>
          <w:rFonts w:cs="Arial"/>
          <w:color w:val="000000" w:themeColor="text1"/>
          <w:szCs w:val="16"/>
        </w:rPr>
      </w:pPr>
    </w:p>
    <w:p w14:paraId="79966887" w14:textId="11440645" w:rsidR="00755AF7" w:rsidRPr="00781112" w:rsidRDefault="00755AF7">
      <w:pPr>
        <w:spacing w:before="0" w:after="200" w:line="276" w:lineRule="auto"/>
        <w:rPr>
          <w:rFonts w:cs="Arial"/>
          <w:color w:val="000000" w:themeColor="text1"/>
          <w:szCs w:val="16"/>
        </w:rPr>
      </w:pPr>
    </w:p>
    <w:p w14:paraId="40F6AE64" w14:textId="77777777" w:rsidR="00AE1972" w:rsidRPr="00781112" w:rsidRDefault="00AE1972">
      <w:pPr>
        <w:spacing w:before="0" w:after="200" w:line="276" w:lineRule="auto"/>
        <w:rPr>
          <w:color w:val="000000" w:themeColor="text1"/>
        </w:rPr>
      </w:pPr>
      <w:r w:rsidRPr="00781112">
        <w:rPr>
          <w:color w:val="000000" w:themeColor="text1"/>
        </w:rPr>
        <w:br w:type="page"/>
      </w:r>
    </w:p>
    <w:p w14:paraId="528D0D37" w14:textId="5C401108" w:rsidR="00AE1972" w:rsidRPr="00781112" w:rsidRDefault="00AE1972" w:rsidP="005B40C0">
      <w:pPr>
        <w:pStyle w:val="Heading2"/>
      </w:pPr>
      <w:r w:rsidRPr="00781112">
        <w:rPr>
          <w:color w:val="000000" w:themeColor="text1"/>
        </w:rPr>
        <w:lastRenderedPageBreak/>
        <w:t>Indicator 17: State Systemic Improvement Plan</w:t>
      </w:r>
    </w:p>
    <w:p w14:paraId="0840DD7C" w14:textId="506C372A" w:rsidR="00AE1972" w:rsidRPr="002C274F" w:rsidRDefault="00AE1972" w:rsidP="002C274F">
      <w:pPr>
        <w:rPr>
          <w:b/>
          <w:bCs/>
          <w:sz w:val="20"/>
          <w:szCs w:val="20"/>
        </w:rPr>
      </w:pPr>
      <w:r w:rsidRPr="002C274F">
        <w:rPr>
          <w:b/>
          <w:bCs/>
          <w:sz w:val="20"/>
          <w:szCs w:val="20"/>
        </w:rPr>
        <w:t>Instructions and Measurement</w:t>
      </w:r>
    </w:p>
    <w:p w14:paraId="3B7DA41B" w14:textId="77777777" w:rsidR="00AE1972" w:rsidRPr="00781112" w:rsidRDefault="00AE1972" w:rsidP="00AE1972">
      <w:pPr>
        <w:rPr>
          <w:color w:val="000000" w:themeColor="text1"/>
          <w:szCs w:val="16"/>
        </w:rPr>
      </w:pPr>
      <w:r w:rsidRPr="00781112">
        <w:rPr>
          <w:b/>
          <w:color w:val="000000" w:themeColor="text1"/>
          <w:szCs w:val="16"/>
        </w:rPr>
        <w:t xml:space="preserve">Monitoring Priority: </w:t>
      </w:r>
      <w:r w:rsidRPr="00781112">
        <w:rPr>
          <w:color w:val="000000" w:themeColor="text1"/>
          <w:szCs w:val="16"/>
        </w:rPr>
        <w:t xml:space="preserve">General Supervision </w:t>
      </w:r>
    </w:p>
    <w:p w14:paraId="5E0D7347" w14:textId="77777777" w:rsidR="00AE1972" w:rsidRPr="00781112" w:rsidRDefault="00AE1972" w:rsidP="00AE1972">
      <w:pPr>
        <w:rPr>
          <w:b/>
          <w:color w:val="000000" w:themeColor="text1"/>
          <w:szCs w:val="16"/>
        </w:rPr>
      </w:pPr>
      <w:r w:rsidRPr="00781112">
        <w:rPr>
          <w:color w:val="000000" w:themeColor="text1"/>
          <w:szCs w:val="16"/>
        </w:rPr>
        <w:t>The State’s SPP/APR includes a State Systemic Improvement Plan (SSIP) that meets the requirements set forth for this indicator.</w:t>
      </w:r>
    </w:p>
    <w:p w14:paraId="450C51F8" w14:textId="77777777" w:rsidR="00AE1972" w:rsidRPr="00781112" w:rsidRDefault="00AE1972" w:rsidP="00AE1972">
      <w:pPr>
        <w:rPr>
          <w:b/>
          <w:color w:val="000000" w:themeColor="text1"/>
        </w:rPr>
      </w:pPr>
      <w:r w:rsidRPr="00781112">
        <w:rPr>
          <w:b/>
          <w:color w:val="000000" w:themeColor="text1"/>
        </w:rPr>
        <w:t>Measurement</w:t>
      </w:r>
    </w:p>
    <w:p w14:paraId="04B17582" w14:textId="6FB0482A" w:rsidR="00AE1972" w:rsidRPr="00781112" w:rsidRDefault="00AE1972" w:rsidP="00AE1972">
      <w:r w:rsidRPr="00781112">
        <w:t xml:space="preserve">The State’s SPP/APR includes an SSIP that is a comprehensive, ambitious, yet achievable multi-year plan for improving results </w:t>
      </w:r>
      <w:r w:rsidR="00002E37" w:rsidRPr="00651E83">
        <w:rPr>
          <w:rFonts w:cs="Arial"/>
          <w:szCs w:val="16"/>
        </w:rPr>
        <w:t xml:space="preserve">for </w:t>
      </w:r>
      <w:r w:rsidR="006B5750">
        <w:rPr>
          <w:rFonts w:cs="Arial"/>
          <w:szCs w:val="16"/>
        </w:rPr>
        <w:t>children</w:t>
      </w:r>
      <w:r w:rsidR="006B5750" w:rsidRPr="00651E83">
        <w:rPr>
          <w:rFonts w:cs="Arial"/>
          <w:szCs w:val="16"/>
        </w:rPr>
        <w:t xml:space="preserve"> </w:t>
      </w:r>
      <w:r w:rsidR="00002E37" w:rsidRPr="00651E83">
        <w:rPr>
          <w:rFonts w:cs="Arial"/>
          <w:szCs w:val="16"/>
        </w:rPr>
        <w:t>with disabilities</w:t>
      </w:r>
      <w:r w:rsidRPr="00781112">
        <w:t>. The SSIP includes each of the components described below.</w:t>
      </w:r>
    </w:p>
    <w:p w14:paraId="26F5AA9C" w14:textId="77777777" w:rsidR="00AE1972" w:rsidRPr="00781112" w:rsidRDefault="00AE1972" w:rsidP="00AE1972">
      <w:pPr>
        <w:rPr>
          <w:b/>
          <w:color w:val="000000" w:themeColor="text1"/>
        </w:rPr>
      </w:pPr>
      <w:r w:rsidRPr="00781112">
        <w:rPr>
          <w:b/>
          <w:color w:val="000000" w:themeColor="text1"/>
        </w:rPr>
        <w:t>Instructions</w:t>
      </w:r>
    </w:p>
    <w:p w14:paraId="399EE6DB" w14:textId="0F3AA5AD" w:rsidR="00AE1972" w:rsidRPr="00781112" w:rsidRDefault="00AE1972" w:rsidP="00AE1972">
      <w:r w:rsidRPr="00781112">
        <w:rPr>
          <w:b/>
          <w:iCs/>
          <w:u w:val="single"/>
        </w:rPr>
        <w:t>Baseline Data</w:t>
      </w:r>
      <w:r w:rsidRPr="00781112">
        <w:rPr>
          <w:b/>
          <w:i/>
        </w:rPr>
        <w:t>:</w:t>
      </w:r>
      <w:r w:rsidRPr="00781112">
        <w:t xml:space="preserve"> The State must provide baseline data that must be expressed as a percentage</w:t>
      </w:r>
      <w:r w:rsidR="00857A31">
        <w:t>,</w:t>
      </w:r>
      <w:r w:rsidRPr="00781112">
        <w:t xml:space="preserve"> and which is aligned with the State-identified Measurable Result(s) </w:t>
      </w:r>
      <w:r w:rsidR="00EE0EC5">
        <w:t xml:space="preserve">(SiMR) </w:t>
      </w:r>
      <w:r w:rsidRPr="00781112">
        <w:t xml:space="preserve">for </w:t>
      </w:r>
      <w:r w:rsidR="00B00A11" w:rsidRPr="00781112">
        <w:rPr>
          <w:rFonts w:cs="Arial"/>
          <w:szCs w:val="16"/>
        </w:rPr>
        <w:t>Children with Disabilities.</w:t>
      </w:r>
    </w:p>
    <w:p w14:paraId="200B44A4" w14:textId="29C60E76" w:rsidR="00AE1972" w:rsidRPr="00781112" w:rsidRDefault="00AE1972" w:rsidP="00AE1972">
      <w:r w:rsidRPr="00781112">
        <w:rPr>
          <w:b/>
          <w:iCs/>
          <w:u w:val="single"/>
        </w:rPr>
        <w:t>Targets</w:t>
      </w:r>
      <w:r w:rsidRPr="00781112">
        <w:rPr>
          <w:b/>
          <w:i/>
        </w:rPr>
        <w:t>:</w:t>
      </w:r>
      <w:r w:rsidRPr="00781112">
        <w:t xml:space="preserve"> </w:t>
      </w:r>
      <w:r w:rsidR="00E101A7" w:rsidRPr="00781112">
        <w:rPr>
          <w:rFonts w:cs="Arial"/>
          <w:szCs w:val="16"/>
        </w:rPr>
        <w:t xml:space="preserve">In its </w:t>
      </w:r>
      <w:r w:rsidR="0047313F">
        <w:rPr>
          <w:rFonts w:cs="Arial"/>
          <w:szCs w:val="16"/>
        </w:rPr>
        <w:t>FFY 202</w:t>
      </w:r>
      <w:r w:rsidR="00B632B8">
        <w:rPr>
          <w:rFonts w:cs="Arial"/>
          <w:szCs w:val="16"/>
        </w:rPr>
        <w:t>0</w:t>
      </w:r>
      <w:r w:rsidR="0047313F">
        <w:rPr>
          <w:rFonts w:cs="Arial"/>
          <w:szCs w:val="16"/>
        </w:rPr>
        <w:t xml:space="preserve"> SPP/APR, due </w:t>
      </w:r>
      <w:r w:rsidR="00AD1B29">
        <w:rPr>
          <w:rFonts w:cs="Arial"/>
          <w:szCs w:val="16"/>
        </w:rPr>
        <w:t>February 1, 202</w:t>
      </w:r>
      <w:r w:rsidR="00B632B8">
        <w:rPr>
          <w:rFonts w:cs="Arial"/>
          <w:szCs w:val="16"/>
        </w:rPr>
        <w:t>2</w:t>
      </w:r>
      <w:r w:rsidR="00E101A7" w:rsidRPr="00781112">
        <w:rPr>
          <w:rFonts w:cs="Arial"/>
          <w:szCs w:val="16"/>
        </w:rPr>
        <w:t xml:space="preserve">, the State must provide measurable and rigorous targets (expressed as percentages) for each of the </w:t>
      </w:r>
      <w:r w:rsidR="00F35094">
        <w:rPr>
          <w:rFonts w:cs="Arial"/>
          <w:szCs w:val="16"/>
        </w:rPr>
        <w:t xml:space="preserve">six </w:t>
      </w:r>
      <w:r w:rsidR="00E101A7" w:rsidRPr="00781112">
        <w:rPr>
          <w:rFonts w:cs="Arial"/>
          <w:szCs w:val="16"/>
        </w:rPr>
        <w:t xml:space="preserve">years from FFY </w:t>
      </w:r>
      <w:r w:rsidR="00B21923" w:rsidRPr="00781112">
        <w:rPr>
          <w:rFonts w:cs="Arial"/>
          <w:szCs w:val="16"/>
        </w:rPr>
        <w:t>202</w:t>
      </w:r>
      <w:r w:rsidR="00B632B8">
        <w:rPr>
          <w:rFonts w:cs="Arial"/>
          <w:szCs w:val="16"/>
        </w:rPr>
        <w:t>0</w:t>
      </w:r>
      <w:r w:rsidR="00B21923" w:rsidRPr="00781112">
        <w:rPr>
          <w:rFonts w:cs="Arial"/>
          <w:szCs w:val="16"/>
        </w:rPr>
        <w:t xml:space="preserve"> </w:t>
      </w:r>
      <w:r w:rsidR="00E101A7" w:rsidRPr="00781112">
        <w:rPr>
          <w:rFonts w:cs="Arial"/>
          <w:szCs w:val="16"/>
        </w:rPr>
        <w:t>through FFY 2025. The State’s FFY 2025 target must demonstrate improvement over the State’s</w:t>
      </w:r>
      <w:r w:rsidR="00635660" w:rsidRPr="00635660">
        <w:rPr>
          <w:rFonts w:cs="Arial"/>
          <w:szCs w:val="16"/>
        </w:rPr>
        <w:t xml:space="preserve"> </w:t>
      </w:r>
      <w:r w:rsidR="00635660">
        <w:rPr>
          <w:rFonts w:cs="Arial"/>
          <w:szCs w:val="16"/>
        </w:rPr>
        <w:t>b</w:t>
      </w:r>
      <w:r w:rsidR="00E101A7" w:rsidRPr="00781112">
        <w:rPr>
          <w:rFonts w:cs="Arial"/>
          <w:szCs w:val="16"/>
        </w:rPr>
        <w:t>aseline data.</w:t>
      </w:r>
      <w:r w:rsidR="00404B50">
        <w:rPr>
          <w:rFonts w:cs="Arial"/>
          <w:szCs w:val="16"/>
        </w:rPr>
        <w:t xml:space="preserve"> </w:t>
      </w:r>
    </w:p>
    <w:p w14:paraId="6B54FC53" w14:textId="7BBC6814" w:rsidR="00AE1972" w:rsidRPr="00781112" w:rsidRDefault="00AE1972" w:rsidP="00AE1972">
      <w:r w:rsidRPr="00781112">
        <w:rPr>
          <w:b/>
          <w:iCs/>
          <w:u w:val="single"/>
        </w:rPr>
        <w:t>Updated Data:</w:t>
      </w:r>
      <w:r w:rsidRPr="00781112">
        <w:t xml:space="preserve"> </w:t>
      </w:r>
      <w:r w:rsidR="00B00A11" w:rsidRPr="00781112">
        <w:rPr>
          <w:rFonts w:cs="Arial"/>
          <w:szCs w:val="16"/>
        </w:rPr>
        <w:t xml:space="preserve">In its FFYs </w:t>
      </w:r>
      <w:r w:rsidR="00935E2F" w:rsidRPr="00781112">
        <w:rPr>
          <w:rFonts w:cs="Arial"/>
          <w:szCs w:val="16"/>
        </w:rPr>
        <w:t>202</w:t>
      </w:r>
      <w:r w:rsidR="00935E2F">
        <w:rPr>
          <w:rFonts w:cs="Arial"/>
          <w:szCs w:val="16"/>
        </w:rPr>
        <w:t>0</w:t>
      </w:r>
      <w:r w:rsidR="00935E2F" w:rsidRPr="00781112">
        <w:rPr>
          <w:rFonts w:cs="Arial"/>
          <w:szCs w:val="16"/>
        </w:rPr>
        <w:t xml:space="preserve"> </w:t>
      </w:r>
      <w:r w:rsidR="00B00A11" w:rsidRPr="00781112">
        <w:rPr>
          <w:rFonts w:cs="Arial"/>
          <w:szCs w:val="16"/>
        </w:rPr>
        <w:t xml:space="preserve">through FFY 2025 SPPs/APRs, due </w:t>
      </w:r>
      <w:r w:rsidR="00AD1B29">
        <w:rPr>
          <w:rFonts w:cs="Arial"/>
          <w:szCs w:val="16"/>
        </w:rPr>
        <w:t xml:space="preserve">February </w:t>
      </w:r>
      <w:r w:rsidR="00935E2F">
        <w:rPr>
          <w:rFonts w:cs="Arial"/>
          <w:szCs w:val="16"/>
        </w:rPr>
        <w:t>2022 through February 2027</w:t>
      </w:r>
      <w:r w:rsidR="00B00A11" w:rsidRPr="00781112">
        <w:rPr>
          <w:rFonts w:cs="Arial"/>
          <w:szCs w:val="16"/>
        </w:rPr>
        <w:t xml:space="preserve">, the State must provide updated data for that specific FFY (expressed as percentages) and that data must be aligned with the State-identified Measurable Result(s) </w:t>
      </w:r>
      <w:r w:rsidR="00F35094">
        <w:rPr>
          <w:rFonts w:cs="Arial"/>
          <w:szCs w:val="16"/>
        </w:rPr>
        <w:t xml:space="preserve">Children with Disabilities. </w:t>
      </w:r>
      <w:r w:rsidR="00B00A11" w:rsidRPr="00781112">
        <w:rPr>
          <w:rFonts w:cs="Arial"/>
          <w:szCs w:val="16"/>
        </w:rPr>
        <w:t>In its FFY</w:t>
      </w:r>
      <w:r w:rsidR="00F35094">
        <w:rPr>
          <w:rFonts w:cs="Arial"/>
          <w:szCs w:val="16"/>
        </w:rPr>
        <w:t>s</w:t>
      </w:r>
      <w:r w:rsidR="00B00A11" w:rsidRPr="00781112">
        <w:rPr>
          <w:rFonts w:cs="Arial"/>
          <w:szCs w:val="16"/>
        </w:rPr>
        <w:t xml:space="preserve"> </w:t>
      </w:r>
      <w:r w:rsidR="00935E2F">
        <w:rPr>
          <w:rFonts w:cs="Arial"/>
          <w:szCs w:val="16"/>
        </w:rPr>
        <w:t>2020</w:t>
      </w:r>
      <w:r w:rsidR="00B21923" w:rsidRPr="00781112">
        <w:rPr>
          <w:rFonts w:cs="Arial"/>
          <w:szCs w:val="16"/>
        </w:rPr>
        <w:t xml:space="preserve"> </w:t>
      </w:r>
      <w:r w:rsidR="00B00A11" w:rsidRPr="00781112">
        <w:rPr>
          <w:rFonts w:cs="Arial"/>
          <w:szCs w:val="16"/>
        </w:rPr>
        <w:t>through FFY 2025 SPPs/APRs, the State must report on whether it met its target.</w:t>
      </w:r>
    </w:p>
    <w:p w14:paraId="3660F78F" w14:textId="77777777" w:rsidR="00AE1972" w:rsidRPr="00781112" w:rsidRDefault="00AE1972" w:rsidP="00AE1972">
      <w:pPr>
        <w:pStyle w:val="Subhed"/>
      </w:pPr>
      <w:r w:rsidRPr="00781112">
        <w:t>Overview of the Three Phases of the SSIP</w:t>
      </w:r>
    </w:p>
    <w:p w14:paraId="41060915" w14:textId="1038334F" w:rsidR="00AE1972" w:rsidRPr="00781112" w:rsidRDefault="00B00A11" w:rsidP="00AE1972">
      <w:pPr>
        <w:rPr>
          <w:rFonts w:cs="Arial"/>
          <w:szCs w:val="16"/>
        </w:rPr>
      </w:pPr>
      <w:r w:rsidRPr="00781112">
        <w:rPr>
          <w:rFonts w:cs="Arial"/>
          <w:szCs w:val="16"/>
        </w:rPr>
        <w:t>It is of the utmost importance to improve results for children with disabilities by improving educational services, including special education and related services. Stakeholders, including parents of children with disabilities, local educational agencies, the State Advisory Panel, and others, are critical participants in improving results for children with disabilities and should be included in developing, implementing, evaluating, and revising the SSIP and included in establishing the State’s targets under Indicator 17. The SSIP should include information about stakeholder involvement in all three phases.</w:t>
      </w:r>
    </w:p>
    <w:p w14:paraId="1F974632" w14:textId="656B04EE" w:rsidR="00AE1972" w:rsidRPr="00781112" w:rsidRDefault="00AE1972" w:rsidP="00AE1972">
      <w:pPr>
        <w:pStyle w:val="Subhed"/>
        <w:rPr>
          <w:b w:val="0"/>
        </w:rPr>
      </w:pPr>
      <w:r w:rsidRPr="00781112">
        <w:rPr>
          <w:i/>
        </w:rPr>
        <w:t>Phase I: Analysis:</w:t>
      </w:r>
      <w:r w:rsidRPr="00781112">
        <w:rPr>
          <w:b w:val="0"/>
        </w:rPr>
        <w:t xml:space="preserve"> </w:t>
      </w:r>
    </w:p>
    <w:p w14:paraId="096C9E4B" w14:textId="77777777" w:rsidR="00AE1972" w:rsidRPr="00781112" w:rsidRDefault="00AE1972" w:rsidP="00AE1972">
      <w:pPr>
        <w:ind w:left="360"/>
      </w:pPr>
      <w:r w:rsidRPr="00781112">
        <w:t>- Data Analysis;</w:t>
      </w:r>
    </w:p>
    <w:p w14:paraId="27016A94" w14:textId="77777777" w:rsidR="00AE1972" w:rsidRPr="00781112" w:rsidRDefault="00AE1972" w:rsidP="00AE1972">
      <w:pPr>
        <w:ind w:left="360"/>
      </w:pPr>
      <w:r w:rsidRPr="00781112">
        <w:t>- Analysis of State Infrastructure to Support Improvement and Build Capacity;</w:t>
      </w:r>
    </w:p>
    <w:p w14:paraId="7C62869B" w14:textId="77122CAD" w:rsidR="00AE1972" w:rsidRPr="00781112" w:rsidRDefault="00AE1972" w:rsidP="00AE1972">
      <w:pPr>
        <w:ind w:left="360"/>
      </w:pPr>
      <w:r w:rsidRPr="00781112">
        <w:t xml:space="preserve">- State-identified Measurable Result(s) for </w:t>
      </w:r>
      <w:r w:rsidR="00B00A11" w:rsidRPr="00781112">
        <w:rPr>
          <w:rFonts w:cs="Arial"/>
          <w:szCs w:val="16"/>
        </w:rPr>
        <w:t>Children with Disabilities</w:t>
      </w:r>
      <w:r w:rsidRPr="00781112">
        <w:t>;</w:t>
      </w:r>
    </w:p>
    <w:p w14:paraId="6AD2D627" w14:textId="77777777" w:rsidR="00AE1972" w:rsidRPr="00781112" w:rsidRDefault="00AE1972" w:rsidP="00AE1972">
      <w:pPr>
        <w:ind w:left="360"/>
      </w:pPr>
      <w:r w:rsidRPr="00781112">
        <w:t>- Selection of Coherent Improvement Strategies; and</w:t>
      </w:r>
    </w:p>
    <w:p w14:paraId="356E7B19" w14:textId="77777777" w:rsidR="00AE1972" w:rsidRPr="00781112" w:rsidRDefault="00AE1972" w:rsidP="00AE1972">
      <w:pPr>
        <w:ind w:left="360"/>
      </w:pPr>
      <w:r w:rsidRPr="00781112">
        <w:t>- Theory of Action.</w:t>
      </w:r>
    </w:p>
    <w:p w14:paraId="6A753B55" w14:textId="02BE0D90" w:rsidR="00AE1972" w:rsidRPr="00781112" w:rsidRDefault="00AE1972" w:rsidP="00AE1972">
      <w:pPr>
        <w:pStyle w:val="Subhed"/>
        <w:rPr>
          <w:b w:val="0"/>
        </w:rPr>
      </w:pPr>
      <w:r w:rsidRPr="00781112">
        <w:rPr>
          <w:i/>
        </w:rPr>
        <w:t>Phase II: Plan</w:t>
      </w:r>
      <w:r w:rsidRPr="00781112">
        <w:rPr>
          <w:b w:val="0"/>
        </w:rPr>
        <w:t xml:space="preserve"> (which, </w:t>
      </w:r>
      <w:r w:rsidR="00D14A1B" w:rsidRPr="00781112">
        <w:rPr>
          <w:b w:val="0"/>
        </w:rPr>
        <w:t xml:space="preserve">is </w:t>
      </w:r>
      <w:r w:rsidRPr="00781112">
        <w:rPr>
          <w:b w:val="0"/>
        </w:rPr>
        <w:t>in addition to the Phase I content (including any updates)</w:t>
      </w:r>
      <w:r w:rsidR="00F35094">
        <w:rPr>
          <w:b w:val="0"/>
        </w:rPr>
        <w:t>)</w:t>
      </w:r>
      <w:r w:rsidRPr="00781112">
        <w:rPr>
          <w:b w:val="0"/>
        </w:rPr>
        <w:t xml:space="preserve"> outlined above</w:t>
      </w:r>
      <w:r w:rsidR="00F35094">
        <w:rPr>
          <w:b w:val="0"/>
        </w:rPr>
        <w:t>)</w:t>
      </w:r>
      <w:r w:rsidRPr="00781112">
        <w:rPr>
          <w:b w:val="0"/>
        </w:rPr>
        <w:t>:</w:t>
      </w:r>
    </w:p>
    <w:p w14:paraId="0A22BE99" w14:textId="77777777" w:rsidR="006B5750" w:rsidRDefault="00756B33" w:rsidP="008877E3">
      <w:pPr>
        <w:ind w:left="360"/>
      </w:pPr>
      <w:r w:rsidRPr="00781112">
        <w:t xml:space="preserve">- </w:t>
      </w:r>
      <w:r w:rsidR="00AE1972" w:rsidRPr="00781112">
        <w:t>Infrastructure Development;</w:t>
      </w:r>
    </w:p>
    <w:p w14:paraId="66997D61" w14:textId="59DC7764" w:rsidR="006B5750" w:rsidRDefault="006B5750" w:rsidP="008877E3">
      <w:pPr>
        <w:ind w:left="360"/>
      </w:pPr>
      <w:r>
        <w:t>- Support for local educational agency (LEA)</w:t>
      </w:r>
      <w:r w:rsidDel="006B5750">
        <w:t xml:space="preserve"> </w:t>
      </w:r>
      <w:r>
        <w:t>Implementation of Evidence-Based Practices; and</w:t>
      </w:r>
      <w:r w:rsidRPr="00781112">
        <w:t xml:space="preserve"> </w:t>
      </w:r>
    </w:p>
    <w:p w14:paraId="38176125" w14:textId="4276E770" w:rsidR="00AE1972" w:rsidRPr="00781112" w:rsidRDefault="00756B33" w:rsidP="008877E3">
      <w:pPr>
        <w:ind w:left="360"/>
      </w:pPr>
      <w:r w:rsidRPr="00781112">
        <w:t xml:space="preserve">- </w:t>
      </w:r>
      <w:r w:rsidR="00AE1972" w:rsidRPr="00781112">
        <w:t>Evaluation.</w:t>
      </w:r>
    </w:p>
    <w:p w14:paraId="73F6A460" w14:textId="0BCB7E98" w:rsidR="00AE1972" w:rsidRPr="00781112" w:rsidRDefault="00AE1972" w:rsidP="00AE1972">
      <w:pPr>
        <w:pStyle w:val="Subhed"/>
        <w:rPr>
          <w:b w:val="0"/>
        </w:rPr>
      </w:pPr>
      <w:r w:rsidRPr="00781112">
        <w:rPr>
          <w:i/>
        </w:rPr>
        <w:t>Phase III: Implementation and Evaluation</w:t>
      </w:r>
      <w:r w:rsidRPr="00781112">
        <w:rPr>
          <w:b w:val="0"/>
        </w:rPr>
        <w:t xml:space="preserve"> (which, </w:t>
      </w:r>
      <w:r w:rsidR="00D14A1B" w:rsidRPr="00781112">
        <w:rPr>
          <w:b w:val="0"/>
        </w:rPr>
        <w:t xml:space="preserve">is </w:t>
      </w:r>
      <w:r w:rsidRPr="00781112">
        <w:rPr>
          <w:b w:val="0"/>
        </w:rPr>
        <w:t>in addition to the Phase I and Phase II content (including any updates)</w:t>
      </w:r>
      <w:r w:rsidR="00F35094">
        <w:rPr>
          <w:b w:val="0"/>
        </w:rPr>
        <w:t>)</w:t>
      </w:r>
      <w:r w:rsidRPr="00781112">
        <w:rPr>
          <w:b w:val="0"/>
        </w:rPr>
        <w:t xml:space="preserve"> outlined above</w:t>
      </w:r>
      <w:r w:rsidR="00F35094">
        <w:rPr>
          <w:b w:val="0"/>
        </w:rPr>
        <w:t>)</w:t>
      </w:r>
      <w:r w:rsidRPr="00781112">
        <w:rPr>
          <w:b w:val="0"/>
        </w:rPr>
        <w:t>:</w:t>
      </w:r>
    </w:p>
    <w:p w14:paraId="580CF235" w14:textId="77777777" w:rsidR="00AE1972" w:rsidRPr="00781112" w:rsidRDefault="00AE1972" w:rsidP="00AE1972">
      <w:pPr>
        <w:ind w:left="360"/>
      </w:pPr>
      <w:r w:rsidRPr="00781112">
        <w:t>- Results of Ongoing Evaluation and Revisions to the SSIP.</w:t>
      </w:r>
    </w:p>
    <w:p w14:paraId="03B4B47F" w14:textId="77777777" w:rsidR="00AE1972" w:rsidRPr="00781112" w:rsidRDefault="00AE1972" w:rsidP="00AE1972">
      <w:pPr>
        <w:rPr>
          <w:b/>
        </w:rPr>
      </w:pPr>
      <w:r w:rsidRPr="00781112">
        <w:rPr>
          <w:b/>
        </w:rPr>
        <w:t>Specific Content of Each Phase of the SSIP</w:t>
      </w:r>
    </w:p>
    <w:p w14:paraId="467D2C6D" w14:textId="3F55CFEA" w:rsidR="00AE1972" w:rsidRPr="00781112" w:rsidRDefault="00AE1972" w:rsidP="00AE1972">
      <w:r w:rsidRPr="00781112">
        <w:t>Refer to FFY 2013-2015 Measurement Table for detailed requirements of Phase I and Phase II SSIP submissions.</w:t>
      </w:r>
    </w:p>
    <w:p w14:paraId="4B1E2598" w14:textId="77777777" w:rsidR="00AE1972" w:rsidRPr="00781112" w:rsidRDefault="00AE1972" w:rsidP="00AE1972">
      <w:r w:rsidRPr="00781112">
        <w:t>Phase III should only include information from Phase I or Phase II if changes or revisions are being made by the State and/or if information previously required in Phase I or Phase II was not reported.</w:t>
      </w:r>
    </w:p>
    <w:p w14:paraId="5E950372" w14:textId="77777777" w:rsidR="00AE1972" w:rsidRPr="00781112" w:rsidRDefault="00AE1972" w:rsidP="00AE1972">
      <w:pPr>
        <w:rPr>
          <w:b/>
          <w:i/>
        </w:rPr>
      </w:pPr>
      <w:r w:rsidRPr="00781112">
        <w:rPr>
          <w:b/>
          <w:i/>
        </w:rPr>
        <w:t>Phase III: Implementation and Evaluation</w:t>
      </w:r>
    </w:p>
    <w:p w14:paraId="2ACE13F7" w14:textId="77777777" w:rsidR="00496EF6" w:rsidRPr="00781112" w:rsidRDefault="00496EF6" w:rsidP="00496EF6">
      <w:pPr>
        <w:rPr>
          <w:rFonts w:cs="Arial"/>
          <w:szCs w:val="16"/>
        </w:rPr>
      </w:pPr>
      <w:r w:rsidRPr="00781112">
        <w:rPr>
          <w:rFonts w:cs="Arial"/>
          <w:szCs w:val="16"/>
        </w:rPr>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Result(s) for Children with Disabilities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6BC324F8" w14:textId="77777777" w:rsidR="00AE1972" w:rsidRPr="00781112" w:rsidRDefault="00AE1972" w:rsidP="00AE1972">
      <w:pPr>
        <w:tabs>
          <w:tab w:val="left" w:pos="270"/>
          <w:tab w:val="left" w:pos="630"/>
        </w:tabs>
      </w:pPr>
      <w:r w:rsidRPr="00781112">
        <w:t xml:space="preserve">A. </w:t>
      </w:r>
      <w:r w:rsidRPr="00781112">
        <w:tab/>
        <w:t>Data Analysis</w:t>
      </w:r>
    </w:p>
    <w:p w14:paraId="7509FEFA" w14:textId="30AC8B39" w:rsidR="000063AC" w:rsidRPr="00781112" w:rsidRDefault="000063AC" w:rsidP="000063AC">
      <w:pPr>
        <w:rPr>
          <w:rFonts w:cs="Arial"/>
          <w:szCs w:val="16"/>
        </w:rPr>
      </w:pPr>
      <w:r w:rsidRPr="00781112">
        <w:rPr>
          <w:rFonts w:cs="Arial"/>
          <w:szCs w:val="16"/>
        </w:rPr>
        <w:t>As required in the Instructions for the Indicator/Measurement, in its FFYs 2020 through 2025 SPPs/APRs,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77280910" w14:textId="77777777" w:rsidR="00AE1972" w:rsidRPr="00781112" w:rsidRDefault="00AE1972" w:rsidP="00AE1972">
      <w:pPr>
        <w:tabs>
          <w:tab w:val="left" w:pos="360"/>
        </w:tabs>
      </w:pPr>
      <w:r w:rsidRPr="00781112">
        <w:t xml:space="preserve">B. </w:t>
      </w:r>
      <w:r w:rsidRPr="00781112">
        <w:tab/>
        <w:t>Phase III Implementation, Analysis and Evaluation</w:t>
      </w:r>
    </w:p>
    <w:p w14:paraId="55F09A01" w14:textId="4301A565" w:rsidR="00AE1972" w:rsidRPr="00781112" w:rsidRDefault="00AE1972" w:rsidP="00AE1972">
      <w:r w:rsidRPr="00781112">
        <w:t xml:space="preserve">The State must provide a narrative or graphic representation, </w:t>
      </w:r>
      <w:r w:rsidR="00F35094">
        <w:t>(</w:t>
      </w:r>
      <w:r w:rsidRPr="00781112">
        <w:t>e.g., a logic model</w:t>
      </w:r>
      <w:r w:rsidR="00F35094">
        <w:t>)</w:t>
      </w:r>
      <w:r w:rsidRPr="00781112">
        <w:t xml:space="preserve"> of the principal activities, measures and outcomes that were implemented since the State’s last SSIP submission (i.e., </w:t>
      </w:r>
      <w:r w:rsidR="00F302A0" w:rsidRPr="00781112">
        <w:t>Feb</w:t>
      </w:r>
      <w:r w:rsidR="00A94276">
        <w:t>ruary</w:t>
      </w:r>
      <w:r w:rsidRPr="00781112">
        <w:t xml:space="preserve"> </w:t>
      </w:r>
      <w:r w:rsidR="00A94276">
        <w:t xml:space="preserve">1, </w:t>
      </w:r>
      <w:r w:rsidR="00B21923" w:rsidRPr="00781112">
        <w:t>202</w:t>
      </w:r>
      <w:r w:rsidR="005F4CA4">
        <w:t>4</w:t>
      </w:r>
      <w:r w:rsidRPr="00781112">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0A51077C" w14:textId="31B0BED5" w:rsidR="00AE1972" w:rsidRPr="00781112" w:rsidRDefault="00AE1972" w:rsidP="00AE1972">
      <w:r w:rsidRPr="00781112">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w:t>
      </w:r>
      <w:r w:rsidR="00B21923">
        <w:rPr>
          <w:rFonts w:cs="Arial"/>
          <w:szCs w:val="16"/>
        </w:rPr>
        <w:t>for the FFY 202</w:t>
      </w:r>
      <w:r w:rsidR="005F4CA4">
        <w:rPr>
          <w:rFonts w:cs="Arial"/>
          <w:szCs w:val="16"/>
        </w:rPr>
        <w:t>3</w:t>
      </w:r>
      <w:r w:rsidR="00B21923">
        <w:rPr>
          <w:rFonts w:cs="Arial"/>
          <w:szCs w:val="16"/>
        </w:rPr>
        <w:t xml:space="preserve"> APR, report on anticipated outcomes to be obtained during FFY 202</w:t>
      </w:r>
      <w:r w:rsidR="005F4CA4">
        <w:rPr>
          <w:rFonts w:cs="Arial"/>
          <w:szCs w:val="16"/>
        </w:rPr>
        <w:t>4</w:t>
      </w:r>
      <w:r w:rsidR="00B21923">
        <w:rPr>
          <w:rFonts w:cs="Arial"/>
          <w:szCs w:val="16"/>
        </w:rPr>
        <w:t>, i.e., July 1, 202</w:t>
      </w:r>
      <w:r w:rsidR="005F4CA4">
        <w:rPr>
          <w:rFonts w:cs="Arial"/>
          <w:szCs w:val="16"/>
        </w:rPr>
        <w:t>4</w:t>
      </w:r>
      <w:r w:rsidR="00B21923">
        <w:rPr>
          <w:rFonts w:cs="Arial"/>
          <w:szCs w:val="16"/>
        </w:rPr>
        <w:t>-June 30, 202</w:t>
      </w:r>
      <w:r w:rsidR="005F4CA4">
        <w:rPr>
          <w:rFonts w:cs="Arial"/>
          <w:szCs w:val="16"/>
        </w:rPr>
        <w:t>5</w:t>
      </w:r>
      <w:r w:rsidR="00B21923" w:rsidRPr="00651E83">
        <w:rPr>
          <w:rFonts w:cs="Arial"/>
          <w:szCs w:val="16"/>
        </w:rPr>
        <w:t>).</w:t>
      </w:r>
    </w:p>
    <w:p w14:paraId="6198E1D5" w14:textId="1ABEA34C" w:rsidR="00AE1972" w:rsidRPr="00781112" w:rsidRDefault="00AE1972" w:rsidP="00AE1972">
      <w:r w:rsidRPr="00781112">
        <w:t>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r w:rsidR="00A94276">
        <w:t>e.g</w:t>
      </w:r>
      <w:r w:rsidRPr="00781112">
        <w:t xml:space="preserve">., behaviors), parent/caregiver outcomes, </w:t>
      </w:r>
      <w:r w:rsidRPr="00781112">
        <w:lastRenderedPageBreak/>
        <w:t>and/or child outcomes. Describe any additional data (</w:t>
      </w:r>
      <w:r w:rsidR="00A94276">
        <w:t>e.g</w:t>
      </w:r>
      <w:r w:rsidRPr="00781112">
        <w:t>., progress monitoring data) that was collected to support the on-going use of the evidence-based practices and inform decision-making for the next year of SSIP implementation.</w:t>
      </w:r>
    </w:p>
    <w:p w14:paraId="411C94A7" w14:textId="77777777" w:rsidR="00AE1972" w:rsidRPr="00781112" w:rsidRDefault="00AE1972" w:rsidP="00AE1972">
      <w:pPr>
        <w:tabs>
          <w:tab w:val="left" w:pos="270"/>
        </w:tabs>
      </w:pPr>
      <w:r w:rsidRPr="00781112">
        <w:t xml:space="preserve">C. </w:t>
      </w:r>
      <w:r w:rsidRPr="00781112">
        <w:tab/>
        <w:t>Stakeholder Engagement</w:t>
      </w:r>
    </w:p>
    <w:p w14:paraId="007F9035" w14:textId="77777777" w:rsidR="00AE1972" w:rsidRPr="00781112" w:rsidRDefault="00AE1972" w:rsidP="00AE1972">
      <w:r w:rsidRPr="00781112">
        <w:t>The State must describe the specific strategies implemented to engage stakeholders in key improvement efforts and how the State addressed concerns, if any, raised by stakeholders through its engagement activities.</w:t>
      </w:r>
    </w:p>
    <w:p w14:paraId="38CBE3F2" w14:textId="77777777" w:rsidR="00AE1972" w:rsidRPr="00781112" w:rsidRDefault="00AE1972" w:rsidP="00AE1972">
      <w:r w:rsidRPr="00781112">
        <w:t>Additional Implementation Activities</w:t>
      </w:r>
    </w:p>
    <w:p w14:paraId="00F49894" w14:textId="6674EACA" w:rsidR="00AE1972" w:rsidRPr="00781112" w:rsidRDefault="00AE1972" w:rsidP="00AE1972">
      <w:r w:rsidRPr="00781112">
        <w:t xml:space="preserve">The State should identify any activities not already described that it intends to implement in the next fiscal year (e.g., </w:t>
      </w:r>
      <w:r w:rsidR="00B21923">
        <w:rPr>
          <w:rFonts w:cs="Arial"/>
          <w:szCs w:val="16"/>
        </w:rPr>
        <w:t>for the FFY 202</w:t>
      </w:r>
      <w:r w:rsidR="005F4CA4">
        <w:rPr>
          <w:rFonts w:cs="Arial"/>
          <w:szCs w:val="16"/>
        </w:rPr>
        <w:t>3</w:t>
      </w:r>
      <w:r w:rsidR="00B21923">
        <w:rPr>
          <w:rFonts w:cs="Arial"/>
          <w:szCs w:val="16"/>
        </w:rPr>
        <w:t xml:space="preserve"> APR, report on activities it intends to implement in FFY 202</w:t>
      </w:r>
      <w:r w:rsidR="005F4CA4">
        <w:rPr>
          <w:rFonts w:cs="Arial"/>
          <w:szCs w:val="16"/>
        </w:rPr>
        <w:t>4</w:t>
      </w:r>
      <w:r w:rsidR="00B21923">
        <w:rPr>
          <w:rFonts w:cs="Arial"/>
          <w:szCs w:val="16"/>
        </w:rPr>
        <w:t>, i.e., July 1, 202</w:t>
      </w:r>
      <w:r w:rsidR="005F4CA4">
        <w:rPr>
          <w:rFonts w:cs="Arial"/>
          <w:szCs w:val="16"/>
        </w:rPr>
        <w:t>4</w:t>
      </w:r>
      <w:r w:rsidR="00B21923">
        <w:rPr>
          <w:rFonts w:cs="Arial"/>
          <w:szCs w:val="16"/>
        </w:rPr>
        <w:t>-June 30, 202</w:t>
      </w:r>
      <w:r w:rsidR="005F4CA4">
        <w:rPr>
          <w:rFonts w:cs="Arial"/>
          <w:szCs w:val="16"/>
        </w:rPr>
        <w:t>5</w:t>
      </w:r>
      <w:r w:rsidR="00A94276">
        <w:rPr>
          <w:rFonts w:cs="Arial"/>
          <w:szCs w:val="16"/>
        </w:rPr>
        <w:t>)</w:t>
      </w:r>
      <w:r w:rsidR="00FC1D83">
        <w:rPr>
          <w:rFonts w:cs="Arial"/>
          <w:szCs w:val="16"/>
        </w:rPr>
        <w:t xml:space="preserve"> </w:t>
      </w:r>
      <w:r w:rsidRPr="00781112">
        <w:t>including a timeline, anticipated data collection and measures, and expected outcomes that are related to the SiMR. The State should describe any newly identified barriers and include steps to address these barriers.</w:t>
      </w:r>
    </w:p>
    <w:p w14:paraId="428E26A7" w14:textId="6193C9E6" w:rsidR="00AE1972" w:rsidRPr="00781112" w:rsidRDefault="00AE1972" w:rsidP="005B40C0">
      <w:pPr>
        <w:pStyle w:val="Heading3"/>
      </w:pPr>
      <w:r w:rsidRPr="00781112">
        <w:t>1</w:t>
      </w:r>
      <w:r w:rsidR="00B90835" w:rsidRPr="00781112">
        <w:t>7</w:t>
      </w:r>
      <w:r w:rsidRPr="00781112">
        <w:t xml:space="preserve"> - Indicator Data</w:t>
      </w:r>
    </w:p>
    <w:p w14:paraId="626DBA0C" w14:textId="77777777" w:rsidR="00AE1972" w:rsidRPr="00781112" w:rsidRDefault="00AE1972" w:rsidP="00AE1972">
      <w:pPr>
        <w:rPr>
          <w:b/>
          <w:bCs/>
        </w:rPr>
      </w:pPr>
      <w:r w:rsidRPr="00781112">
        <w:rPr>
          <w:b/>
          <w:bCs/>
        </w:rPr>
        <w:t>Section A: Data Analysis</w:t>
      </w:r>
    </w:p>
    <w:p w14:paraId="26873A73" w14:textId="77777777" w:rsidR="00AE1972" w:rsidRPr="00781112" w:rsidRDefault="00AE1972" w:rsidP="00AE1972">
      <w:pPr>
        <w:rPr>
          <w:b/>
          <w:bCs/>
        </w:rPr>
      </w:pPr>
      <w:r w:rsidRPr="00781112">
        <w:rPr>
          <w:b/>
          <w:bCs/>
        </w:rPr>
        <w:t>What is the State-identified Measurable Result (SiMR)?</w:t>
      </w:r>
    </w:p>
    <w:p w14:paraId="2CDA0A52" w14:textId="1253220E" w:rsidR="00AE1972" w:rsidRPr="00781112" w:rsidRDefault="00AE1972" w:rsidP="00AE1972">
      <w:pPr>
        <w:rPr>
          <w:color w:val="000000" w:themeColor="text1"/>
        </w:rPr>
      </w:pPr>
      <w:r w:rsidRPr="00781112">
        <w:rPr>
          <w:color w:val="000000" w:themeColor="text1"/>
        </w:rPr>
        <w:t xml:space="preserve">To increase the percentage of third grade students with disabilities reading at grade level, as measured by State assessment. </w:t>
      </w:r>
    </w:p>
    <w:p w14:paraId="43CABCA3" w14:textId="77777777" w:rsidR="00AE1972" w:rsidRPr="00781112" w:rsidRDefault="00AE1972" w:rsidP="00AE1972">
      <w:pPr>
        <w:rPr>
          <w:b/>
          <w:bCs/>
        </w:rPr>
      </w:pPr>
      <w:bookmarkStart w:id="97" w:name="_Hlk85195358"/>
      <w:r w:rsidRPr="00781112">
        <w:rPr>
          <w:b/>
          <w:bCs/>
        </w:rPr>
        <w:t>Has the SiMR changed since the last SSIP submission? (yes/no)</w:t>
      </w:r>
    </w:p>
    <w:p w14:paraId="53B392AE" w14:textId="5D60E4A2" w:rsidR="00AE1972" w:rsidRDefault="00AE1972" w:rsidP="00AE1972">
      <w:r w:rsidRPr="00781112">
        <w:t>NO</w:t>
      </w:r>
    </w:p>
    <w:bookmarkEnd w:id="97"/>
    <w:p w14:paraId="1B1A90F5" w14:textId="77777777" w:rsidR="00935B96" w:rsidRPr="00781112" w:rsidRDefault="00935B96" w:rsidP="00AE1972"/>
    <w:p w14:paraId="4DB5CA5B" w14:textId="77777777" w:rsidR="00AE1972" w:rsidRPr="00781112" w:rsidRDefault="00AE1972" w:rsidP="00AE1972">
      <w:pPr>
        <w:rPr>
          <w:b/>
          <w:bCs/>
        </w:rPr>
      </w:pPr>
      <w:r w:rsidRPr="00781112">
        <w:rPr>
          <w:b/>
          <w:bCs/>
        </w:rPr>
        <w:t>Is the State using a subset of the population from the indicator (</w:t>
      </w:r>
      <w:r w:rsidRPr="00781112">
        <w:rPr>
          <w:b/>
          <w:bCs/>
          <w:i/>
          <w:iCs/>
        </w:rPr>
        <w:t>e.g.</w:t>
      </w:r>
      <w:r w:rsidRPr="00781112">
        <w:rPr>
          <w:b/>
          <w:bCs/>
        </w:rPr>
        <w:t>, a sample, cohort model)? (yes/no)</w:t>
      </w:r>
    </w:p>
    <w:p w14:paraId="5220F24E" w14:textId="45A17085" w:rsidR="00AE1972" w:rsidRDefault="00AE1972" w:rsidP="00AE1972">
      <w:r w:rsidRPr="00781112">
        <w:rPr>
          <w:color w:val="000000" w:themeColor="text1"/>
        </w:rPr>
        <w:t>NO</w:t>
      </w:r>
    </w:p>
    <w:p w14:paraId="74BC6A9B" w14:textId="77777777" w:rsidR="00AE1972" w:rsidRPr="00781112" w:rsidRDefault="00AE1972" w:rsidP="00AE1972">
      <w:pPr>
        <w:rPr>
          <w:b/>
          <w:bCs/>
        </w:rPr>
      </w:pPr>
    </w:p>
    <w:p w14:paraId="7B52B71D" w14:textId="77777777" w:rsidR="00AE1972" w:rsidRPr="00781112" w:rsidRDefault="00AE1972" w:rsidP="00AE1972">
      <w:pPr>
        <w:rPr>
          <w:b/>
          <w:bCs/>
        </w:rPr>
      </w:pPr>
      <w:r w:rsidRPr="00781112">
        <w:rPr>
          <w:b/>
          <w:bCs/>
        </w:rPr>
        <w:t>Is the State’s theory of action new or revised since the previous submission? (yes/no)</w:t>
      </w:r>
    </w:p>
    <w:p w14:paraId="2F47C8A6" w14:textId="34E2E007" w:rsidR="00AE1972" w:rsidRDefault="00AE1972" w:rsidP="00AE1972">
      <w:r w:rsidRPr="00781112">
        <w:t>NO</w:t>
      </w:r>
    </w:p>
    <w:p w14:paraId="233336CC" w14:textId="56400261" w:rsidR="00A202E9" w:rsidRPr="00781112" w:rsidRDefault="00A202E9" w:rsidP="00A202E9">
      <w:pPr>
        <w:rPr>
          <w:rFonts w:cs="Arial"/>
          <w:b/>
          <w:bCs/>
          <w:szCs w:val="16"/>
        </w:rPr>
      </w:pPr>
      <w:r w:rsidRPr="00781112">
        <w:rPr>
          <w:rFonts w:cs="Arial"/>
          <w:b/>
          <w:bCs/>
          <w:szCs w:val="16"/>
        </w:rPr>
        <w:t>Please provide a link to the current theory of action.</w:t>
      </w:r>
    </w:p>
    <w:p w14:paraId="7EC9F4F7" w14:textId="0C6CDBBD" w:rsidR="00A202E9" w:rsidRDefault="00A202E9" w:rsidP="00A202E9">
      <w:r w:rsidRPr="00781112">
        <w:t>https://www.oregon.gov/ode/reports-and-data/SpEdReports/Documents/2020%20APR-SPP/SSIP%20Theory%20of%20Action%20part%20b.pdf</w:t>
      </w:r>
    </w:p>
    <w:p w14:paraId="17DFD7D0" w14:textId="77777777" w:rsidR="00B41EFC" w:rsidRDefault="00B41EFC" w:rsidP="00A202E9"/>
    <w:p w14:paraId="5C9EC454" w14:textId="77777777" w:rsidR="00AE1972" w:rsidRPr="007E6407" w:rsidRDefault="00AE1972" w:rsidP="007E6407">
      <w:pPr>
        <w:rPr>
          <w:b/>
          <w:bCs/>
        </w:rPr>
      </w:pPr>
      <w:r w:rsidRPr="007E6407">
        <w:rPr>
          <w:b/>
          <w:bCs/>
        </w:rPr>
        <w:t>Progress toward the SiMR</w:t>
      </w:r>
    </w:p>
    <w:p w14:paraId="51DEC3F9" w14:textId="77777777" w:rsidR="00AE1972" w:rsidRPr="00781112" w:rsidRDefault="00AE1972" w:rsidP="00AE1972">
      <w:pPr>
        <w:rPr>
          <w:rFonts w:cs="Arial"/>
          <w:b/>
          <w:bCs/>
        </w:rPr>
      </w:pPr>
      <w:r w:rsidRPr="00781112">
        <w:rPr>
          <w:rFonts w:cs="Arial"/>
          <w:b/>
          <w:bCs/>
        </w:rPr>
        <w:t>Please provide the data for the specific FFY listed below (expressed as actual number and percentages)</w:t>
      </w:r>
      <w:r w:rsidRPr="00781112">
        <w:rPr>
          <w:rFonts w:cs="Arial"/>
          <w:b/>
          <w:bCs/>
          <w:i/>
          <w:iCs/>
        </w:rPr>
        <w:t xml:space="preserve">. </w:t>
      </w:r>
    </w:p>
    <w:p w14:paraId="6A111227" w14:textId="77777777" w:rsidR="00AE1972" w:rsidRPr="00781112" w:rsidRDefault="00AE1972" w:rsidP="00AE1972">
      <w:pPr>
        <w:rPr>
          <w:b/>
          <w:bCs/>
        </w:rPr>
      </w:pPr>
      <w:r w:rsidRPr="00781112">
        <w:rPr>
          <w:b/>
          <w:bCs/>
        </w:rPr>
        <w:t>Select yes if the State uses two targets for measurement. (yes/no)</w:t>
      </w:r>
    </w:p>
    <w:p w14:paraId="2BF2552F" w14:textId="1ABFEEE3" w:rsidR="00AE1972" w:rsidRDefault="00AE1972" w:rsidP="00AE1972">
      <w:r w:rsidRPr="00781112">
        <w:t>NO</w:t>
      </w:r>
    </w:p>
    <w:p w14:paraId="73EF288E" w14:textId="77777777" w:rsidR="00B41EFC" w:rsidRDefault="00B41EFC" w:rsidP="00B41EFC">
      <w:pPr>
        <w:rPr>
          <w:rFonts w:cs="Arial"/>
          <w:szCs w:val="16"/>
        </w:rPr>
      </w:pPr>
    </w:p>
    <w:p w14:paraId="4446F409" w14:textId="77777777" w:rsidR="00B41EFC" w:rsidRDefault="00B41EFC" w:rsidP="00B41EFC">
      <w:pPr>
        <w:rPr>
          <w:rFonts w:cs="Arial"/>
          <w:b/>
          <w:bCs/>
          <w:szCs w:val="16"/>
        </w:rPr>
      </w:pPr>
    </w:p>
    <w:p w14:paraId="0CE6ADBC" w14:textId="4FD54FDF" w:rsidR="00AE1972" w:rsidRPr="00781112" w:rsidRDefault="00AE1972" w:rsidP="00AE1972">
      <w:pPr>
        <w:rPr>
          <w:rFonts w:cs="Arial"/>
          <w:b/>
          <w:color w:val="000000" w:themeColor="text1"/>
          <w:szCs w:val="16"/>
        </w:rPr>
      </w:pPr>
      <w:r w:rsidRPr="00781112">
        <w:rPr>
          <w:rFonts w:cs="Arial"/>
          <w:b/>
          <w:color w:val="000000" w:themeColor="text1"/>
          <w:szCs w:val="16"/>
        </w:rPr>
        <w:t>Historical Data</w:t>
      </w: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B17BASELINEDATA"/>
      </w:tblPr>
      <w:tblGrid>
        <w:gridCol w:w="2811"/>
        <w:gridCol w:w="875"/>
      </w:tblGrid>
      <w:tr w:rsidR="00AE1972" w:rsidRPr="00781112" w14:paraId="1864403F" w14:textId="77777777" w:rsidTr="00597BC3">
        <w:trPr>
          <w:trHeight w:val="350"/>
          <w:tblHeader/>
        </w:trPr>
        <w:tc>
          <w:tcPr>
            <w:tcW w:w="4389" w:type="pct"/>
            <w:tcBorders>
              <w:bottom w:val="single" w:sz="4" w:space="0" w:color="auto"/>
            </w:tcBorders>
            <w:shd w:val="clear" w:color="auto" w:fill="auto"/>
            <w:vAlign w:val="center"/>
          </w:tcPr>
          <w:p w14:paraId="0F193165" w14:textId="77777777" w:rsidR="00AE1972" w:rsidRPr="00781112" w:rsidRDefault="00AE1972" w:rsidP="00FE5C1F">
            <w:pPr>
              <w:jc w:val="center"/>
              <w:rPr>
                <w:b/>
                <w:bCs/>
                <w:color w:val="000000" w:themeColor="text1"/>
              </w:rPr>
            </w:pPr>
            <w:r w:rsidRPr="00781112">
              <w:rPr>
                <w:b/>
                <w:bCs/>
                <w:color w:val="000000" w:themeColor="text1"/>
              </w:rPr>
              <w:t>Baseline Year</w:t>
            </w:r>
          </w:p>
        </w:tc>
        <w:tc>
          <w:tcPr>
            <w:tcW w:w="611" w:type="pct"/>
            <w:shd w:val="clear" w:color="auto" w:fill="auto"/>
            <w:vAlign w:val="center"/>
          </w:tcPr>
          <w:p w14:paraId="54889FB8" w14:textId="77777777" w:rsidR="00AE1972" w:rsidRPr="00781112" w:rsidRDefault="00AE1972" w:rsidP="00FE5C1F">
            <w:pPr>
              <w:jc w:val="center"/>
              <w:rPr>
                <w:b/>
                <w:bCs/>
                <w:color w:val="000000" w:themeColor="text1"/>
              </w:rPr>
            </w:pPr>
            <w:r w:rsidRPr="00781112">
              <w:rPr>
                <w:b/>
                <w:bCs/>
                <w:color w:val="000000" w:themeColor="text1"/>
              </w:rPr>
              <w:t>Baseline Data</w:t>
            </w:r>
          </w:p>
        </w:tc>
      </w:tr>
      <w:tr w:rsidR="00AE1972" w:rsidRPr="00781112" w14:paraId="6F811ED4" w14:textId="77777777" w:rsidTr="00597BC3">
        <w:trPr>
          <w:trHeight w:val="350"/>
        </w:trPr>
        <w:tc>
          <w:tcPr>
            <w:tcW w:w="4389" w:type="pct"/>
            <w:tcBorders>
              <w:bottom w:val="single" w:sz="4" w:space="0" w:color="auto"/>
            </w:tcBorders>
            <w:shd w:val="clear" w:color="auto" w:fill="auto"/>
          </w:tcPr>
          <w:p w14:paraId="590161AA" w14:textId="53B72043" w:rsidR="00AE1972" w:rsidRPr="00781112" w:rsidRDefault="00AE1972" w:rsidP="00FE5C1F">
            <w:pPr>
              <w:jc w:val="center"/>
              <w:rPr>
                <w:b/>
                <w:color w:val="000000" w:themeColor="text1"/>
              </w:rPr>
            </w:pPr>
            <w:r w:rsidRPr="00781112">
              <w:rPr>
                <w:color w:val="000000" w:themeColor="text1"/>
              </w:rPr>
              <w:t>2018</w:t>
            </w:r>
          </w:p>
        </w:tc>
        <w:tc>
          <w:tcPr>
            <w:tcW w:w="611" w:type="pct"/>
            <w:shd w:val="clear" w:color="auto" w:fill="auto"/>
            <w:vAlign w:val="center"/>
          </w:tcPr>
          <w:p w14:paraId="250C9A1D" w14:textId="277095B1" w:rsidR="00AE1972" w:rsidRPr="00781112" w:rsidRDefault="00AE1972" w:rsidP="00FE5C1F">
            <w:pPr>
              <w:jc w:val="center"/>
              <w:rPr>
                <w:color w:val="000000" w:themeColor="text1"/>
              </w:rPr>
            </w:pPr>
            <w:r w:rsidRPr="00781112">
              <w:rPr>
                <w:color w:val="000000" w:themeColor="text1"/>
              </w:rPr>
              <w:t>24.40%</w:t>
            </w:r>
          </w:p>
        </w:tc>
      </w:tr>
    </w:tbl>
    <w:p w14:paraId="4788921E" w14:textId="77777777" w:rsidR="00AE1972" w:rsidRPr="00781112" w:rsidRDefault="00AE1972" w:rsidP="00AE1972">
      <w:pPr>
        <w:rPr>
          <w:rFonts w:cs="Arial"/>
          <w:b/>
          <w:color w:val="000000" w:themeColor="text1"/>
          <w:szCs w:val="16"/>
        </w:rPr>
      </w:pPr>
    </w:p>
    <w:p w14:paraId="0C86853A" w14:textId="443BF373" w:rsidR="00A434C8" w:rsidRDefault="00A434C8" w:rsidP="00AE1972">
      <w:pPr>
        <w:rPr>
          <w:b/>
          <w:color w:val="000000" w:themeColor="text1"/>
        </w:rPr>
      </w:pPr>
    </w:p>
    <w:p w14:paraId="31429C8D" w14:textId="77777777" w:rsidR="00B41EFC" w:rsidRDefault="00B41EFC" w:rsidP="00AE1972">
      <w:pPr>
        <w:rPr>
          <w:b/>
          <w:color w:val="000000" w:themeColor="text1"/>
        </w:rPr>
      </w:pPr>
    </w:p>
    <w:p w14:paraId="5D5A6057" w14:textId="7CB1F16B" w:rsidR="00AE1972" w:rsidRPr="00781112" w:rsidRDefault="00AE1972" w:rsidP="00AE1972">
      <w:pPr>
        <w:rPr>
          <w:color w:val="000000" w:themeColor="text1"/>
        </w:rPr>
      </w:pPr>
      <w:r w:rsidRPr="00781112">
        <w:rPr>
          <w:b/>
          <w:color w:val="000000" w:themeColor="text1"/>
        </w:rPr>
        <w:t>Targets</w:t>
      </w:r>
    </w:p>
    <w:tbl>
      <w:tblPr>
        <w:tblW w:w="3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TARGETS"/>
      </w:tblPr>
      <w:tblGrid>
        <w:gridCol w:w="806"/>
        <w:gridCol w:w="1667"/>
        <w:gridCol w:w="1665"/>
        <w:gridCol w:w="1665"/>
        <w:gridCol w:w="1664"/>
      </w:tblGrid>
      <w:tr w:rsidR="007F76DD" w:rsidRPr="00781112" w14:paraId="6151B608" w14:textId="77777777" w:rsidTr="007F76DD">
        <w:trPr>
          <w:trHeight w:val="360"/>
        </w:trPr>
        <w:tc>
          <w:tcPr>
            <w:tcW w:w="540" w:type="pct"/>
            <w:tcBorders>
              <w:bottom w:val="single" w:sz="4" w:space="0" w:color="auto"/>
            </w:tcBorders>
            <w:shd w:val="clear" w:color="auto" w:fill="auto"/>
          </w:tcPr>
          <w:p w14:paraId="6F2EC278" w14:textId="77777777" w:rsidR="007F76DD" w:rsidRPr="00781112" w:rsidRDefault="007F76DD" w:rsidP="00FE5C1F">
            <w:pPr>
              <w:jc w:val="center"/>
              <w:rPr>
                <w:b/>
                <w:color w:val="000000" w:themeColor="text1"/>
              </w:rPr>
            </w:pPr>
            <w:r w:rsidRPr="00781112">
              <w:rPr>
                <w:b/>
                <w:color w:val="000000" w:themeColor="text1"/>
              </w:rPr>
              <w:t>FFY</w:t>
            </w:r>
          </w:p>
        </w:tc>
        <w:tc>
          <w:tcPr>
            <w:tcW w:w="1116" w:type="pct"/>
          </w:tcPr>
          <w:p w14:paraId="2B701BD5" w14:textId="7BC1A8DC" w:rsidR="007F76DD" w:rsidRPr="00781112" w:rsidRDefault="007F76DD" w:rsidP="00FE5C1F">
            <w:pPr>
              <w:jc w:val="center"/>
              <w:rPr>
                <w:b/>
                <w:color w:val="000000" w:themeColor="text1"/>
              </w:rPr>
            </w:pPr>
            <w:r>
              <w:rPr>
                <w:b/>
                <w:color w:val="000000" w:themeColor="text1"/>
              </w:rPr>
              <w:t>Current Relationship</w:t>
            </w:r>
          </w:p>
        </w:tc>
        <w:tc>
          <w:tcPr>
            <w:tcW w:w="1115" w:type="pct"/>
            <w:shd w:val="clear" w:color="auto" w:fill="auto"/>
            <w:vAlign w:val="center"/>
          </w:tcPr>
          <w:p w14:paraId="6FE75FC4" w14:textId="543C615D" w:rsidR="007F76DD" w:rsidRPr="00781112" w:rsidRDefault="007F76DD" w:rsidP="00FE5C1F">
            <w:pPr>
              <w:jc w:val="center"/>
              <w:rPr>
                <w:b/>
                <w:color w:val="000000" w:themeColor="text1"/>
              </w:rPr>
            </w:pPr>
            <w:r w:rsidRPr="00781112">
              <w:rPr>
                <w:b/>
                <w:color w:val="000000" w:themeColor="text1"/>
              </w:rPr>
              <w:t>2023</w:t>
            </w:r>
          </w:p>
        </w:tc>
        <w:tc>
          <w:tcPr>
            <w:tcW w:w="1115" w:type="pct"/>
          </w:tcPr>
          <w:p w14:paraId="1A51CAE1" w14:textId="77777777" w:rsidR="007F76DD" w:rsidRPr="00781112" w:rsidRDefault="007F76DD" w:rsidP="00FE5C1F">
            <w:pPr>
              <w:jc w:val="center"/>
              <w:rPr>
                <w:b/>
                <w:color w:val="000000" w:themeColor="text1"/>
              </w:rPr>
            </w:pPr>
            <w:r w:rsidRPr="00781112">
              <w:rPr>
                <w:rFonts w:cs="Arial"/>
                <w:b/>
                <w:color w:val="000000" w:themeColor="text1"/>
                <w:szCs w:val="16"/>
              </w:rPr>
              <w:t>2024</w:t>
            </w:r>
          </w:p>
        </w:tc>
        <w:tc>
          <w:tcPr>
            <w:tcW w:w="1115" w:type="pct"/>
          </w:tcPr>
          <w:p w14:paraId="4EE0EA23" w14:textId="77777777" w:rsidR="007F76DD" w:rsidRPr="00781112" w:rsidRDefault="007F76DD" w:rsidP="00FE5C1F">
            <w:pPr>
              <w:jc w:val="center"/>
              <w:rPr>
                <w:b/>
                <w:color w:val="000000" w:themeColor="text1"/>
              </w:rPr>
            </w:pPr>
            <w:r w:rsidRPr="00781112">
              <w:rPr>
                <w:rFonts w:cs="Arial"/>
                <w:b/>
                <w:color w:val="000000" w:themeColor="text1"/>
                <w:szCs w:val="16"/>
              </w:rPr>
              <w:t>2025</w:t>
            </w:r>
          </w:p>
        </w:tc>
      </w:tr>
      <w:tr w:rsidR="007F76DD" w:rsidRPr="00781112" w14:paraId="7F5560B1" w14:textId="77777777" w:rsidTr="007F76DD">
        <w:trPr>
          <w:trHeight w:val="367"/>
        </w:trPr>
        <w:tc>
          <w:tcPr>
            <w:tcW w:w="540" w:type="pct"/>
            <w:shd w:val="clear" w:color="auto" w:fill="auto"/>
          </w:tcPr>
          <w:p w14:paraId="16C136D0" w14:textId="4A0B58F9" w:rsidR="007F76DD" w:rsidRPr="00781112" w:rsidRDefault="007F76DD" w:rsidP="00BA3DBE">
            <w:pPr>
              <w:jc w:val="center"/>
              <w:rPr>
                <w:rFonts w:cs="Arial"/>
                <w:color w:val="000000" w:themeColor="text1"/>
                <w:szCs w:val="16"/>
              </w:rPr>
            </w:pPr>
            <w:r w:rsidRPr="00781112">
              <w:rPr>
                <w:rFonts w:cs="Arial"/>
                <w:color w:val="000000" w:themeColor="text1"/>
                <w:szCs w:val="16"/>
              </w:rPr>
              <w:t>Target</w:t>
            </w:r>
          </w:p>
        </w:tc>
        <w:tc>
          <w:tcPr>
            <w:tcW w:w="1116" w:type="pct"/>
          </w:tcPr>
          <w:p w14:paraId="1EE4EF8F" w14:textId="2FF13FB0" w:rsidR="007F76DD" w:rsidRPr="00781112" w:rsidRDefault="007F76DD" w:rsidP="00FE5C1F">
            <w:pPr>
              <w:jc w:val="center"/>
              <w:rPr>
                <w:color w:val="000000" w:themeColor="text1"/>
              </w:rPr>
            </w:pPr>
            <w:r w:rsidRPr="008A0370">
              <w:rPr>
                <w:color w:val="000000" w:themeColor="text1"/>
              </w:rPr>
              <w:t>Data must be greater than or equal to the target</w:t>
            </w:r>
          </w:p>
        </w:tc>
        <w:tc>
          <w:tcPr>
            <w:tcW w:w="1115" w:type="pct"/>
            <w:shd w:val="clear" w:color="auto" w:fill="auto"/>
            <w:vAlign w:val="center"/>
          </w:tcPr>
          <w:p w14:paraId="0D607E3E" w14:textId="06E87534" w:rsidR="007F76DD" w:rsidRPr="00781112" w:rsidRDefault="007F76DD" w:rsidP="00FE5C1F">
            <w:pPr>
              <w:jc w:val="center"/>
              <w:rPr>
                <w:color w:val="000000" w:themeColor="text1"/>
              </w:rPr>
            </w:pPr>
            <w:r w:rsidRPr="00781112">
              <w:rPr>
                <w:color w:val="000000" w:themeColor="text1"/>
              </w:rPr>
              <w:t>33.00%</w:t>
            </w:r>
          </w:p>
        </w:tc>
        <w:tc>
          <w:tcPr>
            <w:tcW w:w="1115" w:type="pct"/>
          </w:tcPr>
          <w:p w14:paraId="49D7B83C" w14:textId="5D2EEC9F" w:rsidR="007F76DD" w:rsidRPr="00781112" w:rsidRDefault="007F76DD" w:rsidP="00FE5C1F">
            <w:pPr>
              <w:jc w:val="center"/>
              <w:rPr>
                <w:color w:val="000000" w:themeColor="text1"/>
              </w:rPr>
            </w:pPr>
            <w:r w:rsidRPr="00781112">
              <w:rPr>
                <w:rFonts w:cs="Arial"/>
                <w:color w:val="000000" w:themeColor="text1"/>
                <w:szCs w:val="16"/>
              </w:rPr>
              <w:t>35.00%</w:t>
            </w:r>
          </w:p>
        </w:tc>
        <w:tc>
          <w:tcPr>
            <w:tcW w:w="1115" w:type="pct"/>
          </w:tcPr>
          <w:p w14:paraId="73C3B9F9" w14:textId="4B324AE0" w:rsidR="007F76DD" w:rsidRPr="00781112" w:rsidRDefault="007F76DD" w:rsidP="00FE5C1F">
            <w:pPr>
              <w:jc w:val="center"/>
              <w:rPr>
                <w:color w:val="000000" w:themeColor="text1"/>
              </w:rPr>
            </w:pPr>
            <w:r w:rsidRPr="00781112">
              <w:rPr>
                <w:rFonts w:cs="Arial"/>
                <w:color w:val="000000" w:themeColor="text1"/>
                <w:szCs w:val="16"/>
              </w:rPr>
              <w:t>37.00%</w:t>
            </w:r>
          </w:p>
        </w:tc>
      </w:tr>
    </w:tbl>
    <w:p w14:paraId="096B5400" w14:textId="77777777" w:rsidR="00AE1972" w:rsidRPr="00781112" w:rsidRDefault="00AE1972" w:rsidP="00AE1972">
      <w:pPr>
        <w:pStyle w:val="Italic"/>
        <w:rPr>
          <w:rFonts w:cs="Arial"/>
          <w:i w:val="0"/>
          <w:color w:val="000000" w:themeColor="text1"/>
          <w:szCs w:val="16"/>
        </w:rPr>
      </w:pPr>
    </w:p>
    <w:p w14:paraId="7582347A" w14:textId="2E603155" w:rsidR="00AE1972" w:rsidRPr="00781112" w:rsidRDefault="0047313F" w:rsidP="00AE1972">
      <w:pPr>
        <w:rPr>
          <w:b/>
          <w:color w:val="000000" w:themeColor="text1"/>
        </w:rPr>
      </w:pPr>
      <w:r>
        <w:rPr>
          <w:b/>
          <w:color w:val="000000" w:themeColor="text1"/>
        </w:rPr>
        <w:t xml:space="preserve">FFY 2023 SPP/APR Data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7FFYAPRDATA"/>
      </w:tblPr>
      <w:tblGrid>
        <w:gridCol w:w="2515"/>
        <w:gridCol w:w="1890"/>
        <w:gridCol w:w="1439"/>
        <w:gridCol w:w="1351"/>
        <w:gridCol w:w="1260"/>
        <w:gridCol w:w="1260"/>
        <w:gridCol w:w="1075"/>
      </w:tblGrid>
      <w:tr w:rsidR="00B21923" w:rsidRPr="00781112" w14:paraId="6ACE308B" w14:textId="77777777" w:rsidTr="004B2960">
        <w:trPr>
          <w:trHeight w:val="354"/>
        </w:trPr>
        <w:tc>
          <w:tcPr>
            <w:tcW w:w="1165" w:type="pct"/>
            <w:shd w:val="clear" w:color="auto" w:fill="auto"/>
            <w:vAlign w:val="bottom"/>
          </w:tcPr>
          <w:p w14:paraId="1F241A2B" w14:textId="43C3BBEC" w:rsidR="00B21923" w:rsidRPr="00781112" w:rsidRDefault="00B21923" w:rsidP="00B21923">
            <w:pPr>
              <w:jc w:val="center"/>
              <w:rPr>
                <w:b/>
                <w:bCs/>
                <w:color w:val="000000" w:themeColor="text1"/>
                <w:szCs w:val="16"/>
              </w:rPr>
            </w:pPr>
            <w:r w:rsidRPr="00781112">
              <w:rPr>
                <w:b/>
                <w:bCs/>
                <w:color w:val="000000" w:themeColor="text1"/>
                <w:szCs w:val="16"/>
              </w:rPr>
              <w:t xml:space="preserve">Number of grade three students experiencing disability and performing at or above proficiency on ELA Smarter Balanced Assessment </w:t>
            </w:r>
          </w:p>
        </w:tc>
        <w:tc>
          <w:tcPr>
            <w:tcW w:w="876" w:type="pct"/>
            <w:shd w:val="clear" w:color="auto" w:fill="auto"/>
            <w:vAlign w:val="bottom"/>
          </w:tcPr>
          <w:p w14:paraId="470CA230" w14:textId="5C37C1F9" w:rsidR="00B21923" w:rsidRPr="00781112" w:rsidRDefault="00B21923" w:rsidP="00B21923">
            <w:pPr>
              <w:jc w:val="center"/>
              <w:rPr>
                <w:b/>
                <w:bCs/>
                <w:color w:val="000000" w:themeColor="text1"/>
                <w:szCs w:val="16"/>
              </w:rPr>
            </w:pPr>
            <w:r w:rsidRPr="00781112">
              <w:rPr>
                <w:b/>
                <w:bCs/>
                <w:color w:val="000000" w:themeColor="text1"/>
                <w:szCs w:val="16"/>
              </w:rPr>
              <w:t xml:space="preserve">Total number of grade three students experiencing disability who participated in ELA Smarter Balanced Assessment </w:t>
            </w:r>
          </w:p>
        </w:tc>
        <w:tc>
          <w:tcPr>
            <w:tcW w:w="667" w:type="pct"/>
            <w:shd w:val="clear" w:color="auto" w:fill="auto"/>
            <w:vAlign w:val="bottom"/>
          </w:tcPr>
          <w:p w14:paraId="4AB6D89D" w14:textId="3B515D93" w:rsidR="00B21923" w:rsidRPr="005F4CA4" w:rsidRDefault="00B21923" w:rsidP="00B21923">
            <w:pPr>
              <w:jc w:val="center"/>
              <w:rPr>
                <w:b/>
                <w:bCs/>
                <w:color w:val="000000" w:themeColor="text1"/>
                <w:szCs w:val="16"/>
              </w:rPr>
            </w:pPr>
            <w:r w:rsidRPr="00FE4611">
              <w:rPr>
                <w:b/>
                <w:bCs/>
              </w:rPr>
              <w:t>FFY 2022 Data</w:t>
            </w:r>
          </w:p>
        </w:tc>
        <w:tc>
          <w:tcPr>
            <w:tcW w:w="626" w:type="pct"/>
            <w:shd w:val="clear" w:color="auto" w:fill="auto"/>
            <w:vAlign w:val="bottom"/>
          </w:tcPr>
          <w:p w14:paraId="63A0DC52" w14:textId="3B7FA61F" w:rsidR="00B21923" w:rsidRPr="005F4CA4" w:rsidRDefault="00B21923" w:rsidP="00B21923">
            <w:pPr>
              <w:jc w:val="center"/>
              <w:rPr>
                <w:b/>
                <w:bCs/>
                <w:color w:val="000000" w:themeColor="text1"/>
                <w:szCs w:val="16"/>
              </w:rPr>
            </w:pPr>
            <w:r w:rsidRPr="00FE4611">
              <w:rPr>
                <w:b/>
                <w:bCs/>
              </w:rPr>
              <w:t>FFY 2023 Target</w:t>
            </w:r>
          </w:p>
        </w:tc>
        <w:tc>
          <w:tcPr>
            <w:tcW w:w="584" w:type="pct"/>
            <w:shd w:val="clear" w:color="auto" w:fill="auto"/>
            <w:vAlign w:val="bottom"/>
          </w:tcPr>
          <w:p w14:paraId="2D311519" w14:textId="2B14C54F" w:rsidR="00B21923" w:rsidRPr="005F4CA4" w:rsidRDefault="00B21923" w:rsidP="00B21923">
            <w:pPr>
              <w:jc w:val="center"/>
              <w:rPr>
                <w:b/>
                <w:bCs/>
                <w:color w:val="000000" w:themeColor="text1"/>
                <w:szCs w:val="16"/>
              </w:rPr>
            </w:pPr>
            <w:r w:rsidRPr="00FE4611">
              <w:rPr>
                <w:b/>
                <w:bCs/>
              </w:rPr>
              <w:t>FFY 2023 Data</w:t>
            </w:r>
          </w:p>
        </w:tc>
        <w:tc>
          <w:tcPr>
            <w:tcW w:w="584" w:type="pct"/>
            <w:shd w:val="clear" w:color="auto" w:fill="auto"/>
            <w:vAlign w:val="bottom"/>
          </w:tcPr>
          <w:p w14:paraId="4F033BB8" w14:textId="77777777" w:rsidR="00B21923" w:rsidRPr="00781112" w:rsidRDefault="00B21923" w:rsidP="00B21923">
            <w:pPr>
              <w:jc w:val="center"/>
              <w:rPr>
                <w:b/>
                <w:color w:val="000000" w:themeColor="text1"/>
                <w:szCs w:val="16"/>
              </w:rPr>
            </w:pPr>
            <w:r w:rsidRPr="00781112">
              <w:rPr>
                <w:b/>
                <w:color w:val="000000" w:themeColor="text1"/>
                <w:szCs w:val="16"/>
              </w:rPr>
              <w:t>Status</w:t>
            </w:r>
          </w:p>
        </w:tc>
        <w:tc>
          <w:tcPr>
            <w:tcW w:w="498" w:type="pct"/>
            <w:shd w:val="clear" w:color="auto" w:fill="auto"/>
            <w:vAlign w:val="bottom"/>
          </w:tcPr>
          <w:p w14:paraId="4A16E14D" w14:textId="77777777" w:rsidR="00B21923" w:rsidRPr="00781112" w:rsidRDefault="00B21923" w:rsidP="00B21923">
            <w:pPr>
              <w:jc w:val="center"/>
              <w:rPr>
                <w:b/>
                <w:color w:val="000000" w:themeColor="text1"/>
                <w:szCs w:val="16"/>
              </w:rPr>
            </w:pPr>
            <w:r w:rsidRPr="00781112">
              <w:rPr>
                <w:b/>
                <w:color w:val="000000" w:themeColor="text1"/>
                <w:szCs w:val="16"/>
              </w:rPr>
              <w:t>Slippage</w:t>
            </w:r>
          </w:p>
        </w:tc>
      </w:tr>
      <w:tr w:rsidR="00AE1972" w:rsidRPr="00781112" w14:paraId="0CC3AF11" w14:textId="77777777" w:rsidTr="004B2960">
        <w:trPr>
          <w:trHeight w:val="287"/>
        </w:trPr>
        <w:tc>
          <w:tcPr>
            <w:tcW w:w="1165" w:type="pct"/>
            <w:shd w:val="clear" w:color="auto" w:fill="auto"/>
            <w:vAlign w:val="center"/>
          </w:tcPr>
          <w:p w14:paraId="03294214" w14:textId="00B9AA4D" w:rsidR="00AE1972" w:rsidRPr="00781112" w:rsidRDefault="00AE1972" w:rsidP="00FE5C1F">
            <w:pPr>
              <w:jc w:val="center"/>
              <w:rPr>
                <w:color w:val="000000" w:themeColor="text1"/>
                <w:szCs w:val="16"/>
              </w:rPr>
            </w:pPr>
            <w:r w:rsidRPr="00781112">
              <w:rPr>
                <w:color w:val="000000" w:themeColor="text1"/>
                <w:szCs w:val="16"/>
              </w:rPr>
              <w:t>1,340</w:t>
            </w:r>
          </w:p>
        </w:tc>
        <w:tc>
          <w:tcPr>
            <w:tcW w:w="876" w:type="pct"/>
            <w:shd w:val="clear" w:color="auto" w:fill="auto"/>
            <w:vAlign w:val="center"/>
          </w:tcPr>
          <w:p w14:paraId="60D8BD39" w14:textId="04B0428F" w:rsidR="00AE1972" w:rsidRPr="00781112" w:rsidRDefault="00AE1972" w:rsidP="00FE5C1F">
            <w:pPr>
              <w:jc w:val="center"/>
              <w:rPr>
                <w:color w:val="000000" w:themeColor="text1"/>
                <w:szCs w:val="16"/>
              </w:rPr>
            </w:pPr>
            <w:r w:rsidRPr="00781112">
              <w:rPr>
                <w:color w:val="000000" w:themeColor="text1"/>
                <w:szCs w:val="16"/>
              </w:rPr>
              <w:t>6,356</w:t>
            </w:r>
          </w:p>
        </w:tc>
        <w:tc>
          <w:tcPr>
            <w:tcW w:w="667" w:type="pct"/>
            <w:shd w:val="clear" w:color="auto" w:fill="auto"/>
          </w:tcPr>
          <w:p w14:paraId="75E02A3E" w14:textId="1669E08C" w:rsidR="00AE1972" w:rsidRPr="00781112" w:rsidRDefault="00AE1972" w:rsidP="00FE5C1F">
            <w:pPr>
              <w:jc w:val="center"/>
              <w:rPr>
                <w:color w:val="000000" w:themeColor="text1"/>
                <w:szCs w:val="16"/>
              </w:rPr>
            </w:pPr>
            <w:r w:rsidRPr="00781112">
              <w:rPr>
                <w:rFonts w:cs="Arial"/>
                <w:color w:val="000000" w:themeColor="text1"/>
                <w:szCs w:val="16"/>
              </w:rPr>
              <w:t>21.51%</w:t>
            </w:r>
          </w:p>
        </w:tc>
        <w:tc>
          <w:tcPr>
            <w:tcW w:w="626" w:type="pct"/>
            <w:shd w:val="clear" w:color="auto" w:fill="auto"/>
          </w:tcPr>
          <w:p w14:paraId="33C18B01" w14:textId="595A4E89" w:rsidR="00AE1972" w:rsidRPr="00781112" w:rsidRDefault="00AE1972" w:rsidP="00FE5C1F">
            <w:pPr>
              <w:jc w:val="center"/>
              <w:rPr>
                <w:color w:val="000000" w:themeColor="text1"/>
                <w:szCs w:val="16"/>
              </w:rPr>
            </w:pPr>
            <w:r w:rsidRPr="00781112">
              <w:rPr>
                <w:color w:val="000000" w:themeColor="text1"/>
                <w:szCs w:val="16"/>
              </w:rPr>
              <w:t>33.00%</w:t>
            </w:r>
          </w:p>
        </w:tc>
        <w:tc>
          <w:tcPr>
            <w:tcW w:w="584" w:type="pct"/>
            <w:shd w:val="clear" w:color="auto" w:fill="auto"/>
          </w:tcPr>
          <w:p w14:paraId="22FE7038" w14:textId="7027AD57" w:rsidR="00AE1972" w:rsidRPr="00781112" w:rsidRDefault="00AE1972" w:rsidP="00FE5C1F">
            <w:pPr>
              <w:jc w:val="center"/>
              <w:rPr>
                <w:color w:val="000000" w:themeColor="text1"/>
                <w:szCs w:val="16"/>
              </w:rPr>
            </w:pPr>
            <w:r w:rsidRPr="00781112">
              <w:rPr>
                <w:rFonts w:cs="Arial"/>
                <w:color w:val="000000" w:themeColor="text1"/>
                <w:szCs w:val="16"/>
              </w:rPr>
              <w:t>21.08%</w:t>
            </w:r>
          </w:p>
        </w:tc>
        <w:tc>
          <w:tcPr>
            <w:tcW w:w="584" w:type="pct"/>
            <w:shd w:val="clear" w:color="auto" w:fill="auto"/>
          </w:tcPr>
          <w:p w14:paraId="1623D96E" w14:textId="3DCB7177" w:rsidR="00AE1972" w:rsidRPr="00781112" w:rsidRDefault="00AE1972" w:rsidP="00FE5C1F">
            <w:pPr>
              <w:jc w:val="center"/>
              <w:rPr>
                <w:color w:val="000000" w:themeColor="text1"/>
              </w:rPr>
            </w:pPr>
            <w:r w:rsidRPr="00781112">
              <w:rPr>
                <w:color w:val="000000" w:themeColor="text1"/>
              </w:rPr>
              <w:t>Did not meet target</w:t>
            </w:r>
          </w:p>
        </w:tc>
        <w:tc>
          <w:tcPr>
            <w:tcW w:w="498" w:type="pct"/>
            <w:shd w:val="clear" w:color="auto" w:fill="auto"/>
          </w:tcPr>
          <w:p w14:paraId="78591691" w14:textId="070A8ABA" w:rsidR="00AE1972" w:rsidRPr="00781112" w:rsidRDefault="00AE1972" w:rsidP="00FE5C1F">
            <w:pPr>
              <w:jc w:val="center"/>
              <w:rPr>
                <w:color w:val="000000" w:themeColor="text1"/>
              </w:rPr>
            </w:pPr>
            <w:r w:rsidRPr="00781112">
              <w:rPr>
                <w:color w:val="000000" w:themeColor="text1"/>
              </w:rPr>
              <w:t>No Slippage</w:t>
            </w:r>
          </w:p>
        </w:tc>
      </w:tr>
    </w:tbl>
    <w:p w14:paraId="39105459" w14:textId="162D4481" w:rsidR="000F007B" w:rsidRDefault="000F007B" w:rsidP="000F007B"/>
    <w:p w14:paraId="42809EAB" w14:textId="359196D5" w:rsidR="000F007B" w:rsidRDefault="000F007B" w:rsidP="000F007B"/>
    <w:p w14:paraId="66E5C45A" w14:textId="77777777" w:rsidR="00AE1972" w:rsidRPr="00781112" w:rsidRDefault="00AE1972" w:rsidP="00AE1972"/>
    <w:p w14:paraId="30EFC313" w14:textId="1E5DBFCF" w:rsidR="005D6EB4" w:rsidRPr="00781112" w:rsidRDefault="004F3929" w:rsidP="005D6EB4">
      <w:pPr>
        <w:rPr>
          <w:b/>
          <w:bCs/>
        </w:rPr>
      </w:pPr>
      <w:r>
        <w:rPr>
          <w:b/>
          <w:bCs/>
        </w:rPr>
        <w:t>Provide the data source for the FFY 2023 data.</w:t>
      </w:r>
    </w:p>
    <w:p w14:paraId="791B79B4" w14:textId="2C5B8D5E" w:rsidR="005D6EB4" w:rsidRPr="00781112" w:rsidRDefault="005D6EB4" w:rsidP="005D6EB4">
      <w:pPr>
        <w:rPr>
          <w:color w:val="000000" w:themeColor="text1"/>
        </w:rPr>
      </w:pPr>
      <w:r w:rsidRPr="00781112">
        <w:rPr>
          <w:color w:val="000000" w:themeColor="text1"/>
        </w:rPr>
        <w:t xml:space="preserve">Grade three Smarter Balanced ELA assessment. </w:t>
      </w:r>
    </w:p>
    <w:p w14:paraId="17AAB1A6" w14:textId="2D1007DB" w:rsidR="00AE1972" w:rsidRPr="00781112" w:rsidRDefault="00AE1972" w:rsidP="00AE1972">
      <w:r w:rsidRPr="00781112">
        <w:rPr>
          <w:b/>
          <w:bCs/>
        </w:rPr>
        <w:lastRenderedPageBreak/>
        <w:t>Please describe how data are collected and analyzed for the SiMR</w:t>
      </w:r>
      <w:r w:rsidRPr="00781112">
        <w:t>.</w:t>
      </w:r>
    </w:p>
    <w:p w14:paraId="0A6DF7F0" w14:textId="29C12277" w:rsidR="00AE1972" w:rsidRPr="00781112" w:rsidRDefault="00AE1972" w:rsidP="00AE1972">
      <w:pPr>
        <w:rPr>
          <w:color w:val="000000" w:themeColor="text1"/>
        </w:rPr>
      </w:pPr>
      <w:r w:rsidRPr="00781112">
        <w:rPr>
          <w:color w:val="000000" w:themeColor="text1"/>
        </w:rPr>
        <w:t xml:space="preserve">The State Educational Agency (SEA) annually collects Smarter Balanced student assessment data from school districts. Data is collected at the close of the testing window in June and analyzed by the Assessment and Accountability teams over the subsequent months. The School Age Special Education Team analyzes data for the specific SiMR population of students. The SiMR population is 100% of the grade three students with IEPs in the State, for the given assessment year. For the SSIP, students who participated in the regular assessment and the alternate assessment are included in data collection. The alternate assessment is taken by a very small percentage of students, representing the population of students with the most complex needs in the State. The performance rate of the SiMR population is compared to the established targets. Student participation rates in State assessments vary across the State, contributing to the concerns about conclusions drawn from relying on summative assessment data alone to evaluate student progress. </w:t>
      </w:r>
    </w:p>
    <w:p w14:paraId="37CD625E" w14:textId="77777777" w:rsidR="00AE1972" w:rsidRPr="00781112" w:rsidRDefault="00AE1972" w:rsidP="00AE1972"/>
    <w:p w14:paraId="5D43821E" w14:textId="77777777" w:rsidR="00AE1972" w:rsidRPr="00781112" w:rsidRDefault="00AE1972" w:rsidP="00AE1972">
      <w:pPr>
        <w:rPr>
          <w:rFonts w:cs="Arial"/>
          <w:b/>
          <w:bCs/>
        </w:rPr>
      </w:pPr>
      <w:r w:rsidRPr="00781112">
        <w:rPr>
          <w:rFonts w:cs="Arial"/>
          <w:b/>
          <w:bCs/>
        </w:rPr>
        <w:t xml:space="preserve">Optional: Has the State collected additional data </w:t>
      </w:r>
      <w:r w:rsidRPr="00781112">
        <w:rPr>
          <w:rFonts w:cs="Arial"/>
          <w:b/>
          <w:bCs/>
          <w:i/>
          <w:iCs/>
        </w:rPr>
        <w:t>(i.e., benchmark, CQI, survey)</w:t>
      </w:r>
      <w:r w:rsidRPr="00781112">
        <w:rPr>
          <w:rFonts w:cs="Arial"/>
          <w:b/>
          <w:bCs/>
        </w:rPr>
        <w:t xml:space="preserve"> that demonstrates progress toward the SiMR?</w:t>
      </w:r>
      <w:r w:rsidRPr="00781112">
        <w:rPr>
          <w:b/>
          <w:bCs/>
        </w:rPr>
        <w:t xml:space="preserve"> (yes/no)</w:t>
      </w:r>
      <w:r w:rsidRPr="00781112">
        <w:rPr>
          <w:rFonts w:cs="Arial"/>
          <w:b/>
          <w:bCs/>
        </w:rPr>
        <w:t xml:space="preserve">  </w:t>
      </w:r>
    </w:p>
    <w:p w14:paraId="01E3AE2A" w14:textId="671ECC26" w:rsidR="00AE1972" w:rsidRDefault="00AE1972" w:rsidP="00AE1972">
      <w:pPr>
        <w:rPr>
          <w:color w:val="000000" w:themeColor="text1"/>
        </w:rPr>
      </w:pPr>
      <w:r w:rsidRPr="00781112">
        <w:rPr>
          <w:color w:val="000000" w:themeColor="text1"/>
        </w:rPr>
        <w:t>NO</w:t>
      </w:r>
    </w:p>
    <w:p w14:paraId="2F248282" w14:textId="77777777" w:rsidR="00AE1972" w:rsidRPr="00781112" w:rsidRDefault="00AE1972" w:rsidP="00AE1972">
      <w:pPr>
        <w:rPr>
          <w:b/>
          <w:bCs/>
        </w:rPr>
      </w:pPr>
    </w:p>
    <w:p w14:paraId="26AF875A" w14:textId="0D941FB9" w:rsidR="00AE1972" w:rsidRPr="00781112" w:rsidRDefault="00AE1972" w:rsidP="00AE1972">
      <w:pPr>
        <w:spacing w:after="0"/>
        <w:rPr>
          <w:rFonts w:cs="Arial"/>
          <w:b/>
          <w:bCs/>
        </w:rPr>
      </w:pPr>
      <w:r w:rsidRPr="00781112">
        <w:rPr>
          <w:rFonts w:cs="Arial"/>
          <w:b/>
          <w:bCs/>
        </w:rPr>
        <w:t xml:space="preserve">Did the State identify any general data quality concerns, unrelated to COVID-19, which affected progress toward the SiMR during the reporting period? </w:t>
      </w:r>
      <w:r w:rsidRPr="00781112">
        <w:rPr>
          <w:b/>
          <w:bCs/>
        </w:rPr>
        <w:t>(yes/no)</w:t>
      </w:r>
    </w:p>
    <w:p w14:paraId="36E83E2B" w14:textId="1C140CC0" w:rsidR="00AE1972" w:rsidRDefault="00AE1972" w:rsidP="00AE1972">
      <w:pPr>
        <w:spacing w:after="0"/>
        <w:rPr>
          <w:color w:val="000000" w:themeColor="text1"/>
        </w:rPr>
      </w:pPr>
      <w:r w:rsidRPr="00781112">
        <w:rPr>
          <w:color w:val="000000" w:themeColor="text1"/>
        </w:rPr>
        <w:t>NO</w:t>
      </w:r>
    </w:p>
    <w:p w14:paraId="30214B92" w14:textId="77777777" w:rsidR="00AE1972" w:rsidRPr="00781112" w:rsidRDefault="00AE1972" w:rsidP="00AE1972">
      <w:pPr>
        <w:rPr>
          <w:b/>
          <w:bCs/>
        </w:rPr>
      </w:pPr>
    </w:p>
    <w:p w14:paraId="085CF862" w14:textId="77777777" w:rsidR="00AE1972" w:rsidRPr="00781112" w:rsidRDefault="00AE1972" w:rsidP="00AE1972">
      <w:pPr>
        <w:rPr>
          <w:b/>
          <w:bCs/>
        </w:rPr>
      </w:pPr>
      <w:r w:rsidRPr="00781112">
        <w:rPr>
          <w:b/>
          <w:bCs/>
        </w:rPr>
        <w:t>Did the State identify any data quality concerns directly related to the COVID-19 pandemic during the reporting period? (yes/no)</w:t>
      </w:r>
    </w:p>
    <w:p w14:paraId="71B180FE" w14:textId="5A61759D" w:rsidR="00AE1972" w:rsidRDefault="00AE1972" w:rsidP="00AE1972">
      <w:pPr>
        <w:rPr>
          <w:color w:val="000000" w:themeColor="text1"/>
        </w:rPr>
      </w:pPr>
      <w:r w:rsidRPr="00781112">
        <w:rPr>
          <w:color w:val="000000" w:themeColor="text1"/>
        </w:rPr>
        <w:t>NO</w:t>
      </w:r>
    </w:p>
    <w:p w14:paraId="1CD7E2E2" w14:textId="77777777" w:rsidR="00AE1972" w:rsidRPr="00781112" w:rsidRDefault="00AE1972" w:rsidP="00AE1972">
      <w:pPr>
        <w:rPr>
          <w:b/>
          <w:bCs/>
        </w:rPr>
      </w:pPr>
    </w:p>
    <w:p w14:paraId="2127B612" w14:textId="77777777" w:rsidR="00AE1972" w:rsidRPr="00074B33" w:rsidRDefault="00AE1972" w:rsidP="00074B33">
      <w:pPr>
        <w:rPr>
          <w:b/>
          <w:bCs/>
        </w:rPr>
      </w:pPr>
      <w:r w:rsidRPr="00074B33">
        <w:rPr>
          <w:b/>
          <w:bCs/>
        </w:rPr>
        <w:t>Section B: Implementation, Analysis and Evaluation</w:t>
      </w:r>
    </w:p>
    <w:p w14:paraId="08E78A8E" w14:textId="77777777" w:rsidR="00E84BDF" w:rsidRPr="00E84BDF" w:rsidRDefault="00E84BDF" w:rsidP="00E84BDF">
      <w:pPr>
        <w:rPr>
          <w:rFonts w:cs="Arial"/>
          <w:b/>
          <w:bCs/>
        </w:rPr>
      </w:pPr>
      <w:r w:rsidRPr="00E84BDF">
        <w:rPr>
          <w:rFonts w:cs="Arial"/>
          <w:b/>
          <w:bCs/>
        </w:rPr>
        <w:t>Please provide a link to the State’s current evaluation plan.</w:t>
      </w:r>
    </w:p>
    <w:p w14:paraId="0A6517E8" w14:textId="77777777" w:rsidR="00E84BDF" w:rsidRDefault="00E84BDF" w:rsidP="00E84BDF">
      <w:pPr>
        <w:rPr>
          <w:color w:val="000000" w:themeColor="text1"/>
        </w:rPr>
      </w:pPr>
      <w:r w:rsidRPr="00781112">
        <w:rPr>
          <w:color w:val="000000" w:themeColor="text1"/>
        </w:rPr>
        <w:t>https://www.oregon.gov/ode/reports-and-data/SpEdReports/Documents/2020%20APR-SPP/SSIP%20partb%20indicator%2017%20evaluation%20plan.pdf</w:t>
      </w:r>
    </w:p>
    <w:p w14:paraId="0B808C56" w14:textId="786EB067" w:rsidR="00AE1972" w:rsidRPr="00781112" w:rsidRDefault="00E84BDF" w:rsidP="00AE1972">
      <w:pPr>
        <w:rPr>
          <w:rFonts w:cs="Arial"/>
          <w:b/>
          <w:bCs/>
        </w:rPr>
      </w:pPr>
      <w:r w:rsidRPr="00E84BDF">
        <w:rPr>
          <w:rFonts w:cs="Arial"/>
          <w:b/>
          <w:bCs/>
        </w:rPr>
        <w:t xml:space="preserve">Is the State’s evaluation plan new or revised since the previous submission? </w:t>
      </w:r>
      <w:r w:rsidR="00AE1972" w:rsidRPr="00781112">
        <w:rPr>
          <w:b/>
          <w:bCs/>
        </w:rPr>
        <w:t>(yes/no)</w:t>
      </w:r>
    </w:p>
    <w:p w14:paraId="5D9470C5" w14:textId="1F552EB5" w:rsidR="00AE1972" w:rsidRDefault="00AE1972" w:rsidP="00AE1972">
      <w:pPr>
        <w:rPr>
          <w:color w:val="000000" w:themeColor="text1"/>
        </w:rPr>
      </w:pPr>
      <w:r w:rsidRPr="00781112">
        <w:rPr>
          <w:color w:val="000000" w:themeColor="text1"/>
        </w:rPr>
        <w:t>NO</w:t>
      </w:r>
    </w:p>
    <w:p w14:paraId="19DFF8CC" w14:textId="77777777" w:rsidR="00AE1972" w:rsidRPr="00781112" w:rsidRDefault="00AE1972" w:rsidP="00AE1972">
      <w:pPr>
        <w:rPr>
          <w:rFonts w:cs="Arial"/>
          <w:b/>
          <w:bCs/>
        </w:rPr>
      </w:pPr>
    </w:p>
    <w:p w14:paraId="405861A2" w14:textId="55A85451" w:rsidR="00AE1972" w:rsidRPr="00781112" w:rsidRDefault="00AB11F1" w:rsidP="00AE1972">
      <w:pPr>
        <w:rPr>
          <w:rFonts w:cs="Arial"/>
          <w:b/>
          <w:bCs/>
        </w:rPr>
      </w:pPr>
      <w:r w:rsidRPr="00AB11F1">
        <w:rPr>
          <w:rFonts w:cs="Arial"/>
          <w:b/>
          <w:bCs/>
        </w:rPr>
        <w:t>Provide a summary of each infrastructure improvement strategy implemented in the reporting period:</w:t>
      </w:r>
    </w:p>
    <w:p w14:paraId="19A64E2F" w14:textId="09FED9B3" w:rsidR="00AE1972" w:rsidRPr="00781112" w:rsidRDefault="00AE1972" w:rsidP="00AE1972">
      <w:pPr>
        <w:rPr>
          <w:b/>
          <w:bCs/>
        </w:rPr>
      </w:pPr>
      <w:r w:rsidRPr="00781112">
        <w:rPr>
          <w:color w:val="000000" w:themeColor="text1"/>
        </w:rPr>
        <w:t xml:space="preserve">During this reporting period, the State continued implementation of working across general and special education programs at the State to scale up MTSS across districts in Oregon. The State continued leveraging internal State teaming structures and allocated resources towards the outcome of improving early literacy outcomes statewide. Initial implementation of statewide legislation developing multiple early literacy grant programs provided additional policy and financial support for early literacy improvement activities. The State continued installation of the Oregon K-5 literacy framework during this reporting period. </w:t>
      </w:r>
    </w:p>
    <w:p w14:paraId="1C121BBF" w14:textId="77777777" w:rsidR="00AE1972" w:rsidRPr="00781112" w:rsidRDefault="00AE1972" w:rsidP="00AE1972">
      <w:pPr>
        <w:rPr>
          <w:rFonts w:cs="Arial"/>
          <w:b/>
          <w:bCs/>
        </w:rPr>
      </w:pPr>
    </w:p>
    <w:p w14:paraId="2116126D" w14:textId="03C97716" w:rsidR="00AB11F1" w:rsidRPr="00781112" w:rsidRDefault="00AB11F1" w:rsidP="00AE1972">
      <w:pPr>
        <w:rPr>
          <w:rFonts w:cs="Arial"/>
          <w:b/>
          <w:bCs/>
        </w:rPr>
      </w:pPr>
      <w:r w:rsidRPr="00AB11F1">
        <w:rPr>
          <w:rFonts w:cs="Arial"/>
          <w:b/>
          <w:bCs/>
        </w:rPr>
        <w:t>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w:t>
      </w:r>
    </w:p>
    <w:p w14:paraId="29CD7E16" w14:textId="62EA3FF0" w:rsidR="00AE1972" w:rsidRPr="00781112" w:rsidRDefault="00AE1972" w:rsidP="00AE1972">
      <w:pPr>
        <w:rPr>
          <w:b/>
          <w:bCs/>
        </w:rPr>
      </w:pPr>
      <w:r w:rsidRPr="00781112">
        <w:rPr>
          <w:color w:val="000000" w:themeColor="text1"/>
        </w:rPr>
        <w:t xml:space="preserve">During this reporting period, the State installed policy and finance structures at the SEA in service of implementing Oregon’s House Bill 3198, passed in 2023 and described in the FFY 2022 submission. This bill established a governance framework for new and existing statewide efforts aimed at increasing literacy from birth to grade three and at reducing associated academic disparities for students, including students experiencing disabilities. </w:t>
      </w:r>
      <w:r w:rsidRPr="00781112">
        <w:rPr>
          <w:color w:val="000000" w:themeColor="text1"/>
        </w:rPr>
        <w:br/>
      </w:r>
      <w:r w:rsidRPr="00781112">
        <w:rPr>
          <w:color w:val="000000" w:themeColor="text1"/>
        </w:rPr>
        <w:br/>
        <w:t xml:space="preserve">During the FFY 2023 reporting period, rulemaking required by HB 3198 established parameters for the administration of school district, community, and tribal grant programs. Rulemaking also defined key phrases introduced in HB 3198, including “research-aligned literacy strategies”, “the science of reading and writing”, “high dosage tutoring”, and “student growth assessments”. Defining these terms was a necessary step to support the installation of the early literacy grant infrastructure. Districts, organizations, and tribes accessing grant funds are required to use research aligned early literacy strategies, may use funds for providing tutoring, and tutors must participate in research aligned training as established by rulemaking in the current reporting period. Applications for funds were completed by districts, community organizations, and tribes during this reporting period. Establishing this immediate grant infrastructure is a short-term outcome of the state legislation.  </w:t>
      </w:r>
      <w:r w:rsidRPr="00781112">
        <w:rPr>
          <w:color w:val="000000" w:themeColor="text1"/>
        </w:rPr>
        <w:br/>
      </w:r>
      <w:r w:rsidRPr="00781112">
        <w:rPr>
          <w:color w:val="000000" w:themeColor="text1"/>
        </w:rPr>
        <w:br/>
        <w:t xml:space="preserve">School districts applied for early literacy grant funds and completed a plan setting longitudinal goals for improving student outcomes in literacy during this reporting period. Expectations for uses of grant funds were established through rulemaking in 2023. The Early Literacy Success School District Grants allow funding of the following research-aligned activities: adoption and implementation of curricula, employment of literacy specialists, coaches, or interventionists, professional development and coaching, extended learning programs, and high-dosage tutoring. The strategy of developing common definitions and an orientation towards research aligned early literacy practices is necessary for the development of quality programs and activities that will lead to changes in adult instructional leadership practices that will ultimately impact the SIMR.  </w:t>
      </w:r>
      <w:r w:rsidRPr="00781112">
        <w:rPr>
          <w:color w:val="000000" w:themeColor="text1"/>
        </w:rPr>
        <w:br/>
      </w:r>
      <w:r w:rsidRPr="00781112">
        <w:rPr>
          <w:color w:val="000000" w:themeColor="text1"/>
        </w:rPr>
        <w:br/>
        <w:t xml:space="preserve">The Early Literacy Success initiative is an implementation lever for the Oregon K-5 literacy framework. The State made additional infrastructure improvements to support districts to implement the K-5 literacy framework. Oregon’s Instructional Frameworks Early Literacy site, https://oregoninstructionalframeworks.org/oregons-early-literacy-framework-learning-resources/, hosts online modules and professional development resources aimed at supporting school staff in implementing the literacy framework. The State created this as an implementation hub of professional learning resources for each of the following areas of the K-5 literacy framework: assessment, writing, oral language, foundational skills, student belonging, and reading comprehension, vocabulary and background knowledge. This investment in web development to host professional learning materials will support districts, communities and tribes in accessing resources to support their implementation of programs through the statewide Early Literacy grants. The launch of the Instructional Frameworks website with implementation supports for the K-5 literacy framework and implementation playbook is intended to directly change the systems within which teacher practices can change. </w:t>
      </w:r>
      <w:r w:rsidRPr="00781112">
        <w:rPr>
          <w:color w:val="000000" w:themeColor="text1"/>
        </w:rPr>
        <w:br/>
      </w:r>
      <w:r w:rsidRPr="00781112">
        <w:rPr>
          <w:color w:val="000000" w:themeColor="text1"/>
        </w:rPr>
        <w:br/>
        <w:t xml:space="preserve">The State continued using the infrastructure improvement strategy of developing intentional teaming among general and special education state staff, and with regional providers of professional learning and services to districts. Throughout this reporting period, the early literacy success implementation </w:t>
      </w:r>
      <w:r w:rsidRPr="00781112">
        <w:rPr>
          <w:color w:val="000000" w:themeColor="text1"/>
        </w:rPr>
        <w:lastRenderedPageBreak/>
        <w:t xml:space="preserve">team consulted with the special education program specialists during production of guidance documents to aid in district implementation of the literacy framework for students experiencing disabilities. Additionally, the State continued supporting MTSS coaching provided by Oregon Response to Instruction and Intervention (ORTII) through the Northwest Regional Educational Service District. The director of ORTII and the State Literacy Director met on an ongoing basis to coordinate implementation supports for the literacy framework. These relationships among literacy leadership of multiple organizations point to an increased likelihood for the sustainability of efforts associated with the statewide implementation of the K-5 framework. </w:t>
      </w:r>
    </w:p>
    <w:p w14:paraId="4B6ADDE5" w14:textId="77777777" w:rsidR="00AE1972" w:rsidRPr="00781112" w:rsidRDefault="00AE1972" w:rsidP="00AE1972">
      <w:pPr>
        <w:rPr>
          <w:rFonts w:cs="Arial"/>
          <w:b/>
          <w:bCs/>
        </w:rPr>
      </w:pPr>
    </w:p>
    <w:p w14:paraId="5DCF741B" w14:textId="77777777" w:rsidR="00AE1972" w:rsidRPr="00781112" w:rsidRDefault="00AE1972" w:rsidP="00AE1972">
      <w:pPr>
        <w:rPr>
          <w:rFonts w:cs="Arial"/>
          <w:b/>
          <w:bCs/>
        </w:rPr>
      </w:pPr>
      <w:r w:rsidRPr="00781112">
        <w:rPr>
          <w:rFonts w:cs="Arial"/>
          <w:b/>
          <w:bCs/>
        </w:rPr>
        <w:t xml:space="preserve">Did the State implement any </w:t>
      </w:r>
      <w:r w:rsidRPr="00781112">
        <w:rPr>
          <w:rFonts w:cs="Arial"/>
          <w:b/>
          <w:bCs/>
          <w:u w:val="single"/>
        </w:rPr>
        <w:t>new</w:t>
      </w:r>
      <w:r w:rsidRPr="00781112">
        <w:rPr>
          <w:rFonts w:cs="Arial"/>
          <w:b/>
          <w:bCs/>
        </w:rPr>
        <w:t xml:space="preserve"> (newly identified) infrastructure improvement strategies during the reporting period?</w:t>
      </w:r>
      <w:r w:rsidRPr="00781112">
        <w:rPr>
          <w:b/>
          <w:bCs/>
        </w:rPr>
        <w:t xml:space="preserve"> (yes/no)</w:t>
      </w:r>
    </w:p>
    <w:p w14:paraId="7AA60872" w14:textId="7A06C54C" w:rsidR="00AE1972" w:rsidRDefault="00AE1972" w:rsidP="00AE1972">
      <w:pPr>
        <w:rPr>
          <w:color w:val="000000" w:themeColor="text1"/>
        </w:rPr>
      </w:pPr>
      <w:r w:rsidRPr="00781112">
        <w:rPr>
          <w:color w:val="000000" w:themeColor="text1"/>
        </w:rPr>
        <w:t>NO</w:t>
      </w:r>
    </w:p>
    <w:p w14:paraId="7A07D856" w14:textId="77777777" w:rsidR="00AE1972" w:rsidRPr="00781112" w:rsidRDefault="00AE1972" w:rsidP="00AE1972">
      <w:pPr>
        <w:rPr>
          <w:rFonts w:cs="Arial"/>
          <w:b/>
          <w:bCs/>
        </w:rPr>
      </w:pPr>
      <w:r w:rsidRPr="00781112">
        <w:rPr>
          <w:rFonts w:cs="Arial"/>
          <w:b/>
          <w:bCs/>
        </w:rPr>
        <w:t xml:space="preserve">Provide a summary of the next steps for each infrastructure improvement strategy and the anticipated outcomes to be attained during the next reporting period. </w:t>
      </w:r>
    </w:p>
    <w:p w14:paraId="1A03571A" w14:textId="0DF7AD96" w:rsidR="00AE1972" w:rsidRPr="00781112" w:rsidRDefault="00AE1972" w:rsidP="00AE1972">
      <w:pPr>
        <w:rPr>
          <w:b/>
          <w:bCs/>
        </w:rPr>
      </w:pPr>
      <w:r w:rsidRPr="00781112">
        <w:rPr>
          <w:color w:val="000000" w:themeColor="text1"/>
        </w:rPr>
        <w:t xml:space="preserve">During the next reporting period, next steps related to the Early Literacy Initiative HB 3198 will include release of grant funds to tribes and community-based organizations for activities outlined in the Early Literacy Success Grant Programs. Districts receiving early literacy grant funds will provide progress updates to the State. The State will continue offering K-5 literacy framework implementation technical assistance and professional learning to school districts. </w:t>
      </w:r>
      <w:r w:rsidRPr="00781112">
        <w:rPr>
          <w:color w:val="000000" w:themeColor="text1"/>
        </w:rPr>
        <w:br/>
      </w:r>
      <w:r w:rsidRPr="00781112">
        <w:rPr>
          <w:color w:val="000000" w:themeColor="text1"/>
        </w:rPr>
        <w:br/>
        <w:t xml:space="preserve">During the next reporting period, the funding agreement will conclude between the State and the Northwest Regional Educational Service District, sponsor of Oregon Response to Instruction and Intervention. The next scope of services including coaching activities will be reviewed and adjusted to reflect current needs and alignment with other statewide coaching programs. </w:t>
      </w:r>
    </w:p>
    <w:p w14:paraId="0D313DAA" w14:textId="77777777" w:rsidR="00AE1972" w:rsidRPr="00781112" w:rsidRDefault="00AE1972" w:rsidP="00AE1972">
      <w:pPr>
        <w:rPr>
          <w:rFonts w:cs="Arial"/>
          <w:b/>
          <w:bCs/>
        </w:rPr>
      </w:pPr>
    </w:p>
    <w:p w14:paraId="35176598" w14:textId="77777777" w:rsidR="00AE1972" w:rsidRPr="00781112" w:rsidRDefault="00AE1972" w:rsidP="00AE1972">
      <w:pPr>
        <w:rPr>
          <w:rFonts w:cs="Arial"/>
          <w:b/>
          <w:bCs/>
        </w:rPr>
      </w:pPr>
      <w:r w:rsidRPr="00781112">
        <w:rPr>
          <w:rFonts w:cs="Arial"/>
          <w:b/>
          <w:bCs/>
        </w:rPr>
        <w:t>List the selected evidence-based practices implement in the reporting period:</w:t>
      </w:r>
    </w:p>
    <w:p w14:paraId="5DA152F5" w14:textId="71CAFB34" w:rsidR="00AE1972" w:rsidRPr="00781112" w:rsidRDefault="00AE1972" w:rsidP="00AE1972">
      <w:pPr>
        <w:rPr>
          <w:b/>
          <w:bCs/>
        </w:rPr>
      </w:pPr>
      <w:r w:rsidRPr="00781112">
        <w:rPr>
          <w:color w:val="000000" w:themeColor="text1"/>
        </w:rPr>
        <w:t xml:space="preserve">The State continued implementation of the evidence-based practice of coaching district teams to improve literacy instruction through school-wide MTSS. </w:t>
      </w:r>
    </w:p>
    <w:p w14:paraId="10F85993" w14:textId="77777777" w:rsidR="00AE1972" w:rsidRPr="00781112" w:rsidRDefault="00AE1972" w:rsidP="00AE1972">
      <w:pPr>
        <w:rPr>
          <w:rFonts w:cs="Arial"/>
          <w:b/>
          <w:bCs/>
        </w:rPr>
      </w:pPr>
    </w:p>
    <w:p w14:paraId="22910457" w14:textId="0691C68A" w:rsidR="00AE1972" w:rsidRPr="00781112" w:rsidRDefault="00AE1972" w:rsidP="00AE1972">
      <w:pPr>
        <w:rPr>
          <w:rFonts w:cs="Arial"/>
          <w:b/>
          <w:bCs/>
        </w:rPr>
      </w:pPr>
      <w:r w:rsidRPr="00781112">
        <w:rPr>
          <w:rFonts w:cs="Arial"/>
          <w:b/>
          <w:bCs/>
        </w:rPr>
        <w:t>Provide a summary of each evidence-based practice.</w:t>
      </w:r>
    </w:p>
    <w:p w14:paraId="30605054" w14:textId="1313DE13" w:rsidR="00AE1972" w:rsidRPr="00781112" w:rsidRDefault="00AE1972" w:rsidP="00AE1972">
      <w:pPr>
        <w:rPr>
          <w:b/>
          <w:bCs/>
        </w:rPr>
      </w:pPr>
      <w:r w:rsidRPr="00781112">
        <w:rPr>
          <w:color w:val="000000" w:themeColor="text1"/>
        </w:rPr>
        <w:t xml:space="preserve">During this reporting period, the State maintained its focus on providing support to districts for installing the evidence-based K-5 literacy framework.  </w:t>
      </w:r>
      <w:r w:rsidRPr="00781112">
        <w:rPr>
          <w:color w:val="000000" w:themeColor="text1"/>
        </w:rPr>
        <w:br/>
      </w:r>
      <w:r w:rsidRPr="00781112">
        <w:rPr>
          <w:color w:val="000000" w:themeColor="text1"/>
        </w:rPr>
        <w:br/>
        <w:t xml:space="preserve">The State continued partnership with Oregon Response to Instruction and Intervention (ORTII) to provide statewide professional learning and instructional and systems coaching support to select school districts. As Joyce and Showers (The Coaching of Teaching, 1982) and Hattie (Visible Learning for Teachers, 2011) confirmed, participation in coaching is more likely to change teacher practice than passive professional development without application and feedback.  </w:t>
      </w:r>
      <w:r w:rsidRPr="00781112">
        <w:rPr>
          <w:color w:val="000000" w:themeColor="text1"/>
        </w:rPr>
        <w:br/>
      </w:r>
      <w:r w:rsidRPr="00781112">
        <w:rPr>
          <w:color w:val="000000" w:themeColor="text1"/>
        </w:rPr>
        <w:br/>
        <w:t xml:space="preserve">ORTII provided two types of coaching opportunities for teams installing and refining multi-tiered systems of support for reading (MTSS-R) in elementary schools. In September 2023, nine districts initiated multiyear participation in cadre 12 coaching supports, and eight districts joined a one-year targeted coaching support program. In total, 8.6% of Oregon’s school districts participated in coaching support from ORTII during the 2023-24 school year. The State considers tiered support systems such as an MTSS-R or a schoolwide response to intervention (RTI) model to be effective structures within which schools implement a myriad of evidence-based instructional strategies, as Fuchs and Fuchs describe (Introduction to response to Intervention: What why and how valid is it?, 2006). </w:t>
      </w:r>
      <w:r w:rsidRPr="00781112">
        <w:rPr>
          <w:color w:val="000000" w:themeColor="text1"/>
        </w:rPr>
        <w:br/>
      </w:r>
      <w:r w:rsidRPr="00781112">
        <w:rPr>
          <w:color w:val="000000" w:themeColor="text1"/>
        </w:rPr>
        <w:br/>
        <w:t xml:space="preserve">Statewide, ORTII conducted various activities within the scope of coaching and professional learning for district staff to grow their capacity to provide effective literacy instruction within an MTSS. ORTII offered a virtual reading symposium in December 2024, connecting research to practice through speakers and workshops for a school staff audience. ORTII hosted a Literacy Foundations for English Learners book study group with Dr. Elsa Cárdenas-Hagan during the 2023-24 school year. Over 900 attendees from Oregon school districts participated in the annual ORTII conference in April 2024.  </w:t>
      </w:r>
      <w:r w:rsidRPr="00781112">
        <w:rPr>
          <w:color w:val="000000" w:themeColor="text1"/>
        </w:rPr>
        <w:br/>
      </w:r>
      <w:r w:rsidRPr="00781112">
        <w:rPr>
          <w:color w:val="000000" w:themeColor="text1"/>
        </w:rPr>
        <w:br/>
        <w:t>ORTII provided a special topics training series of webinars offered between February and April 2024 related to students experiencing disability, on the following topics: Meaningful access, Using Accessible Educational Materials (AEM) for inclusion and IEP considerations, and Considerations for IEP Literacy Goals in a Response to Intervention System. In May 2024, ORTII updated the MTSS for Reading online professional learning modules. Taken together, ORTII led implementation of the evidence-based practice of coaching and professional learning to install and refine an MTSS for reading in elementary schools.</w:t>
      </w:r>
    </w:p>
    <w:p w14:paraId="79F66E5E" w14:textId="77777777" w:rsidR="00AE1972" w:rsidRPr="00781112" w:rsidRDefault="00AE1972" w:rsidP="00AE1972">
      <w:pPr>
        <w:rPr>
          <w:rFonts w:cs="Arial"/>
          <w:b/>
          <w:bCs/>
        </w:rPr>
      </w:pPr>
      <w:r w:rsidRPr="00781112">
        <w:rPr>
          <w:rFonts w:cs="Arial"/>
          <w:b/>
          <w:bCs/>
        </w:rPr>
        <w:t xml:space="preserve"> </w:t>
      </w:r>
    </w:p>
    <w:p w14:paraId="7DF513C4" w14:textId="38901088" w:rsidR="00AE1972" w:rsidRPr="00781112" w:rsidRDefault="00AE1972" w:rsidP="00AE1972">
      <w:pPr>
        <w:rPr>
          <w:rFonts w:cs="Arial"/>
          <w:b/>
          <w:bCs/>
        </w:rPr>
      </w:pPr>
      <w:bookmarkStart w:id="98" w:name="_Hlk88409387"/>
      <w:r w:rsidRPr="00781112">
        <w:rPr>
          <w:rFonts w:cs="Arial"/>
          <w:b/>
          <w:bCs/>
        </w:rPr>
        <w:t xml:space="preserve">Provide a summary of how each evidence-based practice and activities or strategies that support its use, is intended to impact the SiMR by changing program/district policies, procedures, and/or practices, teacher/provider practices (e.g., behaviors), parent/caregiver outcomes, and/or child /outcomes. </w:t>
      </w:r>
    </w:p>
    <w:bookmarkEnd w:id="98"/>
    <w:p w14:paraId="3E043DB7" w14:textId="7C3B2CD4" w:rsidR="00AE1972" w:rsidRPr="00781112" w:rsidRDefault="00AE1972" w:rsidP="00AE1972">
      <w:pPr>
        <w:rPr>
          <w:b/>
          <w:bCs/>
        </w:rPr>
      </w:pPr>
      <w:r w:rsidRPr="00781112">
        <w:rPr>
          <w:color w:val="000000" w:themeColor="text1"/>
        </w:rPr>
        <w:t xml:space="preserve">The strategies associated with providing coaching and professional learning on topics within an MTSS for reading are intended to support the achievement of the SiMR through changing leadership and teaching practices in elementary schools. Changing leadership practices and system design elements will impact the SiMR because changes to instructional leadership will support the student-level evidence-based practices of intensifying instruction and using data-based decision making.  </w:t>
      </w:r>
      <w:r w:rsidRPr="00781112">
        <w:rPr>
          <w:color w:val="000000" w:themeColor="text1"/>
        </w:rPr>
        <w:br/>
      </w:r>
      <w:r w:rsidRPr="00781112">
        <w:rPr>
          <w:color w:val="000000" w:themeColor="text1"/>
        </w:rPr>
        <w:br/>
        <w:t xml:space="preserve">Statewide, the strategy of offering implementation resources for districts at varying levels of support and engagement is intended to impact the SiMR by changing practices at both the administrative and teacher levels according to district specific implementation needs. The universal supports for all districts offered by ORTII including online modules for implementing an MTSS in reading and on-demand resource libraries of professional learning materials are intended to update MTSS implementation practices based on Oregon's new literacy framework.  </w:t>
      </w:r>
      <w:r w:rsidRPr="00781112">
        <w:rPr>
          <w:color w:val="000000" w:themeColor="text1"/>
        </w:rPr>
        <w:br/>
      </w:r>
      <w:r w:rsidRPr="00781112">
        <w:rPr>
          <w:color w:val="000000" w:themeColor="text1"/>
        </w:rPr>
        <w:br/>
        <w:t xml:space="preserve">ORTII’s coaching of cadre 12 districts is intended to first change district practices related to using screening and progress monitoring data to inform standards-based core instruction, and next the identification of students as students needing special education due to a specific learning disability. This will impact the SiMR by reducing the number of students potentially misidentified as having a specific learning disability due to inadequate core instruction.  </w:t>
      </w:r>
      <w:r w:rsidRPr="00781112">
        <w:rPr>
          <w:color w:val="000000" w:themeColor="text1"/>
        </w:rPr>
        <w:br/>
      </w:r>
      <w:r w:rsidRPr="00781112">
        <w:rPr>
          <w:color w:val="000000" w:themeColor="text1"/>
        </w:rPr>
        <w:br/>
        <w:t xml:space="preserve">The first year of participation in cadre 12 coaching support can be considered an installation phase through the lens of implementation science, during which staff assess their capacity to engage in change efforts related to this chosen area of practice and begin installation activities focused on foundational aspects to systems such as teaming and resource allocation (Fixsen, et al 2005, Implementation Research: A Synthesis of the Literature). Support provided during the installation year is intended to impact the SiMR through first changing district leadership practices and teaming structures, then changing teacher practices, thereby impacting student outcomes.  </w:t>
      </w:r>
      <w:r w:rsidRPr="00781112">
        <w:rPr>
          <w:color w:val="000000" w:themeColor="text1"/>
        </w:rPr>
        <w:br/>
      </w:r>
      <w:r w:rsidRPr="00781112">
        <w:rPr>
          <w:color w:val="000000" w:themeColor="text1"/>
        </w:rPr>
        <w:br/>
      </w:r>
      <w:r w:rsidRPr="00781112">
        <w:rPr>
          <w:color w:val="000000" w:themeColor="text1"/>
        </w:rPr>
        <w:lastRenderedPageBreak/>
        <w:t xml:space="preserve">The targeted coaching option provided by ORTII to eight districts already implementing an MTSS in reading is intended to enhance or improve a single area of the district’s system. The differentiation of coaching activities based on the district’s stage of implementation will likely promote lasting adult practice change, leading to achievement of the SiMR.  </w:t>
      </w:r>
    </w:p>
    <w:p w14:paraId="43C06488" w14:textId="77777777" w:rsidR="00AE1972" w:rsidRPr="00781112" w:rsidRDefault="00AE1972" w:rsidP="00AE1972">
      <w:pPr>
        <w:rPr>
          <w:rFonts w:cs="Arial"/>
          <w:b/>
          <w:bCs/>
        </w:rPr>
      </w:pPr>
      <w:r w:rsidRPr="00781112">
        <w:rPr>
          <w:rFonts w:cs="Arial"/>
          <w:b/>
          <w:bCs/>
        </w:rPr>
        <w:t xml:space="preserve"> </w:t>
      </w:r>
    </w:p>
    <w:p w14:paraId="46DD8115" w14:textId="77777777" w:rsidR="00AE1972" w:rsidRPr="00781112" w:rsidRDefault="00AE1972" w:rsidP="00AE1972">
      <w:pPr>
        <w:rPr>
          <w:rFonts w:cs="Arial"/>
          <w:b/>
          <w:bCs/>
        </w:rPr>
      </w:pPr>
      <w:r w:rsidRPr="00781112">
        <w:rPr>
          <w:rFonts w:cs="Arial"/>
          <w:b/>
          <w:bCs/>
        </w:rPr>
        <w:t xml:space="preserve">Describe the data collected to monitor fidelity of implementation and to assess practice change. </w:t>
      </w:r>
    </w:p>
    <w:p w14:paraId="3AADEE00" w14:textId="0533CE7C" w:rsidR="00AE1972" w:rsidRPr="00781112" w:rsidRDefault="00AE1972" w:rsidP="00AE1972">
      <w:pPr>
        <w:rPr>
          <w:b/>
          <w:bCs/>
        </w:rPr>
      </w:pPr>
      <w:r w:rsidRPr="00781112">
        <w:rPr>
          <w:color w:val="000000" w:themeColor="text1"/>
        </w:rPr>
        <w:t xml:space="preserve">Fidelity of implementation to an MTSS in reading was measured for the school districts receiving coaching supports from ORTII. This includes districts participating in Cadre 12 supports and targeted supports with ORTII. The school year 2023 to 2024 was the first year of implementation for the 9 districts participating in Cadre 12. Correspondingly, data measuring fidelity of implementation to an MTSS represents a level of initial installation of MTSS in their district. </w:t>
      </w:r>
      <w:r w:rsidRPr="00781112">
        <w:rPr>
          <w:color w:val="000000" w:themeColor="text1"/>
        </w:rPr>
        <w:br/>
      </w:r>
      <w:r w:rsidRPr="00781112">
        <w:rPr>
          <w:color w:val="000000" w:themeColor="text1"/>
        </w:rPr>
        <w:br/>
        <w:t xml:space="preserve">Staff in 29 participating schools within 9 districts responded to the MTSS-R Tier 1 Implementation Rubric. These districts include seven districts participating in cadre 12’s multiyear supports, and two districts participating in one year supports and working on Tier 1 practices. Two districts participating in cadre 12 supports did not provide implementation data. This tool measures staff perception of implementation of 20 individual aspects of school-wide Tier 1 reading systems on a four-point scale from not in place (0) to completely in place (3). </w:t>
      </w:r>
      <w:r w:rsidRPr="00781112">
        <w:rPr>
          <w:color w:val="000000" w:themeColor="text1"/>
        </w:rPr>
        <w:br/>
      </w:r>
      <w:r w:rsidRPr="00781112">
        <w:rPr>
          <w:color w:val="000000" w:themeColor="text1"/>
        </w:rPr>
        <w:br/>
        <w:t xml:space="preserve">Average levels of reported implementation were highest in use of evidence-based tools for screening for students, with an average rating of 2.4 across all participating districts. The next highest average level of implementation was reported in the area of school culture, measuring staff perception of a healthy and positive atmosphere of collaboration amongst staff, at 1.9. </w:t>
      </w:r>
      <w:r w:rsidRPr="00781112">
        <w:rPr>
          <w:color w:val="000000" w:themeColor="text1"/>
        </w:rPr>
        <w:br/>
      </w:r>
      <w:r w:rsidRPr="00781112">
        <w:rPr>
          <w:color w:val="000000" w:themeColor="text1"/>
        </w:rPr>
        <w:br/>
        <w:t xml:space="preserve">The lowest average levels of implementation were found in the areas of schools using a core review meeting to identify students for whom instruction isn't working for, with an average implementation level of 0.2 reported. In the area of having a system to monitor fidelity, staff in districts responding to the Tier 1 MTSS-R survey reported an average level of implementation of 1.0. </w:t>
      </w:r>
      <w:r w:rsidRPr="00781112">
        <w:rPr>
          <w:color w:val="000000" w:themeColor="text1"/>
        </w:rPr>
        <w:br/>
      </w:r>
      <w:r w:rsidRPr="00781112">
        <w:rPr>
          <w:color w:val="000000" w:themeColor="text1"/>
        </w:rPr>
        <w:br/>
        <w:t xml:space="preserve">These fidelity data are from districts participating in the first year of supports with ORTII, while the fidelity data reported in the prior year’s submission are from districts participating in their third year of supports. The fidelity data reported in this report and last year’s report are from different groups of school districts at different stages of implementation, therefore cannot be compared to infer a change in overall statewide implementation levels or to assess practice change. </w:t>
      </w:r>
      <w:r w:rsidRPr="00781112">
        <w:rPr>
          <w:color w:val="000000" w:themeColor="text1"/>
        </w:rPr>
        <w:br/>
      </w:r>
      <w:r w:rsidRPr="00781112">
        <w:rPr>
          <w:color w:val="000000" w:themeColor="text1"/>
        </w:rPr>
        <w:br/>
        <w:t>Staff at 13 elementary schools across six districts participating in targeted coaching supports by ORTII responded to the Tier 3 MTSS-R rubric. This tool measures staff perception of implementation of 11 individual aspects of school-wide Tier 3 reading systems on a four-point scale from not in place (0) to completely in place (3). The highest average levels of implementation were reported in the category of progress monitoring and diagnostic data, representing staff perception that multiple levels of progress monitoring data are collected, at a level of 2.2. Lowest levels were reported at a level of 1.1 for two areas, the coordination and monitoring of tier 3 supports and use of decision rules in individual problem-solving meetings.</w:t>
      </w:r>
    </w:p>
    <w:p w14:paraId="3D905B01" w14:textId="77777777" w:rsidR="00AE1972" w:rsidRPr="00781112" w:rsidRDefault="00AE1972" w:rsidP="00AE1972">
      <w:pPr>
        <w:rPr>
          <w:rFonts w:cs="Arial"/>
          <w:b/>
          <w:bCs/>
        </w:rPr>
      </w:pPr>
    </w:p>
    <w:p w14:paraId="7A09B895" w14:textId="187B70C8" w:rsidR="00AE1972" w:rsidRPr="00781112" w:rsidRDefault="00C87801" w:rsidP="00AE1972">
      <w:pPr>
        <w:rPr>
          <w:rFonts w:cs="Arial"/>
          <w:b/>
          <w:bCs/>
        </w:rPr>
      </w:pPr>
      <w:r w:rsidRPr="00C87801">
        <w:rPr>
          <w:rFonts w:cs="Arial"/>
          <w:b/>
          <w:bCs/>
        </w:rPr>
        <w:t>Describe any additional data (e.g., progress monitoring) that was collected that supports the decision to continue the ongoing use of each evidence-based practice.</w:t>
      </w:r>
    </w:p>
    <w:p w14:paraId="61FB2284" w14:textId="795DBC6E" w:rsidR="00AE1972" w:rsidRDefault="00AE1972" w:rsidP="00AE1972">
      <w:pPr>
        <w:rPr>
          <w:color w:val="000000" w:themeColor="text1"/>
        </w:rPr>
      </w:pPr>
      <w:r w:rsidRPr="00781112">
        <w:rPr>
          <w:color w:val="000000" w:themeColor="text1"/>
        </w:rPr>
        <w:t xml:space="preserve">Four districts participating in Cadre 12 initial implementation coaching for an MTSS in reading in the 2023-2024 school year provided reading screening data to the State. The total student population in these 4 districts was 10,751 students in 2023-2025, representing about 1.96% of Oregon's total K-12 student population of 547,424 students. In the 2023-2024 school year, 15% of K-12 students in Oregon were identified as students with disabilities. Each of the four districts participating in cadre 12 that submitted student reading screening data to the State had a higher percentage of students identified as having a disability than the statewide rate of 15%. Lincoln County had the fewest students identified as students with disabilities at 16% of the student population, and Fern Ridge had the highest rate of students identified as students with a disability, at 22% of students. </w:t>
      </w:r>
      <w:r w:rsidRPr="00781112">
        <w:rPr>
          <w:color w:val="000000" w:themeColor="text1"/>
        </w:rPr>
        <w:br/>
      </w:r>
      <w:r w:rsidRPr="00781112">
        <w:rPr>
          <w:color w:val="000000" w:themeColor="text1"/>
        </w:rPr>
        <w:br/>
        <w:t xml:space="preserve">The State analyzed fall and spring reading progress monitoring data for a total of 721 grade two students in these four school districts. Of these 721 students, the percentage of grade two students showing low risk for reading difficulties on state approved screening tools increased from 40.36% of students in fall 2023 to 45.91% of students in spring 2024. These districts also saw a decrease in the percentage of students identified as having a high risk for reading difficulties from fall 2023 to spring 2024, from 41.47% of students in the fall to 37.31% of students in the spring. </w:t>
      </w:r>
      <w:r w:rsidRPr="00781112">
        <w:rPr>
          <w:color w:val="000000" w:themeColor="text1"/>
        </w:rPr>
        <w:br/>
      </w:r>
      <w:r w:rsidRPr="00781112">
        <w:rPr>
          <w:color w:val="000000" w:themeColor="text1"/>
        </w:rPr>
        <w:br/>
        <w:t xml:space="preserve">Three of these four districts reported data disaggregated for students with disabilities. Among these districts, the percentage of grade two students with a disability showing low risk for reading difficulties remained about the same from fall to spring, at 16.22% of students in the fall and 16.67% of students in the spring showing low risk for reading difficulties. Among students with disabilities in these three districts, the percentage of students showing high risk for reading difficulties increased from fall to spring by 4.34%, with 67.86% of grade two students with disabilities showing high risk for reading difficulties in spring 2024. The total number of students with disabilities also increased within these three districts from fall 2023 to spring 2024, from 74 students to 84 students. </w:t>
      </w:r>
      <w:r w:rsidRPr="00781112">
        <w:rPr>
          <w:color w:val="000000" w:themeColor="text1"/>
        </w:rPr>
        <w:br/>
      </w:r>
      <w:r w:rsidRPr="00781112">
        <w:rPr>
          <w:color w:val="000000" w:themeColor="text1"/>
        </w:rPr>
        <w:br/>
        <w:t xml:space="preserve">The State also analyzed reading screening data for districts participating in targeted coaching supports. Nine districts provided fall 2023 reading screening data for a total of 4307 grade two students. These districts together represent 12.27% of Oregon’s K-12 population in the 2023-2024 school year, with 67,144 students. Of these grade two students, 620 were students with disabilities. Seven of these districts also provided spring screening data, representing a total of 995 grade two students and 136 students with disabilities, or 0.18% of Oregon’s K-12 population. </w:t>
      </w:r>
      <w:r w:rsidRPr="00781112">
        <w:rPr>
          <w:color w:val="000000" w:themeColor="text1"/>
        </w:rPr>
        <w:br/>
      </w:r>
      <w:r w:rsidRPr="00781112">
        <w:rPr>
          <w:color w:val="000000" w:themeColor="text1"/>
        </w:rPr>
        <w:br/>
        <w:t xml:space="preserve">The State compared student performance on reading screening assessments for the cohort of targeted support districts from fall to spring. The percentage of students demonstrating low risk increased for students overall from fall to spring from 43.63% to 52.66%, and the percentage of students demonstrating high risk decreased for students overall in this time period, from 21.71% of students in the fall to 20.70% of students in the spring. These trends indicate that the overall student population is showing less risk for reading difficulties. </w:t>
      </w:r>
      <w:r w:rsidRPr="00781112">
        <w:rPr>
          <w:color w:val="000000" w:themeColor="text1"/>
        </w:rPr>
        <w:br/>
      </w:r>
      <w:r w:rsidRPr="00781112">
        <w:rPr>
          <w:color w:val="000000" w:themeColor="text1"/>
        </w:rPr>
        <w:br/>
        <w:t xml:space="preserve">Students with disabilities in the targeted support districts did not experience similar risk reduction. Among grade two students with disabilities, the percentage of students showing low risk of having reading difficulties stayed relatively constant from fall to spring, with 25.48% of students with disabilities showing low risk in the fall, and 24.26% of students showing low risk in the spring. The percentage of students showing a high risk for experiencing reading difficulties changed significantly from fall to spring, with 35.48% of students with disabilities showing high risk in the fall and 50.74% of students with disabilities showing high risk in the spring. The State notes the change in student count included in the data sets from fall to spring lower the reliability of conclusions drawn from these data. There were fewer than 25% of the grade two students represented in the spring when compared to the student population included for the fall screening data. </w:t>
      </w:r>
      <w:r w:rsidRPr="00781112">
        <w:rPr>
          <w:color w:val="000000" w:themeColor="text1"/>
        </w:rPr>
        <w:br/>
      </w:r>
      <w:r w:rsidRPr="00781112">
        <w:rPr>
          <w:color w:val="000000" w:themeColor="text1"/>
        </w:rPr>
        <w:br/>
        <w:t xml:space="preserve">Year-end data for these grade two students indicates that fewer than half of students in these four cadre 12 districts, or 45.91% of students, show low risk for experiencing reading difficulties. Among the seven districts who previously implemented an MTSS in reading and are focusing on improvement </w:t>
      </w:r>
      <w:r w:rsidRPr="00781112">
        <w:rPr>
          <w:color w:val="000000" w:themeColor="text1"/>
        </w:rPr>
        <w:lastRenderedPageBreak/>
        <w:t>with targeted coaching supports, just over half the students in grade two showed low risk for reading difficulties in spring 2024, or 52.66% of students with disabilities. This data underscores the continued need to support staff in using evidence-based core literacy instructional practices. Because there was an increase in the percentage of students demonstrating low risk for reading difficulties over the year, coaching and professional learning to implement effective Tier 1 instructional practices should continue. Data showing an increase in the percentage of grade two students with and without disabilities demonstrating high risk may indicate the need to provide additional coaching and technical assistance related to use of interventions.</w:t>
      </w:r>
    </w:p>
    <w:p w14:paraId="1C12C4CB" w14:textId="17146AE7" w:rsidR="00C87801" w:rsidRDefault="00C87801" w:rsidP="00AE1972">
      <w:pPr>
        <w:rPr>
          <w:color w:val="000000" w:themeColor="text1"/>
        </w:rPr>
      </w:pPr>
    </w:p>
    <w:p w14:paraId="00E7E41D" w14:textId="35F4BD30" w:rsidR="00C87801" w:rsidRPr="00C87801" w:rsidRDefault="00C87801" w:rsidP="00C87801">
      <w:pPr>
        <w:rPr>
          <w:b/>
          <w:bCs/>
          <w:color w:val="000000" w:themeColor="text1"/>
        </w:rPr>
      </w:pPr>
      <w:r w:rsidRPr="00730C62">
        <w:rPr>
          <w:b/>
          <w:bCs/>
          <w:color w:val="000000" w:themeColor="text1"/>
        </w:rPr>
        <w:t xml:space="preserve">Provide a summary of the next steps for each evidence-based practice and the anticipated outcomes to be attained during the next reporting period. </w:t>
      </w:r>
    </w:p>
    <w:p w14:paraId="3EDD1FBC" w14:textId="4546113E" w:rsidR="00C87801" w:rsidRDefault="00C87801" w:rsidP="00C87801">
      <w:pPr>
        <w:rPr>
          <w:color w:val="000000" w:themeColor="text1"/>
        </w:rPr>
      </w:pPr>
      <w:r w:rsidRPr="00781112">
        <w:rPr>
          <w:color w:val="000000" w:themeColor="text1"/>
        </w:rPr>
        <w:t xml:space="preserve">During the next reporting period, the State will continue offering coaching opportunities to district teams to improve literacy instruction using the K-5 literacy framework and through an MTSS in reading. ORTII will provide professional learning and technical assistance related to implementing Tier 2 literacy support in an MTSS, including the use of data to monitor student progress and use effective interventions within school wide reading models. In the 2024-2025 school year, ORTII will provide targeted coaching and supports to a set of districts with prior experience implementing an MTSS. The state expects districts in cadre 12 to show progress in implementing Tier 1 and Tier 2 literacy practices, as measured by the MTSS-R implementation tool. </w:t>
      </w:r>
    </w:p>
    <w:p w14:paraId="0555DA84" w14:textId="3045F812" w:rsidR="00C87801" w:rsidRDefault="00C87801" w:rsidP="00AE1972">
      <w:pPr>
        <w:rPr>
          <w:color w:val="000000" w:themeColor="text1"/>
        </w:rPr>
      </w:pPr>
    </w:p>
    <w:p w14:paraId="6D882D9B" w14:textId="77777777" w:rsidR="00987BD2" w:rsidRDefault="00987BD2" w:rsidP="00987BD2">
      <w:pPr>
        <w:rPr>
          <w:b/>
          <w:bCs/>
        </w:rPr>
      </w:pPr>
      <w:r w:rsidRPr="00730C62">
        <w:rPr>
          <w:b/>
          <w:bCs/>
        </w:rPr>
        <w:t>Does the State intend to continue implementing the SSIP without modifications? (yes/no)</w:t>
      </w:r>
    </w:p>
    <w:p w14:paraId="1C4A7F35" w14:textId="77777777" w:rsidR="00987BD2" w:rsidRDefault="00987BD2" w:rsidP="00987BD2">
      <w:r w:rsidRPr="00781112">
        <w:t>YES</w:t>
      </w:r>
    </w:p>
    <w:p w14:paraId="37EC807A" w14:textId="77777777" w:rsidR="00987BD2" w:rsidRPr="00730C62" w:rsidRDefault="00987BD2" w:rsidP="00987BD2">
      <w:pPr>
        <w:rPr>
          <w:b/>
          <w:bCs/>
        </w:rPr>
      </w:pPr>
      <w:r w:rsidRPr="00730C62">
        <w:rPr>
          <w:b/>
          <w:bCs/>
          <w:szCs w:val="16"/>
        </w:rPr>
        <w:t>If yes, describe how evaluation data support the decision to implement without any modifications to the SSIP.</w:t>
      </w:r>
    </w:p>
    <w:p w14:paraId="0709A4EF" w14:textId="77777777" w:rsidR="00987BD2" w:rsidRDefault="00987BD2" w:rsidP="00987BD2">
      <w:r w:rsidRPr="00781112">
        <w:t xml:space="preserve">The State continues to not meet the statewide targets established for grade three reading performance. There remains a need to prioritize early literacy as an area of focus for improvement in Oregon. The significant statewide investments in early literacy will be continued into future reporting periods and the State anticipates these investments to impact student reading performance.  </w:t>
      </w:r>
    </w:p>
    <w:p w14:paraId="074AA68E" w14:textId="77777777" w:rsidR="00987BD2" w:rsidRPr="00781112" w:rsidRDefault="00987BD2" w:rsidP="00AE1972">
      <w:pPr>
        <w:rPr>
          <w:color w:val="000000" w:themeColor="text1"/>
        </w:rPr>
      </w:pPr>
    </w:p>
    <w:p w14:paraId="4216CFE7" w14:textId="77777777" w:rsidR="00C2635F" w:rsidRPr="00781112" w:rsidRDefault="00C2635F" w:rsidP="00AE1972">
      <w:pPr>
        <w:rPr>
          <w:b/>
          <w:bCs/>
        </w:rPr>
      </w:pPr>
    </w:p>
    <w:p w14:paraId="7350AAE8" w14:textId="77777777" w:rsidR="00C2635F" w:rsidRPr="00781112" w:rsidRDefault="00AE1972" w:rsidP="00AE1972">
      <w:pPr>
        <w:rPr>
          <w:rFonts w:cs="Arial"/>
          <w:b/>
          <w:bCs/>
        </w:rPr>
      </w:pPr>
      <w:r w:rsidRPr="00781112">
        <w:rPr>
          <w:rFonts w:cs="Arial"/>
          <w:b/>
          <w:bCs/>
        </w:rPr>
        <w:t>Section C: Stakeholder Engagement</w:t>
      </w:r>
    </w:p>
    <w:p w14:paraId="7EBFA7EE" w14:textId="77777777" w:rsidR="00C2635F" w:rsidRPr="00781112" w:rsidRDefault="00C2635F" w:rsidP="00C2635F">
      <w:pPr>
        <w:pStyle w:val="Bold"/>
        <w:rPr>
          <w:color w:val="000000" w:themeColor="text1"/>
        </w:rPr>
      </w:pPr>
      <w:r w:rsidRPr="00781112">
        <w:rPr>
          <w:color w:val="000000" w:themeColor="text1"/>
        </w:rPr>
        <w:t>Description of Stakeholder Input</w:t>
      </w:r>
    </w:p>
    <w:p w14:paraId="513CA7D9" w14:textId="77777777" w:rsidR="00C2635F" w:rsidRPr="00781112" w:rsidRDefault="00C2635F" w:rsidP="00C2635F">
      <w:pPr>
        <w:rPr>
          <w:color w:val="000000" w:themeColor="text1"/>
        </w:rPr>
      </w:pPr>
      <w:r w:rsidRPr="00781112">
        <w:rPr>
          <w:color w:val="000000" w:themeColor="text1"/>
        </w:rPr>
        <w:t xml:space="preserve">The State Advisory Council for Special Education (SACSE) brings together a variety of partners to provide a channel for information to be shared among programs and stakeholders. SACSE membership includes individuals experiencing disability, family members of students experiencing disability, representatives from higher education, state and local officials, administrators, and private school representatives.  </w:t>
      </w:r>
      <w:r w:rsidRPr="00781112">
        <w:rPr>
          <w:color w:val="000000" w:themeColor="text1"/>
        </w:rPr>
        <w:br/>
      </w:r>
      <w:r w:rsidRPr="00781112">
        <w:rPr>
          <w:color w:val="000000" w:themeColor="text1"/>
        </w:rPr>
        <w:br/>
        <w:t xml:space="preserve">The State engaged in broad stakeholder input on new targets established for FFY 2020-2025, reported in the 2021 submission. During this reporting period, the State continues to maintain the web-based indicator dashboards created to support target setting. These dashboards continue to provide information about the data source and the importance of each indicator.  </w:t>
      </w:r>
      <w:r w:rsidRPr="00781112">
        <w:rPr>
          <w:color w:val="000000" w:themeColor="text1"/>
        </w:rPr>
        <w:br/>
      </w:r>
      <w:r w:rsidRPr="00781112">
        <w:rPr>
          <w:color w:val="000000" w:themeColor="text1"/>
        </w:rPr>
        <w:br/>
        <w:t xml:space="preserve">The State did not revise targets during this reporting period. While developing HB 3198 during the prior reporting period, stakeholders statewide and the State analyzed grade three reading outcome data for specific student groups, including literacy outcome data for students with identified disabilities. HB 3198 includes programs designed to improve literacy outcomes for students in particular student groups experiencing academic disparities, including students with identified disabilities. State priorities as reflected in the SSIP and its SiMR and recent legislative actions confirm community and stakeholder commitment to improving literacy by grade three.  </w:t>
      </w:r>
      <w:r w:rsidRPr="00781112">
        <w:rPr>
          <w:color w:val="000000" w:themeColor="text1"/>
        </w:rPr>
        <w:br/>
      </w:r>
      <w:r w:rsidRPr="00781112">
        <w:rPr>
          <w:color w:val="000000" w:themeColor="text1"/>
        </w:rPr>
        <w:br/>
        <w:t xml:space="preserve">The State has conducted several activities to increase the capacity of diverse groups of parents to provide informed individual and systems level input on special education in Oregon. The Parent Training and Information Center (PTI) provided live and on demand training, targeting the diverse communities of the State. Families applied to participate in the Activate Your Advocacy cohort trainings, intended to grow capacity for families to interrupt ableism at a systems level. This cohort provided ongoing training and support to participants. Individual trainings were offered on topics including IEPs, transition to kindergarten, behavior, and state legislation particular to students experiencing disability. These training topics are areas that are particularly impactful to students experiencing disability who are members of racial/ethnic groups often underserved by our systems. To increase the capacity of parents who are speakers of other languages, trainings were offered with interpretation in other languages on request.  </w:t>
      </w:r>
      <w:r w:rsidRPr="00781112">
        <w:rPr>
          <w:color w:val="000000" w:themeColor="text1"/>
        </w:rPr>
        <w:br/>
      </w:r>
      <w:r w:rsidRPr="00781112">
        <w:rPr>
          <w:color w:val="000000" w:themeColor="text1"/>
        </w:rPr>
        <w:br/>
        <w:t xml:space="preserve">Expanded work to increase input from diverse groups on the Parent Survey, further described in indicator B8, increases the opportunity for families to provide informed feedback, which simultaneously grows capacity for advocacy within school and district special education systems. Through collaboration with the state Parent Training and Information Center (PTI) and with the Community Parent Resource Center (CPRC), the State has expanded the parent survey to the top 13 spoken languages. As a part of this system growth, the organizations collaborated with local districts that will be surveyed to ensure the highest level of access to resources. The State and PTI also partnered with the Central Oregon Disability Support Network (CODSN) to increase family outreach. The CODSN focuses on underserved populations in Crook, Deschutes, Grant, Harney, Jefferson, Klamath, Lake, and Wheeler counties, including American Indian/Alaskan Native, Hispanic/Latino, LGBTQ+, homeless, incarcerated, and impoverished parents and youth with disabilities.   </w:t>
      </w:r>
      <w:r w:rsidRPr="00781112">
        <w:rPr>
          <w:color w:val="000000" w:themeColor="text1"/>
        </w:rPr>
        <w:br/>
      </w:r>
      <w:r w:rsidRPr="00781112">
        <w:rPr>
          <w:color w:val="000000" w:themeColor="text1"/>
        </w:rPr>
        <w:br/>
        <w:t xml:space="preserve">Taken together, the State in partnership with supporting organizations has undertaken varied activities to promote the capacity growth of diverse groups of families in the areas of systems interruption and participatory feedback.   </w:t>
      </w:r>
    </w:p>
    <w:p w14:paraId="613D691C" w14:textId="77777777" w:rsidR="00C2635F" w:rsidRPr="00781112" w:rsidRDefault="00C2635F" w:rsidP="00C2635F">
      <w:pPr>
        <w:pStyle w:val="Bold"/>
        <w:rPr>
          <w:b w:val="0"/>
          <w:color w:val="000000" w:themeColor="text1"/>
        </w:rPr>
      </w:pPr>
    </w:p>
    <w:p w14:paraId="0227ECF0" w14:textId="4A877DBA" w:rsidR="00AE1972" w:rsidRPr="00781112" w:rsidRDefault="00AE1972" w:rsidP="00AE1972">
      <w:pPr>
        <w:rPr>
          <w:rFonts w:cs="Arial"/>
          <w:b/>
          <w:bCs/>
        </w:rPr>
      </w:pPr>
      <w:r w:rsidRPr="00781112">
        <w:rPr>
          <w:rFonts w:cs="Arial"/>
          <w:b/>
          <w:bCs/>
        </w:rPr>
        <w:t xml:space="preserve"> Describe the specific strategies implemented to engage stakeholders in key improvement efforts. </w:t>
      </w:r>
    </w:p>
    <w:p w14:paraId="50B976D9" w14:textId="4AEF384A" w:rsidR="00AE1972" w:rsidRPr="00781112" w:rsidRDefault="00AE1972" w:rsidP="00AE1972">
      <w:pPr>
        <w:rPr>
          <w:b/>
          <w:bCs/>
        </w:rPr>
      </w:pPr>
      <w:r w:rsidRPr="00781112">
        <w:rPr>
          <w:color w:val="000000" w:themeColor="text1"/>
        </w:rPr>
        <w:t xml:space="preserve">This reporting period included statewide engagement across and within multiple agencies related to improving outcomes in early literacy for students. Engagement efforts centered around implementation of the statewide early literacy initiative, HB 3198. Specific efforts included developing intergovernmental and interagency communication pathways to be able to coordinate for implementation across tribes, communities, and state agencies including the Oregon Department of Education and the Division for Early Learning and Care (DELC). </w:t>
      </w:r>
      <w:r w:rsidRPr="00781112">
        <w:rPr>
          <w:color w:val="000000" w:themeColor="text1"/>
        </w:rPr>
        <w:br/>
      </w:r>
      <w:r w:rsidRPr="00781112">
        <w:rPr>
          <w:color w:val="000000" w:themeColor="text1"/>
        </w:rPr>
        <w:br/>
        <w:t xml:space="preserve">The Early Literacy Educator Preparation Council, established by the governor in 2023 as an advisory body to the Teacher Standards and Practices Commission, finalized recommendations to strengthen preparation of staff and administrators in early literacy. This council included representatives from Oregon’s tribes, institutes of higher education, large and small school districts, and state agency representatives. These recommendations will consolidate existing literacy licensure standards and create new literacy standards for educators aligned to the new literacy framework. </w:t>
      </w:r>
      <w:r w:rsidRPr="00781112">
        <w:rPr>
          <w:color w:val="000000" w:themeColor="text1"/>
        </w:rPr>
        <w:br/>
      </w:r>
      <w:r w:rsidRPr="00781112">
        <w:rPr>
          <w:color w:val="000000" w:themeColor="text1"/>
        </w:rPr>
        <w:br/>
        <w:t xml:space="preserve">The State continued implementing the engagement strategy of leveraging relationships and open communication with partners implementing the literacy framework in schools. During this reporting period, the Agency SSIP coordinator met regularly with the educational service district hosting Oregon </w:t>
      </w:r>
      <w:r w:rsidRPr="00781112">
        <w:rPr>
          <w:color w:val="000000" w:themeColor="text1"/>
        </w:rPr>
        <w:lastRenderedPageBreak/>
        <w:t>Response to Instruction and Intervention (ORTII). Specifically, ORTII and state staff reviewed outcome data and district feedback about efficacy of supports. A primary outcome of the engagement between ORTII and the State was alignment on professional development topics related to supporting students with disabilities.</w:t>
      </w:r>
    </w:p>
    <w:p w14:paraId="0E7119BD" w14:textId="77777777" w:rsidR="00AE1972" w:rsidRPr="00781112" w:rsidRDefault="00AE1972" w:rsidP="00AE1972">
      <w:pPr>
        <w:rPr>
          <w:rFonts w:cs="Arial"/>
          <w:b/>
          <w:bCs/>
        </w:rPr>
      </w:pPr>
      <w:r w:rsidRPr="00781112">
        <w:rPr>
          <w:rFonts w:cs="Arial"/>
          <w:b/>
          <w:bCs/>
        </w:rPr>
        <w:t>Were there any concerns expressed by stakeholders during engagement activities?</w:t>
      </w:r>
      <w:r w:rsidRPr="00781112">
        <w:rPr>
          <w:b/>
          <w:bCs/>
        </w:rPr>
        <w:t xml:space="preserve"> (yes/no)</w:t>
      </w:r>
    </w:p>
    <w:p w14:paraId="23F53104" w14:textId="7B375F38" w:rsidR="00AE1972" w:rsidRDefault="00AE1972" w:rsidP="00AE1972">
      <w:pPr>
        <w:rPr>
          <w:color w:val="000000" w:themeColor="text1"/>
        </w:rPr>
      </w:pPr>
      <w:r w:rsidRPr="00781112">
        <w:rPr>
          <w:color w:val="000000" w:themeColor="text1"/>
        </w:rPr>
        <w:t>NO</w:t>
      </w:r>
    </w:p>
    <w:p w14:paraId="4C0E967E" w14:textId="77777777" w:rsidR="00AE1972" w:rsidRPr="00781112" w:rsidRDefault="00AE1972" w:rsidP="00AE1972">
      <w:pPr>
        <w:rPr>
          <w:rFonts w:cs="Arial"/>
          <w:b/>
          <w:bCs/>
        </w:rPr>
      </w:pPr>
    </w:p>
    <w:p w14:paraId="66B03304" w14:textId="77777777" w:rsidR="00AE1972" w:rsidRPr="00781112" w:rsidRDefault="00AE1972" w:rsidP="00AE1972">
      <w:pPr>
        <w:rPr>
          <w:rFonts w:cstheme="minorHAnsi"/>
          <w:b/>
          <w:bCs/>
        </w:rPr>
      </w:pPr>
      <w:r w:rsidRPr="00781112">
        <w:rPr>
          <w:rFonts w:cstheme="minorHAnsi"/>
          <w:b/>
          <w:bCs/>
        </w:rPr>
        <w:t>Additional Implementation Activities</w:t>
      </w:r>
    </w:p>
    <w:p w14:paraId="10A21917" w14:textId="46068090" w:rsidR="00AE1972" w:rsidRPr="00781112" w:rsidRDefault="00AE1972" w:rsidP="00AE1972">
      <w:pPr>
        <w:rPr>
          <w:b/>
          <w:bCs/>
        </w:rPr>
      </w:pPr>
      <w:r w:rsidRPr="00781112">
        <w:rPr>
          <w:b/>
          <w:bCs/>
        </w:rPr>
        <w:t>List any activities not already described that the State intends to implement in the next fiscal year that are related to the SiMR.</w:t>
      </w:r>
    </w:p>
    <w:p w14:paraId="35A94BC4" w14:textId="6D7D4D2A" w:rsidR="00AE1972" w:rsidRPr="00781112" w:rsidRDefault="00AE1972" w:rsidP="00AE1972">
      <w:pPr>
        <w:rPr>
          <w:color w:val="000000" w:themeColor="text1"/>
        </w:rPr>
      </w:pPr>
      <w:r w:rsidRPr="00781112">
        <w:rPr>
          <w:color w:val="000000" w:themeColor="text1"/>
        </w:rPr>
        <w:t>There are no additional implementation activities.</w:t>
      </w:r>
    </w:p>
    <w:p w14:paraId="3ACC71D3" w14:textId="77777777" w:rsidR="00AE1972" w:rsidRPr="00781112" w:rsidRDefault="00AE1972" w:rsidP="00AE1972">
      <w:pPr>
        <w:rPr>
          <w:rFonts w:cs="Arial"/>
          <w:b/>
          <w:bCs/>
        </w:rPr>
      </w:pPr>
      <w:r w:rsidRPr="00781112">
        <w:rPr>
          <w:rFonts w:cs="Arial"/>
          <w:b/>
          <w:bCs/>
        </w:rPr>
        <w:t xml:space="preserve">Provide a timeline, anticipated data collection and measures, and expected outcomes for these activities that are related to the SiMR. </w:t>
      </w:r>
    </w:p>
    <w:p w14:paraId="50377A67" w14:textId="7B063CE4" w:rsidR="00AE1972" w:rsidRPr="00781112" w:rsidRDefault="00AE1972" w:rsidP="00AE1972">
      <w:pPr>
        <w:rPr>
          <w:color w:val="000000" w:themeColor="text1"/>
        </w:rPr>
      </w:pPr>
    </w:p>
    <w:p w14:paraId="7B5F9795" w14:textId="77777777" w:rsidR="00AE1972" w:rsidRPr="00781112" w:rsidRDefault="00AE1972" w:rsidP="00AE1972">
      <w:pPr>
        <w:rPr>
          <w:color w:val="000000" w:themeColor="text1"/>
        </w:rPr>
      </w:pPr>
    </w:p>
    <w:p w14:paraId="1D472AFD" w14:textId="77777777" w:rsidR="00AE1972" w:rsidRPr="00781112" w:rsidRDefault="00AE1972" w:rsidP="00AE1972">
      <w:pPr>
        <w:rPr>
          <w:rFonts w:cs="Arial"/>
          <w:b/>
          <w:bCs/>
        </w:rPr>
      </w:pPr>
      <w:r w:rsidRPr="00781112">
        <w:rPr>
          <w:rFonts w:cs="Arial"/>
          <w:b/>
          <w:bCs/>
        </w:rPr>
        <w:t>Describe any newly identified barriers and include steps to address these barriers.</w:t>
      </w:r>
    </w:p>
    <w:p w14:paraId="4E48E920" w14:textId="395AE1C0" w:rsidR="00AE1972" w:rsidRPr="00781112" w:rsidRDefault="00AE1972" w:rsidP="00AE1972">
      <w:pPr>
        <w:rPr>
          <w:color w:val="000000" w:themeColor="text1"/>
        </w:rPr>
      </w:pPr>
      <w:r w:rsidRPr="00781112">
        <w:rPr>
          <w:color w:val="000000" w:themeColor="text1"/>
        </w:rPr>
        <w:t>There are no newly identified barriers.</w:t>
      </w:r>
    </w:p>
    <w:p w14:paraId="5E2459D3" w14:textId="77777777" w:rsidR="00AE1972" w:rsidRPr="00781112" w:rsidRDefault="00AE1972" w:rsidP="00AE1972">
      <w:pPr>
        <w:rPr>
          <w:rFonts w:cs="Arial"/>
          <w:b/>
          <w:bCs/>
        </w:rPr>
      </w:pPr>
    </w:p>
    <w:p w14:paraId="3396CE64" w14:textId="77777777" w:rsidR="00AE1972" w:rsidRPr="00781112" w:rsidRDefault="00AE1972" w:rsidP="00AE1972">
      <w:pPr>
        <w:rPr>
          <w:rFonts w:cs="Arial"/>
          <w:b/>
          <w:bCs/>
        </w:rPr>
      </w:pPr>
      <w:r w:rsidRPr="00781112">
        <w:rPr>
          <w:rFonts w:cs="Arial"/>
          <w:b/>
          <w:bCs/>
        </w:rPr>
        <w:t>Provide additional information about this indicator (optional).</w:t>
      </w:r>
    </w:p>
    <w:p w14:paraId="3B78AAE5" w14:textId="1BDEAF09" w:rsidR="00AE1972" w:rsidRPr="00781112" w:rsidRDefault="00AE1972" w:rsidP="00AE1972">
      <w:pPr>
        <w:rPr>
          <w:color w:val="000000" w:themeColor="text1"/>
        </w:rPr>
      </w:pPr>
    </w:p>
    <w:p w14:paraId="1717717F" w14:textId="77777777" w:rsidR="00AE1972" w:rsidRPr="00781112" w:rsidRDefault="00AE1972" w:rsidP="00AE1972">
      <w:pPr>
        <w:rPr>
          <w:b/>
          <w:bCs/>
        </w:rPr>
      </w:pPr>
    </w:p>
    <w:p w14:paraId="7969DCFD" w14:textId="313BCCCE" w:rsidR="00AE1972" w:rsidRPr="00781112" w:rsidRDefault="00AE1972" w:rsidP="005B40C0">
      <w:pPr>
        <w:pStyle w:val="Heading3"/>
      </w:pPr>
      <w:r w:rsidRPr="00781112">
        <w:t>1</w:t>
      </w:r>
      <w:r w:rsidR="00B90835" w:rsidRPr="00781112">
        <w:t>7</w:t>
      </w:r>
      <w:r w:rsidRPr="00781112">
        <w:t xml:space="preserve"> - Prior FFY Required Actions</w:t>
      </w:r>
    </w:p>
    <w:p w14:paraId="6D4FDD87" w14:textId="61973738" w:rsidR="00AE1972" w:rsidRPr="00781112" w:rsidRDefault="00AE1972" w:rsidP="00AE1972">
      <w:pPr>
        <w:rPr>
          <w:color w:val="000000" w:themeColor="text1"/>
        </w:rPr>
      </w:pPr>
      <w:r w:rsidRPr="00781112">
        <w:rPr>
          <w:color w:val="000000" w:themeColor="text1"/>
        </w:rPr>
        <w:t>None</w:t>
      </w:r>
    </w:p>
    <w:p w14:paraId="26525888" w14:textId="754A2C29" w:rsidR="00AE1972" w:rsidRPr="00781112" w:rsidRDefault="00AE1972" w:rsidP="005B40C0">
      <w:pPr>
        <w:pStyle w:val="Heading3"/>
      </w:pPr>
      <w:r w:rsidRPr="00781112">
        <w:t>1</w:t>
      </w:r>
      <w:r w:rsidR="00B90835" w:rsidRPr="00781112">
        <w:t>7</w:t>
      </w:r>
      <w:r w:rsidRPr="00781112">
        <w:t xml:space="preserve"> - OSEP Response</w:t>
      </w:r>
    </w:p>
    <w:p w14:paraId="401B2D8D" w14:textId="470B927C" w:rsidR="00AE1972" w:rsidRPr="00781112" w:rsidRDefault="00AE1972" w:rsidP="00AE1972">
      <w:pPr>
        <w:rPr>
          <w:color w:val="000000" w:themeColor="text1"/>
        </w:rPr>
      </w:pPr>
    </w:p>
    <w:p w14:paraId="6DAF5363" w14:textId="73CEA9C3" w:rsidR="00AE1972" w:rsidRPr="00781112" w:rsidRDefault="00AE1972" w:rsidP="005B40C0">
      <w:pPr>
        <w:pStyle w:val="Heading3"/>
      </w:pPr>
      <w:r w:rsidRPr="00781112">
        <w:t>1</w:t>
      </w:r>
      <w:r w:rsidR="00B90835" w:rsidRPr="00781112">
        <w:t>7</w:t>
      </w:r>
      <w:r w:rsidRPr="00781112">
        <w:t xml:space="preserve"> - Required Actions</w:t>
      </w:r>
    </w:p>
    <w:p w14:paraId="54E94584" w14:textId="132794BB" w:rsidR="00066BAA" w:rsidRDefault="00066BAA" w:rsidP="000532EB">
      <w:pPr>
        <w:rPr>
          <w:color w:val="000000" w:themeColor="text1"/>
        </w:rPr>
      </w:pPr>
    </w:p>
    <w:p w14:paraId="23CCB9EC" w14:textId="19D3A83B" w:rsidR="007B2985" w:rsidRDefault="007B2985">
      <w:pPr>
        <w:spacing w:before="0" w:after="200" w:line="276" w:lineRule="auto"/>
        <w:rPr>
          <w:color w:val="000000" w:themeColor="text1"/>
        </w:rPr>
      </w:pPr>
      <w:r>
        <w:rPr>
          <w:color w:val="000000" w:themeColor="text1"/>
        </w:rPr>
        <w:br w:type="page"/>
      </w:r>
    </w:p>
    <w:p w14:paraId="456E6F1A" w14:textId="77777777" w:rsidR="00B9250E" w:rsidRDefault="00B9250E" w:rsidP="005B40C0">
      <w:pPr>
        <w:pStyle w:val="Heading2"/>
      </w:pPr>
      <w:bookmarkStart w:id="99" w:name="_Hlk173251796"/>
      <w:r>
        <w:lastRenderedPageBreak/>
        <w:t>Indicator 18: General Supervision</w:t>
      </w:r>
    </w:p>
    <w:bookmarkEnd w:id="99"/>
    <w:p w14:paraId="38A9004D" w14:textId="19D3A83B" w:rsidR="00B9250E" w:rsidRPr="002C274F" w:rsidRDefault="00B9250E" w:rsidP="002C274F">
      <w:pPr>
        <w:rPr>
          <w:b/>
          <w:bCs/>
          <w:sz w:val="20"/>
          <w:szCs w:val="20"/>
        </w:rPr>
      </w:pPr>
      <w:r w:rsidRPr="002C274F">
        <w:rPr>
          <w:b/>
          <w:bCs/>
          <w:sz w:val="20"/>
          <w:szCs w:val="20"/>
        </w:rPr>
        <w:t>Instructions and Measurement</w:t>
      </w:r>
    </w:p>
    <w:p w14:paraId="467D6B3B"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Monitoring Priority: </w:t>
      </w:r>
      <w:r w:rsidRPr="00CB52C7">
        <w:rPr>
          <w:rFonts w:eastAsia="Calibri" w:cs="Arial"/>
          <w:bCs/>
          <w:szCs w:val="16"/>
        </w:rPr>
        <w:t>General Supervision</w:t>
      </w:r>
    </w:p>
    <w:p w14:paraId="5487876E" w14:textId="77777777" w:rsidR="00B9250E" w:rsidRPr="00CB52C7" w:rsidRDefault="00B9250E" w:rsidP="00B9250E">
      <w:pPr>
        <w:keepNext/>
        <w:spacing w:after="0"/>
        <w:rPr>
          <w:rFonts w:eastAsia="Calibri" w:cs="Arial"/>
          <w:bCs/>
          <w:szCs w:val="16"/>
        </w:rPr>
      </w:pPr>
      <w:r w:rsidRPr="00CB52C7">
        <w:rPr>
          <w:rFonts w:eastAsia="Calibri" w:cs="Arial"/>
          <w:b/>
          <w:szCs w:val="16"/>
        </w:rPr>
        <w:t xml:space="preserve">Compliance indicator: </w:t>
      </w:r>
      <w:r w:rsidRPr="00CB52C7">
        <w:rPr>
          <w:rFonts w:eastAsia="Calibri" w:cs="Arial"/>
          <w:bCs/>
          <w:szCs w:val="16"/>
        </w:rPr>
        <w:t>This SPP/APR indicator focuses on the State’s exercise of its general supervision responsibility to monitor its local educational agencies (LEAs) for requirements under Part B of the Individuals with Disabilities Education Act (IDEA) through the State’s reporting on timely correction of noncompliance (20 U.S.C. 1412(a)(11) and 1416(a); and 34 C.F.R. §§ 300.149, 300.600). 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w:t>
      </w:r>
    </w:p>
    <w:p w14:paraId="6E636E5C" w14:textId="77777777" w:rsidR="00B9250E" w:rsidRPr="00CB52C7" w:rsidRDefault="00B9250E" w:rsidP="00B9250E">
      <w:pPr>
        <w:keepNext/>
        <w:spacing w:after="0"/>
        <w:rPr>
          <w:rFonts w:eastAsia="Calibri" w:cs="Arial"/>
          <w:b/>
          <w:szCs w:val="16"/>
        </w:rPr>
      </w:pPr>
      <w:r w:rsidRPr="00CB52C7">
        <w:rPr>
          <w:rFonts w:eastAsia="Calibri" w:cs="Arial"/>
          <w:b/>
          <w:szCs w:val="16"/>
        </w:rPr>
        <w:t>Data Source</w:t>
      </w:r>
    </w:p>
    <w:p w14:paraId="778DB2BC" w14:textId="77777777" w:rsidR="00B9250E" w:rsidRPr="00CB52C7" w:rsidRDefault="00B9250E" w:rsidP="00B9250E">
      <w:pPr>
        <w:rPr>
          <w:rFonts w:eastAsia="Calibri" w:cs="Arial"/>
          <w:b/>
          <w:szCs w:val="16"/>
        </w:rPr>
      </w:pPr>
      <w:r w:rsidRPr="00CB52C7">
        <w:rPr>
          <w:rFonts w:eastAsia="Calibri" w:cs="Arial"/>
          <w:bCs/>
          <w:szCs w:val="16"/>
        </w:rPr>
        <w:t>The State must include findings from data collected through all components of the State’s general supervision system that are used to identify noncompliance. This includes, but is not limited to, information collected through State monitoring, State database/data system, 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w:t>
      </w:r>
      <w:r w:rsidRPr="00CB52C7">
        <w:rPr>
          <w:rFonts w:eastAsia="Calibri" w:cs="Arial"/>
          <w:szCs w:val="16"/>
        </w:rPr>
        <w:cr/>
      </w:r>
      <w:r w:rsidRPr="00CB52C7">
        <w:rPr>
          <w:rFonts w:eastAsia="Calibri" w:cs="Arial"/>
          <w:b/>
          <w:szCs w:val="16"/>
        </w:rPr>
        <w:t>Measurement</w:t>
      </w:r>
    </w:p>
    <w:p w14:paraId="120EC51E" w14:textId="77777777" w:rsidR="00B9250E" w:rsidRPr="00CB52C7" w:rsidRDefault="00B9250E" w:rsidP="00B9250E">
      <w:pPr>
        <w:rPr>
          <w:rFonts w:eastAsia="Calibri" w:cs="Arial"/>
          <w:szCs w:val="16"/>
        </w:rPr>
      </w:pPr>
      <w:r w:rsidRPr="00CB52C7">
        <w:rPr>
          <w:rFonts w:eastAsia="Calibri" w:cs="Arial"/>
          <w:szCs w:val="16"/>
        </w:rPr>
        <w:t xml:space="preserve">This SPP/APR indicator requires the reporting on the percent of findings of noncompliance corrected within one year of identification: </w:t>
      </w:r>
    </w:p>
    <w:p w14:paraId="5BACDC40"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a. # of findings of noncompliance issued the prior Federal fiscal year (FFY) (e.g., for the FFY 2023 submission, use FFY 2022, July 1, 2022 – June 30, 2023)</w:t>
      </w:r>
    </w:p>
    <w:p w14:paraId="118A609D" w14:textId="77777777" w:rsidR="00B9250E" w:rsidRPr="00CB52C7" w:rsidRDefault="00B9250E" w:rsidP="00B9250E">
      <w:pPr>
        <w:keepNext/>
        <w:spacing w:after="0"/>
        <w:ind w:left="720" w:hanging="360"/>
        <w:rPr>
          <w:rFonts w:eastAsia="Calibri" w:cs="Arial"/>
          <w:szCs w:val="16"/>
        </w:rPr>
      </w:pPr>
      <w:r w:rsidRPr="00CB52C7">
        <w:rPr>
          <w:rFonts w:eastAsia="Calibri" w:cs="Arial"/>
          <w:szCs w:val="16"/>
        </w:rPr>
        <w:t>b. # of findings of noncompliance the State verified were corrected no later than one year after the State’s written notification of findings of noncompliance.</w:t>
      </w:r>
    </w:p>
    <w:p w14:paraId="488B2FED" w14:textId="2BA0A4C6" w:rsidR="008D02A5" w:rsidRDefault="00B9250E" w:rsidP="003E5D5A">
      <w:pPr>
        <w:ind w:firstLine="360"/>
        <w:rPr>
          <w:rFonts w:eastAsia="Calibri" w:cs="Arial"/>
          <w:szCs w:val="16"/>
        </w:rPr>
      </w:pPr>
      <w:r w:rsidRPr="00CB52C7">
        <w:rPr>
          <w:rFonts w:eastAsia="Calibri" w:cs="Arial"/>
          <w:szCs w:val="16"/>
        </w:rPr>
        <w:t>Percent = [(b) divided by (a)] times 100</w:t>
      </w:r>
    </w:p>
    <w:p w14:paraId="2076257A" w14:textId="664A05B9" w:rsidR="008D02A5" w:rsidRPr="003E5D5A" w:rsidRDefault="008D02A5" w:rsidP="00B9250E">
      <w:pPr>
        <w:rPr>
          <w:rFonts w:eastAsia="Calibri" w:cs="Arial"/>
          <w:i/>
          <w:iCs/>
          <w:szCs w:val="16"/>
        </w:rPr>
      </w:pPr>
      <w:r w:rsidRPr="008D02A5">
        <w:rPr>
          <w:rFonts w:eastAsia="Calibri" w:cs="Arial"/>
          <w:i/>
          <w:iCs/>
          <w:szCs w:val="16"/>
        </w:rPr>
        <w:t xml:space="preserve">States are required to complete the General Supervision Data Table within the online reporting tool. </w:t>
      </w:r>
    </w:p>
    <w:p w14:paraId="04A926F4" w14:textId="3342B067" w:rsidR="00B9250E" w:rsidRPr="00CB52C7" w:rsidRDefault="00B9250E" w:rsidP="00B9250E">
      <w:pPr>
        <w:rPr>
          <w:rFonts w:eastAsia="Calibri" w:cs="Arial"/>
          <w:b/>
          <w:szCs w:val="16"/>
        </w:rPr>
      </w:pPr>
      <w:r w:rsidRPr="00CB52C7">
        <w:rPr>
          <w:rFonts w:eastAsia="Calibri" w:cs="Arial"/>
          <w:b/>
          <w:szCs w:val="16"/>
        </w:rPr>
        <w:t>Instructions</w:t>
      </w:r>
    </w:p>
    <w:p w14:paraId="68480FCB" w14:textId="0FCC4FB2" w:rsidR="00B9250E" w:rsidRPr="00CB52C7" w:rsidRDefault="00B9250E" w:rsidP="00B9250E">
      <w:pPr>
        <w:rPr>
          <w:rFonts w:eastAsia="Calibri" w:cs="Arial"/>
          <w:szCs w:val="16"/>
        </w:rPr>
      </w:pPr>
      <w:r w:rsidRPr="00CB52C7">
        <w:rPr>
          <w:rFonts w:eastAsia="Calibri" w:cs="Arial"/>
          <w:szCs w:val="16"/>
        </w:rPr>
        <w:t>Baseline Data: The State must provide baseline data expressed as a percentage. OSEP assumes that the State’s FFY 2023 data for this indicator is the State’s baseline data unless the State provides an explanation for using other baseline data.</w:t>
      </w:r>
    </w:p>
    <w:p w14:paraId="2F92BE95" w14:textId="107ECEA7" w:rsidR="00B9250E" w:rsidRPr="00CB52C7" w:rsidRDefault="00B9250E" w:rsidP="00B9250E">
      <w:pPr>
        <w:rPr>
          <w:rFonts w:eastAsia="Calibri" w:cs="Arial"/>
          <w:szCs w:val="16"/>
        </w:rPr>
      </w:pPr>
      <w:r w:rsidRPr="00CB52C7">
        <w:rPr>
          <w:rFonts w:eastAsia="Calibri" w:cs="Arial"/>
          <w:szCs w:val="16"/>
        </w:rPr>
        <w:t>Targets must be 100%.</w:t>
      </w:r>
    </w:p>
    <w:p w14:paraId="2BA619D2" w14:textId="28FE7489" w:rsidR="00B9250E" w:rsidRPr="00CB52C7" w:rsidRDefault="00B9250E" w:rsidP="00B9250E">
      <w:pPr>
        <w:rPr>
          <w:rFonts w:eastAsia="Calibri" w:cs="Arial"/>
          <w:szCs w:val="16"/>
        </w:rPr>
      </w:pPr>
      <w:r w:rsidRPr="00CB52C7">
        <w:rPr>
          <w:rFonts w:eastAsia="Calibri" w:cs="Arial"/>
          <w:szCs w:val="16"/>
        </w:rPr>
        <w:t>Report in Column A the total number of findings of noncompliance made in FFY 2022 (July 1, 2022 – June 30, 2023) and report in Column B the number of those findings which were timely corrected, as soon as possible and in no case later than one year after the State’s written notification of noncompliance.</w:t>
      </w:r>
    </w:p>
    <w:p w14:paraId="1E394FE7" w14:textId="77777777" w:rsidR="00B9250E" w:rsidRPr="00CB52C7" w:rsidRDefault="00B9250E" w:rsidP="00B9250E">
      <w:pPr>
        <w:rPr>
          <w:rFonts w:eastAsia="Calibri" w:cs="Arial"/>
          <w:szCs w:val="16"/>
        </w:rPr>
      </w:pPr>
      <w:r w:rsidRPr="00CB52C7">
        <w:rPr>
          <w:rFonts w:eastAsia="Calibri" w:cs="Arial"/>
          <w:szCs w:val="16"/>
        </w:rPr>
        <w:t>Starting with the FFY 2023 SPP/APR, States will be required to report on the correction of noncompliance related to compliance indicators 4B, 9, 10, 11, 12, and 13 based on findings issued in FFY 2022. Under each compliance indicator, States report on the correction of noncompliance for that specific indicator. However, in this general supervision Indicator 18, States report on both those findings as well as any additional findings that the State issued related to that compliance indicator.</w:t>
      </w:r>
    </w:p>
    <w:p w14:paraId="17BB16C1" w14:textId="22B7ACFB" w:rsidR="00B9250E" w:rsidRPr="00CB52C7" w:rsidRDefault="00B9250E" w:rsidP="00B9250E">
      <w:pPr>
        <w:rPr>
          <w:rFonts w:eastAsia="Calibri" w:cs="Arial"/>
          <w:szCs w:val="16"/>
        </w:rPr>
      </w:pPr>
      <w:r w:rsidRPr="00CB52C7">
        <w:rPr>
          <w:rFonts w:eastAsia="Calibri" w:cs="Arial"/>
          <w:szCs w:val="16"/>
        </w:rPr>
        <w:t>In the last row of this General Supervision Data Table, 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listed below (e.g., Results indicators (including related requirements), Fiscal, Dispute Resolution, etc.). In future years (e.g., with the FFY 2026 SPP/APR), States may be required to further disaggregate findings by results indicators (1, 2, 3, 4A, 5, 6, 7, 8, 14, 15, 16, and 17), fiscal and other areas.</w:t>
      </w:r>
    </w:p>
    <w:p w14:paraId="7F64A8AD" w14:textId="77777777" w:rsidR="00B9250E" w:rsidRPr="00CB52C7" w:rsidRDefault="00B9250E" w:rsidP="00B9250E">
      <w:pPr>
        <w:rPr>
          <w:rFonts w:eastAsia="Calibri" w:cs="Arial"/>
          <w:szCs w:val="16"/>
        </w:rPr>
      </w:pPr>
      <w:r w:rsidRPr="00CB52C7">
        <w:rPr>
          <w:rFonts w:eastAsia="Calibri" w:cs="Arial"/>
          <w:szCs w:val="16"/>
        </w:rPr>
        <w:t>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53A7E863" w14:textId="386B971D" w:rsidR="00B9250E" w:rsidRPr="00CB52C7" w:rsidRDefault="00C615CF" w:rsidP="005B40C0">
      <w:pPr>
        <w:pStyle w:val="Heading3"/>
      </w:pPr>
      <w:r>
        <w:t xml:space="preserve">18 - </w:t>
      </w:r>
      <w:r w:rsidR="00B9250E" w:rsidRPr="00CB52C7">
        <w:t>Indicator Data</w:t>
      </w:r>
    </w:p>
    <w:p w14:paraId="7C523773" w14:textId="77777777" w:rsidR="00B9250E" w:rsidRPr="00CB52C7" w:rsidRDefault="00B9250E" w:rsidP="00C144F3">
      <w:pPr>
        <w:keepNext/>
        <w:rPr>
          <w:rFonts w:eastAsia="Calibri" w:cs="Arial"/>
          <w:b/>
          <w:szCs w:val="16"/>
        </w:rPr>
      </w:pPr>
      <w:r w:rsidRPr="00CB52C7">
        <w:rPr>
          <w:rFonts w:eastAsia="Calibri" w:cs="Arial"/>
          <w:b/>
          <w:szCs w:val="16"/>
        </w:rPr>
        <w:t>Historical Data</w:t>
      </w:r>
    </w:p>
    <w:tbl>
      <w:tblPr>
        <w:tblStyle w:val="TableGrid"/>
        <w:tblW w:w="0" w:type="auto"/>
        <w:tblLayout w:type="fixed"/>
        <w:tblLook w:val="04A0" w:firstRow="1" w:lastRow="0" w:firstColumn="1" w:lastColumn="0" w:noHBand="0" w:noVBand="1"/>
        <w:tblCaption w:val="B18HISTORICALDATA"/>
      </w:tblPr>
      <w:tblGrid>
        <w:gridCol w:w="1797"/>
        <w:gridCol w:w="1798"/>
      </w:tblGrid>
      <w:tr w:rsidR="00B9250E" w:rsidRPr="00CB52C7" w14:paraId="6CA62A6B" w14:textId="77777777" w:rsidTr="00C144F3">
        <w:trPr>
          <w:trHeight w:val="360"/>
          <w:tblHeader/>
        </w:trPr>
        <w:tc>
          <w:tcPr>
            <w:tcW w:w="1797" w:type="dxa"/>
          </w:tcPr>
          <w:p w14:paraId="79262C56"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Year</w:t>
            </w:r>
          </w:p>
        </w:tc>
        <w:tc>
          <w:tcPr>
            <w:tcW w:w="1798" w:type="dxa"/>
          </w:tcPr>
          <w:p w14:paraId="487FDF4B" w14:textId="77777777" w:rsidR="00B9250E" w:rsidRPr="00CB52C7" w:rsidRDefault="00B9250E">
            <w:pPr>
              <w:jc w:val="center"/>
              <w:rPr>
                <w:rFonts w:eastAsia="Calibri" w:cs="Arial"/>
                <w:b/>
                <w:color w:val="000000"/>
                <w:szCs w:val="16"/>
              </w:rPr>
            </w:pPr>
            <w:r w:rsidRPr="00CB52C7">
              <w:rPr>
                <w:rFonts w:eastAsia="Calibri" w:cs="Arial"/>
                <w:b/>
                <w:color w:val="000000"/>
                <w:szCs w:val="16"/>
              </w:rPr>
              <w:t>Baseline Data</w:t>
            </w:r>
          </w:p>
        </w:tc>
      </w:tr>
      <w:tr w:rsidR="00AA0F28" w:rsidRPr="00CB52C7" w14:paraId="10EB3A3C" w14:textId="77777777" w:rsidTr="00C144F3">
        <w:trPr>
          <w:trHeight w:val="360"/>
          <w:tblHeader/>
        </w:trPr>
        <w:tc>
          <w:tcPr>
            <w:tcW w:w="1797" w:type="dxa"/>
            <w:shd w:val="clear" w:color="auto" w:fill="auto"/>
          </w:tcPr>
          <w:p w14:paraId="3DB63379" w14:textId="32371D4A" w:rsidR="00AA0F28" w:rsidRPr="00CB52C7" w:rsidRDefault="00AA0F28" w:rsidP="00AA0F28">
            <w:pPr>
              <w:jc w:val="center"/>
              <w:rPr>
                <w:rFonts w:eastAsia="Calibri" w:cs="Arial"/>
                <w:b/>
                <w:color w:val="000000"/>
                <w:szCs w:val="16"/>
              </w:rPr>
            </w:pPr>
            <w:r w:rsidRPr="00ED172B">
              <w:rPr>
                <w:color w:val="000000" w:themeColor="text1"/>
              </w:rPr>
              <w:t>2023</w:t>
            </w:r>
          </w:p>
        </w:tc>
        <w:tc>
          <w:tcPr>
            <w:tcW w:w="1798" w:type="dxa"/>
            <w:shd w:val="clear" w:color="auto" w:fill="auto"/>
            <w:vAlign w:val="center"/>
          </w:tcPr>
          <w:p w14:paraId="11E17251" w14:textId="44164363" w:rsidR="00AA0F28" w:rsidRPr="00CB52C7" w:rsidRDefault="00AA0F28" w:rsidP="00AA0F28">
            <w:pPr>
              <w:jc w:val="center"/>
              <w:rPr>
                <w:rFonts w:eastAsia="Calibri" w:cs="Arial"/>
                <w:b/>
                <w:color w:val="000000"/>
                <w:szCs w:val="16"/>
              </w:rPr>
            </w:pPr>
            <w:r w:rsidRPr="00ED172B">
              <w:rPr>
                <w:color w:val="000000" w:themeColor="text1"/>
              </w:rPr>
              <w:t>99.25%</w:t>
            </w:r>
          </w:p>
        </w:tc>
      </w:tr>
    </w:tbl>
    <w:p w14:paraId="2B25DB1A" w14:textId="77777777" w:rsidR="00B9250E" w:rsidRPr="00CB52C7" w:rsidRDefault="00B9250E" w:rsidP="00B9250E">
      <w:pPr>
        <w:keepNext/>
        <w:spacing w:after="0"/>
        <w:rPr>
          <w:rFonts w:eastAsia="Calibri" w:cs="Arial"/>
          <w:b/>
          <w:szCs w:val="16"/>
        </w:rPr>
      </w:pPr>
    </w:p>
    <w:p w14:paraId="66533CF9" w14:textId="77777777" w:rsidR="00B9250E" w:rsidRPr="00CB52C7" w:rsidRDefault="00B9250E" w:rsidP="001C2EC2">
      <w:pPr>
        <w:rPr>
          <w:rFonts w:eastAsia="Calibri" w:cs="Arial"/>
          <w:b/>
          <w:szCs w:val="16"/>
        </w:rPr>
      </w:pPr>
      <w:r w:rsidRPr="00CB52C7">
        <w:rPr>
          <w:rFonts w:eastAsia="Calibri" w:cs="Arial"/>
          <w:b/>
          <w:szCs w:val="16"/>
        </w:rPr>
        <w:t>Targets</w:t>
      </w:r>
    </w:p>
    <w:tbl>
      <w:tblPr>
        <w:tblStyle w:val="TableGrid1"/>
        <w:tblW w:w="4151" w:type="pct"/>
        <w:tblLook w:val="0020" w:firstRow="1" w:lastRow="0" w:firstColumn="0" w:lastColumn="0" w:noHBand="0" w:noVBand="0"/>
        <w:tblCaption w:val="B18TARGETS"/>
      </w:tblPr>
      <w:tblGrid>
        <w:gridCol w:w="706"/>
        <w:gridCol w:w="2467"/>
        <w:gridCol w:w="2644"/>
        <w:gridCol w:w="3141"/>
      </w:tblGrid>
      <w:tr w:rsidR="00211C03" w:rsidRPr="00CB52C7" w14:paraId="3050C234" w14:textId="77777777" w:rsidTr="00C144F3">
        <w:trPr>
          <w:trHeight w:val="350"/>
        </w:trPr>
        <w:tc>
          <w:tcPr>
            <w:tcW w:w="394" w:type="pct"/>
          </w:tcPr>
          <w:p w14:paraId="22571611" w14:textId="77777777" w:rsidR="00211C03" w:rsidRPr="00CB52C7" w:rsidRDefault="00211C03" w:rsidP="00211C03">
            <w:pPr>
              <w:keepNext/>
              <w:jc w:val="center"/>
              <w:rPr>
                <w:rFonts w:eastAsia="Calibri" w:cs="Arial"/>
                <w:b/>
                <w:szCs w:val="16"/>
              </w:rPr>
            </w:pPr>
            <w:r w:rsidRPr="00CB52C7">
              <w:rPr>
                <w:rFonts w:eastAsia="Calibri" w:cs="Arial"/>
                <w:b/>
                <w:szCs w:val="16"/>
              </w:rPr>
              <w:t>FFY</w:t>
            </w:r>
          </w:p>
        </w:tc>
        <w:tc>
          <w:tcPr>
            <w:tcW w:w="1377" w:type="pct"/>
            <w:vAlign w:val="center"/>
          </w:tcPr>
          <w:p w14:paraId="01F65C73" w14:textId="01202AEE" w:rsidR="00211C03" w:rsidRPr="00CB52C7" w:rsidRDefault="00211C03" w:rsidP="00211C03">
            <w:pPr>
              <w:keepNext/>
              <w:jc w:val="center"/>
              <w:rPr>
                <w:rFonts w:eastAsia="Calibri" w:cs="Arial"/>
                <w:b/>
                <w:bCs/>
                <w:szCs w:val="16"/>
              </w:rPr>
            </w:pPr>
            <w:r w:rsidRPr="00781112">
              <w:rPr>
                <w:b/>
                <w:color w:val="000000" w:themeColor="text1"/>
              </w:rPr>
              <w:t>2023</w:t>
            </w:r>
          </w:p>
        </w:tc>
        <w:tc>
          <w:tcPr>
            <w:tcW w:w="1476" w:type="pct"/>
          </w:tcPr>
          <w:p w14:paraId="63456C2F" w14:textId="2C88E5A0" w:rsidR="00211C03" w:rsidRPr="00CB52C7" w:rsidDel="00654CAF" w:rsidRDefault="00211C03" w:rsidP="00211C03">
            <w:pPr>
              <w:keepNext/>
              <w:jc w:val="center"/>
              <w:rPr>
                <w:rFonts w:eastAsia="Calibri" w:cs="Arial"/>
                <w:b/>
                <w:bCs/>
                <w:szCs w:val="16"/>
              </w:rPr>
            </w:pPr>
            <w:r w:rsidRPr="00781112">
              <w:rPr>
                <w:rFonts w:cs="Arial"/>
                <w:b/>
                <w:color w:val="000000" w:themeColor="text1"/>
                <w:szCs w:val="16"/>
              </w:rPr>
              <w:t>2024</w:t>
            </w:r>
          </w:p>
        </w:tc>
        <w:tc>
          <w:tcPr>
            <w:tcW w:w="1754" w:type="pct"/>
          </w:tcPr>
          <w:p w14:paraId="7954410F" w14:textId="504B6012" w:rsidR="00211C03" w:rsidRPr="00CB52C7" w:rsidDel="00654CAF" w:rsidRDefault="00211C03" w:rsidP="00211C03">
            <w:pPr>
              <w:keepNext/>
              <w:jc w:val="center"/>
              <w:rPr>
                <w:rFonts w:eastAsia="Calibri" w:cs="Arial"/>
                <w:b/>
                <w:bCs/>
                <w:szCs w:val="16"/>
              </w:rPr>
            </w:pPr>
            <w:r w:rsidRPr="00781112">
              <w:rPr>
                <w:rFonts w:cs="Arial"/>
                <w:b/>
                <w:color w:val="000000" w:themeColor="text1"/>
                <w:szCs w:val="16"/>
              </w:rPr>
              <w:t>2025</w:t>
            </w:r>
          </w:p>
        </w:tc>
      </w:tr>
      <w:tr w:rsidR="00AA0F28" w:rsidRPr="00CB52C7" w14:paraId="13044C61" w14:textId="77777777" w:rsidTr="00C144F3">
        <w:trPr>
          <w:trHeight w:val="357"/>
        </w:trPr>
        <w:tc>
          <w:tcPr>
            <w:tcW w:w="394" w:type="pct"/>
          </w:tcPr>
          <w:p w14:paraId="25371225" w14:textId="77777777" w:rsidR="00AA0F28" w:rsidRPr="00C85110" w:rsidRDefault="00AA0F28" w:rsidP="00AA0F28">
            <w:pPr>
              <w:rPr>
                <w:rFonts w:eastAsia="Calibri" w:cs="Arial"/>
                <w:b/>
                <w:bCs/>
                <w:szCs w:val="16"/>
              </w:rPr>
            </w:pPr>
            <w:r w:rsidRPr="00C85110">
              <w:rPr>
                <w:rFonts w:eastAsia="Calibri" w:cs="Arial"/>
                <w:b/>
                <w:bCs/>
                <w:szCs w:val="16"/>
              </w:rPr>
              <w:t>Target</w:t>
            </w:r>
          </w:p>
        </w:tc>
        <w:tc>
          <w:tcPr>
            <w:tcW w:w="1377" w:type="pct"/>
            <w:vAlign w:val="center"/>
          </w:tcPr>
          <w:p w14:paraId="4CBFD355" w14:textId="2FFE547A" w:rsidR="00AA0F28" w:rsidRPr="00CB52C7" w:rsidRDefault="00AA0F28" w:rsidP="00AA0F28">
            <w:pPr>
              <w:jc w:val="center"/>
              <w:rPr>
                <w:rFonts w:eastAsia="Calibri" w:cs="Arial"/>
                <w:caps/>
                <w:color w:val="548DD4"/>
                <w:szCs w:val="16"/>
              </w:rPr>
            </w:pPr>
            <w:r w:rsidRPr="00ED172B">
              <w:rPr>
                <w:color w:val="000000" w:themeColor="text1"/>
              </w:rPr>
              <w:t>100%</w:t>
            </w:r>
          </w:p>
        </w:tc>
        <w:tc>
          <w:tcPr>
            <w:tcW w:w="1476" w:type="pct"/>
          </w:tcPr>
          <w:p w14:paraId="761B3F10" w14:textId="112DA712" w:rsidR="00AA0F28" w:rsidRPr="00CB52C7" w:rsidRDefault="00AA0F28" w:rsidP="00AA0F28">
            <w:pPr>
              <w:jc w:val="center"/>
              <w:rPr>
                <w:rFonts w:eastAsia="Calibri" w:cs="Arial"/>
                <w:caps/>
                <w:color w:val="548DD4"/>
                <w:szCs w:val="16"/>
              </w:rPr>
            </w:pPr>
            <w:r>
              <w:rPr>
                <w:rFonts w:cs="Arial"/>
                <w:color w:val="000000" w:themeColor="text1"/>
                <w:szCs w:val="16"/>
              </w:rPr>
              <w:t>100%</w:t>
            </w:r>
          </w:p>
        </w:tc>
        <w:tc>
          <w:tcPr>
            <w:tcW w:w="1754" w:type="pct"/>
          </w:tcPr>
          <w:p w14:paraId="0E4F4B31" w14:textId="5A5D7544" w:rsidR="00AA0F28" w:rsidRPr="00CB52C7" w:rsidRDefault="00AA0F28" w:rsidP="00AA0F28">
            <w:pPr>
              <w:jc w:val="center"/>
              <w:rPr>
                <w:rFonts w:eastAsia="Calibri" w:cs="Arial"/>
                <w:caps/>
                <w:color w:val="548DD4"/>
                <w:szCs w:val="16"/>
              </w:rPr>
            </w:pPr>
            <w:r w:rsidRPr="005F5F3C">
              <w:rPr>
                <w:rFonts w:cs="Arial"/>
                <w:color w:val="000000" w:themeColor="text1"/>
                <w:szCs w:val="16"/>
              </w:rPr>
              <w:t>100%</w:t>
            </w:r>
          </w:p>
        </w:tc>
      </w:tr>
    </w:tbl>
    <w:p w14:paraId="26F2D3D8" w14:textId="77777777" w:rsidR="00B9250E" w:rsidRPr="00CB52C7" w:rsidRDefault="00B9250E" w:rsidP="00B9250E">
      <w:pPr>
        <w:rPr>
          <w:rFonts w:eastAsia="Calibri" w:cs="Arial"/>
          <w:b/>
          <w:szCs w:val="16"/>
        </w:rPr>
      </w:pPr>
    </w:p>
    <w:p w14:paraId="7EB85454" w14:textId="678925A3"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4B. Percent of LEAs that have: (a) a significant discrepancy, as defined by the State, by race or ethnicity, in the rate of suspensions and expulsions of greater than 10 days in a school year for children with IEPs; and (b) policies, procedures or practices that contribute to the significant discrepancy, as defined by the State, and do not comply with requirements relating to the development and implementation of IEPs, the use of positive behavioral interventions and supports, and procedural safeguards.. (20 U.S.C. 1416(a)(3)(A); 1412(a)(22))</w:t>
      </w:r>
    </w:p>
    <w:p w14:paraId="0088157A" w14:textId="3B13E8D9" w:rsidR="00B9250E" w:rsidRPr="00CB52C7" w:rsidRDefault="00B9250E" w:rsidP="00C144F3">
      <w:pPr>
        <w:jc w:val="both"/>
        <w:textAlignment w:val="baseline"/>
        <w:rPr>
          <w:rFonts w:eastAsia="Calibri" w:cs="Arial"/>
          <w:b/>
          <w:szCs w:val="16"/>
        </w:rPr>
      </w:pPr>
      <w:bookmarkStart w:id="100" w:name="_Hlk175325033"/>
      <w:r w:rsidRPr="00CB52C7">
        <w:rPr>
          <w:rFonts w:eastAsia="Times New Roman" w:cs="Arial"/>
          <w:b/>
          <w:bCs/>
          <w:szCs w:val="16"/>
        </w:rPr>
        <w:t>Findings of Noncompliance Identified in FFY 2022</w:t>
      </w:r>
    </w:p>
    <w:tbl>
      <w:tblPr>
        <w:tblStyle w:val="TableGrid"/>
        <w:tblW w:w="0" w:type="auto"/>
        <w:tblLook w:val="04A0" w:firstRow="1" w:lastRow="0" w:firstColumn="1" w:lastColumn="0" w:noHBand="0" w:noVBand="1"/>
        <w:tblCaption w:val="B18FINDINGSOFNONCOMPLIANCEIND4B"/>
      </w:tblPr>
      <w:tblGrid>
        <w:gridCol w:w="1815"/>
        <w:gridCol w:w="2440"/>
        <w:gridCol w:w="2233"/>
        <w:gridCol w:w="2233"/>
        <w:gridCol w:w="2069"/>
      </w:tblGrid>
      <w:tr w:rsidR="000439AF" w:rsidRPr="00CB52C7" w14:paraId="353A6F30" w14:textId="77777777" w:rsidTr="00C144F3">
        <w:trPr>
          <w:trHeight w:val="360"/>
          <w:tblHeader/>
        </w:trPr>
        <w:tc>
          <w:tcPr>
            <w:tcW w:w="0" w:type="auto"/>
          </w:tcPr>
          <w:bookmarkEnd w:id="100"/>
          <w:p w14:paraId="1C754ADF" w14:textId="3E5FED36" w:rsidR="00F8304E" w:rsidRPr="00CB52C7" w:rsidRDefault="00F8304E" w:rsidP="00F8304E">
            <w:pPr>
              <w:jc w:val="center"/>
              <w:textAlignment w:val="baseline"/>
              <w:rPr>
                <w:rFonts w:eastAsia="Calibri" w:cs="Arial"/>
                <w:b/>
                <w:szCs w:val="16"/>
              </w:rPr>
            </w:pPr>
            <w:r w:rsidRPr="007D0769">
              <w:rPr>
                <w:rFonts w:eastAsia="Times New Roman" w:cs="Arial"/>
                <w:b/>
                <w:bCs/>
                <w:szCs w:val="16"/>
              </w:rPr>
              <w:lastRenderedPageBreak/>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0" w:type="auto"/>
          </w:tcPr>
          <w:p w14:paraId="7A3E3F5F" w14:textId="3506A826"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0" w:type="auto"/>
          </w:tcPr>
          <w:p w14:paraId="6D0D1B9B" w14:textId="2B056E4B"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0" w:type="auto"/>
          </w:tcPr>
          <w:p w14:paraId="499A52DA" w14:textId="10706935"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0" w:type="auto"/>
          </w:tcPr>
          <w:p w14:paraId="21800FA9" w14:textId="1257D06F" w:rsidR="00F8304E" w:rsidRPr="00CB52C7" w:rsidRDefault="00F8304E" w:rsidP="00E8722F">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0439AF" w:rsidRPr="00C85110" w14:paraId="525F16C8" w14:textId="77777777" w:rsidTr="00C144F3">
        <w:trPr>
          <w:trHeight w:val="360"/>
          <w:tblHeader/>
        </w:trPr>
        <w:tc>
          <w:tcPr>
            <w:tcW w:w="0" w:type="auto"/>
            <w:shd w:val="clear" w:color="auto" w:fill="auto"/>
          </w:tcPr>
          <w:p w14:paraId="2A8EE300" w14:textId="3B8F4387"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0</w:t>
            </w:r>
          </w:p>
        </w:tc>
        <w:tc>
          <w:tcPr>
            <w:tcW w:w="0" w:type="auto"/>
            <w:shd w:val="clear" w:color="auto" w:fill="auto"/>
          </w:tcPr>
          <w:p w14:paraId="46A7327E" w14:textId="26E194BE"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26</w:t>
            </w:r>
          </w:p>
        </w:tc>
        <w:tc>
          <w:tcPr>
            <w:tcW w:w="0" w:type="auto"/>
            <w:shd w:val="clear" w:color="auto" w:fill="auto"/>
          </w:tcPr>
          <w:p w14:paraId="1748EE28" w14:textId="20855C75" w:rsidR="00AA0F28" w:rsidRPr="00CB52C7" w:rsidRDefault="00AA0F28" w:rsidP="00AA0F28">
            <w:pPr>
              <w:jc w:val="center"/>
              <w:textAlignment w:val="baseline"/>
              <w:rPr>
                <w:rFonts w:eastAsia="Times New Roman" w:cs="Arial"/>
                <w:b/>
                <w:bCs/>
                <w:szCs w:val="16"/>
              </w:rPr>
            </w:pPr>
            <w:r w:rsidRPr="00ED172B">
              <w:rPr>
                <w:rFonts w:cs="Arial"/>
                <w:color w:val="000000" w:themeColor="text1"/>
                <w:szCs w:val="16"/>
              </w:rPr>
              <w:t>0</w:t>
            </w:r>
          </w:p>
        </w:tc>
        <w:tc>
          <w:tcPr>
            <w:tcW w:w="0" w:type="auto"/>
            <w:shd w:val="clear" w:color="auto" w:fill="auto"/>
          </w:tcPr>
          <w:p w14:paraId="63E53AF6" w14:textId="3713F37F" w:rsidR="00AA0F28" w:rsidRPr="00CB52C7" w:rsidRDefault="00AA0F28" w:rsidP="00AA0F28">
            <w:pPr>
              <w:jc w:val="center"/>
              <w:textAlignment w:val="baseline"/>
              <w:rPr>
                <w:rFonts w:eastAsia="Times New Roman" w:cs="Arial"/>
                <w:b/>
                <w:bCs/>
                <w:szCs w:val="16"/>
              </w:rPr>
            </w:pPr>
            <w:r>
              <w:rPr>
                <w:rFonts w:eastAsia="Times New Roman" w:cs="Arial"/>
                <w:szCs w:val="16"/>
              </w:rPr>
              <w:t>26</w:t>
            </w:r>
          </w:p>
        </w:tc>
        <w:tc>
          <w:tcPr>
            <w:tcW w:w="0" w:type="auto"/>
            <w:shd w:val="clear" w:color="auto" w:fill="auto"/>
          </w:tcPr>
          <w:p w14:paraId="6C13E5AD" w14:textId="13712B00" w:rsidR="00AA0F28" w:rsidRPr="00A964C2" w:rsidRDefault="00AA0F28" w:rsidP="00AA0F28">
            <w:pPr>
              <w:jc w:val="center"/>
              <w:textAlignment w:val="baseline"/>
              <w:rPr>
                <w:rFonts w:eastAsia="Times New Roman" w:cs="Arial"/>
                <w:b/>
                <w:bCs/>
                <w:szCs w:val="16"/>
              </w:rPr>
            </w:pPr>
            <w:r w:rsidRPr="00A964C2">
              <w:rPr>
                <w:rFonts w:eastAsia="Times New Roman" w:cs="Arial"/>
                <w:szCs w:val="16"/>
              </w:rPr>
              <w:t>0</w:t>
            </w:r>
          </w:p>
        </w:tc>
      </w:tr>
    </w:tbl>
    <w:p w14:paraId="203EEF2B" w14:textId="77777777" w:rsidR="0079169F" w:rsidRDefault="0079169F" w:rsidP="001C2EC2">
      <w:pPr>
        <w:keepNext/>
        <w:rPr>
          <w:rFonts w:eastAsia="Times New Roman" w:cs="Arial"/>
          <w:b/>
          <w:szCs w:val="16"/>
        </w:rPr>
      </w:pPr>
    </w:p>
    <w:p w14:paraId="4FB705C4" w14:textId="765C2097"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4B due to various factors (e.g., additional findings related to other IDEA requirements).</w:t>
      </w:r>
    </w:p>
    <w:p w14:paraId="4ECC4213" w14:textId="20EC4D28" w:rsidR="00A9475A" w:rsidRPr="00C144F3" w:rsidRDefault="000439AF" w:rsidP="00C144F3">
      <w:pPr>
        <w:keepNext/>
        <w:rPr>
          <w:rFonts w:eastAsia="Times New Roman" w:cs="Arial"/>
          <w:bCs/>
          <w:szCs w:val="16"/>
        </w:rPr>
      </w:pPr>
      <w:r>
        <w:rPr>
          <w:rFonts w:eastAsia="Times New Roman" w:cs="Arial"/>
          <w:bCs/>
          <w:szCs w:val="16"/>
        </w:rPr>
        <w:t xml:space="preserve">The number of findings reported in Indicator 4B in FFY 2022 (0 findings) were based on review of policies, practices, and procedures for LEAs identified as having a significant discrepancy in discipline incidents by student race/ethnicity. In FFY 2022, there were six LEAs identified for having a significant discrepancy by student race/ethnicity in student discipline incidents. None of these LEAs were found to have policies, procedures, or practices that were noncompliant with IDEA and contributed to the significant discrepancy.  </w:t>
      </w:r>
      <w:r>
        <w:rPr>
          <w:rFonts w:eastAsia="Times New Roman" w:cs="Arial"/>
          <w:bCs/>
          <w:szCs w:val="16"/>
        </w:rPr>
        <w:br/>
      </w:r>
      <w:r>
        <w:rPr>
          <w:rFonts w:eastAsia="Times New Roman" w:cs="Arial"/>
          <w:bCs/>
          <w:szCs w:val="16"/>
        </w:rPr>
        <w:br/>
        <w:t xml:space="preserve">This number differs from the data reported in this data table because the State identified noncompliance in areas related to equity in student discipline for individual students based on other IDEA requirements through additional monitoring and dispute resolution activities of general supervision.  </w:t>
      </w:r>
      <w:r>
        <w:rPr>
          <w:rFonts w:eastAsia="Times New Roman" w:cs="Arial"/>
          <w:bCs/>
          <w:szCs w:val="16"/>
        </w:rPr>
        <w:br/>
      </w:r>
      <w:r>
        <w:rPr>
          <w:rFonts w:eastAsia="Times New Roman" w:cs="Arial"/>
          <w:bCs/>
          <w:szCs w:val="16"/>
        </w:rPr>
        <w:br/>
        <w:t xml:space="preserve">Of the 26 findings reported in this table, four findings were made based on dispute resolution activities that resulted in substantiated complaints and required corrective action. A total of four districts were assigned and completed corrective action activities within one year as a result of dispute resolution activities. The State counted each substantiated dispute resolution case related to IDEA requirements for discipline as one finding. </w:t>
      </w:r>
      <w:r>
        <w:rPr>
          <w:rFonts w:eastAsia="Times New Roman" w:cs="Arial"/>
          <w:bCs/>
          <w:szCs w:val="16"/>
        </w:rPr>
        <w:br/>
      </w:r>
      <w:r>
        <w:rPr>
          <w:rFonts w:eastAsia="Times New Roman" w:cs="Arial"/>
          <w:bCs/>
          <w:szCs w:val="16"/>
        </w:rPr>
        <w:br/>
        <w:t xml:space="preserve">The remaining 22 of 26 findings of noncompliance based on other IDEA requirements identified in FFY 2022 and reported in this table were identified during monitoring activities based on review of student files. These findings were made based on instances of noncompliance. Districts that participated in cyclical monitoring (Cohort A, school year 2022-2023) and focused monitoring activities in FFY 2022 participated in file review activities including specific standards related to student discipline. One district may have incurred multiple findings originating in these monitoring activities and represented in this data set.   </w:t>
      </w:r>
    </w:p>
    <w:p w14:paraId="1FBD5E6E" w14:textId="2C6B01AD"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26677C25" w14:textId="49DB3D35" w:rsidR="00B9250E" w:rsidRDefault="00B9250E" w:rsidP="00C144F3">
      <w:pPr>
        <w:spacing w:line="276" w:lineRule="auto"/>
        <w:rPr>
          <w:color w:val="000000" w:themeColor="text1"/>
        </w:rPr>
      </w:pPr>
      <w:r>
        <w:rPr>
          <w:color w:val="000000" w:themeColor="text1"/>
        </w:rPr>
        <w:t xml:space="preserve">For each of the four findings that arose through the dispute resolution process, the State verified that the district is correctly implementing the regulatory requirements through review of updated corrective action evidence. Corrective action evidence required varied by each district and included, at a minimum, evidence of correction of a specific aspect of IDEA related to the individual student who was the subject of the dispute, and further systems correction by the district. The State compared corrective action evidence received from the district with required corrective action stated on each issued final order. The SEA verified the LEAs are implementing regulatory requirements across all race and ethnic groups with 100% compliance. </w:t>
      </w:r>
      <w:r>
        <w:rPr>
          <w:color w:val="000000" w:themeColor="text1"/>
        </w:rPr>
        <w:br/>
        <w:t xml:space="preserve"> </w:t>
      </w:r>
      <w:r>
        <w:rPr>
          <w:color w:val="000000" w:themeColor="text1"/>
        </w:rPr>
        <w:br/>
        <w:t xml:space="preserve">For each of the 22 findings issued during monitoring activities, the State reviewed updated, subsequent data and the State verified the LEAs are implementing regulatory requirements across all race and ethnic groups with 100% compliance. The State required LEAs to complete corrections of both individual instances of noncompliance and systems corrections that demonstrate the district subsequently implemented the regulations correctly in accordance with OSEP Memo 23-01. To demonstrate subsequent compliance with the regulation, LEAs submitted evidence in the form of additional student files based on the number of instances of noncompliance that were initially found. The State reviewed the submissions to ensure that the newly submitted files were compliant with the required standards. The State reviewed to ensure the LEA demonstrated correct implementation of the regulation.  </w:t>
      </w:r>
    </w:p>
    <w:p w14:paraId="6D9CAD07" w14:textId="202C250A"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7D03B17" w14:textId="56487A8F" w:rsidR="00B9250E" w:rsidRDefault="00B9250E" w:rsidP="00C144F3">
      <w:pPr>
        <w:spacing w:line="276" w:lineRule="auto"/>
        <w:rPr>
          <w:color w:val="000000" w:themeColor="text1"/>
        </w:rPr>
      </w:pPr>
      <w:r>
        <w:rPr>
          <w:color w:val="000000" w:themeColor="text1"/>
        </w:rPr>
        <w:t xml:space="preserve">For each of the four findings that arose through the dispute resolution process, the State verified that each individual case of noncompliance was corrected by collecting evidence of corrective action activities from each of the four districts. The State compared corrective action evidence received from the district with required corrective action stated on each issued final order. The SEA verified that the 4 individual cases of noncompliance were corrected and the LEAs were meeting regulatory requirements with 100% compliance in accordance with OSEP Memo 23-01. </w:t>
      </w:r>
      <w:r>
        <w:rPr>
          <w:color w:val="000000" w:themeColor="text1"/>
        </w:rPr>
        <w:br/>
        <w:t xml:space="preserve"> </w:t>
      </w:r>
      <w:r>
        <w:rPr>
          <w:color w:val="000000" w:themeColor="text1"/>
        </w:rPr>
        <w:br/>
        <w:t xml:space="preserve">For each of the 22 findings made during monitoring activities, the State required the LEA to submit student file evidence demonstrating individual correction. The State reviewed these findings for compliance with cited regulation, and verified each individual instance of noncompliance had been corrected within one year with 100% compliance in accordance with OSEP Memo 23-01. </w:t>
      </w:r>
    </w:p>
    <w:p w14:paraId="438838F5" w14:textId="77777777" w:rsidR="001C2EC2" w:rsidRDefault="001C2EC2" w:rsidP="00B9250E">
      <w:pPr>
        <w:spacing w:after="0"/>
        <w:textAlignment w:val="baseline"/>
        <w:rPr>
          <w:rFonts w:eastAsia="Times New Roman" w:cs="Arial"/>
          <w:b/>
          <w:bCs/>
          <w:szCs w:val="16"/>
        </w:rPr>
      </w:pPr>
    </w:p>
    <w:p w14:paraId="2CB5E981" w14:textId="4CA5638E"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9. Percent of districts with disproportionate representation of racial and ethnic groups in special education and related services that is the result of inappropriate identification. (20 U.S.C. 1416(a)(3)(C))</w:t>
      </w:r>
    </w:p>
    <w:p w14:paraId="59CBCF6E" w14:textId="1F4716AE"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9"/>
      </w:tblPr>
      <w:tblGrid>
        <w:gridCol w:w="2158"/>
        <w:gridCol w:w="2158"/>
        <w:gridCol w:w="2158"/>
        <w:gridCol w:w="2158"/>
        <w:gridCol w:w="2158"/>
      </w:tblGrid>
      <w:tr w:rsidR="00F8304E" w:rsidRPr="00CB52C7" w14:paraId="10BA039B" w14:textId="77777777" w:rsidTr="00C144F3">
        <w:trPr>
          <w:trHeight w:val="360"/>
        </w:trPr>
        <w:tc>
          <w:tcPr>
            <w:tcW w:w="2158" w:type="dxa"/>
          </w:tcPr>
          <w:p w14:paraId="3BC8156F" w14:textId="3EF74474"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28999C9F" w14:textId="716A6BE6"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11A22C06" w14:textId="18C4859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ABF9E26" w14:textId="36875AF9"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FA22A50" w14:textId="51826A90"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132E50D2" w14:textId="77777777" w:rsidTr="00C144F3">
        <w:trPr>
          <w:trHeight w:val="360"/>
        </w:trPr>
        <w:tc>
          <w:tcPr>
            <w:tcW w:w="2158" w:type="dxa"/>
            <w:shd w:val="clear" w:color="auto" w:fill="auto"/>
          </w:tcPr>
          <w:p w14:paraId="3B5C046A" w14:textId="34091DB8"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54222781" w14:textId="12F1B43E"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D526744" w14:textId="267EDAA2" w:rsidR="00AA0F28" w:rsidRPr="00CB52C7" w:rsidRDefault="005069C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1D5068A8" w14:textId="262195E4"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0CBBD6A" w14:textId="35686C50"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34A46B6C" w14:textId="77777777" w:rsidR="00C9712C" w:rsidRDefault="00C9712C" w:rsidP="001C2EC2">
      <w:pPr>
        <w:keepNext/>
        <w:rPr>
          <w:rFonts w:eastAsia="Times New Roman" w:cs="Arial"/>
          <w:b/>
          <w:szCs w:val="16"/>
        </w:rPr>
      </w:pPr>
    </w:p>
    <w:p w14:paraId="509A6A9E" w14:textId="1CCAC93E"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9 due to various factors (e.g., additional findings related to other IDEA requirements).</w:t>
      </w:r>
    </w:p>
    <w:p w14:paraId="4EF91C58" w14:textId="1AB2D305" w:rsidR="00A9475A" w:rsidRPr="000D073F" w:rsidRDefault="00A9475A" w:rsidP="00C144F3">
      <w:pPr>
        <w:keepNext/>
        <w:rPr>
          <w:rFonts w:eastAsia="Times New Roman" w:cs="Arial"/>
          <w:bCs/>
          <w:szCs w:val="16"/>
        </w:rPr>
      </w:pPr>
      <w:r w:rsidRPr="000D073F">
        <w:rPr>
          <w:rFonts w:eastAsia="Times New Roman" w:cs="Arial"/>
          <w:bCs/>
          <w:szCs w:val="16"/>
        </w:rPr>
        <w:t xml:space="preserve">There were no specific indicator findings or related requirement findings for Indicator 9. </w:t>
      </w:r>
    </w:p>
    <w:p w14:paraId="791E7EB5" w14:textId="51C19B4D"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26918362" w14:textId="72B44292" w:rsidR="00B9250E" w:rsidRDefault="00B9250E" w:rsidP="00C144F3">
      <w:pPr>
        <w:spacing w:line="276" w:lineRule="auto"/>
        <w:rPr>
          <w:color w:val="000000" w:themeColor="text1"/>
        </w:rPr>
      </w:pPr>
    </w:p>
    <w:p w14:paraId="54DCAF27" w14:textId="0B6FB729"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2D1ED8B9" w14:textId="09E794C6" w:rsidR="00B9250E" w:rsidRDefault="00B9250E" w:rsidP="00C144F3">
      <w:pPr>
        <w:spacing w:line="276" w:lineRule="auto"/>
        <w:rPr>
          <w:color w:val="000000" w:themeColor="text1"/>
        </w:rPr>
      </w:pPr>
    </w:p>
    <w:p w14:paraId="59F50151" w14:textId="77777777" w:rsidR="001C2EC2" w:rsidRDefault="001C2EC2" w:rsidP="001C2EC2">
      <w:pPr>
        <w:textAlignment w:val="baseline"/>
        <w:rPr>
          <w:rFonts w:eastAsia="Times New Roman" w:cs="Arial"/>
          <w:b/>
          <w:bCs/>
          <w:szCs w:val="16"/>
        </w:rPr>
      </w:pPr>
    </w:p>
    <w:p w14:paraId="7F6AA462" w14:textId="3102F81B"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10. Percent of districts with disproportionate representation of racial and ethnic groups in specific disability categories that is the result of inappropriate identification. (20 U.S.C. 1416(a)(3)(C))</w:t>
      </w:r>
    </w:p>
    <w:p w14:paraId="39313618" w14:textId="4CA1ACDE"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0"/>
      </w:tblPr>
      <w:tblGrid>
        <w:gridCol w:w="2158"/>
        <w:gridCol w:w="2158"/>
        <w:gridCol w:w="2158"/>
        <w:gridCol w:w="2158"/>
        <w:gridCol w:w="2158"/>
      </w:tblGrid>
      <w:tr w:rsidR="00F8304E" w:rsidRPr="00CB52C7" w14:paraId="33666445" w14:textId="77777777" w:rsidTr="00C144F3">
        <w:trPr>
          <w:trHeight w:val="360"/>
          <w:tblHeader/>
        </w:trPr>
        <w:tc>
          <w:tcPr>
            <w:tcW w:w="2158" w:type="dxa"/>
          </w:tcPr>
          <w:p w14:paraId="64EE2D9F" w14:textId="1DD17469"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179A975B" w14:textId="63123B84"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2EEAAB19" w14:textId="4F4704A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1171F3FB" w14:textId="619BC0F0"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13D00435" w14:textId="133EE7B0"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C048FB" w:rsidRPr="00C85110" w14:paraId="73010A64" w14:textId="77777777" w:rsidTr="00C144F3">
        <w:trPr>
          <w:trHeight w:val="360"/>
          <w:tblHeader/>
        </w:trPr>
        <w:tc>
          <w:tcPr>
            <w:tcW w:w="2158" w:type="dxa"/>
            <w:shd w:val="clear" w:color="auto" w:fill="auto"/>
          </w:tcPr>
          <w:p w14:paraId="21BA336A" w14:textId="74B096CE"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7F5332DC" w14:textId="5BCFFEEC"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5D31B75" w14:textId="7E5AB8F5"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0</w:t>
            </w:r>
          </w:p>
        </w:tc>
        <w:tc>
          <w:tcPr>
            <w:tcW w:w="2158" w:type="dxa"/>
            <w:shd w:val="clear" w:color="auto" w:fill="auto"/>
          </w:tcPr>
          <w:p w14:paraId="7ED122F4" w14:textId="01838429" w:rsidR="00AA0F28" w:rsidRPr="00CB52C7" w:rsidRDefault="00AA0F28" w:rsidP="00AA0F28">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3836E779" w14:textId="7FEB55DC"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3F844CCD" w14:textId="77777777" w:rsidR="0079169F" w:rsidRPr="00A964C2" w:rsidRDefault="0079169F" w:rsidP="0079169F">
      <w:pPr>
        <w:rPr>
          <w:rFonts w:eastAsia="Calibri" w:cs="Arial"/>
          <w:b/>
          <w:szCs w:val="16"/>
        </w:rPr>
      </w:pPr>
    </w:p>
    <w:p w14:paraId="1B48FA96" w14:textId="04AE1DEE"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10 due to various factors (e.g., additional findings related to other IDEA requirements).</w:t>
      </w:r>
    </w:p>
    <w:p w14:paraId="59C200B7" w14:textId="7D39857E" w:rsidR="00A9475A" w:rsidRPr="000D073F" w:rsidRDefault="00A9475A" w:rsidP="00C144F3">
      <w:pPr>
        <w:keepNext/>
        <w:rPr>
          <w:rFonts w:eastAsia="Times New Roman" w:cs="Arial"/>
          <w:bCs/>
          <w:szCs w:val="16"/>
        </w:rPr>
      </w:pPr>
      <w:r w:rsidRPr="000D073F">
        <w:rPr>
          <w:rFonts w:eastAsia="Times New Roman" w:cs="Arial"/>
          <w:bCs/>
          <w:szCs w:val="16"/>
        </w:rPr>
        <w:t xml:space="preserve">There were no specific indicator findings or related requirement findings for Indicator 10. </w:t>
      </w:r>
    </w:p>
    <w:p w14:paraId="4EE34C7A" w14:textId="24C86ABC"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36F94313" w14:textId="0FB4F8D5" w:rsidR="00B9250E" w:rsidRDefault="00B9250E" w:rsidP="00C144F3">
      <w:pPr>
        <w:spacing w:line="276" w:lineRule="auto"/>
        <w:rPr>
          <w:color w:val="000000" w:themeColor="text1"/>
        </w:rPr>
      </w:pPr>
    </w:p>
    <w:p w14:paraId="65561919" w14:textId="429D57B0"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690F7ADB" w14:textId="4222EA88" w:rsidR="00AA0F28" w:rsidRDefault="00AA0F28" w:rsidP="00C144F3">
      <w:pPr>
        <w:spacing w:line="276" w:lineRule="auto"/>
        <w:rPr>
          <w:color w:val="000000" w:themeColor="text1"/>
        </w:rPr>
      </w:pPr>
    </w:p>
    <w:p w14:paraId="65C2382E" w14:textId="77777777" w:rsidR="001C2EC2" w:rsidRDefault="001C2EC2" w:rsidP="001C2EC2">
      <w:pPr>
        <w:textAlignment w:val="baseline"/>
        <w:rPr>
          <w:rFonts w:eastAsia="Times New Roman" w:cs="Arial"/>
          <w:b/>
          <w:bCs/>
          <w:szCs w:val="16"/>
        </w:rPr>
      </w:pPr>
    </w:p>
    <w:p w14:paraId="3671B5F0" w14:textId="36FEBDC0"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11. Percent of children who were evaluated within 60 days of receiving parental consent for initial evaluation or, if the State establishes a timeframe within which the evaluation must be conducted, within that timeframe. (20 U.S.C. 1416(a)(3)(B))</w:t>
      </w:r>
    </w:p>
    <w:p w14:paraId="435D9001" w14:textId="0236CB07"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1"/>
      </w:tblPr>
      <w:tblGrid>
        <w:gridCol w:w="2158"/>
        <w:gridCol w:w="2158"/>
        <w:gridCol w:w="2158"/>
        <w:gridCol w:w="2158"/>
        <w:gridCol w:w="2158"/>
      </w:tblGrid>
      <w:tr w:rsidR="00F8304E" w:rsidRPr="00CB52C7" w14:paraId="5556BE4C" w14:textId="77777777" w:rsidTr="00C144F3">
        <w:trPr>
          <w:trHeight w:val="360"/>
          <w:tblHeader/>
        </w:trPr>
        <w:tc>
          <w:tcPr>
            <w:tcW w:w="2158" w:type="dxa"/>
          </w:tcPr>
          <w:p w14:paraId="43E73452" w14:textId="4304DA1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EE86030" w14:textId="2495F7E2"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3A7573D" w14:textId="7CCF8A9D"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49CF35FD" w14:textId="61166A6C"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7F1EA2C1" w14:textId="6F4B0873"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E8739D" w:rsidRPr="00C85110" w14:paraId="1073391E" w14:textId="77777777" w:rsidTr="00C144F3">
        <w:trPr>
          <w:trHeight w:val="360"/>
          <w:tblHeader/>
        </w:trPr>
        <w:tc>
          <w:tcPr>
            <w:tcW w:w="2158" w:type="dxa"/>
            <w:shd w:val="clear" w:color="auto" w:fill="auto"/>
          </w:tcPr>
          <w:p w14:paraId="7BCF50EF" w14:textId="71CFFFBB"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484</w:t>
            </w:r>
          </w:p>
        </w:tc>
        <w:tc>
          <w:tcPr>
            <w:tcW w:w="2158" w:type="dxa"/>
            <w:shd w:val="clear" w:color="auto" w:fill="auto"/>
          </w:tcPr>
          <w:p w14:paraId="5B60CD2B" w14:textId="23BD35B6" w:rsidR="00AA0F28" w:rsidRPr="00CB52C7" w:rsidRDefault="00AA0F28" w:rsidP="00AA0F28">
            <w:pPr>
              <w:ind w:left="45" w:right="77"/>
              <w:jc w:val="center"/>
              <w:textAlignment w:val="baseline"/>
              <w:rPr>
                <w:rFonts w:eastAsia="Times New Roman" w:cs="Arial"/>
                <w:b/>
                <w:bCs/>
                <w:szCs w:val="16"/>
              </w:rPr>
            </w:pPr>
            <w:r>
              <w:rPr>
                <w:rFonts w:eastAsia="Times New Roman" w:cs="Arial"/>
                <w:szCs w:val="16"/>
              </w:rPr>
              <w:t>12</w:t>
            </w:r>
          </w:p>
        </w:tc>
        <w:tc>
          <w:tcPr>
            <w:tcW w:w="2158" w:type="dxa"/>
            <w:shd w:val="clear" w:color="auto" w:fill="auto"/>
          </w:tcPr>
          <w:p w14:paraId="2BABDDA3" w14:textId="47E7F6A5" w:rsidR="00AA0F28" w:rsidRPr="00CB52C7" w:rsidRDefault="00C048FB" w:rsidP="00AA0F28">
            <w:pPr>
              <w:jc w:val="center"/>
              <w:textAlignment w:val="baseline"/>
              <w:rPr>
                <w:rFonts w:eastAsia="Times New Roman" w:cs="Arial"/>
                <w:b/>
                <w:bCs/>
                <w:szCs w:val="16"/>
              </w:rPr>
            </w:pPr>
            <w:r w:rsidRPr="00781112">
              <w:rPr>
                <w:rFonts w:cs="Arial"/>
                <w:color w:val="000000" w:themeColor="text1"/>
                <w:szCs w:val="16"/>
              </w:rPr>
              <w:t>484</w:t>
            </w:r>
          </w:p>
        </w:tc>
        <w:tc>
          <w:tcPr>
            <w:tcW w:w="2158" w:type="dxa"/>
            <w:shd w:val="clear" w:color="auto" w:fill="auto"/>
          </w:tcPr>
          <w:p w14:paraId="7B628915" w14:textId="67A02598" w:rsidR="00AA0F28" w:rsidRPr="00CB52C7" w:rsidRDefault="00AA0F28" w:rsidP="00AA0F28">
            <w:pPr>
              <w:jc w:val="center"/>
              <w:textAlignment w:val="baseline"/>
              <w:rPr>
                <w:rFonts w:eastAsia="Times New Roman" w:cs="Arial"/>
                <w:b/>
                <w:bCs/>
                <w:szCs w:val="16"/>
              </w:rPr>
            </w:pPr>
            <w:r>
              <w:rPr>
                <w:rFonts w:eastAsia="Times New Roman" w:cs="Arial"/>
                <w:szCs w:val="16"/>
              </w:rPr>
              <w:t>12</w:t>
            </w:r>
          </w:p>
        </w:tc>
        <w:tc>
          <w:tcPr>
            <w:tcW w:w="2158" w:type="dxa"/>
            <w:shd w:val="clear" w:color="auto" w:fill="auto"/>
          </w:tcPr>
          <w:p w14:paraId="0E31E6CA" w14:textId="12FADA5F" w:rsidR="00AA0F28" w:rsidRPr="00A964C2" w:rsidRDefault="00AA0F28" w:rsidP="00AA0F28">
            <w:pPr>
              <w:jc w:val="center"/>
              <w:textAlignment w:val="baseline"/>
              <w:rPr>
                <w:rFonts w:eastAsia="Times New Roman" w:cs="Arial"/>
                <w:b/>
                <w:bCs/>
                <w:szCs w:val="16"/>
              </w:rPr>
            </w:pPr>
            <w:r w:rsidRPr="00755D89">
              <w:rPr>
                <w:rFonts w:eastAsia="Times New Roman" w:cs="Arial"/>
                <w:szCs w:val="16"/>
              </w:rPr>
              <w:t>0</w:t>
            </w:r>
          </w:p>
        </w:tc>
      </w:tr>
    </w:tbl>
    <w:p w14:paraId="06BAE7B8" w14:textId="77777777" w:rsidR="00C9712C" w:rsidRDefault="00C9712C" w:rsidP="001C2EC2">
      <w:pPr>
        <w:keepNext/>
        <w:rPr>
          <w:rFonts w:eastAsia="Calibri" w:cs="Arial"/>
          <w:b/>
          <w:szCs w:val="16"/>
        </w:rPr>
      </w:pPr>
    </w:p>
    <w:p w14:paraId="2F03B46D" w14:textId="04C810E0"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11 due to various factors (e.g., additional findings related to other IDEA requirements).</w:t>
      </w:r>
    </w:p>
    <w:p w14:paraId="3C2D837A" w14:textId="3EEB70E1" w:rsidR="00A9475A" w:rsidRPr="000D073F" w:rsidRDefault="00A9475A" w:rsidP="00C144F3">
      <w:pPr>
        <w:keepNext/>
        <w:rPr>
          <w:rFonts w:eastAsia="Times New Roman" w:cs="Arial"/>
          <w:bCs/>
          <w:szCs w:val="16"/>
        </w:rPr>
      </w:pPr>
      <w:r w:rsidRPr="000D073F">
        <w:rPr>
          <w:rFonts w:eastAsia="Times New Roman" w:cs="Arial"/>
          <w:bCs/>
          <w:szCs w:val="16"/>
        </w:rPr>
        <w:t xml:space="preserve">The number of findings in this data table differs from the number of findings reported in B11 because the State identified noncompliance in areas related to special education eligibility for individual students based on other IDEA requirements through additional monitoring and dispute resolution activities of general supervision. There were 12 findings made based on other IDEA requirements related to child find activities. </w:t>
      </w:r>
      <w:r w:rsidRPr="000D073F">
        <w:rPr>
          <w:rFonts w:eastAsia="Times New Roman" w:cs="Arial"/>
          <w:bCs/>
          <w:szCs w:val="16"/>
        </w:rPr>
        <w:br/>
      </w:r>
      <w:r w:rsidRPr="000D073F">
        <w:rPr>
          <w:rFonts w:eastAsia="Times New Roman" w:cs="Arial"/>
          <w:bCs/>
          <w:szCs w:val="16"/>
        </w:rPr>
        <w:br/>
        <w:t xml:space="preserve">Through the dispute resolution process, there were five findings made related to other IDEA requirements that relate to B11.  </w:t>
      </w:r>
      <w:r w:rsidRPr="000D073F">
        <w:rPr>
          <w:rFonts w:eastAsia="Times New Roman" w:cs="Arial"/>
          <w:bCs/>
          <w:szCs w:val="16"/>
        </w:rPr>
        <w:br/>
      </w:r>
      <w:r w:rsidRPr="000D073F">
        <w:rPr>
          <w:rFonts w:eastAsia="Times New Roman" w:cs="Arial"/>
          <w:bCs/>
          <w:szCs w:val="16"/>
        </w:rPr>
        <w:br/>
        <w:t xml:space="preserve">Through cyclical and focused monitoring activities, there were seven findings made related to other IDEA requirements related to B11.  </w:t>
      </w:r>
    </w:p>
    <w:p w14:paraId="6259B8B3" w14:textId="7F8BC71A"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138BFFC8" w14:textId="26FD5F3E" w:rsidR="00AA0F28" w:rsidRDefault="00AA0F28" w:rsidP="00C144F3">
      <w:pPr>
        <w:spacing w:line="276" w:lineRule="auto"/>
        <w:rPr>
          <w:color w:val="000000" w:themeColor="text1"/>
        </w:rPr>
      </w:pPr>
      <w:r>
        <w:rPr>
          <w:color w:val="000000" w:themeColor="text1"/>
        </w:rPr>
        <w:t xml:space="preserve">For each of the seven findings made related to related requirements of B11 during monitoring activities, the State requested and received subsequent data submissions from each of the identified districts, demonstrating their proper implementation of the specific regulatory requirements. The State used a digital survey to gather the follow up information from districts demonstrating subsequent correct implementation. For a time period proportionate to the level of noncompliance initially identified, each district reported the number of evaluations expected within that time period and the number of those completed in a timely manner. This information was reported via a survey form. Any districts with less than 100% compliance with Indicator B11 were required to submit this form with additional validation evidence as determined by the District Support Specialist in order to verify correction of </w:t>
      </w:r>
      <w:r>
        <w:rPr>
          <w:color w:val="000000" w:themeColor="text1"/>
        </w:rPr>
        <w:lastRenderedPageBreak/>
        <w:t xml:space="preserve">noncompliance. </w:t>
      </w:r>
      <w:r>
        <w:rPr>
          <w:color w:val="000000" w:themeColor="text1"/>
        </w:rPr>
        <w:br/>
        <w:t xml:space="preserve"> </w:t>
      </w:r>
      <w:r>
        <w:rPr>
          <w:color w:val="000000" w:themeColor="text1"/>
        </w:rPr>
        <w:br/>
        <w:t xml:space="preserve">For each of the LEAs that had findings related to B11 that arose through the dispute resolution process, the State verified that the LEA is correctly implementing the child find regulatory requirements based on updated data by reviewing additional subsequent student evaluation data for compliance with the required timeline. For each of the LEAs that had findings due to dispute resolution activities, the state also verified that the district is correctly implementing the regulatory requirements based on review of submitted required corrective action evidence as required by each case’s final order. </w:t>
      </w:r>
      <w:r>
        <w:rPr>
          <w:color w:val="000000" w:themeColor="text1"/>
        </w:rPr>
        <w:br/>
      </w:r>
      <w:r>
        <w:rPr>
          <w:color w:val="000000" w:themeColor="text1"/>
        </w:rPr>
        <w:br/>
        <w:t>Indicator 11 Specific Findings: For each of the LEAs with a finding of noncompliance from FFY 2022, the State verified that the LEA is correctly implementing the regulatory requirements in accordance with OSEP Memo 23-01. The SEA required each LEA with less than 100% compliance to review its policy, procedures, and practices for compliance with IDEA with an ODE district support specialist. In addition, for each LEA that completed a policy, procedure, and practice review, the LEA was required to submit subsequent data demonstrating that the LEA is completing 100% of evaluations for an identified period by the state required timeline. The State verified that each district with a finding of noncompliance from FFY 2022 was implementing the regulatory requirements with 100% compliance in accordance with OSEP Memo 23-01.</w:t>
      </w:r>
    </w:p>
    <w:p w14:paraId="37D937E9" w14:textId="60F70DA8"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3F9083AA" w14:textId="03F5532C" w:rsidR="00AA0F28" w:rsidRDefault="00AA0F28" w:rsidP="00C144F3">
      <w:pPr>
        <w:spacing w:line="276" w:lineRule="auto"/>
        <w:rPr>
          <w:color w:val="000000" w:themeColor="text1"/>
        </w:rPr>
      </w:pPr>
      <w:r>
        <w:rPr>
          <w:color w:val="000000" w:themeColor="text1"/>
        </w:rPr>
        <w:t xml:space="preserve">For each of the findings that were made because of monitoring activities, the State verified that each individual case of noncompliance was corrected through the subsequent submission and verification of evidence. The state required the LEA to submit student file evidence demonstrating individual correction. The State reviewed these findings for compliance with cited regulation, and verified each individual instance of noncompliance had been corrected within one year. </w:t>
      </w:r>
      <w:r>
        <w:rPr>
          <w:color w:val="000000" w:themeColor="text1"/>
        </w:rPr>
        <w:br/>
        <w:t xml:space="preserve"> </w:t>
      </w:r>
      <w:r>
        <w:rPr>
          <w:color w:val="000000" w:themeColor="text1"/>
        </w:rPr>
        <w:br/>
        <w:t xml:space="preserve">For each of the findings that arose through the dispute resolution process, the State verified that each individual case of noncompliance was corrected by collecting evidence of corrective action activities from each of the districts. These correction action activities included correcting the individual instance of noncompliance and providing a systems level correction to prevent further noncompliance. The State compared corrective action evidence received from the district with required corrective action stated on each issued final order to verify correction. </w:t>
      </w:r>
      <w:r>
        <w:rPr>
          <w:color w:val="000000" w:themeColor="text1"/>
        </w:rPr>
        <w:br/>
      </w:r>
      <w:r>
        <w:rPr>
          <w:color w:val="000000" w:themeColor="text1"/>
        </w:rPr>
        <w:br/>
        <w:t>For Indicator 11 Specific Findings: The State verified the correction of noncompliance for the 484 individual instances of noncompliance. For each of the 484 reported individual incidents of noncompliance in FFY 2022, LEAs reported to the SEA the date when the evaluation was completed and therefore corrected. Of the 484 evaluations completed late, the state checked the date of completion to verify that each individual case of noncompliance was corrected within one year of the finding, in accordance with OSEP Memo 23-01.</w:t>
      </w:r>
    </w:p>
    <w:p w14:paraId="69B0D6E7" w14:textId="77777777" w:rsidR="001C2EC2" w:rsidRDefault="001C2EC2" w:rsidP="001C2EC2">
      <w:pPr>
        <w:textAlignment w:val="baseline"/>
        <w:rPr>
          <w:rFonts w:eastAsia="Times New Roman" w:cs="Arial"/>
          <w:b/>
          <w:bCs/>
          <w:szCs w:val="16"/>
        </w:rPr>
      </w:pPr>
    </w:p>
    <w:p w14:paraId="398F792B" w14:textId="466D49B1" w:rsidR="00B9250E" w:rsidRPr="00CB52C7" w:rsidRDefault="00B9250E" w:rsidP="00C144F3">
      <w:pPr>
        <w:textAlignment w:val="baseline"/>
        <w:rPr>
          <w:rFonts w:eastAsia="Times New Roman" w:cs="Arial"/>
          <w:b/>
          <w:bCs/>
          <w:szCs w:val="16"/>
        </w:rPr>
      </w:pPr>
      <w:r w:rsidRPr="00CB52C7">
        <w:rPr>
          <w:rFonts w:eastAsia="Times New Roman" w:cs="Arial"/>
          <w:b/>
          <w:bCs/>
          <w:szCs w:val="16"/>
        </w:rPr>
        <w:t>Indicator 12. Percent of children referred by Part C prior to age 3, who are found eligible for Part B, and who have an IEP developed and implemented by their third birthdays. (20 U.S.C. 1416(a)(3)(B))</w:t>
      </w:r>
    </w:p>
    <w:p w14:paraId="50283479" w14:textId="18B00FB0"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2"/>
      </w:tblPr>
      <w:tblGrid>
        <w:gridCol w:w="2158"/>
        <w:gridCol w:w="2158"/>
        <w:gridCol w:w="2158"/>
        <w:gridCol w:w="2158"/>
        <w:gridCol w:w="2158"/>
      </w:tblGrid>
      <w:tr w:rsidR="00F8304E" w:rsidRPr="00CB52C7" w14:paraId="0B602099" w14:textId="77777777" w:rsidTr="00C144F3">
        <w:trPr>
          <w:trHeight w:val="360"/>
          <w:tblHeader/>
        </w:trPr>
        <w:tc>
          <w:tcPr>
            <w:tcW w:w="2158" w:type="dxa"/>
          </w:tcPr>
          <w:p w14:paraId="770E1903" w14:textId="4CEC2450"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7859CDFE" w14:textId="181E782F" w:rsidR="00F8304E" w:rsidRPr="00CB52C7" w:rsidRDefault="00F8304E" w:rsidP="00F8304E">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4C79FB00" w14:textId="5D3FC477"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3847F914" w14:textId="1048CC62" w:rsidR="00F8304E" w:rsidRPr="00CB52C7"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61581666" w14:textId="2C9028DA"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3A4328FB" w14:textId="77777777" w:rsidTr="00C144F3">
        <w:trPr>
          <w:trHeight w:val="360"/>
          <w:tblHeader/>
        </w:trPr>
        <w:tc>
          <w:tcPr>
            <w:tcW w:w="2158" w:type="dxa"/>
            <w:shd w:val="clear" w:color="auto" w:fill="auto"/>
          </w:tcPr>
          <w:p w14:paraId="01CF4362" w14:textId="6BB3C16D"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4</w:t>
            </w:r>
          </w:p>
        </w:tc>
        <w:tc>
          <w:tcPr>
            <w:tcW w:w="2158" w:type="dxa"/>
            <w:shd w:val="clear" w:color="auto" w:fill="auto"/>
          </w:tcPr>
          <w:p w14:paraId="0758CA1E" w14:textId="197976F2" w:rsidR="00AA0F28" w:rsidRPr="00CB52C7" w:rsidRDefault="00AA0F28" w:rsidP="001C2EC2">
            <w:pPr>
              <w:ind w:left="45" w:right="77"/>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744E8743" w14:textId="2D799110" w:rsidR="00AA0F28" w:rsidRPr="00CB52C7" w:rsidRDefault="00C048FB" w:rsidP="001C2EC2">
            <w:pPr>
              <w:jc w:val="center"/>
              <w:textAlignment w:val="baseline"/>
              <w:rPr>
                <w:rFonts w:eastAsia="Times New Roman" w:cs="Arial"/>
                <w:b/>
                <w:bCs/>
                <w:szCs w:val="16"/>
              </w:rPr>
            </w:pPr>
            <w:r w:rsidRPr="00781112">
              <w:rPr>
                <w:rFonts w:cs="Arial"/>
                <w:color w:val="000000" w:themeColor="text1"/>
                <w:szCs w:val="16"/>
              </w:rPr>
              <w:t>4</w:t>
            </w:r>
          </w:p>
        </w:tc>
        <w:tc>
          <w:tcPr>
            <w:tcW w:w="2158" w:type="dxa"/>
            <w:shd w:val="clear" w:color="auto" w:fill="auto"/>
          </w:tcPr>
          <w:p w14:paraId="03A8062D" w14:textId="7D67E359" w:rsidR="00AA0F28" w:rsidRPr="00CB52C7" w:rsidRDefault="00AA0F28" w:rsidP="001C2EC2">
            <w:pPr>
              <w:jc w:val="center"/>
              <w:textAlignment w:val="baseline"/>
              <w:rPr>
                <w:rFonts w:eastAsia="Times New Roman" w:cs="Arial"/>
                <w:b/>
                <w:bCs/>
                <w:szCs w:val="16"/>
              </w:rPr>
            </w:pPr>
            <w:r>
              <w:rPr>
                <w:rFonts w:eastAsia="Times New Roman" w:cs="Arial"/>
                <w:szCs w:val="16"/>
              </w:rPr>
              <w:t>0</w:t>
            </w:r>
          </w:p>
        </w:tc>
        <w:tc>
          <w:tcPr>
            <w:tcW w:w="2158" w:type="dxa"/>
            <w:shd w:val="clear" w:color="auto" w:fill="auto"/>
          </w:tcPr>
          <w:p w14:paraId="6001A5D1" w14:textId="142ED08D" w:rsidR="00AA0F28" w:rsidRPr="00A964C2" w:rsidRDefault="00AA0F28" w:rsidP="001C2EC2">
            <w:pPr>
              <w:jc w:val="center"/>
              <w:textAlignment w:val="baseline"/>
              <w:rPr>
                <w:rFonts w:eastAsia="Times New Roman" w:cs="Arial"/>
                <w:b/>
                <w:bCs/>
                <w:szCs w:val="16"/>
              </w:rPr>
            </w:pPr>
            <w:r w:rsidRPr="00755D89">
              <w:rPr>
                <w:rFonts w:eastAsia="Times New Roman" w:cs="Arial"/>
                <w:szCs w:val="16"/>
              </w:rPr>
              <w:t>0</w:t>
            </w:r>
          </w:p>
        </w:tc>
      </w:tr>
    </w:tbl>
    <w:p w14:paraId="7DDAE406" w14:textId="77777777" w:rsidR="0079169F" w:rsidRPr="00A964C2" w:rsidRDefault="0079169F" w:rsidP="0079169F">
      <w:pPr>
        <w:rPr>
          <w:rFonts w:eastAsia="Calibri" w:cs="Arial"/>
          <w:b/>
          <w:szCs w:val="16"/>
        </w:rPr>
      </w:pPr>
    </w:p>
    <w:p w14:paraId="65AE4FFE" w14:textId="5AB1B5E8"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12 due to various factors (e.g., additional findings related to other IDEA requirements).</w:t>
      </w:r>
    </w:p>
    <w:p w14:paraId="6B3F9DEF" w14:textId="38AFD2F2" w:rsidR="00A9475A" w:rsidRPr="000D073F" w:rsidRDefault="00A9475A" w:rsidP="00C144F3">
      <w:pPr>
        <w:keepNext/>
        <w:rPr>
          <w:rFonts w:eastAsia="Times New Roman" w:cs="Arial"/>
          <w:bCs/>
          <w:szCs w:val="16"/>
        </w:rPr>
      </w:pPr>
      <w:r w:rsidRPr="000D073F">
        <w:rPr>
          <w:rFonts w:eastAsia="Times New Roman" w:cs="Arial"/>
          <w:bCs/>
          <w:szCs w:val="16"/>
        </w:rPr>
        <w:t xml:space="preserve">There were no related findings for Indicator 12. </w:t>
      </w:r>
    </w:p>
    <w:p w14:paraId="21D442F2" w14:textId="2BB0C574"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550E09A6" w14:textId="37B11581" w:rsidR="00B9250E" w:rsidRDefault="00B9250E" w:rsidP="00C144F3">
      <w:pPr>
        <w:spacing w:line="276" w:lineRule="auto"/>
        <w:rPr>
          <w:color w:val="000000" w:themeColor="text1"/>
        </w:rPr>
      </w:pPr>
      <w:r>
        <w:rPr>
          <w:color w:val="000000" w:themeColor="text1"/>
        </w:rPr>
        <w:t xml:space="preserve">In FFY 2022, 97.28% (143/147) of child files that the State reviewed for transition from Part C to Part B demonstrated eligibility determination and IEP implementation by the third birthdays. </w:t>
      </w:r>
      <w:r>
        <w:rPr>
          <w:color w:val="000000" w:themeColor="text1"/>
        </w:rPr>
        <w:br/>
        <w:t xml:space="preserve"> </w:t>
      </w:r>
      <w:r>
        <w:rPr>
          <w:color w:val="000000" w:themeColor="text1"/>
        </w:rPr>
        <w:br/>
        <w:t>The State verified that 100% (4/4) of findings of noncompliance in FFY 2022 were corrected within one year and that the program with noncompliance demonstrated correction of practices that contributed to the noncompliance, as well as current compliance with 34 CFR §300.124 based on a review corrective action and new files submitted in SPR&amp;I and subsequent review of those files in ecWeb, the statewide EI/ECSE special education database. Verifications were completed as per OSEP QA 23-01.</w:t>
      </w:r>
    </w:p>
    <w:p w14:paraId="73C96DC5" w14:textId="0B25E60E" w:rsidR="00B9250E" w:rsidRPr="00CB52C7" w:rsidRDefault="00B9250E" w:rsidP="00C144F3">
      <w:pPr>
        <w:keepNext/>
        <w:rPr>
          <w:rFonts w:eastAsia="Calibri" w:cs="Arial"/>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09B2B2D6" w14:textId="4D62CCB8" w:rsidR="00AA0F28" w:rsidRDefault="00AA0F28" w:rsidP="00C144F3">
      <w:pPr>
        <w:spacing w:line="276" w:lineRule="auto"/>
        <w:rPr>
          <w:color w:val="000000" w:themeColor="text1"/>
        </w:rPr>
      </w:pPr>
      <w:r>
        <w:rPr>
          <w:color w:val="000000" w:themeColor="text1"/>
        </w:rPr>
        <w:t xml:space="preserve">The State verified through data submission to SPR&amp;I and review of those files in ecWeb, that 100% (4/4) of incidents of noncompliance in FFY 2022 were corrected within one year and that the program with noncompliance developed an IEP for each child, unless the child was no longer within the jurisdiction of the Local Education Agency. The program with noncompliance provided through SPR&amp;I the cause of the noncompliance and demonstrated correction of practices that contributed to the noncompliance through subsequent data submission (additional file reviews) to SPR&amp;I. The State reviewed, verified, and approved the corrective actions and the program is correctly implementing the specific regulatory requirements. Corrective actions and individual files were reviewed by ODE using ecWeb the statewide EI/ECSE special education database. Corrections were completed as per OSEP QA 23-01. </w:t>
      </w:r>
    </w:p>
    <w:p w14:paraId="5AE10B06" w14:textId="77777777" w:rsidR="001C2EC2" w:rsidRDefault="001C2EC2" w:rsidP="001C2EC2">
      <w:pPr>
        <w:textAlignment w:val="baseline"/>
        <w:rPr>
          <w:rFonts w:eastAsia="Times New Roman" w:cs="Arial"/>
          <w:b/>
          <w:bCs/>
          <w:szCs w:val="16"/>
        </w:rPr>
      </w:pPr>
    </w:p>
    <w:p w14:paraId="1B1A435C" w14:textId="7AA9B065" w:rsidR="00B9250E" w:rsidRPr="00CB52C7" w:rsidRDefault="00B9250E" w:rsidP="00C144F3">
      <w:pPr>
        <w:textAlignment w:val="baseline"/>
        <w:rPr>
          <w:rFonts w:eastAsia="Times New Roman" w:cs="Arial"/>
          <w:b/>
          <w:bCs/>
          <w:szCs w:val="16"/>
        </w:rPr>
      </w:pPr>
      <w:r w:rsidRPr="00CB52C7">
        <w:rPr>
          <w:rFonts w:eastAsia="Times New Roman" w:cs="Arial"/>
          <w:b/>
          <w:bCs/>
          <w:szCs w:val="16"/>
        </w:rPr>
        <w:lastRenderedPageBreak/>
        <w:t>Indicator 13. Percent of youth with IEPs aged 16 and above with an IEP that includes appropriate measurable postsecondary goals that are annually updated and based upon an age-appropriate transition assessment, transition services, including courses of study, that will reasonably enable the student to meet those postsecondary goals, and annual IEP goals related to the student’s transition services and needs. There also must be evidence that the student was invited to the IEP Team meeting where transition services are to be discussed and evidence that a representative of any participating agency was invited to the IEP Team meeting with the prior consent of the parent or student who has reached the age of majority. (20 U.S.C. 1416(a)(3)(B)) </w:t>
      </w:r>
    </w:p>
    <w:p w14:paraId="5996F1A5" w14:textId="1211631B" w:rsidR="00B9250E" w:rsidRPr="00CB52C7" w:rsidRDefault="00B9250E" w:rsidP="00C144F3">
      <w:pPr>
        <w:textAlignment w:val="baseline"/>
        <w:rPr>
          <w:rFonts w:eastAsia="Times New Roman" w:cs="Arial"/>
          <w:szCs w:val="16"/>
        </w:rPr>
      </w:pPr>
      <w:r w:rsidRPr="00CB52C7">
        <w:rPr>
          <w:rFonts w:eastAsia="Times New Roman" w:cs="Arial"/>
          <w:b/>
          <w:bCs/>
          <w:szCs w:val="16"/>
        </w:rPr>
        <w:t>Findings of Noncompliance Identified in FFY 2022</w:t>
      </w:r>
    </w:p>
    <w:tbl>
      <w:tblPr>
        <w:tblStyle w:val="TableGrid"/>
        <w:tblW w:w="0" w:type="auto"/>
        <w:tblLayout w:type="fixed"/>
        <w:tblLook w:val="04A0" w:firstRow="1" w:lastRow="0" w:firstColumn="1" w:lastColumn="0" w:noHBand="0" w:noVBand="1"/>
        <w:tblCaption w:val="B18FINDINGSOFNONCOMPLIANCEIND13"/>
      </w:tblPr>
      <w:tblGrid>
        <w:gridCol w:w="2158"/>
        <w:gridCol w:w="2158"/>
        <w:gridCol w:w="2158"/>
        <w:gridCol w:w="2158"/>
        <w:gridCol w:w="2158"/>
      </w:tblGrid>
      <w:tr w:rsidR="00F8304E" w:rsidRPr="00CB52C7" w14:paraId="3449808D" w14:textId="77777777" w:rsidTr="00C144F3">
        <w:trPr>
          <w:trHeight w:val="360"/>
          <w:tblHeader/>
        </w:trPr>
        <w:tc>
          <w:tcPr>
            <w:tcW w:w="2158" w:type="dxa"/>
          </w:tcPr>
          <w:p w14:paraId="217DF10E" w14:textId="6667802E"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8" w:type="dxa"/>
          </w:tcPr>
          <w:p w14:paraId="3AE6D4F7" w14:textId="6C945490" w:rsidR="00F8304E" w:rsidRPr="00CB52C7" w:rsidRDefault="00F8304E" w:rsidP="00C10980">
            <w:pPr>
              <w:ind w:left="45" w:right="77"/>
              <w:jc w:val="center"/>
              <w:textAlignment w:val="baseline"/>
              <w:rPr>
                <w:rFonts w:eastAsia="Calibri" w:cs="Arial"/>
                <w:b/>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8" w:type="dxa"/>
          </w:tcPr>
          <w:p w14:paraId="35649707" w14:textId="386CD597"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8" w:type="dxa"/>
          </w:tcPr>
          <w:p w14:paraId="55B675CF" w14:textId="1FB798D2" w:rsidR="00F8304E" w:rsidRPr="00CB52C7" w:rsidRDefault="00F8304E" w:rsidP="00C10980">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8" w:type="dxa"/>
          </w:tcPr>
          <w:p w14:paraId="4BD48D9C" w14:textId="317BFD73" w:rsidR="00F8304E" w:rsidRPr="00CB52C7" w:rsidRDefault="00F8304E" w:rsidP="00963D63">
            <w:pPr>
              <w:jc w:val="center"/>
              <w:textAlignment w:val="baseline"/>
              <w:rPr>
                <w:rFonts w:eastAsia="Calibri" w:cs="Arial"/>
                <w:b/>
                <w:szCs w:val="16"/>
              </w:rPr>
            </w:pPr>
            <w:r w:rsidRPr="000370DE">
              <w:rPr>
                <w:rFonts w:eastAsia="Times New Roman" w:cs="Arial"/>
                <w:b/>
                <w:bCs/>
                <w:szCs w:val="16"/>
              </w:rPr>
              <w:t>Column D: # of written findings of noncompliance from Columns A and B for which correction was not completed or timely corrected)</w:t>
            </w:r>
          </w:p>
        </w:tc>
      </w:tr>
      <w:tr w:rsidR="009C75E8" w:rsidRPr="00C85110" w14:paraId="42745759" w14:textId="77777777" w:rsidTr="00C144F3">
        <w:trPr>
          <w:trHeight w:val="360"/>
          <w:tblHeader/>
        </w:trPr>
        <w:tc>
          <w:tcPr>
            <w:tcW w:w="2158" w:type="dxa"/>
            <w:shd w:val="clear" w:color="auto" w:fill="auto"/>
          </w:tcPr>
          <w:p w14:paraId="02D563C3" w14:textId="44A258B4"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136</w:t>
            </w:r>
          </w:p>
        </w:tc>
        <w:tc>
          <w:tcPr>
            <w:tcW w:w="2158" w:type="dxa"/>
            <w:shd w:val="clear" w:color="auto" w:fill="auto"/>
          </w:tcPr>
          <w:p w14:paraId="4F60EEB4" w14:textId="070EFBFB" w:rsidR="00AA0F28" w:rsidRPr="00CB52C7" w:rsidRDefault="00AA0F28" w:rsidP="00C10980">
            <w:pPr>
              <w:ind w:left="45" w:right="77"/>
              <w:jc w:val="center"/>
              <w:textAlignment w:val="baseline"/>
              <w:rPr>
                <w:rFonts w:eastAsia="Times New Roman" w:cs="Arial"/>
                <w:b/>
                <w:bCs/>
                <w:szCs w:val="16"/>
              </w:rPr>
            </w:pPr>
            <w:r>
              <w:rPr>
                <w:rFonts w:eastAsia="Times New Roman" w:cs="Arial"/>
                <w:szCs w:val="16"/>
              </w:rPr>
              <w:t>7</w:t>
            </w:r>
          </w:p>
        </w:tc>
        <w:tc>
          <w:tcPr>
            <w:tcW w:w="2158" w:type="dxa"/>
            <w:shd w:val="clear" w:color="auto" w:fill="auto"/>
          </w:tcPr>
          <w:p w14:paraId="54B25871" w14:textId="4106E9DF" w:rsidR="00AA0F28" w:rsidRPr="00CB52C7" w:rsidRDefault="00C048FB" w:rsidP="00C10980">
            <w:pPr>
              <w:jc w:val="center"/>
              <w:textAlignment w:val="baseline"/>
              <w:rPr>
                <w:rFonts w:eastAsia="Times New Roman" w:cs="Arial"/>
                <w:b/>
                <w:bCs/>
                <w:szCs w:val="16"/>
              </w:rPr>
            </w:pPr>
            <w:r w:rsidRPr="00781112">
              <w:rPr>
                <w:rFonts w:cs="Arial"/>
                <w:color w:val="000000" w:themeColor="text1"/>
                <w:szCs w:val="16"/>
              </w:rPr>
              <w:t>131</w:t>
            </w:r>
          </w:p>
        </w:tc>
        <w:tc>
          <w:tcPr>
            <w:tcW w:w="2158" w:type="dxa"/>
            <w:shd w:val="clear" w:color="auto" w:fill="auto"/>
          </w:tcPr>
          <w:p w14:paraId="58F7CADB" w14:textId="62859732" w:rsidR="00AA0F28" w:rsidRPr="00CB52C7" w:rsidRDefault="00AA0F28" w:rsidP="00C10980">
            <w:pPr>
              <w:jc w:val="center"/>
              <w:textAlignment w:val="baseline"/>
              <w:rPr>
                <w:rFonts w:eastAsia="Times New Roman" w:cs="Arial"/>
                <w:b/>
                <w:bCs/>
                <w:szCs w:val="16"/>
              </w:rPr>
            </w:pPr>
            <w:r>
              <w:rPr>
                <w:rFonts w:eastAsia="Times New Roman" w:cs="Arial"/>
                <w:szCs w:val="16"/>
              </w:rPr>
              <w:t>7</w:t>
            </w:r>
          </w:p>
        </w:tc>
        <w:tc>
          <w:tcPr>
            <w:tcW w:w="2158" w:type="dxa"/>
            <w:shd w:val="clear" w:color="auto" w:fill="auto"/>
          </w:tcPr>
          <w:p w14:paraId="352E0B4D" w14:textId="6B51D5D8" w:rsidR="00AA0F28" w:rsidRPr="00A964C2" w:rsidRDefault="00AA0F28" w:rsidP="00C10980">
            <w:pPr>
              <w:jc w:val="center"/>
              <w:textAlignment w:val="baseline"/>
              <w:rPr>
                <w:rFonts w:eastAsia="Times New Roman" w:cs="Arial"/>
                <w:b/>
                <w:bCs/>
                <w:szCs w:val="16"/>
              </w:rPr>
            </w:pPr>
            <w:r w:rsidRPr="00755D89">
              <w:rPr>
                <w:rFonts w:eastAsia="Times New Roman" w:cs="Arial"/>
                <w:szCs w:val="16"/>
              </w:rPr>
              <w:t>5</w:t>
            </w:r>
          </w:p>
        </w:tc>
      </w:tr>
    </w:tbl>
    <w:p w14:paraId="266263D8" w14:textId="77777777" w:rsidR="00C9712C" w:rsidRDefault="00C9712C" w:rsidP="001C2EC2">
      <w:pPr>
        <w:keepNext/>
        <w:rPr>
          <w:rFonts w:eastAsia="Calibri" w:cs="Arial"/>
          <w:b/>
          <w:szCs w:val="16"/>
        </w:rPr>
      </w:pPr>
    </w:p>
    <w:p w14:paraId="2A3B269E" w14:textId="47C87DBA" w:rsidR="00A9475A" w:rsidRDefault="00A9475A" w:rsidP="00C144F3">
      <w:pPr>
        <w:keepNext/>
        <w:rPr>
          <w:rFonts w:eastAsia="Times New Roman" w:cs="Arial"/>
          <w:b/>
          <w:szCs w:val="16"/>
        </w:rPr>
      </w:pPr>
      <w:r w:rsidRPr="00757561">
        <w:rPr>
          <w:rFonts w:eastAsia="Times New Roman" w:cs="Arial"/>
          <w:b/>
          <w:szCs w:val="16"/>
        </w:rPr>
        <w:t>Please explain any differences in the number of findings reported in this data table and the number of findings reported in Indicator 13 due to various factors (e.g., additional findings related to other IDEA requirements).</w:t>
      </w:r>
    </w:p>
    <w:p w14:paraId="3A4539D0" w14:textId="4C351EE1" w:rsidR="00A9475A" w:rsidRPr="000D073F" w:rsidRDefault="00A9475A" w:rsidP="00C144F3">
      <w:pPr>
        <w:keepNext/>
        <w:rPr>
          <w:rFonts w:eastAsia="Times New Roman" w:cs="Arial"/>
          <w:bCs/>
          <w:szCs w:val="16"/>
        </w:rPr>
      </w:pPr>
      <w:r w:rsidRPr="000D073F">
        <w:rPr>
          <w:rFonts w:eastAsia="Times New Roman" w:cs="Arial"/>
          <w:bCs/>
          <w:szCs w:val="16"/>
        </w:rPr>
        <w:t xml:space="preserve">The number of findings in this data table differs from the number of findings reported in B13 because the State identified noncompliance in areas related to transition services for students based on other IDEA requirements through additional monitoring and dispute resolution activities of general supervision. There were seven findings made based on other IDEA requirements related to transition requirements.  </w:t>
      </w:r>
      <w:r w:rsidRPr="000D073F">
        <w:rPr>
          <w:rFonts w:eastAsia="Times New Roman" w:cs="Arial"/>
          <w:bCs/>
          <w:szCs w:val="16"/>
        </w:rPr>
        <w:br/>
        <w:t xml:space="preserve"> </w:t>
      </w:r>
      <w:r w:rsidRPr="000D073F">
        <w:rPr>
          <w:rFonts w:eastAsia="Times New Roman" w:cs="Arial"/>
          <w:bCs/>
          <w:szCs w:val="16"/>
        </w:rPr>
        <w:br/>
        <w:t xml:space="preserve">Through the dispute resolution process, there were three findings made related to other IDEA requirements that relate to B13.   </w:t>
      </w:r>
      <w:r w:rsidRPr="000D073F">
        <w:rPr>
          <w:rFonts w:eastAsia="Times New Roman" w:cs="Arial"/>
          <w:bCs/>
          <w:szCs w:val="16"/>
        </w:rPr>
        <w:br/>
        <w:t xml:space="preserve"> </w:t>
      </w:r>
      <w:r w:rsidRPr="000D073F">
        <w:rPr>
          <w:rFonts w:eastAsia="Times New Roman" w:cs="Arial"/>
          <w:bCs/>
          <w:szCs w:val="16"/>
        </w:rPr>
        <w:br/>
        <w:t xml:space="preserve">Through cyclical and focused monitoring activities, there were four findings made related to other IDEA requirements related to B13.   </w:t>
      </w:r>
    </w:p>
    <w:p w14:paraId="514468EA" w14:textId="5DCD5B41" w:rsidR="00B9250E" w:rsidRPr="00CB52C7" w:rsidRDefault="00B9250E" w:rsidP="00C144F3">
      <w:pPr>
        <w:keepNext/>
        <w:rPr>
          <w:rFonts w:eastAsia="Calibri" w:cs="Arial"/>
          <w:szCs w:val="16"/>
        </w:rPr>
      </w:pPr>
      <w:r>
        <w:rPr>
          <w:rFonts w:eastAsia="Times New Roman" w:cs="Arial"/>
          <w:b/>
          <w:szCs w:val="16"/>
        </w:rPr>
        <w:t>Please describe, consistent with OSEP QA 23-01, how the State verified that the source of noncompliance is correctly implementing the regulatory requirements</w:t>
      </w:r>
      <w:r w:rsidRPr="00CB52C7">
        <w:rPr>
          <w:rFonts w:eastAsia="Times New Roman" w:cs="Arial"/>
          <w:b/>
          <w:i/>
          <w:iCs/>
          <w:szCs w:val="16"/>
        </w:rPr>
        <w:t xml:space="preserve"> </w:t>
      </w:r>
      <w:r w:rsidRPr="00CB52C7">
        <w:rPr>
          <w:rFonts w:eastAsia="Times New Roman" w:cs="Arial"/>
          <w:b/>
          <w:szCs w:val="16"/>
        </w:rPr>
        <w:t xml:space="preserve">based on </w:t>
      </w:r>
      <w:r w:rsidRPr="00CB52C7">
        <w:rPr>
          <w:rFonts w:eastAsia="Times New Roman" w:cs="Arial"/>
          <w:b/>
          <w:i/>
          <w:iCs/>
          <w:szCs w:val="16"/>
        </w:rPr>
        <w:t>updated data</w:t>
      </w:r>
      <w:r w:rsidRPr="00CB52C7">
        <w:rPr>
          <w:rFonts w:eastAsia="Times New Roman" w:cs="Arial"/>
          <w:b/>
          <w:szCs w:val="16"/>
        </w:rPr>
        <w:t>:</w:t>
      </w:r>
    </w:p>
    <w:p w14:paraId="6D490EBA" w14:textId="66A36387" w:rsidR="00AA0F28" w:rsidRDefault="00AA0F28" w:rsidP="00C144F3">
      <w:pPr>
        <w:spacing w:line="276" w:lineRule="auto"/>
        <w:rPr>
          <w:color w:val="000000" w:themeColor="text1"/>
        </w:rPr>
      </w:pPr>
      <w:r>
        <w:rPr>
          <w:color w:val="000000" w:themeColor="text1"/>
        </w:rPr>
        <w:t xml:space="preserve">For each of the three findings that arose through the dispute resolution process, the State verified that the district is correctly implementing the regulatory requirements through review of updated corrective action evidence and State review of subsequent data. Corrective action evidence required varied by each district and included, at a minimum, evidence of correction of a specific aspect of IDEA related to the individual student who was the subject of the dispute, and further systems correction by the district. The State compared corrective action evidence received from the district with required corrective action stated on each issued final order. The State verified 100% compliance in implementing the regulatory requirements as required by OSEP 23-01. </w:t>
      </w:r>
      <w:r>
        <w:rPr>
          <w:color w:val="000000" w:themeColor="text1"/>
        </w:rPr>
        <w:br/>
        <w:t xml:space="preserve"> </w:t>
      </w:r>
      <w:r>
        <w:rPr>
          <w:color w:val="000000" w:themeColor="text1"/>
        </w:rPr>
        <w:br/>
        <w:t xml:space="preserve">For each of the seven related findings of noncompliance, the State required LEAs to complete corrections of both individual instances of noncompliance and systems corrections that demonstrate the district subsequently implemented the regulations correctly. To demonstrate subsequent compliance with the regulation, LEAs submitted evidence in the form of additional student files based on the number of instances of noncompliance that were initially found. The State reviewed the submission to ensure that the newly submitted files were compliant with the required standards and that the LEA demonstrated correct implementation of the regulation with 100% compliance in accordance with OSEP Memo 23-01. </w:t>
      </w:r>
      <w:r>
        <w:rPr>
          <w:color w:val="000000" w:themeColor="text1"/>
        </w:rPr>
        <w:br/>
      </w:r>
      <w:r>
        <w:rPr>
          <w:color w:val="000000" w:themeColor="text1"/>
        </w:rPr>
        <w:br/>
        <w:t>For Indicator 13 Specific Findings: The State required that each LEA with identified noncompliance in FFY 2022 conduct a root cause analysis, address the root cause of the noncompliance with follow-up actions, collect subsequent evidence in the form of additional student records, and submit the evidence to the State for review. The State verified that the LEA then correctly implemented the regulatory requirements through review of these records. The State considers compliance corrected within one year when both the individual instance of noncompliance is corrected, and the district submits additional evidence that demonstrates the district has subsequently implemented the regulation correctly with 100% compliance in accordance with OSEP Memo 23-01.</w:t>
      </w:r>
    </w:p>
    <w:p w14:paraId="7611849B" w14:textId="37A46DF6" w:rsidR="00B9250E" w:rsidRDefault="00B9250E" w:rsidP="00C144F3">
      <w:pPr>
        <w:spacing w:line="276" w:lineRule="auto"/>
        <w:rPr>
          <w:rFonts w:eastAsia="Times New Roman" w:cs="Arial"/>
          <w:b/>
          <w:szCs w:val="16"/>
        </w:rPr>
      </w:pPr>
      <w:r>
        <w:rPr>
          <w:rFonts w:eastAsia="Times New Roman" w:cs="Arial"/>
          <w:b/>
          <w:szCs w:val="16"/>
        </w:rPr>
        <w:t xml:space="preserve">Please describe, consistent with OSEP QA 23-01, how the State verified that each </w:t>
      </w:r>
      <w:r w:rsidRPr="00CB52C7">
        <w:rPr>
          <w:rFonts w:eastAsia="Times New Roman" w:cs="Arial"/>
          <w:b/>
          <w:i/>
          <w:iCs/>
          <w:szCs w:val="16"/>
        </w:rPr>
        <w:t>individual case</w:t>
      </w:r>
      <w:r w:rsidRPr="00CB52C7">
        <w:rPr>
          <w:rFonts w:eastAsia="Times New Roman" w:cs="Arial"/>
          <w:b/>
          <w:szCs w:val="16"/>
        </w:rPr>
        <w:t xml:space="preserve"> of noncompliance was corrected:</w:t>
      </w:r>
    </w:p>
    <w:p w14:paraId="54C61704" w14:textId="3E763664" w:rsidR="00AA0F28" w:rsidRDefault="00AA0F28" w:rsidP="00C144F3">
      <w:pPr>
        <w:spacing w:line="276" w:lineRule="auto"/>
        <w:rPr>
          <w:color w:val="000000" w:themeColor="text1"/>
        </w:rPr>
      </w:pPr>
      <w:r>
        <w:rPr>
          <w:color w:val="000000" w:themeColor="text1"/>
        </w:rPr>
        <w:t xml:space="preserve">For each of the three findings that arose through the dispute resolution process, the State verified that each individual case of noncompliance was corrected by collecting evidence of corrective action activities from each of the four districts. The State compared corrective action evidence received from the district with required corrective action stated on each issued final order. </w:t>
      </w:r>
      <w:r>
        <w:rPr>
          <w:color w:val="000000" w:themeColor="text1"/>
        </w:rPr>
        <w:br/>
        <w:t xml:space="preserve"> </w:t>
      </w:r>
      <w:r>
        <w:rPr>
          <w:color w:val="000000" w:themeColor="text1"/>
        </w:rPr>
        <w:br/>
        <w:t xml:space="preserve">For each of the seven related findings of noncompliance, the State required the LEA to submit student file evidence demonstrating individual correction. The State reviewed these findings for compliance with cited regulation, and verified each individual instance of noncompliance had been corrected within one year with 100% compliance in accordance with OSEP Memo 23-01. </w:t>
      </w:r>
      <w:r>
        <w:rPr>
          <w:color w:val="000000" w:themeColor="text1"/>
        </w:rPr>
        <w:br/>
      </w:r>
      <w:r>
        <w:rPr>
          <w:color w:val="000000" w:themeColor="text1"/>
        </w:rPr>
        <w:br/>
        <w:t>For Indicator 13 Specific Findings: The State verified that each individual case of noncompliance identified in FFY 2022 was corrected through student record review, for all individual cases of noncompliance. Of the 136 cases of noncompliance, 135 individual instances of noncompliance were corrected within one year. One file was corrected after the one-year timeline using subsequent data submitted through the student record review process. The State verified correction of each individual case of noncompliance in accordance with OSEP Memo 23-01.</w:t>
      </w:r>
    </w:p>
    <w:p w14:paraId="17D7BDE6" w14:textId="77777777" w:rsidR="0079169F" w:rsidRDefault="0079169F" w:rsidP="001C2EC2">
      <w:pPr>
        <w:rPr>
          <w:rFonts w:eastAsia="Calibri" w:cs="Arial"/>
          <w:b/>
          <w:i/>
          <w:iCs/>
          <w:szCs w:val="16"/>
        </w:rPr>
      </w:pPr>
    </w:p>
    <w:p w14:paraId="3F22FC8F" w14:textId="3CA11C03" w:rsidR="00B9250E" w:rsidRDefault="00B9250E" w:rsidP="001C2EC2">
      <w:pPr>
        <w:rPr>
          <w:rFonts w:eastAsia="Calibri" w:cs="Arial"/>
          <w:b/>
          <w:i/>
          <w:iCs/>
          <w:szCs w:val="16"/>
        </w:rPr>
      </w:pPr>
      <w:r>
        <w:rPr>
          <w:rFonts w:eastAsia="Calibri" w:cs="Arial"/>
          <w:b/>
          <w:i/>
          <w:iCs/>
          <w:szCs w:val="16"/>
        </w:rPr>
        <w:t>Optional for FFY 2023, 2024, and 2025:</w:t>
      </w:r>
    </w:p>
    <w:p w14:paraId="78423754" w14:textId="00B32F91" w:rsidR="00B9250E" w:rsidRDefault="00B9250E" w:rsidP="00B9250E">
      <w:pPr>
        <w:rPr>
          <w:rFonts w:eastAsia="Calibri" w:cs="Arial"/>
          <w:b/>
          <w:i/>
          <w:iCs/>
          <w:szCs w:val="16"/>
        </w:rPr>
      </w:pPr>
      <w:r>
        <w:rPr>
          <w:rFonts w:eastAsia="Calibri" w:cs="Arial"/>
          <w:b/>
          <w:i/>
          <w:iCs/>
          <w:szCs w:val="16"/>
        </w:rPr>
        <w:t>Other Areas - All other findings: States may report here on all other findings of noncompliance that were not reported under the compliance indicators listed above (e.g., Results indicators (including related requirements), Fiscal, Dispute Resolution, etc.).</w:t>
      </w:r>
    </w:p>
    <w:tbl>
      <w:tblPr>
        <w:tblStyle w:val="TableGrid"/>
        <w:tblW w:w="9621" w:type="dxa"/>
        <w:tblLayout w:type="fixed"/>
        <w:tblLook w:val="04A0" w:firstRow="1" w:lastRow="0" w:firstColumn="1" w:lastColumn="0" w:noHBand="0" w:noVBand="1"/>
        <w:tblCaption w:val="B18FINDINGSOFNONCOMPLIANCEOTHERAREAS"/>
      </w:tblPr>
      <w:tblGrid>
        <w:gridCol w:w="3207"/>
        <w:gridCol w:w="3207"/>
        <w:gridCol w:w="3207"/>
      </w:tblGrid>
      <w:tr w:rsidR="00F8304E" w:rsidRPr="007D0769" w14:paraId="7F6056EE" w14:textId="77777777" w:rsidTr="00C144F3">
        <w:trPr>
          <w:trHeight w:val="360"/>
          <w:tblHeader/>
        </w:trPr>
        <w:tc>
          <w:tcPr>
            <w:tcW w:w="3207" w:type="dxa"/>
          </w:tcPr>
          <w:p w14:paraId="13E0792B" w14:textId="266FAC76" w:rsidR="00F8304E" w:rsidRPr="007D0769" w:rsidRDefault="00F8304E" w:rsidP="00F8304E">
            <w:pPr>
              <w:jc w:val="center"/>
              <w:textAlignment w:val="baseline"/>
              <w:rPr>
                <w:rFonts w:eastAsia="Calibri" w:cs="Arial"/>
                <w:b/>
                <w:szCs w:val="16"/>
              </w:rPr>
            </w:pPr>
            <w:r w:rsidRPr="007D0769">
              <w:rPr>
                <w:rFonts w:eastAsia="Times New Roman" w:cs="Arial"/>
                <w:b/>
                <w:bCs/>
                <w:szCs w:val="16"/>
              </w:rPr>
              <w:lastRenderedPageBreak/>
              <w:t>Column B:</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3207" w:type="dxa"/>
          </w:tcPr>
          <w:p w14:paraId="64536009" w14:textId="426B9903" w:rsidR="00F8304E" w:rsidRPr="007D0769" w:rsidRDefault="00F8304E" w:rsidP="00F8304E">
            <w:pPr>
              <w:jc w:val="center"/>
              <w:textAlignment w:val="baseline"/>
              <w:rPr>
                <w:rFonts w:eastAsia="Calibri" w:cs="Arial"/>
                <w:b/>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9A7B65">
              <w:rPr>
                <w:rFonts w:eastAsia="Times New Roman" w:cs="Arial"/>
                <w:b/>
                <w:bCs/>
                <w:szCs w:val="16"/>
              </w:rPr>
              <w:t>B</w:t>
            </w:r>
            <w:r w:rsidRPr="007D0769">
              <w:rPr>
                <w:rFonts w:eastAsia="Times New Roman" w:cs="Arial"/>
                <w:b/>
                <w:bCs/>
                <w:szCs w:val="16"/>
              </w:rPr>
              <w:t xml:space="preserve"> that were timely corrected (i.e., verified as corrected no later than one year from identification)</w:t>
            </w:r>
          </w:p>
        </w:tc>
        <w:tc>
          <w:tcPr>
            <w:tcW w:w="3207" w:type="dxa"/>
          </w:tcPr>
          <w:p w14:paraId="0257DA5A" w14:textId="7A9A21CC" w:rsidR="00F8304E" w:rsidRPr="007D0769" w:rsidRDefault="00F8304E" w:rsidP="00F8304E">
            <w:pPr>
              <w:jc w:val="center"/>
              <w:textAlignment w:val="baseline"/>
              <w:rPr>
                <w:rFonts w:eastAsia="Calibri" w:cs="Arial"/>
                <w:b/>
                <w:szCs w:val="16"/>
              </w:rPr>
            </w:pPr>
            <w:r w:rsidRPr="00CA6004">
              <w:rPr>
                <w:rFonts w:eastAsia="Times New Roman" w:cs="Arial"/>
                <w:b/>
                <w:bCs/>
                <w:szCs w:val="16"/>
              </w:rPr>
              <w:t>Column D:</w:t>
            </w:r>
            <w:r w:rsidRPr="00CA6004">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00C9712C">
              <w:rPr>
                <w:rFonts w:eastAsia="Times New Roman" w:cs="Arial"/>
                <w:b/>
                <w:bCs/>
                <w:szCs w:val="16"/>
              </w:rPr>
              <w:t>B</w:t>
            </w:r>
            <w:r w:rsidRPr="007D0769">
              <w:rPr>
                <w:rFonts w:eastAsia="Times New Roman" w:cs="Arial"/>
                <w:b/>
                <w:bCs/>
                <w:szCs w:val="16"/>
              </w:rPr>
              <w:t xml:space="preserve"> for which correction was not completed or timely corrected</w:t>
            </w:r>
          </w:p>
        </w:tc>
      </w:tr>
      <w:tr w:rsidR="003B7840" w:rsidRPr="007D0769" w14:paraId="2B7D5DBF" w14:textId="77777777" w:rsidTr="00C144F3">
        <w:trPr>
          <w:trHeight w:val="360"/>
          <w:tblHeader/>
        </w:trPr>
        <w:tc>
          <w:tcPr>
            <w:tcW w:w="3207" w:type="dxa"/>
            <w:shd w:val="clear" w:color="auto" w:fill="auto"/>
          </w:tcPr>
          <w:p w14:paraId="2DF3D70F" w14:textId="3DA3F937" w:rsidR="003B7840" w:rsidRPr="007D0769" w:rsidRDefault="003B7840" w:rsidP="003B7840">
            <w:pPr>
              <w:jc w:val="center"/>
              <w:textAlignment w:val="baseline"/>
              <w:rPr>
                <w:rFonts w:eastAsia="Times New Roman" w:cs="Arial"/>
                <w:b/>
                <w:bCs/>
                <w:szCs w:val="16"/>
              </w:rPr>
            </w:pPr>
          </w:p>
        </w:tc>
        <w:tc>
          <w:tcPr>
            <w:tcW w:w="3207" w:type="dxa"/>
            <w:shd w:val="clear" w:color="auto" w:fill="auto"/>
          </w:tcPr>
          <w:p w14:paraId="7E8E28E5" w14:textId="6D781470" w:rsidR="003B7840" w:rsidRPr="007D0769" w:rsidRDefault="003B7840" w:rsidP="003B7840">
            <w:pPr>
              <w:jc w:val="center"/>
              <w:textAlignment w:val="baseline"/>
              <w:rPr>
                <w:rFonts w:eastAsia="Times New Roman" w:cs="Arial"/>
                <w:b/>
                <w:bCs/>
                <w:szCs w:val="16"/>
              </w:rPr>
            </w:pPr>
          </w:p>
        </w:tc>
        <w:tc>
          <w:tcPr>
            <w:tcW w:w="3207" w:type="dxa"/>
            <w:shd w:val="clear" w:color="auto" w:fill="auto"/>
          </w:tcPr>
          <w:p w14:paraId="2EC3E037" w14:textId="34EDB0D3" w:rsidR="003B7840" w:rsidRPr="00A964C2" w:rsidRDefault="003B7840" w:rsidP="003B7840">
            <w:pPr>
              <w:jc w:val="center"/>
              <w:textAlignment w:val="baseline"/>
              <w:rPr>
                <w:rFonts w:eastAsia="Times New Roman" w:cs="Arial"/>
                <w:b/>
                <w:bCs/>
                <w:szCs w:val="16"/>
              </w:rPr>
            </w:pPr>
          </w:p>
        </w:tc>
      </w:tr>
    </w:tbl>
    <w:p w14:paraId="6278BE4B" w14:textId="77777777" w:rsidR="00C9712C" w:rsidRDefault="00C9712C" w:rsidP="001C2EC2">
      <w:pPr>
        <w:rPr>
          <w:rFonts w:eastAsia="Calibri" w:cs="Arial"/>
          <w:b/>
          <w:szCs w:val="16"/>
        </w:rPr>
      </w:pPr>
    </w:p>
    <w:p w14:paraId="34C3B8CF" w14:textId="5D0FC134" w:rsidR="00B9250E" w:rsidRPr="00604167" w:rsidRDefault="00B9250E" w:rsidP="001C2EC2">
      <w:pPr>
        <w:rPr>
          <w:rFonts w:eastAsia="Calibri" w:cs="Arial"/>
          <w:b/>
          <w:szCs w:val="16"/>
        </w:rPr>
      </w:pPr>
      <w:r w:rsidRPr="00604167">
        <w:rPr>
          <w:rFonts w:eastAsia="Calibri" w:cs="Arial"/>
          <w:b/>
          <w:szCs w:val="16"/>
        </w:rPr>
        <w:t>Explain the source (e.g., State monitoring, State database/data system, dispute resolution, fiscal, related requirements, etc.) of any findings reported in this section:</w:t>
      </w:r>
    </w:p>
    <w:p w14:paraId="41EA4976" w14:textId="7B420414" w:rsidR="003B7840" w:rsidRPr="004267DD" w:rsidRDefault="003B7840" w:rsidP="001C2EC2">
      <w:pPr>
        <w:rPr>
          <w:rFonts w:eastAsia="Calibri" w:cs="Arial"/>
          <w:bCs/>
          <w:szCs w:val="16"/>
        </w:rPr>
      </w:pPr>
    </w:p>
    <w:p w14:paraId="4B552668" w14:textId="2F02CE9E"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the </w:t>
      </w:r>
      <w:r>
        <w:rPr>
          <w:rFonts w:eastAsia="Times New Roman" w:cs="Arial"/>
          <w:b/>
          <w:szCs w:val="16"/>
        </w:rPr>
        <w:t>source of noncompliance</w:t>
      </w:r>
      <w:r w:rsidRPr="00604167">
        <w:rPr>
          <w:rFonts w:eastAsia="Calibri" w:cs="Arial"/>
          <w:b/>
          <w:szCs w:val="16"/>
        </w:rPr>
        <w:t xml:space="preserve"> is correctly implementing the regulatory requirements</w:t>
      </w:r>
      <w:r w:rsidRPr="00604167">
        <w:rPr>
          <w:rFonts w:eastAsia="Calibri" w:cs="Arial"/>
          <w:b/>
          <w:i/>
          <w:iCs/>
          <w:szCs w:val="16"/>
        </w:rPr>
        <w:t xml:space="preserve"> </w:t>
      </w:r>
      <w:r w:rsidRPr="00604167">
        <w:rPr>
          <w:rFonts w:eastAsia="Calibri" w:cs="Arial"/>
          <w:b/>
          <w:szCs w:val="16"/>
        </w:rPr>
        <w:t xml:space="preserve">based on </w:t>
      </w:r>
      <w:r w:rsidRPr="00604167">
        <w:rPr>
          <w:rFonts w:eastAsia="Calibri" w:cs="Arial"/>
          <w:b/>
          <w:i/>
          <w:iCs/>
          <w:szCs w:val="16"/>
        </w:rPr>
        <w:t>updated data</w:t>
      </w:r>
      <w:r w:rsidRPr="00604167">
        <w:rPr>
          <w:rFonts w:eastAsia="Calibri" w:cs="Arial"/>
          <w:b/>
          <w:szCs w:val="16"/>
        </w:rPr>
        <w:t>:</w:t>
      </w:r>
    </w:p>
    <w:p w14:paraId="2A57399B" w14:textId="040AD064" w:rsidR="003B7840" w:rsidRPr="004267DD" w:rsidRDefault="003B7840" w:rsidP="001C2EC2">
      <w:pPr>
        <w:rPr>
          <w:rFonts w:eastAsia="Calibri" w:cs="Arial"/>
          <w:bCs/>
          <w:szCs w:val="16"/>
        </w:rPr>
      </w:pPr>
    </w:p>
    <w:p w14:paraId="2B8373F5" w14:textId="2A814FCF" w:rsidR="00F15F58" w:rsidRPr="00604167" w:rsidRDefault="00F15F58" w:rsidP="001C2EC2">
      <w:pPr>
        <w:rPr>
          <w:rFonts w:eastAsia="Calibri" w:cs="Arial"/>
          <w:b/>
          <w:szCs w:val="16"/>
        </w:rPr>
      </w:pPr>
      <w:r>
        <w:rPr>
          <w:rFonts w:eastAsia="Calibri" w:cs="Arial"/>
          <w:b/>
          <w:szCs w:val="16"/>
        </w:rPr>
        <w:t xml:space="preserve">Please describe, consistent with OSEP QA 23-01, how the State verified that each </w:t>
      </w:r>
      <w:r w:rsidRPr="00604167">
        <w:rPr>
          <w:rFonts w:eastAsia="Calibri" w:cs="Arial"/>
          <w:b/>
          <w:i/>
          <w:iCs/>
          <w:szCs w:val="16"/>
        </w:rPr>
        <w:t>individual case</w:t>
      </w:r>
      <w:r w:rsidRPr="00604167">
        <w:rPr>
          <w:rFonts w:eastAsia="Calibri" w:cs="Arial"/>
          <w:b/>
          <w:szCs w:val="16"/>
        </w:rPr>
        <w:t xml:space="preserve"> of noncompliance was corrected:</w:t>
      </w:r>
    </w:p>
    <w:p w14:paraId="11C4E26A" w14:textId="662C23C7" w:rsidR="003B7840" w:rsidRDefault="003B7840" w:rsidP="001C2EC2">
      <w:pPr>
        <w:rPr>
          <w:rFonts w:eastAsia="Calibri" w:cs="Arial"/>
          <w:bCs/>
          <w:szCs w:val="16"/>
        </w:rPr>
      </w:pPr>
    </w:p>
    <w:p w14:paraId="2D40249B" w14:textId="77777777" w:rsidR="00F42D1A" w:rsidRPr="004267DD" w:rsidRDefault="00F42D1A" w:rsidP="001C2EC2">
      <w:pPr>
        <w:rPr>
          <w:rFonts w:eastAsia="Calibri" w:cs="Arial"/>
          <w:bCs/>
          <w:szCs w:val="16"/>
        </w:rPr>
      </w:pPr>
    </w:p>
    <w:p w14:paraId="625C12B9" w14:textId="453B83FF" w:rsidR="00F15F58" w:rsidRPr="00CB52C7" w:rsidRDefault="00F15F58" w:rsidP="001C2EC2">
      <w:pPr>
        <w:rPr>
          <w:rFonts w:eastAsia="Calibri" w:cs="Arial"/>
          <w:b/>
          <w:szCs w:val="16"/>
        </w:rPr>
      </w:pPr>
      <w:r w:rsidRPr="00CB52C7">
        <w:rPr>
          <w:rFonts w:eastAsia="Calibri" w:cs="Arial"/>
          <w:b/>
          <w:szCs w:val="16"/>
        </w:rPr>
        <w:t>Total for All Noncompliance Identified (Indicators 4B, 9, 10, 11, 12, 13, and Optional Areas):</w:t>
      </w: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B18TOTALFORALLNONCOMPLIANCEIDENTIFIED"/>
      </w:tblPr>
      <w:tblGrid>
        <w:gridCol w:w="2156"/>
        <w:gridCol w:w="2157"/>
        <w:gridCol w:w="2157"/>
        <w:gridCol w:w="2157"/>
        <w:gridCol w:w="2157"/>
      </w:tblGrid>
      <w:tr w:rsidR="00F8304E" w:rsidRPr="00CB52C7" w14:paraId="35D238A7" w14:textId="77777777" w:rsidTr="00C144F3">
        <w:trPr>
          <w:trHeight w:val="360"/>
          <w:tblHeader/>
        </w:trPr>
        <w:tc>
          <w:tcPr>
            <w:tcW w:w="2156" w:type="dxa"/>
          </w:tcPr>
          <w:p w14:paraId="20B66116" w14:textId="33E7BB96"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A:</w:t>
            </w:r>
            <w:r w:rsidRPr="007D0769">
              <w:rPr>
                <w:rFonts w:eastAsia="Times New Roman" w:cs="Arial"/>
                <w:szCs w:val="16"/>
              </w:rPr>
              <w:t> </w:t>
            </w:r>
            <w:r w:rsidRPr="007D0769">
              <w:rPr>
                <w:rFonts w:eastAsia="Times New Roman" w:cs="Arial"/>
                <w:b/>
                <w:bCs/>
                <w:szCs w:val="16"/>
              </w:rPr>
              <w:t xml:space="preserve"># of written findings of noncompliance identified in FFY 2022 (7/1/22 </w:t>
            </w:r>
            <w:r w:rsidRPr="007D0769">
              <w:rPr>
                <w:rFonts w:eastAsia="Times New Roman" w:cs="Arial"/>
                <w:szCs w:val="16"/>
              </w:rPr>
              <w:t>–</w:t>
            </w:r>
            <w:r w:rsidRPr="007D0769">
              <w:rPr>
                <w:rFonts w:eastAsia="Times New Roman" w:cs="Arial"/>
                <w:b/>
                <w:bCs/>
                <w:szCs w:val="16"/>
              </w:rPr>
              <w:t xml:space="preserve"> 6/30/23)</w:t>
            </w:r>
          </w:p>
        </w:tc>
        <w:tc>
          <w:tcPr>
            <w:tcW w:w="2157" w:type="dxa"/>
          </w:tcPr>
          <w:p w14:paraId="03DCA1AB" w14:textId="4EB08A30" w:rsidR="00F8304E" w:rsidRPr="00CB52C7" w:rsidRDefault="00F8304E" w:rsidP="00C144F3">
            <w:pPr>
              <w:ind w:left="45" w:right="77"/>
              <w:jc w:val="center"/>
              <w:textAlignment w:val="baseline"/>
              <w:rPr>
                <w:rFonts w:eastAsia="Times New Roman" w:cs="Arial"/>
                <w:szCs w:val="16"/>
              </w:rPr>
            </w:pPr>
            <w:r w:rsidRPr="007D0769">
              <w:rPr>
                <w:rFonts w:eastAsia="Times New Roman" w:cs="Arial"/>
                <w:b/>
                <w:bCs/>
                <w:szCs w:val="16"/>
              </w:rPr>
              <w:t>Column B: # of any other written findings of noncompliance identified in FFY 2022 not reported in Column A (e.g., those issued based on other IDEA requirements), if applicable</w:t>
            </w:r>
          </w:p>
        </w:tc>
        <w:tc>
          <w:tcPr>
            <w:tcW w:w="2157" w:type="dxa"/>
            <w:shd w:val="clear" w:color="auto" w:fill="auto"/>
          </w:tcPr>
          <w:p w14:paraId="31472D07" w14:textId="12B920A7"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C1:</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A that were timely corrected (i.e., verified as corrected no later than one year from identification)</w:t>
            </w:r>
          </w:p>
        </w:tc>
        <w:tc>
          <w:tcPr>
            <w:tcW w:w="2157" w:type="dxa"/>
          </w:tcPr>
          <w:p w14:paraId="4EFD090F" w14:textId="65B4F64C" w:rsidR="00F8304E" w:rsidRPr="00CB52C7" w:rsidRDefault="00F8304E" w:rsidP="00C144F3">
            <w:pPr>
              <w:jc w:val="center"/>
              <w:textAlignment w:val="baseline"/>
              <w:rPr>
                <w:rFonts w:eastAsia="Times New Roman" w:cs="Arial"/>
                <w:szCs w:val="16"/>
              </w:rPr>
            </w:pPr>
            <w:r w:rsidRPr="007D0769">
              <w:rPr>
                <w:rFonts w:eastAsia="Times New Roman" w:cs="Arial"/>
                <w:b/>
                <w:bCs/>
                <w:szCs w:val="16"/>
              </w:rPr>
              <w:t>Column C2:</w:t>
            </w:r>
            <w:r w:rsidRPr="007D0769">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 </w:t>
            </w:r>
            <w:r w:rsidRPr="007D0769">
              <w:rPr>
                <w:rFonts w:eastAsia="Times New Roman" w:cs="Arial"/>
                <w:b/>
                <w:bCs/>
                <w:szCs w:val="16"/>
              </w:rPr>
              <w:t>B that were timely corrected (i.e., verified as corrected no later than one year from identification)</w:t>
            </w:r>
          </w:p>
        </w:tc>
        <w:tc>
          <w:tcPr>
            <w:tcW w:w="2157" w:type="dxa"/>
            <w:shd w:val="clear" w:color="auto" w:fill="auto"/>
          </w:tcPr>
          <w:p w14:paraId="38647103" w14:textId="7304C668" w:rsidR="00F8304E" w:rsidRPr="00CB52C7" w:rsidRDefault="00F8304E" w:rsidP="00C144F3">
            <w:pPr>
              <w:jc w:val="center"/>
              <w:textAlignment w:val="baseline"/>
              <w:rPr>
                <w:rFonts w:eastAsia="Times New Roman" w:cs="Arial"/>
                <w:szCs w:val="16"/>
              </w:rPr>
            </w:pPr>
            <w:r w:rsidRPr="000370DE">
              <w:rPr>
                <w:rFonts w:eastAsia="Times New Roman" w:cs="Arial"/>
                <w:b/>
                <w:bCs/>
                <w:szCs w:val="16"/>
              </w:rPr>
              <w:t>Column D:</w:t>
            </w:r>
            <w:r w:rsidRPr="000370DE">
              <w:rPr>
                <w:rFonts w:eastAsia="Times New Roman" w:cs="Arial"/>
                <w:szCs w:val="16"/>
              </w:rPr>
              <w:t> </w:t>
            </w:r>
            <w:r w:rsidRPr="007D0769">
              <w:rPr>
                <w:rFonts w:eastAsia="Times New Roman" w:cs="Arial"/>
                <w:b/>
                <w:bCs/>
                <w:szCs w:val="16"/>
              </w:rPr>
              <w:t xml:space="preserve"># of written findings of noncompliance from </w:t>
            </w:r>
            <w:r>
              <w:rPr>
                <w:rFonts w:eastAsia="Times New Roman" w:cs="Arial"/>
                <w:b/>
                <w:bCs/>
                <w:szCs w:val="16"/>
              </w:rPr>
              <w:t xml:space="preserve">Columns </w:t>
            </w:r>
            <w:r w:rsidRPr="007D0769">
              <w:rPr>
                <w:rFonts w:eastAsia="Times New Roman" w:cs="Arial"/>
                <w:b/>
                <w:bCs/>
                <w:szCs w:val="16"/>
              </w:rPr>
              <w:t>A and B for which correction was not completed or timely corrected</w:t>
            </w:r>
          </w:p>
        </w:tc>
      </w:tr>
      <w:tr w:rsidR="00C048FB" w:rsidRPr="00CB52C7" w14:paraId="0A598889" w14:textId="77777777" w:rsidTr="00C144F3">
        <w:trPr>
          <w:trHeight w:val="360"/>
          <w:tblHeader/>
        </w:trPr>
        <w:tc>
          <w:tcPr>
            <w:tcW w:w="2156" w:type="dxa"/>
            <w:shd w:val="clear" w:color="auto" w:fill="auto"/>
          </w:tcPr>
          <w:p w14:paraId="25C1EF32" w14:textId="0215216F"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624</w:t>
            </w:r>
          </w:p>
        </w:tc>
        <w:tc>
          <w:tcPr>
            <w:tcW w:w="2157" w:type="dxa"/>
            <w:shd w:val="clear" w:color="auto" w:fill="auto"/>
          </w:tcPr>
          <w:p w14:paraId="1C02131B" w14:textId="4F39C630" w:rsidR="003B7840" w:rsidRPr="00CB52C7" w:rsidRDefault="003B7840" w:rsidP="00C144F3">
            <w:pPr>
              <w:jc w:val="center"/>
              <w:textAlignment w:val="baseline"/>
              <w:rPr>
                <w:rFonts w:eastAsia="Times New Roman" w:cs="Arial"/>
                <w:szCs w:val="16"/>
              </w:rPr>
            </w:pPr>
            <w:r>
              <w:rPr>
                <w:rFonts w:eastAsia="Times New Roman" w:cs="Arial"/>
                <w:szCs w:val="16"/>
              </w:rPr>
              <w:t>45</w:t>
            </w:r>
          </w:p>
        </w:tc>
        <w:tc>
          <w:tcPr>
            <w:tcW w:w="2157" w:type="dxa"/>
            <w:shd w:val="clear" w:color="auto" w:fill="auto"/>
          </w:tcPr>
          <w:p w14:paraId="16A3AEAE" w14:textId="62D5841A" w:rsidR="003B7840" w:rsidRPr="00CB52C7" w:rsidRDefault="003B7840" w:rsidP="00C144F3">
            <w:pPr>
              <w:jc w:val="center"/>
              <w:textAlignment w:val="baseline"/>
              <w:rPr>
                <w:rFonts w:eastAsia="Times New Roman" w:cs="Arial"/>
                <w:szCs w:val="16"/>
              </w:rPr>
            </w:pPr>
            <w:r w:rsidRPr="00ED172B">
              <w:rPr>
                <w:rFonts w:cs="Arial"/>
                <w:color w:val="000000" w:themeColor="text1"/>
                <w:szCs w:val="16"/>
              </w:rPr>
              <w:t>619</w:t>
            </w:r>
          </w:p>
        </w:tc>
        <w:tc>
          <w:tcPr>
            <w:tcW w:w="2157" w:type="dxa"/>
            <w:shd w:val="clear" w:color="auto" w:fill="auto"/>
          </w:tcPr>
          <w:p w14:paraId="207101B6" w14:textId="70AC7888" w:rsidR="003B7840" w:rsidRPr="00CB52C7" w:rsidRDefault="003B7840" w:rsidP="00C144F3">
            <w:pPr>
              <w:jc w:val="center"/>
              <w:textAlignment w:val="baseline"/>
              <w:rPr>
                <w:rFonts w:eastAsia="Times New Roman" w:cs="Arial"/>
                <w:szCs w:val="16"/>
              </w:rPr>
            </w:pPr>
            <w:r>
              <w:rPr>
                <w:rFonts w:eastAsia="Times New Roman" w:cs="Arial"/>
                <w:szCs w:val="16"/>
              </w:rPr>
              <w:t>45</w:t>
            </w:r>
          </w:p>
        </w:tc>
        <w:tc>
          <w:tcPr>
            <w:tcW w:w="2157" w:type="dxa"/>
            <w:shd w:val="clear" w:color="auto" w:fill="auto"/>
          </w:tcPr>
          <w:p w14:paraId="2A5B54F2" w14:textId="015640F0" w:rsidR="003B7840" w:rsidRPr="00746603" w:rsidRDefault="003B7840" w:rsidP="00C144F3">
            <w:pPr>
              <w:jc w:val="center"/>
              <w:textAlignment w:val="baseline"/>
              <w:rPr>
                <w:rFonts w:eastAsia="Times New Roman" w:cs="Arial"/>
                <w:szCs w:val="16"/>
              </w:rPr>
            </w:pPr>
            <w:r w:rsidRPr="00755D89">
              <w:rPr>
                <w:rFonts w:eastAsia="Times New Roman" w:cs="Arial"/>
                <w:szCs w:val="16"/>
              </w:rPr>
              <w:t>5</w:t>
            </w:r>
          </w:p>
        </w:tc>
      </w:tr>
    </w:tbl>
    <w:p w14:paraId="22034444" w14:textId="77777777" w:rsidR="00F42D1A" w:rsidRDefault="00F42D1A" w:rsidP="00F15F58">
      <w:pPr>
        <w:rPr>
          <w:rFonts w:eastAsia="Calibri" w:cs="Arial"/>
          <w:b/>
          <w:bCs/>
          <w:szCs w:val="16"/>
        </w:rPr>
      </w:pPr>
    </w:p>
    <w:p w14:paraId="3C55C81C" w14:textId="287B6CA2" w:rsidR="00F15F58" w:rsidRPr="000123D2" w:rsidRDefault="00C048FB" w:rsidP="00F15F58">
      <w:pPr>
        <w:rPr>
          <w:rFonts w:eastAsia="Calibri" w:cs="Arial"/>
          <w:b/>
          <w:bCs/>
          <w:szCs w:val="16"/>
        </w:rPr>
      </w:pPr>
      <w:r w:rsidRPr="000123D2">
        <w:rPr>
          <w:rFonts w:eastAsia="Calibri" w:cs="Arial"/>
          <w:b/>
          <w:bCs/>
          <w:szCs w:val="16"/>
        </w:rPr>
        <w:t>FFY 2023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SPPAPRDATA"/>
      </w:tblPr>
      <w:tblGrid>
        <w:gridCol w:w="1540"/>
        <w:gridCol w:w="1541"/>
        <w:gridCol w:w="1543"/>
        <w:gridCol w:w="1541"/>
        <w:gridCol w:w="1543"/>
        <w:gridCol w:w="1541"/>
        <w:gridCol w:w="1541"/>
      </w:tblGrid>
      <w:tr w:rsidR="00F15F58" w:rsidRPr="00CB52C7" w14:paraId="73DCF5EB" w14:textId="77777777" w:rsidTr="00C144F3">
        <w:trPr>
          <w:trHeight w:val="360"/>
          <w:tblHeader/>
        </w:trPr>
        <w:tc>
          <w:tcPr>
            <w:tcW w:w="714" w:type="pct"/>
          </w:tcPr>
          <w:p w14:paraId="41EAA6AD" w14:textId="082F3035" w:rsidR="00F15F58" w:rsidRPr="00CB52C7" w:rsidRDefault="00F15F58">
            <w:pPr>
              <w:jc w:val="center"/>
              <w:rPr>
                <w:rFonts w:eastAsia="Calibri" w:cs="Arial"/>
                <w:b/>
                <w:szCs w:val="16"/>
              </w:rPr>
            </w:pPr>
            <w:r w:rsidRPr="00CB52C7">
              <w:rPr>
                <w:rFonts w:eastAsia="Calibri" w:cs="Arial"/>
                <w:b/>
                <w:szCs w:val="16"/>
              </w:rPr>
              <w:t>Number of findings of Noncompliance that were timely corrected</w:t>
            </w:r>
          </w:p>
        </w:tc>
        <w:tc>
          <w:tcPr>
            <w:tcW w:w="714" w:type="pct"/>
          </w:tcPr>
          <w:p w14:paraId="6208FFC8" w14:textId="42DC6E09" w:rsidR="00F15F58" w:rsidRPr="00CB52C7" w:rsidRDefault="00F15F58">
            <w:pPr>
              <w:jc w:val="center"/>
              <w:rPr>
                <w:rFonts w:eastAsia="Calibri" w:cs="Arial"/>
                <w:b/>
                <w:szCs w:val="16"/>
              </w:rPr>
            </w:pPr>
            <w:r w:rsidRPr="00CB52C7">
              <w:rPr>
                <w:rFonts w:eastAsia="Calibri" w:cs="Arial"/>
                <w:b/>
                <w:szCs w:val="16"/>
              </w:rPr>
              <w:t>Number of findings of Noncompliance that were identified FFY 2022</w:t>
            </w:r>
          </w:p>
        </w:tc>
        <w:tc>
          <w:tcPr>
            <w:tcW w:w="715" w:type="pct"/>
            <w:shd w:val="clear" w:color="auto" w:fill="auto"/>
          </w:tcPr>
          <w:p w14:paraId="0D68BA78" w14:textId="69C67D95" w:rsidR="00F15F58" w:rsidRPr="00CB52C7" w:rsidRDefault="00F15F58" w:rsidP="009C75E8">
            <w:pPr>
              <w:jc w:val="center"/>
              <w:rPr>
                <w:rFonts w:eastAsia="Calibri" w:cs="Arial"/>
                <w:b/>
                <w:szCs w:val="16"/>
              </w:rPr>
            </w:pPr>
            <w:r w:rsidRPr="00CB52C7">
              <w:rPr>
                <w:rFonts w:eastAsia="Calibri" w:cs="Arial"/>
                <w:b/>
                <w:szCs w:val="16"/>
              </w:rPr>
              <w:t xml:space="preserve">FFY 2022 Data </w:t>
            </w:r>
          </w:p>
        </w:tc>
        <w:tc>
          <w:tcPr>
            <w:tcW w:w="714" w:type="pct"/>
            <w:shd w:val="clear" w:color="auto" w:fill="auto"/>
          </w:tcPr>
          <w:p w14:paraId="05C64A70" w14:textId="77777777" w:rsidR="00F15F58" w:rsidRPr="00CB52C7" w:rsidRDefault="00F15F58">
            <w:pPr>
              <w:jc w:val="center"/>
              <w:rPr>
                <w:rFonts w:eastAsia="Calibri" w:cs="Arial"/>
                <w:b/>
                <w:szCs w:val="16"/>
              </w:rPr>
            </w:pPr>
            <w:r w:rsidRPr="00CB52C7">
              <w:rPr>
                <w:rFonts w:eastAsia="Calibri" w:cs="Arial"/>
                <w:b/>
                <w:szCs w:val="16"/>
              </w:rPr>
              <w:t>FFY 2023 Target</w:t>
            </w:r>
          </w:p>
        </w:tc>
        <w:tc>
          <w:tcPr>
            <w:tcW w:w="715" w:type="pct"/>
            <w:shd w:val="clear" w:color="auto" w:fill="auto"/>
          </w:tcPr>
          <w:p w14:paraId="7B57A256" w14:textId="21A3EA5F" w:rsidR="00F15F58" w:rsidRPr="00CB52C7" w:rsidRDefault="00F15F58" w:rsidP="009C75E8">
            <w:pPr>
              <w:jc w:val="center"/>
              <w:rPr>
                <w:rFonts w:eastAsia="Calibri" w:cs="Arial"/>
                <w:b/>
                <w:szCs w:val="16"/>
              </w:rPr>
            </w:pPr>
            <w:r w:rsidRPr="00CB52C7">
              <w:rPr>
                <w:rFonts w:eastAsia="Calibri" w:cs="Arial"/>
                <w:b/>
                <w:szCs w:val="16"/>
              </w:rPr>
              <w:t>FFY 2023 Data</w:t>
            </w:r>
          </w:p>
        </w:tc>
        <w:tc>
          <w:tcPr>
            <w:tcW w:w="714" w:type="pct"/>
            <w:shd w:val="clear" w:color="auto" w:fill="auto"/>
          </w:tcPr>
          <w:p w14:paraId="6BFBBA4C" w14:textId="77777777" w:rsidR="00F15F58" w:rsidRPr="00CB52C7" w:rsidRDefault="00F15F58">
            <w:pPr>
              <w:jc w:val="center"/>
              <w:rPr>
                <w:rFonts w:eastAsia="Calibri" w:cs="Arial"/>
                <w:b/>
                <w:szCs w:val="16"/>
              </w:rPr>
            </w:pPr>
            <w:r w:rsidRPr="00CB52C7">
              <w:rPr>
                <w:rFonts w:eastAsia="Calibri" w:cs="Arial"/>
                <w:b/>
                <w:szCs w:val="16"/>
              </w:rPr>
              <w:t>Status</w:t>
            </w:r>
          </w:p>
        </w:tc>
        <w:tc>
          <w:tcPr>
            <w:tcW w:w="715" w:type="pct"/>
            <w:shd w:val="clear" w:color="auto" w:fill="auto"/>
          </w:tcPr>
          <w:p w14:paraId="3326D598" w14:textId="77777777" w:rsidR="00F15F58" w:rsidRPr="00CB52C7" w:rsidRDefault="00F15F58">
            <w:pPr>
              <w:jc w:val="center"/>
              <w:rPr>
                <w:rFonts w:eastAsia="Calibri" w:cs="Arial"/>
                <w:b/>
                <w:szCs w:val="16"/>
              </w:rPr>
            </w:pPr>
            <w:r w:rsidRPr="00CB52C7">
              <w:rPr>
                <w:rFonts w:eastAsia="Calibri" w:cs="Arial"/>
                <w:b/>
                <w:szCs w:val="16"/>
              </w:rPr>
              <w:t>Slippage</w:t>
            </w:r>
          </w:p>
        </w:tc>
      </w:tr>
      <w:tr w:rsidR="003B7840" w:rsidRPr="00CB52C7" w14:paraId="2B998F85" w14:textId="77777777" w:rsidTr="00C144F3">
        <w:trPr>
          <w:trHeight w:val="360"/>
          <w:tblHeader/>
        </w:trPr>
        <w:tc>
          <w:tcPr>
            <w:tcW w:w="714" w:type="pct"/>
            <w:shd w:val="clear" w:color="auto" w:fill="auto"/>
          </w:tcPr>
          <w:p w14:paraId="7ED32011" w14:textId="3670269C" w:rsidR="003B7840" w:rsidRPr="00CB52C7" w:rsidRDefault="003B7840" w:rsidP="009C75E8">
            <w:pPr>
              <w:jc w:val="center"/>
              <w:rPr>
                <w:rFonts w:eastAsia="Calibri" w:cs="Arial"/>
                <w:caps/>
                <w:szCs w:val="16"/>
              </w:rPr>
            </w:pPr>
            <w:r>
              <w:rPr>
                <w:rFonts w:cs="Arial"/>
                <w:color w:val="000000" w:themeColor="text1"/>
                <w:szCs w:val="16"/>
              </w:rPr>
              <w:t>664</w:t>
            </w:r>
          </w:p>
        </w:tc>
        <w:tc>
          <w:tcPr>
            <w:tcW w:w="714" w:type="pct"/>
            <w:shd w:val="clear" w:color="auto" w:fill="auto"/>
          </w:tcPr>
          <w:p w14:paraId="04823B5E" w14:textId="5A51E552" w:rsidR="003B7840" w:rsidRPr="00CB52C7" w:rsidRDefault="003B7840" w:rsidP="003B7840">
            <w:pPr>
              <w:jc w:val="center"/>
              <w:rPr>
                <w:rFonts w:eastAsia="Calibri" w:cs="Arial"/>
                <w:caps/>
                <w:szCs w:val="16"/>
              </w:rPr>
            </w:pPr>
            <w:r>
              <w:rPr>
                <w:rFonts w:cs="Arial"/>
                <w:color w:val="000000" w:themeColor="text1"/>
                <w:szCs w:val="16"/>
              </w:rPr>
              <w:t>669</w:t>
            </w:r>
          </w:p>
        </w:tc>
        <w:tc>
          <w:tcPr>
            <w:tcW w:w="715" w:type="pct"/>
            <w:shd w:val="clear" w:color="auto" w:fill="auto"/>
          </w:tcPr>
          <w:p w14:paraId="132C3D1F" w14:textId="12D815FF" w:rsidR="003B7840" w:rsidRPr="00CB52C7" w:rsidRDefault="003B7840" w:rsidP="003B7840">
            <w:pPr>
              <w:jc w:val="center"/>
              <w:rPr>
                <w:rFonts w:eastAsia="Calibri" w:cs="Arial"/>
                <w:caps/>
                <w:szCs w:val="16"/>
              </w:rPr>
            </w:pPr>
          </w:p>
        </w:tc>
        <w:tc>
          <w:tcPr>
            <w:tcW w:w="714" w:type="pct"/>
            <w:shd w:val="clear" w:color="auto" w:fill="auto"/>
          </w:tcPr>
          <w:p w14:paraId="23319C0A" w14:textId="54C859BF" w:rsidR="003B7840" w:rsidRPr="00CB52C7" w:rsidRDefault="003B7840" w:rsidP="003B7840">
            <w:pPr>
              <w:jc w:val="center"/>
              <w:rPr>
                <w:rFonts w:eastAsia="Calibri" w:cs="Arial"/>
                <w:caps/>
                <w:szCs w:val="16"/>
              </w:rPr>
            </w:pPr>
            <w:r w:rsidRPr="00ED172B">
              <w:rPr>
                <w:color w:val="000000" w:themeColor="text1"/>
                <w:szCs w:val="16"/>
              </w:rPr>
              <w:t>100%</w:t>
            </w:r>
          </w:p>
        </w:tc>
        <w:tc>
          <w:tcPr>
            <w:tcW w:w="715" w:type="pct"/>
            <w:shd w:val="clear" w:color="auto" w:fill="auto"/>
          </w:tcPr>
          <w:p w14:paraId="413BF3F0" w14:textId="1115B932" w:rsidR="003B7840" w:rsidRPr="00CB52C7" w:rsidRDefault="003B7840" w:rsidP="009C75E8">
            <w:pPr>
              <w:jc w:val="center"/>
              <w:rPr>
                <w:rFonts w:eastAsia="Calibri" w:cs="Arial"/>
                <w:caps/>
                <w:szCs w:val="16"/>
              </w:rPr>
            </w:pPr>
            <w:r w:rsidRPr="00ED172B">
              <w:rPr>
                <w:rFonts w:cs="Arial"/>
                <w:color w:val="000000" w:themeColor="text1"/>
                <w:szCs w:val="16"/>
              </w:rPr>
              <w:t>99.25%</w:t>
            </w:r>
          </w:p>
        </w:tc>
        <w:tc>
          <w:tcPr>
            <w:tcW w:w="714" w:type="pct"/>
            <w:shd w:val="clear" w:color="auto" w:fill="auto"/>
          </w:tcPr>
          <w:p w14:paraId="340A22E4" w14:textId="048D55A7" w:rsidR="003B7840" w:rsidRPr="00CB52C7" w:rsidRDefault="003B7840" w:rsidP="009C75E8">
            <w:pPr>
              <w:jc w:val="center"/>
              <w:rPr>
                <w:rFonts w:eastAsia="Calibri" w:cs="Arial"/>
                <w:caps/>
                <w:szCs w:val="16"/>
              </w:rPr>
            </w:pPr>
            <w:r w:rsidRPr="00ED172B">
              <w:rPr>
                <w:color w:val="000000" w:themeColor="text1"/>
              </w:rPr>
              <w:t>N/A</w:t>
            </w:r>
          </w:p>
        </w:tc>
        <w:tc>
          <w:tcPr>
            <w:tcW w:w="715" w:type="pct"/>
            <w:shd w:val="clear" w:color="auto" w:fill="auto"/>
          </w:tcPr>
          <w:p w14:paraId="03E96377" w14:textId="0127F818" w:rsidR="003B7840" w:rsidRPr="00CB52C7" w:rsidRDefault="003B7840" w:rsidP="009C75E8">
            <w:pPr>
              <w:jc w:val="center"/>
              <w:rPr>
                <w:rFonts w:eastAsia="Calibri" w:cs="Arial"/>
                <w:caps/>
                <w:szCs w:val="16"/>
              </w:rPr>
            </w:pPr>
            <w:r w:rsidRPr="00ED172B">
              <w:rPr>
                <w:color w:val="000000" w:themeColor="text1"/>
              </w:rPr>
              <w:t>N/A</w:t>
            </w:r>
          </w:p>
        </w:tc>
      </w:tr>
    </w:tbl>
    <w:p w14:paraId="19B6B9EB" w14:textId="77777777" w:rsidR="00F15F58" w:rsidRDefault="00F15F58" w:rsidP="00F15F58">
      <w:pPr>
        <w:rPr>
          <w:rFonts w:eastAsia="Calibri" w:cs="Arial"/>
          <w:b/>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B18CFFYPCTFONNTC"/>
      </w:tblPr>
      <w:tblGrid>
        <w:gridCol w:w="8004"/>
        <w:gridCol w:w="2786"/>
      </w:tblGrid>
      <w:tr w:rsidR="00F15F58" w:rsidRPr="00CB52C7" w14:paraId="628F40D4" w14:textId="77777777" w:rsidTr="00C144F3">
        <w:trPr>
          <w:trHeight w:val="720"/>
        </w:trPr>
        <w:tc>
          <w:tcPr>
            <w:tcW w:w="3709" w:type="pct"/>
            <w:shd w:val="clear" w:color="auto" w:fill="auto"/>
            <w:vAlign w:val="center"/>
          </w:tcPr>
          <w:p w14:paraId="12073CEC" w14:textId="77777777" w:rsidR="00F15F58" w:rsidRPr="00CB52C7" w:rsidRDefault="00F15F58">
            <w:pPr>
              <w:jc w:val="center"/>
              <w:rPr>
                <w:rFonts w:eastAsia="Calibri" w:cs="Arial"/>
                <w:caps/>
                <w:szCs w:val="16"/>
              </w:rPr>
            </w:pPr>
            <w:r w:rsidRPr="007D0769">
              <w:rPr>
                <w:rFonts w:eastAsia="Times New Roman" w:cs="Arial"/>
                <w:szCs w:val="16"/>
              </w:rPr>
              <w:t>Percent of findings of noncompliance not corrected or not verified as corrected within one year of identification</w:t>
            </w:r>
          </w:p>
        </w:tc>
        <w:tc>
          <w:tcPr>
            <w:tcW w:w="1291" w:type="pct"/>
            <w:shd w:val="clear" w:color="auto" w:fill="auto"/>
            <w:vAlign w:val="center"/>
          </w:tcPr>
          <w:p w14:paraId="3AB8E753" w14:textId="5F972123" w:rsidR="00F15F58" w:rsidRPr="00CB52C7" w:rsidRDefault="003B7840" w:rsidP="008D766F">
            <w:pPr>
              <w:jc w:val="center"/>
              <w:rPr>
                <w:rFonts w:eastAsia="Calibri" w:cs="Arial"/>
                <w:caps/>
                <w:szCs w:val="16"/>
              </w:rPr>
            </w:pPr>
            <w:r>
              <w:rPr>
                <w:rFonts w:eastAsia="Calibri" w:cs="Arial"/>
                <w:iCs/>
                <w:szCs w:val="16"/>
              </w:rPr>
              <w:t>0.75%</w:t>
            </w:r>
          </w:p>
        </w:tc>
      </w:tr>
    </w:tbl>
    <w:p w14:paraId="01B52DF1" w14:textId="77777777" w:rsidR="00C9712C" w:rsidRDefault="00C9712C" w:rsidP="001C2EC2">
      <w:pPr>
        <w:spacing w:line="276" w:lineRule="auto"/>
        <w:rPr>
          <w:color w:val="000000" w:themeColor="text1"/>
        </w:rPr>
      </w:pPr>
    </w:p>
    <w:p w14:paraId="73087457" w14:textId="77777777" w:rsidR="00F15F58" w:rsidRPr="00C144F3" w:rsidRDefault="00F15F58" w:rsidP="00C144F3">
      <w:pPr>
        <w:keepNext/>
        <w:rPr>
          <w:rFonts w:eastAsia="Calibri" w:cs="Arial"/>
          <w:b/>
          <w:bCs/>
          <w:szCs w:val="16"/>
        </w:rPr>
      </w:pPr>
      <w:r w:rsidRPr="00C144F3">
        <w:rPr>
          <w:rFonts w:eastAsia="Calibri" w:cs="Arial"/>
          <w:b/>
          <w:bCs/>
          <w:szCs w:val="16"/>
        </w:rPr>
        <w:t>Provide additional information about this indicator (optional)</w:t>
      </w:r>
    </w:p>
    <w:p w14:paraId="1CD65736" w14:textId="5FD40EDF" w:rsidR="00F15F58" w:rsidRDefault="00F15F58" w:rsidP="00C144F3">
      <w:pPr>
        <w:spacing w:line="276" w:lineRule="auto"/>
        <w:rPr>
          <w:color w:val="000000" w:themeColor="text1"/>
        </w:rPr>
      </w:pPr>
    </w:p>
    <w:p w14:paraId="14E72C3D" w14:textId="77777777" w:rsidR="001C2EC2" w:rsidRDefault="001C2EC2" w:rsidP="001C2EC2">
      <w:pPr>
        <w:textAlignment w:val="baseline"/>
        <w:rPr>
          <w:rFonts w:eastAsia="Times New Roman" w:cs="Arial"/>
          <w:b/>
          <w:bCs/>
          <w:szCs w:val="16"/>
        </w:rPr>
      </w:pPr>
    </w:p>
    <w:p w14:paraId="6153E988" w14:textId="6FAFBE02" w:rsidR="00F15F58" w:rsidRPr="00CB52C7" w:rsidRDefault="00F15F58" w:rsidP="00C144F3">
      <w:pPr>
        <w:textAlignment w:val="baseline"/>
        <w:rPr>
          <w:rFonts w:eastAsia="Times New Roman" w:cs="Arial"/>
          <w:b/>
          <w:bCs/>
          <w:szCs w:val="16"/>
        </w:rPr>
      </w:pPr>
      <w:r w:rsidRPr="00CB52C7">
        <w:rPr>
          <w:rFonts w:eastAsia="Times New Roman" w:cs="Arial"/>
          <w:b/>
          <w:bCs/>
          <w:szCs w:val="16"/>
        </w:rPr>
        <w:t>Summary of Findings of Noncompliance identified in FFY 2022 Corrected in FFY 2023 (corrected within one year from identification of the noncompliance):</w:t>
      </w:r>
    </w:p>
    <w:tbl>
      <w:tblPr>
        <w:tblW w:w="1077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FINDINGSOFNONCOMPLIANCECORRECTED"/>
      </w:tblPr>
      <w:tblGrid>
        <w:gridCol w:w="9642"/>
        <w:gridCol w:w="1130"/>
      </w:tblGrid>
      <w:tr w:rsidR="00F15F58" w:rsidRPr="00CB52C7" w14:paraId="13896F43" w14:textId="77777777" w:rsidTr="00C144F3">
        <w:trPr>
          <w:trHeight w:val="360"/>
        </w:trPr>
        <w:tc>
          <w:tcPr>
            <w:tcW w:w="9642" w:type="dxa"/>
            <w:shd w:val="clear" w:color="auto" w:fill="auto"/>
            <w:tcMar>
              <w:top w:w="14" w:type="dxa"/>
              <w:left w:w="58" w:type="dxa"/>
              <w:bottom w:w="14" w:type="dxa"/>
              <w:right w:w="58" w:type="dxa"/>
            </w:tcMar>
            <w:hideMark/>
          </w:tcPr>
          <w:p w14:paraId="6B3303FC" w14:textId="40499B57"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1. Number of findings of noncompliance the State identified during FFY 2022 (the period from July 1, 2022 through June 30, 2023)</w:t>
            </w:r>
          </w:p>
        </w:tc>
        <w:tc>
          <w:tcPr>
            <w:tcW w:w="1130" w:type="dxa"/>
            <w:shd w:val="clear" w:color="auto" w:fill="auto"/>
            <w:tcMar>
              <w:top w:w="14" w:type="dxa"/>
              <w:left w:w="58" w:type="dxa"/>
              <w:bottom w:w="14" w:type="dxa"/>
              <w:right w:w="58" w:type="dxa"/>
            </w:tcMar>
            <w:vAlign w:val="center"/>
          </w:tcPr>
          <w:p w14:paraId="1F2CC4DF" w14:textId="3840CACA"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669</w:t>
            </w:r>
          </w:p>
        </w:tc>
      </w:tr>
      <w:tr w:rsidR="00F15F58" w:rsidRPr="00CB52C7" w14:paraId="4BCCCDE7" w14:textId="77777777" w:rsidTr="00C144F3">
        <w:trPr>
          <w:trHeight w:val="360"/>
        </w:trPr>
        <w:tc>
          <w:tcPr>
            <w:tcW w:w="9642" w:type="dxa"/>
            <w:shd w:val="clear" w:color="auto" w:fill="auto"/>
            <w:tcMar>
              <w:top w:w="14" w:type="dxa"/>
              <w:left w:w="58" w:type="dxa"/>
              <w:bottom w:w="14" w:type="dxa"/>
              <w:right w:w="58" w:type="dxa"/>
            </w:tcMar>
            <w:hideMark/>
          </w:tcPr>
          <w:p w14:paraId="1A7E256C" w14:textId="6CF58C2E"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2. Number of findings the State verified as timely corrected (corrected within one year from the date of written notification to the LEA of the finding)</w:t>
            </w:r>
          </w:p>
        </w:tc>
        <w:tc>
          <w:tcPr>
            <w:tcW w:w="1130" w:type="dxa"/>
            <w:shd w:val="clear" w:color="auto" w:fill="auto"/>
            <w:tcMar>
              <w:top w:w="14" w:type="dxa"/>
              <w:left w:w="58" w:type="dxa"/>
              <w:bottom w:w="14" w:type="dxa"/>
              <w:right w:w="58" w:type="dxa"/>
            </w:tcMar>
            <w:vAlign w:val="center"/>
          </w:tcPr>
          <w:p w14:paraId="746E7008" w14:textId="1CBFC611"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664</w:t>
            </w:r>
          </w:p>
        </w:tc>
      </w:tr>
      <w:tr w:rsidR="00F15F58" w:rsidRPr="00CB52C7" w14:paraId="3D52E1C4" w14:textId="77777777" w:rsidTr="00C144F3">
        <w:trPr>
          <w:trHeight w:val="360"/>
        </w:trPr>
        <w:tc>
          <w:tcPr>
            <w:tcW w:w="9642" w:type="dxa"/>
            <w:shd w:val="clear" w:color="auto" w:fill="auto"/>
            <w:tcMar>
              <w:top w:w="14" w:type="dxa"/>
              <w:left w:w="58" w:type="dxa"/>
              <w:bottom w:w="14" w:type="dxa"/>
              <w:right w:w="58" w:type="dxa"/>
            </w:tcMar>
            <w:hideMark/>
          </w:tcPr>
          <w:p w14:paraId="0B03FF72" w14:textId="06F393D1" w:rsidR="00F15F58" w:rsidRPr="00CB52C7" w:rsidRDefault="00F15F58" w:rsidP="00F42D1A">
            <w:pPr>
              <w:spacing w:before="0" w:after="0"/>
              <w:textAlignment w:val="baseline"/>
              <w:rPr>
                <w:rFonts w:eastAsia="Times New Roman" w:cs="Arial"/>
                <w:szCs w:val="16"/>
              </w:rPr>
            </w:pPr>
            <w:r w:rsidRPr="00CB52C7">
              <w:rPr>
                <w:rFonts w:eastAsia="Times New Roman" w:cs="Arial"/>
                <w:szCs w:val="16"/>
              </w:rPr>
              <w:t xml:space="preserve">3. Number of findings </w:t>
            </w:r>
            <w:r w:rsidRPr="00CB52C7">
              <w:rPr>
                <w:rFonts w:eastAsia="Times New Roman" w:cs="Arial"/>
                <w:szCs w:val="16"/>
                <w:u w:val="single"/>
              </w:rPr>
              <w:t>not</w:t>
            </w:r>
            <w:r w:rsidRPr="00CB52C7">
              <w:rPr>
                <w:rFonts w:eastAsia="Times New Roman" w:cs="Arial"/>
                <w:szCs w:val="16"/>
              </w:rPr>
              <w:t xml:space="preserve"> verified as corrected within one year</w:t>
            </w:r>
          </w:p>
        </w:tc>
        <w:tc>
          <w:tcPr>
            <w:tcW w:w="1130" w:type="dxa"/>
            <w:shd w:val="clear" w:color="auto" w:fill="auto"/>
            <w:tcMar>
              <w:top w:w="14" w:type="dxa"/>
              <w:left w:w="58" w:type="dxa"/>
              <w:bottom w:w="14" w:type="dxa"/>
              <w:right w:w="58" w:type="dxa"/>
            </w:tcMar>
            <w:vAlign w:val="center"/>
          </w:tcPr>
          <w:p w14:paraId="336B7ACD" w14:textId="1AE3ACAC" w:rsidR="00F15F58" w:rsidRPr="00CB52C7" w:rsidRDefault="003B7840" w:rsidP="00F42D1A">
            <w:pPr>
              <w:spacing w:before="0" w:after="0"/>
              <w:jc w:val="center"/>
              <w:textAlignment w:val="baseline"/>
              <w:rPr>
                <w:rFonts w:eastAsia="Times New Roman" w:cs="Arial"/>
                <w:szCs w:val="16"/>
              </w:rPr>
            </w:pPr>
            <w:r>
              <w:rPr>
                <w:rFonts w:eastAsia="Times New Roman" w:cs="Arial"/>
                <w:szCs w:val="16"/>
              </w:rPr>
              <w:t>5</w:t>
            </w:r>
          </w:p>
        </w:tc>
      </w:tr>
    </w:tbl>
    <w:p w14:paraId="2FABE722" w14:textId="4FE86EEB" w:rsidR="00F15F58" w:rsidRPr="00CB52C7" w:rsidRDefault="00F15F58" w:rsidP="00C144F3">
      <w:pPr>
        <w:jc w:val="both"/>
        <w:textAlignment w:val="baseline"/>
        <w:rPr>
          <w:rFonts w:eastAsia="Times New Roman" w:cs="Arial"/>
          <w:szCs w:val="16"/>
        </w:rPr>
      </w:pPr>
    </w:p>
    <w:p w14:paraId="70CECF67" w14:textId="677F9E71" w:rsidR="00F15F58" w:rsidRPr="00CB52C7" w:rsidRDefault="00F15F58" w:rsidP="00C144F3">
      <w:pPr>
        <w:textAlignment w:val="baseline"/>
        <w:rPr>
          <w:rFonts w:eastAsia="Times New Roman" w:cs="Arial"/>
          <w:b/>
          <w:bCs/>
          <w:szCs w:val="16"/>
        </w:rPr>
      </w:pPr>
      <w:r w:rsidRPr="00CB52C7">
        <w:rPr>
          <w:rFonts w:eastAsia="Times New Roman" w:cs="Arial"/>
          <w:b/>
          <w:bCs/>
          <w:szCs w:val="16"/>
        </w:rPr>
        <w:t>Subsequent Correction: Summary of All Outstanding Findings of Noncompliance Identified in FFY 2022 Not Timely Corrected in FFY 2023 (corrected more than one year from identification of the noncompliance):</w:t>
      </w:r>
    </w:p>
    <w:tbl>
      <w:tblPr>
        <w:tblW w:w="107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B18SUBSEQUENTCORRECTION"/>
      </w:tblPr>
      <w:tblGrid>
        <w:gridCol w:w="6726"/>
        <w:gridCol w:w="4047"/>
      </w:tblGrid>
      <w:tr w:rsidR="00F15F58" w:rsidRPr="00CB52C7" w14:paraId="6394EFFD" w14:textId="77777777" w:rsidTr="00C144F3">
        <w:trPr>
          <w:trHeight w:val="348"/>
        </w:trPr>
        <w:tc>
          <w:tcPr>
            <w:tcW w:w="6726" w:type="dxa"/>
            <w:shd w:val="clear" w:color="auto" w:fill="auto"/>
            <w:tcMar>
              <w:top w:w="14" w:type="dxa"/>
              <w:left w:w="58" w:type="dxa"/>
              <w:bottom w:w="14" w:type="dxa"/>
              <w:right w:w="58" w:type="dxa"/>
            </w:tcMar>
            <w:hideMark/>
          </w:tcPr>
          <w:p w14:paraId="48F78A45" w14:textId="31014462" w:rsidR="00F15F58" w:rsidRPr="00CB52C7" w:rsidRDefault="00F15F58">
            <w:pPr>
              <w:spacing w:after="0"/>
              <w:textAlignment w:val="baseline"/>
              <w:rPr>
                <w:rFonts w:eastAsia="Times New Roman" w:cs="Arial"/>
                <w:szCs w:val="16"/>
              </w:rPr>
            </w:pPr>
            <w:r w:rsidRPr="00CB52C7">
              <w:rPr>
                <w:rFonts w:eastAsia="Times New Roman" w:cs="Arial"/>
                <w:szCs w:val="16"/>
              </w:rPr>
              <w:t>4. Number of findings of noncompliance not timely corrected</w:t>
            </w:r>
          </w:p>
        </w:tc>
        <w:tc>
          <w:tcPr>
            <w:tcW w:w="4047" w:type="dxa"/>
            <w:shd w:val="clear" w:color="auto" w:fill="auto"/>
            <w:tcMar>
              <w:top w:w="14" w:type="dxa"/>
              <w:left w:w="58" w:type="dxa"/>
              <w:bottom w:w="14" w:type="dxa"/>
              <w:right w:w="58" w:type="dxa"/>
            </w:tcMar>
            <w:vAlign w:val="center"/>
          </w:tcPr>
          <w:p w14:paraId="5B80499D" w14:textId="4D5B3033" w:rsidR="00F15F58" w:rsidRPr="00CB52C7" w:rsidRDefault="003B7840">
            <w:pPr>
              <w:spacing w:after="0"/>
              <w:jc w:val="center"/>
              <w:textAlignment w:val="baseline"/>
              <w:rPr>
                <w:rFonts w:eastAsia="Times New Roman" w:cs="Arial"/>
                <w:szCs w:val="16"/>
              </w:rPr>
            </w:pPr>
            <w:r>
              <w:rPr>
                <w:rFonts w:eastAsia="Times New Roman" w:cs="Arial"/>
                <w:szCs w:val="16"/>
              </w:rPr>
              <w:t>5</w:t>
            </w:r>
          </w:p>
        </w:tc>
      </w:tr>
      <w:tr w:rsidR="00F15F58" w:rsidRPr="00CB52C7" w14:paraId="508B0459" w14:textId="77777777" w:rsidTr="00F42D1A">
        <w:trPr>
          <w:trHeight w:val="348"/>
        </w:trPr>
        <w:tc>
          <w:tcPr>
            <w:tcW w:w="6726" w:type="dxa"/>
            <w:shd w:val="clear" w:color="auto" w:fill="auto"/>
            <w:tcMar>
              <w:top w:w="14" w:type="dxa"/>
              <w:left w:w="58" w:type="dxa"/>
              <w:bottom w:w="14" w:type="dxa"/>
              <w:right w:w="58" w:type="dxa"/>
            </w:tcMar>
            <w:hideMark/>
          </w:tcPr>
          <w:p w14:paraId="63C7A296" w14:textId="624C6812" w:rsidR="00F15F58" w:rsidRPr="00CB52C7" w:rsidRDefault="0092282C">
            <w:pPr>
              <w:spacing w:after="0"/>
              <w:textAlignment w:val="baseline"/>
              <w:rPr>
                <w:rFonts w:eastAsia="Times New Roman" w:cs="Arial"/>
                <w:szCs w:val="16"/>
              </w:rPr>
            </w:pPr>
            <w:r w:rsidRPr="007D0769">
              <w:rPr>
                <w:rFonts w:eastAsia="Times New Roman" w:cs="Arial"/>
                <w:szCs w:val="16"/>
              </w:rPr>
              <w:t>5. Number of findings in Col. A the State has verified as corrected beyond the one-year timeline for Indicator 4B, 9, 10, 11, 12, 13 (“subsequent correction”)</w:t>
            </w:r>
          </w:p>
        </w:tc>
        <w:tc>
          <w:tcPr>
            <w:tcW w:w="4047" w:type="dxa"/>
            <w:shd w:val="clear" w:color="auto" w:fill="auto"/>
            <w:tcMar>
              <w:top w:w="14" w:type="dxa"/>
              <w:left w:w="58" w:type="dxa"/>
              <w:bottom w:w="14" w:type="dxa"/>
              <w:right w:w="58" w:type="dxa"/>
            </w:tcMar>
            <w:vAlign w:val="center"/>
          </w:tcPr>
          <w:p w14:paraId="7CB540FC" w14:textId="1FA76A2F" w:rsidR="00F15F58" w:rsidRPr="00CB52C7" w:rsidRDefault="003B7840">
            <w:pPr>
              <w:spacing w:after="0"/>
              <w:jc w:val="center"/>
              <w:textAlignment w:val="baseline"/>
              <w:rPr>
                <w:rFonts w:eastAsia="Times New Roman" w:cs="Arial"/>
                <w:szCs w:val="16"/>
              </w:rPr>
            </w:pPr>
            <w:r>
              <w:rPr>
                <w:rFonts w:eastAsia="Times New Roman" w:cs="Arial"/>
                <w:szCs w:val="16"/>
              </w:rPr>
              <w:t>5</w:t>
            </w:r>
          </w:p>
        </w:tc>
      </w:tr>
      <w:tr w:rsidR="00F70490" w:rsidRPr="00CB52C7" w14:paraId="4B873665" w14:textId="77777777" w:rsidTr="00C144F3">
        <w:trPr>
          <w:trHeight w:val="348"/>
        </w:trPr>
        <w:tc>
          <w:tcPr>
            <w:tcW w:w="6726" w:type="dxa"/>
            <w:shd w:val="clear" w:color="auto" w:fill="auto"/>
            <w:tcMar>
              <w:top w:w="14" w:type="dxa"/>
              <w:left w:w="58" w:type="dxa"/>
              <w:bottom w:w="14" w:type="dxa"/>
              <w:right w:w="58" w:type="dxa"/>
            </w:tcMar>
          </w:tcPr>
          <w:p w14:paraId="6BC48A38" w14:textId="24608737" w:rsidR="00F70490" w:rsidRPr="00CB52C7" w:rsidRDefault="00F70490" w:rsidP="00F70490">
            <w:pPr>
              <w:spacing w:after="0"/>
              <w:textAlignment w:val="baseline"/>
              <w:rPr>
                <w:rFonts w:eastAsia="Times New Roman" w:cs="Arial"/>
                <w:szCs w:val="16"/>
              </w:rPr>
            </w:pPr>
            <w:r>
              <w:rPr>
                <w:rFonts w:eastAsia="Times New Roman" w:cs="Arial"/>
                <w:szCs w:val="16"/>
              </w:rPr>
              <w:t>6a. Number of additional written findings of noncompliance (Col. B) the state has verified as corrected beyond the one-year timeline (“subsequent correction”) - Indicator 4B</w:t>
            </w:r>
          </w:p>
        </w:tc>
        <w:tc>
          <w:tcPr>
            <w:tcW w:w="4047" w:type="dxa"/>
            <w:shd w:val="clear" w:color="auto" w:fill="auto"/>
            <w:tcMar>
              <w:top w:w="14" w:type="dxa"/>
              <w:left w:w="58" w:type="dxa"/>
              <w:bottom w:w="14" w:type="dxa"/>
              <w:right w:w="58" w:type="dxa"/>
            </w:tcMar>
            <w:vAlign w:val="center"/>
          </w:tcPr>
          <w:p w14:paraId="6DF783C6" w14:textId="2A34654C" w:rsidR="00F70490" w:rsidRDefault="00F70490" w:rsidP="00F70490">
            <w:pPr>
              <w:spacing w:after="0"/>
              <w:jc w:val="center"/>
              <w:textAlignment w:val="baseline"/>
              <w:rPr>
                <w:rFonts w:eastAsia="Times New Roman" w:cs="Arial"/>
                <w:szCs w:val="16"/>
              </w:rPr>
            </w:pPr>
            <w:r w:rsidRPr="00F70490">
              <w:rPr>
                <w:rFonts w:eastAsia="Times New Roman" w:cs="Arial"/>
                <w:szCs w:val="16"/>
              </w:rPr>
              <w:t>0</w:t>
            </w:r>
          </w:p>
        </w:tc>
      </w:tr>
      <w:tr w:rsidR="00F70490" w:rsidRPr="00CB52C7" w14:paraId="26E342B0" w14:textId="77777777" w:rsidTr="00C144F3">
        <w:trPr>
          <w:trHeight w:val="348"/>
        </w:trPr>
        <w:tc>
          <w:tcPr>
            <w:tcW w:w="6726" w:type="dxa"/>
            <w:shd w:val="clear" w:color="auto" w:fill="auto"/>
            <w:tcMar>
              <w:top w:w="14" w:type="dxa"/>
              <w:left w:w="58" w:type="dxa"/>
              <w:bottom w:w="14" w:type="dxa"/>
              <w:right w:w="58" w:type="dxa"/>
            </w:tcMar>
          </w:tcPr>
          <w:p w14:paraId="1D3E9716" w14:textId="263005E6" w:rsidR="00F70490" w:rsidRPr="00CB52C7" w:rsidRDefault="00F70490" w:rsidP="00F70490">
            <w:pPr>
              <w:spacing w:after="0"/>
              <w:textAlignment w:val="baseline"/>
              <w:rPr>
                <w:rFonts w:eastAsia="Times New Roman" w:cs="Arial"/>
                <w:szCs w:val="16"/>
              </w:rPr>
            </w:pPr>
            <w:r w:rsidRPr="003F2A09">
              <w:rPr>
                <w:rFonts w:eastAsia="Times New Roman" w:cs="Arial"/>
                <w:szCs w:val="16"/>
              </w:rPr>
              <w:lastRenderedPageBreak/>
              <w:t>6b. Number of additional written findings of noncompliance (Col. B) the state has verified as corrected beyond the one-year timeline (“subsequent correction”) - Indicator 9</w:t>
            </w:r>
          </w:p>
        </w:tc>
        <w:tc>
          <w:tcPr>
            <w:tcW w:w="4047" w:type="dxa"/>
            <w:shd w:val="clear" w:color="auto" w:fill="auto"/>
            <w:tcMar>
              <w:top w:w="14" w:type="dxa"/>
              <w:left w:w="58" w:type="dxa"/>
              <w:bottom w:w="14" w:type="dxa"/>
              <w:right w:w="58" w:type="dxa"/>
            </w:tcMar>
            <w:vAlign w:val="center"/>
          </w:tcPr>
          <w:p w14:paraId="0536EB08" w14:textId="7875F8B6"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77DCDF49" w14:textId="77777777" w:rsidTr="00C144F3">
        <w:trPr>
          <w:trHeight w:val="348"/>
        </w:trPr>
        <w:tc>
          <w:tcPr>
            <w:tcW w:w="6726" w:type="dxa"/>
            <w:shd w:val="clear" w:color="auto" w:fill="auto"/>
            <w:tcMar>
              <w:top w:w="14" w:type="dxa"/>
              <w:left w:w="58" w:type="dxa"/>
              <w:bottom w:w="14" w:type="dxa"/>
              <w:right w:w="58" w:type="dxa"/>
            </w:tcMar>
          </w:tcPr>
          <w:p w14:paraId="778216ED" w14:textId="1B5F15E2" w:rsidR="00F70490" w:rsidRPr="00CB52C7" w:rsidRDefault="00F70490" w:rsidP="00F70490">
            <w:pPr>
              <w:spacing w:after="0"/>
              <w:textAlignment w:val="baseline"/>
              <w:rPr>
                <w:rFonts w:eastAsia="Times New Roman" w:cs="Arial"/>
                <w:szCs w:val="16"/>
              </w:rPr>
            </w:pPr>
            <w:r w:rsidRPr="003F2A09">
              <w:rPr>
                <w:rFonts w:eastAsia="Times New Roman" w:cs="Arial"/>
                <w:szCs w:val="16"/>
              </w:rPr>
              <w:t>6c. Number of additional written findings of noncompliance (Col. B) the state has verified as corrected beyond the one-year timeline (“subsequent correction”) - Indicator 10</w:t>
            </w:r>
          </w:p>
        </w:tc>
        <w:tc>
          <w:tcPr>
            <w:tcW w:w="4047" w:type="dxa"/>
            <w:shd w:val="clear" w:color="auto" w:fill="auto"/>
            <w:tcMar>
              <w:top w:w="14" w:type="dxa"/>
              <w:left w:w="58" w:type="dxa"/>
              <w:bottom w:w="14" w:type="dxa"/>
              <w:right w:w="58" w:type="dxa"/>
            </w:tcMar>
            <w:vAlign w:val="center"/>
          </w:tcPr>
          <w:p w14:paraId="54B67CC1" w14:textId="71AD8549"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640371C0" w14:textId="77777777" w:rsidTr="00C144F3">
        <w:trPr>
          <w:trHeight w:val="348"/>
        </w:trPr>
        <w:tc>
          <w:tcPr>
            <w:tcW w:w="6726" w:type="dxa"/>
            <w:shd w:val="clear" w:color="auto" w:fill="auto"/>
            <w:tcMar>
              <w:top w:w="14" w:type="dxa"/>
              <w:left w:w="58" w:type="dxa"/>
              <w:bottom w:w="14" w:type="dxa"/>
              <w:right w:w="58" w:type="dxa"/>
            </w:tcMar>
          </w:tcPr>
          <w:p w14:paraId="5E58DD6E" w14:textId="29D743F6" w:rsidR="00F70490" w:rsidRPr="00CB52C7" w:rsidRDefault="00F70490" w:rsidP="00F70490">
            <w:pPr>
              <w:spacing w:after="0"/>
              <w:textAlignment w:val="baseline"/>
              <w:rPr>
                <w:rFonts w:eastAsia="Times New Roman" w:cs="Arial"/>
                <w:szCs w:val="16"/>
              </w:rPr>
            </w:pPr>
            <w:r w:rsidRPr="003F2A09">
              <w:rPr>
                <w:rFonts w:eastAsia="Times New Roman" w:cs="Arial"/>
                <w:szCs w:val="16"/>
              </w:rPr>
              <w:t>6d. Number of additional written findings of noncompliance (Col. B) the state has verified as corrected beyond the one-year timeline (“subsequent correction”) - Indicator 11</w:t>
            </w:r>
          </w:p>
        </w:tc>
        <w:tc>
          <w:tcPr>
            <w:tcW w:w="4047" w:type="dxa"/>
            <w:shd w:val="clear" w:color="auto" w:fill="auto"/>
            <w:tcMar>
              <w:top w:w="14" w:type="dxa"/>
              <w:left w:w="58" w:type="dxa"/>
              <w:bottom w:w="14" w:type="dxa"/>
              <w:right w:w="58" w:type="dxa"/>
            </w:tcMar>
            <w:vAlign w:val="center"/>
          </w:tcPr>
          <w:p w14:paraId="1233B069" w14:textId="44E2A8B4"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4F2322D9" w14:textId="77777777" w:rsidTr="00C144F3">
        <w:trPr>
          <w:trHeight w:val="348"/>
        </w:trPr>
        <w:tc>
          <w:tcPr>
            <w:tcW w:w="6726" w:type="dxa"/>
            <w:shd w:val="clear" w:color="auto" w:fill="auto"/>
            <w:tcMar>
              <w:top w:w="14" w:type="dxa"/>
              <w:left w:w="58" w:type="dxa"/>
              <w:bottom w:w="14" w:type="dxa"/>
              <w:right w:w="58" w:type="dxa"/>
            </w:tcMar>
          </w:tcPr>
          <w:p w14:paraId="732FC922" w14:textId="42570B6F" w:rsidR="00F70490" w:rsidRPr="00CB52C7" w:rsidRDefault="00F70490" w:rsidP="00F70490">
            <w:pPr>
              <w:spacing w:after="0"/>
              <w:textAlignment w:val="baseline"/>
              <w:rPr>
                <w:rFonts w:eastAsia="Times New Roman" w:cs="Arial"/>
                <w:szCs w:val="16"/>
              </w:rPr>
            </w:pPr>
            <w:r w:rsidRPr="003F2A09">
              <w:rPr>
                <w:rFonts w:eastAsia="Times New Roman" w:cs="Arial"/>
                <w:szCs w:val="16"/>
              </w:rPr>
              <w:t>6e. Number of additional written findings of noncompliance (Col. B) the state has verified as corrected beyond the one-year timeline (“subsequent correction”) - Indicator 12</w:t>
            </w:r>
          </w:p>
        </w:tc>
        <w:tc>
          <w:tcPr>
            <w:tcW w:w="4047" w:type="dxa"/>
            <w:shd w:val="clear" w:color="auto" w:fill="auto"/>
            <w:tcMar>
              <w:top w:w="14" w:type="dxa"/>
              <w:left w:w="58" w:type="dxa"/>
              <w:bottom w:w="14" w:type="dxa"/>
              <w:right w:w="58" w:type="dxa"/>
            </w:tcMar>
            <w:vAlign w:val="center"/>
          </w:tcPr>
          <w:p w14:paraId="0B441D42" w14:textId="59B5EDBE"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4FD5235F" w14:textId="77777777" w:rsidTr="00C144F3">
        <w:trPr>
          <w:trHeight w:val="348"/>
        </w:trPr>
        <w:tc>
          <w:tcPr>
            <w:tcW w:w="6726" w:type="dxa"/>
            <w:shd w:val="clear" w:color="auto" w:fill="auto"/>
            <w:tcMar>
              <w:top w:w="14" w:type="dxa"/>
              <w:left w:w="58" w:type="dxa"/>
              <w:bottom w:w="14" w:type="dxa"/>
              <w:right w:w="58" w:type="dxa"/>
            </w:tcMar>
          </w:tcPr>
          <w:p w14:paraId="31DB9988" w14:textId="205E7DB7" w:rsidR="00F70490" w:rsidRPr="00CB52C7" w:rsidRDefault="00F70490" w:rsidP="00F70490">
            <w:pPr>
              <w:spacing w:after="0"/>
              <w:textAlignment w:val="baseline"/>
              <w:rPr>
                <w:rFonts w:eastAsia="Times New Roman" w:cs="Arial"/>
                <w:szCs w:val="16"/>
              </w:rPr>
            </w:pPr>
            <w:r w:rsidRPr="003F2A09">
              <w:rPr>
                <w:rFonts w:eastAsia="Times New Roman" w:cs="Arial"/>
                <w:szCs w:val="16"/>
              </w:rPr>
              <w:t>6f. Number of additional written findings of noncompliance (Col. B) the state has verified as corrected beyond the one-year timeline (“subsequent correction”) - Indicator 13</w:t>
            </w:r>
          </w:p>
        </w:tc>
        <w:tc>
          <w:tcPr>
            <w:tcW w:w="4047" w:type="dxa"/>
            <w:shd w:val="clear" w:color="auto" w:fill="auto"/>
            <w:tcMar>
              <w:top w:w="14" w:type="dxa"/>
              <w:left w:w="58" w:type="dxa"/>
              <w:bottom w:w="14" w:type="dxa"/>
              <w:right w:w="58" w:type="dxa"/>
            </w:tcMar>
            <w:vAlign w:val="center"/>
          </w:tcPr>
          <w:p w14:paraId="509DC681" w14:textId="06303815"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70490" w:rsidRPr="00CB52C7" w14:paraId="7987B355" w14:textId="77777777" w:rsidTr="00C144F3">
        <w:trPr>
          <w:trHeight w:val="348"/>
        </w:trPr>
        <w:tc>
          <w:tcPr>
            <w:tcW w:w="6726" w:type="dxa"/>
            <w:shd w:val="clear" w:color="auto" w:fill="auto"/>
            <w:tcMar>
              <w:top w:w="14" w:type="dxa"/>
              <w:left w:w="58" w:type="dxa"/>
              <w:bottom w:w="14" w:type="dxa"/>
              <w:right w:w="58" w:type="dxa"/>
            </w:tcMar>
          </w:tcPr>
          <w:p w14:paraId="4EC83782" w14:textId="64098788" w:rsidR="00F70490" w:rsidRPr="00CB52C7" w:rsidRDefault="00F70490" w:rsidP="00F70490">
            <w:pPr>
              <w:spacing w:after="0"/>
              <w:textAlignment w:val="baseline"/>
              <w:rPr>
                <w:rFonts w:eastAsia="Times New Roman" w:cs="Arial"/>
                <w:szCs w:val="16"/>
              </w:rPr>
            </w:pPr>
            <w:r w:rsidRPr="003F2A09">
              <w:rPr>
                <w:rFonts w:eastAsia="Times New Roman" w:cs="Arial"/>
                <w:szCs w:val="16"/>
              </w:rPr>
              <w:t>6g. (optional) Number of written findings of noncompliance (Col. B) the state has verified as corrected beyond the one-year timeline (“subsequent correction”) - All other findings</w:t>
            </w:r>
          </w:p>
        </w:tc>
        <w:tc>
          <w:tcPr>
            <w:tcW w:w="4047" w:type="dxa"/>
            <w:shd w:val="clear" w:color="auto" w:fill="auto"/>
            <w:tcMar>
              <w:top w:w="14" w:type="dxa"/>
              <w:left w:w="58" w:type="dxa"/>
              <w:bottom w:w="14" w:type="dxa"/>
              <w:right w:w="58" w:type="dxa"/>
            </w:tcMar>
            <w:vAlign w:val="center"/>
          </w:tcPr>
          <w:p w14:paraId="72065F6C" w14:textId="0977B417" w:rsidR="00F70490" w:rsidRDefault="00F70490" w:rsidP="00F70490">
            <w:pPr>
              <w:spacing w:after="0"/>
              <w:jc w:val="center"/>
              <w:textAlignment w:val="baseline"/>
              <w:rPr>
                <w:rFonts w:eastAsia="Times New Roman" w:cs="Arial"/>
                <w:szCs w:val="16"/>
              </w:rPr>
            </w:pPr>
            <w:r w:rsidRPr="00AE712C">
              <w:rPr>
                <w:rFonts w:eastAsia="Times New Roman" w:cs="Arial"/>
                <w:szCs w:val="16"/>
              </w:rPr>
              <w:t>0</w:t>
            </w:r>
          </w:p>
        </w:tc>
      </w:tr>
      <w:tr w:rsidR="00F15F58" w:rsidRPr="00CB52C7" w14:paraId="23BB39DE" w14:textId="77777777" w:rsidTr="00C144F3">
        <w:trPr>
          <w:trHeight w:val="348"/>
        </w:trPr>
        <w:tc>
          <w:tcPr>
            <w:tcW w:w="6726" w:type="dxa"/>
            <w:shd w:val="clear" w:color="auto" w:fill="auto"/>
            <w:tcMar>
              <w:top w:w="14" w:type="dxa"/>
              <w:left w:w="58" w:type="dxa"/>
              <w:bottom w:w="14" w:type="dxa"/>
              <w:right w:w="58" w:type="dxa"/>
            </w:tcMar>
            <w:hideMark/>
          </w:tcPr>
          <w:p w14:paraId="0032AD77" w14:textId="4C6254EC" w:rsidR="00F15F58" w:rsidRPr="00CB52C7" w:rsidRDefault="0092282C">
            <w:pPr>
              <w:spacing w:after="0"/>
              <w:textAlignment w:val="baseline"/>
              <w:rPr>
                <w:rFonts w:eastAsia="Times New Roman" w:cs="Arial"/>
                <w:szCs w:val="16"/>
              </w:rPr>
            </w:pPr>
            <w:r>
              <w:rPr>
                <w:rFonts w:eastAsia="Times New Roman" w:cs="Arial"/>
                <w:szCs w:val="16"/>
              </w:rPr>
              <w:t xml:space="preserve">7. Number of findings </w:t>
            </w:r>
            <w:r w:rsidR="00F15F58" w:rsidRPr="00CB52C7">
              <w:rPr>
                <w:rFonts w:eastAsia="Times New Roman" w:cs="Arial"/>
                <w:szCs w:val="16"/>
                <w:u w:val="single"/>
              </w:rPr>
              <w:t>not</w:t>
            </w:r>
            <w:r w:rsidR="00F15F58" w:rsidRPr="00CB52C7">
              <w:rPr>
                <w:rFonts w:eastAsia="Times New Roman" w:cs="Arial"/>
                <w:szCs w:val="16"/>
              </w:rPr>
              <w:t xml:space="preserve"> yet verified as corrected</w:t>
            </w:r>
          </w:p>
        </w:tc>
        <w:tc>
          <w:tcPr>
            <w:tcW w:w="4047" w:type="dxa"/>
            <w:shd w:val="clear" w:color="auto" w:fill="auto"/>
            <w:tcMar>
              <w:top w:w="14" w:type="dxa"/>
              <w:left w:w="58" w:type="dxa"/>
              <w:bottom w:w="14" w:type="dxa"/>
              <w:right w:w="58" w:type="dxa"/>
            </w:tcMar>
            <w:vAlign w:val="center"/>
          </w:tcPr>
          <w:p w14:paraId="33356D9F" w14:textId="7114B2D0" w:rsidR="00F15F58" w:rsidRPr="00CB52C7" w:rsidRDefault="003B7840">
            <w:pPr>
              <w:spacing w:after="0"/>
              <w:jc w:val="center"/>
              <w:textAlignment w:val="baseline"/>
              <w:rPr>
                <w:rFonts w:eastAsia="Times New Roman" w:cs="Arial"/>
                <w:szCs w:val="16"/>
              </w:rPr>
            </w:pPr>
            <w:r>
              <w:rPr>
                <w:rFonts w:eastAsia="Times New Roman" w:cs="Arial"/>
                <w:szCs w:val="16"/>
              </w:rPr>
              <w:t>0</w:t>
            </w:r>
          </w:p>
        </w:tc>
      </w:tr>
    </w:tbl>
    <w:p w14:paraId="6F454F73" w14:textId="77777777" w:rsidR="00C9712C" w:rsidRDefault="00C9712C" w:rsidP="001C2EC2">
      <w:pPr>
        <w:textAlignment w:val="baseline"/>
        <w:rPr>
          <w:rFonts w:eastAsia="Times New Roman" w:cs="Arial"/>
          <w:szCs w:val="16"/>
        </w:rPr>
      </w:pPr>
    </w:p>
    <w:p w14:paraId="1D4A438C" w14:textId="25C165FE" w:rsidR="00F15F58" w:rsidRPr="00CB52C7" w:rsidRDefault="00F15F58" w:rsidP="00C144F3">
      <w:pPr>
        <w:textAlignment w:val="baseline"/>
        <w:rPr>
          <w:rFonts w:eastAsia="Times New Roman" w:cs="Arial"/>
          <w:szCs w:val="16"/>
        </w:rPr>
      </w:pPr>
      <w:r w:rsidRPr="00CB52C7">
        <w:rPr>
          <w:rFonts w:eastAsia="Times New Roman" w:cs="Arial"/>
          <w:b/>
          <w:bCs/>
          <w:szCs w:val="16"/>
        </w:rPr>
        <w:t>Subsequent correction:</w:t>
      </w:r>
      <w:r w:rsidRPr="00CB52C7">
        <w:rPr>
          <w:rFonts w:eastAsia="Times New Roman" w:cs="Arial"/>
          <w:szCs w:val="16"/>
        </w:rPr>
        <w:t xml:space="preserve">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w:t>
      </w:r>
    </w:p>
    <w:p w14:paraId="15815DB7" w14:textId="0F8B0BA1" w:rsidR="00F15F58" w:rsidRDefault="00F15F58" w:rsidP="00C144F3">
      <w:pPr>
        <w:spacing w:line="276" w:lineRule="auto"/>
        <w:rPr>
          <w:color w:val="000000" w:themeColor="text1"/>
        </w:rPr>
      </w:pPr>
    </w:p>
    <w:p w14:paraId="539A633E" w14:textId="42A53E60" w:rsidR="00F15F58" w:rsidRPr="00781112" w:rsidRDefault="00F15F58" w:rsidP="005B40C0">
      <w:pPr>
        <w:pStyle w:val="Heading3"/>
      </w:pPr>
      <w:r w:rsidRPr="00781112">
        <w:t>1</w:t>
      </w:r>
      <w:r>
        <w:t>8</w:t>
      </w:r>
      <w:r w:rsidRPr="00781112">
        <w:t xml:space="preserve"> - OSEP Response</w:t>
      </w:r>
    </w:p>
    <w:p w14:paraId="64DE2327" w14:textId="3B47CE44" w:rsidR="00F15F58" w:rsidRPr="00781112" w:rsidRDefault="00F15F58" w:rsidP="00F15F58">
      <w:pPr>
        <w:rPr>
          <w:color w:val="000000" w:themeColor="text1"/>
        </w:rPr>
      </w:pPr>
      <w:r w:rsidRPr="00781112">
        <w:rPr>
          <w:color w:val="000000" w:themeColor="text1"/>
        </w:rPr>
        <w:t>The State has established the baseline for this indicator, using data from FFY 2023, and OSEP accepts that baseline.</w:t>
      </w:r>
    </w:p>
    <w:p w14:paraId="38F78302" w14:textId="540CC72B" w:rsidR="00F15F58" w:rsidRPr="00781112" w:rsidRDefault="00F15F58" w:rsidP="005B40C0">
      <w:pPr>
        <w:pStyle w:val="Heading3"/>
      </w:pPr>
      <w:r w:rsidRPr="00781112">
        <w:t>1</w:t>
      </w:r>
      <w:r>
        <w:t>8</w:t>
      </w:r>
      <w:r w:rsidRPr="00781112">
        <w:t xml:space="preserve"> - Required Actions</w:t>
      </w:r>
    </w:p>
    <w:p w14:paraId="0A69B687" w14:textId="6C3AAE63" w:rsidR="00F15F58" w:rsidRDefault="00F15F58" w:rsidP="00F15F58">
      <w:pPr>
        <w:rPr>
          <w:color w:val="000000" w:themeColor="text1"/>
        </w:rPr>
      </w:pPr>
    </w:p>
    <w:p w14:paraId="7081808E" w14:textId="68D02DFE" w:rsidR="000532EB" w:rsidRDefault="000532EB">
      <w:pPr>
        <w:spacing w:before="0" w:after="200" w:line="276" w:lineRule="auto"/>
        <w:rPr>
          <w:color w:val="000000" w:themeColor="text1"/>
        </w:rPr>
      </w:pPr>
      <w:r>
        <w:rPr>
          <w:color w:val="000000" w:themeColor="text1"/>
        </w:rPr>
        <w:br w:type="page"/>
      </w:r>
    </w:p>
    <w:p w14:paraId="47A15380" w14:textId="2BFE46A7" w:rsidR="00251CC0" w:rsidRPr="00781112" w:rsidRDefault="00755AF7" w:rsidP="005B40C0">
      <w:pPr>
        <w:pStyle w:val="Heading2"/>
      </w:pPr>
      <w:r w:rsidRPr="00781112">
        <w:rPr>
          <w:color w:val="000000" w:themeColor="text1"/>
        </w:rPr>
        <w:lastRenderedPageBreak/>
        <w:t>Certification</w:t>
      </w:r>
    </w:p>
    <w:p w14:paraId="49BAFEB2" w14:textId="1E6A8CCD" w:rsidR="00EC1064" w:rsidRPr="002C274F" w:rsidRDefault="00EC1064" w:rsidP="002C274F">
      <w:pPr>
        <w:rPr>
          <w:b/>
          <w:bCs/>
          <w:sz w:val="20"/>
          <w:szCs w:val="20"/>
        </w:rPr>
      </w:pPr>
      <w:r w:rsidRPr="002C274F">
        <w:rPr>
          <w:b/>
          <w:bCs/>
          <w:sz w:val="20"/>
          <w:szCs w:val="20"/>
        </w:rPr>
        <w:t>Instructions</w:t>
      </w:r>
    </w:p>
    <w:p w14:paraId="1D3FABB8" w14:textId="49984077" w:rsidR="00EC1064" w:rsidRPr="00781112" w:rsidRDefault="00C723F9" w:rsidP="00EC1064">
      <w:pPr>
        <w:autoSpaceDE w:val="0"/>
        <w:autoSpaceDN w:val="0"/>
        <w:adjustRightInd w:val="0"/>
        <w:rPr>
          <w:rFonts w:cs="Arial"/>
          <w:b/>
          <w:bCs/>
          <w:color w:val="000000" w:themeColor="text1"/>
          <w:szCs w:val="16"/>
        </w:rPr>
      </w:pPr>
      <w:r w:rsidRPr="00781112">
        <w:rPr>
          <w:rFonts w:cs="Arial"/>
          <w:b/>
          <w:bCs/>
          <w:color w:val="000000" w:themeColor="text1"/>
          <w:szCs w:val="16"/>
        </w:rPr>
        <w:t>Choose the appropriate selection and complete all the certification information fields. Then click the "Submit" button to submit your APR.</w:t>
      </w:r>
    </w:p>
    <w:p w14:paraId="01D5737F" w14:textId="0EECE8DE" w:rsidR="00EC1064" w:rsidRPr="00781112" w:rsidRDefault="00EC1064" w:rsidP="00EE0028">
      <w:pPr>
        <w:pStyle w:val="NoSpacing"/>
        <w:rPr>
          <w:rFonts w:ascii="Arial" w:hAnsi="Arial" w:cs="Arial"/>
          <w:b/>
          <w:bCs/>
          <w:color w:val="000000" w:themeColor="text1"/>
          <w:sz w:val="16"/>
          <w:szCs w:val="16"/>
        </w:rPr>
      </w:pPr>
      <w:r w:rsidRPr="00781112">
        <w:rPr>
          <w:rFonts w:ascii="Arial" w:hAnsi="Arial" w:cs="Arial"/>
          <w:b/>
          <w:bCs/>
          <w:color w:val="000000" w:themeColor="text1"/>
          <w:sz w:val="16"/>
          <w:szCs w:val="16"/>
        </w:rPr>
        <w:t>Certify</w:t>
      </w:r>
    </w:p>
    <w:p w14:paraId="55390454" w14:textId="09D075B1"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I certify that I am the Chief State School Officer of the State, or his or her designee, and that the State's submission of its IDEA Part B State Performance Plan/Annual Performance Report is accurate.</w:t>
      </w:r>
    </w:p>
    <w:p w14:paraId="6B93509D" w14:textId="70EDDFDB" w:rsidR="008D2663"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Select the certifier’s role:</w:t>
      </w:r>
    </w:p>
    <w:p w14:paraId="0767E5C8" w14:textId="70B1D176" w:rsidR="00262BC0" w:rsidRPr="00781112" w:rsidRDefault="002B7490" w:rsidP="00262BC0">
      <w:pPr>
        <w:autoSpaceDE w:val="0"/>
        <w:autoSpaceDN w:val="0"/>
        <w:adjustRightInd w:val="0"/>
        <w:rPr>
          <w:rFonts w:cs="Arial"/>
          <w:bCs/>
          <w:color w:val="000000" w:themeColor="text1"/>
          <w:szCs w:val="16"/>
        </w:rPr>
      </w:pPr>
      <w:r w:rsidRPr="00781112">
        <w:rPr>
          <w:rFonts w:cs="Arial"/>
          <w:bCs/>
          <w:color w:val="000000" w:themeColor="text1"/>
          <w:szCs w:val="16"/>
        </w:rPr>
        <w:t>Designated by the Chief State School Officer to certify</w:t>
      </w:r>
    </w:p>
    <w:p w14:paraId="0D4B9819" w14:textId="38C2D4E8" w:rsidR="00262BC0" w:rsidRPr="00781112" w:rsidRDefault="00262BC0" w:rsidP="00262BC0">
      <w:pPr>
        <w:autoSpaceDE w:val="0"/>
        <w:autoSpaceDN w:val="0"/>
        <w:adjustRightInd w:val="0"/>
        <w:rPr>
          <w:rFonts w:cs="Arial"/>
          <w:b/>
          <w:bCs/>
          <w:color w:val="000000" w:themeColor="text1"/>
          <w:szCs w:val="16"/>
        </w:rPr>
      </w:pPr>
      <w:r w:rsidRPr="00781112">
        <w:rPr>
          <w:rFonts w:cs="Arial"/>
          <w:b/>
          <w:bCs/>
          <w:color w:val="000000" w:themeColor="text1"/>
          <w:szCs w:val="16"/>
        </w:rPr>
        <w:t>Name and title of the individual certifying the accuracy of the State's submission of its IDEA Part B State Performance Plan/Annual Performance Report.</w:t>
      </w:r>
    </w:p>
    <w:p w14:paraId="3B5F1CED" w14:textId="77777777" w:rsidR="00755AF7" w:rsidRPr="00781112" w:rsidRDefault="00755AF7" w:rsidP="00755AF7">
      <w:pPr>
        <w:autoSpaceDE w:val="0"/>
        <w:autoSpaceDN w:val="0"/>
        <w:adjustRightInd w:val="0"/>
        <w:rPr>
          <w:rFonts w:cs="Arial"/>
          <w:b/>
          <w:bCs/>
          <w:color w:val="000000" w:themeColor="text1"/>
          <w:szCs w:val="16"/>
        </w:rPr>
      </w:pPr>
      <w:bookmarkStart w:id="101" w:name="_Hlk20318241"/>
      <w:r w:rsidRPr="00781112">
        <w:rPr>
          <w:rFonts w:cs="Arial"/>
          <w:b/>
          <w:bCs/>
          <w:color w:val="000000" w:themeColor="text1"/>
          <w:szCs w:val="16"/>
        </w:rPr>
        <w:t xml:space="preserve">Name: </w:t>
      </w:r>
    </w:p>
    <w:p w14:paraId="4AE58D3C" w14:textId="25F9FA75"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Ramonda Olaloye</w:t>
      </w:r>
    </w:p>
    <w:p w14:paraId="6368082B" w14:textId="28AD55BD" w:rsidR="00755AF7" w:rsidRPr="00781112" w:rsidRDefault="00EF4A6B"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Title: </w:t>
      </w:r>
    </w:p>
    <w:p w14:paraId="290E3D81" w14:textId="5C618752"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Assistant Superintendent - Office of Enhancing Student Opportunities</w:t>
      </w:r>
    </w:p>
    <w:p w14:paraId="67DC6813" w14:textId="6EF07192" w:rsidR="00755AF7" w:rsidRPr="00781112" w:rsidRDefault="00925E33" w:rsidP="00755AF7">
      <w:pPr>
        <w:autoSpaceDE w:val="0"/>
        <w:autoSpaceDN w:val="0"/>
        <w:adjustRightInd w:val="0"/>
        <w:rPr>
          <w:rFonts w:cs="Arial"/>
          <w:b/>
          <w:bCs/>
          <w:color w:val="000000" w:themeColor="text1"/>
          <w:szCs w:val="16"/>
        </w:rPr>
      </w:pPr>
      <w:r w:rsidRPr="00781112">
        <w:rPr>
          <w:rFonts w:cs="Arial"/>
          <w:b/>
          <w:bCs/>
          <w:color w:val="000000" w:themeColor="text1"/>
          <w:szCs w:val="16"/>
        </w:rPr>
        <w:t xml:space="preserve">Email: </w:t>
      </w:r>
    </w:p>
    <w:p w14:paraId="0D9187A2" w14:textId="72ED05AF" w:rsidR="00755AF7" w:rsidRPr="00781112" w:rsidRDefault="002B7490" w:rsidP="00755AF7">
      <w:pPr>
        <w:autoSpaceDE w:val="0"/>
        <w:autoSpaceDN w:val="0"/>
        <w:adjustRightInd w:val="0"/>
        <w:rPr>
          <w:rFonts w:cs="Arial"/>
          <w:color w:val="000000" w:themeColor="text1"/>
          <w:szCs w:val="16"/>
        </w:rPr>
      </w:pPr>
      <w:r w:rsidRPr="00781112">
        <w:rPr>
          <w:rFonts w:cs="Arial"/>
          <w:color w:val="000000" w:themeColor="text1"/>
          <w:szCs w:val="16"/>
        </w:rPr>
        <w:t>ramonda.olaloye@ode.oregon.gov</w:t>
      </w:r>
    </w:p>
    <w:p w14:paraId="230D0674" w14:textId="3A323DD4" w:rsidR="00755AF7" w:rsidRPr="00781112" w:rsidRDefault="00EF4A6B" w:rsidP="00755AF7">
      <w:pPr>
        <w:autoSpaceDE w:val="0"/>
        <w:autoSpaceDN w:val="0"/>
        <w:adjustRightInd w:val="0"/>
        <w:rPr>
          <w:rFonts w:cs="Arial"/>
          <w:b/>
          <w:color w:val="000000" w:themeColor="text1"/>
          <w:szCs w:val="16"/>
        </w:rPr>
      </w:pPr>
      <w:r w:rsidRPr="00781112">
        <w:rPr>
          <w:rFonts w:cs="Arial"/>
          <w:b/>
          <w:color w:val="000000" w:themeColor="text1"/>
          <w:szCs w:val="16"/>
        </w:rPr>
        <w:t>Phone:</w:t>
      </w:r>
    </w:p>
    <w:p w14:paraId="5A421E1A" w14:textId="3C4EA133" w:rsidR="00DD2023" w:rsidRPr="00781112" w:rsidRDefault="002B7490" w:rsidP="00DD2023">
      <w:pPr>
        <w:autoSpaceDE w:val="0"/>
        <w:autoSpaceDN w:val="0"/>
        <w:adjustRightInd w:val="0"/>
        <w:rPr>
          <w:rFonts w:cs="Arial"/>
          <w:color w:val="000000" w:themeColor="text1"/>
          <w:szCs w:val="16"/>
        </w:rPr>
      </w:pPr>
      <w:r w:rsidRPr="00781112">
        <w:rPr>
          <w:rFonts w:cs="Arial"/>
          <w:color w:val="000000" w:themeColor="text1"/>
          <w:szCs w:val="16"/>
        </w:rPr>
        <w:t>503-580-6302</w:t>
      </w:r>
    </w:p>
    <w:bookmarkEnd w:id="101"/>
    <w:p w14:paraId="17E495D6" w14:textId="2B4E1FA8" w:rsidR="000657F0" w:rsidRPr="00781112" w:rsidRDefault="00C773DB" w:rsidP="000657F0">
      <w:pPr>
        <w:autoSpaceDE w:val="0"/>
        <w:autoSpaceDN w:val="0"/>
        <w:adjustRightInd w:val="0"/>
        <w:rPr>
          <w:rFonts w:cs="Arial"/>
          <w:b/>
          <w:color w:val="000000" w:themeColor="text1"/>
          <w:szCs w:val="16"/>
        </w:rPr>
      </w:pPr>
      <w:r w:rsidRPr="00781112">
        <w:rPr>
          <w:rFonts w:cs="Arial"/>
          <w:b/>
          <w:color w:val="000000" w:themeColor="text1"/>
          <w:szCs w:val="16"/>
        </w:rPr>
        <w:t>Submitted on:</w:t>
      </w:r>
    </w:p>
    <w:p w14:paraId="3754F1D5" w14:textId="5487A8BD" w:rsidR="00371FAA" w:rsidRDefault="006879FA" w:rsidP="00CA7625">
      <w:pPr>
        <w:autoSpaceDE w:val="0"/>
        <w:autoSpaceDN w:val="0"/>
        <w:adjustRightInd w:val="0"/>
        <w:rPr>
          <w:rFonts w:cs="Arial"/>
          <w:color w:val="000000" w:themeColor="text1"/>
          <w:szCs w:val="16"/>
        </w:rPr>
      </w:pPr>
      <w:r w:rsidRPr="00CA7625">
        <w:rPr>
          <w:rFonts w:cs="Arial"/>
          <w:color w:val="000000" w:themeColor="text1"/>
          <w:szCs w:val="16"/>
        </w:rPr>
        <w:t>04/22/25  1:45:00 PM</w:t>
      </w:r>
    </w:p>
    <w:p w14:paraId="09C9DFAB" w14:textId="77777777" w:rsidR="00CA7625" w:rsidRPr="00CA7625" w:rsidRDefault="00CA7625" w:rsidP="00CA7625">
      <w:pPr>
        <w:autoSpaceDE w:val="0"/>
        <w:autoSpaceDN w:val="0"/>
        <w:adjustRightInd w:val="0"/>
        <w:rPr>
          <w:rFonts w:cs="Arial"/>
          <w:color w:val="000000" w:themeColor="text1"/>
          <w:szCs w:val="16"/>
        </w:rPr>
      </w:pPr>
    </w:p>
    <w:p w14:paraId="1DF52C2B" w14:textId="77777777" w:rsidR="008B71EA" w:rsidRDefault="008B71EA" w:rsidP="008B71EA">
      <w:pPr>
        <w:spacing w:before="0" w:after="0" w:line="276" w:lineRule="auto"/>
        <w:rPr>
          <w:rFonts w:cs="Arial"/>
          <w:bCs/>
          <w:color w:val="000000" w:themeColor="text1"/>
          <w:szCs w:val="16"/>
        </w:rPr>
      </w:pPr>
    </w:p>
    <w:p w14:paraId="6C42474B" w14:textId="77777777" w:rsidR="008B71EA" w:rsidRDefault="008B71EA" w:rsidP="008B71EA">
      <w:pPr>
        <w:spacing w:before="0" w:after="0" w:line="276" w:lineRule="auto"/>
        <w:rPr>
          <w:rFonts w:cs="Arial"/>
          <w:bCs/>
          <w:color w:val="000000" w:themeColor="text1"/>
          <w:szCs w:val="16"/>
        </w:rPr>
        <w:sectPr w:rsidR="008B71EA" w:rsidSect="00A70254">
          <w:headerReference w:type="default" r:id="rId12"/>
          <w:footerReference w:type="default" r:id="rId13"/>
          <w:pgSz w:w="12240" w:h="15840"/>
          <w:pgMar w:top="720" w:right="720" w:bottom="720" w:left="720" w:header="763" w:footer="431" w:gutter="0"/>
          <w:cols w:space="720"/>
          <w:docGrid w:linePitch="218"/>
        </w:sectPr>
      </w:pPr>
    </w:p>
    <w:p w14:paraId="137CE14B" w14:textId="07C8774C" w:rsidR="00371FAA" w:rsidRPr="00395B6C" w:rsidRDefault="00D12506" w:rsidP="00D12506">
      <w:pPr>
        <w:spacing w:before="0" w:after="200" w:line="276" w:lineRule="auto"/>
      </w:pPr>
      <w:r w:rsidRPr="00395B6C">
        <w:br w:type="page"/>
      </w:r>
    </w:p>
    <w:p w14:paraId="66D36872" w14:textId="52ECB6DB" w:rsidR="00BE0EEF" w:rsidRDefault="00AF2BDA" w:rsidP="005B40C0">
      <w:pPr>
        <w:pStyle w:val="Heading2"/>
      </w:pPr>
      <w:r w:rsidRPr="00395B6C">
        <w:rPr>
          <w:color w:val="000000" w:themeColor="text1"/>
        </w:rPr>
        <w:lastRenderedPageBreak/>
        <w:t>Determination Enclosures</w:t>
      </w:r>
    </w:p>
    <w:p w14:paraId="7F6A87DA" w14:textId="7873ABE7" w:rsidR="00BE0EEF" w:rsidRDefault="00BE0EEF" w:rsidP="005B40C0">
      <w:pPr>
        <w:pStyle w:val="Heading3"/>
      </w:pPr>
      <w:r w:rsidRPr="00395B6C">
        <w:t>RDA Matrix</w:t>
      </w:r>
    </w:p>
    <w:p w14:paraId="6C62C296" w14:textId="77777777" w:rsidR="00862001" w:rsidRDefault="00862001" w:rsidP="00D1413B">
      <w:pPr>
        <w:rPr>
          <w:b/>
          <w:bCs/>
          <w:sz w:val="18"/>
          <w:szCs w:val="18"/>
        </w:rPr>
      </w:pPr>
    </w:p>
    <w:p w14:paraId="693B2C3A" w14:textId="77777777" w:rsidR="000E0BA2" w:rsidRDefault="00D1413B" w:rsidP="00862001">
      <w:pPr>
        <w:jc w:val="center"/>
        <w:rPr>
          <w:sz w:val="32"/>
          <w:szCs w:val="32"/>
        </w:rPr>
      </w:pPr>
      <w:r w:rsidRPr="00862001">
        <w:rPr>
          <w:sz w:val="32"/>
          <w:szCs w:val="32"/>
        </w:rPr>
        <w:t>Oregon</w:t>
      </w:r>
    </w:p>
    <w:p w14:paraId="34FD6914" w14:textId="65947FE1" w:rsidR="00824D00" w:rsidRDefault="00BE0EEF" w:rsidP="00862001">
      <w:pPr>
        <w:jc w:val="center"/>
        <w:rPr>
          <w:sz w:val="32"/>
          <w:szCs w:val="32"/>
        </w:rPr>
      </w:pPr>
      <w:r w:rsidRPr="00824D00">
        <w:rPr>
          <w:sz w:val="32"/>
          <w:szCs w:val="32"/>
        </w:rPr>
        <w:t>2025 Part B Results-Driven Accountability Matrix</w:t>
      </w:r>
    </w:p>
    <w:p w14:paraId="10239889" w14:textId="77777777" w:rsidR="00862001" w:rsidRDefault="00862001" w:rsidP="00862001">
      <w:pPr>
        <w:rPr>
          <w:b/>
          <w:bCs/>
          <w:sz w:val="18"/>
          <w:szCs w:val="18"/>
        </w:rPr>
      </w:pPr>
    </w:p>
    <w:p w14:paraId="2A7E4326" w14:textId="0994F40B" w:rsidR="00BE0EEF" w:rsidRPr="00210AC6" w:rsidRDefault="00BE0EEF" w:rsidP="00BE0EEF">
      <w:pPr>
        <w:rPr>
          <w:rFonts w:cs="Arial"/>
          <w:b/>
          <w:bCs/>
          <w:szCs w:val="16"/>
        </w:rPr>
      </w:pPr>
      <w:r w:rsidRPr="00210AC6">
        <w:rPr>
          <w:rFonts w:cs="Arial"/>
          <w:b/>
          <w:bCs/>
          <w:szCs w:val="16"/>
        </w:rPr>
        <w:t xml:space="preserve">Results-Driven Accountability Percentage and Determination </w:t>
      </w:r>
      <w:r w:rsidR="0007196B" w:rsidRPr="0007196B">
        <w:rPr>
          <w:rFonts w:cs="Arial"/>
          <w:szCs w:val="16"/>
        </w:rPr>
        <w:t>(1)</w:t>
      </w:r>
    </w:p>
    <w:tbl>
      <w:tblPr>
        <w:tblStyle w:val="TableGrid1"/>
        <w:tblW w:w="5009" w:type="pct"/>
        <w:tblLook w:val="04A0" w:firstRow="1" w:lastRow="0" w:firstColumn="1" w:lastColumn="0" w:noHBand="0" w:noVBand="1"/>
        <w:tblCaption w:val="BENNSRSTRDACFFYSTAT"/>
      </w:tblPr>
      <w:tblGrid>
        <w:gridCol w:w="5404"/>
        <w:gridCol w:w="5405"/>
      </w:tblGrid>
      <w:tr w:rsidR="00BE0EEF" w:rsidRPr="00210AC6" w14:paraId="441F44A8" w14:textId="77777777" w:rsidTr="0064778E">
        <w:trPr>
          <w:tblHeader/>
        </w:trPr>
        <w:tc>
          <w:tcPr>
            <w:tcW w:w="2500" w:type="pct"/>
          </w:tcPr>
          <w:p w14:paraId="48E2D994" w14:textId="77777777" w:rsidR="00BE0EEF" w:rsidRPr="00210AC6" w:rsidRDefault="00BE0EEF" w:rsidP="00EE6889">
            <w:pPr>
              <w:rPr>
                <w:rFonts w:cs="Arial"/>
                <w:b/>
                <w:bCs/>
                <w:szCs w:val="16"/>
              </w:rPr>
            </w:pPr>
            <w:r w:rsidRPr="00210AC6">
              <w:rPr>
                <w:rFonts w:cs="Arial"/>
                <w:b/>
                <w:bCs/>
                <w:szCs w:val="16"/>
              </w:rPr>
              <w:t>Percentage (%)</w:t>
            </w:r>
          </w:p>
        </w:tc>
        <w:tc>
          <w:tcPr>
            <w:tcW w:w="2500" w:type="pct"/>
          </w:tcPr>
          <w:p w14:paraId="41C1D543" w14:textId="77777777" w:rsidR="00BE0EEF" w:rsidRPr="00210AC6" w:rsidRDefault="00BE0EEF" w:rsidP="00EE6889">
            <w:pPr>
              <w:rPr>
                <w:rFonts w:cs="Arial"/>
                <w:b/>
                <w:bCs/>
                <w:szCs w:val="16"/>
              </w:rPr>
            </w:pPr>
            <w:r w:rsidRPr="00210AC6">
              <w:rPr>
                <w:rFonts w:cs="Arial"/>
                <w:b/>
                <w:bCs/>
                <w:szCs w:val="16"/>
              </w:rPr>
              <w:t>Determination</w:t>
            </w:r>
          </w:p>
        </w:tc>
      </w:tr>
      <w:tr w:rsidR="00416463" w:rsidRPr="00210AC6" w14:paraId="2EA9543B" w14:textId="77777777" w:rsidTr="00FB3F34">
        <w:tc>
          <w:tcPr>
            <w:tcW w:w="2500" w:type="pct"/>
          </w:tcPr>
          <w:p w14:paraId="7E99A849" w14:textId="1196736B" w:rsidR="00416463" w:rsidRPr="00210AC6" w:rsidRDefault="00416463" w:rsidP="00416463">
            <w:pPr>
              <w:rPr>
                <w:rFonts w:cs="Arial"/>
                <w:szCs w:val="16"/>
              </w:rPr>
            </w:pPr>
            <w:r w:rsidRPr="00210AC6">
              <w:rPr>
                <w:rFonts w:cs="Arial"/>
                <w:szCs w:val="16"/>
              </w:rPr>
              <w:t>67.50%</w:t>
            </w:r>
          </w:p>
        </w:tc>
        <w:tc>
          <w:tcPr>
            <w:tcW w:w="2500" w:type="pct"/>
          </w:tcPr>
          <w:p w14:paraId="67D9EEC1" w14:textId="53D67E7A" w:rsidR="00416463" w:rsidRPr="00210AC6" w:rsidRDefault="00416463" w:rsidP="00416463">
            <w:pPr>
              <w:rPr>
                <w:rFonts w:cs="Arial"/>
                <w:szCs w:val="16"/>
              </w:rPr>
            </w:pPr>
            <w:r w:rsidRPr="00210AC6">
              <w:rPr>
                <w:rFonts w:cs="Arial"/>
                <w:noProof/>
                <w:szCs w:val="16"/>
              </w:rPr>
              <w:t>Needs Assistance</w:t>
            </w:r>
          </w:p>
        </w:tc>
      </w:tr>
    </w:tbl>
    <w:p w14:paraId="3111276A" w14:textId="77777777" w:rsidR="00BE0EEF" w:rsidRPr="00210AC6" w:rsidRDefault="00BE0EEF" w:rsidP="00BE0EEF">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BENNSRSTCMPCFFYSTAT"/>
      </w:tblPr>
      <w:tblGrid>
        <w:gridCol w:w="2724"/>
        <w:gridCol w:w="2724"/>
        <w:gridCol w:w="2722"/>
        <w:gridCol w:w="2631"/>
      </w:tblGrid>
      <w:tr w:rsidR="00BE0EEF" w:rsidRPr="00210AC6" w14:paraId="171A34FE" w14:textId="77777777" w:rsidTr="00851F98">
        <w:trPr>
          <w:tblHeader/>
        </w:trPr>
        <w:tc>
          <w:tcPr>
            <w:tcW w:w="1261" w:type="pct"/>
          </w:tcPr>
          <w:p w14:paraId="7A21C806" w14:textId="47BC40F9" w:rsidR="00BE0EEF" w:rsidRPr="00210AC6" w:rsidRDefault="00353B3F" w:rsidP="00EE6889">
            <w:pPr>
              <w:rPr>
                <w:rFonts w:cs="Arial"/>
                <w:b/>
                <w:bCs/>
                <w:szCs w:val="16"/>
              </w:rPr>
            </w:pPr>
            <w:r>
              <w:rPr>
                <w:rFonts w:cs="Arial"/>
                <w:b/>
                <w:bCs/>
                <w:szCs w:val="16"/>
              </w:rPr>
              <w:t>Section</w:t>
            </w:r>
          </w:p>
        </w:tc>
        <w:tc>
          <w:tcPr>
            <w:tcW w:w="1261" w:type="pct"/>
          </w:tcPr>
          <w:p w14:paraId="7D03890F" w14:textId="77777777" w:rsidR="00BE0EEF" w:rsidRPr="00210AC6" w:rsidRDefault="00BE0EEF" w:rsidP="00EE6889">
            <w:pPr>
              <w:rPr>
                <w:rFonts w:cs="Arial"/>
                <w:b/>
                <w:bCs/>
                <w:szCs w:val="16"/>
              </w:rPr>
            </w:pPr>
            <w:r w:rsidRPr="00210AC6">
              <w:rPr>
                <w:rFonts w:cs="Arial"/>
                <w:b/>
                <w:bCs/>
                <w:szCs w:val="16"/>
              </w:rPr>
              <w:t>Total Points Available</w:t>
            </w:r>
          </w:p>
        </w:tc>
        <w:tc>
          <w:tcPr>
            <w:tcW w:w="1260" w:type="pct"/>
          </w:tcPr>
          <w:p w14:paraId="0BAE0076" w14:textId="77777777" w:rsidR="00BE0EEF" w:rsidRPr="00210AC6" w:rsidRDefault="00BE0EEF" w:rsidP="00EE6889">
            <w:pPr>
              <w:rPr>
                <w:rFonts w:cs="Arial"/>
                <w:b/>
                <w:bCs/>
                <w:szCs w:val="16"/>
              </w:rPr>
            </w:pPr>
            <w:r w:rsidRPr="00210AC6">
              <w:rPr>
                <w:rFonts w:cs="Arial"/>
                <w:b/>
                <w:bCs/>
                <w:szCs w:val="16"/>
              </w:rPr>
              <w:t>Points Earned</w:t>
            </w:r>
          </w:p>
        </w:tc>
        <w:tc>
          <w:tcPr>
            <w:tcW w:w="1218" w:type="pct"/>
          </w:tcPr>
          <w:p w14:paraId="2D5453A9" w14:textId="77777777" w:rsidR="00BE0EEF" w:rsidRPr="00210AC6" w:rsidRDefault="00BE0EEF" w:rsidP="00EE6889">
            <w:pPr>
              <w:rPr>
                <w:rFonts w:cs="Arial"/>
                <w:b/>
                <w:bCs/>
                <w:szCs w:val="16"/>
              </w:rPr>
            </w:pPr>
            <w:r w:rsidRPr="00210AC6">
              <w:rPr>
                <w:rFonts w:cs="Arial"/>
                <w:b/>
                <w:bCs/>
                <w:szCs w:val="16"/>
              </w:rPr>
              <w:t>Score (%)</w:t>
            </w:r>
          </w:p>
        </w:tc>
      </w:tr>
      <w:tr w:rsidR="00E1330D" w:rsidRPr="00210AC6" w14:paraId="24CD0491" w14:textId="77777777" w:rsidTr="00851F98">
        <w:tc>
          <w:tcPr>
            <w:tcW w:w="1261" w:type="pct"/>
          </w:tcPr>
          <w:p w14:paraId="636FA965" w14:textId="77777777" w:rsidR="00E1330D" w:rsidRPr="00210AC6" w:rsidRDefault="00E1330D" w:rsidP="00E1330D">
            <w:pPr>
              <w:rPr>
                <w:rFonts w:cs="Arial"/>
                <w:b/>
                <w:bCs/>
                <w:szCs w:val="16"/>
              </w:rPr>
            </w:pPr>
            <w:r w:rsidRPr="00210AC6">
              <w:rPr>
                <w:rFonts w:cs="Arial"/>
                <w:b/>
                <w:bCs/>
                <w:szCs w:val="16"/>
              </w:rPr>
              <w:t>Results</w:t>
            </w:r>
          </w:p>
        </w:tc>
        <w:tc>
          <w:tcPr>
            <w:tcW w:w="1261" w:type="pct"/>
          </w:tcPr>
          <w:p w14:paraId="4DC27F93" w14:textId="2A310F59" w:rsidR="00E1330D" w:rsidRPr="00210AC6" w:rsidRDefault="00E1330D" w:rsidP="00E1330D">
            <w:pPr>
              <w:rPr>
                <w:rFonts w:cs="Arial"/>
                <w:noProof/>
                <w:szCs w:val="16"/>
              </w:rPr>
            </w:pPr>
            <w:r w:rsidRPr="00210AC6">
              <w:rPr>
                <w:rFonts w:cs="Arial"/>
                <w:szCs w:val="16"/>
              </w:rPr>
              <w:t>20</w:t>
            </w:r>
          </w:p>
        </w:tc>
        <w:tc>
          <w:tcPr>
            <w:tcW w:w="1260" w:type="pct"/>
          </w:tcPr>
          <w:p w14:paraId="39A51C38" w14:textId="16E843D2" w:rsidR="00E1330D" w:rsidRPr="00210AC6" w:rsidRDefault="00E1330D" w:rsidP="00E1330D">
            <w:pPr>
              <w:rPr>
                <w:rFonts w:cs="Arial"/>
                <w:szCs w:val="16"/>
              </w:rPr>
            </w:pPr>
            <w:r w:rsidRPr="00210AC6">
              <w:rPr>
                <w:rFonts w:cs="Arial"/>
                <w:szCs w:val="16"/>
              </w:rPr>
              <w:t>11</w:t>
            </w:r>
          </w:p>
        </w:tc>
        <w:tc>
          <w:tcPr>
            <w:tcW w:w="1218" w:type="pct"/>
          </w:tcPr>
          <w:p w14:paraId="0E3866D0" w14:textId="74D5D84B" w:rsidR="00E1330D" w:rsidRPr="00210AC6" w:rsidRDefault="00E1330D" w:rsidP="00E1330D">
            <w:pPr>
              <w:rPr>
                <w:rFonts w:cs="Arial"/>
                <w:szCs w:val="16"/>
              </w:rPr>
            </w:pPr>
            <w:r w:rsidRPr="00210AC6">
              <w:rPr>
                <w:rFonts w:cs="Arial"/>
                <w:szCs w:val="16"/>
              </w:rPr>
              <w:t>55.00%</w:t>
            </w:r>
          </w:p>
        </w:tc>
      </w:tr>
      <w:tr w:rsidR="00E1330D" w:rsidRPr="00210AC6" w14:paraId="6160CFE2" w14:textId="77777777" w:rsidTr="00851F98">
        <w:tc>
          <w:tcPr>
            <w:tcW w:w="1261" w:type="pct"/>
          </w:tcPr>
          <w:p w14:paraId="683501B2" w14:textId="77777777" w:rsidR="00E1330D" w:rsidRPr="00210AC6" w:rsidRDefault="00E1330D" w:rsidP="00E1330D">
            <w:pPr>
              <w:rPr>
                <w:rFonts w:cs="Arial"/>
                <w:b/>
                <w:bCs/>
                <w:szCs w:val="16"/>
              </w:rPr>
            </w:pPr>
            <w:r w:rsidRPr="00210AC6">
              <w:rPr>
                <w:rFonts w:cs="Arial"/>
                <w:b/>
                <w:bCs/>
                <w:szCs w:val="16"/>
              </w:rPr>
              <w:t>Compliance</w:t>
            </w:r>
          </w:p>
        </w:tc>
        <w:tc>
          <w:tcPr>
            <w:tcW w:w="1261" w:type="pct"/>
          </w:tcPr>
          <w:p w14:paraId="548EED65" w14:textId="52CD3569" w:rsidR="00E1330D" w:rsidRPr="00210AC6" w:rsidRDefault="00E1330D" w:rsidP="00E1330D">
            <w:pPr>
              <w:rPr>
                <w:rFonts w:cs="Arial"/>
                <w:szCs w:val="16"/>
              </w:rPr>
            </w:pPr>
            <w:r w:rsidRPr="00210AC6">
              <w:rPr>
                <w:rFonts w:cs="Arial"/>
                <w:szCs w:val="16"/>
              </w:rPr>
              <w:t>20</w:t>
            </w:r>
          </w:p>
        </w:tc>
        <w:tc>
          <w:tcPr>
            <w:tcW w:w="1260" w:type="pct"/>
          </w:tcPr>
          <w:p w14:paraId="0A360C78" w14:textId="7DE98E29" w:rsidR="00E1330D" w:rsidRPr="00210AC6" w:rsidRDefault="00E1330D" w:rsidP="00E1330D">
            <w:pPr>
              <w:rPr>
                <w:rFonts w:cs="Arial"/>
                <w:szCs w:val="16"/>
              </w:rPr>
            </w:pPr>
            <w:r w:rsidRPr="00210AC6">
              <w:rPr>
                <w:rFonts w:cs="Arial"/>
                <w:szCs w:val="16"/>
              </w:rPr>
              <w:t>16</w:t>
            </w:r>
          </w:p>
        </w:tc>
        <w:tc>
          <w:tcPr>
            <w:tcW w:w="1218" w:type="pct"/>
          </w:tcPr>
          <w:p w14:paraId="568903BA" w14:textId="193CF7F1" w:rsidR="00E1330D" w:rsidRPr="00210AC6" w:rsidRDefault="00E1330D" w:rsidP="00E1330D">
            <w:pPr>
              <w:rPr>
                <w:rFonts w:cs="Arial"/>
                <w:szCs w:val="16"/>
              </w:rPr>
            </w:pPr>
            <w:r w:rsidRPr="00210AC6">
              <w:rPr>
                <w:rFonts w:cs="Arial"/>
                <w:szCs w:val="16"/>
              </w:rPr>
              <w:t>80.00%</w:t>
            </w:r>
          </w:p>
        </w:tc>
      </w:tr>
    </w:tbl>
    <w:p w14:paraId="19632BB2" w14:textId="0CFAC511" w:rsidR="00DB4C39" w:rsidRPr="00372273" w:rsidRDefault="00DB4C39" w:rsidP="00DB4C39">
      <w:pPr>
        <w:rPr>
          <w:b/>
          <w:bCs/>
          <w:color w:val="000000" w:themeColor="text1"/>
        </w:rPr>
      </w:pPr>
      <w:r w:rsidRPr="00372273">
        <w:rPr>
          <w:b/>
          <w:bCs/>
          <w:color w:val="000000" w:themeColor="text1"/>
        </w:rPr>
        <w:t>(1) For a detailed explanation of how the Compliance Score, Results Score, and the Results-Driven Accountability Percentage and Determination were calculated, review "How the Department Made Determinations under Section 616(d) of the Individuals with Disabilities Education Act in 2025: Part B."</w:t>
      </w:r>
    </w:p>
    <w:p w14:paraId="26AB7DC2" w14:textId="77777777" w:rsidR="0007196B" w:rsidRDefault="0007196B" w:rsidP="00BE0EEF">
      <w:pPr>
        <w:rPr>
          <w:rFonts w:cs="Arial"/>
          <w:b/>
          <w:bCs/>
          <w:szCs w:val="16"/>
        </w:rPr>
      </w:pPr>
    </w:p>
    <w:p w14:paraId="5A13FEB8" w14:textId="00EC9907" w:rsidR="00BE0EEF" w:rsidRDefault="00BE0EEF" w:rsidP="00BE0EEF">
      <w:pPr>
        <w:rPr>
          <w:rFonts w:cs="Arial"/>
          <w:b/>
          <w:bCs/>
          <w:szCs w:val="16"/>
        </w:rPr>
      </w:pPr>
      <w:r w:rsidRPr="00210AC6">
        <w:rPr>
          <w:rFonts w:cs="Arial"/>
          <w:b/>
          <w:bCs/>
          <w:szCs w:val="16"/>
        </w:rPr>
        <w:t>2025 Part B Results Matrix</w:t>
      </w:r>
    </w:p>
    <w:p w14:paraId="54FF45BF" w14:textId="4C5619B9" w:rsidR="00353EB1" w:rsidRPr="00210AC6" w:rsidRDefault="00353EB1" w:rsidP="00353EB1">
      <w:pPr>
        <w:rPr>
          <w:rFonts w:cs="Arial"/>
          <w:b/>
          <w:bCs/>
          <w:szCs w:val="16"/>
        </w:rPr>
      </w:pPr>
      <w:r w:rsidRPr="00210AC6">
        <w:rPr>
          <w:rFonts w:cs="Arial"/>
          <w:b/>
          <w:bCs/>
          <w:szCs w:val="16"/>
        </w:rPr>
        <w:t>Reading Assessment Elements</w:t>
      </w:r>
    </w:p>
    <w:tbl>
      <w:tblPr>
        <w:tblStyle w:val="TableGrid1"/>
        <w:tblW w:w="5000" w:type="pct"/>
        <w:tblLayout w:type="fixed"/>
        <w:tblLook w:val="04A0" w:firstRow="1" w:lastRow="0" w:firstColumn="1" w:lastColumn="0" w:noHBand="0" w:noVBand="1"/>
        <w:tblCaption w:val="BRLAENNSRSTCFFY"/>
      </w:tblPr>
      <w:tblGrid>
        <w:gridCol w:w="5396"/>
        <w:gridCol w:w="1798"/>
        <w:gridCol w:w="1798"/>
        <w:gridCol w:w="1798"/>
      </w:tblGrid>
      <w:tr w:rsidR="009358D4" w:rsidRPr="00210AC6" w14:paraId="3E9EE23D" w14:textId="77777777">
        <w:trPr>
          <w:tblHeader/>
        </w:trPr>
        <w:tc>
          <w:tcPr>
            <w:tcW w:w="2500" w:type="pct"/>
          </w:tcPr>
          <w:p w14:paraId="79BDA11E" w14:textId="77777777" w:rsidR="009358D4" w:rsidRPr="00210AC6" w:rsidRDefault="009358D4">
            <w:pPr>
              <w:rPr>
                <w:rFonts w:cs="Arial"/>
                <w:b/>
                <w:bCs/>
                <w:szCs w:val="16"/>
              </w:rPr>
            </w:pPr>
            <w:r w:rsidRPr="00210AC6">
              <w:rPr>
                <w:rFonts w:cs="Arial"/>
                <w:b/>
                <w:bCs/>
                <w:szCs w:val="16"/>
              </w:rPr>
              <w:t>Reading Assessment Elements</w:t>
            </w:r>
          </w:p>
        </w:tc>
        <w:tc>
          <w:tcPr>
            <w:tcW w:w="833" w:type="pct"/>
          </w:tcPr>
          <w:p w14:paraId="7ADAF069" w14:textId="77777777" w:rsidR="009358D4" w:rsidRPr="00210AC6" w:rsidRDefault="009358D4">
            <w:pPr>
              <w:jc w:val="center"/>
              <w:rPr>
                <w:rFonts w:cs="Arial"/>
                <w:b/>
                <w:bCs/>
                <w:szCs w:val="16"/>
              </w:rPr>
            </w:pPr>
            <w:r>
              <w:rPr>
                <w:rFonts w:cs="Arial"/>
                <w:b/>
                <w:bCs/>
                <w:szCs w:val="16"/>
              </w:rPr>
              <w:t>Grade</w:t>
            </w:r>
          </w:p>
        </w:tc>
        <w:tc>
          <w:tcPr>
            <w:tcW w:w="833" w:type="pct"/>
          </w:tcPr>
          <w:p w14:paraId="3C45D75E" w14:textId="77777777" w:rsidR="009358D4" w:rsidRPr="00210AC6" w:rsidRDefault="009358D4">
            <w:pPr>
              <w:rPr>
                <w:rFonts w:cs="Arial"/>
                <w:b/>
                <w:bCs/>
                <w:szCs w:val="16"/>
              </w:rPr>
            </w:pPr>
            <w:r w:rsidRPr="00210AC6">
              <w:rPr>
                <w:rFonts w:cs="Arial"/>
                <w:b/>
                <w:bCs/>
                <w:szCs w:val="16"/>
              </w:rPr>
              <w:t>Performance (%)</w:t>
            </w:r>
          </w:p>
        </w:tc>
        <w:tc>
          <w:tcPr>
            <w:tcW w:w="833" w:type="pct"/>
          </w:tcPr>
          <w:p w14:paraId="5E64084A" w14:textId="77777777" w:rsidR="009358D4" w:rsidRPr="00210AC6" w:rsidRDefault="009358D4">
            <w:pPr>
              <w:rPr>
                <w:rFonts w:cs="Arial"/>
                <w:b/>
                <w:bCs/>
                <w:szCs w:val="16"/>
              </w:rPr>
            </w:pPr>
            <w:r w:rsidRPr="00210AC6">
              <w:rPr>
                <w:rFonts w:cs="Arial"/>
                <w:b/>
                <w:bCs/>
                <w:szCs w:val="16"/>
              </w:rPr>
              <w:t>Score</w:t>
            </w:r>
          </w:p>
        </w:tc>
      </w:tr>
      <w:tr w:rsidR="009358D4" w:rsidRPr="008B60AB" w14:paraId="2F0BA565" w14:textId="77777777">
        <w:tc>
          <w:tcPr>
            <w:tcW w:w="2500" w:type="pct"/>
          </w:tcPr>
          <w:p w14:paraId="705A1274" w14:textId="77777777" w:rsidR="009358D4" w:rsidRPr="0089112C" w:rsidRDefault="009358D4">
            <w:pPr>
              <w:rPr>
                <w:rFonts w:cs="Arial"/>
                <w:szCs w:val="16"/>
              </w:rPr>
            </w:pPr>
            <w:r w:rsidRPr="002C44AD">
              <w:rPr>
                <w:b/>
                <w:bCs/>
              </w:rPr>
              <w:t>Percentage of Children with Disabilities Participating in Statewide Assessment</w:t>
            </w:r>
            <w:r>
              <w:t xml:space="preserve"> (2)</w:t>
            </w:r>
          </w:p>
        </w:tc>
        <w:tc>
          <w:tcPr>
            <w:tcW w:w="833" w:type="pct"/>
            <w:vAlign w:val="center"/>
          </w:tcPr>
          <w:p w14:paraId="4A82D33E" w14:textId="77777777" w:rsidR="009358D4" w:rsidRPr="00210AC6" w:rsidRDefault="009358D4">
            <w:pPr>
              <w:jc w:val="center"/>
              <w:rPr>
                <w:rFonts w:cs="Arial"/>
                <w:szCs w:val="16"/>
              </w:rPr>
            </w:pPr>
            <w:r w:rsidRPr="00781112">
              <w:rPr>
                <w:rFonts w:cs="Arial"/>
                <w:color w:val="000000" w:themeColor="text1"/>
                <w:szCs w:val="16"/>
              </w:rPr>
              <w:t>Grade 4</w:t>
            </w:r>
          </w:p>
        </w:tc>
        <w:tc>
          <w:tcPr>
            <w:tcW w:w="833" w:type="pct"/>
          </w:tcPr>
          <w:p w14:paraId="17EEC8F8" w14:textId="77777777" w:rsidR="009358D4" w:rsidRPr="00210AC6" w:rsidRDefault="009358D4">
            <w:pPr>
              <w:rPr>
                <w:rFonts w:cs="Arial"/>
                <w:szCs w:val="16"/>
              </w:rPr>
            </w:pPr>
            <w:r>
              <w:rPr>
                <w:rFonts w:cs="Arial"/>
                <w:szCs w:val="16"/>
              </w:rPr>
              <w:t>87%</w:t>
            </w:r>
          </w:p>
        </w:tc>
        <w:tc>
          <w:tcPr>
            <w:tcW w:w="833" w:type="pct"/>
          </w:tcPr>
          <w:p w14:paraId="3EA08499" w14:textId="77777777" w:rsidR="009358D4" w:rsidRPr="008B60AB" w:rsidRDefault="009358D4">
            <w:pPr>
              <w:rPr>
                <w:rFonts w:cs="Arial"/>
                <w:color w:val="000000"/>
                <w:szCs w:val="16"/>
              </w:rPr>
            </w:pPr>
            <w:r>
              <w:rPr>
                <w:rFonts w:cs="Arial"/>
                <w:color w:val="000000"/>
                <w:szCs w:val="16"/>
              </w:rPr>
              <w:t>0</w:t>
            </w:r>
          </w:p>
        </w:tc>
      </w:tr>
      <w:tr w:rsidR="009358D4" w:rsidRPr="008B60AB" w14:paraId="21195B63" w14:textId="77777777">
        <w:tc>
          <w:tcPr>
            <w:tcW w:w="2500" w:type="pct"/>
          </w:tcPr>
          <w:p w14:paraId="6CD4D5ED" w14:textId="77777777" w:rsidR="009358D4" w:rsidRPr="00210AC6" w:rsidRDefault="009358D4">
            <w:pPr>
              <w:rPr>
                <w:rFonts w:cs="Arial"/>
                <w:b/>
                <w:bCs/>
                <w:szCs w:val="16"/>
              </w:rPr>
            </w:pPr>
            <w:r w:rsidRPr="002C44AD">
              <w:rPr>
                <w:b/>
                <w:bCs/>
              </w:rPr>
              <w:t>Percentage of Children with Disabilities Participating in Statewide Assessment</w:t>
            </w:r>
          </w:p>
        </w:tc>
        <w:tc>
          <w:tcPr>
            <w:tcW w:w="833" w:type="pct"/>
            <w:vAlign w:val="center"/>
          </w:tcPr>
          <w:p w14:paraId="3C1FD4D1" w14:textId="77777777" w:rsidR="009358D4" w:rsidRPr="00210AC6" w:rsidRDefault="009358D4">
            <w:pPr>
              <w:jc w:val="center"/>
              <w:rPr>
                <w:rFonts w:cs="Arial"/>
                <w:szCs w:val="16"/>
              </w:rPr>
            </w:pPr>
            <w:r w:rsidRPr="00781112">
              <w:rPr>
                <w:rFonts w:cs="Arial"/>
                <w:color w:val="000000" w:themeColor="text1"/>
                <w:szCs w:val="16"/>
              </w:rPr>
              <w:t>Grade 8</w:t>
            </w:r>
          </w:p>
        </w:tc>
        <w:tc>
          <w:tcPr>
            <w:tcW w:w="833" w:type="pct"/>
          </w:tcPr>
          <w:p w14:paraId="2C34292C" w14:textId="77777777" w:rsidR="009358D4" w:rsidRPr="00210AC6" w:rsidRDefault="009358D4">
            <w:pPr>
              <w:rPr>
                <w:rFonts w:cs="Arial"/>
                <w:szCs w:val="16"/>
              </w:rPr>
            </w:pPr>
            <w:r>
              <w:rPr>
                <w:rFonts w:cs="Arial"/>
                <w:szCs w:val="16"/>
              </w:rPr>
              <w:t>83%</w:t>
            </w:r>
          </w:p>
        </w:tc>
        <w:tc>
          <w:tcPr>
            <w:tcW w:w="833" w:type="pct"/>
          </w:tcPr>
          <w:p w14:paraId="681C4F41" w14:textId="77777777" w:rsidR="009358D4" w:rsidRPr="008B60AB" w:rsidRDefault="009358D4">
            <w:pPr>
              <w:rPr>
                <w:rFonts w:cs="Arial"/>
                <w:color w:val="000000"/>
                <w:szCs w:val="16"/>
              </w:rPr>
            </w:pPr>
            <w:r>
              <w:rPr>
                <w:rFonts w:cs="Arial"/>
                <w:color w:val="000000"/>
                <w:szCs w:val="16"/>
              </w:rPr>
              <w:t>0</w:t>
            </w:r>
          </w:p>
        </w:tc>
      </w:tr>
      <w:tr w:rsidR="009358D4" w:rsidRPr="00210AC6" w14:paraId="0D922354" w14:textId="77777777">
        <w:tc>
          <w:tcPr>
            <w:tcW w:w="2500" w:type="pct"/>
          </w:tcPr>
          <w:p w14:paraId="64D3B895" w14:textId="77777777" w:rsidR="009358D4" w:rsidRPr="00210AC6" w:rsidRDefault="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295D213E" w14:textId="77777777" w:rsidR="009358D4" w:rsidRPr="00210AC6" w:rsidRDefault="009358D4">
            <w:pPr>
              <w:jc w:val="center"/>
              <w:rPr>
                <w:rFonts w:cs="Arial"/>
                <w:szCs w:val="16"/>
              </w:rPr>
            </w:pPr>
            <w:r>
              <w:rPr>
                <w:rFonts w:cs="Arial"/>
                <w:szCs w:val="16"/>
              </w:rPr>
              <w:t>Grade 4</w:t>
            </w:r>
          </w:p>
        </w:tc>
        <w:tc>
          <w:tcPr>
            <w:tcW w:w="833" w:type="pct"/>
          </w:tcPr>
          <w:p w14:paraId="74D11DB0" w14:textId="77777777" w:rsidR="009358D4" w:rsidRPr="00210AC6" w:rsidRDefault="009358D4">
            <w:pPr>
              <w:rPr>
                <w:rFonts w:cs="Arial"/>
                <w:szCs w:val="16"/>
              </w:rPr>
            </w:pPr>
            <w:r w:rsidRPr="00210AC6">
              <w:rPr>
                <w:rFonts w:cs="Arial"/>
                <w:szCs w:val="16"/>
              </w:rPr>
              <w:t>22%</w:t>
            </w:r>
          </w:p>
        </w:tc>
        <w:tc>
          <w:tcPr>
            <w:tcW w:w="833" w:type="pct"/>
          </w:tcPr>
          <w:p w14:paraId="156CE4CC" w14:textId="77777777" w:rsidR="009358D4" w:rsidRPr="00210AC6" w:rsidRDefault="009358D4">
            <w:pPr>
              <w:rPr>
                <w:rFonts w:cs="Arial"/>
                <w:szCs w:val="16"/>
              </w:rPr>
            </w:pPr>
            <w:r w:rsidRPr="00210AC6">
              <w:rPr>
                <w:rFonts w:cs="Arial"/>
                <w:szCs w:val="16"/>
              </w:rPr>
              <w:t>1</w:t>
            </w:r>
          </w:p>
        </w:tc>
      </w:tr>
      <w:tr w:rsidR="009358D4" w:rsidRPr="00210AC6" w14:paraId="7649C6B5" w14:textId="77777777">
        <w:tc>
          <w:tcPr>
            <w:tcW w:w="2500" w:type="pct"/>
          </w:tcPr>
          <w:p w14:paraId="3A62105A" w14:textId="77777777" w:rsidR="009358D4" w:rsidRPr="00210AC6" w:rsidRDefault="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5F1A276F" w14:textId="77777777" w:rsidR="009358D4" w:rsidRPr="00210AC6" w:rsidRDefault="009358D4">
            <w:pPr>
              <w:jc w:val="center"/>
              <w:rPr>
                <w:rFonts w:cs="Arial"/>
                <w:szCs w:val="16"/>
              </w:rPr>
            </w:pPr>
            <w:r>
              <w:rPr>
                <w:rFonts w:cs="Arial"/>
                <w:szCs w:val="16"/>
              </w:rPr>
              <w:t>Grade 4</w:t>
            </w:r>
          </w:p>
        </w:tc>
        <w:tc>
          <w:tcPr>
            <w:tcW w:w="833" w:type="pct"/>
          </w:tcPr>
          <w:p w14:paraId="0967A5E5" w14:textId="77777777" w:rsidR="009358D4" w:rsidRPr="00210AC6" w:rsidRDefault="009358D4">
            <w:pPr>
              <w:rPr>
                <w:rFonts w:cs="Arial"/>
                <w:szCs w:val="16"/>
              </w:rPr>
            </w:pPr>
            <w:r w:rsidRPr="00210AC6">
              <w:rPr>
                <w:rFonts w:cs="Arial"/>
                <w:szCs w:val="16"/>
              </w:rPr>
              <w:t>93%</w:t>
            </w:r>
          </w:p>
        </w:tc>
        <w:tc>
          <w:tcPr>
            <w:tcW w:w="833" w:type="pct"/>
          </w:tcPr>
          <w:p w14:paraId="6853EA20" w14:textId="77777777" w:rsidR="009358D4" w:rsidRPr="00210AC6" w:rsidRDefault="009358D4">
            <w:pPr>
              <w:rPr>
                <w:rFonts w:cs="Arial"/>
                <w:szCs w:val="16"/>
              </w:rPr>
            </w:pPr>
            <w:r w:rsidRPr="00210AC6">
              <w:rPr>
                <w:rFonts w:cs="Arial"/>
                <w:szCs w:val="16"/>
              </w:rPr>
              <w:t>1</w:t>
            </w:r>
          </w:p>
        </w:tc>
      </w:tr>
      <w:tr w:rsidR="009358D4" w:rsidRPr="00210AC6" w14:paraId="724E6E1A" w14:textId="77777777">
        <w:tc>
          <w:tcPr>
            <w:tcW w:w="2500" w:type="pct"/>
          </w:tcPr>
          <w:p w14:paraId="0758FBFA" w14:textId="77777777" w:rsidR="009358D4" w:rsidRPr="00210AC6" w:rsidRDefault="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7BC760C9" w14:textId="77777777" w:rsidR="009358D4" w:rsidRPr="00210AC6" w:rsidRDefault="009358D4">
            <w:pPr>
              <w:jc w:val="center"/>
              <w:rPr>
                <w:rFonts w:cs="Arial"/>
                <w:szCs w:val="16"/>
              </w:rPr>
            </w:pPr>
            <w:r>
              <w:rPr>
                <w:rFonts w:cs="Arial"/>
                <w:szCs w:val="16"/>
              </w:rPr>
              <w:t>Grade 8</w:t>
            </w:r>
          </w:p>
        </w:tc>
        <w:tc>
          <w:tcPr>
            <w:tcW w:w="833" w:type="pct"/>
          </w:tcPr>
          <w:p w14:paraId="2AD8FD5A" w14:textId="77777777" w:rsidR="009358D4" w:rsidRPr="00210AC6" w:rsidRDefault="009358D4">
            <w:pPr>
              <w:rPr>
                <w:rFonts w:cs="Arial"/>
                <w:szCs w:val="16"/>
              </w:rPr>
            </w:pPr>
            <w:r w:rsidRPr="00210AC6">
              <w:rPr>
                <w:rFonts w:cs="Arial"/>
                <w:szCs w:val="16"/>
              </w:rPr>
              <w:t>34%</w:t>
            </w:r>
          </w:p>
        </w:tc>
        <w:tc>
          <w:tcPr>
            <w:tcW w:w="833" w:type="pct"/>
          </w:tcPr>
          <w:p w14:paraId="617C22C3" w14:textId="77777777" w:rsidR="009358D4" w:rsidRPr="00210AC6" w:rsidRDefault="009358D4">
            <w:pPr>
              <w:rPr>
                <w:rFonts w:cs="Arial"/>
                <w:szCs w:val="16"/>
              </w:rPr>
            </w:pPr>
            <w:r w:rsidRPr="00210AC6">
              <w:rPr>
                <w:rFonts w:cs="Arial"/>
                <w:szCs w:val="16"/>
              </w:rPr>
              <w:t>2</w:t>
            </w:r>
          </w:p>
        </w:tc>
      </w:tr>
      <w:tr w:rsidR="009358D4" w:rsidRPr="00210AC6" w14:paraId="36EDA184" w14:textId="77777777">
        <w:tc>
          <w:tcPr>
            <w:tcW w:w="2500" w:type="pct"/>
          </w:tcPr>
          <w:p w14:paraId="45E2BE6D" w14:textId="77777777" w:rsidR="009358D4" w:rsidRPr="00210AC6" w:rsidRDefault="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26B0337E" w14:textId="77777777" w:rsidR="009358D4" w:rsidRPr="00210AC6" w:rsidRDefault="009358D4">
            <w:pPr>
              <w:jc w:val="center"/>
              <w:rPr>
                <w:rFonts w:cs="Arial"/>
                <w:szCs w:val="16"/>
              </w:rPr>
            </w:pPr>
            <w:r>
              <w:rPr>
                <w:rFonts w:cs="Arial"/>
                <w:szCs w:val="16"/>
              </w:rPr>
              <w:t>Grade 8</w:t>
            </w:r>
          </w:p>
        </w:tc>
        <w:tc>
          <w:tcPr>
            <w:tcW w:w="833" w:type="pct"/>
          </w:tcPr>
          <w:p w14:paraId="50B41EB9" w14:textId="77777777" w:rsidR="009358D4" w:rsidRPr="00210AC6" w:rsidRDefault="009358D4">
            <w:pPr>
              <w:rPr>
                <w:rFonts w:cs="Arial"/>
                <w:szCs w:val="16"/>
              </w:rPr>
            </w:pPr>
            <w:r w:rsidRPr="00210AC6">
              <w:rPr>
                <w:rFonts w:cs="Arial"/>
                <w:szCs w:val="16"/>
              </w:rPr>
              <w:t>90%</w:t>
            </w:r>
          </w:p>
        </w:tc>
        <w:tc>
          <w:tcPr>
            <w:tcW w:w="833" w:type="pct"/>
          </w:tcPr>
          <w:p w14:paraId="290B70A8" w14:textId="77777777" w:rsidR="009358D4" w:rsidRPr="00210AC6" w:rsidRDefault="009358D4">
            <w:pPr>
              <w:rPr>
                <w:rFonts w:cs="Arial"/>
                <w:szCs w:val="16"/>
              </w:rPr>
            </w:pPr>
            <w:r w:rsidRPr="00210AC6">
              <w:rPr>
                <w:rFonts w:cs="Arial"/>
                <w:szCs w:val="16"/>
              </w:rPr>
              <w:t>1</w:t>
            </w:r>
          </w:p>
        </w:tc>
      </w:tr>
    </w:tbl>
    <w:p w14:paraId="160341AB" w14:textId="77777777" w:rsidR="00D4744F" w:rsidRDefault="00D4744F" w:rsidP="00BE0EEF">
      <w:pPr>
        <w:rPr>
          <w:rFonts w:cs="Arial"/>
          <w:b/>
          <w:bCs/>
          <w:szCs w:val="16"/>
        </w:rPr>
      </w:pPr>
    </w:p>
    <w:p w14:paraId="07CD2882" w14:textId="6892BE17" w:rsidR="00353EB1" w:rsidRDefault="00395B6C" w:rsidP="00BE0EEF">
      <w:pPr>
        <w:rPr>
          <w:rFonts w:cs="Arial"/>
          <w:b/>
          <w:bCs/>
          <w:szCs w:val="16"/>
        </w:rPr>
      </w:pPr>
      <w:r w:rsidRPr="00395B6C">
        <w:rPr>
          <w:rFonts w:cs="Arial"/>
          <w:b/>
          <w:bCs/>
          <w:szCs w:val="16"/>
        </w:rPr>
        <w:t>Math Assessment Elements</w:t>
      </w:r>
    </w:p>
    <w:tbl>
      <w:tblPr>
        <w:tblStyle w:val="TableGrid1"/>
        <w:tblW w:w="5000" w:type="pct"/>
        <w:tblLayout w:type="fixed"/>
        <w:tblLook w:val="04A0" w:firstRow="1" w:lastRow="0" w:firstColumn="1" w:lastColumn="0" w:noHBand="0" w:noVBand="1"/>
        <w:tblCaption w:val="BMTHENNSRSTCFFY"/>
      </w:tblPr>
      <w:tblGrid>
        <w:gridCol w:w="5396"/>
        <w:gridCol w:w="1798"/>
        <w:gridCol w:w="1798"/>
        <w:gridCol w:w="1798"/>
      </w:tblGrid>
      <w:tr w:rsidR="00440D29" w:rsidRPr="00210AC6" w14:paraId="469D669E" w14:textId="77777777" w:rsidTr="00440D29">
        <w:trPr>
          <w:tblHeader/>
        </w:trPr>
        <w:tc>
          <w:tcPr>
            <w:tcW w:w="2500" w:type="pct"/>
          </w:tcPr>
          <w:p w14:paraId="6D4794B6" w14:textId="77777777" w:rsidR="00440D29" w:rsidRPr="00210AC6" w:rsidRDefault="00440D29" w:rsidP="00EE6889">
            <w:pPr>
              <w:rPr>
                <w:rFonts w:cs="Arial"/>
                <w:b/>
                <w:bCs/>
                <w:szCs w:val="16"/>
              </w:rPr>
            </w:pPr>
            <w:r w:rsidRPr="00210AC6">
              <w:rPr>
                <w:rFonts w:cs="Arial"/>
                <w:b/>
                <w:bCs/>
                <w:szCs w:val="16"/>
              </w:rPr>
              <w:t>Math Assessment Elements</w:t>
            </w:r>
          </w:p>
        </w:tc>
        <w:tc>
          <w:tcPr>
            <w:tcW w:w="833" w:type="pct"/>
          </w:tcPr>
          <w:p w14:paraId="7ED216ED" w14:textId="543B82C9" w:rsidR="00440D29" w:rsidRPr="00210AC6" w:rsidRDefault="00440D29" w:rsidP="00440D29">
            <w:pPr>
              <w:jc w:val="center"/>
              <w:rPr>
                <w:rFonts w:cs="Arial"/>
                <w:b/>
                <w:bCs/>
                <w:szCs w:val="16"/>
              </w:rPr>
            </w:pPr>
            <w:r>
              <w:rPr>
                <w:rFonts w:cs="Arial"/>
                <w:b/>
                <w:bCs/>
                <w:szCs w:val="16"/>
              </w:rPr>
              <w:t>Grade</w:t>
            </w:r>
          </w:p>
        </w:tc>
        <w:tc>
          <w:tcPr>
            <w:tcW w:w="833" w:type="pct"/>
          </w:tcPr>
          <w:p w14:paraId="6E210526" w14:textId="3C0DF739" w:rsidR="00440D29" w:rsidRPr="00210AC6" w:rsidRDefault="00440D29" w:rsidP="00EE6889">
            <w:pPr>
              <w:rPr>
                <w:rFonts w:cs="Arial"/>
                <w:b/>
                <w:bCs/>
                <w:szCs w:val="16"/>
              </w:rPr>
            </w:pPr>
            <w:r w:rsidRPr="00210AC6">
              <w:rPr>
                <w:rFonts w:cs="Arial"/>
                <w:b/>
                <w:bCs/>
                <w:szCs w:val="16"/>
              </w:rPr>
              <w:t>Performance (%)</w:t>
            </w:r>
          </w:p>
        </w:tc>
        <w:tc>
          <w:tcPr>
            <w:tcW w:w="833" w:type="pct"/>
          </w:tcPr>
          <w:p w14:paraId="03CF668A" w14:textId="77777777" w:rsidR="00440D29" w:rsidRPr="00210AC6" w:rsidRDefault="00440D29" w:rsidP="00EE6889">
            <w:pPr>
              <w:rPr>
                <w:rFonts w:cs="Arial"/>
                <w:b/>
                <w:bCs/>
                <w:szCs w:val="16"/>
              </w:rPr>
            </w:pPr>
            <w:r w:rsidRPr="00210AC6">
              <w:rPr>
                <w:rFonts w:cs="Arial"/>
                <w:b/>
                <w:bCs/>
                <w:szCs w:val="16"/>
              </w:rPr>
              <w:t>Score</w:t>
            </w:r>
          </w:p>
        </w:tc>
      </w:tr>
      <w:tr w:rsidR="009358D4" w:rsidRPr="00210AC6" w14:paraId="715F4C9D" w14:textId="77777777" w:rsidTr="00440D29">
        <w:tc>
          <w:tcPr>
            <w:tcW w:w="2500" w:type="pct"/>
          </w:tcPr>
          <w:p w14:paraId="1318C25B" w14:textId="5052609F" w:rsidR="009358D4" w:rsidRPr="00210AC6" w:rsidRDefault="009358D4" w:rsidP="009358D4">
            <w:pPr>
              <w:rPr>
                <w:rFonts w:cs="Arial"/>
                <w:b/>
                <w:bCs/>
                <w:szCs w:val="16"/>
              </w:rPr>
            </w:pPr>
            <w:r w:rsidRPr="002C44AD">
              <w:rPr>
                <w:b/>
                <w:bCs/>
              </w:rPr>
              <w:t>Percentage of Children with Disabilities Participating in Statewide Assessment</w:t>
            </w:r>
          </w:p>
        </w:tc>
        <w:tc>
          <w:tcPr>
            <w:tcW w:w="833" w:type="pct"/>
            <w:vAlign w:val="center"/>
          </w:tcPr>
          <w:p w14:paraId="37E4E49E" w14:textId="03518D4E" w:rsidR="009358D4" w:rsidRPr="00210AC6" w:rsidRDefault="009358D4" w:rsidP="009358D4">
            <w:pPr>
              <w:jc w:val="center"/>
              <w:rPr>
                <w:rFonts w:cs="Arial"/>
                <w:szCs w:val="16"/>
              </w:rPr>
            </w:pPr>
            <w:r w:rsidRPr="00781112">
              <w:rPr>
                <w:rFonts w:cs="Arial"/>
                <w:color w:val="000000" w:themeColor="text1"/>
                <w:szCs w:val="16"/>
              </w:rPr>
              <w:t>Grade 4</w:t>
            </w:r>
          </w:p>
        </w:tc>
        <w:tc>
          <w:tcPr>
            <w:tcW w:w="833" w:type="pct"/>
          </w:tcPr>
          <w:p w14:paraId="632346C8" w14:textId="6AA69F22" w:rsidR="009358D4" w:rsidRPr="008B60AB" w:rsidRDefault="009358D4" w:rsidP="009358D4">
            <w:pPr>
              <w:rPr>
                <w:rFonts w:cs="Arial"/>
                <w:color w:val="000000"/>
                <w:szCs w:val="16"/>
              </w:rPr>
            </w:pPr>
            <w:r>
              <w:rPr>
                <w:rFonts w:cs="Arial"/>
                <w:color w:val="000000"/>
                <w:szCs w:val="16"/>
              </w:rPr>
              <w:t>87%</w:t>
            </w:r>
          </w:p>
        </w:tc>
        <w:tc>
          <w:tcPr>
            <w:tcW w:w="833" w:type="pct"/>
          </w:tcPr>
          <w:p w14:paraId="5B5F4823" w14:textId="1533C53B" w:rsidR="009358D4" w:rsidRPr="008B60AB" w:rsidRDefault="009358D4" w:rsidP="009358D4">
            <w:pPr>
              <w:rPr>
                <w:rFonts w:cs="Arial"/>
                <w:color w:val="000000"/>
                <w:szCs w:val="16"/>
              </w:rPr>
            </w:pPr>
            <w:r>
              <w:rPr>
                <w:rFonts w:cs="Arial"/>
                <w:color w:val="000000"/>
                <w:szCs w:val="16"/>
              </w:rPr>
              <w:t>0</w:t>
            </w:r>
          </w:p>
        </w:tc>
      </w:tr>
      <w:tr w:rsidR="009358D4" w:rsidRPr="00210AC6" w14:paraId="2E5CAE5E" w14:textId="77777777" w:rsidTr="00440D29">
        <w:tc>
          <w:tcPr>
            <w:tcW w:w="2500" w:type="pct"/>
          </w:tcPr>
          <w:p w14:paraId="700B246F" w14:textId="7E2225CC" w:rsidR="009358D4" w:rsidRPr="00210AC6" w:rsidRDefault="009358D4" w:rsidP="009358D4">
            <w:pPr>
              <w:rPr>
                <w:rFonts w:cs="Arial"/>
                <w:b/>
                <w:bCs/>
                <w:szCs w:val="16"/>
              </w:rPr>
            </w:pPr>
            <w:r w:rsidRPr="002C44AD">
              <w:rPr>
                <w:b/>
                <w:bCs/>
              </w:rPr>
              <w:t>Percentage of Children with Disabilities Participating in Statewide Assessment</w:t>
            </w:r>
          </w:p>
        </w:tc>
        <w:tc>
          <w:tcPr>
            <w:tcW w:w="833" w:type="pct"/>
            <w:vAlign w:val="center"/>
          </w:tcPr>
          <w:p w14:paraId="7681AAD6" w14:textId="7F10FA3E" w:rsidR="009358D4" w:rsidRPr="00210AC6" w:rsidRDefault="009358D4" w:rsidP="009358D4">
            <w:pPr>
              <w:jc w:val="center"/>
              <w:rPr>
                <w:rFonts w:cs="Arial"/>
                <w:szCs w:val="16"/>
              </w:rPr>
            </w:pPr>
            <w:r w:rsidRPr="00781112">
              <w:rPr>
                <w:rFonts w:cs="Arial"/>
                <w:color w:val="000000" w:themeColor="text1"/>
                <w:szCs w:val="16"/>
              </w:rPr>
              <w:t>Grade 8</w:t>
            </w:r>
          </w:p>
        </w:tc>
        <w:tc>
          <w:tcPr>
            <w:tcW w:w="833" w:type="pct"/>
          </w:tcPr>
          <w:p w14:paraId="6783BEF6" w14:textId="495D1588" w:rsidR="009358D4" w:rsidRPr="008B60AB" w:rsidRDefault="009358D4" w:rsidP="009358D4">
            <w:pPr>
              <w:rPr>
                <w:rFonts w:cs="Arial"/>
                <w:color w:val="000000"/>
                <w:szCs w:val="16"/>
              </w:rPr>
            </w:pPr>
            <w:r>
              <w:rPr>
                <w:rFonts w:cs="Arial"/>
                <w:color w:val="000000"/>
                <w:szCs w:val="16"/>
              </w:rPr>
              <w:t>81%</w:t>
            </w:r>
          </w:p>
        </w:tc>
        <w:tc>
          <w:tcPr>
            <w:tcW w:w="833" w:type="pct"/>
          </w:tcPr>
          <w:p w14:paraId="4441E0DF" w14:textId="130FE9BC" w:rsidR="009358D4" w:rsidRPr="008B60AB" w:rsidRDefault="009358D4" w:rsidP="009358D4">
            <w:pPr>
              <w:rPr>
                <w:rFonts w:cs="Arial"/>
                <w:color w:val="000000"/>
                <w:szCs w:val="16"/>
              </w:rPr>
            </w:pPr>
            <w:r>
              <w:rPr>
                <w:rFonts w:cs="Arial"/>
                <w:color w:val="000000"/>
                <w:szCs w:val="16"/>
              </w:rPr>
              <w:t>0</w:t>
            </w:r>
          </w:p>
        </w:tc>
      </w:tr>
      <w:tr w:rsidR="009358D4" w:rsidRPr="00210AC6" w14:paraId="2317DBF2" w14:textId="77777777">
        <w:tc>
          <w:tcPr>
            <w:tcW w:w="2500" w:type="pct"/>
          </w:tcPr>
          <w:p w14:paraId="349A2072" w14:textId="64869747" w:rsidR="009358D4" w:rsidRPr="00210AC6" w:rsidRDefault="009358D4" w:rsidP="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17DB7628" w14:textId="1A6671A9" w:rsidR="009358D4" w:rsidRPr="00210AC6" w:rsidRDefault="009358D4" w:rsidP="009358D4">
            <w:pPr>
              <w:jc w:val="center"/>
              <w:rPr>
                <w:rFonts w:cs="Arial"/>
                <w:szCs w:val="16"/>
              </w:rPr>
            </w:pPr>
            <w:r>
              <w:rPr>
                <w:rFonts w:cs="Arial"/>
                <w:szCs w:val="16"/>
              </w:rPr>
              <w:t>Grade 4</w:t>
            </w:r>
          </w:p>
        </w:tc>
        <w:tc>
          <w:tcPr>
            <w:tcW w:w="833" w:type="pct"/>
          </w:tcPr>
          <w:p w14:paraId="59508D9C" w14:textId="67232554" w:rsidR="009358D4" w:rsidRPr="008B60AB" w:rsidRDefault="009358D4" w:rsidP="009358D4">
            <w:pPr>
              <w:rPr>
                <w:rFonts w:cs="Arial"/>
                <w:color w:val="000000"/>
                <w:szCs w:val="16"/>
              </w:rPr>
            </w:pPr>
            <w:r w:rsidRPr="00210AC6">
              <w:rPr>
                <w:rFonts w:cs="Arial"/>
                <w:szCs w:val="16"/>
              </w:rPr>
              <w:t>42%</w:t>
            </w:r>
          </w:p>
        </w:tc>
        <w:tc>
          <w:tcPr>
            <w:tcW w:w="833" w:type="pct"/>
          </w:tcPr>
          <w:p w14:paraId="0255728A" w14:textId="4A5BE58D" w:rsidR="009358D4" w:rsidRPr="008B60AB" w:rsidRDefault="009358D4" w:rsidP="009358D4">
            <w:pPr>
              <w:rPr>
                <w:rFonts w:cs="Arial"/>
                <w:color w:val="000000"/>
                <w:szCs w:val="16"/>
              </w:rPr>
            </w:pPr>
            <w:r w:rsidRPr="00210AC6">
              <w:rPr>
                <w:rFonts w:cs="Arial"/>
                <w:szCs w:val="16"/>
              </w:rPr>
              <w:t>1</w:t>
            </w:r>
          </w:p>
        </w:tc>
      </w:tr>
      <w:tr w:rsidR="009358D4" w:rsidRPr="00210AC6" w14:paraId="64DF3CC7" w14:textId="77777777" w:rsidTr="00440D29">
        <w:tc>
          <w:tcPr>
            <w:tcW w:w="2500" w:type="pct"/>
          </w:tcPr>
          <w:p w14:paraId="1F7694DD" w14:textId="42822A7D" w:rsidR="009358D4" w:rsidRPr="00210AC6" w:rsidRDefault="009358D4" w:rsidP="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45EC1C72" w14:textId="16A4D634" w:rsidR="009358D4" w:rsidRPr="00210AC6" w:rsidRDefault="009358D4" w:rsidP="009358D4">
            <w:pPr>
              <w:jc w:val="center"/>
              <w:rPr>
                <w:rFonts w:cs="Arial"/>
                <w:szCs w:val="16"/>
              </w:rPr>
            </w:pPr>
            <w:r>
              <w:rPr>
                <w:rFonts w:cs="Arial"/>
                <w:szCs w:val="16"/>
              </w:rPr>
              <w:t>Grade 4</w:t>
            </w:r>
          </w:p>
        </w:tc>
        <w:tc>
          <w:tcPr>
            <w:tcW w:w="833" w:type="pct"/>
          </w:tcPr>
          <w:p w14:paraId="2339B77B" w14:textId="4CBA45BB" w:rsidR="009358D4" w:rsidRPr="00210AC6" w:rsidRDefault="009358D4" w:rsidP="009358D4">
            <w:pPr>
              <w:rPr>
                <w:rFonts w:cs="Arial"/>
                <w:szCs w:val="16"/>
              </w:rPr>
            </w:pPr>
            <w:r w:rsidRPr="00210AC6">
              <w:rPr>
                <w:rFonts w:cs="Arial"/>
                <w:szCs w:val="16"/>
              </w:rPr>
              <w:t>92%</w:t>
            </w:r>
          </w:p>
        </w:tc>
        <w:tc>
          <w:tcPr>
            <w:tcW w:w="833" w:type="pct"/>
          </w:tcPr>
          <w:p w14:paraId="7840B150" w14:textId="211203A8" w:rsidR="009358D4" w:rsidRPr="00210AC6" w:rsidRDefault="009358D4" w:rsidP="009358D4">
            <w:pPr>
              <w:rPr>
                <w:rFonts w:cs="Arial"/>
                <w:szCs w:val="16"/>
              </w:rPr>
            </w:pPr>
            <w:r w:rsidRPr="00210AC6">
              <w:rPr>
                <w:rFonts w:cs="Arial"/>
                <w:szCs w:val="16"/>
              </w:rPr>
              <w:t>1</w:t>
            </w:r>
          </w:p>
        </w:tc>
      </w:tr>
      <w:tr w:rsidR="009358D4" w:rsidRPr="00210AC6" w14:paraId="76362DFE" w14:textId="77777777" w:rsidTr="00440D29">
        <w:tc>
          <w:tcPr>
            <w:tcW w:w="2500" w:type="pct"/>
          </w:tcPr>
          <w:p w14:paraId="632B7BBA" w14:textId="4B230D03" w:rsidR="009358D4" w:rsidRPr="00210AC6" w:rsidRDefault="009358D4" w:rsidP="009358D4">
            <w:pPr>
              <w:rPr>
                <w:rFonts w:cs="Arial"/>
                <w:b/>
                <w:bCs/>
                <w:szCs w:val="16"/>
              </w:rPr>
            </w:pPr>
            <w:r w:rsidRPr="00210AC6">
              <w:rPr>
                <w:rFonts w:cs="Arial"/>
                <w:b/>
                <w:bCs/>
                <w:szCs w:val="16"/>
              </w:rPr>
              <w:t>Percentage of Children with Disabilities Scoring at Basic or Above on the National Assessment of Educational Progress</w:t>
            </w:r>
          </w:p>
        </w:tc>
        <w:tc>
          <w:tcPr>
            <w:tcW w:w="833" w:type="pct"/>
          </w:tcPr>
          <w:p w14:paraId="00170E75" w14:textId="1AB702C9" w:rsidR="009358D4" w:rsidRPr="00210AC6" w:rsidRDefault="009358D4" w:rsidP="009358D4">
            <w:pPr>
              <w:jc w:val="center"/>
              <w:rPr>
                <w:rFonts w:cs="Arial"/>
                <w:szCs w:val="16"/>
              </w:rPr>
            </w:pPr>
            <w:r>
              <w:rPr>
                <w:rFonts w:cs="Arial"/>
                <w:szCs w:val="16"/>
              </w:rPr>
              <w:t>Grade 8</w:t>
            </w:r>
          </w:p>
        </w:tc>
        <w:tc>
          <w:tcPr>
            <w:tcW w:w="833" w:type="pct"/>
          </w:tcPr>
          <w:p w14:paraId="16367BD2" w14:textId="79F29290" w:rsidR="009358D4" w:rsidRPr="00210AC6" w:rsidRDefault="009358D4" w:rsidP="009358D4">
            <w:pPr>
              <w:rPr>
                <w:rFonts w:cs="Arial"/>
                <w:szCs w:val="16"/>
              </w:rPr>
            </w:pPr>
            <w:r w:rsidRPr="00210AC6">
              <w:rPr>
                <w:rFonts w:cs="Arial"/>
                <w:szCs w:val="16"/>
              </w:rPr>
              <w:t>20%</w:t>
            </w:r>
          </w:p>
        </w:tc>
        <w:tc>
          <w:tcPr>
            <w:tcW w:w="833" w:type="pct"/>
          </w:tcPr>
          <w:p w14:paraId="4338D452" w14:textId="69ED8B55" w:rsidR="009358D4" w:rsidRPr="00210AC6" w:rsidRDefault="009358D4" w:rsidP="009358D4">
            <w:pPr>
              <w:rPr>
                <w:rFonts w:cs="Arial"/>
                <w:szCs w:val="16"/>
              </w:rPr>
            </w:pPr>
            <w:r w:rsidRPr="00210AC6">
              <w:rPr>
                <w:rFonts w:cs="Arial"/>
                <w:szCs w:val="16"/>
              </w:rPr>
              <w:t>1</w:t>
            </w:r>
          </w:p>
        </w:tc>
      </w:tr>
      <w:tr w:rsidR="009358D4" w:rsidRPr="00210AC6" w14:paraId="6ACA5C8B" w14:textId="77777777" w:rsidTr="00440D29">
        <w:tc>
          <w:tcPr>
            <w:tcW w:w="2500" w:type="pct"/>
          </w:tcPr>
          <w:p w14:paraId="178F722C" w14:textId="590720CE" w:rsidR="009358D4" w:rsidRPr="00210AC6" w:rsidRDefault="009358D4" w:rsidP="009358D4">
            <w:pPr>
              <w:rPr>
                <w:rFonts w:cs="Arial"/>
                <w:b/>
                <w:bCs/>
                <w:szCs w:val="16"/>
              </w:rPr>
            </w:pPr>
            <w:r w:rsidRPr="00210AC6">
              <w:rPr>
                <w:rFonts w:cs="Arial"/>
                <w:b/>
                <w:bCs/>
                <w:szCs w:val="16"/>
              </w:rPr>
              <w:t>Percentage of Children with Disabilities Included in Testing on the National Assessment of Educational Progress</w:t>
            </w:r>
          </w:p>
        </w:tc>
        <w:tc>
          <w:tcPr>
            <w:tcW w:w="833" w:type="pct"/>
          </w:tcPr>
          <w:p w14:paraId="78046286" w14:textId="01827261" w:rsidR="009358D4" w:rsidRPr="00210AC6" w:rsidRDefault="009358D4" w:rsidP="009358D4">
            <w:pPr>
              <w:jc w:val="center"/>
              <w:rPr>
                <w:rFonts w:cs="Arial"/>
                <w:szCs w:val="16"/>
              </w:rPr>
            </w:pPr>
            <w:r>
              <w:rPr>
                <w:rFonts w:cs="Arial"/>
                <w:szCs w:val="16"/>
              </w:rPr>
              <w:t>Grade 8</w:t>
            </w:r>
          </w:p>
        </w:tc>
        <w:tc>
          <w:tcPr>
            <w:tcW w:w="833" w:type="pct"/>
          </w:tcPr>
          <w:p w14:paraId="751BB010" w14:textId="046AAA2A" w:rsidR="009358D4" w:rsidRPr="00210AC6" w:rsidRDefault="009358D4" w:rsidP="009358D4">
            <w:pPr>
              <w:rPr>
                <w:rFonts w:cs="Arial"/>
                <w:szCs w:val="16"/>
              </w:rPr>
            </w:pPr>
            <w:r w:rsidRPr="00210AC6">
              <w:rPr>
                <w:rFonts w:cs="Arial"/>
                <w:szCs w:val="16"/>
              </w:rPr>
              <w:t>94%</w:t>
            </w:r>
          </w:p>
        </w:tc>
        <w:tc>
          <w:tcPr>
            <w:tcW w:w="833" w:type="pct"/>
          </w:tcPr>
          <w:p w14:paraId="423E4ADA" w14:textId="0B0EC635" w:rsidR="009358D4" w:rsidRPr="00210AC6" w:rsidRDefault="009358D4" w:rsidP="009358D4">
            <w:pPr>
              <w:rPr>
                <w:rFonts w:cs="Arial"/>
                <w:szCs w:val="16"/>
              </w:rPr>
            </w:pPr>
            <w:r w:rsidRPr="00210AC6">
              <w:rPr>
                <w:rFonts w:cs="Arial"/>
                <w:szCs w:val="16"/>
              </w:rPr>
              <w:t>1</w:t>
            </w:r>
          </w:p>
        </w:tc>
      </w:tr>
    </w:tbl>
    <w:p w14:paraId="5A9BC4D5" w14:textId="77777777" w:rsidR="008E3C06" w:rsidRPr="00FB3CF2" w:rsidRDefault="008E3C06" w:rsidP="004613BA">
      <w:pPr>
        <w:rPr>
          <w:color w:val="000000" w:themeColor="text1"/>
        </w:rPr>
      </w:pPr>
    </w:p>
    <w:p w14:paraId="03ED391A" w14:textId="77777777" w:rsidR="008E3C06" w:rsidRDefault="008E3C06" w:rsidP="00BE0EEF">
      <w:pPr>
        <w:rPr>
          <w:color w:val="000000" w:themeColor="text1"/>
        </w:rPr>
      </w:pPr>
    </w:p>
    <w:p w14:paraId="14F425F4" w14:textId="6D59475D" w:rsidR="009358D4" w:rsidRPr="00FB3CF2" w:rsidRDefault="009358D4">
      <w:pPr>
        <w:rPr>
          <w:color w:val="000000" w:themeColor="text1"/>
        </w:rPr>
      </w:pPr>
    </w:p>
    <w:p w14:paraId="033F7943" w14:textId="66D89F58" w:rsidR="009358D4" w:rsidRDefault="009358D4" w:rsidP="009358D4">
      <w:pPr>
        <w:rPr>
          <w:rFonts w:cs="Arial"/>
          <w:b/>
          <w:bCs/>
          <w:szCs w:val="16"/>
        </w:rPr>
      </w:pPr>
    </w:p>
    <w:p w14:paraId="351BABEC" w14:textId="77777777" w:rsidR="009358D4" w:rsidRPr="00372273" w:rsidRDefault="009358D4" w:rsidP="009358D4">
      <w:pPr>
        <w:rPr>
          <w:b/>
          <w:bCs/>
          <w:color w:val="000000" w:themeColor="text1"/>
        </w:rPr>
      </w:pPr>
      <w:r w:rsidRPr="00372273">
        <w:rPr>
          <w:b/>
          <w:bCs/>
          <w:color w:val="000000" w:themeColor="text1"/>
        </w:rPr>
        <w:t>(2) Statewide assessments include the regular assessment and the alternate assessment.</w:t>
      </w:r>
    </w:p>
    <w:p w14:paraId="26B2A12B" w14:textId="1B0A42CF" w:rsidR="00570930" w:rsidRPr="0007196B" w:rsidRDefault="00570930">
      <w:pPr>
        <w:spacing w:before="0" w:after="200" w:line="276" w:lineRule="auto"/>
        <w:rPr>
          <w:rFonts w:cs="Arial"/>
          <w:b/>
          <w:bCs/>
          <w:szCs w:val="16"/>
        </w:rPr>
      </w:pPr>
      <w:r w:rsidRPr="0007196B">
        <w:rPr>
          <w:rFonts w:cs="Arial"/>
          <w:b/>
          <w:bCs/>
          <w:szCs w:val="16"/>
        </w:rPr>
        <w:br w:type="page"/>
      </w:r>
    </w:p>
    <w:p w14:paraId="575750B6" w14:textId="01189256" w:rsidR="004613BA" w:rsidRDefault="00BE0EEF" w:rsidP="00BE0EEF">
      <w:pPr>
        <w:rPr>
          <w:rFonts w:cs="Arial"/>
          <w:b/>
          <w:bCs/>
          <w:szCs w:val="16"/>
        </w:rPr>
      </w:pPr>
      <w:r w:rsidRPr="00210AC6">
        <w:rPr>
          <w:rFonts w:cs="Arial"/>
          <w:b/>
          <w:bCs/>
          <w:szCs w:val="16"/>
        </w:rPr>
        <w:lastRenderedPageBreak/>
        <w:t>Exiting Data Elements</w:t>
      </w:r>
    </w:p>
    <w:tbl>
      <w:tblPr>
        <w:tblStyle w:val="TableGrid1"/>
        <w:tblW w:w="5000" w:type="pct"/>
        <w:tblLook w:val="04A0" w:firstRow="1" w:lastRow="0" w:firstColumn="1" w:lastColumn="0" w:noHBand="0" w:noVBand="1"/>
        <w:tblCaption w:val="BENNSRSTCFFYEXIT"/>
      </w:tblPr>
      <w:tblGrid>
        <w:gridCol w:w="4939"/>
        <w:gridCol w:w="2877"/>
        <w:gridCol w:w="2974"/>
      </w:tblGrid>
      <w:tr w:rsidR="0075626F" w14:paraId="7384A561" w14:textId="77777777">
        <w:trPr>
          <w:divId w:val="380713603"/>
          <w:tblHeader/>
        </w:trPr>
        <w:tc>
          <w:tcPr>
            <w:tcW w:w="2289" w:type="pct"/>
            <w:tcBorders>
              <w:top w:val="single" w:sz="4" w:space="0" w:color="auto"/>
              <w:left w:val="single" w:sz="4" w:space="0" w:color="auto"/>
              <w:bottom w:val="single" w:sz="4" w:space="0" w:color="auto"/>
              <w:right w:val="single" w:sz="4" w:space="0" w:color="auto"/>
            </w:tcBorders>
            <w:hideMark/>
          </w:tcPr>
          <w:p w14:paraId="7D74420D" w14:textId="77777777" w:rsidR="0075626F" w:rsidRDefault="0075626F" w:rsidP="0075626F">
            <w:pPr>
              <w:rPr>
                <w:rFonts w:cs="Arial"/>
                <w:b/>
                <w:bCs/>
                <w:szCs w:val="16"/>
              </w:rPr>
            </w:pPr>
            <w:r>
              <w:rPr>
                <w:rFonts w:cs="Arial"/>
                <w:b/>
                <w:bCs/>
                <w:szCs w:val="16"/>
              </w:rPr>
              <w:t>Exiting Data Elements</w:t>
            </w:r>
          </w:p>
        </w:tc>
        <w:tc>
          <w:tcPr>
            <w:tcW w:w="1333" w:type="pct"/>
            <w:tcBorders>
              <w:top w:val="single" w:sz="4" w:space="0" w:color="auto"/>
              <w:left w:val="single" w:sz="4" w:space="0" w:color="auto"/>
              <w:bottom w:val="single" w:sz="4" w:space="0" w:color="auto"/>
              <w:right w:val="single" w:sz="4" w:space="0" w:color="auto"/>
            </w:tcBorders>
            <w:hideMark/>
          </w:tcPr>
          <w:p w14:paraId="7016EA73" w14:textId="77777777" w:rsidR="0075626F" w:rsidRDefault="0075626F" w:rsidP="0075626F">
            <w:pPr>
              <w:rPr>
                <w:rFonts w:cs="Arial"/>
                <w:b/>
                <w:bCs/>
                <w:szCs w:val="16"/>
              </w:rPr>
            </w:pPr>
            <w:r>
              <w:rPr>
                <w:rFonts w:cs="Arial"/>
                <w:b/>
                <w:bCs/>
                <w:szCs w:val="16"/>
              </w:rPr>
              <w:t>Performance (%)</w:t>
            </w:r>
          </w:p>
        </w:tc>
        <w:tc>
          <w:tcPr>
            <w:tcW w:w="1378" w:type="pct"/>
            <w:tcBorders>
              <w:top w:val="single" w:sz="4" w:space="0" w:color="auto"/>
              <w:left w:val="single" w:sz="4" w:space="0" w:color="auto"/>
              <w:bottom w:val="single" w:sz="4" w:space="0" w:color="auto"/>
              <w:right w:val="single" w:sz="4" w:space="0" w:color="auto"/>
            </w:tcBorders>
            <w:hideMark/>
          </w:tcPr>
          <w:p w14:paraId="3A2D3630" w14:textId="77777777" w:rsidR="0075626F" w:rsidRDefault="0075626F" w:rsidP="0075626F">
            <w:pPr>
              <w:rPr>
                <w:rFonts w:cs="Arial"/>
                <w:b/>
                <w:bCs/>
                <w:szCs w:val="16"/>
              </w:rPr>
            </w:pPr>
            <w:r>
              <w:rPr>
                <w:rFonts w:cs="Arial"/>
                <w:b/>
                <w:bCs/>
                <w:szCs w:val="16"/>
              </w:rPr>
              <w:t>Score</w:t>
            </w:r>
          </w:p>
        </w:tc>
      </w:tr>
      <w:tr w:rsidR="0075626F" w14:paraId="47FF2742"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42C96131" w14:textId="77777777" w:rsidR="0075626F" w:rsidRDefault="0075626F" w:rsidP="0075626F">
            <w:pPr>
              <w:rPr>
                <w:rFonts w:cs="Arial"/>
                <w:b/>
                <w:bCs/>
                <w:szCs w:val="16"/>
              </w:rPr>
            </w:pPr>
            <w:r>
              <w:rPr>
                <w:rFonts w:cs="Arial"/>
                <w:b/>
                <w:bCs/>
                <w:szCs w:val="16"/>
              </w:rPr>
              <w:t>Percentage of Children with Disabilities who Dropped Out</w:t>
            </w:r>
          </w:p>
        </w:tc>
        <w:tc>
          <w:tcPr>
            <w:tcW w:w="1333" w:type="pct"/>
            <w:tcBorders>
              <w:top w:val="single" w:sz="4" w:space="0" w:color="auto"/>
              <w:left w:val="single" w:sz="4" w:space="0" w:color="auto"/>
              <w:bottom w:val="single" w:sz="4" w:space="0" w:color="auto"/>
              <w:right w:val="single" w:sz="4" w:space="0" w:color="auto"/>
            </w:tcBorders>
            <w:hideMark/>
          </w:tcPr>
          <w:p w14:paraId="42A25E75" w14:textId="77777777" w:rsidR="0075626F" w:rsidRDefault="0075626F" w:rsidP="0075626F">
            <w:pPr>
              <w:rPr>
                <w:rFonts w:cs="Arial"/>
                <w:szCs w:val="16"/>
              </w:rPr>
            </w:pPr>
            <w:r>
              <w:rPr>
                <w:rFonts w:cs="Arial"/>
                <w:szCs w:val="16"/>
              </w:rPr>
              <w:t>19</w:t>
            </w:r>
          </w:p>
        </w:tc>
        <w:tc>
          <w:tcPr>
            <w:tcW w:w="1378" w:type="pct"/>
            <w:tcBorders>
              <w:top w:val="single" w:sz="4" w:space="0" w:color="auto"/>
              <w:left w:val="single" w:sz="4" w:space="0" w:color="auto"/>
              <w:bottom w:val="single" w:sz="4" w:space="0" w:color="auto"/>
              <w:right w:val="single" w:sz="4" w:space="0" w:color="auto"/>
            </w:tcBorders>
            <w:hideMark/>
          </w:tcPr>
          <w:p w14:paraId="6A0E772F" w14:textId="77777777" w:rsidR="0075626F" w:rsidRDefault="0075626F" w:rsidP="0075626F">
            <w:pPr>
              <w:rPr>
                <w:rFonts w:cs="Arial"/>
                <w:szCs w:val="16"/>
              </w:rPr>
            </w:pPr>
            <w:r>
              <w:rPr>
                <w:rFonts w:cs="Arial"/>
                <w:szCs w:val="16"/>
              </w:rPr>
              <w:t>1</w:t>
            </w:r>
          </w:p>
        </w:tc>
      </w:tr>
      <w:tr w:rsidR="0075626F" w14:paraId="7946F4E5" w14:textId="77777777">
        <w:trPr>
          <w:divId w:val="380713603"/>
        </w:trPr>
        <w:tc>
          <w:tcPr>
            <w:tcW w:w="2289" w:type="pct"/>
            <w:tcBorders>
              <w:top w:val="single" w:sz="4" w:space="0" w:color="auto"/>
              <w:left w:val="single" w:sz="4" w:space="0" w:color="auto"/>
              <w:bottom w:val="single" w:sz="4" w:space="0" w:color="auto"/>
              <w:right w:val="single" w:sz="4" w:space="0" w:color="auto"/>
            </w:tcBorders>
            <w:hideMark/>
          </w:tcPr>
          <w:p w14:paraId="2291D902" w14:textId="3D603B14" w:rsidR="0075626F" w:rsidRDefault="0075626F" w:rsidP="0075626F">
            <w:pPr>
              <w:rPr>
                <w:rFonts w:cs="Arial"/>
                <w:b/>
                <w:bCs/>
                <w:szCs w:val="16"/>
              </w:rPr>
            </w:pPr>
            <w:r>
              <w:rPr>
                <w:rFonts w:cs="Arial"/>
                <w:b/>
                <w:bCs/>
                <w:szCs w:val="16"/>
              </w:rPr>
              <w:t>Percentage of Children with Disabilities who Graduated with a Regular High School Diploma*</w:t>
            </w:r>
          </w:p>
        </w:tc>
        <w:tc>
          <w:tcPr>
            <w:tcW w:w="1333" w:type="pct"/>
            <w:tcBorders>
              <w:top w:val="single" w:sz="4" w:space="0" w:color="auto"/>
              <w:left w:val="single" w:sz="4" w:space="0" w:color="auto"/>
              <w:bottom w:val="single" w:sz="4" w:space="0" w:color="auto"/>
              <w:right w:val="single" w:sz="4" w:space="0" w:color="auto"/>
            </w:tcBorders>
            <w:hideMark/>
          </w:tcPr>
          <w:p w14:paraId="503EE6E2" w14:textId="77777777" w:rsidR="0075626F" w:rsidRDefault="0075626F" w:rsidP="0075626F">
            <w:pPr>
              <w:rPr>
                <w:rFonts w:cs="Arial"/>
                <w:szCs w:val="16"/>
              </w:rPr>
            </w:pPr>
            <w:r>
              <w:rPr>
                <w:rFonts w:cs="Arial"/>
                <w:szCs w:val="16"/>
              </w:rPr>
              <w:t>72</w:t>
            </w:r>
          </w:p>
        </w:tc>
        <w:tc>
          <w:tcPr>
            <w:tcW w:w="1378" w:type="pct"/>
            <w:tcBorders>
              <w:top w:val="single" w:sz="4" w:space="0" w:color="auto"/>
              <w:left w:val="single" w:sz="4" w:space="0" w:color="auto"/>
              <w:bottom w:val="single" w:sz="4" w:space="0" w:color="auto"/>
              <w:right w:val="single" w:sz="4" w:space="0" w:color="auto"/>
            </w:tcBorders>
            <w:hideMark/>
          </w:tcPr>
          <w:p w14:paraId="182C5F0B" w14:textId="77777777" w:rsidR="0075626F" w:rsidRDefault="0075626F" w:rsidP="0075626F">
            <w:pPr>
              <w:rPr>
                <w:rFonts w:cs="Arial"/>
                <w:szCs w:val="16"/>
              </w:rPr>
            </w:pPr>
            <w:r>
              <w:rPr>
                <w:rFonts w:cs="Arial"/>
                <w:szCs w:val="16"/>
              </w:rPr>
              <w:t>1</w:t>
            </w:r>
          </w:p>
        </w:tc>
      </w:tr>
    </w:tbl>
    <w:p w14:paraId="16202BCE" w14:textId="2732BCE2" w:rsidR="006868A2" w:rsidRDefault="006868A2" w:rsidP="006868A2">
      <w:pPr>
        <w:rPr>
          <w:rFonts w:cstheme="minorHAnsi"/>
          <w:szCs w:val="16"/>
        </w:rPr>
      </w:pPr>
      <w:r>
        <w:rPr>
          <w:rFonts w:cstheme="minorHAnsi"/>
          <w:szCs w:val="16"/>
        </w:rPr>
        <w:t>*When providing exiting data under section 618 of the IDEA, States are required to report on the number of students with disabilities who exited an educational program through receipt of a regular high school diploma. These students meet the same standards for graduation as those for students without disabilities. As explained in 34 C.F.R. §</w:t>
      </w:r>
      <w:r w:rsidR="00240447">
        <w:rPr>
          <w:rFonts w:eastAsia="Calibri"/>
        </w:rPr>
        <w:t> </w:t>
      </w:r>
      <w:r>
        <w:rPr>
          <w:rFonts w:cstheme="minorHAnsi"/>
          <w:szCs w:val="16"/>
        </w:rPr>
        <w:t>300.102(a)(3)(iv), in effect June 30, 2017, “the term regular high school diploma means the standard high school diploma awarded to the preponderance of students in the State that is fully aligned with State standards, or a higher diploma, except that a regular high school diploma shall not be aligned to the alternate academic achievement standards described in section 1111(b)(1)(E) of the ESEA. A regular high school diploma does not include a recognized equivalent of a diploma, such as a general equivalency diploma, certificate of completion, certificate of attendance, or similar lesser credential.”</w:t>
      </w:r>
    </w:p>
    <w:p w14:paraId="0F9F6077" w14:textId="77777777" w:rsidR="00D12506" w:rsidRDefault="00D12506" w:rsidP="00BE0EEF">
      <w:pPr>
        <w:rPr>
          <w:rFonts w:cs="Arial"/>
          <w:b/>
          <w:bCs/>
          <w:szCs w:val="16"/>
        </w:rPr>
      </w:pPr>
    </w:p>
    <w:p w14:paraId="472B8AF6" w14:textId="4C72820A" w:rsidR="00BE0EEF" w:rsidRPr="00210AC6" w:rsidRDefault="00D12506" w:rsidP="00D12506">
      <w:pPr>
        <w:spacing w:before="0" w:after="200" w:line="276" w:lineRule="auto"/>
        <w:rPr>
          <w:rFonts w:cs="Arial"/>
          <w:b/>
          <w:bCs/>
          <w:szCs w:val="16"/>
        </w:rPr>
      </w:pPr>
      <w:r>
        <w:rPr>
          <w:rFonts w:cs="Arial"/>
          <w:b/>
          <w:bCs/>
          <w:szCs w:val="16"/>
        </w:rPr>
        <w:br w:type="page"/>
      </w:r>
      <w:r w:rsidR="00BE0EEF" w:rsidRPr="00210AC6">
        <w:rPr>
          <w:rFonts w:cs="Arial"/>
          <w:b/>
          <w:bCs/>
          <w:szCs w:val="16"/>
        </w:rPr>
        <w:lastRenderedPageBreak/>
        <w:t>2025 Part B Compliance Matrix</w:t>
      </w:r>
    </w:p>
    <w:tbl>
      <w:tblPr>
        <w:tblStyle w:val="TableGrid1"/>
        <w:tblW w:w="5004" w:type="pct"/>
        <w:tblLayout w:type="fixed"/>
        <w:tblLook w:val="04A0" w:firstRow="1" w:lastRow="0" w:firstColumn="1" w:lastColumn="0" w:noHBand="0" w:noVBand="1"/>
        <w:tblCaption w:val="BENNSRSTCFFYCMP"/>
      </w:tblPr>
      <w:tblGrid>
        <w:gridCol w:w="5408"/>
        <w:gridCol w:w="1797"/>
        <w:gridCol w:w="1797"/>
        <w:gridCol w:w="1797"/>
      </w:tblGrid>
      <w:tr w:rsidR="00BE0EEF" w:rsidRPr="00210AC6" w14:paraId="5D2BF1AF" w14:textId="77777777" w:rsidTr="00C74568">
        <w:trPr>
          <w:tblHeader/>
        </w:trPr>
        <w:tc>
          <w:tcPr>
            <w:tcW w:w="2504" w:type="pct"/>
          </w:tcPr>
          <w:p w14:paraId="6C7ED070" w14:textId="73964D45" w:rsidR="00BE0EEF" w:rsidRPr="00210AC6" w:rsidRDefault="00BE0EEF" w:rsidP="00EE6889">
            <w:pPr>
              <w:rPr>
                <w:rFonts w:cs="Arial"/>
                <w:b/>
                <w:bCs/>
                <w:szCs w:val="16"/>
              </w:rPr>
            </w:pPr>
            <w:r w:rsidRPr="00210AC6">
              <w:rPr>
                <w:rFonts w:cs="Arial"/>
                <w:b/>
                <w:bCs/>
                <w:szCs w:val="16"/>
              </w:rPr>
              <w:t xml:space="preserve">Part B Compliance Indicator </w:t>
            </w:r>
            <w:r w:rsidR="0007196B">
              <w:rPr>
                <w:rFonts w:cs="Arial"/>
                <w:szCs w:val="16"/>
              </w:rPr>
              <w:t>(</w:t>
            </w:r>
            <w:r w:rsidR="006868A2">
              <w:rPr>
                <w:rFonts w:cs="Arial"/>
                <w:szCs w:val="16"/>
              </w:rPr>
              <w:t>3</w:t>
            </w:r>
            <w:r w:rsidR="0007196B">
              <w:rPr>
                <w:rFonts w:cs="Arial"/>
                <w:szCs w:val="16"/>
              </w:rPr>
              <w:t>)</w:t>
            </w:r>
          </w:p>
        </w:tc>
        <w:tc>
          <w:tcPr>
            <w:tcW w:w="832" w:type="pct"/>
          </w:tcPr>
          <w:p w14:paraId="580F470E" w14:textId="77777777" w:rsidR="00BE0EEF" w:rsidRPr="00210AC6" w:rsidRDefault="00BE0EEF" w:rsidP="00EE6889">
            <w:pPr>
              <w:rPr>
                <w:rFonts w:cs="Arial"/>
                <w:b/>
                <w:bCs/>
                <w:szCs w:val="16"/>
              </w:rPr>
            </w:pPr>
            <w:r w:rsidRPr="00210AC6">
              <w:rPr>
                <w:rFonts w:cs="Arial"/>
                <w:b/>
                <w:bCs/>
                <w:szCs w:val="16"/>
              </w:rPr>
              <w:t xml:space="preserve">Performance (%) </w:t>
            </w:r>
          </w:p>
        </w:tc>
        <w:tc>
          <w:tcPr>
            <w:tcW w:w="832" w:type="pct"/>
          </w:tcPr>
          <w:p w14:paraId="5D25D35A" w14:textId="5FF38E26" w:rsidR="00BE0EEF" w:rsidRPr="00210AC6" w:rsidRDefault="00BE0EEF" w:rsidP="00EE6889">
            <w:pPr>
              <w:rPr>
                <w:rFonts w:cs="Arial"/>
                <w:b/>
                <w:bCs/>
                <w:szCs w:val="16"/>
              </w:rPr>
            </w:pPr>
            <w:r w:rsidRPr="00210AC6">
              <w:rPr>
                <w:rFonts w:cs="Arial"/>
                <w:b/>
                <w:bCs/>
                <w:szCs w:val="16"/>
              </w:rPr>
              <w:t xml:space="preserve">Full Correction of Findings of Noncompliance Identified in FFY 2022 </w:t>
            </w:r>
            <w:r w:rsidR="0007196B">
              <w:rPr>
                <w:rFonts w:cs="Arial"/>
                <w:szCs w:val="16"/>
              </w:rPr>
              <w:t>(</w:t>
            </w:r>
            <w:r w:rsidR="006868A2">
              <w:rPr>
                <w:rFonts w:cs="Arial"/>
                <w:szCs w:val="16"/>
              </w:rPr>
              <w:t>4</w:t>
            </w:r>
            <w:r w:rsidR="0007196B">
              <w:rPr>
                <w:rFonts w:cs="Arial"/>
                <w:szCs w:val="16"/>
              </w:rPr>
              <w:t>)</w:t>
            </w:r>
          </w:p>
        </w:tc>
        <w:tc>
          <w:tcPr>
            <w:tcW w:w="832" w:type="pct"/>
          </w:tcPr>
          <w:p w14:paraId="0F2A19C9" w14:textId="77777777" w:rsidR="00BE0EEF" w:rsidRPr="00210AC6" w:rsidRDefault="00BE0EEF" w:rsidP="00EE6889">
            <w:pPr>
              <w:rPr>
                <w:rFonts w:cs="Arial"/>
                <w:b/>
                <w:bCs/>
                <w:szCs w:val="16"/>
              </w:rPr>
            </w:pPr>
            <w:r w:rsidRPr="00210AC6">
              <w:rPr>
                <w:rFonts w:cs="Arial"/>
                <w:b/>
                <w:bCs/>
                <w:szCs w:val="16"/>
              </w:rPr>
              <w:t>Score</w:t>
            </w:r>
          </w:p>
        </w:tc>
      </w:tr>
      <w:tr w:rsidR="00AA1152" w:rsidRPr="00210AC6" w14:paraId="58EE7EBF" w14:textId="77777777" w:rsidTr="00FB3F34">
        <w:tc>
          <w:tcPr>
            <w:tcW w:w="2504" w:type="pct"/>
          </w:tcPr>
          <w:p w14:paraId="79E3B338" w14:textId="77777777" w:rsidR="00AA1152" w:rsidRPr="00210AC6" w:rsidRDefault="00AA1152" w:rsidP="00AA1152">
            <w:pPr>
              <w:rPr>
                <w:rFonts w:cs="Arial"/>
                <w:b/>
                <w:bCs/>
                <w:szCs w:val="16"/>
              </w:rPr>
            </w:pPr>
            <w:r w:rsidRPr="00210AC6">
              <w:rPr>
                <w:rFonts w:cs="Arial"/>
                <w:b/>
                <w:bCs/>
                <w:szCs w:val="16"/>
              </w:rPr>
              <w:t>Indicator 4B: Significant discrepancy, by race and ethnicity, in the rate of suspension and expulsion, and policies, procedures or practices that contribute to the significant discrepancy and do not comply with specified requirements.</w:t>
            </w:r>
          </w:p>
        </w:tc>
        <w:tc>
          <w:tcPr>
            <w:tcW w:w="832" w:type="pct"/>
          </w:tcPr>
          <w:p w14:paraId="2F5F53B8" w14:textId="72EE73B0" w:rsidR="00AA1152" w:rsidRPr="00210AC6" w:rsidRDefault="00AA1152" w:rsidP="00AA1152">
            <w:pPr>
              <w:rPr>
                <w:rFonts w:cs="Arial"/>
                <w:szCs w:val="16"/>
              </w:rPr>
            </w:pPr>
            <w:r w:rsidRPr="00210AC6">
              <w:rPr>
                <w:rFonts w:cs="Arial"/>
                <w:szCs w:val="16"/>
              </w:rPr>
              <w:t>0.00%</w:t>
            </w:r>
          </w:p>
        </w:tc>
        <w:tc>
          <w:tcPr>
            <w:tcW w:w="832" w:type="pct"/>
          </w:tcPr>
          <w:p w14:paraId="771B94BB" w14:textId="4E9D5A8F" w:rsidR="00AA1152" w:rsidRPr="00210AC6" w:rsidRDefault="00AA1152" w:rsidP="00AA1152">
            <w:pPr>
              <w:rPr>
                <w:rFonts w:cs="Arial"/>
                <w:szCs w:val="16"/>
              </w:rPr>
            </w:pPr>
            <w:r w:rsidRPr="00210AC6">
              <w:rPr>
                <w:rFonts w:cs="Arial"/>
                <w:szCs w:val="16"/>
              </w:rPr>
              <w:t>N/A</w:t>
            </w:r>
          </w:p>
        </w:tc>
        <w:tc>
          <w:tcPr>
            <w:tcW w:w="832" w:type="pct"/>
          </w:tcPr>
          <w:p w14:paraId="7825B06F" w14:textId="05A81092" w:rsidR="00AA1152" w:rsidRPr="00210AC6" w:rsidRDefault="00AA1152" w:rsidP="00AA1152">
            <w:pPr>
              <w:rPr>
                <w:rFonts w:cs="Arial"/>
                <w:szCs w:val="16"/>
              </w:rPr>
            </w:pPr>
            <w:r w:rsidRPr="00210AC6">
              <w:rPr>
                <w:rFonts w:cs="Arial"/>
                <w:szCs w:val="16"/>
              </w:rPr>
              <w:t>2</w:t>
            </w:r>
          </w:p>
        </w:tc>
      </w:tr>
      <w:tr w:rsidR="00AA1152" w:rsidRPr="00210AC6" w14:paraId="21C2980E" w14:textId="77777777" w:rsidTr="00FB3F34">
        <w:tc>
          <w:tcPr>
            <w:tcW w:w="2504" w:type="pct"/>
          </w:tcPr>
          <w:p w14:paraId="508138EE" w14:textId="77777777" w:rsidR="00AA1152" w:rsidRPr="00210AC6" w:rsidRDefault="00AA1152" w:rsidP="00AA1152">
            <w:pPr>
              <w:rPr>
                <w:rFonts w:cs="Arial"/>
                <w:b/>
                <w:bCs/>
                <w:szCs w:val="16"/>
              </w:rPr>
            </w:pPr>
            <w:r w:rsidRPr="00210AC6">
              <w:rPr>
                <w:rFonts w:cs="Arial"/>
                <w:b/>
                <w:bCs/>
                <w:szCs w:val="16"/>
              </w:rPr>
              <w:t>Indicator 9: Disproportionate representation of racial and ethnic groups in special education and related services due to inappropriate identification.</w:t>
            </w:r>
          </w:p>
        </w:tc>
        <w:tc>
          <w:tcPr>
            <w:tcW w:w="832" w:type="pct"/>
          </w:tcPr>
          <w:p w14:paraId="0871F09C" w14:textId="625E28D3" w:rsidR="00AA1152" w:rsidRPr="00210AC6" w:rsidRDefault="00AA1152" w:rsidP="00AA1152">
            <w:pPr>
              <w:rPr>
                <w:rFonts w:cs="Arial"/>
                <w:szCs w:val="16"/>
              </w:rPr>
            </w:pPr>
            <w:r w:rsidRPr="00210AC6">
              <w:rPr>
                <w:rFonts w:cs="Arial"/>
                <w:szCs w:val="16"/>
              </w:rPr>
              <w:t>0.00%</w:t>
            </w:r>
          </w:p>
        </w:tc>
        <w:tc>
          <w:tcPr>
            <w:tcW w:w="832" w:type="pct"/>
          </w:tcPr>
          <w:p w14:paraId="1628449A" w14:textId="0D758D3E" w:rsidR="00AA1152" w:rsidRPr="00210AC6" w:rsidRDefault="00AA1152" w:rsidP="00AA1152">
            <w:pPr>
              <w:rPr>
                <w:rFonts w:cs="Arial"/>
                <w:szCs w:val="16"/>
              </w:rPr>
            </w:pPr>
            <w:r w:rsidRPr="00210AC6">
              <w:rPr>
                <w:rFonts w:cs="Arial"/>
                <w:szCs w:val="16"/>
              </w:rPr>
              <w:t>N/A</w:t>
            </w:r>
          </w:p>
        </w:tc>
        <w:tc>
          <w:tcPr>
            <w:tcW w:w="832" w:type="pct"/>
          </w:tcPr>
          <w:p w14:paraId="21DC76B4" w14:textId="71B82A2F" w:rsidR="00AA1152" w:rsidRPr="00210AC6" w:rsidRDefault="00AA1152" w:rsidP="00AA1152">
            <w:pPr>
              <w:rPr>
                <w:rFonts w:cs="Arial"/>
                <w:szCs w:val="16"/>
              </w:rPr>
            </w:pPr>
            <w:r w:rsidRPr="00210AC6">
              <w:rPr>
                <w:rFonts w:cs="Arial"/>
                <w:szCs w:val="16"/>
              </w:rPr>
              <w:t>2</w:t>
            </w:r>
          </w:p>
        </w:tc>
      </w:tr>
      <w:tr w:rsidR="00AA1152" w:rsidRPr="00210AC6" w14:paraId="03A38C11" w14:textId="77777777" w:rsidTr="00FB3F34">
        <w:tc>
          <w:tcPr>
            <w:tcW w:w="2504" w:type="pct"/>
          </w:tcPr>
          <w:p w14:paraId="4150218F" w14:textId="77777777" w:rsidR="00AA1152" w:rsidRPr="00210AC6" w:rsidRDefault="00AA1152" w:rsidP="00AA1152">
            <w:pPr>
              <w:rPr>
                <w:rFonts w:cs="Arial"/>
                <w:b/>
                <w:bCs/>
                <w:szCs w:val="16"/>
              </w:rPr>
            </w:pPr>
            <w:r w:rsidRPr="00210AC6">
              <w:rPr>
                <w:rFonts w:cs="Arial"/>
                <w:b/>
                <w:bCs/>
                <w:szCs w:val="16"/>
              </w:rPr>
              <w:t>Indicator 10: Disproportionate representation of racial and ethnic groups in specific disability categories due to inappropriate identification.</w:t>
            </w:r>
          </w:p>
        </w:tc>
        <w:tc>
          <w:tcPr>
            <w:tcW w:w="832" w:type="pct"/>
          </w:tcPr>
          <w:p w14:paraId="3A2447F0" w14:textId="2F7DA60E" w:rsidR="00AA1152" w:rsidRPr="00210AC6" w:rsidRDefault="00AA1152" w:rsidP="00AA1152">
            <w:pPr>
              <w:rPr>
                <w:rFonts w:cs="Arial"/>
                <w:szCs w:val="16"/>
              </w:rPr>
            </w:pPr>
            <w:r w:rsidRPr="00210AC6">
              <w:rPr>
                <w:rFonts w:cs="Arial"/>
                <w:szCs w:val="16"/>
              </w:rPr>
              <w:t>0.00%</w:t>
            </w:r>
          </w:p>
        </w:tc>
        <w:tc>
          <w:tcPr>
            <w:tcW w:w="832" w:type="pct"/>
          </w:tcPr>
          <w:p w14:paraId="1CE885A0" w14:textId="000A00A6" w:rsidR="00AA1152" w:rsidRPr="00210AC6" w:rsidRDefault="00AA1152" w:rsidP="00AA1152">
            <w:pPr>
              <w:rPr>
                <w:rFonts w:cs="Arial"/>
                <w:szCs w:val="16"/>
              </w:rPr>
            </w:pPr>
            <w:r w:rsidRPr="00210AC6">
              <w:rPr>
                <w:rFonts w:cs="Arial"/>
                <w:szCs w:val="16"/>
              </w:rPr>
              <w:t>N/A</w:t>
            </w:r>
          </w:p>
        </w:tc>
        <w:tc>
          <w:tcPr>
            <w:tcW w:w="832" w:type="pct"/>
          </w:tcPr>
          <w:p w14:paraId="1F5B10E3" w14:textId="1AC79BCD" w:rsidR="00AA1152" w:rsidRPr="00210AC6" w:rsidRDefault="00AA1152" w:rsidP="00AA1152">
            <w:pPr>
              <w:rPr>
                <w:rFonts w:cs="Arial"/>
                <w:szCs w:val="16"/>
              </w:rPr>
            </w:pPr>
            <w:r w:rsidRPr="00210AC6">
              <w:rPr>
                <w:rFonts w:cs="Arial"/>
                <w:szCs w:val="16"/>
              </w:rPr>
              <w:t>2</w:t>
            </w:r>
          </w:p>
        </w:tc>
      </w:tr>
      <w:tr w:rsidR="00AA1152" w:rsidRPr="00210AC6" w14:paraId="785C2AF8" w14:textId="77777777" w:rsidTr="00FB3F34">
        <w:tc>
          <w:tcPr>
            <w:tcW w:w="2504" w:type="pct"/>
          </w:tcPr>
          <w:p w14:paraId="3441131C" w14:textId="77777777" w:rsidR="00AA1152" w:rsidRPr="00210AC6" w:rsidRDefault="00AA1152" w:rsidP="00AA1152">
            <w:pPr>
              <w:rPr>
                <w:rFonts w:cs="Arial"/>
                <w:b/>
                <w:bCs/>
                <w:szCs w:val="16"/>
              </w:rPr>
            </w:pPr>
            <w:r w:rsidRPr="00210AC6">
              <w:rPr>
                <w:rFonts w:cs="Arial"/>
                <w:b/>
                <w:bCs/>
                <w:szCs w:val="16"/>
              </w:rPr>
              <w:t>Indicator 11: Timely initial evaluation</w:t>
            </w:r>
          </w:p>
        </w:tc>
        <w:tc>
          <w:tcPr>
            <w:tcW w:w="832" w:type="pct"/>
          </w:tcPr>
          <w:p w14:paraId="3F86F615" w14:textId="0AA0A53C" w:rsidR="00AA1152" w:rsidRPr="00210AC6" w:rsidRDefault="00AA1152" w:rsidP="00AA1152">
            <w:pPr>
              <w:rPr>
                <w:rFonts w:cs="Arial"/>
                <w:szCs w:val="16"/>
              </w:rPr>
            </w:pPr>
            <w:r w:rsidRPr="00210AC6">
              <w:rPr>
                <w:rFonts w:cs="Arial"/>
                <w:szCs w:val="16"/>
              </w:rPr>
              <w:t>97.41%</w:t>
            </w:r>
          </w:p>
        </w:tc>
        <w:tc>
          <w:tcPr>
            <w:tcW w:w="832" w:type="pct"/>
          </w:tcPr>
          <w:p w14:paraId="379B6676" w14:textId="76488CD7" w:rsidR="00AA1152" w:rsidRPr="00210AC6" w:rsidRDefault="00AA1152" w:rsidP="00AA1152">
            <w:pPr>
              <w:rPr>
                <w:rFonts w:cs="Arial"/>
                <w:szCs w:val="16"/>
              </w:rPr>
            </w:pPr>
            <w:r w:rsidRPr="00210AC6">
              <w:rPr>
                <w:rFonts w:cs="Arial"/>
                <w:szCs w:val="16"/>
              </w:rPr>
              <w:t>YES</w:t>
            </w:r>
          </w:p>
        </w:tc>
        <w:tc>
          <w:tcPr>
            <w:tcW w:w="832" w:type="pct"/>
          </w:tcPr>
          <w:p w14:paraId="5FB686BF" w14:textId="58500CD0" w:rsidR="00AA1152" w:rsidRPr="00210AC6" w:rsidRDefault="00AA1152" w:rsidP="00AA1152">
            <w:pPr>
              <w:rPr>
                <w:rFonts w:cs="Arial"/>
                <w:szCs w:val="16"/>
              </w:rPr>
            </w:pPr>
            <w:r w:rsidRPr="00210AC6">
              <w:rPr>
                <w:rFonts w:cs="Arial"/>
                <w:szCs w:val="16"/>
              </w:rPr>
              <w:t>2</w:t>
            </w:r>
          </w:p>
        </w:tc>
      </w:tr>
      <w:tr w:rsidR="00AA1152" w:rsidRPr="00210AC6" w14:paraId="02526753" w14:textId="77777777" w:rsidTr="00FB3F34">
        <w:tc>
          <w:tcPr>
            <w:tcW w:w="2504" w:type="pct"/>
          </w:tcPr>
          <w:p w14:paraId="02E96748" w14:textId="77777777" w:rsidR="00AA1152" w:rsidRPr="00210AC6" w:rsidRDefault="00AA1152" w:rsidP="00AA1152">
            <w:pPr>
              <w:rPr>
                <w:rFonts w:cs="Arial"/>
                <w:b/>
                <w:bCs/>
                <w:szCs w:val="16"/>
              </w:rPr>
            </w:pPr>
            <w:r w:rsidRPr="00210AC6">
              <w:rPr>
                <w:rFonts w:cs="Arial"/>
                <w:b/>
                <w:bCs/>
                <w:szCs w:val="16"/>
              </w:rPr>
              <w:t>Indicator 12: IEP developed and implemented by third birthday</w:t>
            </w:r>
          </w:p>
        </w:tc>
        <w:tc>
          <w:tcPr>
            <w:tcW w:w="832" w:type="pct"/>
          </w:tcPr>
          <w:p w14:paraId="4F2BD9F2" w14:textId="398FC4CF" w:rsidR="00AA1152" w:rsidRPr="00210AC6" w:rsidRDefault="00AA1152" w:rsidP="00AA1152">
            <w:pPr>
              <w:rPr>
                <w:rFonts w:cs="Arial"/>
                <w:szCs w:val="16"/>
              </w:rPr>
            </w:pPr>
            <w:r w:rsidRPr="00210AC6">
              <w:rPr>
                <w:rFonts w:cs="Arial"/>
                <w:szCs w:val="16"/>
              </w:rPr>
              <w:t>99.32%</w:t>
            </w:r>
          </w:p>
        </w:tc>
        <w:tc>
          <w:tcPr>
            <w:tcW w:w="832" w:type="pct"/>
          </w:tcPr>
          <w:p w14:paraId="6054F9DF" w14:textId="274B8111" w:rsidR="00AA1152" w:rsidRPr="00210AC6" w:rsidRDefault="00AA1152" w:rsidP="00AA1152">
            <w:pPr>
              <w:rPr>
                <w:rFonts w:cs="Arial"/>
                <w:szCs w:val="16"/>
              </w:rPr>
            </w:pPr>
            <w:r w:rsidRPr="00210AC6">
              <w:rPr>
                <w:rFonts w:cs="Arial"/>
                <w:szCs w:val="16"/>
              </w:rPr>
              <w:t>YES</w:t>
            </w:r>
          </w:p>
        </w:tc>
        <w:tc>
          <w:tcPr>
            <w:tcW w:w="832" w:type="pct"/>
          </w:tcPr>
          <w:p w14:paraId="3702D281" w14:textId="352F6EC2" w:rsidR="00AA1152" w:rsidRPr="00210AC6" w:rsidRDefault="00AA1152" w:rsidP="00AA1152">
            <w:pPr>
              <w:rPr>
                <w:rFonts w:cs="Arial"/>
                <w:szCs w:val="16"/>
              </w:rPr>
            </w:pPr>
            <w:r w:rsidRPr="00210AC6">
              <w:rPr>
                <w:rFonts w:cs="Arial"/>
                <w:szCs w:val="16"/>
              </w:rPr>
              <w:t>2</w:t>
            </w:r>
          </w:p>
        </w:tc>
      </w:tr>
      <w:tr w:rsidR="00AA1152" w:rsidRPr="00210AC6" w14:paraId="74763DC8" w14:textId="77777777" w:rsidTr="00FB3F34">
        <w:tc>
          <w:tcPr>
            <w:tcW w:w="2504" w:type="pct"/>
          </w:tcPr>
          <w:p w14:paraId="2E528111" w14:textId="77777777" w:rsidR="00AA1152" w:rsidRPr="00210AC6" w:rsidRDefault="00AA1152" w:rsidP="00AA1152">
            <w:pPr>
              <w:rPr>
                <w:rFonts w:cs="Arial"/>
                <w:b/>
                <w:bCs/>
                <w:szCs w:val="16"/>
              </w:rPr>
            </w:pPr>
            <w:r w:rsidRPr="00210AC6">
              <w:rPr>
                <w:rFonts w:cs="Arial"/>
                <w:b/>
                <w:bCs/>
                <w:szCs w:val="16"/>
              </w:rPr>
              <w:t>Indicator 13: Secondary transition</w:t>
            </w:r>
          </w:p>
        </w:tc>
        <w:tc>
          <w:tcPr>
            <w:tcW w:w="832" w:type="pct"/>
          </w:tcPr>
          <w:p w14:paraId="2E2E3F92" w14:textId="0CE14D00" w:rsidR="00AA1152" w:rsidRPr="00210AC6" w:rsidRDefault="00AA1152" w:rsidP="00AA1152">
            <w:pPr>
              <w:rPr>
                <w:rFonts w:cs="Arial"/>
                <w:szCs w:val="16"/>
              </w:rPr>
            </w:pPr>
            <w:r w:rsidRPr="00210AC6">
              <w:rPr>
                <w:rFonts w:cs="Arial"/>
                <w:szCs w:val="16"/>
              </w:rPr>
              <w:t>70.41%</w:t>
            </w:r>
          </w:p>
        </w:tc>
        <w:tc>
          <w:tcPr>
            <w:tcW w:w="832" w:type="pct"/>
          </w:tcPr>
          <w:p w14:paraId="3F499F14" w14:textId="09C97ADF" w:rsidR="00AA1152" w:rsidRPr="00210AC6" w:rsidRDefault="00AA1152" w:rsidP="00AA1152">
            <w:pPr>
              <w:rPr>
                <w:rFonts w:cs="Arial"/>
                <w:szCs w:val="16"/>
              </w:rPr>
            </w:pPr>
            <w:r w:rsidRPr="00210AC6">
              <w:rPr>
                <w:rFonts w:cs="Arial"/>
                <w:szCs w:val="16"/>
              </w:rPr>
              <w:t>YES</w:t>
            </w:r>
          </w:p>
        </w:tc>
        <w:tc>
          <w:tcPr>
            <w:tcW w:w="832" w:type="pct"/>
          </w:tcPr>
          <w:p w14:paraId="06689058" w14:textId="117B6780" w:rsidR="00AA1152" w:rsidRPr="00210AC6" w:rsidRDefault="00AA1152" w:rsidP="00AA1152">
            <w:pPr>
              <w:rPr>
                <w:rFonts w:cs="Arial"/>
                <w:szCs w:val="16"/>
              </w:rPr>
            </w:pPr>
            <w:r w:rsidRPr="00210AC6">
              <w:rPr>
                <w:rFonts w:cs="Arial"/>
                <w:szCs w:val="16"/>
              </w:rPr>
              <w:t>0</w:t>
            </w:r>
          </w:p>
        </w:tc>
      </w:tr>
      <w:tr w:rsidR="000120DA" w:rsidRPr="00210AC6" w14:paraId="46E06F08" w14:textId="77777777" w:rsidTr="00FB3F34">
        <w:tc>
          <w:tcPr>
            <w:tcW w:w="2504" w:type="pct"/>
          </w:tcPr>
          <w:p w14:paraId="0A3EDEC0" w14:textId="059C83BE" w:rsidR="000120DA" w:rsidRPr="00210AC6" w:rsidRDefault="000120DA" w:rsidP="00AA1152">
            <w:pPr>
              <w:rPr>
                <w:rFonts w:cs="Arial"/>
                <w:b/>
                <w:bCs/>
                <w:szCs w:val="16"/>
              </w:rPr>
            </w:pPr>
            <w:r>
              <w:rPr>
                <w:rFonts w:cs="Arial"/>
                <w:b/>
                <w:bCs/>
                <w:szCs w:val="16"/>
              </w:rPr>
              <w:t>Indicator 18: General Supervision</w:t>
            </w:r>
          </w:p>
        </w:tc>
        <w:tc>
          <w:tcPr>
            <w:tcW w:w="832" w:type="pct"/>
          </w:tcPr>
          <w:p w14:paraId="28F421ED" w14:textId="5AD3F7C3" w:rsidR="000120DA" w:rsidRPr="00210AC6" w:rsidRDefault="004918B3" w:rsidP="00AA1152">
            <w:pPr>
              <w:rPr>
                <w:rFonts w:cs="Arial"/>
                <w:szCs w:val="16"/>
              </w:rPr>
            </w:pPr>
            <w:r w:rsidRPr="00210AC6">
              <w:rPr>
                <w:rFonts w:cs="Arial"/>
                <w:szCs w:val="16"/>
              </w:rPr>
              <w:t>99.25%</w:t>
            </w:r>
          </w:p>
        </w:tc>
        <w:tc>
          <w:tcPr>
            <w:tcW w:w="832" w:type="pct"/>
          </w:tcPr>
          <w:p w14:paraId="38C64116" w14:textId="4ACB1259" w:rsidR="000120DA" w:rsidRPr="00210AC6" w:rsidRDefault="004918B3" w:rsidP="00AA1152">
            <w:pPr>
              <w:rPr>
                <w:rFonts w:cs="Arial"/>
                <w:szCs w:val="16"/>
              </w:rPr>
            </w:pPr>
            <w:r w:rsidRPr="00210AC6">
              <w:rPr>
                <w:rFonts w:cs="Arial"/>
                <w:szCs w:val="16"/>
              </w:rPr>
              <w:t>YES</w:t>
            </w:r>
          </w:p>
        </w:tc>
        <w:tc>
          <w:tcPr>
            <w:tcW w:w="832" w:type="pct"/>
          </w:tcPr>
          <w:p w14:paraId="28BBC77A" w14:textId="6E4C402E" w:rsidR="000120DA" w:rsidRPr="00210AC6" w:rsidRDefault="004918B3" w:rsidP="00AA1152">
            <w:pPr>
              <w:rPr>
                <w:rFonts w:cs="Arial"/>
                <w:szCs w:val="16"/>
              </w:rPr>
            </w:pPr>
            <w:r w:rsidRPr="00210AC6">
              <w:rPr>
                <w:rFonts w:cs="Arial"/>
                <w:szCs w:val="16"/>
              </w:rPr>
              <w:t>2</w:t>
            </w:r>
          </w:p>
        </w:tc>
      </w:tr>
      <w:tr w:rsidR="00AA1152" w:rsidRPr="00210AC6" w14:paraId="5B73C8AC" w14:textId="77777777" w:rsidTr="00AA1152">
        <w:tc>
          <w:tcPr>
            <w:tcW w:w="2504" w:type="pct"/>
          </w:tcPr>
          <w:p w14:paraId="772D1C3C" w14:textId="77777777" w:rsidR="00AA1152" w:rsidRPr="00210AC6" w:rsidRDefault="00AA1152" w:rsidP="00AA1152">
            <w:pPr>
              <w:rPr>
                <w:rFonts w:cs="Arial"/>
                <w:b/>
                <w:bCs/>
                <w:szCs w:val="16"/>
              </w:rPr>
            </w:pPr>
            <w:r w:rsidRPr="00210AC6">
              <w:rPr>
                <w:rFonts w:cs="Arial"/>
                <w:b/>
                <w:bCs/>
                <w:szCs w:val="16"/>
              </w:rPr>
              <w:t>Timely and Accurate State-Reported Data</w:t>
            </w:r>
          </w:p>
        </w:tc>
        <w:tc>
          <w:tcPr>
            <w:tcW w:w="832" w:type="pct"/>
          </w:tcPr>
          <w:p w14:paraId="18A1304C" w14:textId="765F1D9B" w:rsidR="00AA1152" w:rsidRPr="00210AC6" w:rsidRDefault="00AA1152" w:rsidP="00AA1152">
            <w:pPr>
              <w:rPr>
                <w:rFonts w:cs="Arial"/>
                <w:szCs w:val="16"/>
              </w:rPr>
            </w:pPr>
            <w:r w:rsidRPr="00210AC6">
              <w:rPr>
                <w:rFonts w:cs="Arial"/>
                <w:szCs w:val="16"/>
              </w:rPr>
              <w:t>100.00%</w:t>
            </w:r>
          </w:p>
        </w:tc>
        <w:tc>
          <w:tcPr>
            <w:tcW w:w="832" w:type="pct"/>
            <w:shd w:val="clear" w:color="auto" w:fill="D9D9D9" w:themeFill="background1" w:themeFillShade="D9"/>
          </w:tcPr>
          <w:p w14:paraId="7AC688E1" w14:textId="77777777" w:rsidR="00AA1152" w:rsidRPr="00210AC6" w:rsidRDefault="00AA1152" w:rsidP="00AA1152">
            <w:pPr>
              <w:rPr>
                <w:rFonts w:cs="Arial"/>
                <w:szCs w:val="16"/>
              </w:rPr>
            </w:pPr>
          </w:p>
        </w:tc>
        <w:tc>
          <w:tcPr>
            <w:tcW w:w="832" w:type="pct"/>
          </w:tcPr>
          <w:p w14:paraId="2D7E2590" w14:textId="5F40EEE6" w:rsidR="00AA1152" w:rsidRPr="00210AC6" w:rsidRDefault="00AA1152" w:rsidP="00AA1152">
            <w:pPr>
              <w:rPr>
                <w:rFonts w:cs="Arial"/>
                <w:szCs w:val="16"/>
              </w:rPr>
            </w:pPr>
            <w:r w:rsidRPr="00210AC6">
              <w:rPr>
                <w:rFonts w:cs="Arial"/>
                <w:szCs w:val="16"/>
              </w:rPr>
              <w:t>2</w:t>
            </w:r>
          </w:p>
        </w:tc>
      </w:tr>
      <w:tr w:rsidR="00AA1152" w:rsidRPr="00210AC6" w14:paraId="5B2DC82D" w14:textId="77777777" w:rsidTr="00AA1152">
        <w:tc>
          <w:tcPr>
            <w:tcW w:w="2504" w:type="pct"/>
          </w:tcPr>
          <w:p w14:paraId="03E653A4" w14:textId="77777777" w:rsidR="00AA1152" w:rsidRPr="00210AC6" w:rsidRDefault="00AA1152" w:rsidP="00AA1152">
            <w:pPr>
              <w:rPr>
                <w:rFonts w:cs="Arial"/>
                <w:b/>
                <w:bCs/>
                <w:szCs w:val="16"/>
              </w:rPr>
            </w:pPr>
            <w:r w:rsidRPr="00210AC6">
              <w:rPr>
                <w:rFonts w:cs="Arial"/>
                <w:b/>
                <w:bCs/>
                <w:szCs w:val="16"/>
              </w:rPr>
              <w:t>Timely State Complaint Decisions</w:t>
            </w:r>
          </w:p>
        </w:tc>
        <w:tc>
          <w:tcPr>
            <w:tcW w:w="832" w:type="pct"/>
          </w:tcPr>
          <w:p w14:paraId="3623764C" w14:textId="2150291E" w:rsidR="00AA1152" w:rsidRPr="00210AC6" w:rsidRDefault="00AA1152" w:rsidP="00AA1152">
            <w:pPr>
              <w:rPr>
                <w:rFonts w:cs="Arial"/>
                <w:szCs w:val="16"/>
              </w:rPr>
            </w:pPr>
            <w:r w:rsidRPr="00210AC6">
              <w:rPr>
                <w:rFonts w:cs="Arial"/>
                <w:szCs w:val="16"/>
              </w:rPr>
              <w:t>71.70%</w:t>
            </w:r>
          </w:p>
        </w:tc>
        <w:tc>
          <w:tcPr>
            <w:tcW w:w="832" w:type="pct"/>
            <w:shd w:val="clear" w:color="auto" w:fill="D9D9D9" w:themeFill="background1" w:themeFillShade="D9"/>
          </w:tcPr>
          <w:p w14:paraId="097E1289" w14:textId="77777777" w:rsidR="00AA1152" w:rsidRPr="00210AC6" w:rsidRDefault="00AA1152" w:rsidP="00AA1152">
            <w:pPr>
              <w:rPr>
                <w:rFonts w:cs="Arial"/>
                <w:szCs w:val="16"/>
              </w:rPr>
            </w:pPr>
          </w:p>
        </w:tc>
        <w:tc>
          <w:tcPr>
            <w:tcW w:w="832" w:type="pct"/>
          </w:tcPr>
          <w:p w14:paraId="4499CBD7" w14:textId="4E7EAE4B" w:rsidR="00AA1152" w:rsidRPr="00210AC6" w:rsidRDefault="00AA1152" w:rsidP="00AA1152">
            <w:pPr>
              <w:rPr>
                <w:rFonts w:cs="Arial"/>
                <w:szCs w:val="16"/>
              </w:rPr>
            </w:pPr>
            <w:r w:rsidRPr="00210AC6">
              <w:rPr>
                <w:rFonts w:cs="Arial"/>
                <w:szCs w:val="16"/>
              </w:rPr>
              <w:t>0</w:t>
            </w:r>
          </w:p>
        </w:tc>
      </w:tr>
      <w:tr w:rsidR="00AA1152" w:rsidRPr="00210AC6" w14:paraId="4BFA68EF" w14:textId="77777777" w:rsidTr="00AA1152">
        <w:tc>
          <w:tcPr>
            <w:tcW w:w="2504" w:type="pct"/>
          </w:tcPr>
          <w:p w14:paraId="066554B9" w14:textId="77777777" w:rsidR="00AA1152" w:rsidRPr="00210AC6" w:rsidRDefault="00AA1152" w:rsidP="00AA1152">
            <w:pPr>
              <w:rPr>
                <w:rFonts w:cs="Arial"/>
                <w:b/>
                <w:bCs/>
                <w:szCs w:val="16"/>
              </w:rPr>
            </w:pPr>
            <w:r w:rsidRPr="00210AC6">
              <w:rPr>
                <w:rFonts w:cs="Arial"/>
                <w:b/>
                <w:bCs/>
                <w:szCs w:val="16"/>
              </w:rPr>
              <w:t>Timely Due Process Hearing Decisions</w:t>
            </w:r>
          </w:p>
        </w:tc>
        <w:tc>
          <w:tcPr>
            <w:tcW w:w="832" w:type="pct"/>
          </w:tcPr>
          <w:p w14:paraId="786FDFAC" w14:textId="6F373ECA" w:rsidR="00AA1152" w:rsidRPr="00210AC6" w:rsidRDefault="00AA1152" w:rsidP="00AA1152">
            <w:pPr>
              <w:rPr>
                <w:rFonts w:cs="Arial"/>
                <w:szCs w:val="16"/>
              </w:rPr>
            </w:pPr>
            <w:r w:rsidRPr="00210AC6">
              <w:rPr>
                <w:rFonts w:cs="Arial"/>
                <w:szCs w:val="16"/>
              </w:rPr>
              <w:t>N/A</w:t>
            </w:r>
          </w:p>
        </w:tc>
        <w:tc>
          <w:tcPr>
            <w:tcW w:w="832" w:type="pct"/>
            <w:shd w:val="clear" w:color="auto" w:fill="D9D9D9" w:themeFill="background1" w:themeFillShade="D9"/>
          </w:tcPr>
          <w:p w14:paraId="76E4B89A" w14:textId="77777777" w:rsidR="00AA1152" w:rsidRPr="00210AC6" w:rsidRDefault="00AA1152" w:rsidP="00AA1152">
            <w:pPr>
              <w:rPr>
                <w:rFonts w:cs="Arial"/>
                <w:szCs w:val="16"/>
              </w:rPr>
            </w:pPr>
          </w:p>
        </w:tc>
        <w:tc>
          <w:tcPr>
            <w:tcW w:w="832" w:type="pct"/>
          </w:tcPr>
          <w:p w14:paraId="3F8AD42C" w14:textId="7F0D6356" w:rsidR="00AA1152" w:rsidRPr="00210AC6" w:rsidRDefault="00AA1152" w:rsidP="00AA1152">
            <w:pPr>
              <w:rPr>
                <w:rFonts w:cs="Arial"/>
                <w:szCs w:val="16"/>
              </w:rPr>
            </w:pPr>
            <w:r w:rsidRPr="00210AC6">
              <w:rPr>
                <w:rFonts w:cs="Arial"/>
                <w:szCs w:val="16"/>
              </w:rPr>
              <w:t>N/A</w:t>
            </w:r>
          </w:p>
        </w:tc>
      </w:tr>
      <w:tr w:rsidR="00AA1152" w:rsidRPr="00210AC6" w14:paraId="26770970" w14:textId="77777777" w:rsidTr="00AA1152">
        <w:tc>
          <w:tcPr>
            <w:tcW w:w="2504" w:type="pct"/>
          </w:tcPr>
          <w:p w14:paraId="60988791" w14:textId="77777777" w:rsidR="00AA1152" w:rsidRPr="00210AC6" w:rsidRDefault="00AA1152" w:rsidP="00AA1152">
            <w:pPr>
              <w:rPr>
                <w:rFonts w:cs="Arial"/>
                <w:b/>
                <w:bCs/>
                <w:szCs w:val="16"/>
              </w:rPr>
            </w:pPr>
            <w:r w:rsidRPr="00210AC6">
              <w:rPr>
                <w:rFonts w:cs="Arial"/>
                <w:b/>
                <w:bCs/>
                <w:szCs w:val="16"/>
              </w:rPr>
              <w:t>Longstanding Noncompliance</w:t>
            </w:r>
          </w:p>
        </w:tc>
        <w:tc>
          <w:tcPr>
            <w:tcW w:w="832" w:type="pct"/>
            <w:shd w:val="clear" w:color="auto" w:fill="D9D9D9" w:themeFill="background1" w:themeFillShade="D9"/>
          </w:tcPr>
          <w:p w14:paraId="5695B159" w14:textId="77777777" w:rsidR="00AA1152" w:rsidRPr="00210AC6" w:rsidRDefault="00AA1152" w:rsidP="00AA1152">
            <w:pPr>
              <w:rPr>
                <w:rFonts w:cs="Arial"/>
                <w:szCs w:val="16"/>
              </w:rPr>
            </w:pPr>
          </w:p>
        </w:tc>
        <w:tc>
          <w:tcPr>
            <w:tcW w:w="832" w:type="pct"/>
            <w:shd w:val="clear" w:color="auto" w:fill="D9D9D9" w:themeFill="background1" w:themeFillShade="D9"/>
          </w:tcPr>
          <w:p w14:paraId="47C17DD8" w14:textId="77777777" w:rsidR="00AA1152" w:rsidRPr="00210AC6" w:rsidRDefault="00AA1152" w:rsidP="00AA1152">
            <w:pPr>
              <w:rPr>
                <w:rFonts w:cs="Arial"/>
                <w:szCs w:val="16"/>
              </w:rPr>
            </w:pPr>
          </w:p>
        </w:tc>
        <w:tc>
          <w:tcPr>
            <w:tcW w:w="832" w:type="pct"/>
          </w:tcPr>
          <w:p w14:paraId="6505B17E" w14:textId="4908393C" w:rsidR="00AA1152" w:rsidRPr="00210AC6" w:rsidRDefault="00AA1152" w:rsidP="00AA1152">
            <w:pPr>
              <w:rPr>
                <w:rFonts w:cs="Arial"/>
                <w:szCs w:val="16"/>
              </w:rPr>
            </w:pPr>
            <w:r w:rsidRPr="00210AC6">
              <w:rPr>
                <w:rFonts w:cs="Arial"/>
                <w:szCs w:val="16"/>
              </w:rPr>
              <w:t>2</w:t>
            </w:r>
          </w:p>
        </w:tc>
      </w:tr>
      <w:tr w:rsidR="00210AC6" w:rsidRPr="00210AC6" w14:paraId="37FD1A53" w14:textId="77777777" w:rsidTr="00AA1152">
        <w:tc>
          <w:tcPr>
            <w:tcW w:w="2504" w:type="pct"/>
          </w:tcPr>
          <w:p w14:paraId="3FB1DF49" w14:textId="3CF86348" w:rsidR="00AA1152" w:rsidRPr="00210AC6" w:rsidRDefault="00AF1F7D" w:rsidP="00FB3CF2">
            <w:pPr>
              <w:ind w:left="720"/>
              <w:rPr>
                <w:rFonts w:cs="Arial"/>
                <w:b/>
                <w:bCs/>
                <w:szCs w:val="16"/>
              </w:rPr>
            </w:pPr>
            <w:r>
              <w:rPr>
                <w:rFonts w:cs="Arial"/>
                <w:b/>
                <w:bCs/>
                <w:szCs w:val="16"/>
              </w:rPr>
              <w:t>Programmatic Specific Conditions</w:t>
            </w:r>
          </w:p>
        </w:tc>
        <w:tc>
          <w:tcPr>
            <w:tcW w:w="832" w:type="pct"/>
          </w:tcPr>
          <w:p w14:paraId="25CFC5F1" w14:textId="52880491"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2EE980E6" w14:textId="77777777" w:rsidR="00AA1152" w:rsidRPr="00210AC6" w:rsidRDefault="00AA1152" w:rsidP="00AA1152">
            <w:pPr>
              <w:rPr>
                <w:rFonts w:cs="Arial"/>
                <w:szCs w:val="16"/>
              </w:rPr>
            </w:pPr>
          </w:p>
        </w:tc>
        <w:tc>
          <w:tcPr>
            <w:tcW w:w="832" w:type="pct"/>
            <w:shd w:val="clear" w:color="auto" w:fill="D9D9D9" w:themeFill="background1" w:themeFillShade="D9"/>
          </w:tcPr>
          <w:p w14:paraId="4F02C2EF" w14:textId="77777777" w:rsidR="00AA1152" w:rsidRPr="00210AC6" w:rsidRDefault="00AA1152" w:rsidP="00AA1152">
            <w:pPr>
              <w:rPr>
                <w:rFonts w:cs="Arial"/>
                <w:szCs w:val="16"/>
              </w:rPr>
            </w:pPr>
          </w:p>
        </w:tc>
      </w:tr>
      <w:tr w:rsidR="00AA1152" w:rsidRPr="00210AC6" w14:paraId="280FAD4D" w14:textId="77777777" w:rsidTr="00AA1152">
        <w:tc>
          <w:tcPr>
            <w:tcW w:w="2504" w:type="pct"/>
          </w:tcPr>
          <w:p w14:paraId="03E7B148" w14:textId="77777777" w:rsidR="00AA1152" w:rsidRPr="00210AC6" w:rsidRDefault="00AA1152" w:rsidP="00FB3CF2">
            <w:pPr>
              <w:ind w:left="720"/>
              <w:rPr>
                <w:rFonts w:cs="Arial"/>
                <w:b/>
                <w:bCs/>
                <w:szCs w:val="16"/>
              </w:rPr>
            </w:pPr>
            <w:r w:rsidRPr="00210AC6">
              <w:rPr>
                <w:rFonts w:cs="Arial"/>
                <w:b/>
                <w:bCs/>
                <w:szCs w:val="16"/>
              </w:rPr>
              <w:t>Uncorrected identified noncompliance</w:t>
            </w:r>
          </w:p>
        </w:tc>
        <w:tc>
          <w:tcPr>
            <w:tcW w:w="832" w:type="pct"/>
          </w:tcPr>
          <w:p w14:paraId="6A88C370" w14:textId="640AB405" w:rsidR="00AA1152" w:rsidRPr="00210AC6" w:rsidRDefault="00AA1152" w:rsidP="00AA1152">
            <w:pPr>
              <w:rPr>
                <w:rFonts w:cs="Arial"/>
                <w:szCs w:val="16"/>
              </w:rPr>
            </w:pPr>
            <w:r w:rsidRPr="00210AC6">
              <w:rPr>
                <w:rFonts w:cs="Arial"/>
                <w:szCs w:val="16"/>
              </w:rPr>
              <w:t>None</w:t>
            </w:r>
          </w:p>
        </w:tc>
        <w:tc>
          <w:tcPr>
            <w:tcW w:w="832" w:type="pct"/>
            <w:shd w:val="clear" w:color="auto" w:fill="D9D9D9" w:themeFill="background1" w:themeFillShade="D9"/>
          </w:tcPr>
          <w:p w14:paraId="1BBE86F1" w14:textId="77777777" w:rsidR="00AA1152" w:rsidRPr="00210AC6" w:rsidRDefault="00AA1152" w:rsidP="00AA1152">
            <w:pPr>
              <w:rPr>
                <w:rFonts w:cs="Arial"/>
                <w:szCs w:val="16"/>
              </w:rPr>
            </w:pPr>
          </w:p>
        </w:tc>
        <w:tc>
          <w:tcPr>
            <w:tcW w:w="832" w:type="pct"/>
            <w:shd w:val="clear" w:color="auto" w:fill="D9D9D9" w:themeFill="background1" w:themeFillShade="D9"/>
          </w:tcPr>
          <w:p w14:paraId="774B8A90" w14:textId="77777777" w:rsidR="00AA1152" w:rsidRPr="00210AC6" w:rsidRDefault="00AA1152" w:rsidP="00AA1152">
            <w:pPr>
              <w:rPr>
                <w:rFonts w:cs="Arial"/>
                <w:szCs w:val="16"/>
              </w:rPr>
            </w:pPr>
          </w:p>
        </w:tc>
      </w:tr>
    </w:tbl>
    <w:p w14:paraId="72E10240" w14:textId="77777777" w:rsidR="00B42C5F" w:rsidRPr="00210AC6" w:rsidRDefault="00B42C5F" w:rsidP="00BE0EEF">
      <w:pPr>
        <w:rPr>
          <w:rFonts w:cs="Arial"/>
          <w:b/>
          <w:szCs w:val="16"/>
        </w:rPr>
      </w:pPr>
    </w:p>
    <w:p w14:paraId="4BDEF506" w14:textId="09323CA3" w:rsidR="006868A2" w:rsidRDefault="006868A2" w:rsidP="006868A2">
      <w:pPr>
        <w:spacing w:before="0" w:after="120" w:line="276" w:lineRule="auto"/>
        <w:rPr>
          <w:b/>
          <w:bCs/>
          <w:szCs w:val="16"/>
        </w:rPr>
      </w:pPr>
      <w:r w:rsidRPr="00845B9B">
        <w:rPr>
          <w:b/>
          <w:bCs/>
          <w:szCs w:val="16"/>
        </w:rPr>
        <w:t xml:space="preserve">(3) The complete language for each indicator is located in the Part B SPP/APR Indicator Measurement Table at: </w:t>
      </w:r>
      <w:hyperlink w:history="1"/>
      <w:hyperlink r:id="rId14" w:history="1">
        <w:r w:rsidR="008F7972" w:rsidRPr="00351886">
          <w:rPr>
            <w:rStyle w:val="Hyperlink"/>
          </w:rPr>
          <w:t>https://sites.ed.gov/idea/files/FFY2023-Part-B-SPP-APR-Reformatted-Measurement-Table.pdf</w:t>
        </w:r>
      </w:hyperlink>
    </w:p>
    <w:p w14:paraId="436AB63B" w14:textId="40D0EF0F" w:rsidR="006868A2" w:rsidRDefault="006868A2" w:rsidP="006868A2">
      <w:pPr>
        <w:spacing w:before="0" w:after="120" w:line="276" w:lineRule="auto"/>
        <w:rPr>
          <w:b/>
          <w:bCs/>
        </w:rPr>
      </w:pPr>
      <w:r>
        <w:rPr>
          <w:b/>
          <w:bCs/>
          <w:szCs w:val="16"/>
        </w:rPr>
        <w:t>(</w:t>
      </w:r>
      <w:r>
        <w:rPr>
          <w:b/>
          <w:bCs/>
        </w:rPr>
        <w:t xml:space="preserve">4) </w:t>
      </w:r>
      <w:r>
        <w:rPr>
          <w:b/>
        </w:rPr>
        <w:t>This column reflects full correction, which is factored into the scoring only when the compliance data are &gt;=5% and &lt;10% for Indicators 4B, 9, and 10, and &gt;=90% and &lt;95% for Indicators 11, 12, 13</w:t>
      </w:r>
      <w:r w:rsidR="003C6A5B">
        <w:rPr>
          <w:b/>
          <w:bCs/>
        </w:rPr>
        <w:t xml:space="preserve"> and 18</w:t>
      </w:r>
      <w:r w:rsidR="008F7972">
        <w:rPr>
          <w:b/>
          <w:bCs/>
        </w:rPr>
        <w:t>.</w:t>
      </w:r>
    </w:p>
    <w:p w14:paraId="089CABA4" w14:textId="1E1C8E8E" w:rsidR="00D1413B" w:rsidRPr="00D1413B" w:rsidRDefault="00D1413B" w:rsidP="00D1413B">
      <w:pPr>
        <w:spacing w:before="0" w:after="120" w:line="276" w:lineRule="auto"/>
        <w:rPr>
          <w:b/>
          <w:bCs/>
        </w:rPr>
      </w:pPr>
      <w:r>
        <w:rPr>
          <w:rFonts w:cs="Arial"/>
          <w:b/>
          <w:bCs/>
          <w:szCs w:val="16"/>
        </w:rPr>
        <w:br w:type="page"/>
      </w:r>
    </w:p>
    <w:p w14:paraId="594193B2" w14:textId="16D7A99F" w:rsidR="00BE0EEF" w:rsidRDefault="00BE0EEF" w:rsidP="005B40C0">
      <w:pPr>
        <w:pStyle w:val="Heading3"/>
      </w:pPr>
      <w:r w:rsidRPr="003E43D9">
        <w:lastRenderedPageBreak/>
        <w:t>Data Rubric</w:t>
      </w:r>
    </w:p>
    <w:p w14:paraId="174BC165" w14:textId="02F99E88" w:rsidR="00D1413B" w:rsidRPr="00D1413B" w:rsidRDefault="00D1413B" w:rsidP="00D1413B">
      <w:pPr>
        <w:rPr>
          <w:b/>
          <w:bCs/>
          <w:sz w:val="18"/>
          <w:szCs w:val="18"/>
        </w:rPr>
      </w:pPr>
      <w:r w:rsidRPr="00D1413B">
        <w:rPr>
          <w:b/>
          <w:bCs/>
          <w:sz w:val="18"/>
          <w:szCs w:val="18"/>
        </w:rPr>
        <w:t>Oregon</w:t>
      </w:r>
    </w:p>
    <w:p w14:paraId="24531E0C" w14:textId="77777777" w:rsidR="006B6EF0" w:rsidRDefault="006B6EF0" w:rsidP="006B6EF0"/>
    <w:p w14:paraId="27E7D5D5" w14:textId="371BE3C2" w:rsidR="00110BB6" w:rsidRPr="00845B9B" w:rsidRDefault="00110BB6" w:rsidP="006B6EF0">
      <w:pPr>
        <w:rPr>
          <w:b/>
          <w:bCs/>
        </w:rPr>
      </w:pPr>
      <w:r w:rsidRPr="00845B9B">
        <w:rPr>
          <w:b/>
          <w:bCs/>
        </w:rPr>
        <w:t>FFY 2023 APR</w:t>
      </w:r>
      <w:r w:rsidR="006B6EF0">
        <w:t xml:space="preserve"> (1)</w:t>
      </w:r>
    </w:p>
    <w:p w14:paraId="09616E16" w14:textId="66FAE548" w:rsidR="006B6EF0" w:rsidRDefault="006B6EF0" w:rsidP="00845B9B">
      <w:r w:rsidRPr="00210AC6">
        <w:rPr>
          <w:rFonts w:eastAsia="Times New Roman" w:cs="Arial"/>
          <w:b/>
          <w:bCs/>
          <w:szCs w:val="16"/>
        </w:rPr>
        <w:t>Part B Timely and Accurate Data -- SPP/APR Data</w:t>
      </w:r>
    </w:p>
    <w:tbl>
      <w:tblPr>
        <w:tblStyle w:val="TableGrid1"/>
        <w:tblW w:w="9824" w:type="dxa"/>
        <w:tblLook w:val="04A0" w:firstRow="1" w:lastRow="0" w:firstColumn="1" w:lastColumn="0" w:noHBand="0" w:noVBand="1"/>
        <w:tblCaption w:val="BRUBCFFYINDVRSTAT"/>
      </w:tblPr>
      <w:tblGrid>
        <w:gridCol w:w="1866"/>
        <w:gridCol w:w="5260"/>
        <w:gridCol w:w="2698"/>
      </w:tblGrid>
      <w:tr w:rsidR="00BE0EEF" w:rsidRPr="00210AC6" w14:paraId="3A3A0C16" w14:textId="77777777" w:rsidTr="00845B9B">
        <w:trPr>
          <w:trHeight w:val="432"/>
        </w:trPr>
        <w:tc>
          <w:tcPr>
            <w:tcW w:w="1866" w:type="dxa"/>
            <w:vAlign w:val="center"/>
            <w:hideMark/>
          </w:tcPr>
          <w:p w14:paraId="68434036"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APR Indicator</w:t>
            </w:r>
          </w:p>
        </w:tc>
        <w:tc>
          <w:tcPr>
            <w:tcW w:w="5260" w:type="dxa"/>
            <w:vAlign w:val="center"/>
            <w:hideMark/>
          </w:tcPr>
          <w:p w14:paraId="77033CE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vAlign w:val="center"/>
            <w:hideMark/>
          </w:tcPr>
          <w:p w14:paraId="5244F363"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7135ED" w:rsidRPr="00210AC6" w14:paraId="67229BAC" w14:textId="77777777" w:rsidTr="00845B9B">
        <w:trPr>
          <w:trHeight w:val="432"/>
        </w:trPr>
        <w:tc>
          <w:tcPr>
            <w:tcW w:w="1866" w:type="dxa"/>
            <w:vAlign w:val="center"/>
            <w:hideMark/>
          </w:tcPr>
          <w:p w14:paraId="5FEE69C7"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w:t>
            </w:r>
          </w:p>
        </w:tc>
        <w:tc>
          <w:tcPr>
            <w:tcW w:w="5260" w:type="dxa"/>
            <w:vAlign w:val="center"/>
            <w:hideMark/>
          </w:tcPr>
          <w:p w14:paraId="585CE390" w14:textId="7E251BE0"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E92F735" w14:textId="595A48A0"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3EB60AC4" w14:textId="77777777" w:rsidTr="00845B9B">
        <w:trPr>
          <w:trHeight w:val="432"/>
        </w:trPr>
        <w:tc>
          <w:tcPr>
            <w:tcW w:w="1866" w:type="dxa"/>
            <w:vAlign w:val="center"/>
            <w:hideMark/>
          </w:tcPr>
          <w:p w14:paraId="35BAF33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2</w:t>
            </w:r>
          </w:p>
        </w:tc>
        <w:tc>
          <w:tcPr>
            <w:tcW w:w="5260" w:type="dxa"/>
            <w:vAlign w:val="center"/>
            <w:hideMark/>
          </w:tcPr>
          <w:p w14:paraId="60118E19" w14:textId="7A45D84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1C853E5C" w14:textId="79D75765"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5CF8C38" w14:textId="77777777" w:rsidTr="00845B9B">
        <w:trPr>
          <w:trHeight w:val="432"/>
        </w:trPr>
        <w:tc>
          <w:tcPr>
            <w:tcW w:w="1866" w:type="dxa"/>
            <w:vAlign w:val="center"/>
            <w:hideMark/>
          </w:tcPr>
          <w:p w14:paraId="68C7D5A5"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3A</w:t>
            </w:r>
          </w:p>
        </w:tc>
        <w:tc>
          <w:tcPr>
            <w:tcW w:w="5260" w:type="dxa"/>
            <w:vAlign w:val="center"/>
            <w:hideMark/>
          </w:tcPr>
          <w:p w14:paraId="555C0FFA" w14:textId="1DF093A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7DDDF62" w14:textId="2D82E5CE"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B04E7EB" w14:textId="77777777" w:rsidTr="00845B9B">
        <w:trPr>
          <w:trHeight w:val="432"/>
        </w:trPr>
        <w:tc>
          <w:tcPr>
            <w:tcW w:w="1866" w:type="dxa"/>
            <w:vAlign w:val="center"/>
            <w:hideMark/>
          </w:tcPr>
          <w:p w14:paraId="2642FD1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3B</w:t>
            </w:r>
          </w:p>
        </w:tc>
        <w:tc>
          <w:tcPr>
            <w:tcW w:w="5260" w:type="dxa"/>
            <w:vAlign w:val="center"/>
            <w:hideMark/>
          </w:tcPr>
          <w:p w14:paraId="72F500EC" w14:textId="0E1B423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C315133" w14:textId="2F329A6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3E4959E" w14:textId="77777777" w:rsidTr="00845B9B">
        <w:trPr>
          <w:trHeight w:val="432"/>
        </w:trPr>
        <w:tc>
          <w:tcPr>
            <w:tcW w:w="1866" w:type="dxa"/>
            <w:vAlign w:val="center"/>
            <w:hideMark/>
          </w:tcPr>
          <w:p w14:paraId="16420CC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3C</w:t>
            </w:r>
          </w:p>
        </w:tc>
        <w:tc>
          <w:tcPr>
            <w:tcW w:w="5260" w:type="dxa"/>
            <w:vAlign w:val="center"/>
            <w:hideMark/>
          </w:tcPr>
          <w:p w14:paraId="7EF0B8B4" w14:textId="2E5673A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3EADB1B" w14:textId="0322801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844CEDC" w14:textId="77777777" w:rsidTr="00845B9B">
        <w:trPr>
          <w:trHeight w:val="432"/>
        </w:trPr>
        <w:tc>
          <w:tcPr>
            <w:tcW w:w="1866" w:type="dxa"/>
            <w:vAlign w:val="center"/>
            <w:hideMark/>
          </w:tcPr>
          <w:p w14:paraId="434C9D26"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3D</w:t>
            </w:r>
          </w:p>
        </w:tc>
        <w:tc>
          <w:tcPr>
            <w:tcW w:w="5260" w:type="dxa"/>
            <w:vAlign w:val="center"/>
            <w:hideMark/>
          </w:tcPr>
          <w:p w14:paraId="6D3590F8" w14:textId="33166A7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B0775F3" w14:textId="492F13B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C388C09" w14:textId="77777777" w:rsidTr="00845B9B">
        <w:trPr>
          <w:trHeight w:val="432"/>
        </w:trPr>
        <w:tc>
          <w:tcPr>
            <w:tcW w:w="1866" w:type="dxa"/>
            <w:vAlign w:val="center"/>
            <w:hideMark/>
          </w:tcPr>
          <w:p w14:paraId="72C090C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4A</w:t>
            </w:r>
          </w:p>
        </w:tc>
        <w:tc>
          <w:tcPr>
            <w:tcW w:w="5260" w:type="dxa"/>
            <w:vAlign w:val="center"/>
            <w:hideMark/>
          </w:tcPr>
          <w:p w14:paraId="607E3D37" w14:textId="1D2D59CA"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5FF3F9E" w14:textId="6929A481"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189D00EB" w14:textId="77777777" w:rsidTr="00845B9B">
        <w:trPr>
          <w:trHeight w:val="432"/>
        </w:trPr>
        <w:tc>
          <w:tcPr>
            <w:tcW w:w="1866" w:type="dxa"/>
            <w:vAlign w:val="center"/>
            <w:hideMark/>
          </w:tcPr>
          <w:p w14:paraId="7060DD8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4B</w:t>
            </w:r>
          </w:p>
        </w:tc>
        <w:tc>
          <w:tcPr>
            <w:tcW w:w="5260" w:type="dxa"/>
            <w:vAlign w:val="center"/>
            <w:hideMark/>
          </w:tcPr>
          <w:p w14:paraId="4F1E8C75" w14:textId="28AF972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1FF423D" w14:textId="69E7F43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06E39B" w14:textId="77777777" w:rsidTr="00845B9B">
        <w:trPr>
          <w:trHeight w:val="432"/>
        </w:trPr>
        <w:tc>
          <w:tcPr>
            <w:tcW w:w="1866" w:type="dxa"/>
            <w:vAlign w:val="center"/>
            <w:hideMark/>
          </w:tcPr>
          <w:p w14:paraId="5A38FA4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5</w:t>
            </w:r>
          </w:p>
        </w:tc>
        <w:tc>
          <w:tcPr>
            <w:tcW w:w="5260" w:type="dxa"/>
            <w:vAlign w:val="center"/>
            <w:hideMark/>
          </w:tcPr>
          <w:p w14:paraId="56E67DDD" w14:textId="62C7A4C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63775BBA" w14:textId="3962637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377F841" w14:textId="77777777" w:rsidTr="00845B9B">
        <w:trPr>
          <w:trHeight w:val="432"/>
        </w:trPr>
        <w:tc>
          <w:tcPr>
            <w:tcW w:w="1866" w:type="dxa"/>
            <w:vAlign w:val="center"/>
            <w:hideMark/>
          </w:tcPr>
          <w:p w14:paraId="2456A6E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6</w:t>
            </w:r>
          </w:p>
        </w:tc>
        <w:tc>
          <w:tcPr>
            <w:tcW w:w="5260" w:type="dxa"/>
            <w:vAlign w:val="center"/>
            <w:hideMark/>
          </w:tcPr>
          <w:p w14:paraId="2B4C92B4" w14:textId="1001CA64"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3A4C720" w14:textId="210A767D"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2AB6FF3A" w14:textId="77777777" w:rsidTr="00845B9B">
        <w:trPr>
          <w:trHeight w:val="432"/>
        </w:trPr>
        <w:tc>
          <w:tcPr>
            <w:tcW w:w="1866" w:type="dxa"/>
            <w:vAlign w:val="center"/>
            <w:hideMark/>
          </w:tcPr>
          <w:p w14:paraId="3C7BC974"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7</w:t>
            </w:r>
          </w:p>
        </w:tc>
        <w:tc>
          <w:tcPr>
            <w:tcW w:w="5260" w:type="dxa"/>
            <w:vAlign w:val="center"/>
            <w:hideMark/>
          </w:tcPr>
          <w:p w14:paraId="73EC39EF" w14:textId="2AD790D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8777B03" w14:textId="55F47E9C"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779C23E" w14:textId="77777777" w:rsidTr="00845B9B">
        <w:trPr>
          <w:trHeight w:val="432"/>
        </w:trPr>
        <w:tc>
          <w:tcPr>
            <w:tcW w:w="1866" w:type="dxa"/>
            <w:vAlign w:val="center"/>
            <w:hideMark/>
          </w:tcPr>
          <w:p w14:paraId="496A257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8</w:t>
            </w:r>
          </w:p>
        </w:tc>
        <w:tc>
          <w:tcPr>
            <w:tcW w:w="5260" w:type="dxa"/>
            <w:vAlign w:val="center"/>
            <w:hideMark/>
          </w:tcPr>
          <w:p w14:paraId="082B43EF" w14:textId="5ACD387E"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ED9E02B" w14:textId="568C62A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AB1D469" w14:textId="77777777" w:rsidTr="00845B9B">
        <w:trPr>
          <w:trHeight w:val="432"/>
        </w:trPr>
        <w:tc>
          <w:tcPr>
            <w:tcW w:w="1866" w:type="dxa"/>
            <w:vAlign w:val="center"/>
            <w:hideMark/>
          </w:tcPr>
          <w:p w14:paraId="651D784C"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9</w:t>
            </w:r>
          </w:p>
        </w:tc>
        <w:tc>
          <w:tcPr>
            <w:tcW w:w="5260" w:type="dxa"/>
            <w:vAlign w:val="center"/>
            <w:hideMark/>
          </w:tcPr>
          <w:p w14:paraId="369CE928" w14:textId="448F558C"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CA96C70" w14:textId="4C654E07"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9A1B919" w14:textId="77777777" w:rsidTr="00845B9B">
        <w:trPr>
          <w:trHeight w:val="432"/>
        </w:trPr>
        <w:tc>
          <w:tcPr>
            <w:tcW w:w="1866" w:type="dxa"/>
            <w:vAlign w:val="center"/>
            <w:hideMark/>
          </w:tcPr>
          <w:p w14:paraId="232EA42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10</w:t>
            </w:r>
          </w:p>
        </w:tc>
        <w:tc>
          <w:tcPr>
            <w:tcW w:w="5260" w:type="dxa"/>
            <w:noWrap/>
            <w:vAlign w:val="center"/>
            <w:hideMark/>
          </w:tcPr>
          <w:p w14:paraId="4F5D18A1" w14:textId="0D0667C6"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186C0DD" w14:textId="7A9F886A"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8A1305C" w14:textId="77777777" w:rsidTr="00845B9B">
        <w:trPr>
          <w:trHeight w:val="432"/>
        </w:trPr>
        <w:tc>
          <w:tcPr>
            <w:tcW w:w="1866" w:type="dxa"/>
            <w:vAlign w:val="center"/>
            <w:hideMark/>
          </w:tcPr>
          <w:p w14:paraId="7C46D39D"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11</w:t>
            </w:r>
          </w:p>
        </w:tc>
        <w:tc>
          <w:tcPr>
            <w:tcW w:w="5260" w:type="dxa"/>
            <w:vAlign w:val="center"/>
            <w:hideMark/>
          </w:tcPr>
          <w:p w14:paraId="44311E94" w14:textId="0EFD9CD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2B6EE703" w14:textId="4141437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00BEC1BD" w14:textId="77777777" w:rsidTr="00845B9B">
        <w:trPr>
          <w:trHeight w:val="432"/>
        </w:trPr>
        <w:tc>
          <w:tcPr>
            <w:tcW w:w="1866" w:type="dxa"/>
            <w:vAlign w:val="center"/>
            <w:hideMark/>
          </w:tcPr>
          <w:p w14:paraId="3AC9243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12</w:t>
            </w:r>
          </w:p>
        </w:tc>
        <w:tc>
          <w:tcPr>
            <w:tcW w:w="5260" w:type="dxa"/>
            <w:noWrap/>
            <w:vAlign w:val="center"/>
            <w:hideMark/>
          </w:tcPr>
          <w:p w14:paraId="517E65C9" w14:textId="22367138"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9139EC4" w14:textId="58B023D9"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6208F430" w14:textId="77777777" w:rsidTr="00845B9B">
        <w:trPr>
          <w:trHeight w:val="432"/>
        </w:trPr>
        <w:tc>
          <w:tcPr>
            <w:tcW w:w="1866" w:type="dxa"/>
            <w:vAlign w:val="center"/>
            <w:hideMark/>
          </w:tcPr>
          <w:p w14:paraId="311B1EF1"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13</w:t>
            </w:r>
          </w:p>
        </w:tc>
        <w:tc>
          <w:tcPr>
            <w:tcW w:w="5260" w:type="dxa"/>
            <w:vAlign w:val="center"/>
            <w:hideMark/>
          </w:tcPr>
          <w:p w14:paraId="787ECEA1" w14:textId="72BB8351"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33C9DBFB" w14:textId="006A7124"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755669C6" w14:textId="77777777" w:rsidTr="00845B9B">
        <w:trPr>
          <w:trHeight w:val="432"/>
        </w:trPr>
        <w:tc>
          <w:tcPr>
            <w:tcW w:w="1866" w:type="dxa"/>
            <w:vAlign w:val="center"/>
            <w:hideMark/>
          </w:tcPr>
          <w:p w14:paraId="0C8CC4A2"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14</w:t>
            </w:r>
          </w:p>
        </w:tc>
        <w:tc>
          <w:tcPr>
            <w:tcW w:w="5260" w:type="dxa"/>
            <w:vAlign w:val="center"/>
            <w:hideMark/>
          </w:tcPr>
          <w:p w14:paraId="0F60439C" w14:textId="6F9A8D8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7B0E7975" w14:textId="5A277488"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5017B468" w14:textId="77777777" w:rsidTr="00845B9B">
        <w:trPr>
          <w:trHeight w:val="432"/>
        </w:trPr>
        <w:tc>
          <w:tcPr>
            <w:tcW w:w="1866" w:type="dxa"/>
            <w:vAlign w:val="center"/>
            <w:hideMark/>
          </w:tcPr>
          <w:p w14:paraId="0F24BCE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15</w:t>
            </w:r>
          </w:p>
        </w:tc>
        <w:tc>
          <w:tcPr>
            <w:tcW w:w="5260" w:type="dxa"/>
            <w:vAlign w:val="center"/>
            <w:hideMark/>
          </w:tcPr>
          <w:p w14:paraId="0F6FBA05" w14:textId="68CE842F"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C400BF6" w14:textId="5BEBC59F"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80B321C" w14:textId="77777777" w:rsidTr="00845B9B">
        <w:trPr>
          <w:trHeight w:val="432"/>
        </w:trPr>
        <w:tc>
          <w:tcPr>
            <w:tcW w:w="1866" w:type="dxa"/>
            <w:vAlign w:val="center"/>
            <w:hideMark/>
          </w:tcPr>
          <w:p w14:paraId="3870E408"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16</w:t>
            </w:r>
          </w:p>
        </w:tc>
        <w:tc>
          <w:tcPr>
            <w:tcW w:w="5260" w:type="dxa"/>
            <w:vAlign w:val="center"/>
            <w:hideMark/>
          </w:tcPr>
          <w:p w14:paraId="5DE8D01C" w14:textId="2664D1F2"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784ADC5" w14:textId="255F35D2" w:rsidR="007135ED" w:rsidRPr="00210AC6" w:rsidRDefault="007135ED" w:rsidP="006620B0">
            <w:pPr>
              <w:spacing w:before="0" w:after="0"/>
              <w:jc w:val="center"/>
              <w:rPr>
                <w:rFonts w:eastAsia="Times New Roman" w:cs="Arial"/>
                <w:szCs w:val="16"/>
              </w:rPr>
            </w:pPr>
            <w:r w:rsidRPr="00210AC6">
              <w:rPr>
                <w:rFonts w:cs="Arial"/>
                <w:szCs w:val="16"/>
              </w:rPr>
              <w:t>1</w:t>
            </w:r>
          </w:p>
        </w:tc>
      </w:tr>
      <w:tr w:rsidR="007135ED" w:rsidRPr="00210AC6" w14:paraId="496B687B" w14:textId="77777777" w:rsidTr="00845B9B">
        <w:trPr>
          <w:trHeight w:val="432"/>
        </w:trPr>
        <w:tc>
          <w:tcPr>
            <w:tcW w:w="1866" w:type="dxa"/>
            <w:vAlign w:val="center"/>
            <w:hideMark/>
          </w:tcPr>
          <w:p w14:paraId="708E4A50" w14:textId="77777777" w:rsidR="007135ED" w:rsidRPr="00210AC6" w:rsidRDefault="007135ED" w:rsidP="006620B0">
            <w:pPr>
              <w:spacing w:before="0" w:after="0"/>
              <w:jc w:val="center"/>
              <w:rPr>
                <w:rFonts w:eastAsia="Times New Roman" w:cs="Arial"/>
                <w:b/>
                <w:bCs/>
                <w:szCs w:val="16"/>
              </w:rPr>
            </w:pPr>
            <w:r w:rsidRPr="00210AC6">
              <w:rPr>
                <w:rFonts w:eastAsia="Times New Roman" w:cs="Arial"/>
                <w:b/>
                <w:bCs/>
                <w:szCs w:val="16"/>
              </w:rPr>
              <w:t>17</w:t>
            </w:r>
          </w:p>
        </w:tc>
        <w:tc>
          <w:tcPr>
            <w:tcW w:w="5260" w:type="dxa"/>
            <w:vAlign w:val="center"/>
            <w:hideMark/>
          </w:tcPr>
          <w:p w14:paraId="1DC5DFB7" w14:textId="43E1F80B" w:rsidR="007135ED" w:rsidRPr="00210AC6" w:rsidRDefault="007135ED" w:rsidP="006620B0">
            <w:pPr>
              <w:spacing w:before="0" w:after="0"/>
              <w:jc w:val="center"/>
              <w:rPr>
                <w:rFonts w:eastAsia="Times New Roman" w:cs="Arial"/>
                <w:szCs w:val="16"/>
              </w:rPr>
            </w:pPr>
            <w:r w:rsidRPr="00210AC6">
              <w:rPr>
                <w:rFonts w:cs="Arial"/>
                <w:szCs w:val="16"/>
              </w:rPr>
              <w:t>1</w:t>
            </w:r>
          </w:p>
        </w:tc>
        <w:tc>
          <w:tcPr>
            <w:tcW w:w="2698" w:type="dxa"/>
            <w:vAlign w:val="center"/>
            <w:hideMark/>
          </w:tcPr>
          <w:p w14:paraId="4B2444AC" w14:textId="3739D8B3" w:rsidR="007135ED" w:rsidRPr="00210AC6" w:rsidRDefault="007135ED" w:rsidP="006620B0">
            <w:pPr>
              <w:spacing w:before="0" w:after="0"/>
              <w:jc w:val="center"/>
              <w:rPr>
                <w:rFonts w:eastAsia="Times New Roman" w:cs="Arial"/>
                <w:szCs w:val="16"/>
              </w:rPr>
            </w:pPr>
            <w:r w:rsidRPr="00210AC6">
              <w:rPr>
                <w:rFonts w:cs="Arial"/>
                <w:szCs w:val="16"/>
              </w:rPr>
              <w:t>1</w:t>
            </w:r>
          </w:p>
        </w:tc>
      </w:tr>
      <w:tr w:rsidR="008420E4" w:rsidRPr="00210AC6" w14:paraId="78C4B1A5" w14:textId="77777777" w:rsidTr="00845B9B">
        <w:trPr>
          <w:trHeight w:val="432"/>
        </w:trPr>
        <w:tc>
          <w:tcPr>
            <w:tcW w:w="1866" w:type="dxa"/>
            <w:vAlign w:val="center"/>
          </w:tcPr>
          <w:p w14:paraId="5D07E4F2" w14:textId="416ECB16" w:rsidR="008420E4" w:rsidRPr="00210AC6" w:rsidRDefault="008420E4" w:rsidP="006620B0">
            <w:pPr>
              <w:spacing w:before="0" w:after="0"/>
              <w:jc w:val="center"/>
              <w:rPr>
                <w:rFonts w:eastAsia="Times New Roman" w:cs="Arial"/>
                <w:b/>
                <w:bCs/>
                <w:szCs w:val="16"/>
              </w:rPr>
            </w:pPr>
            <w:r>
              <w:rPr>
                <w:rFonts w:eastAsia="Times New Roman" w:cs="Arial"/>
                <w:b/>
                <w:bCs/>
                <w:szCs w:val="16"/>
              </w:rPr>
              <w:t>18</w:t>
            </w:r>
          </w:p>
        </w:tc>
        <w:tc>
          <w:tcPr>
            <w:tcW w:w="5260" w:type="dxa"/>
            <w:vAlign w:val="center"/>
          </w:tcPr>
          <w:p w14:paraId="12E6FBDF" w14:textId="7DA0C7EC" w:rsidR="008420E4" w:rsidRPr="00210AC6" w:rsidRDefault="008420E4" w:rsidP="006620B0">
            <w:pPr>
              <w:spacing w:before="0" w:after="0"/>
              <w:jc w:val="center"/>
              <w:rPr>
                <w:rFonts w:cs="Arial"/>
                <w:szCs w:val="16"/>
              </w:rPr>
            </w:pPr>
            <w:r>
              <w:rPr>
                <w:rFonts w:cs="Arial"/>
                <w:szCs w:val="16"/>
              </w:rPr>
              <w:t>1</w:t>
            </w:r>
          </w:p>
        </w:tc>
        <w:tc>
          <w:tcPr>
            <w:tcW w:w="2698" w:type="dxa"/>
            <w:vAlign w:val="center"/>
          </w:tcPr>
          <w:p w14:paraId="42595954" w14:textId="351B32A9" w:rsidR="008420E4" w:rsidRPr="00210AC6" w:rsidRDefault="008420E4" w:rsidP="006620B0">
            <w:pPr>
              <w:spacing w:before="0" w:after="0"/>
              <w:jc w:val="center"/>
              <w:rPr>
                <w:rFonts w:cs="Arial"/>
                <w:szCs w:val="16"/>
              </w:rPr>
            </w:pPr>
            <w:r>
              <w:rPr>
                <w:rFonts w:cs="Arial"/>
                <w:szCs w:val="16"/>
              </w:rPr>
              <w:t>1</w:t>
            </w:r>
          </w:p>
        </w:tc>
      </w:tr>
    </w:tbl>
    <w:p w14:paraId="4B6D9F0C" w14:textId="295BC79F" w:rsidR="00570930" w:rsidRDefault="00570930" w:rsidP="00BE0EEF">
      <w:pPr>
        <w:rPr>
          <w:rFonts w:cs="Arial"/>
          <w:szCs w:val="16"/>
        </w:rPr>
      </w:pPr>
    </w:p>
    <w:p w14:paraId="02F3B0C9" w14:textId="2D9C5F68" w:rsidR="006B6EF0" w:rsidRDefault="006B6EF0" w:rsidP="00BD32FB">
      <w:pPr>
        <w:tabs>
          <w:tab w:val="right" w:pos="10800"/>
        </w:tabs>
        <w:rPr>
          <w:rFonts w:cs="Arial"/>
          <w:szCs w:val="16"/>
        </w:rPr>
      </w:pPr>
      <w:r w:rsidRPr="00210AC6">
        <w:rPr>
          <w:rFonts w:eastAsia="Times New Roman" w:cs="Arial"/>
          <w:b/>
          <w:bCs/>
          <w:szCs w:val="16"/>
        </w:rPr>
        <w:t>APR Score Calculation</w:t>
      </w:r>
      <w:r w:rsidR="00C57696">
        <w:rPr>
          <w:rFonts w:eastAsia="Times New Roman" w:cs="Arial"/>
          <w:b/>
          <w:bCs/>
          <w:szCs w:val="16"/>
        </w:rPr>
        <w:tab/>
      </w:r>
    </w:p>
    <w:tbl>
      <w:tblPr>
        <w:tblStyle w:val="TableGrid1"/>
        <w:tblW w:w="9824" w:type="dxa"/>
        <w:tblLook w:val="04A0" w:firstRow="1" w:lastRow="0" w:firstColumn="1" w:lastColumn="0" w:noHBand="0" w:noVBand="1"/>
        <w:tblCaption w:val="BRUBCFFYSCRCALC"/>
      </w:tblPr>
      <w:tblGrid>
        <w:gridCol w:w="6493"/>
        <w:gridCol w:w="3331"/>
      </w:tblGrid>
      <w:tr w:rsidR="006B6EF0" w:rsidRPr="00210AC6" w14:paraId="47AD3A98" w14:textId="77777777" w:rsidTr="00845B9B">
        <w:trPr>
          <w:trHeight w:val="432"/>
        </w:trPr>
        <w:tc>
          <w:tcPr>
            <w:tcW w:w="5260" w:type="dxa"/>
            <w:vAlign w:val="center"/>
            <w:hideMark/>
          </w:tcPr>
          <w:p w14:paraId="145B239F"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698" w:type="dxa"/>
            <w:vAlign w:val="center"/>
            <w:hideMark/>
          </w:tcPr>
          <w:p w14:paraId="0772517F" w14:textId="77777777" w:rsidR="006B6EF0" w:rsidRPr="00210AC6" w:rsidRDefault="006B6EF0" w:rsidP="00EE6889">
            <w:pPr>
              <w:spacing w:before="0" w:after="0"/>
              <w:jc w:val="center"/>
              <w:rPr>
                <w:rFonts w:eastAsia="Times New Roman" w:cs="Arial"/>
                <w:szCs w:val="16"/>
              </w:rPr>
            </w:pPr>
            <w:r w:rsidRPr="00210AC6">
              <w:rPr>
                <w:rFonts w:cs="Arial"/>
                <w:szCs w:val="16"/>
              </w:rPr>
              <w:t>22</w:t>
            </w:r>
          </w:p>
        </w:tc>
      </w:tr>
      <w:tr w:rsidR="006B6EF0" w:rsidRPr="00210AC6" w14:paraId="713BDF54" w14:textId="77777777" w:rsidTr="00845B9B">
        <w:trPr>
          <w:trHeight w:val="701"/>
        </w:trPr>
        <w:tc>
          <w:tcPr>
            <w:tcW w:w="5260" w:type="dxa"/>
            <w:vAlign w:val="center"/>
            <w:hideMark/>
          </w:tcPr>
          <w:p w14:paraId="5BADC1AB" w14:textId="39272375" w:rsidR="006B6EF0" w:rsidRPr="00210AC6" w:rsidRDefault="006B6EF0" w:rsidP="00EE6889">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If the FFY 202</w:t>
            </w:r>
            <w:r w:rsidR="00D215D5">
              <w:rPr>
                <w:rFonts w:eastAsia="Times New Roman" w:cs="Arial"/>
                <w:szCs w:val="16"/>
              </w:rPr>
              <w:t>3</w:t>
            </w:r>
            <w:r w:rsidRPr="00210AC6">
              <w:rPr>
                <w:rFonts w:eastAsia="Times New Roman" w:cs="Arial"/>
                <w:szCs w:val="16"/>
              </w:rPr>
              <w:t xml:space="preserve"> APR was submitted on-time, place the number 5 in the cell on the right.</w:t>
            </w:r>
          </w:p>
        </w:tc>
        <w:tc>
          <w:tcPr>
            <w:tcW w:w="2698" w:type="dxa"/>
            <w:vAlign w:val="center"/>
            <w:hideMark/>
          </w:tcPr>
          <w:p w14:paraId="33EB9EE7" w14:textId="77777777" w:rsidR="006B6EF0" w:rsidRPr="00210AC6" w:rsidRDefault="006B6EF0" w:rsidP="00EE6889">
            <w:pPr>
              <w:spacing w:before="0" w:after="0"/>
              <w:jc w:val="center"/>
              <w:rPr>
                <w:rFonts w:eastAsia="Times New Roman" w:cs="Arial"/>
                <w:szCs w:val="16"/>
              </w:rPr>
            </w:pPr>
            <w:r w:rsidRPr="00210AC6">
              <w:rPr>
                <w:rFonts w:cs="Arial"/>
                <w:szCs w:val="16"/>
              </w:rPr>
              <w:t>5</w:t>
            </w:r>
          </w:p>
        </w:tc>
      </w:tr>
      <w:tr w:rsidR="006B6EF0" w:rsidRPr="00210AC6" w14:paraId="75C39484" w14:textId="77777777" w:rsidTr="00845B9B">
        <w:trPr>
          <w:trHeight w:val="432"/>
        </w:trPr>
        <w:tc>
          <w:tcPr>
            <w:tcW w:w="5260" w:type="dxa"/>
            <w:vAlign w:val="center"/>
            <w:hideMark/>
          </w:tcPr>
          <w:p w14:paraId="20F38A6F" w14:textId="77777777" w:rsidR="006B6EF0" w:rsidRPr="00210AC6" w:rsidRDefault="006B6EF0" w:rsidP="00EE6889">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Pr>
                <w:rFonts w:eastAsia="Times New Roman" w:cs="Arial"/>
                <w:szCs w:val="16"/>
              </w:rPr>
              <w:t>S</w:t>
            </w:r>
            <w:r w:rsidRPr="00210AC6">
              <w:rPr>
                <w:rFonts w:eastAsia="Times New Roman" w:cs="Arial"/>
                <w:szCs w:val="16"/>
              </w:rPr>
              <w:t>ubtotal and Timely Submission Points) =</w:t>
            </w:r>
          </w:p>
        </w:tc>
        <w:tc>
          <w:tcPr>
            <w:tcW w:w="2698" w:type="dxa"/>
            <w:vAlign w:val="center"/>
            <w:hideMark/>
          </w:tcPr>
          <w:p w14:paraId="3A1293F9" w14:textId="77777777" w:rsidR="006B6EF0" w:rsidRPr="00210AC6" w:rsidRDefault="006B6EF0" w:rsidP="00EE6889">
            <w:pPr>
              <w:spacing w:before="0" w:after="0"/>
              <w:jc w:val="center"/>
              <w:rPr>
                <w:rFonts w:eastAsia="Times New Roman" w:cs="Arial"/>
                <w:szCs w:val="16"/>
              </w:rPr>
            </w:pPr>
            <w:r w:rsidRPr="00210AC6">
              <w:rPr>
                <w:rFonts w:cs="Arial"/>
                <w:szCs w:val="16"/>
              </w:rPr>
              <w:t>27</w:t>
            </w:r>
          </w:p>
        </w:tc>
      </w:tr>
    </w:tbl>
    <w:p w14:paraId="64E8A13E" w14:textId="77777777" w:rsidR="006B6EF0" w:rsidRDefault="006B6EF0" w:rsidP="00BE0EEF">
      <w:pPr>
        <w:rPr>
          <w:rFonts w:cs="Arial"/>
          <w:szCs w:val="16"/>
        </w:rPr>
      </w:pPr>
    </w:p>
    <w:p w14:paraId="0B899F42" w14:textId="20D25269" w:rsidR="006B6EF0" w:rsidRPr="00845B9B" w:rsidRDefault="006B6EF0" w:rsidP="00BE0EEF">
      <w:pPr>
        <w:rPr>
          <w:rFonts w:cs="Arial"/>
          <w:b/>
          <w:bCs/>
          <w:szCs w:val="16"/>
        </w:rPr>
      </w:pPr>
      <w:r w:rsidRPr="00845B9B">
        <w:rPr>
          <w:rFonts w:eastAsia="Times New Roman" w:cs="Arial"/>
          <w:b/>
          <w:bCs/>
          <w:szCs w:val="16"/>
        </w:rPr>
        <w:lastRenderedPageBreak/>
        <w:t>(1) In the SPP/APR Data table, where there is an N/A in the Valid and Reliable column, the Total column will display a 0. This is a change from prior years in display only; all calculation methods are unchanged. An N/A does not negatively affect a State's score; this is because 1 point is subtracted from the Denominator in the Indicator Calculation table for each cell marked as N/A in the SPP/APR Data table.</w:t>
      </w:r>
    </w:p>
    <w:p w14:paraId="4105F8D3" w14:textId="77777777" w:rsidR="00570930" w:rsidRDefault="00570930">
      <w:pPr>
        <w:spacing w:before="0" w:after="200" w:line="276" w:lineRule="auto"/>
        <w:rPr>
          <w:rFonts w:cs="Arial"/>
          <w:szCs w:val="16"/>
        </w:rPr>
      </w:pPr>
      <w:r>
        <w:rPr>
          <w:rFonts w:cs="Arial"/>
          <w:szCs w:val="16"/>
        </w:rPr>
        <w:br w:type="page"/>
      </w:r>
    </w:p>
    <w:p w14:paraId="0BF0A0F6" w14:textId="727DF3E9" w:rsidR="00BE0EEF" w:rsidRPr="00210AC6" w:rsidRDefault="006B6EF0" w:rsidP="00BE0EEF">
      <w:pPr>
        <w:rPr>
          <w:rFonts w:cs="Arial"/>
          <w:szCs w:val="16"/>
        </w:rPr>
      </w:pPr>
      <w:r w:rsidRPr="00210AC6">
        <w:rPr>
          <w:rFonts w:eastAsia="Times New Roman" w:cs="Arial"/>
          <w:b/>
          <w:bCs/>
          <w:szCs w:val="16"/>
        </w:rPr>
        <w:lastRenderedPageBreak/>
        <w:t>618 Data</w:t>
      </w:r>
      <w:r w:rsidRPr="006B6EF0">
        <w:rPr>
          <w:rFonts w:eastAsia="Times New Roman" w:cs="Arial"/>
          <w:szCs w:val="16"/>
        </w:rPr>
        <w:t xml:space="preserve"> (2)</w:t>
      </w:r>
    </w:p>
    <w:tbl>
      <w:tblPr>
        <w:tblStyle w:val="TableGrid1"/>
        <w:tblW w:w="9841" w:type="dxa"/>
        <w:tblLayout w:type="fixed"/>
        <w:tblLook w:val="04A0" w:firstRow="1" w:lastRow="0" w:firstColumn="1" w:lastColumn="0" w:noHBand="0" w:noVBand="1"/>
        <w:tblCaption w:val="BRUBCFFYCOLLSTAT"/>
      </w:tblPr>
      <w:tblGrid>
        <w:gridCol w:w="1968"/>
        <w:gridCol w:w="1968"/>
        <w:gridCol w:w="1968"/>
        <w:gridCol w:w="1968"/>
        <w:gridCol w:w="1969"/>
      </w:tblGrid>
      <w:tr w:rsidR="00210AC6" w:rsidRPr="00210AC6" w14:paraId="1B30C60F" w14:textId="77777777" w:rsidTr="00845B9B">
        <w:trPr>
          <w:trHeight w:val="576"/>
        </w:trPr>
        <w:tc>
          <w:tcPr>
            <w:tcW w:w="1968" w:type="dxa"/>
            <w:vAlign w:val="center"/>
            <w:hideMark/>
          </w:tcPr>
          <w:p w14:paraId="2B94BB69"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Table</w:t>
            </w:r>
          </w:p>
        </w:tc>
        <w:tc>
          <w:tcPr>
            <w:tcW w:w="1968" w:type="dxa"/>
            <w:vAlign w:val="center"/>
            <w:hideMark/>
          </w:tcPr>
          <w:p w14:paraId="03E67D32"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Timely</w:t>
            </w:r>
          </w:p>
        </w:tc>
        <w:tc>
          <w:tcPr>
            <w:tcW w:w="1968" w:type="dxa"/>
            <w:vAlign w:val="center"/>
            <w:hideMark/>
          </w:tcPr>
          <w:p w14:paraId="3C5D96AB"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Complete Data</w:t>
            </w:r>
          </w:p>
        </w:tc>
        <w:tc>
          <w:tcPr>
            <w:tcW w:w="1968" w:type="dxa"/>
            <w:vAlign w:val="center"/>
            <w:hideMark/>
          </w:tcPr>
          <w:p w14:paraId="6D69FE1A"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vAlign w:val="center"/>
            <w:hideMark/>
          </w:tcPr>
          <w:p w14:paraId="16461F70" w14:textId="77777777" w:rsidR="00BE0EEF" w:rsidRPr="00210AC6" w:rsidRDefault="00BE0EEF" w:rsidP="006620B0">
            <w:pPr>
              <w:spacing w:before="0" w:after="0"/>
              <w:jc w:val="center"/>
              <w:rPr>
                <w:rFonts w:eastAsia="Times New Roman" w:cs="Arial"/>
                <w:b/>
                <w:bCs/>
                <w:szCs w:val="16"/>
              </w:rPr>
            </w:pPr>
            <w:r w:rsidRPr="00210AC6">
              <w:rPr>
                <w:rFonts w:eastAsia="Times New Roman" w:cs="Arial"/>
                <w:b/>
                <w:bCs/>
                <w:szCs w:val="16"/>
              </w:rPr>
              <w:t>Total</w:t>
            </w:r>
          </w:p>
        </w:tc>
      </w:tr>
      <w:tr w:rsidR="00934DC4" w:rsidRPr="00210AC6" w14:paraId="732EE18E" w14:textId="77777777" w:rsidTr="00845B9B">
        <w:trPr>
          <w:trHeight w:val="576"/>
        </w:trPr>
        <w:tc>
          <w:tcPr>
            <w:tcW w:w="1968" w:type="dxa"/>
            <w:vAlign w:val="center"/>
            <w:hideMark/>
          </w:tcPr>
          <w:p w14:paraId="27C353F2" w14:textId="77777777" w:rsidR="006F0B24" w:rsidRDefault="00934DC4" w:rsidP="006620B0">
            <w:pPr>
              <w:spacing w:before="0" w:after="0"/>
              <w:jc w:val="center"/>
              <w:rPr>
                <w:rFonts w:eastAsia="Times New Roman" w:cs="Arial"/>
                <w:b/>
                <w:bCs/>
                <w:szCs w:val="16"/>
              </w:rPr>
            </w:pPr>
            <w:r w:rsidRPr="00210AC6">
              <w:rPr>
                <w:rFonts w:eastAsia="Times New Roman" w:cs="Arial"/>
                <w:b/>
                <w:bCs/>
                <w:szCs w:val="16"/>
              </w:rPr>
              <w:t>Child Count/</w:t>
            </w:r>
          </w:p>
          <w:p w14:paraId="7C54D2F1" w14:textId="4DFA570D" w:rsidR="009926E2" w:rsidRDefault="006F0B24" w:rsidP="006620B0">
            <w:pPr>
              <w:spacing w:before="0" w:after="0"/>
              <w:jc w:val="center"/>
              <w:rPr>
                <w:rFonts w:eastAsia="Times New Roman" w:cs="Arial"/>
                <w:b/>
                <w:bCs/>
                <w:szCs w:val="16"/>
              </w:rPr>
            </w:pPr>
            <w:r w:rsidRPr="00B24034">
              <w:rPr>
                <w:rFonts w:eastAsia="Times New Roman" w:cs="Arial"/>
                <w:b/>
                <w:bCs/>
                <w:szCs w:val="16"/>
              </w:rPr>
              <w:t xml:space="preserve">Ed Envs </w:t>
            </w:r>
          </w:p>
          <w:p w14:paraId="392AF408" w14:textId="2D882017"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7/31/24</w:t>
            </w:r>
          </w:p>
        </w:tc>
        <w:tc>
          <w:tcPr>
            <w:tcW w:w="1968" w:type="dxa"/>
            <w:vAlign w:val="center"/>
            <w:hideMark/>
          </w:tcPr>
          <w:p w14:paraId="3FE0B4CB" w14:textId="303091E9"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A849A14" w14:textId="6E5106C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3C17ABEF" w14:textId="5D0E9314"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732BD247" w14:textId="5D8F0535"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5D4F6C8" w14:textId="77777777" w:rsidTr="00845B9B">
        <w:trPr>
          <w:trHeight w:val="576"/>
        </w:trPr>
        <w:tc>
          <w:tcPr>
            <w:tcW w:w="1968" w:type="dxa"/>
            <w:vAlign w:val="center"/>
            <w:hideMark/>
          </w:tcPr>
          <w:p w14:paraId="49555A24" w14:textId="77777777" w:rsidR="00957C31" w:rsidRDefault="00934DC4" w:rsidP="006620B0">
            <w:pPr>
              <w:spacing w:before="0" w:after="0"/>
              <w:jc w:val="center"/>
              <w:rPr>
                <w:rFonts w:eastAsia="Times New Roman" w:cs="Arial"/>
                <w:b/>
                <w:bCs/>
                <w:szCs w:val="16"/>
              </w:rPr>
            </w:pPr>
            <w:r w:rsidRPr="00210AC6">
              <w:rPr>
                <w:rFonts w:eastAsia="Times New Roman" w:cs="Arial"/>
                <w:b/>
                <w:bCs/>
                <w:szCs w:val="16"/>
              </w:rPr>
              <w:t xml:space="preserve">Personnel </w:t>
            </w:r>
          </w:p>
          <w:p w14:paraId="688FF6D9" w14:textId="1FB507FE"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 xml:space="preserve">Due Date: </w:t>
            </w:r>
            <w:r w:rsidR="00364826">
              <w:rPr>
                <w:rFonts w:eastAsia="Times New Roman" w:cs="Arial"/>
                <w:b/>
                <w:bCs/>
                <w:szCs w:val="16"/>
              </w:rPr>
              <w:t>3</w:t>
            </w:r>
            <w:r w:rsidRPr="00210AC6">
              <w:rPr>
                <w:rFonts w:eastAsia="Times New Roman" w:cs="Arial"/>
                <w:b/>
                <w:bCs/>
                <w:szCs w:val="16"/>
              </w:rPr>
              <w:t>/</w:t>
            </w:r>
            <w:r w:rsidR="00364826">
              <w:rPr>
                <w:rFonts w:eastAsia="Times New Roman" w:cs="Arial"/>
                <w:b/>
                <w:bCs/>
                <w:szCs w:val="16"/>
              </w:rPr>
              <w:t>5</w:t>
            </w:r>
            <w:r w:rsidRPr="00210AC6">
              <w:rPr>
                <w:rFonts w:eastAsia="Times New Roman" w:cs="Arial"/>
                <w:b/>
                <w:bCs/>
                <w:szCs w:val="16"/>
              </w:rPr>
              <w:t>/25</w:t>
            </w:r>
          </w:p>
        </w:tc>
        <w:tc>
          <w:tcPr>
            <w:tcW w:w="1968" w:type="dxa"/>
            <w:vAlign w:val="center"/>
            <w:hideMark/>
          </w:tcPr>
          <w:p w14:paraId="75FDE32E" w14:textId="4B79AC8A"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280161AF" w14:textId="5A729EB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80D47B8" w14:textId="53025EBE"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1085532F" w14:textId="524E2D44"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4B088669" w14:textId="77777777" w:rsidTr="00845B9B">
        <w:trPr>
          <w:trHeight w:val="576"/>
        </w:trPr>
        <w:tc>
          <w:tcPr>
            <w:tcW w:w="1968" w:type="dxa"/>
            <w:vAlign w:val="center"/>
            <w:hideMark/>
          </w:tcPr>
          <w:p w14:paraId="10838BF4"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Exiting </w:t>
            </w:r>
          </w:p>
          <w:p w14:paraId="360C4627" w14:textId="4C46D17D"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 xml:space="preserve">Due Date: </w:t>
            </w:r>
            <w:r w:rsidR="00364826">
              <w:rPr>
                <w:rFonts w:eastAsia="Times New Roman" w:cs="Arial"/>
                <w:b/>
                <w:bCs/>
                <w:szCs w:val="16"/>
              </w:rPr>
              <w:t>3</w:t>
            </w:r>
            <w:r w:rsidRPr="00210AC6">
              <w:rPr>
                <w:rFonts w:eastAsia="Times New Roman" w:cs="Arial"/>
                <w:b/>
                <w:bCs/>
                <w:szCs w:val="16"/>
              </w:rPr>
              <w:t>/</w:t>
            </w:r>
            <w:r w:rsidR="00364826">
              <w:rPr>
                <w:rFonts w:eastAsia="Times New Roman" w:cs="Arial"/>
                <w:b/>
                <w:bCs/>
                <w:szCs w:val="16"/>
              </w:rPr>
              <w:t>5</w:t>
            </w:r>
            <w:r w:rsidRPr="00210AC6">
              <w:rPr>
                <w:rFonts w:eastAsia="Times New Roman" w:cs="Arial"/>
                <w:b/>
                <w:bCs/>
                <w:szCs w:val="16"/>
              </w:rPr>
              <w:t>/25</w:t>
            </w:r>
          </w:p>
        </w:tc>
        <w:tc>
          <w:tcPr>
            <w:tcW w:w="1968" w:type="dxa"/>
            <w:vAlign w:val="center"/>
            <w:hideMark/>
          </w:tcPr>
          <w:p w14:paraId="0FEC0470" w14:textId="2CF7216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6C72EDFD" w14:textId="1E759C5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020F0AF" w14:textId="6F5307B8"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5ABE2118" w14:textId="4699A88C"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674E0C51" w14:textId="77777777" w:rsidTr="00845B9B">
        <w:trPr>
          <w:trHeight w:val="576"/>
        </w:trPr>
        <w:tc>
          <w:tcPr>
            <w:tcW w:w="1968" w:type="dxa"/>
            <w:vAlign w:val="center"/>
            <w:hideMark/>
          </w:tcPr>
          <w:p w14:paraId="1B45D506"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Discipline </w:t>
            </w:r>
          </w:p>
          <w:p w14:paraId="21194B2E" w14:textId="3F5E30E4"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 xml:space="preserve">Due Date: </w:t>
            </w:r>
            <w:r w:rsidR="00364826">
              <w:rPr>
                <w:rFonts w:eastAsia="Times New Roman" w:cs="Arial"/>
                <w:b/>
                <w:bCs/>
                <w:szCs w:val="16"/>
              </w:rPr>
              <w:t>3</w:t>
            </w:r>
            <w:r w:rsidRPr="00210AC6">
              <w:rPr>
                <w:rFonts w:eastAsia="Times New Roman" w:cs="Arial"/>
                <w:b/>
                <w:bCs/>
                <w:szCs w:val="16"/>
              </w:rPr>
              <w:t>/</w:t>
            </w:r>
            <w:r w:rsidR="00364826">
              <w:rPr>
                <w:rFonts w:eastAsia="Times New Roman" w:cs="Arial"/>
                <w:b/>
                <w:bCs/>
                <w:szCs w:val="16"/>
              </w:rPr>
              <w:t>5</w:t>
            </w:r>
            <w:r w:rsidRPr="00210AC6">
              <w:rPr>
                <w:rFonts w:eastAsia="Times New Roman" w:cs="Arial"/>
                <w:b/>
                <w:bCs/>
                <w:szCs w:val="16"/>
              </w:rPr>
              <w:t>/25</w:t>
            </w:r>
          </w:p>
        </w:tc>
        <w:tc>
          <w:tcPr>
            <w:tcW w:w="1968" w:type="dxa"/>
            <w:vAlign w:val="center"/>
            <w:hideMark/>
          </w:tcPr>
          <w:p w14:paraId="6265DFCD" w14:textId="6A7295B1"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7947AF3C" w14:textId="2C130027"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E1A82FD" w14:textId="5429E23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6A1FF6DB" w14:textId="36203379"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143C193C" w14:textId="77777777" w:rsidTr="00845B9B">
        <w:trPr>
          <w:trHeight w:val="576"/>
        </w:trPr>
        <w:tc>
          <w:tcPr>
            <w:tcW w:w="1968" w:type="dxa"/>
            <w:vAlign w:val="center"/>
            <w:hideMark/>
          </w:tcPr>
          <w:p w14:paraId="5FBF6AF7"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State Assessment </w:t>
            </w:r>
          </w:p>
          <w:p w14:paraId="383B7AAF" w14:textId="7CC150CB"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1/8/25</w:t>
            </w:r>
          </w:p>
        </w:tc>
        <w:tc>
          <w:tcPr>
            <w:tcW w:w="1968" w:type="dxa"/>
            <w:vAlign w:val="center"/>
            <w:hideMark/>
          </w:tcPr>
          <w:p w14:paraId="5CDE5DB2" w14:textId="26881AE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9BD5280" w14:textId="7E58B5E0"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F12D45D" w14:textId="2261B7ED"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2069C1CA" w14:textId="5EF430EB"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210AC6" w:rsidRPr="00210AC6" w14:paraId="4565B1AE" w14:textId="77777777" w:rsidTr="00845B9B">
        <w:trPr>
          <w:trHeight w:val="576"/>
        </w:trPr>
        <w:tc>
          <w:tcPr>
            <w:tcW w:w="1968" w:type="dxa"/>
            <w:vAlign w:val="center"/>
            <w:hideMark/>
          </w:tcPr>
          <w:p w14:paraId="6794BDFC"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Dispute Resolution</w:t>
            </w:r>
          </w:p>
          <w:p w14:paraId="60A0C4C6" w14:textId="440D94ED"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11/13/24</w:t>
            </w:r>
          </w:p>
        </w:tc>
        <w:tc>
          <w:tcPr>
            <w:tcW w:w="1968" w:type="dxa"/>
            <w:vAlign w:val="center"/>
            <w:hideMark/>
          </w:tcPr>
          <w:p w14:paraId="12A9BFB1" w14:textId="52DD7DF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152BA206" w14:textId="30A77AAB"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45F386E9" w14:textId="08993D3F"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2A8B8478" w14:textId="4853CB93" w:rsidR="00934DC4" w:rsidRPr="00210AC6" w:rsidRDefault="00934DC4" w:rsidP="006620B0">
            <w:pPr>
              <w:spacing w:before="0" w:after="0"/>
              <w:jc w:val="center"/>
              <w:rPr>
                <w:rFonts w:eastAsia="Times New Roman" w:cs="Arial"/>
                <w:b/>
                <w:bCs/>
                <w:szCs w:val="16"/>
              </w:rPr>
            </w:pPr>
            <w:r w:rsidRPr="00210AC6">
              <w:rPr>
                <w:rFonts w:cs="Arial"/>
                <w:szCs w:val="16"/>
              </w:rPr>
              <w:t>3</w:t>
            </w:r>
          </w:p>
        </w:tc>
      </w:tr>
      <w:tr w:rsidR="00934DC4" w:rsidRPr="00210AC6" w14:paraId="5866F31F" w14:textId="77777777" w:rsidTr="00845B9B">
        <w:trPr>
          <w:trHeight w:val="576"/>
        </w:trPr>
        <w:tc>
          <w:tcPr>
            <w:tcW w:w="1968" w:type="dxa"/>
            <w:vAlign w:val="center"/>
            <w:hideMark/>
          </w:tcPr>
          <w:p w14:paraId="093F29B0" w14:textId="77777777" w:rsidR="00B8529D" w:rsidRDefault="00934DC4" w:rsidP="006620B0">
            <w:pPr>
              <w:spacing w:before="0" w:after="0"/>
              <w:jc w:val="center"/>
              <w:rPr>
                <w:rFonts w:eastAsia="Times New Roman" w:cs="Arial"/>
                <w:b/>
                <w:bCs/>
                <w:szCs w:val="16"/>
              </w:rPr>
            </w:pPr>
            <w:r w:rsidRPr="00210AC6">
              <w:rPr>
                <w:rFonts w:eastAsia="Times New Roman" w:cs="Arial"/>
                <w:b/>
                <w:bCs/>
                <w:szCs w:val="16"/>
              </w:rPr>
              <w:t xml:space="preserve">MOE/CEIS </w:t>
            </w:r>
          </w:p>
          <w:p w14:paraId="695E41FD" w14:textId="0A58678B" w:rsidR="00934DC4" w:rsidRPr="00210AC6" w:rsidRDefault="00934DC4" w:rsidP="006620B0">
            <w:pPr>
              <w:spacing w:before="0" w:after="0"/>
              <w:jc w:val="center"/>
              <w:rPr>
                <w:rFonts w:eastAsia="Times New Roman" w:cs="Arial"/>
                <w:b/>
                <w:bCs/>
                <w:szCs w:val="16"/>
              </w:rPr>
            </w:pPr>
            <w:r w:rsidRPr="00210AC6">
              <w:rPr>
                <w:rFonts w:eastAsia="Times New Roman" w:cs="Arial"/>
                <w:b/>
                <w:bCs/>
                <w:szCs w:val="16"/>
              </w:rPr>
              <w:t>Due Date: 9/4/24</w:t>
            </w:r>
          </w:p>
        </w:tc>
        <w:tc>
          <w:tcPr>
            <w:tcW w:w="1968" w:type="dxa"/>
            <w:vAlign w:val="center"/>
            <w:hideMark/>
          </w:tcPr>
          <w:p w14:paraId="601688AF" w14:textId="21FA0D66"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B86927D" w14:textId="186FEAC5"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8" w:type="dxa"/>
            <w:vAlign w:val="center"/>
            <w:hideMark/>
          </w:tcPr>
          <w:p w14:paraId="54AEBB59" w14:textId="24F195DC" w:rsidR="00934DC4" w:rsidRPr="00210AC6" w:rsidRDefault="00934DC4" w:rsidP="006620B0">
            <w:pPr>
              <w:spacing w:before="0" w:after="0"/>
              <w:jc w:val="center"/>
              <w:rPr>
                <w:rFonts w:eastAsia="Times New Roman" w:cs="Arial"/>
                <w:b/>
                <w:bCs/>
                <w:szCs w:val="16"/>
              </w:rPr>
            </w:pPr>
            <w:r w:rsidRPr="00210AC6">
              <w:rPr>
                <w:rFonts w:cs="Arial"/>
                <w:szCs w:val="16"/>
              </w:rPr>
              <w:t>1</w:t>
            </w:r>
          </w:p>
        </w:tc>
        <w:tc>
          <w:tcPr>
            <w:tcW w:w="1969" w:type="dxa"/>
            <w:noWrap/>
            <w:vAlign w:val="center"/>
            <w:hideMark/>
          </w:tcPr>
          <w:p w14:paraId="4E561B6D" w14:textId="41132DB6" w:rsidR="00934DC4" w:rsidRPr="00210AC6" w:rsidRDefault="00934DC4" w:rsidP="006620B0">
            <w:pPr>
              <w:spacing w:before="0" w:after="0"/>
              <w:jc w:val="center"/>
              <w:rPr>
                <w:rFonts w:eastAsia="Times New Roman" w:cs="Arial"/>
                <w:b/>
                <w:bCs/>
                <w:szCs w:val="16"/>
              </w:rPr>
            </w:pPr>
            <w:r w:rsidRPr="00210AC6">
              <w:rPr>
                <w:rFonts w:cs="Arial"/>
                <w:szCs w:val="16"/>
              </w:rPr>
              <w:t>3</w:t>
            </w:r>
          </w:p>
        </w:tc>
      </w:tr>
    </w:tbl>
    <w:p w14:paraId="19908CB5" w14:textId="6E565737" w:rsidR="00570930" w:rsidRDefault="00570930" w:rsidP="00BE0EEF">
      <w:pPr>
        <w:rPr>
          <w:rFonts w:cs="Arial"/>
          <w:color w:val="000000" w:themeColor="text1"/>
          <w:szCs w:val="16"/>
        </w:rPr>
      </w:pPr>
    </w:p>
    <w:p w14:paraId="6353AB86" w14:textId="55E3F0FB" w:rsidR="006B6EF0" w:rsidRDefault="006B6EF0" w:rsidP="00BE0EEF">
      <w:pPr>
        <w:rPr>
          <w:rFonts w:cs="Arial"/>
          <w:color w:val="000000" w:themeColor="text1"/>
          <w:szCs w:val="16"/>
        </w:rPr>
      </w:pPr>
      <w:r w:rsidRPr="00210AC6">
        <w:rPr>
          <w:rFonts w:eastAsia="Times New Roman" w:cs="Arial"/>
          <w:b/>
          <w:bCs/>
          <w:szCs w:val="16"/>
        </w:rPr>
        <w:t>618 Score Calculation</w:t>
      </w:r>
    </w:p>
    <w:tbl>
      <w:tblPr>
        <w:tblStyle w:val="TableGrid1"/>
        <w:tblW w:w="9841" w:type="dxa"/>
        <w:tblLayout w:type="fixed"/>
        <w:tblLook w:val="04A0" w:firstRow="1" w:lastRow="0" w:firstColumn="1" w:lastColumn="0" w:noHBand="0" w:noVBand="1"/>
        <w:tblCaption w:val="BRUBCFFY618SCRCALC"/>
      </w:tblPr>
      <w:tblGrid>
        <w:gridCol w:w="7835"/>
        <w:gridCol w:w="2006"/>
      </w:tblGrid>
      <w:tr w:rsidR="006B6EF0" w:rsidRPr="00210AC6" w14:paraId="5DFF335E" w14:textId="77777777" w:rsidTr="00845B9B">
        <w:trPr>
          <w:trHeight w:val="576"/>
        </w:trPr>
        <w:tc>
          <w:tcPr>
            <w:tcW w:w="7877" w:type="dxa"/>
            <w:vAlign w:val="center"/>
            <w:hideMark/>
          </w:tcPr>
          <w:p w14:paraId="4419B771" w14:textId="77777777" w:rsidR="006B6EF0" w:rsidRPr="00210AC6" w:rsidRDefault="006B6EF0" w:rsidP="00845B9B">
            <w:pPr>
              <w:spacing w:before="0" w:after="0"/>
              <w:rPr>
                <w:rFonts w:eastAsia="Times New Roman" w:cs="Arial"/>
                <w:b/>
                <w:bCs/>
                <w:szCs w:val="16"/>
              </w:rPr>
            </w:pPr>
            <w:r w:rsidRPr="00210AC6">
              <w:rPr>
                <w:rFonts w:eastAsia="Times New Roman" w:cs="Arial"/>
                <w:b/>
                <w:bCs/>
                <w:szCs w:val="16"/>
              </w:rPr>
              <w:t>Subtotal</w:t>
            </w:r>
          </w:p>
        </w:tc>
        <w:tc>
          <w:tcPr>
            <w:tcW w:w="2016" w:type="dxa"/>
            <w:noWrap/>
            <w:vAlign w:val="center"/>
            <w:hideMark/>
          </w:tcPr>
          <w:p w14:paraId="299F43F7" w14:textId="77777777" w:rsidR="006B6EF0" w:rsidRPr="00210AC6" w:rsidRDefault="006B6EF0" w:rsidP="00EE6889">
            <w:pPr>
              <w:spacing w:before="0" w:after="0"/>
              <w:jc w:val="center"/>
              <w:rPr>
                <w:rFonts w:eastAsia="Times New Roman" w:cs="Arial"/>
                <w:szCs w:val="16"/>
              </w:rPr>
            </w:pPr>
            <w:r w:rsidRPr="00210AC6">
              <w:rPr>
                <w:rFonts w:cs="Arial"/>
                <w:szCs w:val="16"/>
              </w:rPr>
              <w:t>21</w:t>
            </w:r>
          </w:p>
        </w:tc>
      </w:tr>
      <w:tr w:rsidR="006B6EF0" w:rsidRPr="00210AC6" w14:paraId="04CC4F36" w14:textId="77777777" w:rsidTr="00845B9B">
        <w:trPr>
          <w:trHeight w:val="576"/>
        </w:trPr>
        <w:tc>
          <w:tcPr>
            <w:tcW w:w="7877" w:type="dxa"/>
            <w:vAlign w:val="center"/>
            <w:hideMark/>
          </w:tcPr>
          <w:p w14:paraId="226298C8" w14:textId="7C8901BB" w:rsidR="006B6EF0" w:rsidRPr="00210AC6" w:rsidRDefault="006B6EF0" w:rsidP="00845B9B">
            <w:pPr>
              <w:spacing w:before="0" w:after="0"/>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(Subtotal X 1.</w:t>
            </w:r>
            <w:r w:rsidR="00B429D3">
              <w:rPr>
                <w:rFonts w:eastAsia="Times New Roman" w:cs="Arial"/>
                <w:szCs w:val="16"/>
              </w:rPr>
              <w:t>28571429</w:t>
            </w:r>
            <w:r w:rsidRPr="00210AC6">
              <w:rPr>
                <w:rFonts w:eastAsia="Times New Roman" w:cs="Arial"/>
                <w:szCs w:val="16"/>
              </w:rPr>
              <w:t>) =</w:t>
            </w:r>
          </w:p>
        </w:tc>
        <w:tc>
          <w:tcPr>
            <w:tcW w:w="2016" w:type="dxa"/>
            <w:noWrap/>
            <w:vAlign w:val="center"/>
            <w:hideMark/>
          </w:tcPr>
          <w:p w14:paraId="3B8BFF42" w14:textId="77777777" w:rsidR="006B6EF0" w:rsidRPr="00210AC6" w:rsidRDefault="006B6EF0" w:rsidP="00EE6889">
            <w:pPr>
              <w:spacing w:before="0" w:after="0"/>
              <w:jc w:val="center"/>
              <w:rPr>
                <w:rFonts w:eastAsia="Times New Roman" w:cs="Arial"/>
                <w:szCs w:val="16"/>
              </w:rPr>
            </w:pPr>
            <w:r w:rsidRPr="00210AC6">
              <w:rPr>
                <w:rFonts w:cs="Arial"/>
                <w:szCs w:val="16"/>
              </w:rPr>
              <w:t>27.00</w:t>
            </w:r>
          </w:p>
        </w:tc>
      </w:tr>
    </w:tbl>
    <w:p w14:paraId="1144AD44" w14:textId="77777777" w:rsidR="006B6EF0" w:rsidRDefault="006B6EF0" w:rsidP="00BE0EEF">
      <w:pPr>
        <w:rPr>
          <w:rFonts w:cs="Arial"/>
          <w:color w:val="000000" w:themeColor="text1"/>
          <w:szCs w:val="16"/>
        </w:rPr>
      </w:pPr>
    </w:p>
    <w:p w14:paraId="015CC089" w14:textId="39B3A3EA" w:rsidR="00570930" w:rsidRPr="00845B9B" w:rsidRDefault="006B6EF0">
      <w:pPr>
        <w:spacing w:before="0" w:after="200" w:line="276" w:lineRule="auto"/>
        <w:rPr>
          <w:rFonts w:cs="Arial"/>
          <w:b/>
          <w:bCs/>
          <w:color w:val="000000" w:themeColor="text1"/>
          <w:szCs w:val="16"/>
        </w:rPr>
      </w:pPr>
      <w:r w:rsidRPr="00845B9B">
        <w:rPr>
          <w:rFonts w:cs="Arial"/>
          <w:b/>
          <w:bCs/>
          <w:color w:val="000000" w:themeColor="text1"/>
          <w:szCs w:val="16"/>
        </w:rPr>
        <w:t xml:space="preserve">(2) </w:t>
      </w:r>
      <w:r w:rsidRPr="00845B9B">
        <w:rPr>
          <w:b/>
          <w:bCs/>
          <w:color w:val="000000" w:themeColor="text1"/>
          <w:szCs w:val="16"/>
        </w:rPr>
        <w:t>In the 618 Data table, when calculating the value in the Total column, any N/As in the Timely, Complete Data, or Passed Edit Checks columns are treated as a ‘0’. An N/A does not negatively affect a State's score; this is because 1.</w:t>
      </w:r>
      <w:r w:rsidR="00B429D3">
        <w:rPr>
          <w:b/>
          <w:bCs/>
          <w:color w:val="000000" w:themeColor="text1"/>
          <w:szCs w:val="16"/>
        </w:rPr>
        <w:t>28571429</w:t>
      </w:r>
      <w:r w:rsidRPr="00845B9B">
        <w:rPr>
          <w:b/>
          <w:bCs/>
          <w:color w:val="000000" w:themeColor="text1"/>
          <w:szCs w:val="16"/>
        </w:rPr>
        <w:t xml:space="preserve"> points </w:t>
      </w:r>
      <w:r w:rsidR="0070077A">
        <w:rPr>
          <w:b/>
          <w:bCs/>
          <w:color w:val="000000" w:themeColor="text1"/>
          <w:szCs w:val="16"/>
        </w:rPr>
        <w:t>are</w:t>
      </w:r>
      <w:r w:rsidR="0070077A" w:rsidRPr="00845B9B">
        <w:rPr>
          <w:b/>
          <w:bCs/>
          <w:color w:val="000000" w:themeColor="text1"/>
          <w:szCs w:val="16"/>
        </w:rPr>
        <w:t xml:space="preserve"> </w:t>
      </w:r>
      <w:r w:rsidRPr="00845B9B">
        <w:rPr>
          <w:b/>
          <w:bCs/>
          <w:color w:val="000000" w:themeColor="text1"/>
          <w:szCs w:val="16"/>
        </w:rPr>
        <w:t>subtracted from the Denominator in the Indicator Calculation table for each cell marked as N/A in the 618 Data table.</w:t>
      </w:r>
      <w:r w:rsidR="00570930" w:rsidRPr="00845B9B">
        <w:rPr>
          <w:rFonts w:cs="Arial"/>
          <w:b/>
          <w:bCs/>
          <w:color w:val="000000" w:themeColor="text1"/>
          <w:szCs w:val="16"/>
        </w:rPr>
        <w:br w:type="page"/>
      </w:r>
    </w:p>
    <w:p w14:paraId="13C7AD77" w14:textId="4441E409" w:rsidR="00BE0EEF" w:rsidRDefault="006B6EF0" w:rsidP="00BE0EEF">
      <w:pPr>
        <w:rPr>
          <w:rFonts w:cs="Arial"/>
          <w:color w:val="000000" w:themeColor="text1"/>
          <w:szCs w:val="16"/>
        </w:rPr>
      </w:pPr>
      <w:r w:rsidRPr="00210AC6">
        <w:rPr>
          <w:rFonts w:eastAsia="Times New Roman" w:cs="Arial"/>
          <w:b/>
          <w:bCs/>
          <w:szCs w:val="16"/>
        </w:rPr>
        <w:lastRenderedPageBreak/>
        <w:t>Indicator Calculation</w:t>
      </w:r>
    </w:p>
    <w:tbl>
      <w:tblPr>
        <w:tblStyle w:val="TableGrid1"/>
        <w:tblW w:w="9839" w:type="dxa"/>
        <w:tblLook w:val="04A0" w:firstRow="1" w:lastRow="0" w:firstColumn="1" w:lastColumn="0" w:noHBand="0" w:noVBand="1"/>
        <w:tblCaption w:val="BRUBCFFYINDCALC"/>
      </w:tblPr>
      <w:tblGrid>
        <w:gridCol w:w="6475"/>
        <w:gridCol w:w="3364"/>
      </w:tblGrid>
      <w:tr w:rsidR="00435E51" w:rsidRPr="00210AC6" w14:paraId="2A6102B0" w14:textId="77777777" w:rsidTr="003E5D5A">
        <w:trPr>
          <w:trHeight w:val="432"/>
        </w:trPr>
        <w:tc>
          <w:tcPr>
            <w:tcW w:w="6475" w:type="dxa"/>
            <w:vAlign w:val="center"/>
            <w:hideMark/>
          </w:tcPr>
          <w:p w14:paraId="184AC9A0" w14:textId="77777777" w:rsidR="00435E51" w:rsidRPr="00210AC6" w:rsidRDefault="00435E51" w:rsidP="00435E51">
            <w:pPr>
              <w:spacing w:before="0" w:after="0"/>
              <w:rPr>
                <w:rFonts w:eastAsia="Times New Roman" w:cs="Arial"/>
                <w:szCs w:val="16"/>
              </w:rPr>
            </w:pPr>
            <w:r w:rsidRPr="00210AC6">
              <w:rPr>
                <w:rFonts w:eastAsia="Times New Roman" w:cs="Arial"/>
                <w:szCs w:val="16"/>
              </w:rPr>
              <w:t>A. APR Grand Total</w:t>
            </w:r>
          </w:p>
        </w:tc>
        <w:tc>
          <w:tcPr>
            <w:tcW w:w="3364" w:type="dxa"/>
            <w:vAlign w:val="center"/>
            <w:hideMark/>
          </w:tcPr>
          <w:p w14:paraId="0825BA19" w14:textId="54223086" w:rsidR="00435E51" w:rsidRPr="00210AC6" w:rsidRDefault="00435E51" w:rsidP="003E5D5A">
            <w:pPr>
              <w:spacing w:before="0" w:after="0"/>
              <w:jc w:val="center"/>
              <w:rPr>
                <w:rFonts w:eastAsia="Times New Roman" w:cs="Arial"/>
                <w:szCs w:val="16"/>
              </w:rPr>
            </w:pPr>
            <w:r w:rsidRPr="00210AC6">
              <w:rPr>
                <w:rFonts w:cs="Arial"/>
                <w:szCs w:val="16"/>
              </w:rPr>
              <w:t>27</w:t>
            </w:r>
          </w:p>
        </w:tc>
      </w:tr>
      <w:tr w:rsidR="00435E51" w:rsidRPr="00210AC6" w14:paraId="190B3554" w14:textId="77777777" w:rsidTr="003E5D5A">
        <w:trPr>
          <w:trHeight w:val="432"/>
        </w:trPr>
        <w:tc>
          <w:tcPr>
            <w:tcW w:w="6475" w:type="dxa"/>
            <w:vAlign w:val="center"/>
            <w:hideMark/>
          </w:tcPr>
          <w:p w14:paraId="66B0D6DA" w14:textId="77777777" w:rsidR="00435E51" w:rsidRPr="00210AC6" w:rsidRDefault="00435E51" w:rsidP="00435E51">
            <w:pPr>
              <w:spacing w:before="0" w:after="0"/>
              <w:rPr>
                <w:rFonts w:eastAsia="Times New Roman" w:cs="Arial"/>
                <w:szCs w:val="16"/>
              </w:rPr>
            </w:pPr>
            <w:r w:rsidRPr="00210AC6">
              <w:rPr>
                <w:rFonts w:eastAsia="Times New Roman" w:cs="Arial"/>
                <w:szCs w:val="16"/>
              </w:rPr>
              <w:t>B. 618 Grand Total</w:t>
            </w:r>
          </w:p>
        </w:tc>
        <w:tc>
          <w:tcPr>
            <w:tcW w:w="3364" w:type="dxa"/>
            <w:vAlign w:val="center"/>
            <w:hideMark/>
          </w:tcPr>
          <w:p w14:paraId="292F5CE3" w14:textId="3D2DF12B" w:rsidR="00435E51" w:rsidRPr="00210AC6" w:rsidRDefault="00435E51" w:rsidP="003E5D5A">
            <w:pPr>
              <w:spacing w:before="0" w:after="0"/>
              <w:jc w:val="center"/>
              <w:rPr>
                <w:rFonts w:eastAsia="Times New Roman" w:cs="Arial"/>
                <w:szCs w:val="16"/>
              </w:rPr>
            </w:pPr>
            <w:r w:rsidRPr="00435E51">
              <w:t>27.00</w:t>
            </w:r>
          </w:p>
        </w:tc>
      </w:tr>
      <w:tr w:rsidR="00435E51" w:rsidRPr="00210AC6" w14:paraId="7044E659" w14:textId="77777777" w:rsidTr="003E5D5A">
        <w:trPr>
          <w:trHeight w:val="432"/>
        </w:trPr>
        <w:tc>
          <w:tcPr>
            <w:tcW w:w="6475" w:type="dxa"/>
            <w:vAlign w:val="center"/>
            <w:hideMark/>
          </w:tcPr>
          <w:p w14:paraId="5E098838" w14:textId="77777777" w:rsidR="00435E51" w:rsidRPr="00210AC6" w:rsidRDefault="00435E51" w:rsidP="00435E51">
            <w:pPr>
              <w:spacing w:before="0" w:after="0"/>
              <w:rPr>
                <w:rFonts w:eastAsia="Times New Roman" w:cs="Arial"/>
                <w:szCs w:val="16"/>
              </w:rPr>
            </w:pPr>
            <w:r w:rsidRPr="00210AC6">
              <w:rPr>
                <w:rFonts w:eastAsia="Times New Roman" w:cs="Arial"/>
                <w:szCs w:val="16"/>
              </w:rPr>
              <w:t>C. APR Grand Total (A) + 618 Grand Total (B) =</w:t>
            </w:r>
          </w:p>
        </w:tc>
        <w:tc>
          <w:tcPr>
            <w:tcW w:w="3364" w:type="dxa"/>
            <w:vAlign w:val="center"/>
            <w:hideMark/>
          </w:tcPr>
          <w:p w14:paraId="2EBBA8BB" w14:textId="582D281B" w:rsidR="00435E51" w:rsidRPr="00210AC6" w:rsidRDefault="00435E51" w:rsidP="003E5D5A">
            <w:pPr>
              <w:spacing w:before="0" w:after="0"/>
              <w:jc w:val="center"/>
              <w:rPr>
                <w:rFonts w:eastAsia="Times New Roman" w:cs="Arial"/>
                <w:szCs w:val="16"/>
              </w:rPr>
            </w:pPr>
            <w:r w:rsidRPr="00C1283C">
              <w:t>54.00</w:t>
            </w:r>
          </w:p>
        </w:tc>
      </w:tr>
      <w:tr w:rsidR="00435E51" w:rsidRPr="00210AC6" w14:paraId="6E235E7C" w14:textId="77777777" w:rsidTr="003E5D5A">
        <w:trPr>
          <w:trHeight w:val="432"/>
        </w:trPr>
        <w:tc>
          <w:tcPr>
            <w:tcW w:w="6475" w:type="dxa"/>
            <w:vAlign w:val="center"/>
            <w:hideMark/>
          </w:tcPr>
          <w:p w14:paraId="1E45CB10" w14:textId="17EA6D69"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APR Data Table Subtracted from Denominator</w:t>
            </w:r>
          </w:p>
        </w:tc>
        <w:tc>
          <w:tcPr>
            <w:tcW w:w="3364" w:type="dxa"/>
            <w:vAlign w:val="center"/>
            <w:hideMark/>
          </w:tcPr>
          <w:p w14:paraId="768BD97C" w14:textId="60485CAD" w:rsidR="00435E51" w:rsidRPr="00210AC6" w:rsidRDefault="00435E51" w:rsidP="003E5D5A">
            <w:pPr>
              <w:spacing w:before="0" w:after="0"/>
              <w:jc w:val="center"/>
              <w:rPr>
                <w:rFonts w:eastAsia="Times New Roman" w:cs="Arial"/>
                <w:szCs w:val="16"/>
              </w:rPr>
            </w:pPr>
            <w:r w:rsidRPr="00C1283C">
              <w:t>0</w:t>
            </w:r>
          </w:p>
        </w:tc>
      </w:tr>
      <w:tr w:rsidR="00435E51" w:rsidRPr="00210AC6" w14:paraId="1162D2AC" w14:textId="77777777" w:rsidTr="003E5D5A">
        <w:trPr>
          <w:trHeight w:val="432"/>
        </w:trPr>
        <w:tc>
          <w:tcPr>
            <w:tcW w:w="6475" w:type="dxa"/>
            <w:vAlign w:val="center"/>
            <w:hideMark/>
          </w:tcPr>
          <w:p w14:paraId="5DEC9F60" w14:textId="1774125D" w:rsidR="00435E51" w:rsidRPr="00210AC6" w:rsidRDefault="00435E51" w:rsidP="00435E51">
            <w:pPr>
              <w:spacing w:before="0" w:after="0"/>
              <w:jc w:val="right"/>
              <w:rPr>
                <w:rFonts w:eastAsia="Times New Roman" w:cs="Arial"/>
                <w:szCs w:val="16"/>
              </w:rPr>
            </w:pPr>
            <w:r w:rsidRPr="00210AC6">
              <w:rPr>
                <w:rFonts w:eastAsia="Times New Roman" w:cs="Arial"/>
                <w:szCs w:val="16"/>
              </w:rPr>
              <w:t>Total N/A Points in 618 Data Table Subtracted from Denominator</w:t>
            </w:r>
          </w:p>
        </w:tc>
        <w:tc>
          <w:tcPr>
            <w:tcW w:w="3364" w:type="dxa"/>
            <w:vAlign w:val="center"/>
            <w:hideMark/>
          </w:tcPr>
          <w:p w14:paraId="59AB081B" w14:textId="0EC0F562" w:rsidR="00435E51" w:rsidRPr="00210AC6" w:rsidRDefault="00435E51" w:rsidP="003E5D5A">
            <w:pPr>
              <w:spacing w:before="0" w:after="0"/>
              <w:jc w:val="center"/>
              <w:rPr>
                <w:rFonts w:eastAsia="Times New Roman" w:cs="Arial"/>
                <w:szCs w:val="16"/>
              </w:rPr>
            </w:pPr>
            <w:r w:rsidRPr="00C1283C">
              <w:t>0.00</w:t>
            </w:r>
          </w:p>
        </w:tc>
      </w:tr>
      <w:tr w:rsidR="00435E51" w:rsidRPr="00210AC6" w14:paraId="028FED6F" w14:textId="77777777" w:rsidTr="003E5D5A">
        <w:trPr>
          <w:trHeight w:val="432"/>
        </w:trPr>
        <w:tc>
          <w:tcPr>
            <w:tcW w:w="6475" w:type="dxa"/>
            <w:vAlign w:val="center"/>
            <w:hideMark/>
          </w:tcPr>
          <w:p w14:paraId="1738C251" w14:textId="1F807C1C" w:rsidR="00435E51" w:rsidRPr="00210AC6" w:rsidRDefault="00E31D6F" w:rsidP="00435E51">
            <w:pPr>
              <w:spacing w:before="0" w:after="0"/>
              <w:jc w:val="right"/>
              <w:rPr>
                <w:rFonts w:eastAsia="Times New Roman" w:cs="Arial"/>
                <w:b/>
                <w:bCs/>
                <w:szCs w:val="16"/>
              </w:rPr>
            </w:pPr>
            <w:r>
              <w:rPr>
                <w:rFonts w:eastAsia="Times New Roman" w:cs="Arial"/>
                <w:b/>
                <w:bCs/>
                <w:szCs w:val="16"/>
              </w:rPr>
              <w:t>Denominator</w:t>
            </w:r>
          </w:p>
        </w:tc>
        <w:tc>
          <w:tcPr>
            <w:tcW w:w="3364" w:type="dxa"/>
            <w:vAlign w:val="center"/>
            <w:hideMark/>
          </w:tcPr>
          <w:p w14:paraId="778348E2" w14:textId="6564F030" w:rsidR="00435E51" w:rsidRPr="00210AC6" w:rsidRDefault="00435E51" w:rsidP="003E5D5A">
            <w:pPr>
              <w:spacing w:before="0" w:after="0"/>
              <w:jc w:val="center"/>
              <w:rPr>
                <w:rFonts w:eastAsia="Times New Roman" w:cs="Arial"/>
                <w:szCs w:val="16"/>
              </w:rPr>
            </w:pPr>
            <w:r w:rsidRPr="00C1283C">
              <w:t>54.00</w:t>
            </w:r>
          </w:p>
        </w:tc>
      </w:tr>
      <w:tr w:rsidR="00435E51" w:rsidRPr="00210AC6" w14:paraId="6982C8B2" w14:textId="77777777" w:rsidTr="003E5D5A">
        <w:trPr>
          <w:trHeight w:val="432"/>
        </w:trPr>
        <w:tc>
          <w:tcPr>
            <w:tcW w:w="6475" w:type="dxa"/>
            <w:vAlign w:val="center"/>
            <w:hideMark/>
          </w:tcPr>
          <w:p w14:paraId="66945B04" w14:textId="200619E7" w:rsidR="00435E51" w:rsidRPr="00210AC6" w:rsidRDefault="00435E51" w:rsidP="00435E51">
            <w:pPr>
              <w:spacing w:before="0" w:after="0"/>
              <w:rPr>
                <w:rFonts w:eastAsia="Times New Roman" w:cs="Arial"/>
                <w:szCs w:val="16"/>
              </w:rPr>
            </w:pPr>
            <w:r w:rsidRPr="00210AC6">
              <w:rPr>
                <w:rFonts w:eastAsia="Times New Roman" w:cs="Arial"/>
                <w:szCs w:val="16"/>
              </w:rPr>
              <w:t>D. Subtotal (C divided by Denominator) (3) =</w:t>
            </w:r>
          </w:p>
        </w:tc>
        <w:tc>
          <w:tcPr>
            <w:tcW w:w="3364" w:type="dxa"/>
            <w:vAlign w:val="center"/>
            <w:hideMark/>
          </w:tcPr>
          <w:p w14:paraId="6474A249" w14:textId="2043387F" w:rsidR="00435E51" w:rsidRPr="00210AC6" w:rsidRDefault="00435E51" w:rsidP="003E5D5A">
            <w:pPr>
              <w:spacing w:before="0" w:after="0"/>
              <w:jc w:val="center"/>
              <w:rPr>
                <w:rFonts w:eastAsia="Times New Roman" w:cs="Arial"/>
                <w:szCs w:val="16"/>
              </w:rPr>
            </w:pPr>
            <w:r w:rsidRPr="00C1283C">
              <w:t>1.0000</w:t>
            </w:r>
          </w:p>
        </w:tc>
      </w:tr>
      <w:tr w:rsidR="00435E51" w:rsidRPr="00210AC6" w14:paraId="7D8A43BC" w14:textId="77777777" w:rsidTr="003E5D5A">
        <w:trPr>
          <w:trHeight w:val="432"/>
        </w:trPr>
        <w:tc>
          <w:tcPr>
            <w:tcW w:w="6475" w:type="dxa"/>
            <w:vAlign w:val="center"/>
            <w:hideMark/>
          </w:tcPr>
          <w:p w14:paraId="595A505F" w14:textId="77777777" w:rsidR="00435E51" w:rsidRPr="00210AC6" w:rsidRDefault="00435E51" w:rsidP="00435E51">
            <w:pPr>
              <w:spacing w:before="0" w:after="0"/>
              <w:rPr>
                <w:rFonts w:eastAsia="Times New Roman" w:cs="Arial"/>
                <w:szCs w:val="16"/>
              </w:rPr>
            </w:pPr>
            <w:r w:rsidRPr="00210AC6">
              <w:rPr>
                <w:rFonts w:eastAsia="Times New Roman" w:cs="Arial"/>
                <w:szCs w:val="16"/>
              </w:rPr>
              <w:t>E. Indicator Score (Subtotal D x 100) =</w:t>
            </w:r>
          </w:p>
        </w:tc>
        <w:tc>
          <w:tcPr>
            <w:tcW w:w="3364" w:type="dxa"/>
            <w:vAlign w:val="center"/>
            <w:hideMark/>
          </w:tcPr>
          <w:p w14:paraId="78CA2214" w14:textId="6B3E20AB" w:rsidR="00435E51" w:rsidRPr="00210AC6" w:rsidRDefault="00435E51" w:rsidP="003E5D5A">
            <w:pPr>
              <w:spacing w:before="0" w:after="0"/>
              <w:jc w:val="center"/>
              <w:rPr>
                <w:rFonts w:eastAsia="Times New Roman" w:cs="Arial"/>
                <w:szCs w:val="16"/>
              </w:rPr>
            </w:pPr>
            <w:r w:rsidRPr="00C1283C">
              <w:t>100.00</w:t>
            </w:r>
          </w:p>
        </w:tc>
      </w:tr>
    </w:tbl>
    <w:p w14:paraId="769E196A" w14:textId="77777777" w:rsidR="001853BF" w:rsidRDefault="001853BF" w:rsidP="00B42C5F">
      <w:pPr>
        <w:rPr>
          <w:rFonts w:eastAsia="Times New Roman" w:cs="Arial"/>
          <w:b/>
          <w:bCs/>
          <w:szCs w:val="16"/>
        </w:rPr>
      </w:pPr>
    </w:p>
    <w:p w14:paraId="5EFBC357" w14:textId="3E8638ED" w:rsidR="00F02F41" w:rsidRDefault="006B6EF0" w:rsidP="00D12506">
      <w:pPr>
        <w:rPr>
          <w:rFonts w:eastAsia="Times New Roman" w:cs="Arial"/>
          <w:b/>
          <w:bCs/>
          <w:szCs w:val="16"/>
        </w:rPr>
      </w:pPr>
      <w:r>
        <w:rPr>
          <w:rFonts w:eastAsia="Times New Roman" w:cs="Arial"/>
          <w:b/>
          <w:bCs/>
          <w:szCs w:val="16"/>
        </w:rPr>
        <w:t>(3) Note that any cell marked as N/A in the APR Data Table will decrease the denominator by 1, and any cell marked as N/A in the 618 Data Table will decrease the denominator by 1.28571429.</w:t>
      </w:r>
    </w:p>
    <w:p w14:paraId="78EE533A" w14:textId="77777777" w:rsidR="0078594A" w:rsidRDefault="0078594A" w:rsidP="00D12506">
      <w:pPr>
        <w:rPr>
          <w:rFonts w:eastAsia="Times New Roman" w:cs="Arial"/>
          <w:b/>
          <w:bCs/>
          <w:szCs w:val="16"/>
        </w:rPr>
      </w:pPr>
    </w:p>
    <w:p w14:paraId="7D8DC835" w14:textId="77777777" w:rsidR="0078594A" w:rsidRDefault="0078594A" w:rsidP="00D12506">
      <w:pPr>
        <w:rPr>
          <w:rFonts w:eastAsia="Times New Roman" w:cs="Arial"/>
          <w:b/>
          <w:bCs/>
          <w:szCs w:val="16"/>
        </w:rPr>
      </w:pPr>
    </w:p>
    <w:p w14:paraId="7BAA8128" w14:textId="77777777" w:rsidR="0078594A" w:rsidRDefault="0078594A" w:rsidP="00D12506">
      <w:pPr>
        <w:rPr>
          <w:rFonts w:eastAsia="Times New Roman" w:cs="Arial"/>
          <w:b/>
          <w:bCs/>
          <w:szCs w:val="16"/>
        </w:rPr>
      </w:pPr>
    </w:p>
    <w:p w14:paraId="1680CB83" w14:textId="77777777" w:rsidR="0078594A" w:rsidRDefault="0078594A" w:rsidP="00D12506"/>
    <w:p w14:paraId="6EA24703" w14:textId="77777777" w:rsidR="00D84A0A" w:rsidRDefault="00D84A0A" w:rsidP="00D84A0A">
      <w:pPr>
        <w:spacing w:before="0" w:after="200" w:line="276" w:lineRule="auto"/>
      </w:pPr>
    </w:p>
    <w:p w14:paraId="130C5698" w14:textId="7694A105" w:rsidR="00D84A0A" w:rsidRPr="003A34C1" w:rsidRDefault="00D84A0A" w:rsidP="00D84A0A">
      <w:pPr>
        <w:spacing w:before="0" w:after="200" w:line="276" w:lineRule="auto"/>
      </w:pPr>
      <w:r>
        <w:br w:type="page"/>
      </w:r>
    </w:p>
    <w:p w14:paraId="37CA7204" w14:textId="77777777" w:rsidR="004777CA" w:rsidRPr="008A41E6" w:rsidRDefault="004777CA" w:rsidP="004777CA">
      <w:pPr>
        <w:rPr>
          <w:b/>
          <w:bCs/>
          <w:sz w:val="20"/>
          <w:szCs w:val="28"/>
        </w:rPr>
      </w:pPr>
      <w:r w:rsidRPr="008A41E6">
        <w:rPr>
          <w:b/>
          <w:bCs/>
          <w:sz w:val="20"/>
          <w:szCs w:val="28"/>
        </w:rPr>
        <w:lastRenderedPageBreak/>
        <w:t>APR and 618 -Timely and Accurate State Reported Data</w:t>
      </w:r>
    </w:p>
    <w:p w14:paraId="6C84D9C5" w14:textId="77777777" w:rsidR="004777CA" w:rsidRDefault="004777CA" w:rsidP="004777CA"/>
    <w:p w14:paraId="3FA33DFF" w14:textId="3E42AA79" w:rsidR="004777CA" w:rsidRPr="008A41E6" w:rsidRDefault="004777CA" w:rsidP="004777CA">
      <w:pPr>
        <w:rPr>
          <w:b/>
          <w:bCs/>
        </w:rPr>
      </w:pPr>
      <w:r w:rsidRPr="008A41E6">
        <w:rPr>
          <w:b/>
          <w:bCs/>
        </w:rPr>
        <w:t>DATE: February 2025 Submission</w:t>
      </w:r>
    </w:p>
    <w:p w14:paraId="748E3AF9" w14:textId="77777777" w:rsidR="004777CA" w:rsidRDefault="004777CA" w:rsidP="004777CA"/>
    <w:p w14:paraId="51D89716" w14:textId="30A47721" w:rsidR="00EF6405" w:rsidRPr="00EF6405" w:rsidRDefault="00EF6405" w:rsidP="004777CA">
      <w:pPr>
        <w:rPr>
          <w:b/>
          <w:bCs/>
        </w:rPr>
      </w:pPr>
      <w:r w:rsidRPr="00EF6405">
        <w:rPr>
          <w:b/>
          <w:bCs/>
        </w:rPr>
        <w:t>SPP/APR Data</w:t>
      </w:r>
    </w:p>
    <w:p w14:paraId="2BC0BE25" w14:textId="77777777" w:rsidR="00EF6405" w:rsidRDefault="00EF6405" w:rsidP="004777CA"/>
    <w:p w14:paraId="0F794C69" w14:textId="77777777" w:rsidR="004777CA" w:rsidRDefault="004777CA" w:rsidP="004777CA">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14:paraId="3B7505A0" w14:textId="77777777" w:rsidR="004777CA" w:rsidRDefault="004777CA" w:rsidP="004777CA"/>
    <w:p w14:paraId="1365AEC8" w14:textId="77944949" w:rsidR="004777CA" w:rsidRDefault="004777CA" w:rsidP="004777CA">
      <w:r w:rsidRPr="008A41E6">
        <w:rPr>
          <w:b/>
          <w:bCs/>
        </w:rPr>
        <w:t>Part B 618 Data</w:t>
      </w:r>
    </w:p>
    <w:p w14:paraId="3EEEF876" w14:textId="77777777" w:rsidR="004777CA" w:rsidRDefault="004777CA" w:rsidP="004777CA"/>
    <w:p w14:paraId="5BAC76FC" w14:textId="7E824D09" w:rsidR="004777CA" w:rsidRPr="004777CA" w:rsidRDefault="004777CA" w:rsidP="004777CA">
      <w:r w:rsidRPr="004777CA">
        <w:rPr>
          <w:b/>
          <w:bCs/>
        </w:rPr>
        <w:t xml:space="preserve">1) Timely </w:t>
      </w:r>
      <w:r w:rsidRPr="004777CA">
        <w:t>–   A State will receive one point if it submits all ED</w:t>
      </w:r>
      <w:r w:rsidRPr="00BA3DBE">
        <w:rPr>
          <w:i/>
          <w:iCs/>
        </w:rPr>
        <w:t>Facts</w:t>
      </w:r>
      <w:r w:rsidRPr="004777CA">
        <w:t xml:space="preserve"> files or the entire E</w:t>
      </w:r>
      <w:r w:rsidRPr="00BA3DBE">
        <w:rPr>
          <w:i/>
          <w:iCs/>
        </w:rPr>
        <w:t>MAPS</w:t>
      </w:r>
      <w:r w:rsidRPr="004777CA">
        <w:t xml:space="preserve"> survey associated with the IDEA Section 618 data collection to ED by the initial due date for that collection (as described </w:t>
      </w:r>
      <w:r w:rsidR="006A47E8">
        <w:t xml:space="preserve">in </w:t>
      </w:r>
      <w:r w:rsidRPr="004777CA">
        <w:t>the table below)</w:t>
      </w:r>
      <w:r w:rsidR="00D23004" w:rsidRPr="004777CA">
        <w:t xml:space="preserve">. </w:t>
      </w:r>
    </w:p>
    <w:p w14:paraId="1F43F1D5" w14:textId="77777777" w:rsidR="004777CA" w:rsidRDefault="004777CA" w:rsidP="004777CA"/>
    <w:tbl>
      <w:tblPr>
        <w:tblStyle w:val="TableGrid"/>
        <w:tblW w:w="0" w:type="auto"/>
        <w:tblLook w:val="04A0" w:firstRow="1" w:lastRow="0" w:firstColumn="1" w:lastColumn="0" w:noHBand="0" w:noVBand="1"/>
        <w:tblCaption w:val="BRUBCFFYREADME"/>
      </w:tblPr>
      <w:tblGrid>
        <w:gridCol w:w="2605"/>
        <w:gridCol w:w="3617"/>
        <w:gridCol w:w="3618"/>
      </w:tblGrid>
      <w:tr w:rsidR="004777CA" w:rsidRPr="004777CA" w14:paraId="4472B9F9" w14:textId="77777777" w:rsidTr="004777CA">
        <w:trPr>
          <w:trHeight w:val="20"/>
        </w:trPr>
        <w:tc>
          <w:tcPr>
            <w:tcW w:w="2605" w:type="dxa"/>
            <w:hideMark/>
          </w:tcPr>
          <w:p w14:paraId="1648227D" w14:textId="77777777" w:rsidR="004777CA" w:rsidRPr="004777CA" w:rsidRDefault="004777CA" w:rsidP="004777CA">
            <w:pPr>
              <w:rPr>
                <w:b/>
                <w:bCs/>
              </w:rPr>
            </w:pPr>
            <w:r w:rsidRPr="004777CA">
              <w:rPr>
                <w:b/>
                <w:bCs/>
              </w:rPr>
              <w:t>618 Data Collection</w:t>
            </w:r>
          </w:p>
        </w:tc>
        <w:tc>
          <w:tcPr>
            <w:tcW w:w="3617" w:type="dxa"/>
            <w:hideMark/>
          </w:tcPr>
          <w:p w14:paraId="685FDACB" w14:textId="77777777" w:rsidR="004777CA" w:rsidRPr="004777CA" w:rsidRDefault="004777CA">
            <w:pPr>
              <w:rPr>
                <w:b/>
                <w:bCs/>
              </w:rPr>
            </w:pPr>
            <w:r w:rsidRPr="004777CA">
              <w:rPr>
                <w:b/>
                <w:bCs/>
              </w:rPr>
              <w:t>ED</w:t>
            </w:r>
            <w:r w:rsidRPr="00BA3DBE">
              <w:rPr>
                <w:b/>
                <w:bCs/>
                <w:i/>
                <w:iCs/>
              </w:rPr>
              <w:t>Facts</w:t>
            </w:r>
            <w:r w:rsidRPr="004777CA">
              <w:rPr>
                <w:b/>
                <w:bCs/>
              </w:rPr>
              <w:t xml:space="preserve"> Files/ E</w:t>
            </w:r>
            <w:r w:rsidRPr="00BA3DBE">
              <w:rPr>
                <w:b/>
                <w:bCs/>
                <w:i/>
                <w:iCs/>
              </w:rPr>
              <w:t>MAPS</w:t>
            </w:r>
            <w:r w:rsidRPr="004777CA">
              <w:rPr>
                <w:b/>
                <w:bCs/>
              </w:rPr>
              <w:t xml:space="preserve"> Survey</w:t>
            </w:r>
          </w:p>
        </w:tc>
        <w:tc>
          <w:tcPr>
            <w:tcW w:w="3618" w:type="dxa"/>
            <w:hideMark/>
          </w:tcPr>
          <w:p w14:paraId="40597F3A" w14:textId="77777777" w:rsidR="004777CA" w:rsidRPr="004777CA" w:rsidRDefault="004777CA">
            <w:pPr>
              <w:rPr>
                <w:b/>
                <w:bCs/>
              </w:rPr>
            </w:pPr>
            <w:r w:rsidRPr="004777CA">
              <w:rPr>
                <w:b/>
                <w:bCs/>
              </w:rPr>
              <w:t>Due Date</w:t>
            </w:r>
          </w:p>
        </w:tc>
      </w:tr>
      <w:tr w:rsidR="004777CA" w:rsidRPr="004777CA" w14:paraId="5AB489B7" w14:textId="77777777" w:rsidTr="004777CA">
        <w:trPr>
          <w:trHeight w:val="20"/>
        </w:trPr>
        <w:tc>
          <w:tcPr>
            <w:tcW w:w="2605" w:type="dxa"/>
            <w:hideMark/>
          </w:tcPr>
          <w:p w14:paraId="00556080" w14:textId="77777777" w:rsidR="004777CA" w:rsidRPr="004777CA" w:rsidRDefault="004777CA">
            <w:r w:rsidRPr="004777CA">
              <w:t>Part B Child Count and Educational Environments</w:t>
            </w:r>
          </w:p>
        </w:tc>
        <w:tc>
          <w:tcPr>
            <w:tcW w:w="3617" w:type="dxa"/>
            <w:hideMark/>
          </w:tcPr>
          <w:p w14:paraId="6663B636" w14:textId="0BDDB042" w:rsidR="004777CA" w:rsidRPr="004777CA" w:rsidRDefault="0054187F">
            <w:r>
              <w:t>FS</w:t>
            </w:r>
            <w:r w:rsidR="004777CA" w:rsidRPr="004777CA">
              <w:t xml:space="preserve">002 &amp; </w:t>
            </w:r>
            <w:r>
              <w:t>FS</w:t>
            </w:r>
            <w:r w:rsidR="004777CA" w:rsidRPr="004777CA">
              <w:t>089</w:t>
            </w:r>
          </w:p>
        </w:tc>
        <w:tc>
          <w:tcPr>
            <w:tcW w:w="3618" w:type="dxa"/>
            <w:hideMark/>
          </w:tcPr>
          <w:p w14:paraId="1A5219CD" w14:textId="1A7C2110" w:rsidR="004777CA" w:rsidRPr="004777CA" w:rsidRDefault="00BD4FA2">
            <w:r>
              <w:t>7</w:t>
            </w:r>
            <w:r w:rsidR="006B068C">
              <w:t>/3</w:t>
            </w:r>
            <w:r>
              <w:t>1</w:t>
            </w:r>
            <w:r w:rsidR="006B068C">
              <w:t>/202</w:t>
            </w:r>
            <w:r>
              <w:t>4</w:t>
            </w:r>
          </w:p>
        </w:tc>
      </w:tr>
      <w:tr w:rsidR="004777CA" w:rsidRPr="004777CA" w14:paraId="34F5C842" w14:textId="77777777" w:rsidTr="004777CA">
        <w:trPr>
          <w:trHeight w:val="20"/>
        </w:trPr>
        <w:tc>
          <w:tcPr>
            <w:tcW w:w="2605" w:type="dxa"/>
            <w:hideMark/>
          </w:tcPr>
          <w:p w14:paraId="5B140CD1" w14:textId="77777777" w:rsidR="004777CA" w:rsidRPr="004777CA" w:rsidRDefault="004777CA">
            <w:r w:rsidRPr="004777CA">
              <w:t xml:space="preserve">Part B Personnel </w:t>
            </w:r>
          </w:p>
        </w:tc>
        <w:tc>
          <w:tcPr>
            <w:tcW w:w="3617" w:type="dxa"/>
            <w:hideMark/>
          </w:tcPr>
          <w:p w14:paraId="2B3C97E0" w14:textId="5C97487D" w:rsidR="004777CA" w:rsidRPr="004777CA" w:rsidRDefault="0054187F">
            <w:r>
              <w:t>FS</w:t>
            </w:r>
            <w:r w:rsidR="004777CA" w:rsidRPr="004777CA">
              <w:t xml:space="preserve">070, </w:t>
            </w:r>
            <w:r>
              <w:t>FS</w:t>
            </w:r>
            <w:r w:rsidR="004777CA" w:rsidRPr="004777CA">
              <w:t xml:space="preserve">099, </w:t>
            </w:r>
            <w:r>
              <w:t>FS</w:t>
            </w:r>
            <w:r w:rsidR="004777CA" w:rsidRPr="004777CA">
              <w:t>112</w:t>
            </w:r>
          </w:p>
        </w:tc>
        <w:tc>
          <w:tcPr>
            <w:tcW w:w="3618" w:type="dxa"/>
            <w:hideMark/>
          </w:tcPr>
          <w:p w14:paraId="4E9B4012" w14:textId="0DDAF0F4" w:rsidR="004777CA" w:rsidRPr="004777CA" w:rsidRDefault="000C6C6A">
            <w:r>
              <w:t>3</w:t>
            </w:r>
            <w:r w:rsidR="006B068C">
              <w:t>/</w:t>
            </w:r>
            <w:r>
              <w:t>5</w:t>
            </w:r>
            <w:r w:rsidR="006B068C">
              <w:t>/202</w:t>
            </w:r>
            <w:r w:rsidR="00BD4FA2">
              <w:t>5</w:t>
            </w:r>
          </w:p>
        </w:tc>
      </w:tr>
      <w:tr w:rsidR="006B068C" w:rsidRPr="004777CA" w14:paraId="2A4CEB99" w14:textId="77777777" w:rsidTr="004777CA">
        <w:trPr>
          <w:trHeight w:val="20"/>
        </w:trPr>
        <w:tc>
          <w:tcPr>
            <w:tcW w:w="2605" w:type="dxa"/>
            <w:hideMark/>
          </w:tcPr>
          <w:p w14:paraId="54105E06" w14:textId="77777777" w:rsidR="006B068C" w:rsidRPr="004777CA" w:rsidRDefault="006B068C" w:rsidP="006B068C">
            <w:r w:rsidRPr="004777CA">
              <w:t>Part B Exiting</w:t>
            </w:r>
          </w:p>
        </w:tc>
        <w:tc>
          <w:tcPr>
            <w:tcW w:w="3617" w:type="dxa"/>
            <w:hideMark/>
          </w:tcPr>
          <w:p w14:paraId="12F3E20D" w14:textId="1DBFEE95" w:rsidR="006B068C" w:rsidRPr="004777CA" w:rsidRDefault="0054187F" w:rsidP="006B068C">
            <w:r>
              <w:t>FS</w:t>
            </w:r>
            <w:r w:rsidR="006B068C" w:rsidRPr="004777CA">
              <w:t>009</w:t>
            </w:r>
          </w:p>
        </w:tc>
        <w:tc>
          <w:tcPr>
            <w:tcW w:w="3618" w:type="dxa"/>
            <w:hideMark/>
          </w:tcPr>
          <w:p w14:paraId="3133C658" w14:textId="634A505B" w:rsidR="006B068C" w:rsidRPr="004777CA" w:rsidRDefault="000C6C6A" w:rsidP="006B068C">
            <w:r>
              <w:t>3</w:t>
            </w:r>
            <w:r w:rsidR="006B068C" w:rsidRPr="00546C82">
              <w:t>/</w:t>
            </w:r>
            <w:r>
              <w:t>5</w:t>
            </w:r>
            <w:r w:rsidR="006B068C" w:rsidRPr="00546C82">
              <w:t>/202</w:t>
            </w:r>
            <w:r w:rsidR="00BD4FA2">
              <w:t>5</w:t>
            </w:r>
          </w:p>
        </w:tc>
      </w:tr>
      <w:tr w:rsidR="006B068C" w:rsidRPr="004777CA" w14:paraId="31D5C68C" w14:textId="77777777" w:rsidTr="004777CA">
        <w:trPr>
          <w:trHeight w:val="20"/>
        </w:trPr>
        <w:tc>
          <w:tcPr>
            <w:tcW w:w="2605" w:type="dxa"/>
            <w:hideMark/>
          </w:tcPr>
          <w:p w14:paraId="63F706F3" w14:textId="77777777" w:rsidR="006B068C" w:rsidRPr="004777CA" w:rsidRDefault="006B068C" w:rsidP="006B068C">
            <w:r w:rsidRPr="004777CA">
              <w:t xml:space="preserve">Part B Discipline </w:t>
            </w:r>
          </w:p>
        </w:tc>
        <w:tc>
          <w:tcPr>
            <w:tcW w:w="3617" w:type="dxa"/>
            <w:hideMark/>
          </w:tcPr>
          <w:p w14:paraId="16D2853A" w14:textId="0C161168" w:rsidR="006B068C" w:rsidRPr="003E5D5A" w:rsidRDefault="0054187F" w:rsidP="006B068C">
            <w:pPr>
              <w:rPr>
                <w:lang w:val="fr-FR"/>
              </w:rPr>
            </w:pPr>
            <w:r w:rsidRPr="003E5D5A">
              <w:rPr>
                <w:lang w:val="fr-FR"/>
              </w:rPr>
              <w:t>FS005, FS006, FS007, FS088, FS143, FS144</w:t>
            </w:r>
          </w:p>
        </w:tc>
        <w:tc>
          <w:tcPr>
            <w:tcW w:w="3618" w:type="dxa"/>
            <w:hideMark/>
          </w:tcPr>
          <w:p w14:paraId="254DB998" w14:textId="69DAA8F5" w:rsidR="006B068C" w:rsidRPr="004777CA" w:rsidRDefault="000C6C6A" w:rsidP="006B068C">
            <w:r>
              <w:t>3</w:t>
            </w:r>
            <w:r w:rsidR="006B068C" w:rsidRPr="00546C82">
              <w:t>/</w:t>
            </w:r>
            <w:r>
              <w:t>5</w:t>
            </w:r>
            <w:r w:rsidR="006B068C" w:rsidRPr="00546C82">
              <w:t>/202</w:t>
            </w:r>
            <w:r w:rsidR="00BD4FA2">
              <w:t>5</w:t>
            </w:r>
          </w:p>
        </w:tc>
      </w:tr>
      <w:tr w:rsidR="004777CA" w:rsidRPr="004777CA" w14:paraId="2E5FB44E" w14:textId="77777777" w:rsidTr="004777CA">
        <w:trPr>
          <w:trHeight w:val="20"/>
        </w:trPr>
        <w:tc>
          <w:tcPr>
            <w:tcW w:w="2605" w:type="dxa"/>
            <w:hideMark/>
          </w:tcPr>
          <w:p w14:paraId="712EC9E4" w14:textId="77777777" w:rsidR="004777CA" w:rsidRPr="004777CA" w:rsidRDefault="004777CA">
            <w:r w:rsidRPr="004777CA">
              <w:t>Part B Assessment</w:t>
            </w:r>
          </w:p>
        </w:tc>
        <w:tc>
          <w:tcPr>
            <w:tcW w:w="3617" w:type="dxa"/>
            <w:hideMark/>
          </w:tcPr>
          <w:p w14:paraId="2B041249" w14:textId="09E179FD" w:rsidR="004777CA" w:rsidRPr="004777CA" w:rsidRDefault="0054187F">
            <w:r>
              <w:t>FS</w:t>
            </w:r>
            <w:r w:rsidR="004777CA" w:rsidRPr="004777CA">
              <w:t xml:space="preserve">175, </w:t>
            </w:r>
            <w:r>
              <w:t>FS</w:t>
            </w:r>
            <w:r w:rsidR="004777CA" w:rsidRPr="004777CA">
              <w:t xml:space="preserve">178, </w:t>
            </w:r>
            <w:r>
              <w:t>FS</w:t>
            </w:r>
            <w:r w:rsidR="004777CA" w:rsidRPr="004777CA">
              <w:t xml:space="preserve">185, </w:t>
            </w:r>
            <w:r>
              <w:t>FS</w:t>
            </w:r>
            <w:r w:rsidR="004777CA" w:rsidRPr="004777CA">
              <w:t>188</w:t>
            </w:r>
          </w:p>
        </w:tc>
        <w:tc>
          <w:tcPr>
            <w:tcW w:w="3618" w:type="dxa"/>
            <w:hideMark/>
          </w:tcPr>
          <w:p w14:paraId="563E4812" w14:textId="0193B5D6" w:rsidR="004777CA" w:rsidRPr="004777CA" w:rsidRDefault="006B068C">
            <w:r>
              <w:t>1/</w:t>
            </w:r>
            <w:r w:rsidR="00BD4FA2">
              <w:t>8</w:t>
            </w:r>
            <w:r>
              <w:t>/202</w:t>
            </w:r>
            <w:r w:rsidR="00BD4FA2">
              <w:t>5</w:t>
            </w:r>
          </w:p>
        </w:tc>
      </w:tr>
      <w:tr w:rsidR="004777CA" w:rsidRPr="004777CA" w14:paraId="4C08C198" w14:textId="77777777" w:rsidTr="004777CA">
        <w:trPr>
          <w:trHeight w:val="20"/>
        </w:trPr>
        <w:tc>
          <w:tcPr>
            <w:tcW w:w="2605" w:type="dxa"/>
            <w:hideMark/>
          </w:tcPr>
          <w:p w14:paraId="2894DF0B" w14:textId="77777777" w:rsidR="004777CA" w:rsidRPr="004777CA" w:rsidRDefault="004777CA">
            <w:r w:rsidRPr="004777CA">
              <w:t xml:space="preserve">Part B Dispute Resolution </w:t>
            </w:r>
          </w:p>
        </w:tc>
        <w:tc>
          <w:tcPr>
            <w:tcW w:w="3617" w:type="dxa"/>
            <w:hideMark/>
          </w:tcPr>
          <w:p w14:paraId="723D6024" w14:textId="77777777" w:rsidR="004777CA" w:rsidRPr="004777CA" w:rsidRDefault="004777CA">
            <w:r w:rsidRPr="004777CA">
              <w:t>Part B Dispute Resolution Survey in E</w:t>
            </w:r>
            <w:r w:rsidRPr="00CC5489">
              <w:rPr>
                <w:i/>
                <w:iCs/>
              </w:rPr>
              <w:t>MAPS</w:t>
            </w:r>
          </w:p>
        </w:tc>
        <w:tc>
          <w:tcPr>
            <w:tcW w:w="3618" w:type="dxa"/>
            <w:hideMark/>
          </w:tcPr>
          <w:p w14:paraId="379E394B" w14:textId="7392CB20" w:rsidR="004777CA" w:rsidRPr="004777CA" w:rsidRDefault="006B068C">
            <w:r>
              <w:t>11/</w:t>
            </w:r>
            <w:r w:rsidR="00BD4FA2">
              <w:t>13</w:t>
            </w:r>
            <w:r>
              <w:t>/202</w:t>
            </w:r>
            <w:r w:rsidR="00BD4FA2">
              <w:t>4</w:t>
            </w:r>
          </w:p>
        </w:tc>
      </w:tr>
      <w:tr w:rsidR="004777CA" w:rsidRPr="004777CA" w14:paraId="3B69FF00" w14:textId="77777777" w:rsidTr="004777CA">
        <w:trPr>
          <w:trHeight w:val="20"/>
        </w:trPr>
        <w:tc>
          <w:tcPr>
            <w:tcW w:w="2605" w:type="dxa"/>
            <w:hideMark/>
          </w:tcPr>
          <w:p w14:paraId="06F7CBC6" w14:textId="77777777" w:rsidR="004777CA" w:rsidRPr="004777CA" w:rsidRDefault="004777CA">
            <w:r w:rsidRPr="004777CA">
              <w:t>Part B LEA Maintenance of Effort Reduction and Coordinated Early Intervening Services</w:t>
            </w:r>
          </w:p>
        </w:tc>
        <w:tc>
          <w:tcPr>
            <w:tcW w:w="3617" w:type="dxa"/>
            <w:hideMark/>
          </w:tcPr>
          <w:p w14:paraId="6B511F74" w14:textId="77777777" w:rsidR="004777CA" w:rsidRPr="004777CA" w:rsidRDefault="004777CA">
            <w:r w:rsidRPr="004777CA">
              <w:t>Part B MOE Reduction and CEIS Survey in E</w:t>
            </w:r>
            <w:r w:rsidRPr="00CC5489">
              <w:rPr>
                <w:i/>
                <w:iCs/>
              </w:rPr>
              <w:t>MAPS</w:t>
            </w:r>
          </w:p>
        </w:tc>
        <w:tc>
          <w:tcPr>
            <w:tcW w:w="3618" w:type="dxa"/>
            <w:hideMark/>
          </w:tcPr>
          <w:p w14:paraId="22308BA5" w14:textId="7D911345" w:rsidR="004777CA" w:rsidRPr="004777CA" w:rsidRDefault="004E6797">
            <w:r>
              <w:t>9</w:t>
            </w:r>
            <w:r w:rsidR="006B068C">
              <w:t>/</w:t>
            </w:r>
            <w:r>
              <w:t>4</w:t>
            </w:r>
            <w:r w:rsidR="006B068C">
              <w:t>/202</w:t>
            </w:r>
            <w:r w:rsidR="00BD4FA2">
              <w:t>4</w:t>
            </w:r>
          </w:p>
        </w:tc>
      </w:tr>
    </w:tbl>
    <w:p w14:paraId="52ACECA5" w14:textId="77777777" w:rsidR="004777CA" w:rsidRDefault="004777CA" w:rsidP="004777CA"/>
    <w:p w14:paraId="4EFF5866" w14:textId="04640FDA" w:rsidR="004777CA" w:rsidRPr="008A41E6" w:rsidRDefault="004777CA" w:rsidP="004777CA">
      <w:pPr>
        <w:rPr>
          <w:b/>
          <w:bCs/>
        </w:rPr>
      </w:pPr>
      <w:r w:rsidRPr="008A41E6">
        <w:rPr>
          <w:b/>
          <w:bCs/>
        </w:rPr>
        <w:t>2) Complete Data</w:t>
      </w:r>
      <w:r w:rsidRPr="008A41E6">
        <w:t xml:space="preserve"> – </w:t>
      </w:r>
      <w:r w:rsidRPr="004777CA">
        <w:t>A State will receive one point if it submits data for all files, permitted values, category sets, subtotals, and totals associated with a specific data collection by the initial due date. No data is reported as missing. No placeholder data is submitted</w:t>
      </w:r>
      <w:r w:rsidR="00030F5E">
        <w:t>.</w:t>
      </w:r>
      <w:r w:rsidR="00351F26" w:rsidRPr="00351F26">
        <w:t xml:space="preserve"> The data and metadata responses submitted to ED</w:t>
      </w:r>
      <w:r w:rsidR="00351F26" w:rsidRPr="003E5D5A">
        <w:rPr>
          <w:i/>
          <w:iCs/>
        </w:rPr>
        <w:t>Facts</w:t>
      </w:r>
      <w:r w:rsidR="00351F26" w:rsidRPr="00351F26">
        <w:t xml:space="preserve"> align</w:t>
      </w:r>
      <w:r w:rsidR="00857A31" w:rsidRPr="004777CA">
        <w:t xml:space="preserve">. </w:t>
      </w:r>
      <w:r w:rsidRPr="004777CA">
        <w:t>State-level data include data from all districts or agencies</w:t>
      </w:r>
      <w:r w:rsidRPr="008A41E6">
        <w:t>.</w:t>
      </w:r>
    </w:p>
    <w:p w14:paraId="34EF2576" w14:textId="77777777" w:rsidR="004777CA" w:rsidRDefault="004777CA" w:rsidP="004777CA"/>
    <w:p w14:paraId="557CE2A1" w14:textId="6F9EE6FD" w:rsidR="004777CA" w:rsidRPr="008A41E6" w:rsidRDefault="004777CA" w:rsidP="004777CA">
      <w:pPr>
        <w:rPr>
          <w:b/>
          <w:bCs/>
        </w:rPr>
      </w:pPr>
      <w:r w:rsidRPr="008A41E6">
        <w:rPr>
          <w:b/>
          <w:bCs/>
        </w:rPr>
        <w:t xml:space="preserve">3) Passed Edit Check – </w:t>
      </w:r>
      <w:r w:rsidRPr="008A41E6">
        <w:t>A State will receive one point if it submits data that meets all the edit checks related to the specific data collection by the initial due date. The counts included in 618 data submissions are internally consistent within a data collection</w:t>
      </w:r>
      <w:r w:rsidR="00B517B0">
        <w:t>.</w:t>
      </w:r>
      <w:r w:rsidRPr="008A41E6">
        <w:t xml:space="preserve"> </w:t>
      </w:r>
    </w:p>
    <w:p w14:paraId="330F0E42" w14:textId="3DBADBBF" w:rsidR="004777CA" w:rsidRDefault="004777CA">
      <w:pPr>
        <w:spacing w:before="0" w:after="200" w:line="276" w:lineRule="auto"/>
      </w:pPr>
      <w:r>
        <w:br w:type="page"/>
      </w:r>
    </w:p>
    <w:p w14:paraId="66EA6C1B" w14:textId="3AB83F96" w:rsidR="0058254D" w:rsidRDefault="0058254D" w:rsidP="005B40C0">
      <w:pPr>
        <w:pStyle w:val="Heading3"/>
      </w:pPr>
      <w:r>
        <w:lastRenderedPageBreak/>
        <w:t>Dispute Resolution</w:t>
      </w:r>
    </w:p>
    <w:p w14:paraId="02996E50" w14:textId="77777777" w:rsidR="00EE2E01" w:rsidRPr="007367EC" w:rsidRDefault="00EE2E01" w:rsidP="00EE2E01">
      <w:pPr>
        <w:rPr>
          <w:b/>
          <w:bCs/>
          <w:sz w:val="18"/>
          <w:szCs w:val="24"/>
        </w:rPr>
      </w:pPr>
      <w:r w:rsidRPr="007367EC">
        <w:rPr>
          <w:b/>
          <w:bCs/>
          <w:sz w:val="18"/>
          <w:szCs w:val="24"/>
        </w:rPr>
        <w:t>IDEA Part B</w:t>
      </w:r>
    </w:p>
    <w:p w14:paraId="53299F7E" w14:textId="77777777" w:rsidR="00EE2E01" w:rsidRPr="007367EC" w:rsidRDefault="00EE2E01" w:rsidP="00EE2E01">
      <w:pPr>
        <w:rPr>
          <w:b/>
          <w:bCs/>
          <w:sz w:val="18"/>
          <w:szCs w:val="24"/>
        </w:rPr>
      </w:pPr>
      <w:r w:rsidRPr="007367EC">
        <w:rPr>
          <w:b/>
          <w:bCs/>
          <w:sz w:val="18"/>
          <w:szCs w:val="24"/>
        </w:rPr>
        <w:t>Oregon</w:t>
      </w:r>
    </w:p>
    <w:p w14:paraId="7ED899F6" w14:textId="3A3579C7" w:rsidR="00EE2E01" w:rsidRPr="007367EC" w:rsidRDefault="00EE2E01" w:rsidP="00EE2E01">
      <w:pPr>
        <w:rPr>
          <w:b/>
          <w:bCs/>
          <w:sz w:val="18"/>
          <w:szCs w:val="24"/>
        </w:rPr>
      </w:pPr>
      <w:r>
        <w:rPr>
          <w:b/>
          <w:bCs/>
          <w:sz w:val="18"/>
          <w:szCs w:val="24"/>
        </w:rPr>
        <w:t>School Year: 2023-24</w:t>
      </w:r>
    </w:p>
    <w:p w14:paraId="56976681" w14:textId="77777777" w:rsidR="00EE2E01" w:rsidRPr="00320834" w:rsidRDefault="00EE2E01" w:rsidP="00EE2E01"/>
    <w:p w14:paraId="1CFE72DB" w14:textId="77777777" w:rsidR="00EE2E01" w:rsidRDefault="00EE2E01" w:rsidP="00EE2E01">
      <w:pPr>
        <w:rPr>
          <w:rFonts w:cs="Arial"/>
          <w:b/>
          <w:bCs/>
          <w:szCs w:val="16"/>
        </w:rPr>
      </w:pPr>
      <w:r>
        <w:rPr>
          <w:rFonts w:cs="Arial"/>
          <w:b/>
          <w:bCs/>
          <w:szCs w:val="16"/>
        </w:rPr>
        <w:t>Section A: Written, Signed Complaints</w:t>
      </w:r>
    </w:p>
    <w:tbl>
      <w:tblPr>
        <w:tblStyle w:val="TableGrid1"/>
        <w:tblW w:w="5008" w:type="pct"/>
        <w:tblLook w:val="04A0" w:firstRow="1" w:lastRow="0" w:firstColumn="1" w:lastColumn="0" w:noHBand="0" w:noVBand="1"/>
        <w:tblCaption w:val="B03ACPDQ"/>
      </w:tblPr>
      <w:tblGrid>
        <w:gridCol w:w="7986"/>
        <w:gridCol w:w="2821"/>
      </w:tblGrid>
      <w:tr w:rsidR="00EE2E01" w14:paraId="35E1D8F8" w14:textId="77777777" w:rsidTr="007F76DD">
        <w:trPr>
          <w:trHeight w:val="332"/>
        </w:trPr>
        <w:tc>
          <w:tcPr>
            <w:tcW w:w="3695" w:type="pct"/>
            <w:tcBorders>
              <w:top w:val="single" w:sz="4" w:space="0" w:color="auto"/>
              <w:left w:val="single" w:sz="4" w:space="0" w:color="auto"/>
              <w:bottom w:val="single" w:sz="4" w:space="0" w:color="auto"/>
              <w:right w:val="single" w:sz="4" w:space="0" w:color="auto"/>
            </w:tcBorders>
            <w:hideMark/>
          </w:tcPr>
          <w:p w14:paraId="6888EB96" w14:textId="77777777" w:rsidR="00EE2E01" w:rsidRPr="00A21F84" w:rsidRDefault="00EE2E01">
            <w:pPr>
              <w:rPr>
                <w:rFonts w:cs="Arial"/>
                <w:b/>
                <w:bCs/>
                <w:szCs w:val="16"/>
              </w:rPr>
            </w:pPr>
            <w:r>
              <w:rPr>
                <w:rFonts w:cs="Arial"/>
                <w:b/>
                <w:bCs/>
                <w:szCs w:val="16"/>
              </w:rPr>
              <w:t>(1) Total number of written signed complaints filed.</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67C2C3E3" w14:textId="77777777" w:rsidR="00EE2E01" w:rsidRDefault="00EE2E01">
            <w:pPr>
              <w:rPr>
                <w:rFonts w:cs="Arial"/>
                <w:szCs w:val="16"/>
              </w:rPr>
            </w:pPr>
            <w:r>
              <w:rPr>
                <w:rFonts w:cs="Arial"/>
                <w:szCs w:val="16"/>
              </w:rPr>
              <w:t>64</w:t>
            </w:r>
          </w:p>
        </w:tc>
      </w:tr>
      <w:tr w:rsidR="00EE2E01" w14:paraId="7269D6A3" w14:textId="77777777" w:rsidTr="007F76DD">
        <w:trPr>
          <w:trHeight w:val="332"/>
        </w:trPr>
        <w:tc>
          <w:tcPr>
            <w:tcW w:w="3695" w:type="pct"/>
            <w:tcBorders>
              <w:top w:val="single" w:sz="4" w:space="0" w:color="auto"/>
              <w:left w:val="single" w:sz="4" w:space="0" w:color="auto"/>
              <w:bottom w:val="single" w:sz="4" w:space="0" w:color="auto"/>
              <w:right w:val="single" w:sz="4" w:space="0" w:color="auto"/>
            </w:tcBorders>
            <w:hideMark/>
          </w:tcPr>
          <w:p w14:paraId="344D8573" w14:textId="77777777" w:rsidR="00EE2E01" w:rsidRPr="00E21765" w:rsidRDefault="00EE2E01">
            <w:pPr>
              <w:pStyle w:val="ListParagraph"/>
              <w:numPr>
                <w:ilvl w:val="1"/>
                <w:numId w:val="5"/>
              </w:numPr>
              <w:rPr>
                <w:rFonts w:cs="Arial"/>
                <w:szCs w:val="16"/>
              </w:rPr>
            </w:pPr>
            <w:r w:rsidRPr="00E21765">
              <w:rPr>
                <w:rFonts w:cs="Arial"/>
                <w:szCs w:val="16"/>
              </w:rPr>
              <w:t xml:space="preserve">Complaints with reports issued.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1D056113" w14:textId="77777777" w:rsidR="00EE2E01" w:rsidRDefault="00EE2E01">
            <w:pPr>
              <w:rPr>
                <w:rFonts w:cs="Arial"/>
                <w:szCs w:val="16"/>
              </w:rPr>
            </w:pPr>
            <w:r>
              <w:rPr>
                <w:rFonts w:cs="Arial"/>
                <w:szCs w:val="16"/>
              </w:rPr>
              <w:t>53</w:t>
            </w:r>
          </w:p>
        </w:tc>
      </w:tr>
      <w:tr w:rsidR="00EE2E01" w14:paraId="064B4642" w14:textId="77777777" w:rsidTr="007F76DD">
        <w:trPr>
          <w:trHeight w:val="278"/>
        </w:trPr>
        <w:tc>
          <w:tcPr>
            <w:tcW w:w="3695" w:type="pct"/>
            <w:tcBorders>
              <w:top w:val="single" w:sz="4" w:space="0" w:color="auto"/>
              <w:left w:val="single" w:sz="4" w:space="0" w:color="auto"/>
              <w:bottom w:val="single" w:sz="4" w:space="0" w:color="auto"/>
              <w:right w:val="single" w:sz="4" w:space="0" w:color="auto"/>
            </w:tcBorders>
            <w:hideMark/>
          </w:tcPr>
          <w:p w14:paraId="615C2905" w14:textId="77777777" w:rsidR="00EE2E01" w:rsidRPr="00E21765" w:rsidRDefault="00EE2E01">
            <w:pPr>
              <w:pStyle w:val="ListParagraph"/>
              <w:numPr>
                <w:ilvl w:val="1"/>
                <w:numId w:val="7"/>
              </w:numPr>
              <w:rPr>
                <w:rFonts w:cs="Arial"/>
                <w:szCs w:val="16"/>
              </w:rPr>
            </w:pPr>
            <w:r w:rsidRPr="00E21765">
              <w:rPr>
                <w:rFonts w:cs="Arial"/>
                <w:szCs w:val="16"/>
              </w:rPr>
              <w:t>(a) Reports with findings of noncompliance</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279E7DC2" w14:textId="77777777" w:rsidR="00EE2E01" w:rsidRDefault="00EE2E01">
            <w:pPr>
              <w:rPr>
                <w:rFonts w:cs="Arial"/>
                <w:szCs w:val="16"/>
              </w:rPr>
            </w:pPr>
            <w:r>
              <w:rPr>
                <w:rFonts w:cs="Arial"/>
                <w:szCs w:val="16"/>
              </w:rPr>
              <w:t>18</w:t>
            </w:r>
          </w:p>
        </w:tc>
      </w:tr>
      <w:tr w:rsidR="00EE2E01" w14:paraId="5725356D"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10D31018" w14:textId="77777777" w:rsidR="00EE2E01" w:rsidRPr="002E5FC0" w:rsidRDefault="00EE2E01">
            <w:pPr>
              <w:rPr>
                <w:rFonts w:cs="Arial"/>
                <w:szCs w:val="16"/>
              </w:rPr>
            </w:pPr>
            <w:r>
              <w:rPr>
                <w:rFonts w:cs="Arial"/>
                <w:szCs w:val="16"/>
              </w:rPr>
              <w:t>(1.1) (b) Reports within timelines</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0C1D3274" w14:textId="77777777" w:rsidR="00EE2E01" w:rsidRDefault="00EE2E01">
            <w:pPr>
              <w:rPr>
                <w:rFonts w:cs="Arial"/>
                <w:szCs w:val="16"/>
              </w:rPr>
            </w:pPr>
            <w:r>
              <w:rPr>
                <w:rFonts w:cs="Arial"/>
                <w:szCs w:val="16"/>
              </w:rPr>
              <w:t>34</w:t>
            </w:r>
          </w:p>
        </w:tc>
      </w:tr>
      <w:tr w:rsidR="00EE2E01" w14:paraId="3A4A4E1C"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497F73A9" w14:textId="77777777" w:rsidR="00EE2E01" w:rsidRPr="00E21765" w:rsidRDefault="00EE2E01">
            <w:pPr>
              <w:pStyle w:val="ListParagraph"/>
              <w:numPr>
                <w:ilvl w:val="1"/>
                <w:numId w:val="6"/>
              </w:numPr>
              <w:rPr>
                <w:rFonts w:cs="Arial"/>
                <w:szCs w:val="16"/>
              </w:rPr>
            </w:pPr>
            <w:r>
              <w:rPr>
                <w:rFonts w:cs="Arial"/>
                <w:szCs w:val="16"/>
              </w:rPr>
              <w:t>(c) Reports within extended timelines</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3984E4CD" w14:textId="77777777" w:rsidR="00EE2E01" w:rsidRDefault="00EE2E01">
            <w:pPr>
              <w:rPr>
                <w:rFonts w:cs="Arial"/>
                <w:szCs w:val="16"/>
              </w:rPr>
            </w:pPr>
            <w:r>
              <w:rPr>
                <w:rFonts w:cs="Arial"/>
                <w:szCs w:val="16"/>
              </w:rPr>
              <w:t>4</w:t>
            </w:r>
          </w:p>
        </w:tc>
      </w:tr>
      <w:tr w:rsidR="00EE2E01" w14:paraId="043689AC"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4FA36682" w14:textId="77777777" w:rsidR="00EE2E01" w:rsidRPr="00E21765" w:rsidRDefault="00EE2E01">
            <w:pPr>
              <w:pStyle w:val="ListParagraph"/>
              <w:numPr>
                <w:ilvl w:val="1"/>
                <w:numId w:val="6"/>
              </w:numPr>
              <w:rPr>
                <w:rFonts w:cs="Arial"/>
                <w:szCs w:val="16"/>
              </w:rPr>
            </w:pPr>
            <w:r w:rsidRPr="00E21765">
              <w:rPr>
                <w:rFonts w:cs="Arial"/>
                <w:szCs w:val="16"/>
              </w:rPr>
              <w:t xml:space="preserve">Complaints pending.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4AA05700" w14:textId="77777777" w:rsidR="00EE2E01" w:rsidRDefault="00EE2E01">
            <w:pPr>
              <w:rPr>
                <w:rFonts w:cs="Arial"/>
                <w:szCs w:val="16"/>
              </w:rPr>
            </w:pPr>
            <w:r>
              <w:rPr>
                <w:rFonts w:cs="Arial"/>
                <w:szCs w:val="16"/>
              </w:rPr>
              <w:t>4</w:t>
            </w:r>
          </w:p>
        </w:tc>
      </w:tr>
      <w:tr w:rsidR="00EE2E01" w14:paraId="6C99942B"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3B4C49D3" w14:textId="77777777" w:rsidR="00EE2E01" w:rsidRPr="00E21765" w:rsidRDefault="00EE2E01">
            <w:pPr>
              <w:rPr>
                <w:rFonts w:cs="Arial"/>
                <w:szCs w:val="16"/>
              </w:rPr>
            </w:pPr>
            <w:r w:rsidRPr="00E21765">
              <w:rPr>
                <w:rFonts w:cs="Arial"/>
                <w:szCs w:val="16"/>
              </w:rPr>
              <w:t xml:space="preserve">(1.2) (a) Complaints pending a due process hearing.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78B90249" w14:textId="77777777" w:rsidR="00EE2E01" w:rsidRDefault="00EE2E01">
            <w:pPr>
              <w:rPr>
                <w:rFonts w:cs="Arial"/>
                <w:szCs w:val="16"/>
              </w:rPr>
            </w:pPr>
            <w:r>
              <w:rPr>
                <w:rFonts w:cs="Arial"/>
                <w:szCs w:val="16"/>
              </w:rPr>
              <w:t>0</w:t>
            </w:r>
          </w:p>
        </w:tc>
      </w:tr>
      <w:tr w:rsidR="00EE2E01" w14:paraId="60DE7FD5" w14:textId="77777777" w:rsidTr="007F76DD">
        <w:trPr>
          <w:trHeight w:val="242"/>
        </w:trPr>
        <w:tc>
          <w:tcPr>
            <w:tcW w:w="3695" w:type="pct"/>
            <w:tcBorders>
              <w:top w:val="single" w:sz="4" w:space="0" w:color="auto"/>
              <w:left w:val="single" w:sz="4" w:space="0" w:color="auto"/>
              <w:bottom w:val="single" w:sz="4" w:space="0" w:color="auto"/>
              <w:right w:val="single" w:sz="4" w:space="0" w:color="auto"/>
            </w:tcBorders>
            <w:hideMark/>
          </w:tcPr>
          <w:p w14:paraId="5AD613F4" w14:textId="77777777" w:rsidR="00EE2E01" w:rsidRPr="00E21765" w:rsidRDefault="00EE2E01">
            <w:pPr>
              <w:pStyle w:val="ListParagraph"/>
              <w:numPr>
                <w:ilvl w:val="1"/>
                <w:numId w:val="6"/>
              </w:numPr>
              <w:rPr>
                <w:rFonts w:cs="Arial"/>
                <w:szCs w:val="16"/>
              </w:rPr>
            </w:pPr>
            <w:r w:rsidRPr="00E21765">
              <w:rPr>
                <w:rFonts w:cs="Arial"/>
                <w:szCs w:val="16"/>
              </w:rPr>
              <w:t xml:space="preserve">Complaints withdrawn or dismissed. </w:t>
            </w:r>
          </w:p>
        </w:tc>
        <w:tc>
          <w:tcPr>
            <w:tcW w:w="1305" w:type="pct"/>
            <w:tcBorders>
              <w:top w:val="single" w:sz="4" w:space="0" w:color="auto"/>
              <w:left w:val="single" w:sz="4" w:space="0" w:color="auto"/>
              <w:bottom w:val="single" w:sz="4" w:space="0" w:color="auto"/>
              <w:right w:val="single" w:sz="4" w:space="0" w:color="auto"/>
            </w:tcBorders>
            <w:shd w:val="clear" w:color="auto" w:fill="auto"/>
          </w:tcPr>
          <w:p w14:paraId="61C86BDA" w14:textId="77777777" w:rsidR="00EE2E01" w:rsidRDefault="00EE2E01">
            <w:pPr>
              <w:rPr>
                <w:rFonts w:cs="Arial"/>
                <w:szCs w:val="16"/>
              </w:rPr>
            </w:pPr>
            <w:r>
              <w:rPr>
                <w:rFonts w:cs="Arial"/>
                <w:szCs w:val="16"/>
              </w:rPr>
              <w:t>7</w:t>
            </w:r>
          </w:p>
        </w:tc>
      </w:tr>
    </w:tbl>
    <w:p w14:paraId="52DAEEF6" w14:textId="77777777" w:rsidR="00EE2E01" w:rsidRDefault="00EE2E01" w:rsidP="00EE2E01">
      <w:pPr>
        <w:rPr>
          <w:rFonts w:cs="Arial"/>
          <w:b/>
          <w:bCs/>
          <w:szCs w:val="16"/>
        </w:rPr>
      </w:pPr>
    </w:p>
    <w:p w14:paraId="340E3261" w14:textId="77777777" w:rsidR="00EE2E01" w:rsidRDefault="00EE2E01" w:rsidP="00EE2E01">
      <w:pPr>
        <w:rPr>
          <w:rFonts w:cs="Arial"/>
          <w:b/>
          <w:bCs/>
          <w:szCs w:val="16"/>
        </w:rPr>
      </w:pPr>
      <w:r>
        <w:rPr>
          <w:rFonts w:cs="Arial"/>
          <w:b/>
          <w:bCs/>
          <w:szCs w:val="16"/>
        </w:rPr>
        <w:t>Section B: Mediation Requests</w:t>
      </w:r>
    </w:p>
    <w:tbl>
      <w:tblPr>
        <w:tblStyle w:val="TableGrid1"/>
        <w:tblW w:w="5064" w:type="pct"/>
        <w:tblLook w:val="04A0" w:firstRow="1" w:lastRow="0" w:firstColumn="1" w:lastColumn="0" w:noHBand="0" w:noVBand="1"/>
        <w:tblCaption w:val="B03BCPDQ"/>
      </w:tblPr>
      <w:tblGrid>
        <w:gridCol w:w="7866"/>
        <w:gridCol w:w="3062"/>
      </w:tblGrid>
      <w:tr w:rsidR="00EE2E01" w14:paraId="100623A1"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1FAF7301" w14:textId="77777777" w:rsidR="00EE2E01" w:rsidRPr="00A21F84" w:rsidRDefault="00EE2E01">
            <w:pPr>
              <w:rPr>
                <w:rFonts w:cs="Arial"/>
                <w:b/>
                <w:bCs/>
                <w:szCs w:val="16"/>
              </w:rPr>
            </w:pPr>
            <w:r>
              <w:rPr>
                <w:rFonts w:cs="Arial"/>
                <w:b/>
                <w:bCs/>
                <w:szCs w:val="16"/>
              </w:rPr>
              <w:t xml:space="preserve">(2) Total number of mediation requests received through all dispute resolution processes.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28DBB6F2" w14:textId="77777777" w:rsidR="00EE2E01" w:rsidRDefault="00EE2E01">
            <w:pPr>
              <w:rPr>
                <w:rFonts w:cs="Arial"/>
                <w:szCs w:val="16"/>
              </w:rPr>
            </w:pPr>
            <w:r>
              <w:rPr>
                <w:rFonts w:cs="Arial"/>
                <w:szCs w:val="16"/>
              </w:rPr>
              <w:t>53</w:t>
            </w:r>
          </w:p>
        </w:tc>
      </w:tr>
      <w:tr w:rsidR="00EE2E01" w14:paraId="2B114D15" w14:textId="77777777" w:rsidTr="007F76DD">
        <w:trPr>
          <w:trHeight w:val="332"/>
        </w:trPr>
        <w:tc>
          <w:tcPr>
            <w:tcW w:w="3599" w:type="pct"/>
            <w:tcBorders>
              <w:top w:val="single" w:sz="4" w:space="0" w:color="auto"/>
              <w:left w:val="single" w:sz="4" w:space="0" w:color="auto"/>
              <w:bottom w:val="single" w:sz="4" w:space="0" w:color="auto"/>
              <w:right w:val="single" w:sz="4" w:space="0" w:color="auto"/>
            </w:tcBorders>
            <w:hideMark/>
          </w:tcPr>
          <w:p w14:paraId="5691966D" w14:textId="77777777" w:rsidR="00EE2E01" w:rsidRDefault="00EE2E01">
            <w:pPr>
              <w:rPr>
                <w:rFonts w:cs="Arial"/>
                <w:szCs w:val="16"/>
              </w:rPr>
            </w:pPr>
            <w:r>
              <w:rPr>
                <w:rFonts w:cs="Arial"/>
                <w:szCs w:val="16"/>
              </w:rPr>
              <w:t xml:space="preserve">(2.1) Mediations held.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2A44C39E" w14:textId="77777777" w:rsidR="00EE2E01" w:rsidRDefault="00EE2E01">
            <w:pPr>
              <w:rPr>
                <w:rFonts w:cs="Arial"/>
                <w:szCs w:val="16"/>
              </w:rPr>
            </w:pPr>
            <w:r>
              <w:rPr>
                <w:rFonts w:cs="Arial"/>
                <w:szCs w:val="16"/>
              </w:rPr>
              <w:t>30</w:t>
            </w:r>
          </w:p>
        </w:tc>
      </w:tr>
      <w:tr w:rsidR="00EE2E01" w14:paraId="5426FC5B" w14:textId="77777777" w:rsidTr="007F76DD">
        <w:trPr>
          <w:trHeight w:val="278"/>
        </w:trPr>
        <w:tc>
          <w:tcPr>
            <w:tcW w:w="3599" w:type="pct"/>
            <w:tcBorders>
              <w:top w:val="single" w:sz="4" w:space="0" w:color="auto"/>
              <w:left w:val="single" w:sz="4" w:space="0" w:color="auto"/>
              <w:bottom w:val="single" w:sz="4" w:space="0" w:color="auto"/>
              <w:right w:val="single" w:sz="4" w:space="0" w:color="auto"/>
            </w:tcBorders>
            <w:hideMark/>
          </w:tcPr>
          <w:p w14:paraId="51C6D972" w14:textId="77777777" w:rsidR="00EE2E01" w:rsidRDefault="00EE2E01">
            <w:pPr>
              <w:rPr>
                <w:rFonts w:cs="Arial"/>
                <w:szCs w:val="16"/>
              </w:rPr>
            </w:pPr>
            <w:r>
              <w:rPr>
                <w:rFonts w:cs="Arial"/>
                <w:szCs w:val="16"/>
              </w:rPr>
              <w:t xml:space="preserve">(2.1) (a) Mediations held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5490DACE" w14:textId="77777777" w:rsidR="00EE2E01" w:rsidRDefault="00EE2E01">
            <w:pPr>
              <w:rPr>
                <w:rFonts w:cs="Arial"/>
                <w:szCs w:val="16"/>
              </w:rPr>
            </w:pPr>
            <w:r>
              <w:rPr>
                <w:rFonts w:cs="Arial"/>
                <w:szCs w:val="16"/>
              </w:rPr>
              <w:t>4</w:t>
            </w:r>
          </w:p>
        </w:tc>
      </w:tr>
      <w:tr w:rsidR="00EE2E01" w14:paraId="7537E8E7"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76AC21FF" w14:textId="77777777" w:rsidR="00EE2E01" w:rsidRDefault="00EE2E01">
            <w:pPr>
              <w:rPr>
                <w:rFonts w:cs="Arial"/>
                <w:szCs w:val="16"/>
              </w:rPr>
            </w:pPr>
            <w:r>
              <w:rPr>
                <w:rFonts w:cs="Arial"/>
                <w:szCs w:val="16"/>
              </w:rPr>
              <w:t xml:space="preserve">(2.1) (a) (i) Mediation agreements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44A125E7" w14:textId="77777777" w:rsidR="00EE2E01" w:rsidRDefault="00EE2E01">
            <w:pPr>
              <w:rPr>
                <w:rFonts w:cs="Arial"/>
                <w:szCs w:val="16"/>
              </w:rPr>
            </w:pPr>
            <w:r>
              <w:rPr>
                <w:rFonts w:cs="Arial"/>
                <w:szCs w:val="16"/>
              </w:rPr>
              <w:t>3</w:t>
            </w:r>
          </w:p>
        </w:tc>
      </w:tr>
      <w:tr w:rsidR="00EE2E01" w14:paraId="449AF7DF"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7CEEEBE3" w14:textId="77777777" w:rsidR="00EE2E01" w:rsidRDefault="00EE2E01">
            <w:pPr>
              <w:rPr>
                <w:rFonts w:cs="Arial"/>
                <w:szCs w:val="16"/>
              </w:rPr>
            </w:pPr>
            <w:r>
              <w:rPr>
                <w:rFonts w:cs="Arial"/>
                <w:szCs w:val="16"/>
              </w:rPr>
              <w:t xml:space="preserve">(2.1) (b) Mediations held not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74DC5AF9" w14:textId="77777777" w:rsidR="00EE2E01" w:rsidRDefault="00EE2E01">
            <w:pPr>
              <w:rPr>
                <w:rFonts w:cs="Arial"/>
                <w:szCs w:val="16"/>
              </w:rPr>
            </w:pPr>
            <w:r>
              <w:rPr>
                <w:rFonts w:cs="Arial"/>
                <w:szCs w:val="16"/>
              </w:rPr>
              <w:t>26</w:t>
            </w:r>
          </w:p>
        </w:tc>
      </w:tr>
      <w:tr w:rsidR="00EE2E01" w14:paraId="77EC9D97"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0823F1C5" w14:textId="77777777" w:rsidR="00EE2E01" w:rsidRDefault="00EE2E01">
            <w:pPr>
              <w:rPr>
                <w:rFonts w:cs="Arial"/>
                <w:szCs w:val="16"/>
              </w:rPr>
            </w:pPr>
            <w:r>
              <w:rPr>
                <w:rFonts w:cs="Arial"/>
                <w:szCs w:val="16"/>
              </w:rPr>
              <w:t xml:space="preserve">(2.1) (b) (i) Mediation agreements not related to due process complaints.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65FEB82E" w14:textId="77777777" w:rsidR="00EE2E01" w:rsidRDefault="00EE2E01">
            <w:pPr>
              <w:rPr>
                <w:rFonts w:cs="Arial"/>
                <w:szCs w:val="16"/>
              </w:rPr>
            </w:pPr>
            <w:r>
              <w:rPr>
                <w:rFonts w:cs="Arial"/>
                <w:szCs w:val="16"/>
              </w:rPr>
              <w:t>16</w:t>
            </w:r>
          </w:p>
        </w:tc>
      </w:tr>
      <w:tr w:rsidR="00EE2E01" w14:paraId="6BA6C769"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4B66A4BD" w14:textId="77777777" w:rsidR="00EE2E01" w:rsidRDefault="00EE2E01">
            <w:pPr>
              <w:rPr>
                <w:rFonts w:cs="Arial"/>
                <w:szCs w:val="16"/>
              </w:rPr>
            </w:pPr>
            <w:r>
              <w:rPr>
                <w:rFonts w:cs="Arial"/>
                <w:szCs w:val="16"/>
              </w:rPr>
              <w:t xml:space="preserve">(2.2) Mediations pending.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3BCABC4E" w14:textId="77777777" w:rsidR="00EE2E01" w:rsidRDefault="00EE2E01">
            <w:pPr>
              <w:rPr>
                <w:rFonts w:cs="Arial"/>
                <w:szCs w:val="16"/>
              </w:rPr>
            </w:pPr>
            <w:r>
              <w:rPr>
                <w:rFonts w:cs="Arial"/>
                <w:szCs w:val="16"/>
              </w:rPr>
              <w:t>19</w:t>
            </w:r>
          </w:p>
        </w:tc>
      </w:tr>
      <w:tr w:rsidR="00EE2E01" w14:paraId="6122BA7A" w14:textId="77777777" w:rsidTr="007F76DD">
        <w:trPr>
          <w:trHeight w:val="242"/>
        </w:trPr>
        <w:tc>
          <w:tcPr>
            <w:tcW w:w="3599" w:type="pct"/>
            <w:tcBorders>
              <w:top w:val="single" w:sz="4" w:space="0" w:color="auto"/>
              <w:left w:val="single" w:sz="4" w:space="0" w:color="auto"/>
              <w:bottom w:val="single" w:sz="4" w:space="0" w:color="auto"/>
              <w:right w:val="single" w:sz="4" w:space="0" w:color="auto"/>
            </w:tcBorders>
            <w:hideMark/>
          </w:tcPr>
          <w:p w14:paraId="783D077E" w14:textId="77777777" w:rsidR="00EE2E01" w:rsidRDefault="00EE2E01">
            <w:pPr>
              <w:rPr>
                <w:rFonts w:cs="Arial"/>
                <w:szCs w:val="16"/>
              </w:rPr>
            </w:pPr>
            <w:r>
              <w:rPr>
                <w:rFonts w:cs="Arial"/>
                <w:szCs w:val="16"/>
              </w:rPr>
              <w:t xml:space="preserve">(2.3) Mediations withdrawn or not held. </w:t>
            </w:r>
          </w:p>
        </w:tc>
        <w:tc>
          <w:tcPr>
            <w:tcW w:w="1401" w:type="pct"/>
            <w:tcBorders>
              <w:top w:val="single" w:sz="4" w:space="0" w:color="auto"/>
              <w:left w:val="single" w:sz="4" w:space="0" w:color="auto"/>
              <w:bottom w:val="single" w:sz="4" w:space="0" w:color="auto"/>
              <w:right w:val="single" w:sz="4" w:space="0" w:color="auto"/>
            </w:tcBorders>
            <w:shd w:val="clear" w:color="auto" w:fill="auto"/>
          </w:tcPr>
          <w:p w14:paraId="585572D2" w14:textId="6C062142" w:rsidR="00EE2E01" w:rsidRDefault="00EE2E01">
            <w:pPr>
              <w:rPr>
                <w:rFonts w:cs="Arial"/>
                <w:szCs w:val="16"/>
              </w:rPr>
            </w:pPr>
            <w:r>
              <w:rPr>
                <w:rFonts w:cs="Arial"/>
                <w:szCs w:val="16"/>
              </w:rPr>
              <w:t>4</w:t>
            </w:r>
          </w:p>
        </w:tc>
      </w:tr>
    </w:tbl>
    <w:p w14:paraId="0C58D282" w14:textId="77777777" w:rsidR="00EE2E01" w:rsidRDefault="00EE2E01" w:rsidP="00EE2E01">
      <w:pPr>
        <w:rPr>
          <w:rFonts w:cs="Arial"/>
          <w:b/>
          <w:bCs/>
          <w:szCs w:val="16"/>
        </w:rPr>
      </w:pPr>
    </w:p>
    <w:p w14:paraId="46908630" w14:textId="77777777" w:rsidR="00EE2E01" w:rsidRDefault="00EE2E01" w:rsidP="00EE2E01">
      <w:pPr>
        <w:rPr>
          <w:rFonts w:cs="Arial"/>
          <w:b/>
          <w:bCs/>
          <w:szCs w:val="16"/>
        </w:rPr>
      </w:pPr>
      <w:r>
        <w:rPr>
          <w:rFonts w:cs="Arial"/>
          <w:b/>
          <w:bCs/>
          <w:szCs w:val="16"/>
        </w:rPr>
        <w:t>Section C: Due Process Complaints</w:t>
      </w:r>
    </w:p>
    <w:tbl>
      <w:tblPr>
        <w:tblStyle w:val="TableGrid1"/>
        <w:tblW w:w="5000" w:type="pct"/>
        <w:tblLook w:val="04A0" w:firstRow="1" w:lastRow="0" w:firstColumn="1" w:lastColumn="0" w:noHBand="0" w:noVBand="1"/>
        <w:tblCaption w:val="B03CCPDQ"/>
      </w:tblPr>
      <w:tblGrid>
        <w:gridCol w:w="8004"/>
        <w:gridCol w:w="2786"/>
      </w:tblGrid>
      <w:tr w:rsidR="00EE2E01" w14:paraId="53509B9D"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3178CBC9" w14:textId="77777777" w:rsidR="00EE2E01" w:rsidRPr="00A21F84" w:rsidRDefault="00EE2E01">
            <w:pPr>
              <w:rPr>
                <w:rFonts w:cs="Arial"/>
                <w:b/>
                <w:bCs/>
                <w:szCs w:val="16"/>
              </w:rPr>
            </w:pPr>
            <w:r>
              <w:rPr>
                <w:rFonts w:cs="Arial"/>
                <w:b/>
                <w:bCs/>
                <w:szCs w:val="16"/>
              </w:rPr>
              <w:t xml:space="preserve">(3) Total number of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22EAA87" w14:textId="77777777" w:rsidR="00EE2E01" w:rsidRDefault="00EE2E01">
            <w:pPr>
              <w:rPr>
                <w:rFonts w:cs="Arial"/>
                <w:szCs w:val="16"/>
              </w:rPr>
            </w:pPr>
            <w:r>
              <w:rPr>
                <w:rFonts w:cs="Arial"/>
                <w:szCs w:val="16"/>
              </w:rPr>
              <w:t>16</w:t>
            </w:r>
          </w:p>
        </w:tc>
      </w:tr>
      <w:tr w:rsidR="00EE2E01" w14:paraId="258EA5ED"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566EB412" w14:textId="77777777" w:rsidR="00EE2E01" w:rsidRDefault="00EE2E01">
            <w:pPr>
              <w:rPr>
                <w:rFonts w:cs="Arial"/>
                <w:szCs w:val="16"/>
              </w:rPr>
            </w:pPr>
            <w:r>
              <w:rPr>
                <w:rFonts w:cs="Arial"/>
                <w:szCs w:val="16"/>
              </w:rPr>
              <w:t xml:space="preserve">(3.1)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FFF05CE" w14:textId="77777777" w:rsidR="00EE2E01" w:rsidRDefault="00EE2E01">
            <w:pPr>
              <w:rPr>
                <w:rFonts w:cs="Arial"/>
                <w:szCs w:val="16"/>
              </w:rPr>
            </w:pPr>
            <w:r>
              <w:rPr>
                <w:rFonts w:cs="Arial"/>
                <w:szCs w:val="16"/>
              </w:rPr>
              <w:t>0</w:t>
            </w:r>
          </w:p>
        </w:tc>
      </w:tr>
      <w:tr w:rsidR="00EE2E01" w14:paraId="5E7E3092"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6C8032C3" w14:textId="77777777" w:rsidR="00EE2E01" w:rsidRDefault="00EE2E01">
            <w:pPr>
              <w:rPr>
                <w:rFonts w:cs="Arial"/>
                <w:szCs w:val="16"/>
              </w:rPr>
            </w:pPr>
            <w:r>
              <w:rPr>
                <w:rFonts w:cs="Arial"/>
                <w:szCs w:val="16"/>
              </w:rPr>
              <w:t xml:space="preserve">(3.1) (a) Written settlement agreements reached through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D284F7D" w14:textId="77777777" w:rsidR="00EE2E01" w:rsidRDefault="00EE2E01">
            <w:pPr>
              <w:rPr>
                <w:rFonts w:cs="Arial"/>
                <w:szCs w:val="16"/>
              </w:rPr>
            </w:pPr>
            <w:r>
              <w:rPr>
                <w:rFonts w:cs="Arial"/>
                <w:szCs w:val="16"/>
              </w:rPr>
              <w:t>0</w:t>
            </w:r>
          </w:p>
        </w:tc>
      </w:tr>
      <w:tr w:rsidR="00EE2E01" w14:paraId="51A3A4C6"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2A1A39CA" w14:textId="77777777" w:rsidR="00EE2E01" w:rsidRDefault="00EE2E01">
            <w:pPr>
              <w:rPr>
                <w:rFonts w:cs="Arial"/>
                <w:szCs w:val="16"/>
              </w:rPr>
            </w:pPr>
            <w:r>
              <w:rPr>
                <w:rFonts w:cs="Arial"/>
                <w:szCs w:val="16"/>
              </w:rPr>
              <w:t xml:space="preserve">(3.2)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4B27D1AD" w14:textId="77777777" w:rsidR="00EE2E01" w:rsidRDefault="00EE2E01">
            <w:pPr>
              <w:rPr>
                <w:rFonts w:cs="Arial"/>
                <w:szCs w:val="16"/>
              </w:rPr>
            </w:pPr>
            <w:r>
              <w:rPr>
                <w:rFonts w:cs="Arial"/>
                <w:szCs w:val="16"/>
              </w:rPr>
              <w:t>0</w:t>
            </w:r>
          </w:p>
        </w:tc>
      </w:tr>
      <w:tr w:rsidR="00EE2E01" w14:paraId="1C7EE5B1"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0DF53259" w14:textId="77777777" w:rsidR="00EE2E01" w:rsidRDefault="00EE2E01">
            <w:pPr>
              <w:rPr>
                <w:rFonts w:cs="Arial"/>
                <w:szCs w:val="16"/>
              </w:rPr>
            </w:pPr>
            <w:r>
              <w:rPr>
                <w:rFonts w:cs="Arial"/>
                <w:szCs w:val="16"/>
              </w:rPr>
              <w:t xml:space="preserve">(3.2) (a) Decisions within timeline (include expedited).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29941D3" w14:textId="77777777" w:rsidR="00EE2E01" w:rsidRDefault="00EE2E01">
            <w:pPr>
              <w:rPr>
                <w:rFonts w:cs="Arial"/>
                <w:szCs w:val="16"/>
              </w:rPr>
            </w:pPr>
            <w:r>
              <w:rPr>
                <w:rFonts w:cs="Arial"/>
                <w:szCs w:val="16"/>
              </w:rPr>
              <w:t>0</w:t>
            </w:r>
          </w:p>
        </w:tc>
      </w:tr>
      <w:tr w:rsidR="00EE2E01" w14:paraId="141D35B3"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4B3E66F4" w14:textId="77777777" w:rsidR="00EE2E01" w:rsidRDefault="00EE2E01">
            <w:pPr>
              <w:rPr>
                <w:rFonts w:cs="Arial"/>
                <w:szCs w:val="16"/>
              </w:rPr>
            </w:pPr>
            <w:r>
              <w:rPr>
                <w:rFonts w:cs="Arial"/>
                <w:szCs w:val="16"/>
              </w:rPr>
              <w:t>(3.2) (b) Decisions within extended timeline.</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4008C90" w14:textId="77777777" w:rsidR="00EE2E01" w:rsidRDefault="00EE2E01">
            <w:pPr>
              <w:rPr>
                <w:rFonts w:cs="Arial"/>
                <w:szCs w:val="16"/>
              </w:rPr>
            </w:pPr>
            <w:r>
              <w:rPr>
                <w:rFonts w:cs="Arial"/>
                <w:szCs w:val="16"/>
              </w:rPr>
              <w:t>0</w:t>
            </w:r>
          </w:p>
        </w:tc>
      </w:tr>
      <w:tr w:rsidR="00EE2E01" w14:paraId="0A719F03"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3FA1CF25" w14:textId="308D8F4D" w:rsidR="00EE2E01" w:rsidRDefault="00EE2E01">
            <w:pPr>
              <w:rPr>
                <w:rFonts w:cs="Arial"/>
                <w:szCs w:val="16"/>
              </w:rPr>
            </w:pPr>
            <w:r>
              <w:rPr>
                <w:rFonts w:cs="Arial"/>
                <w:szCs w:val="16"/>
              </w:rPr>
              <w:t xml:space="preserve">(3.3) Due process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D94A458" w14:textId="48256C2E" w:rsidR="00EE2E01" w:rsidRDefault="00EE2E01">
            <w:pPr>
              <w:rPr>
                <w:rFonts w:cs="Arial"/>
                <w:szCs w:val="16"/>
              </w:rPr>
            </w:pPr>
            <w:r>
              <w:rPr>
                <w:rFonts w:cs="Arial"/>
                <w:szCs w:val="16"/>
              </w:rPr>
              <w:t>4</w:t>
            </w:r>
          </w:p>
        </w:tc>
      </w:tr>
      <w:tr w:rsidR="00EE2E01" w14:paraId="48110BE3" w14:textId="77777777" w:rsidTr="007F76DD">
        <w:trPr>
          <w:trHeight w:val="242"/>
        </w:trPr>
        <w:tc>
          <w:tcPr>
            <w:tcW w:w="3709" w:type="pct"/>
            <w:tcBorders>
              <w:top w:val="single" w:sz="4" w:space="0" w:color="auto"/>
              <w:left w:val="single" w:sz="4" w:space="0" w:color="auto"/>
              <w:bottom w:val="single" w:sz="4" w:space="0" w:color="auto"/>
              <w:right w:val="single" w:sz="4" w:space="0" w:color="auto"/>
            </w:tcBorders>
            <w:hideMark/>
          </w:tcPr>
          <w:p w14:paraId="43EDDDCD" w14:textId="77777777" w:rsidR="00EE2E01" w:rsidRDefault="00EE2E01">
            <w:pPr>
              <w:rPr>
                <w:rFonts w:cs="Arial"/>
                <w:szCs w:val="16"/>
              </w:rPr>
            </w:pPr>
            <w:r>
              <w:rPr>
                <w:rFonts w:cs="Arial"/>
                <w:szCs w:val="16"/>
              </w:rPr>
              <w:t>(3.4) Due process complaints withdrawn or dismissed (including resolved without a hearing).</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762E5A8" w14:textId="77777777" w:rsidR="00EE2E01" w:rsidRDefault="00EE2E01">
            <w:pPr>
              <w:rPr>
                <w:rFonts w:cs="Arial"/>
                <w:szCs w:val="16"/>
              </w:rPr>
            </w:pPr>
            <w:r>
              <w:rPr>
                <w:rFonts w:cs="Arial"/>
                <w:szCs w:val="16"/>
              </w:rPr>
              <w:t>12</w:t>
            </w:r>
          </w:p>
        </w:tc>
      </w:tr>
    </w:tbl>
    <w:p w14:paraId="5101E399" w14:textId="77777777" w:rsidR="00EE2E01" w:rsidRDefault="00EE2E01" w:rsidP="00EE2E01">
      <w:pPr>
        <w:rPr>
          <w:rFonts w:cs="Arial"/>
          <w:b/>
          <w:bCs/>
          <w:szCs w:val="16"/>
        </w:rPr>
      </w:pPr>
    </w:p>
    <w:p w14:paraId="50854025" w14:textId="77777777" w:rsidR="00EE2E01" w:rsidRDefault="00EE2E01" w:rsidP="00EE2E01">
      <w:pPr>
        <w:rPr>
          <w:rFonts w:cs="Arial"/>
          <w:b/>
          <w:bCs/>
          <w:szCs w:val="16"/>
        </w:rPr>
      </w:pPr>
      <w:r>
        <w:rPr>
          <w:rFonts w:cs="Arial"/>
          <w:b/>
          <w:bCs/>
          <w:szCs w:val="16"/>
        </w:rPr>
        <w:t xml:space="preserve">Section D: Expedited Due Process Complaints (Related to Disciplinary Decision) </w:t>
      </w:r>
    </w:p>
    <w:tbl>
      <w:tblPr>
        <w:tblStyle w:val="TableGrid1"/>
        <w:tblW w:w="5000" w:type="pct"/>
        <w:tblLook w:val="04A0" w:firstRow="1" w:lastRow="0" w:firstColumn="1" w:lastColumn="0" w:noHBand="0" w:noVBand="1"/>
        <w:tblCaption w:val="B03DCPDQ"/>
      </w:tblPr>
      <w:tblGrid>
        <w:gridCol w:w="8004"/>
        <w:gridCol w:w="2786"/>
      </w:tblGrid>
      <w:tr w:rsidR="00EE2E01" w14:paraId="506B085F"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hideMark/>
          </w:tcPr>
          <w:p w14:paraId="22FAA3EF" w14:textId="77777777" w:rsidR="00EE2E01" w:rsidRPr="00A21F84" w:rsidRDefault="00EE2E01">
            <w:pPr>
              <w:rPr>
                <w:rFonts w:cs="Arial"/>
                <w:b/>
                <w:bCs/>
                <w:szCs w:val="16"/>
              </w:rPr>
            </w:pPr>
            <w:r>
              <w:rPr>
                <w:rFonts w:cs="Arial"/>
                <w:b/>
                <w:bCs/>
                <w:szCs w:val="16"/>
              </w:rPr>
              <w:t xml:space="preserve">(4) Total number of expedited due process complaints filed.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046FCF29" w14:textId="77777777" w:rsidR="00EE2E01" w:rsidRDefault="00EE2E01">
            <w:pPr>
              <w:rPr>
                <w:rFonts w:cs="Arial"/>
                <w:szCs w:val="16"/>
              </w:rPr>
            </w:pPr>
            <w:r>
              <w:rPr>
                <w:rFonts w:cs="Arial"/>
                <w:szCs w:val="16"/>
              </w:rPr>
              <w:t>1</w:t>
            </w:r>
          </w:p>
        </w:tc>
      </w:tr>
      <w:tr w:rsidR="00EE2E01" w14:paraId="58872458"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352D125C" w14:textId="77777777" w:rsidR="00EE2E01" w:rsidRPr="007F7054" w:rsidRDefault="00EE2E01">
            <w:pPr>
              <w:rPr>
                <w:rFonts w:cs="Arial"/>
                <w:szCs w:val="16"/>
              </w:rPr>
            </w:pPr>
            <w:r>
              <w:rPr>
                <w:rFonts w:cs="Arial"/>
                <w:szCs w:val="16"/>
              </w:rPr>
              <w:t xml:space="preserve">(4.1) Expedited resolution meetings.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1D2611D7" w14:textId="77777777" w:rsidR="00EE2E01" w:rsidRDefault="00EE2E01">
            <w:pPr>
              <w:rPr>
                <w:rFonts w:cs="Arial"/>
                <w:szCs w:val="16"/>
              </w:rPr>
            </w:pPr>
            <w:r>
              <w:rPr>
                <w:rFonts w:cs="Arial"/>
                <w:szCs w:val="16"/>
              </w:rPr>
              <w:t>0</w:t>
            </w:r>
          </w:p>
        </w:tc>
      </w:tr>
      <w:tr w:rsidR="00EE2E01" w14:paraId="60A14E58"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538A297F" w14:textId="77777777" w:rsidR="00EE2E01" w:rsidRPr="007F7054" w:rsidRDefault="00EE2E01">
            <w:pPr>
              <w:rPr>
                <w:rFonts w:cs="Arial"/>
                <w:szCs w:val="16"/>
              </w:rPr>
            </w:pPr>
            <w:r>
              <w:rPr>
                <w:rFonts w:cs="Arial"/>
                <w:szCs w:val="16"/>
              </w:rPr>
              <w:t xml:space="preserve">(4.1) (a) Expedited written settlement agreements.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666CBB1" w14:textId="77777777" w:rsidR="00EE2E01" w:rsidRDefault="00EE2E01">
            <w:pPr>
              <w:rPr>
                <w:rFonts w:cs="Arial"/>
                <w:szCs w:val="16"/>
              </w:rPr>
            </w:pPr>
            <w:r>
              <w:rPr>
                <w:rFonts w:cs="Arial"/>
                <w:szCs w:val="16"/>
              </w:rPr>
              <w:t>0</w:t>
            </w:r>
          </w:p>
        </w:tc>
      </w:tr>
      <w:tr w:rsidR="00EE2E01" w14:paraId="0066C0F1"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2747685A" w14:textId="77777777" w:rsidR="00EE2E01" w:rsidRPr="007F7054" w:rsidRDefault="00EE2E01">
            <w:pPr>
              <w:rPr>
                <w:rFonts w:cs="Arial"/>
                <w:szCs w:val="16"/>
              </w:rPr>
            </w:pPr>
            <w:r>
              <w:rPr>
                <w:rFonts w:cs="Arial"/>
                <w:szCs w:val="16"/>
              </w:rPr>
              <w:t xml:space="preserve">(4.2) Expedited hearings fully adjudicated.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797B0B20" w14:textId="77777777" w:rsidR="00EE2E01" w:rsidRDefault="00EE2E01">
            <w:pPr>
              <w:rPr>
                <w:rFonts w:cs="Arial"/>
                <w:szCs w:val="16"/>
              </w:rPr>
            </w:pPr>
            <w:r>
              <w:rPr>
                <w:rFonts w:cs="Arial"/>
                <w:szCs w:val="16"/>
              </w:rPr>
              <w:t>0</w:t>
            </w:r>
          </w:p>
        </w:tc>
      </w:tr>
      <w:tr w:rsidR="00EE2E01" w14:paraId="7E4DEF3C"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010489D6" w14:textId="77777777" w:rsidR="00EE2E01" w:rsidRPr="007F7054" w:rsidRDefault="00EE2E01">
            <w:pPr>
              <w:rPr>
                <w:rFonts w:cs="Arial"/>
                <w:szCs w:val="16"/>
              </w:rPr>
            </w:pPr>
            <w:r>
              <w:rPr>
                <w:rFonts w:cs="Arial"/>
                <w:szCs w:val="16"/>
              </w:rPr>
              <w:t>(4.2) (a) Change of placement ordered</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262897A2" w14:textId="77777777" w:rsidR="00EE2E01" w:rsidRDefault="00EE2E01">
            <w:pPr>
              <w:rPr>
                <w:rFonts w:cs="Arial"/>
                <w:szCs w:val="16"/>
              </w:rPr>
            </w:pPr>
            <w:r>
              <w:rPr>
                <w:rFonts w:cs="Arial"/>
                <w:szCs w:val="16"/>
              </w:rPr>
              <w:t>0</w:t>
            </w:r>
          </w:p>
        </w:tc>
      </w:tr>
      <w:tr w:rsidR="00EE2E01" w14:paraId="357234F6"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0EDFDDF7" w14:textId="77777777" w:rsidR="00EE2E01" w:rsidRPr="007F7054" w:rsidRDefault="00EE2E01">
            <w:pPr>
              <w:rPr>
                <w:rFonts w:cs="Arial"/>
                <w:szCs w:val="16"/>
              </w:rPr>
            </w:pPr>
            <w:r>
              <w:rPr>
                <w:rFonts w:cs="Arial"/>
                <w:szCs w:val="16"/>
              </w:rPr>
              <w:t xml:space="preserve">(4.3) Expedited due process complaints pending.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3D53084D" w14:textId="77777777" w:rsidR="00EE2E01" w:rsidRDefault="00EE2E01">
            <w:pPr>
              <w:rPr>
                <w:rFonts w:cs="Arial"/>
                <w:szCs w:val="16"/>
              </w:rPr>
            </w:pPr>
            <w:r>
              <w:rPr>
                <w:rFonts w:cs="Arial"/>
                <w:szCs w:val="16"/>
              </w:rPr>
              <w:t>0</w:t>
            </w:r>
          </w:p>
        </w:tc>
      </w:tr>
      <w:tr w:rsidR="00EE2E01" w14:paraId="7B27A8D1" w14:textId="77777777" w:rsidTr="007F76DD">
        <w:trPr>
          <w:trHeight w:val="332"/>
        </w:trPr>
        <w:tc>
          <w:tcPr>
            <w:tcW w:w="3709" w:type="pct"/>
            <w:tcBorders>
              <w:top w:val="single" w:sz="4" w:space="0" w:color="auto"/>
              <w:left w:val="single" w:sz="4" w:space="0" w:color="auto"/>
              <w:bottom w:val="single" w:sz="4" w:space="0" w:color="auto"/>
              <w:right w:val="single" w:sz="4" w:space="0" w:color="auto"/>
            </w:tcBorders>
          </w:tcPr>
          <w:p w14:paraId="796683AD" w14:textId="77777777" w:rsidR="00EE2E01" w:rsidRPr="007F7054" w:rsidRDefault="00EE2E01">
            <w:pPr>
              <w:rPr>
                <w:rFonts w:cs="Arial"/>
                <w:szCs w:val="16"/>
              </w:rPr>
            </w:pPr>
            <w:r>
              <w:rPr>
                <w:rFonts w:cs="Arial"/>
                <w:szCs w:val="16"/>
              </w:rPr>
              <w:t xml:space="preserve">(4.4) Expedited due process complaints withdrawn or dismissed. </w:t>
            </w:r>
          </w:p>
        </w:tc>
        <w:tc>
          <w:tcPr>
            <w:tcW w:w="1291" w:type="pct"/>
            <w:tcBorders>
              <w:top w:val="single" w:sz="4" w:space="0" w:color="auto"/>
              <w:left w:val="single" w:sz="4" w:space="0" w:color="auto"/>
              <w:bottom w:val="single" w:sz="4" w:space="0" w:color="auto"/>
              <w:right w:val="single" w:sz="4" w:space="0" w:color="auto"/>
            </w:tcBorders>
            <w:shd w:val="clear" w:color="auto" w:fill="auto"/>
          </w:tcPr>
          <w:p w14:paraId="6CD67A88" w14:textId="77777777" w:rsidR="00EE2E01" w:rsidRDefault="00EE2E01">
            <w:pPr>
              <w:rPr>
                <w:rFonts w:cs="Arial"/>
                <w:szCs w:val="16"/>
              </w:rPr>
            </w:pPr>
            <w:r>
              <w:rPr>
                <w:rFonts w:cs="Arial"/>
                <w:szCs w:val="16"/>
              </w:rPr>
              <w:t>1</w:t>
            </w:r>
          </w:p>
        </w:tc>
      </w:tr>
    </w:tbl>
    <w:p w14:paraId="3B844C0B" w14:textId="77777777" w:rsidR="00EE2E01" w:rsidRDefault="00EE2E01" w:rsidP="00EE2E01">
      <w:pPr>
        <w:spacing w:before="0" w:after="200" w:line="276" w:lineRule="auto"/>
      </w:pPr>
    </w:p>
    <w:p w14:paraId="111BE8E8" w14:textId="77777777" w:rsidR="00EE2E01" w:rsidRDefault="00EE2E01" w:rsidP="00EE2E01">
      <w:pPr>
        <w:spacing w:before="0" w:after="0"/>
      </w:pPr>
      <w:r>
        <w:t xml:space="preserve">This report shows the most recent data that was entered by: </w:t>
      </w:r>
    </w:p>
    <w:p w14:paraId="76C2C60C" w14:textId="77777777" w:rsidR="00EE2E01" w:rsidRDefault="00EE2E01" w:rsidP="00EE2E01">
      <w:pPr>
        <w:spacing w:before="0" w:after="0"/>
      </w:pPr>
      <w:r>
        <w:t>Oregon</w:t>
      </w:r>
    </w:p>
    <w:p w14:paraId="27CA88FF" w14:textId="77777777" w:rsidR="00D372DD" w:rsidRDefault="00D372DD" w:rsidP="00EE2E01">
      <w:pPr>
        <w:spacing w:before="0" w:after="0"/>
      </w:pPr>
    </w:p>
    <w:p w14:paraId="2934BC49" w14:textId="7250FB6D" w:rsidR="00EE2E01" w:rsidRDefault="00EE2E01" w:rsidP="00EE2E01">
      <w:pPr>
        <w:spacing w:before="0" w:after="0"/>
      </w:pPr>
      <w:r>
        <w:lastRenderedPageBreak/>
        <w:t>These data were extracted on the close date:</w:t>
      </w:r>
    </w:p>
    <w:p w14:paraId="67281528" w14:textId="77777777" w:rsidR="00EE2E01" w:rsidRDefault="00EE2E01" w:rsidP="00EE2E01">
      <w:pPr>
        <w:spacing w:before="0" w:after="0"/>
      </w:pPr>
      <w:r>
        <w:t>11/13/2024</w:t>
      </w:r>
    </w:p>
    <w:p w14:paraId="657C451C" w14:textId="77777777" w:rsidR="00EE2E01" w:rsidRPr="00EE2E01" w:rsidRDefault="00EE2E01" w:rsidP="00EE2E01"/>
    <w:p w14:paraId="10BA59E7" w14:textId="5817B082" w:rsidR="0058254D" w:rsidRDefault="0058254D">
      <w:pPr>
        <w:spacing w:before="0" w:after="200" w:line="276" w:lineRule="auto"/>
      </w:pPr>
      <w:r>
        <w:br w:type="page"/>
      </w:r>
    </w:p>
    <w:p w14:paraId="1EB6A9F6" w14:textId="77777777" w:rsidR="00085B13" w:rsidRDefault="00085B13" w:rsidP="005B40C0">
      <w:pPr>
        <w:pStyle w:val="Heading3"/>
      </w:pPr>
      <w:r>
        <w:lastRenderedPageBreak/>
        <w:t>How the Department Made Determinations</w:t>
      </w:r>
    </w:p>
    <w:p w14:paraId="0972CDF2" w14:textId="77777777" w:rsidR="00085B13" w:rsidRPr="00D733C3" w:rsidRDefault="00085B13" w:rsidP="00085B13">
      <w:pPr>
        <w:rPr>
          <w:szCs w:val="16"/>
        </w:rPr>
      </w:pPr>
    </w:p>
    <w:p w14:paraId="0E00D438" w14:textId="44B51F7F" w:rsidR="00EE2E01" w:rsidRPr="00D733C3" w:rsidRDefault="00EE2E01" w:rsidP="00EE2E01">
      <w:pPr>
        <w:rPr>
          <w:rFonts w:cs="Arial"/>
          <w:szCs w:val="16"/>
        </w:rPr>
      </w:pPr>
      <w:bookmarkStart w:id="102" w:name="Introduction"/>
      <w:bookmarkStart w:id="103" w:name="_Hlk124349373"/>
      <w:bookmarkEnd w:id="3"/>
      <w:bookmarkEnd w:id="102"/>
      <w:bookmarkEnd w:id="103"/>
      <w:r w:rsidRPr="00D733C3">
        <w:rPr>
          <w:rFonts w:cs="Arial"/>
          <w:szCs w:val="16"/>
        </w:rPr>
        <w:t>Below is the location of How the Department Made Determinations (HTDMD) on OSEP’s IDEA Website. How the Department Made Determinations in 2025 will be posted in June 2025. Copy and paste the link below into a browser to view.</w:t>
      </w:r>
    </w:p>
    <w:p w14:paraId="50DA1C7E" w14:textId="77777777" w:rsidR="00EE2E01" w:rsidRPr="00D733C3" w:rsidRDefault="00EE2E01" w:rsidP="00EE2E01">
      <w:pPr>
        <w:pStyle w:val="BodyText"/>
        <w:spacing w:before="7"/>
        <w:rPr>
          <w:rFonts w:ascii="Arial" w:eastAsia="Calibri" w:hAnsi="Arial" w:cs="Arial"/>
          <w:sz w:val="16"/>
          <w:szCs w:val="16"/>
        </w:rPr>
      </w:pPr>
    </w:p>
    <w:p w14:paraId="5A83F7CC" w14:textId="77777777" w:rsidR="00EE2E01" w:rsidRDefault="00EE2E01" w:rsidP="008B71EA">
      <w:pPr>
        <w:spacing w:before="0" w:after="0" w:line="276" w:lineRule="auto"/>
        <w:rPr>
          <w:rStyle w:val="Hyperlink"/>
          <w:szCs w:val="16"/>
        </w:rPr>
      </w:pPr>
      <w:hyperlink r:id="rId15" w:history="1">
        <w:r w:rsidRPr="00D733C3">
          <w:rPr>
            <w:rStyle w:val="Hyperlink"/>
            <w:szCs w:val="16"/>
          </w:rPr>
          <w:t>https://sites.ed.gov/idea/how-the-department-made-determinations/</w:t>
        </w:r>
      </w:hyperlink>
    </w:p>
    <w:p w14:paraId="0D3B65EF" w14:textId="77777777" w:rsidR="008B71EA" w:rsidRDefault="008B71EA" w:rsidP="008B71EA">
      <w:pPr>
        <w:spacing w:before="0" w:after="0" w:line="276" w:lineRule="auto"/>
        <w:rPr>
          <w:rStyle w:val="Hyperlink"/>
          <w:szCs w:val="16"/>
        </w:rPr>
      </w:pPr>
    </w:p>
    <w:p w14:paraId="1A24AEB8" w14:textId="77777777" w:rsidR="00400F58" w:rsidRDefault="00400F58" w:rsidP="008B71EA">
      <w:pPr>
        <w:spacing w:before="0" w:after="0" w:line="276" w:lineRule="auto"/>
        <w:rPr>
          <w:rStyle w:val="Hyperlink"/>
          <w:szCs w:val="16"/>
        </w:rPr>
        <w:sectPr w:rsidR="00400F58" w:rsidSect="00AE4731">
          <w:type w:val="continuous"/>
          <w:pgSz w:w="12240" w:h="15840"/>
          <w:pgMar w:top="720" w:right="720" w:bottom="720" w:left="720" w:header="763" w:footer="432" w:gutter="0"/>
          <w:cols w:space="720"/>
          <w:docGrid w:linePitch="218"/>
        </w:sectPr>
      </w:pPr>
    </w:p>
    <w:p w14:paraId="501736B2" w14:textId="3E8934C5" w:rsidR="003749F7" w:rsidRDefault="003749F7" w:rsidP="008B71EA">
      <w:pPr>
        <w:spacing w:before="0" w:after="0" w:line="276" w:lineRule="auto"/>
        <w:rPr>
          <w:rStyle w:val="Hyperlink"/>
          <w:szCs w:val="16"/>
        </w:rPr>
      </w:pPr>
      <w:r>
        <w:rPr>
          <w:rStyle w:val="Hyperlink"/>
          <w:szCs w:val="16"/>
        </w:rPr>
        <w:br w:type="page"/>
      </w:r>
    </w:p>
    <w:p w14:paraId="04FAD08A" w14:textId="77777777" w:rsidR="008F7972" w:rsidRDefault="008F7972" w:rsidP="005B40C0">
      <w:pPr>
        <w:pStyle w:val="Heading3"/>
        <w:sectPr w:rsidR="008F7972" w:rsidSect="00AE4731">
          <w:headerReference w:type="default" r:id="rId16"/>
          <w:footerReference w:type="default" r:id="rId17"/>
          <w:type w:val="continuous"/>
          <w:pgSz w:w="12240" w:h="15840" w:code="1"/>
          <w:pgMar w:top="720" w:right="720" w:bottom="720" w:left="720" w:header="763" w:footer="432" w:gutter="0"/>
          <w:cols w:space="720"/>
          <w:docGrid w:linePitch="218"/>
        </w:sectPr>
      </w:pPr>
    </w:p>
    <w:p w14:paraId="10F49D6D" w14:textId="77777777" w:rsidR="00174D28" w:rsidRPr="00B6363A" w:rsidRDefault="00174D28" w:rsidP="005B40C0">
      <w:pPr>
        <w:pStyle w:val="Heading3"/>
      </w:pPr>
      <w:r w:rsidRPr="00B6363A">
        <w:lastRenderedPageBreak/>
        <w:t>Final Determination Letter</w:t>
      </w:r>
    </w:p>
    <w:p w14:paraId="13481EE4" w14:textId="77777777" w:rsidR="00174D28" w:rsidRDefault="00174D28" w:rsidP="00174D28">
      <w:pPr>
        <w:spacing w:before="0" w:after="200" w:line="276" w:lineRule="auto"/>
        <w:rPr>
          <w:rFonts w:cs="Arial"/>
          <w:b/>
          <w:bCs/>
          <w:szCs w:val="16"/>
        </w:rPr>
      </w:pPr>
    </w:p>
    <w:p w14:paraId="50D5BE75" w14:textId="77777777" w:rsidR="00174D28" w:rsidRDefault="00174D28" w:rsidP="00174D28">
      <w:pPr>
        <w:spacing w:before="0"/>
        <w:jc w:val="center"/>
        <w:rPr>
          <w:rFonts w:ascii="Times New Roman" w:hAnsi="Times New Roman"/>
          <w:sz w:val="24"/>
        </w:rPr>
      </w:pPr>
      <w:r>
        <w:t>June 20, 2025</w:t>
      </w:r>
    </w:p>
    <w:p w14:paraId="32F88019" w14:textId="77777777" w:rsidR="00174D28" w:rsidRPr="001B1007" w:rsidRDefault="00174D28" w:rsidP="00174D28">
      <w:pPr>
        <w:rPr>
          <w:szCs w:val="24"/>
        </w:rPr>
      </w:pPr>
      <w:r w:rsidRPr="001B1007">
        <w:rPr>
          <w:szCs w:val="24"/>
        </w:rPr>
        <w:t>Honorable Charlene Williams</w:t>
      </w:r>
    </w:p>
    <w:p w14:paraId="025700A6" w14:textId="77777777" w:rsidR="00174D28" w:rsidRPr="001B1007" w:rsidRDefault="00174D28" w:rsidP="00174D28">
      <w:pPr>
        <w:spacing w:before="0"/>
        <w:rPr>
          <w:szCs w:val="24"/>
        </w:rPr>
      </w:pPr>
      <w:r w:rsidRPr="001B1007">
        <w:rPr>
          <w:szCs w:val="24"/>
        </w:rPr>
        <w:t>Assistant Superintendent</w:t>
      </w:r>
    </w:p>
    <w:p w14:paraId="5EC0914E" w14:textId="77777777" w:rsidR="00174D28" w:rsidRPr="001B1007" w:rsidRDefault="00174D28" w:rsidP="00174D28">
      <w:pPr>
        <w:spacing w:before="0"/>
        <w:rPr>
          <w:szCs w:val="24"/>
        </w:rPr>
      </w:pPr>
      <w:r w:rsidRPr="001B1007">
        <w:rPr>
          <w:szCs w:val="24"/>
        </w:rPr>
        <w:t>Oregon Department of Education</w:t>
      </w:r>
    </w:p>
    <w:p w14:paraId="1C93559A" w14:textId="77777777" w:rsidR="00174D28" w:rsidRPr="001B1007" w:rsidRDefault="00174D28" w:rsidP="00174D28">
      <w:pPr>
        <w:spacing w:before="0"/>
        <w:rPr>
          <w:szCs w:val="24"/>
        </w:rPr>
      </w:pPr>
      <w:r w:rsidRPr="001B1007">
        <w:rPr>
          <w:szCs w:val="24"/>
        </w:rPr>
        <w:t>255 Capitol Street, SE</w:t>
      </w:r>
    </w:p>
    <w:p w14:paraId="5B47AD84" w14:textId="77777777" w:rsidR="00174D28" w:rsidRPr="001B1007" w:rsidRDefault="00174D28" w:rsidP="00174D28">
      <w:pPr>
        <w:spacing w:before="0"/>
        <w:rPr>
          <w:szCs w:val="24"/>
        </w:rPr>
      </w:pPr>
      <w:r w:rsidRPr="001B1007">
        <w:rPr>
          <w:szCs w:val="24"/>
        </w:rPr>
        <w:t>Salem, OR 97310</w:t>
      </w:r>
    </w:p>
    <w:p w14:paraId="20D177F7" w14:textId="77777777" w:rsidR="00174D28" w:rsidRDefault="00174D28" w:rsidP="00174D28">
      <w:pPr>
        <w:rPr>
          <w:szCs w:val="24"/>
        </w:rPr>
      </w:pPr>
    </w:p>
    <w:p w14:paraId="1049454C" w14:textId="70D96228" w:rsidR="00174D28" w:rsidRDefault="00174D28" w:rsidP="00903BFD">
      <w:pPr>
        <w:rPr>
          <w:rStyle w:val="ui-provider"/>
        </w:rPr>
      </w:pPr>
      <w:r w:rsidRPr="001B1007">
        <w:rPr>
          <w:szCs w:val="24"/>
        </w:rPr>
        <w:t>Dear Assistant Superintendent</w:t>
      </w:r>
      <w:r>
        <w:rPr>
          <w:szCs w:val="24"/>
        </w:rPr>
        <w:t xml:space="preserve"> </w:t>
      </w:r>
      <w:r w:rsidRPr="00457F3C">
        <w:rPr>
          <w:szCs w:val="24"/>
        </w:rPr>
        <w:t>Williams</w:t>
      </w:r>
      <w:r w:rsidRPr="001B1007">
        <w:rPr>
          <w:szCs w:val="24"/>
        </w:rPr>
        <w:t>:</w:t>
      </w:r>
    </w:p>
    <w:p w14:paraId="55C2089C" w14:textId="77777777" w:rsidR="00174D28" w:rsidRPr="001B1007" w:rsidRDefault="00174D28" w:rsidP="00174D28">
      <w:r w:rsidRPr="001B1007">
        <w:t>I am writing to advise you of the U.S. Department of Education’s (Department) 202</w:t>
      </w:r>
      <w:r>
        <w:t>5</w:t>
      </w:r>
      <w:r w:rsidRPr="001B1007">
        <w:t xml:space="preserve"> determination under Section 616 of the Individuals with Disabilities Education Act (IDEA). The Department has determined that </w:t>
      </w:r>
      <w:r>
        <w:t>Oregon</w:t>
      </w:r>
      <w:r w:rsidRPr="001B1007">
        <w:t xml:space="preserve"> needs assistance in implementing the requirements of Part B of the IDEA. This determination is based on the totality of </w:t>
      </w:r>
      <w:r w:rsidRPr="00BE0983">
        <w:t>Oregon's</w:t>
      </w:r>
      <w:r w:rsidRPr="001B1007">
        <w:t xml:space="preserve"> data and information, including the Federal fiscal year (FFY) 202</w:t>
      </w:r>
      <w:r>
        <w:t>3</w:t>
      </w:r>
      <w:r w:rsidRPr="001B1007">
        <w:t xml:space="preserve"> State Performance Plan/Annual Performance Report (SPP/APR), other State-reported data, and other publicly available information.</w:t>
      </w:r>
    </w:p>
    <w:p w14:paraId="2524468A" w14:textId="77777777" w:rsidR="00174D28" w:rsidRPr="001B1007" w:rsidRDefault="00174D28" w:rsidP="00174D28">
      <w:r w:rsidRPr="00BE0983">
        <w:t>Oregon's</w:t>
      </w:r>
      <w:r w:rsidRPr="001B1007">
        <w:t xml:space="preserve"> 202</w:t>
      </w:r>
      <w:r>
        <w:t>5</w:t>
      </w:r>
      <w:r w:rsidRPr="001B1007">
        <w:t xml:space="preserve"> determination is based on the data reflected in its “202</w:t>
      </w:r>
      <w:r>
        <w:t>5</w:t>
      </w:r>
      <w:r w:rsidRPr="001B1007">
        <w:t xml:space="preserve"> Part B Results-Driven Accountability Matrix” (RDA Matrix). The RDA Matrix is individualized for each State and Entity and consists of: </w:t>
      </w:r>
    </w:p>
    <w:p w14:paraId="7BB2D872" w14:textId="77777777" w:rsidR="00174D28" w:rsidRPr="001B1007" w:rsidRDefault="00174D28" w:rsidP="00174D28">
      <w:pPr>
        <w:pStyle w:val="ListParagraph"/>
        <w:numPr>
          <w:ilvl w:val="0"/>
          <w:numId w:val="9"/>
        </w:numPr>
        <w:spacing w:before="120" w:after="0"/>
        <w:contextualSpacing w:val="0"/>
      </w:pPr>
      <w:r w:rsidRPr="001B1007">
        <w:t xml:space="preserve">a Compliance Matrix that includes scoring on Compliance Indicators and other compliance factors; </w:t>
      </w:r>
    </w:p>
    <w:p w14:paraId="17269616" w14:textId="77777777" w:rsidR="00174D28" w:rsidRPr="001B1007" w:rsidRDefault="00174D28" w:rsidP="00174D28">
      <w:pPr>
        <w:pStyle w:val="ListParagraph"/>
        <w:numPr>
          <w:ilvl w:val="0"/>
          <w:numId w:val="9"/>
        </w:numPr>
        <w:spacing w:before="120" w:after="0"/>
        <w:contextualSpacing w:val="0"/>
      </w:pPr>
      <w:r w:rsidRPr="001B1007">
        <w:t>a Results Matrix that includes scoring on Results Elements;</w:t>
      </w:r>
    </w:p>
    <w:p w14:paraId="3E588975" w14:textId="77777777" w:rsidR="00174D28" w:rsidRPr="001B1007" w:rsidRDefault="00174D28" w:rsidP="00174D28">
      <w:pPr>
        <w:pStyle w:val="ListParagraph"/>
        <w:numPr>
          <w:ilvl w:val="0"/>
          <w:numId w:val="9"/>
        </w:numPr>
        <w:spacing w:before="120" w:after="0"/>
        <w:contextualSpacing w:val="0"/>
      </w:pPr>
      <w:r w:rsidRPr="001B1007">
        <w:t>a Compliance Score and a Results Score;</w:t>
      </w:r>
    </w:p>
    <w:p w14:paraId="63292C6B" w14:textId="5E979463" w:rsidR="008F7972" w:rsidRPr="001B1007" w:rsidRDefault="00174D28" w:rsidP="00174D28">
      <w:pPr>
        <w:pStyle w:val="ListParagraph"/>
        <w:numPr>
          <w:ilvl w:val="0"/>
          <w:numId w:val="9"/>
        </w:numPr>
        <w:spacing w:before="120" w:after="0"/>
        <w:contextualSpacing w:val="0"/>
      </w:pPr>
      <w:r w:rsidRPr="001B1007">
        <w:t>an RDA Percentage based on both the Compliance Score and the Results Score; and</w:t>
      </w:r>
    </w:p>
    <w:p w14:paraId="012D865E" w14:textId="0AA5BB80" w:rsidR="00424C95" w:rsidRDefault="00174D28" w:rsidP="00903BFD">
      <w:pPr>
        <w:pStyle w:val="ListParagraph"/>
        <w:numPr>
          <w:ilvl w:val="0"/>
          <w:numId w:val="9"/>
        </w:numPr>
        <w:spacing w:before="120" w:after="0"/>
        <w:contextualSpacing w:val="0"/>
        <w:sectPr w:rsidR="00424C95" w:rsidSect="00AE4731">
          <w:headerReference w:type="default" r:id="rId18"/>
          <w:footerReference w:type="default" r:id="rId19"/>
          <w:type w:val="continuous"/>
          <w:pgSz w:w="12240" w:h="15840" w:code="1"/>
          <w:pgMar w:top="720" w:right="720" w:bottom="720" w:left="720" w:header="763" w:footer="432" w:gutter="0"/>
          <w:cols w:space="720"/>
          <w:docGrid w:linePitch="218"/>
        </w:sectPr>
      </w:pPr>
      <w:r w:rsidRPr="001B1007">
        <w:t>the State</w:t>
      </w:r>
      <w:r>
        <w:t>’s or Entity</w:t>
      </w:r>
      <w:r w:rsidRPr="001B1007">
        <w:t>’s Determination</w:t>
      </w:r>
    </w:p>
    <w:p w14:paraId="7094A0B4" w14:textId="77777777" w:rsidR="00174D28" w:rsidRDefault="00174D28" w:rsidP="00174D28">
      <w:r w:rsidRPr="001B1007">
        <w:t>The RDA Matrix is further explained in a document, entitled “</w:t>
      </w:r>
      <w:hyperlink r:id="rId20" w:history="1">
        <w:r w:rsidRPr="00512718">
          <w:rPr>
            <w:rStyle w:val="Hyperlink"/>
            <w:szCs w:val="24"/>
          </w:rPr>
          <w:t>How the Department Made Determinations under Section 616(d) of the Individuals with Disabilities Education Act in 202</w:t>
        </w:r>
        <w:r>
          <w:rPr>
            <w:rStyle w:val="Hyperlink"/>
            <w:szCs w:val="24"/>
          </w:rPr>
          <w:t>5</w:t>
        </w:r>
        <w:r w:rsidRPr="00512718">
          <w:rPr>
            <w:rStyle w:val="Hyperlink"/>
            <w:szCs w:val="24"/>
          </w:rPr>
          <w:t>: Part B</w:t>
        </w:r>
      </w:hyperlink>
      <w:r w:rsidRPr="001B1007">
        <w:t xml:space="preserve">” (HTDMD). </w:t>
      </w:r>
    </w:p>
    <w:p w14:paraId="0F8FBDF0" w14:textId="77777777" w:rsidR="007A48DF" w:rsidRDefault="00174D28" w:rsidP="00174D28">
      <w:bookmarkStart w:id="104" w:name="_Hlk155263664"/>
      <w:r w:rsidRPr="001B1007">
        <w:t>The Office of Special Education Programs (OSEP) is continuing to use both results data and compliance data in making determinations in 202</w:t>
      </w:r>
      <w:r>
        <w:t>5</w:t>
      </w:r>
      <w:r w:rsidRPr="001B1007">
        <w:t>, as it did for Part B determinations in 201</w:t>
      </w:r>
      <w:r>
        <w:t>5</w:t>
      </w:r>
      <w:r w:rsidRPr="001B1007">
        <w:t>-202</w:t>
      </w:r>
      <w:r>
        <w:t>4</w:t>
      </w:r>
      <w:r w:rsidRPr="001B1007">
        <w:t xml:space="preserve">. </w:t>
      </w:r>
      <w:bookmarkEnd w:id="104"/>
      <w:r>
        <w:t>(</w:t>
      </w:r>
      <w:r w:rsidRPr="001B1007">
        <w:t xml:space="preserve">The specifics of the determination procedures and criteria are set forth in the HTDMD document and reflected in the RDA Matrix for </w:t>
      </w:r>
      <w:r>
        <w:t>Oregon</w:t>
      </w:r>
      <w:r w:rsidRPr="001B1007">
        <w:t xml:space="preserve">). </w:t>
      </w:r>
    </w:p>
    <w:p w14:paraId="7C8155F2" w14:textId="77777777" w:rsidR="00174D28" w:rsidRPr="001B1007" w:rsidRDefault="00174D28" w:rsidP="00174D28">
      <w:r w:rsidRPr="001B1007">
        <w:t>In making Part B determinations in 202</w:t>
      </w:r>
      <w:r>
        <w:t>5</w:t>
      </w:r>
      <w:r w:rsidRPr="001B1007">
        <w:t xml:space="preserve">, OSEP continued to use results data related to: </w:t>
      </w:r>
    </w:p>
    <w:p w14:paraId="24A4BE5A" w14:textId="56ABD79D" w:rsidR="007C689C" w:rsidRDefault="007C689C" w:rsidP="007C689C">
      <w:pPr>
        <w:pStyle w:val="ListParagraph"/>
        <w:numPr>
          <w:ilvl w:val="0"/>
          <w:numId w:val="10"/>
        </w:numPr>
        <w:spacing w:before="120" w:after="0"/>
        <w:contextualSpacing w:val="0"/>
      </w:pPr>
      <w:bookmarkStart w:id="105" w:name="_Hlk6923073"/>
      <w:r>
        <w:t>the participation of children with disabilities (CWD) on Statewide assessments (which include the regular assessment and the alternate assessment);</w:t>
      </w:r>
    </w:p>
    <w:p w14:paraId="08CB1FCD" w14:textId="0F45A16E" w:rsidR="00174D28" w:rsidRPr="001B1007" w:rsidRDefault="00174D28" w:rsidP="00174D28">
      <w:pPr>
        <w:pStyle w:val="ListParagraph"/>
        <w:numPr>
          <w:ilvl w:val="0"/>
          <w:numId w:val="10"/>
        </w:numPr>
        <w:spacing w:before="120" w:after="0"/>
        <w:contextualSpacing w:val="0"/>
      </w:pPr>
      <w:r w:rsidRPr="001B1007">
        <w:t>the participation and performance of CWD on the most recently administered (school year 202</w:t>
      </w:r>
      <w:r w:rsidR="008F7972">
        <w:t>3</w:t>
      </w:r>
      <w:r w:rsidRPr="001B1007">
        <w:t>-202</w:t>
      </w:r>
      <w:r w:rsidR="008F7972">
        <w:t>4</w:t>
      </w:r>
      <w:r w:rsidRPr="001B1007">
        <w:t>) National Assessment of Educational Progress (NAEP)</w:t>
      </w:r>
      <w:r>
        <w:t xml:space="preserve">, </w:t>
      </w:r>
      <w:r w:rsidR="001871DC">
        <w:t xml:space="preserve">as applicable </w:t>
      </w:r>
      <w:r w:rsidR="001871DC" w:rsidRPr="001B1007">
        <w:t>(For the 202</w:t>
      </w:r>
      <w:r w:rsidR="001871DC">
        <w:t>5</w:t>
      </w:r>
      <w:r w:rsidR="001871DC" w:rsidRPr="001B1007">
        <w:t xml:space="preserve"> </w:t>
      </w:r>
      <w:r w:rsidRPr="001B1007">
        <w:t>determinations, OSEP</w:t>
      </w:r>
      <w:r>
        <w:t xml:space="preserve"> is</w:t>
      </w:r>
      <w:r w:rsidRPr="001B1007">
        <w:t xml:space="preserve"> using results data on the participation and performance of children with disabilities on the NAEP for the 50 States, the District of Columbia, </w:t>
      </w:r>
      <w:r w:rsidR="007C689C">
        <w:t xml:space="preserve">the Bureau of Indian Education, </w:t>
      </w:r>
      <w:r w:rsidRPr="001B1007">
        <w:t>and Puerto Rico. OSEP us</w:t>
      </w:r>
      <w:r>
        <w:t>ed</w:t>
      </w:r>
      <w:r w:rsidRPr="001B1007">
        <w:t xml:space="preserve"> the </w:t>
      </w:r>
      <w:r>
        <w:t xml:space="preserve">available </w:t>
      </w:r>
      <w:r w:rsidRPr="001B1007">
        <w:t xml:space="preserve">NAEP data </w:t>
      </w:r>
      <w:r>
        <w:t>for</w:t>
      </w:r>
      <w:r w:rsidRPr="001B1007">
        <w:t xml:space="preserve"> </w:t>
      </w:r>
      <w:r>
        <w:t xml:space="preserve">Puerto Rico in making </w:t>
      </w:r>
      <w:r w:rsidRPr="001B1007">
        <w:t xml:space="preserve">Puerto Rico’s </w:t>
      </w:r>
      <w:r>
        <w:t xml:space="preserve">2025 </w:t>
      </w:r>
      <w:r w:rsidRPr="001B1007">
        <w:t xml:space="preserve">determination as </w:t>
      </w:r>
      <w:r>
        <w:t xml:space="preserve">it did for Puerto Rico’s 2024 determination. </w:t>
      </w:r>
      <w:r w:rsidRPr="001B1007">
        <w:t xml:space="preserve">OSEP </w:t>
      </w:r>
      <w:r w:rsidR="007C689C">
        <w:t xml:space="preserve">used the publicly available NAEP data for the Bureau of Indian Education that was comparable to the NAEP data available for the 50 States, the District of Columbia and Puerto Rico; specifically OSEP </w:t>
      </w:r>
      <w:r w:rsidRPr="001B1007">
        <w:t xml:space="preserve">did not use NAEP </w:t>
      </w:r>
      <w:r w:rsidR="007C689C">
        <w:t xml:space="preserve">participation </w:t>
      </w:r>
      <w:r w:rsidRPr="001B1007">
        <w:t xml:space="preserve">data in making the BIE’s </w:t>
      </w:r>
      <w:r>
        <w:t>2025</w:t>
      </w:r>
      <w:r w:rsidRPr="001B1007">
        <w:t xml:space="preserve"> determination because </w:t>
      </w:r>
      <w:r w:rsidR="007C689C">
        <w:t>the most recently administered NAEP participation data for the BIE that is publicly available is 2020, whereas the most recently administered NAEP participation data for the 50 States, the District of Columbia, and Puerto Rico that is publicly available is 2024</w:t>
      </w:r>
      <w:r w:rsidR="00EC3EF4">
        <w:t>);</w:t>
      </w:r>
    </w:p>
    <w:bookmarkEnd w:id="105"/>
    <w:p w14:paraId="738FAAC0" w14:textId="77777777" w:rsidR="00174D28" w:rsidRPr="001B1007" w:rsidRDefault="00174D28" w:rsidP="00174D28">
      <w:pPr>
        <w:pStyle w:val="ListParagraph"/>
        <w:numPr>
          <w:ilvl w:val="0"/>
          <w:numId w:val="10"/>
        </w:numPr>
        <w:spacing w:before="120" w:after="0"/>
        <w:contextualSpacing w:val="0"/>
      </w:pPr>
      <w:r w:rsidRPr="001B1007">
        <w:t xml:space="preserve">the percentage of CWD who graduated with a regular high school diploma; and </w:t>
      </w:r>
    </w:p>
    <w:p w14:paraId="69967930" w14:textId="77777777" w:rsidR="00174D28" w:rsidRPr="001B1007" w:rsidRDefault="00174D28" w:rsidP="00174D28">
      <w:pPr>
        <w:pStyle w:val="ListParagraph"/>
        <w:numPr>
          <w:ilvl w:val="0"/>
          <w:numId w:val="10"/>
        </w:numPr>
        <w:spacing w:before="120" w:after="0"/>
        <w:contextualSpacing w:val="0"/>
      </w:pPr>
      <w:r w:rsidRPr="001B1007">
        <w:t xml:space="preserve">the percentage of CWD who dropped out. </w:t>
      </w:r>
    </w:p>
    <w:p w14:paraId="688F0726" w14:textId="77777777" w:rsidR="007C689C" w:rsidRDefault="007C689C" w:rsidP="00903BFD">
      <w:r w:rsidRPr="001B1007">
        <w:t xml:space="preserve">For the 2025 IDEA Part B determinations, OSEP also considered performance on timely correction of noncompliance requirements in Indicator 18. While the State’s performance on timely correction of noncompliance was a factor in each State or Entity’s 2025 Part B Compliance Matrix, no State or Entity received a Needs Intervention determination in 2025 due solely to this criterion. However, this criterion will be fully incorporated beginning with the 2026 determinations.  </w:t>
      </w:r>
    </w:p>
    <w:p w14:paraId="3646B2BC" w14:textId="754A407E" w:rsidR="00174D28" w:rsidRPr="001B1007" w:rsidRDefault="00174D28" w:rsidP="00174D28">
      <w:r w:rsidRPr="001B1007">
        <w:t xml:space="preserve">You may access the results of OSEP’s review of </w:t>
      </w:r>
      <w:r w:rsidRPr="00BE0983">
        <w:t>Oregon's</w:t>
      </w:r>
      <w:r w:rsidRPr="001B1007">
        <w:t xml:space="preserve"> SPP/APR and other relevant data by accessing the E</w:t>
      </w:r>
      <w:r w:rsidRPr="004D4E4A">
        <w:rPr>
          <w:i/>
          <w:iCs/>
        </w:rPr>
        <w:t>MAPS</w:t>
      </w:r>
      <w:r w:rsidRPr="001B1007">
        <w:t xml:space="preserve"> SPP/APR reporting tool using your </w:t>
      </w:r>
      <w:r>
        <w:t>Oregon</w:t>
      </w:r>
      <w:r w:rsidRPr="001B1007">
        <w:t xml:space="preserve">-specific log-on information at </w:t>
      </w:r>
      <w:hyperlink r:id="rId21" w:tooltip="EMAPS SPP/APR reporting tool" w:history="1">
        <w:r w:rsidRPr="007367EC">
          <w:rPr>
            <w:rStyle w:val="Hyperlink"/>
            <w:color w:val="auto"/>
            <w:szCs w:val="24"/>
          </w:rPr>
          <w:t>https://emaps.ed.gov/suite/</w:t>
        </w:r>
      </w:hyperlink>
      <w:r w:rsidRPr="001B1007">
        <w:t xml:space="preserve">. When you access </w:t>
      </w:r>
      <w:r w:rsidRPr="00BE0983">
        <w:t>Oregon's</w:t>
      </w:r>
      <w:r>
        <w:t xml:space="preserve"> </w:t>
      </w:r>
      <w:r w:rsidRPr="001B1007">
        <w:t>SPP/APR on the site, you will find, in applicable Indicators 1 through 1</w:t>
      </w:r>
      <w:r w:rsidR="007C689C">
        <w:t>8</w:t>
      </w:r>
      <w:r w:rsidRPr="001B1007">
        <w:t xml:space="preserve">, the OSEP Response to the indicator and any actions that </w:t>
      </w:r>
      <w:r>
        <w:t>Oregon</w:t>
      </w:r>
      <w:r w:rsidRPr="001B1007">
        <w:t xml:space="preserve"> is required to take. The actions that </w:t>
      </w:r>
      <w:r>
        <w:t>Oregon</w:t>
      </w:r>
      <w:r w:rsidRPr="001B1007">
        <w:t xml:space="preserve"> is required to take </w:t>
      </w:r>
      <w:r w:rsidRPr="001B1007">
        <w:rPr>
          <w:szCs w:val="24"/>
        </w:rPr>
        <w:t>are in the “Required Actions” section of the indicator.</w:t>
      </w:r>
      <w:r w:rsidRPr="001B1007">
        <w:t xml:space="preserve"> </w:t>
      </w:r>
    </w:p>
    <w:p w14:paraId="51439F34" w14:textId="77777777" w:rsidR="00174D28" w:rsidRPr="001B1007" w:rsidRDefault="00174D28" w:rsidP="00174D28">
      <w:r w:rsidRPr="001B1007">
        <w:t xml:space="preserve">It is important for you to review the Introduction to the SPP/APR, which may also include language in the “OSEP Response” and/or “Required Actions” sections. </w:t>
      </w:r>
    </w:p>
    <w:p w14:paraId="2A3F5D9E" w14:textId="77777777" w:rsidR="00174D28" w:rsidRPr="001B1007" w:rsidRDefault="00174D28" w:rsidP="00174D28">
      <w:r w:rsidRPr="001B1007">
        <w:lastRenderedPageBreak/>
        <w:t xml:space="preserve">You will also find the following important documents </w:t>
      </w:r>
      <w:r>
        <w:t>in the Determinations Enclosures section</w:t>
      </w:r>
      <w:r w:rsidRPr="001B1007">
        <w:t xml:space="preserve">: </w:t>
      </w:r>
    </w:p>
    <w:p w14:paraId="5BF73410" w14:textId="77777777" w:rsidR="00174D28" w:rsidRPr="001B1007" w:rsidRDefault="00174D28" w:rsidP="00174D28">
      <w:pPr>
        <w:pStyle w:val="ListParagraph"/>
        <w:numPr>
          <w:ilvl w:val="0"/>
          <w:numId w:val="11"/>
        </w:numPr>
        <w:spacing w:before="120" w:after="0"/>
        <w:contextualSpacing w:val="0"/>
      </w:pPr>
      <w:r w:rsidRPr="00BE0983">
        <w:t>Oregon's</w:t>
      </w:r>
      <w:r w:rsidRPr="001B1007">
        <w:t xml:space="preserve"> RDA Matrix; </w:t>
      </w:r>
    </w:p>
    <w:p w14:paraId="35953676" w14:textId="77777777" w:rsidR="00174D28" w:rsidRPr="001B1007" w:rsidRDefault="00174D28" w:rsidP="00174D28">
      <w:pPr>
        <w:pStyle w:val="ListParagraph"/>
        <w:numPr>
          <w:ilvl w:val="0"/>
          <w:numId w:val="11"/>
        </w:numPr>
        <w:spacing w:before="120" w:after="0"/>
        <w:contextualSpacing w:val="0"/>
      </w:pPr>
      <w:r w:rsidRPr="001B1007">
        <w:t xml:space="preserve">the HTDMD </w:t>
      </w:r>
      <w:hyperlink r:id="rId22" w:history="1">
        <w:r w:rsidRPr="00512718">
          <w:rPr>
            <w:rStyle w:val="Hyperlink"/>
          </w:rPr>
          <w:t>link</w:t>
        </w:r>
      </w:hyperlink>
      <w:r w:rsidRPr="001B1007">
        <w:t xml:space="preserve">; </w:t>
      </w:r>
    </w:p>
    <w:p w14:paraId="38570EE1" w14:textId="3C992101" w:rsidR="00174D28" w:rsidRPr="001B1007" w:rsidRDefault="00174D28" w:rsidP="00174D28">
      <w:pPr>
        <w:pStyle w:val="ListParagraph"/>
        <w:numPr>
          <w:ilvl w:val="0"/>
          <w:numId w:val="11"/>
        </w:numPr>
        <w:spacing w:before="120" w:after="0"/>
        <w:contextualSpacing w:val="0"/>
      </w:pPr>
      <w:r w:rsidRPr="001B1007">
        <w:t>“202</w:t>
      </w:r>
      <w:r w:rsidR="0015743E">
        <w:t>5</w:t>
      </w:r>
      <w:r w:rsidRPr="001B1007">
        <w:t xml:space="preserve"> Data Rubric Part B,” which shows how OSEP calculated </w:t>
      </w:r>
      <w:r w:rsidRPr="00BE0983">
        <w:t>Oregon's</w:t>
      </w:r>
      <w:r>
        <w:t xml:space="preserve"> </w:t>
      </w:r>
      <w:r w:rsidRPr="001B1007">
        <w:t>“Timely and Accurate State-Reported Data” score in the Compliance Matrix; and</w:t>
      </w:r>
    </w:p>
    <w:p w14:paraId="7EE2A88C" w14:textId="77777777" w:rsidR="00174D28" w:rsidRPr="001B1007" w:rsidRDefault="00174D28" w:rsidP="00174D28">
      <w:pPr>
        <w:numPr>
          <w:ilvl w:val="0"/>
          <w:numId w:val="11"/>
        </w:numPr>
        <w:spacing w:before="120" w:after="120"/>
        <w:rPr>
          <w:szCs w:val="24"/>
        </w:rPr>
      </w:pPr>
      <w:r w:rsidRPr="001B1007">
        <w:rPr>
          <w:szCs w:val="24"/>
        </w:rPr>
        <w:t>“Dispute Resolution 202</w:t>
      </w:r>
      <w:r>
        <w:rPr>
          <w:szCs w:val="24"/>
        </w:rPr>
        <w:t>3</w:t>
      </w:r>
      <w:r w:rsidRPr="001B1007">
        <w:rPr>
          <w:szCs w:val="24"/>
        </w:rPr>
        <w:t>-202</w:t>
      </w:r>
      <w:r>
        <w:rPr>
          <w:szCs w:val="24"/>
        </w:rPr>
        <w:t>4</w:t>
      </w:r>
      <w:r w:rsidRPr="001B1007">
        <w:rPr>
          <w:szCs w:val="24"/>
        </w:rPr>
        <w:t xml:space="preserve">,” which includes the IDEA Section 618 data that OSEP used to calculate the </w:t>
      </w:r>
      <w:r>
        <w:rPr>
          <w:szCs w:val="24"/>
        </w:rPr>
        <w:t>Oregon's</w:t>
      </w:r>
      <w:r w:rsidRPr="001B1007">
        <w:rPr>
          <w:szCs w:val="24"/>
        </w:rPr>
        <w:t xml:space="preserve"> “Timely State Complaint Decisions” and “Timely Due Process Hearing Decisions” scores in the Compliance Matrix. </w:t>
      </w:r>
    </w:p>
    <w:p w14:paraId="73577F01" w14:textId="45F073AA" w:rsidR="00174D28" w:rsidRPr="001B1007" w:rsidRDefault="00174D28" w:rsidP="00174D28">
      <w:r w:rsidRPr="001B1007">
        <w:t xml:space="preserve">As noted above, </w:t>
      </w:r>
      <w:r w:rsidRPr="00BE0983">
        <w:t>Oregon's</w:t>
      </w:r>
      <w:r w:rsidRPr="001B1007">
        <w:t xml:space="preserve"> 202</w:t>
      </w:r>
      <w:r>
        <w:t>5</w:t>
      </w:r>
      <w:r w:rsidRPr="001B1007">
        <w:t xml:space="preserve"> determination is Needs Assistance. A State</w:t>
      </w:r>
      <w:r>
        <w:t>’s</w:t>
      </w:r>
      <w:r w:rsidRPr="001B1007">
        <w:t xml:space="preserve"> or Entity’s 202</w:t>
      </w:r>
      <w:r>
        <w:t>5</w:t>
      </w:r>
      <w:r w:rsidRPr="001B1007">
        <w:t xml:space="preserve"> RDA Determination is Needs Assistance if the RDA Percentage is at least 60% but less than 80%. A State</w:t>
      </w:r>
      <w:r w:rsidR="0038061E">
        <w:t>’s</w:t>
      </w:r>
      <w:r>
        <w:t xml:space="preserve"> or Entity</w:t>
      </w:r>
      <w:r w:rsidRPr="001B1007">
        <w:t>’s determination would also be Needs Assistance if its RDA Determination percentage is 80% or above but the Department has imposed Specific Conditions on the State</w:t>
      </w:r>
      <w:r>
        <w:t>’s</w:t>
      </w:r>
      <w:r w:rsidRPr="001B1007">
        <w:t xml:space="preserve"> or Entity’s last three IDEA Part B grant awards (for FFYs 202</w:t>
      </w:r>
      <w:r>
        <w:t>2</w:t>
      </w:r>
      <w:r w:rsidRPr="001B1007">
        <w:t>, 202</w:t>
      </w:r>
      <w:r>
        <w:t>3</w:t>
      </w:r>
      <w:r w:rsidRPr="001B1007">
        <w:t>, and 202</w:t>
      </w:r>
      <w:r>
        <w:t>4</w:t>
      </w:r>
      <w:r w:rsidRPr="001B1007">
        <w:t>), and those Specific Conditions are in effect at the time of the 202</w:t>
      </w:r>
      <w:r>
        <w:t>5</w:t>
      </w:r>
      <w:r w:rsidRPr="001B1007">
        <w:t xml:space="preserve"> determination.</w:t>
      </w:r>
    </w:p>
    <w:p w14:paraId="60251CE9" w14:textId="51F48155" w:rsidR="00174D28" w:rsidRPr="001B1007" w:rsidRDefault="00174D28" w:rsidP="00174D28">
      <w:pPr>
        <w:rPr>
          <w:rFonts w:eastAsia="Calibri"/>
        </w:rPr>
      </w:pPr>
      <w:r w:rsidRPr="008005F5">
        <w:t>Oregon's</w:t>
      </w:r>
      <w:r>
        <w:t xml:space="preserve"> </w:t>
      </w:r>
      <w:r w:rsidRPr="001B1007">
        <w:rPr>
          <w:rFonts w:eastAsia="Calibri"/>
        </w:rPr>
        <w:t>determination for 202</w:t>
      </w:r>
      <w:r>
        <w:rPr>
          <w:rFonts w:eastAsia="Calibri"/>
        </w:rPr>
        <w:t>4</w:t>
      </w:r>
      <w:r w:rsidRPr="001B1007">
        <w:rPr>
          <w:rFonts w:eastAsia="Calibri"/>
        </w:rPr>
        <w:t xml:space="preserve"> was also Needs Assistance. In accordance with Section 616(e)(1) of the IDEA and 34 C.F.R. §</w:t>
      </w:r>
      <w:r w:rsidR="00240447">
        <w:rPr>
          <w:rFonts w:eastAsia="Calibri"/>
        </w:rPr>
        <w:t> </w:t>
      </w:r>
      <w:r w:rsidRPr="001B1007">
        <w:rPr>
          <w:rFonts w:eastAsia="Calibri"/>
        </w:rPr>
        <w:t>300.604(a), if a State or Entity is determined to need assistance for two consecutive years, the Secretary must take one or more of the following actions: </w:t>
      </w:r>
    </w:p>
    <w:p w14:paraId="0AD30C10" w14:textId="77777777" w:rsidR="00174D28" w:rsidRPr="001B1007" w:rsidRDefault="00174D28" w:rsidP="00174D28">
      <w:pPr>
        <w:numPr>
          <w:ilvl w:val="0"/>
          <w:numId w:val="16"/>
        </w:numPr>
        <w:spacing w:before="120" w:after="120"/>
        <w:rPr>
          <w:rFonts w:eastAsia="Times New Roman"/>
          <w:szCs w:val="24"/>
        </w:rPr>
      </w:pPr>
      <w:r w:rsidRPr="001B1007">
        <w:rPr>
          <w:szCs w:val="24"/>
        </w:rPr>
        <w:t xml:space="preserve">advise the State or Entity of available sources of technical assistance that may help the State or Entity address the areas in which the State or Entity needs assistance and require the State </w:t>
      </w:r>
      <w:r>
        <w:rPr>
          <w:szCs w:val="24"/>
        </w:rPr>
        <w:t xml:space="preserve">or Entity </w:t>
      </w:r>
      <w:r w:rsidRPr="001B1007">
        <w:rPr>
          <w:szCs w:val="24"/>
        </w:rPr>
        <w:t xml:space="preserve">to work with appropriate entities; </w:t>
      </w:r>
    </w:p>
    <w:p w14:paraId="5D826720" w14:textId="77777777" w:rsidR="00174D28" w:rsidRPr="001B1007" w:rsidRDefault="00174D28" w:rsidP="00174D28">
      <w:pPr>
        <w:numPr>
          <w:ilvl w:val="0"/>
          <w:numId w:val="16"/>
        </w:numPr>
        <w:spacing w:before="120" w:after="120"/>
        <w:rPr>
          <w:szCs w:val="24"/>
        </w:rPr>
      </w:pPr>
      <w:r w:rsidRPr="001B1007">
        <w:rPr>
          <w:szCs w:val="24"/>
        </w:rPr>
        <w:t xml:space="preserve">direct the use of State-level funds on the area or areas in which the State or Entity needs assistance; or </w:t>
      </w:r>
    </w:p>
    <w:p w14:paraId="6EBB21FF" w14:textId="77777777" w:rsidR="00174D28" w:rsidRPr="001B1007" w:rsidRDefault="00174D28" w:rsidP="00174D28">
      <w:pPr>
        <w:numPr>
          <w:ilvl w:val="0"/>
          <w:numId w:val="16"/>
        </w:numPr>
        <w:spacing w:before="120" w:after="120"/>
        <w:rPr>
          <w:szCs w:val="24"/>
        </w:rPr>
      </w:pPr>
      <w:r w:rsidRPr="001B1007">
        <w:rPr>
          <w:szCs w:val="24"/>
        </w:rPr>
        <w:t>identify the State or Entity as a high-risk grantee and impose Specific Conditions on the State</w:t>
      </w:r>
      <w:r>
        <w:rPr>
          <w:szCs w:val="24"/>
        </w:rPr>
        <w:t>’s</w:t>
      </w:r>
      <w:r w:rsidRPr="001B1007">
        <w:rPr>
          <w:szCs w:val="24"/>
        </w:rPr>
        <w:t xml:space="preserve"> or Entity’s IDEA Part B grant award.</w:t>
      </w:r>
    </w:p>
    <w:p w14:paraId="1C1418A4" w14:textId="5FFCFB5F" w:rsidR="00174D28" w:rsidRPr="001B1007" w:rsidRDefault="00174D28" w:rsidP="00174D28">
      <w:pPr>
        <w:rPr>
          <w:rFonts w:eastAsia="Calibri"/>
        </w:rPr>
      </w:pPr>
      <w:r w:rsidRPr="001B1007">
        <w:rPr>
          <w:rFonts w:eastAsia="Calibri"/>
        </w:rPr>
        <w:t xml:space="preserve">Pursuant to these requirements, the Secretary is advising </w:t>
      </w:r>
      <w:r>
        <w:t>Oregon</w:t>
      </w:r>
      <w:r w:rsidRPr="001B1007">
        <w:rPr>
          <w:rFonts w:eastAsia="Calibri"/>
        </w:rPr>
        <w:t xml:space="preserve"> of available sources of technical assistance, including OSEP-funded technical assistance centers and resources at the following website:</w:t>
      </w:r>
      <w:bookmarkStart w:id="106" w:name="_Hlk75275845"/>
      <w:r w:rsidRPr="001B1007">
        <w:t xml:space="preserve"> </w:t>
      </w:r>
      <w:hyperlink r:id="rId23" w:history="1">
        <w:r w:rsidRPr="007367EC">
          <w:rPr>
            <w:rStyle w:val="Hyperlink"/>
            <w:color w:val="auto"/>
          </w:rPr>
          <w:t>Individuals with Disabilities Education Act (IDEA) Topic Areas</w:t>
        </w:r>
      </w:hyperlink>
      <w:bookmarkEnd w:id="106"/>
      <w:r w:rsidRPr="001B1007">
        <w:rPr>
          <w:rFonts w:eastAsia="Calibri"/>
        </w:rPr>
        <w:t xml:space="preserve">, and requiring </w:t>
      </w:r>
      <w:r>
        <w:t>Oregon</w:t>
      </w:r>
      <w:r w:rsidRPr="001B1007">
        <w:rPr>
          <w:rFonts w:eastAsia="Calibri"/>
        </w:rPr>
        <w:t xml:space="preserve"> to work with appropriate entities. The Secretary directs </w:t>
      </w:r>
      <w:r>
        <w:t>Oregon</w:t>
      </w:r>
      <w:r w:rsidRPr="001B1007">
        <w:t xml:space="preserve"> </w:t>
      </w:r>
      <w:r w:rsidRPr="001B1007">
        <w:rPr>
          <w:rFonts w:eastAsia="Calibri"/>
        </w:rPr>
        <w:t xml:space="preserve">to determine the results elements and/or compliance indicators, and improvement strategies, on which it will focus its use of available technical assistance, in order to improve its performance. We strongly encourage </w:t>
      </w:r>
      <w:r>
        <w:t>Oregon</w:t>
      </w:r>
      <w:r w:rsidRPr="001B1007">
        <w:rPr>
          <w:rFonts w:eastAsia="Calibri"/>
        </w:rPr>
        <w:t xml:space="preserve"> to access technical assistance related to those results elements and compliance indicators for which it received a score of zero. </w:t>
      </w:r>
      <w:r>
        <w:t>Oregon</w:t>
      </w:r>
      <w:r w:rsidRPr="001B1007">
        <w:rPr>
          <w:rFonts w:eastAsia="Calibri"/>
        </w:rPr>
        <w:t xml:space="preserve"> must report with its FFY 202</w:t>
      </w:r>
      <w:r>
        <w:rPr>
          <w:rFonts w:eastAsia="Calibri"/>
        </w:rPr>
        <w:t>4</w:t>
      </w:r>
      <w:r w:rsidRPr="001B1007">
        <w:rPr>
          <w:rFonts w:eastAsia="Calibri"/>
        </w:rPr>
        <w:t xml:space="preserve"> SPP/APR submission, due February </w:t>
      </w:r>
      <w:r w:rsidR="0015743E">
        <w:rPr>
          <w:rFonts w:eastAsia="Calibri"/>
        </w:rPr>
        <w:t>2</w:t>
      </w:r>
      <w:r w:rsidRPr="001B1007">
        <w:rPr>
          <w:rFonts w:eastAsia="Calibri"/>
        </w:rPr>
        <w:t>, 202</w:t>
      </w:r>
      <w:r>
        <w:rPr>
          <w:rFonts w:eastAsia="Calibri"/>
        </w:rPr>
        <w:t>6</w:t>
      </w:r>
      <w:r w:rsidRPr="001B1007">
        <w:rPr>
          <w:rFonts w:eastAsia="Calibri"/>
        </w:rPr>
        <w:t xml:space="preserve">, on: </w:t>
      </w:r>
    </w:p>
    <w:p w14:paraId="4A021FB9" w14:textId="77777777" w:rsidR="00174D28" w:rsidRPr="001B1007" w:rsidRDefault="00174D28" w:rsidP="00174D28">
      <w:pPr>
        <w:numPr>
          <w:ilvl w:val="0"/>
          <w:numId w:val="8"/>
        </w:numPr>
        <w:spacing w:before="120" w:after="120"/>
        <w:rPr>
          <w:rFonts w:eastAsia="Calibri"/>
          <w:szCs w:val="24"/>
        </w:rPr>
      </w:pPr>
      <w:r w:rsidRPr="001B1007">
        <w:rPr>
          <w:rFonts w:eastAsia="Calibri"/>
          <w:szCs w:val="24"/>
        </w:rPr>
        <w:t xml:space="preserve">the technical assistance sources from which </w:t>
      </w:r>
      <w:r>
        <w:t>Oregon</w:t>
      </w:r>
      <w:r w:rsidRPr="001B1007">
        <w:t xml:space="preserve"> </w:t>
      </w:r>
      <w:r w:rsidRPr="001B1007">
        <w:rPr>
          <w:rFonts w:eastAsia="Calibri"/>
          <w:szCs w:val="24"/>
        </w:rPr>
        <w:t xml:space="preserve">received assistance; and </w:t>
      </w:r>
    </w:p>
    <w:p w14:paraId="4E87D55F" w14:textId="77777777" w:rsidR="00174D28" w:rsidRPr="001B1007" w:rsidRDefault="00174D28" w:rsidP="00174D28">
      <w:pPr>
        <w:numPr>
          <w:ilvl w:val="0"/>
          <w:numId w:val="8"/>
        </w:numPr>
        <w:spacing w:before="120" w:after="120"/>
        <w:rPr>
          <w:rFonts w:eastAsia="Calibri"/>
          <w:szCs w:val="24"/>
        </w:rPr>
      </w:pPr>
      <w:r w:rsidRPr="001B1007">
        <w:rPr>
          <w:rFonts w:eastAsia="Calibri"/>
          <w:szCs w:val="24"/>
        </w:rPr>
        <w:t xml:space="preserve">the actions </w:t>
      </w:r>
      <w:r>
        <w:t>Oregon</w:t>
      </w:r>
      <w:r w:rsidRPr="001B1007">
        <w:t xml:space="preserve"> </w:t>
      </w:r>
      <w:r w:rsidRPr="001B1007">
        <w:rPr>
          <w:rFonts w:eastAsia="Calibri"/>
          <w:szCs w:val="24"/>
        </w:rPr>
        <w:t>took as a result of that technical assistance.</w:t>
      </w:r>
    </w:p>
    <w:p w14:paraId="4C117D32" w14:textId="40ADCE55" w:rsidR="00174D28" w:rsidRPr="001B1007" w:rsidRDefault="00174D28" w:rsidP="00174D28">
      <w:pPr>
        <w:rPr>
          <w:rFonts w:eastAsia="Times New Roman"/>
        </w:rPr>
      </w:pPr>
      <w:r w:rsidRPr="001B1007">
        <w:t>As required by IDEA Section 616(e)(7) and 34 C.F.R. §</w:t>
      </w:r>
      <w:r w:rsidR="00240447">
        <w:rPr>
          <w:rFonts w:eastAsia="Calibri"/>
        </w:rPr>
        <w:t> </w:t>
      </w:r>
      <w:r w:rsidRPr="001B1007">
        <w:t xml:space="preserve">300.606, </w:t>
      </w:r>
      <w:r>
        <w:t>Oregon</w:t>
      </w:r>
      <w:r w:rsidRPr="001B1007">
        <w:t xml:space="preserve"> must notify the public that the Secretary of Education has taken the above enforcement actions, including, at a minimum, by posting a public notice on its website and distributing the notice to the media and through public agencies.</w:t>
      </w:r>
    </w:p>
    <w:p w14:paraId="6AC9D334" w14:textId="77777777" w:rsidR="00174D28" w:rsidRDefault="00174D28" w:rsidP="00174D28">
      <w:r w:rsidRPr="001B1007">
        <w:t>The Secretary is considering modifying the factors the Department will use in making its determinations in June 2026 and beyond, as part of the Administration’s priority to empower States in taking the lead in developing and implementing policies that best serve children with disabilities, and empowering parents with school choice options. As we consider changes to data collection and how we use the data reported to the Department in making annual IDEA determinations, OSEP will provide parents, States, entities, and other stakeholders with an opportunity to comment and provide input through a variety of mechanisms.</w:t>
      </w:r>
    </w:p>
    <w:p w14:paraId="56E66126" w14:textId="77777777" w:rsidR="00174D28" w:rsidRDefault="00174D28" w:rsidP="00174D28">
      <w:r w:rsidRPr="001B1007">
        <w:t>For the FFY 2024 SPP/APR submission due on February 1, 2026, OSEP is providing the following information about the IDEA Section 618 data. The 2024-25 IDEA Section 618 Part B data submitted as of the due date will be used for the FFY 2024 SPP/APR and the 2026 IDEA Part B Results Matrix and data submitted during correction opportunities will not be used for these purposes. The 2024-25 IDEA Section 618 Part B data will automatically be prepopulated in the SPP/APR reporting platform for Part B SPP/APR Indicators 3, 5, and 6 (as they have in the past). Under EDFacts Modernization, States and Entities are expected to submit high-quality IDEA Section 618 Part B data that can be published and used by the Department as of the due date. States and Entities are expected to conduct data quality reviews prior to the applicable due date. OSEP expects States and Entities to take one of the following actions for all business rules that are triggered in the appropriate EDFacts system prior to the applicable due date: 1) revise the uploaded data to address the edit; or 2) provide a data note addressing why the data submission triggered the business rule. States and Entities will be unable to submit the IDEA Section 618 Part B data without taking one of these two actions. There will not be a resubmission period for the IDEA Section 618 Part B data.</w:t>
      </w:r>
    </w:p>
    <w:p w14:paraId="7C2A09A1" w14:textId="77777777" w:rsidR="00174D28" w:rsidRPr="001B1007" w:rsidRDefault="00174D28" w:rsidP="00174D28">
      <w:r w:rsidRPr="001B1007">
        <w:t xml:space="preserve">As a reminder, </w:t>
      </w:r>
      <w:r>
        <w:t>Oregon</w:t>
      </w:r>
      <w:r w:rsidRPr="001B1007">
        <w:t xml:space="preserve"> must report annually to the public, by posting on the State educational agency’s (SEA’s) website, the performance of each local educational agency (LEA) located in </w:t>
      </w:r>
      <w:r>
        <w:t>Oregon</w:t>
      </w:r>
      <w:r w:rsidRPr="001B1007">
        <w:t xml:space="preserve"> on the targets in the SPP/APR as soon as practicable, but no later than 120 days after </w:t>
      </w:r>
      <w:r w:rsidRPr="008005F5">
        <w:t>Oregon's</w:t>
      </w:r>
      <w:r>
        <w:t xml:space="preserve"> </w:t>
      </w:r>
      <w:r w:rsidRPr="001B1007">
        <w:t>submission of its FFY 202</w:t>
      </w:r>
      <w:r>
        <w:t>3</w:t>
      </w:r>
      <w:r w:rsidRPr="001B1007">
        <w:t xml:space="preserve"> SPP/APR. In addition, </w:t>
      </w:r>
      <w:r>
        <w:t>Oregon</w:t>
      </w:r>
      <w:r w:rsidRPr="001B1007">
        <w:t xml:space="preserve"> must: </w:t>
      </w:r>
    </w:p>
    <w:p w14:paraId="73C06217" w14:textId="77777777" w:rsidR="00174D28" w:rsidRPr="001B1007" w:rsidRDefault="00174D28" w:rsidP="00174D28">
      <w:pPr>
        <w:pStyle w:val="ListParagraph"/>
        <w:numPr>
          <w:ilvl w:val="0"/>
          <w:numId w:val="12"/>
        </w:numPr>
        <w:spacing w:before="120" w:after="0"/>
        <w:contextualSpacing w:val="0"/>
      </w:pPr>
      <w:r w:rsidRPr="001B1007">
        <w:t xml:space="preserve">review LEA performance against targets in the State’s SPP/APR; </w:t>
      </w:r>
    </w:p>
    <w:p w14:paraId="36800F42" w14:textId="77777777" w:rsidR="00174D28" w:rsidRPr="001B1007" w:rsidRDefault="00174D28" w:rsidP="00174D28">
      <w:pPr>
        <w:pStyle w:val="ListParagraph"/>
        <w:numPr>
          <w:ilvl w:val="0"/>
          <w:numId w:val="12"/>
        </w:numPr>
        <w:spacing w:before="120" w:after="0"/>
        <w:contextualSpacing w:val="0"/>
      </w:pPr>
      <w:r w:rsidRPr="001B1007">
        <w:t xml:space="preserve">determine if each LEA “meets the requirements” of Part B, or “needs assistance,” “needs intervention,” or “needs substantial intervention” in implementing Part B of the IDEA; </w:t>
      </w:r>
    </w:p>
    <w:p w14:paraId="69D6170A" w14:textId="77777777" w:rsidR="00174D28" w:rsidRPr="001B1007" w:rsidRDefault="00174D28" w:rsidP="00174D28">
      <w:pPr>
        <w:pStyle w:val="ListParagraph"/>
        <w:numPr>
          <w:ilvl w:val="0"/>
          <w:numId w:val="12"/>
        </w:numPr>
        <w:spacing w:before="120" w:after="0"/>
        <w:contextualSpacing w:val="0"/>
      </w:pPr>
      <w:r w:rsidRPr="001B1007">
        <w:t xml:space="preserve">take appropriate enforcement action; and </w:t>
      </w:r>
    </w:p>
    <w:p w14:paraId="553EC016" w14:textId="77777777" w:rsidR="00174D28" w:rsidRPr="001B1007" w:rsidRDefault="00174D28" w:rsidP="00174D28">
      <w:pPr>
        <w:pStyle w:val="ListParagraph"/>
        <w:numPr>
          <w:ilvl w:val="0"/>
          <w:numId w:val="12"/>
        </w:numPr>
        <w:spacing w:before="120" w:after="0"/>
        <w:contextualSpacing w:val="0"/>
      </w:pPr>
      <w:r w:rsidRPr="001B1007">
        <w:t xml:space="preserve">inform each LEA of its determination. </w:t>
      </w:r>
    </w:p>
    <w:p w14:paraId="635BE395" w14:textId="77777777" w:rsidR="00174D28" w:rsidRPr="001B1007" w:rsidRDefault="00174D28" w:rsidP="00174D28">
      <w:r w:rsidRPr="001B1007">
        <w:t xml:space="preserve">Further, </w:t>
      </w:r>
      <w:r>
        <w:t>Oregon</w:t>
      </w:r>
      <w:r w:rsidRPr="001B1007">
        <w:t xml:space="preserve"> must make its SPP/APR available to the public by posting it on the SEA’s website. Within the upcoming weeks, OSEP will be finalizing a State Profile that:</w:t>
      </w:r>
    </w:p>
    <w:p w14:paraId="40EE8DA6" w14:textId="77777777" w:rsidR="00174D28" w:rsidRPr="001B1007" w:rsidRDefault="00174D28" w:rsidP="00174D28">
      <w:pPr>
        <w:pStyle w:val="ListParagraph"/>
        <w:numPr>
          <w:ilvl w:val="0"/>
          <w:numId w:val="13"/>
        </w:numPr>
        <w:spacing w:before="120" w:after="0"/>
        <w:contextualSpacing w:val="0"/>
      </w:pPr>
      <w:r w:rsidRPr="001B1007">
        <w:t xml:space="preserve">includes </w:t>
      </w:r>
      <w:r w:rsidRPr="008005F5">
        <w:t>Oregon's</w:t>
      </w:r>
      <w:r>
        <w:t xml:space="preserve"> determination letter and SPP/APR, OSEP attachments, and all State or Entity attachments that are accessible in accordance with Section 508 of the Rehabilitation Act of 1973; and </w:t>
      </w:r>
    </w:p>
    <w:p w14:paraId="1ABCF146" w14:textId="77777777" w:rsidR="00174D28" w:rsidRPr="001B1007" w:rsidRDefault="00174D28" w:rsidP="00174D28">
      <w:pPr>
        <w:pStyle w:val="ListParagraph"/>
        <w:numPr>
          <w:ilvl w:val="0"/>
          <w:numId w:val="13"/>
        </w:numPr>
        <w:spacing w:before="120" w:after="0"/>
        <w:contextualSpacing w:val="0"/>
      </w:pPr>
      <w:r w:rsidRPr="001B1007">
        <w:t>will be accessible to the public via the ed.gov website.</w:t>
      </w:r>
    </w:p>
    <w:p w14:paraId="5D80C758" w14:textId="77777777" w:rsidR="00174D28" w:rsidRPr="001B1007" w:rsidRDefault="00174D28" w:rsidP="00174D28">
      <w:r w:rsidRPr="001B1007">
        <w:t xml:space="preserve">OSEP appreciates </w:t>
      </w:r>
      <w:r w:rsidRPr="008005F5">
        <w:t>Oregon's</w:t>
      </w:r>
      <w:r w:rsidRPr="001B1007">
        <w:t xml:space="preserve"> efforts to improve results for children and youth with disabilities and looks forward to working with </w:t>
      </w:r>
      <w:r>
        <w:t>Oregon</w:t>
      </w:r>
      <w:r w:rsidRPr="001B1007">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306C6EA9" w14:textId="77777777" w:rsidR="00174D28" w:rsidRPr="001B1007" w:rsidRDefault="00174D28" w:rsidP="00174D28">
      <w:pPr>
        <w:keepNext/>
        <w:ind w:left="4680"/>
        <w:rPr>
          <w:szCs w:val="24"/>
        </w:rPr>
      </w:pPr>
      <w:r w:rsidRPr="001B1007">
        <w:rPr>
          <w:szCs w:val="24"/>
        </w:rPr>
        <w:lastRenderedPageBreak/>
        <w:t>Sincerely,</w:t>
      </w:r>
    </w:p>
    <w:p w14:paraId="4ADE0E41" w14:textId="1E9FB1F9" w:rsidR="00174D28" w:rsidRPr="001B1007" w:rsidRDefault="0015743E" w:rsidP="00174D28">
      <w:pPr>
        <w:keepNext/>
        <w:spacing w:before="240"/>
        <w:ind w:left="4680"/>
        <w:rPr>
          <w:szCs w:val="24"/>
        </w:rPr>
      </w:pPr>
      <w:r>
        <w:rPr>
          <w:noProof/>
        </w:rPr>
        <w:drawing>
          <wp:inline distT="0" distB="0" distL="0" distR="0" wp14:anchorId="488D2593" wp14:editId="69E744E7">
            <wp:extent cx="1865056" cy="556895"/>
            <wp:effectExtent l="0" t="0" r="1905" b="0"/>
            <wp:docPr id="2056758296" name="Picture 2056758296" descr="David J Cantrel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58296" name="Picture 2056758296" descr="David J Cantrell signature"/>
                    <pic:cNvPicPr/>
                  </pic:nvPicPr>
                  <pic:blipFill rotWithShape="1">
                    <a:blip r:embed="rId24">
                      <a:extLst>
                        <a:ext uri="{28A0092B-C50C-407E-A947-70E740481C1C}">
                          <a14:useLocalDpi xmlns:a14="http://schemas.microsoft.com/office/drawing/2010/main" val="0"/>
                        </a:ext>
                      </a:extLst>
                    </a:blip>
                    <a:srcRect l="6495"/>
                    <a:stretch/>
                  </pic:blipFill>
                  <pic:spPr bwMode="auto">
                    <a:xfrm>
                      <a:off x="0" y="0"/>
                      <a:ext cx="1874165" cy="559615"/>
                    </a:xfrm>
                    <a:prstGeom prst="rect">
                      <a:avLst/>
                    </a:prstGeom>
                    <a:ln>
                      <a:noFill/>
                    </a:ln>
                    <a:extLst>
                      <a:ext uri="{53640926-AAD7-44D8-BBD7-CCE9431645EC}">
                        <a14:shadowObscured xmlns:a14="http://schemas.microsoft.com/office/drawing/2010/main"/>
                      </a:ext>
                    </a:extLst>
                  </pic:spPr>
                </pic:pic>
              </a:graphicData>
            </a:graphic>
          </wp:inline>
        </w:drawing>
      </w:r>
    </w:p>
    <w:p w14:paraId="43D5AAAE" w14:textId="7DBD195E" w:rsidR="00174D28" w:rsidRPr="001B1007" w:rsidRDefault="0015743E" w:rsidP="00174D28">
      <w:pPr>
        <w:keepNext/>
        <w:pBdr>
          <w:top w:val="single" w:sz="4" w:space="1" w:color="auto"/>
        </w:pBdr>
        <w:spacing w:before="0"/>
        <w:ind w:left="4680"/>
        <w:rPr>
          <w:szCs w:val="24"/>
        </w:rPr>
      </w:pPr>
      <w:r>
        <w:rPr>
          <w:szCs w:val="24"/>
        </w:rPr>
        <w:t>David J. Cantrell</w:t>
      </w:r>
    </w:p>
    <w:p w14:paraId="7701B198" w14:textId="7C71AF35" w:rsidR="00174D28" w:rsidRPr="001B1007" w:rsidRDefault="0015743E" w:rsidP="00174D28">
      <w:pPr>
        <w:keepNext/>
        <w:spacing w:before="0"/>
        <w:ind w:left="4680"/>
        <w:rPr>
          <w:szCs w:val="24"/>
        </w:rPr>
      </w:pPr>
      <w:r>
        <w:rPr>
          <w:szCs w:val="24"/>
        </w:rPr>
        <w:t xml:space="preserve">Deputy </w:t>
      </w:r>
      <w:r w:rsidR="00174D28" w:rsidRPr="001B1007">
        <w:rPr>
          <w:szCs w:val="24"/>
        </w:rPr>
        <w:t>Director</w:t>
      </w:r>
    </w:p>
    <w:p w14:paraId="17071300" w14:textId="77777777" w:rsidR="00174D28" w:rsidRPr="001B1007" w:rsidRDefault="00174D28" w:rsidP="00174D28">
      <w:pPr>
        <w:spacing w:before="0"/>
        <w:ind w:left="4680"/>
        <w:rPr>
          <w:szCs w:val="24"/>
        </w:rPr>
      </w:pPr>
      <w:r w:rsidRPr="001B1007">
        <w:rPr>
          <w:szCs w:val="24"/>
        </w:rPr>
        <w:t>Office of Special Education Programs</w:t>
      </w:r>
    </w:p>
    <w:p w14:paraId="0570A75E" w14:textId="77777777" w:rsidR="00174D28" w:rsidRPr="001B1007" w:rsidRDefault="00174D28" w:rsidP="00174D28">
      <w:pPr>
        <w:rPr>
          <w:szCs w:val="24"/>
        </w:rPr>
      </w:pPr>
      <w:r w:rsidRPr="001B1007">
        <w:rPr>
          <w:szCs w:val="24"/>
        </w:rPr>
        <w:t xml:space="preserve">cc: </w:t>
      </w:r>
      <w:r>
        <w:rPr>
          <w:szCs w:val="24"/>
        </w:rPr>
        <w:t>Oregon</w:t>
      </w:r>
      <w:r w:rsidRPr="001B1007">
        <w:rPr>
          <w:szCs w:val="24"/>
        </w:rPr>
        <w:t xml:space="preserve"> Director of Special Education </w:t>
      </w:r>
    </w:p>
    <w:p w14:paraId="4DD175BF" w14:textId="77777777" w:rsidR="00174D28" w:rsidRPr="001B1007" w:rsidRDefault="00174D28" w:rsidP="00174D28"/>
    <w:p w14:paraId="5C433C77" w14:textId="77777777" w:rsidR="003749F7" w:rsidRPr="001B1007" w:rsidRDefault="003749F7" w:rsidP="003749F7">
      <w:pPr>
        <w:pStyle w:val="CommentText"/>
      </w:pPr>
    </w:p>
    <w:p w14:paraId="1A73978B" w14:textId="77777777" w:rsidR="003749F7" w:rsidRPr="001B1007" w:rsidRDefault="003749F7" w:rsidP="003749F7">
      <w:pPr>
        <w:spacing w:before="0" w:after="200" w:line="276" w:lineRule="auto"/>
        <w:rPr>
          <w:rFonts w:cs="Arial"/>
          <w:b/>
          <w:bCs/>
          <w:szCs w:val="16"/>
        </w:rPr>
      </w:pPr>
    </w:p>
    <w:p w14:paraId="05B81CB3" w14:textId="4B80A2F8" w:rsidR="00D84A0A" w:rsidRPr="00D733C3" w:rsidRDefault="00D84A0A" w:rsidP="003749F7">
      <w:pPr>
        <w:rPr>
          <w:rFonts w:cs="Arial"/>
          <w:b/>
          <w:bCs/>
          <w:szCs w:val="16"/>
        </w:rPr>
      </w:pPr>
    </w:p>
    <w:sectPr w:rsidR="00D84A0A" w:rsidRPr="00D733C3" w:rsidSect="00424C95">
      <w:headerReference w:type="default" r:id="rId25"/>
      <w:footerReference w:type="default" r:id="rId26"/>
      <w:type w:val="continuous"/>
      <w:pgSz w:w="12240" w:h="15840" w:code="1"/>
      <w:pgMar w:top="720" w:right="720" w:bottom="720" w:left="720" w:header="763" w:footer="432"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651D" w14:textId="77777777" w:rsidR="002C039C" w:rsidRDefault="002C039C" w:rsidP="000802F7">
      <w:pPr>
        <w:spacing w:before="0" w:after="0"/>
      </w:pPr>
      <w:r>
        <w:separator/>
      </w:r>
    </w:p>
  </w:endnote>
  <w:endnote w:type="continuationSeparator" w:id="0">
    <w:p w14:paraId="5F9699D8" w14:textId="77777777" w:rsidR="002C039C" w:rsidRDefault="002C039C" w:rsidP="000802F7">
      <w:pPr>
        <w:spacing w:before="0" w:after="0"/>
      </w:pPr>
      <w:r>
        <w:continuationSeparator/>
      </w:r>
    </w:p>
  </w:endnote>
  <w:endnote w:type="continuationNotice" w:id="1">
    <w:p w14:paraId="169883E3" w14:textId="77777777" w:rsidR="002C039C" w:rsidRDefault="002C03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32885"/>
      <w:docPartObj>
        <w:docPartGallery w:val="Page Numbers (Bottom of Page)"/>
        <w:docPartUnique/>
      </w:docPartObj>
    </w:sdtPr>
    <w:sdtEndPr>
      <w:rPr>
        <w:noProof/>
      </w:rPr>
    </w:sdtEndPr>
    <w:sdtContent>
      <w:sdt>
        <w:sdtPr>
          <w:id w:val="1521194661"/>
          <w:docPartObj>
            <w:docPartGallery w:val="Page Numbers (Bottom of Page)"/>
            <w:docPartUnique/>
          </w:docPartObj>
        </w:sdtPr>
        <w:sdtEndPr>
          <w:rPr>
            <w:noProof/>
          </w:rPr>
        </w:sdtEndPr>
        <w:sdtContent>
          <w:p w14:paraId="6320AF27" w14:textId="07F84AA5" w:rsidR="0031327B" w:rsidRDefault="00D733C3"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1BC23CDB" w14:textId="366F33BD" w:rsidR="000F4A1E" w:rsidRDefault="000F4A1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575961"/>
      <w:docPartObj>
        <w:docPartGallery w:val="Page Numbers (Bottom of Page)"/>
        <w:docPartUnique/>
      </w:docPartObj>
    </w:sdtPr>
    <w:sdtEndPr>
      <w:rPr>
        <w:noProof/>
      </w:rPr>
    </w:sdtEndPr>
    <w:sdtContent>
      <w:p w14:paraId="3659B05B" w14:textId="77777777" w:rsidR="00174D28" w:rsidRPr="00E52257" w:rsidRDefault="00174D28">
        <w:pPr>
          <w:jc w:val="center"/>
          <w:rPr>
            <w:color w:val="17365D"/>
            <w:sz w:val="18"/>
          </w:rPr>
        </w:pPr>
        <w:r w:rsidRPr="00E52257">
          <w:rPr>
            <w:color w:val="17365D"/>
            <w:sz w:val="18"/>
          </w:rPr>
          <w:t>400 MARYLAND AVE. S.W., WASHINGTON DC 20202-2600</w:t>
        </w:r>
      </w:p>
      <w:p w14:paraId="29CF5C0A" w14:textId="77777777" w:rsidR="00174D28" w:rsidRPr="00021B5A" w:rsidRDefault="00174D28">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130AC254" w14:textId="77777777" w:rsidR="00174D28" w:rsidRPr="00E52257" w:rsidRDefault="00174D28">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
        <w:sdtPr>
          <w:id w:val="-300998871"/>
          <w:docPartObj>
            <w:docPartGallery w:val="Page Numbers (Bottom of Page)"/>
            <w:docPartUnique/>
          </w:docPartObj>
        </w:sdtPr>
        <w:sdtEndPr>
          <w:rPr>
            <w:noProof/>
          </w:rPr>
        </w:sdtEndPr>
        <w:sdtContent>
          <w:p w14:paraId="1ECDCA10" w14:textId="77777777" w:rsidR="00174D28" w:rsidRDefault="00174D28" w:rsidP="00D733C3">
            <w:pPr>
              <w:pStyle w:val="Footer"/>
              <w:jc w:val="right"/>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57CD8E78" w14:textId="77777777" w:rsidR="00174D28" w:rsidRDefault="00174D2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739944"/>
      <w:docPartObj>
        <w:docPartGallery w:val="Page Numbers (Bottom of Page)"/>
        <w:docPartUnique/>
      </w:docPartObj>
    </w:sdtPr>
    <w:sdtEndPr>
      <w:rPr>
        <w:noProof/>
      </w:rPr>
    </w:sdtEndPr>
    <w:sdtContent>
      <w:sdt>
        <w:sdtPr>
          <w:id w:val="288714904"/>
          <w:docPartObj>
            <w:docPartGallery w:val="Page Numbers (Bottom of Page)"/>
            <w:docPartUnique/>
          </w:docPartObj>
        </w:sdtPr>
        <w:sdtEndPr>
          <w:rPr>
            <w:noProof/>
          </w:rPr>
        </w:sdtEndPr>
        <w:sdtContent>
          <w:sdt>
            <w:sdtPr>
              <w:id w:val="1308365650"/>
              <w:docPartObj>
                <w:docPartGallery w:val="Page Numbers (Bottom of Page)"/>
                <w:docPartUnique/>
              </w:docPartObj>
            </w:sdtPr>
            <w:sdtEndPr>
              <w:rPr>
                <w:noProof/>
              </w:rPr>
            </w:sdtEndPr>
            <w:sdtContent>
              <w:p w14:paraId="7AF3CDDF" w14:textId="77777777" w:rsidR="008F7972" w:rsidRDefault="008F7972" w:rsidP="008F7972">
                <w:pPr>
                  <w:pStyle w:val="Footer"/>
                  <w:jc w:val="right"/>
                </w:pPr>
              </w:p>
              <w:p w14:paraId="762DE08A" w14:textId="77777777" w:rsidR="008F7972" w:rsidRPr="00E52257" w:rsidRDefault="008F7972" w:rsidP="008F7972">
                <w:pPr>
                  <w:jc w:val="center"/>
                  <w:rPr>
                    <w:color w:val="17365D"/>
                    <w:sz w:val="18"/>
                  </w:rPr>
                </w:pPr>
                <w:r>
                  <w:rPr>
                    <w:noProof/>
                  </w:rPr>
                  <w:tab/>
                </w:r>
                <w:r w:rsidRPr="00E52257">
                  <w:rPr>
                    <w:color w:val="17365D"/>
                    <w:sz w:val="18"/>
                  </w:rPr>
                  <w:t>400 MARYLAND AVE. S.W., WASHINGTON DC 20202-2600</w:t>
                </w:r>
              </w:p>
              <w:p w14:paraId="590C0A23" w14:textId="77777777" w:rsidR="008F7972" w:rsidRPr="00021B5A" w:rsidRDefault="008F7972" w:rsidP="008F7972">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27ED1930" w14:textId="1C538022" w:rsidR="008F7972" w:rsidRPr="00903BFD" w:rsidRDefault="008F7972" w:rsidP="00903BFD">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sdtContent>
          </w:sdt>
          <w:p w14:paraId="401E6793" w14:textId="0B03B2C0" w:rsidR="00FE4611" w:rsidRDefault="00FE4611" w:rsidP="003E5D5A">
            <w:pPr>
              <w:jc w:val="center"/>
              <w:rPr>
                <w:noProof/>
              </w:rPr>
            </w:pPr>
            <w:r>
              <w:fldChar w:fldCharType="begin"/>
            </w:r>
            <w:r>
              <w:instrText xml:space="preserve"> PAGE   \* MERGEFORMAT </w:instrText>
            </w:r>
            <w:r>
              <w:fldChar w:fldCharType="separate"/>
            </w:r>
            <w:r>
              <w:t>3</w:t>
            </w:r>
            <w:r>
              <w:rPr>
                <w:noProof/>
              </w:rPr>
              <w:fldChar w:fldCharType="end"/>
            </w:r>
            <w:r>
              <w:ptab w:relativeTo="margin" w:alignment="right" w:leader="none"/>
            </w:r>
            <w:r>
              <w:t>Part B</w:t>
            </w:r>
          </w:p>
        </w:sdtContent>
      </w:sdt>
    </w:sdtContent>
  </w:sdt>
  <w:p w14:paraId="69783EC1" w14:textId="77777777" w:rsidR="00FE4611" w:rsidRDefault="00FE461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3EC" w14:textId="77777777" w:rsidR="00EC3EF4" w:rsidRDefault="00EC3E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6AFD" w14:textId="77777777" w:rsidR="002C039C" w:rsidRDefault="002C039C" w:rsidP="000802F7">
      <w:pPr>
        <w:spacing w:before="0" w:after="0"/>
      </w:pPr>
      <w:r>
        <w:separator/>
      </w:r>
    </w:p>
  </w:footnote>
  <w:footnote w:type="continuationSeparator" w:id="0">
    <w:p w14:paraId="57AB355A" w14:textId="77777777" w:rsidR="002C039C" w:rsidRDefault="002C039C" w:rsidP="000802F7">
      <w:pPr>
        <w:spacing w:before="0" w:after="0"/>
      </w:pPr>
      <w:r>
        <w:continuationSeparator/>
      </w:r>
    </w:p>
  </w:footnote>
  <w:footnote w:type="continuationNotice" w:id="1">
    <w:p w14:paraId="27374413" w14:textId="77777777" w:rsidR="002C039C" w:rsidRDefault="002C039C">
      <w:pPr>
        <w:spacing w:before="0" w:after="0"/>
      </w:pPr>
    </w:p>
  </w:footnote>
  <w:footnote w:id="2">
    <w:p w14:paraId="04301E0C" w14:textId="0ECA46DF" w:rsidR="00A6012B" w:rsidRPr="00A6012B" w:rsidRDefault="00A6012B">
      <w:pPr>
        <w:pStyle w:val="FootnoteText"/>
        <w:rPr>
          <w:sz w:val="16"/>
          <w:szCs w:val="16"/>
        </w:rPr>
      </w:pPr>
      <w:r w:rsidRPr="00A6012B">
        <w:rPr>
          <w:rStyle w:val="FootnoteReference"/>
          <w:sz w:val="16"/>
          <w:szCs w:val="16"/>
        </w:rPr>
        <w:footnoteRef/>
      </w:r>
      <w:r w:rsidRPr="00A6012B">
        <w:rPr>
          <w:sz w:val="16"/>
          <w:szCs w:val="16"/>
        </w:rPr>
        <w:t xml:space="preserve"> Prior to the FFY 2020 submission, the State used a different data source to report data under this indicator.</w:t>
      </w:r>
    </w:p>
  </w:footnote>
  <w:footnote w:id="3">
    <w:p w14:paraId="39AFB5C1" w14:textId="77777777" w:rsidR="00E24FD8" w:rsidRDefault="00E24FD8" w:rsidP="00E24FD8">
      <w:pPr>
        <w:pStyle w:val="FootnoteText"/>
      </w:pPr>
      <w:r w:rsidRPr="00EA7C91">
        <w:rPr>
          <w:rStyle w:val="FootnoteReference"/>
          <w:rFonts w:cs="Arial"/>
          <w:sz w:val="16"/>
          <w:szCs w:val="16"/>
        </w:rPr>
        <w:footnoteRef/>
      </w:r>
      <w:r w:rsidRPr="00EA7C91">
        <w:rPr>
          <w:rFonts w:cs="Arial"/>
          <w:sz w:val="16"/>
          <w:szCs w:val="16"/>
        </w:rPr>
        <w:t xml:space="preserve"> Percentage blurred due to privacy protection</w:t>
      </w:r>
      <w:r>
        <w:rPr>
          <w:rFonts w:cs="Arial"/>
          <w:sz w:val="16"/>
          <w:szCs w:val="16"/>
        </w:rPr>
        <w:t>.</w:t>
      </w:r>
    </w:p>
  </w:footnote>
  <w:footnote w:id="4">
    <w:p w14:paraId="7FED47EA" w14:textId="30DF5112" w:rsidR="00A6012B" w:rsidRPr="00A6012B" w:rsidRDefault="00A6012B">
      <w:pPr>
        <w:pStyle w:val="FootnoteText"/>
        <w:rPr>
          <w:sz w:val="16"/>
          <w:szCs w:val="16"/>
        </w:rPr>
      </w:pPr>
      <w:r w:rsidRPr="00A6012B">
        <w:rPr>
          <w:rStyle w:val="FootnoteReference"/>
          <w:sz w:val="16"/>
          <w:szCs w:val="16"/>
        </w:rPr>
        <w:footnoteRef/>
      </w:r>
      <w:r w:rsidRPr="00A6012B">
        <w:rPr>
          <w:sz w:val="16"/>
          <w:szCs w:val="16"/>
        </w:rPr>
        <w:t xml:space="preserve"> Prior to the FFY 2020 submission, the State used a different data source to report data under this indicator.</w:t>
      </w:r>
    </w:p>
  </w:footnote>
  <w:footnote w:id="5">
    <w:p w14:paraId="798059BD" w14:textId="77777777" w:rsidR="00754C6F" w:rsidRDefault="00754C6F" w:rsidP="00754C6F">
      <w:pPr>
        <w:pStyle w:val="FootnoteText"/>
      </w:pPr>
      <w:r w:rsidRPr="00B84E39">
        <w:rPr>
          <w:rStyle w:val="FootnoteReference"/>
          <w:sz w:val="16"/>
          <w:szCs w:val="16"/>
        </w:rPr>
        <w:footnoteRef/>
      </w:r>
      <w:r w:rsidRPr="00B84E39">
        <w:rPr>
          <w:sz w:val="16"/>
          <w:szCs w:val="16"/>
        </w:rPr>
        <w:t xml:space="preserve"> Data suppressed due to small cell size.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827F" w14:textId="1332B1B2" w:rsidR="000F4A1E" w:rsidRDefault="000F4A1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A173" w14:textId="77777777" w:rsidR="00174D28" w:rsidRPr="00923F24" w:rsidRDefault="00174D28">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59264" behindDoc="0" locked="0" layoutInCell="1" allowOverlap="1" wp14:anchorId="2ECFDFFD" wp14:editId="77D0A7F3">
          <wp:simplePos x="0" y="0"/>
          <wp:positionH relativeFrom="column">
            <wp:posOffset>-51830</wp:posOffset>
          </wp:positionH>
          <wp:positionV relativeFrom="paragraph">
            <wp:posOffset>-191638</wp:posOffset>
          </wp:positionV>
          <wp:extent cx="914400" cy="914400"/>
          <wp:effectExtent l="0" t="0" r="0" b="0"/>
          <wp:wrapSquare wrapText="bothSides"/>
          <wp:docPr id="1291189274" name="Picture 1291189274" descr="U.S.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43D196D0" w14:textId="77777777" w:rsidR="00174D28" w:rsidRDefault="00174D28">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5A9381D4" w14:textId="77777777" w:rsidR="00174D28" w:rsidRPr="00923F24" w:rsidRDefault="00174D28">
    <w:pPr>
      <w:spacing w:before="120" w:after="0"/>
      <w:ind w:right="1440"/>
      <w:jc w:val="center"/>
      <w:rPr>
        <w:rFonts w:ascii="Times New Roman" w:eastAsia="Times New Roman" w:hAnsi="Times New Roman" w:cs="Times New Roman"/>
        <w:b/>
        <w:smallCaps/>
        <w:color w:val="244061"/>
        <w:sz w:val="24"/>
      </w:rPr>
    </w:pPr>
  </w:p>
  <w:p w14:paraId="67E87ACE" w14:textId="77777777" w:rsidR="00174D28" w:rsidRDefault="00174D2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5EB0" w14:textId="77777777" w:rsidR="008F7972" w:rsidRPr="00923F24" w:rsidRDefault="008F7972"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noProof/>
        <w:color w:val="244061"/>
        <w:sz w:val="24"/>
      </w:rPr>
      <w:drawing>
        <wp:anchor distT="0" distB="0" distL="114300" distR="114300" simplePos="0" relativeHeight="251661312" behindDoc="0" locked="0" layoutInCell="1" allowOverlap="1" wp14:anchorId="3C07BFE8" wp14:editId="105A03D2">
          <wp:simplePos x="0" y="0"/>
          <wp:positionH relativeFrom="column">
            <wp:posOffset>-51830</wp:posOffset>
          </wp:positionH>
          <wp:positionV relativeFrom="paragraph">
            <wp:posOffset>-191638</wp:posOffset>
          </wp:positionV>
          <wp:extent cx="914400" cy="914400"/>
          <wp:effectExtent l="0" t="0" r="0" b="0"/>
          <wp:wrapSquare wrapText="bothSides"/>
          <wp:docPr id="706497182" name="Picture 706497182"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39174" name="Picture 1384139174"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923F24">
      <w:rPr>
        <w:rFonts w:ascii="Times New Roman" w:eastAsia="Times New Roman" w:hAnsi="Times New Roman" w:cs="Times New Roman"/>
        <w:b/>
        <w:smallCaps/>
        <w:color w:val="244061"/>
        <w:sz w:val="24"/>
      </w:rPr>
      <w:t>United States Department of Education</w:t>
    </w:r>
  </w:p>
  <w:p w14:paraId="2D727090" w14:textId="77777777" w:rsidR="008F7972" w:rsidRDefault="008F7972" w:rsidP="008F7972">
    <w:pPr>
      <w:spacing w:before="120" w:after="0"/>
      <w:ind w:right="1440"/>
      <w:jc w:val="center"/>
      <w:rPr>
        <w:rFonts w:ascii="Times New Roman" w:eastAsia="Times New Roman" w:hAnsi="Times New Roman" w:cs="Times New Roman"/>
        <w:b/>
        <w:smallCaps/>
        <w:color w:val="244061"/>
        <w:sz w:val="24"/>
      </w:rPr>
    </w:pPr>
    <w:r w:rsidRPr="00923F24">
      <w:rPr>
        <w:rFonts w:ascii="Times New Roman" w:eastAsia="Times New Roman" w:hAnsi="Times New Roman" w:cs="Times New Roman"/>
        <w:b/>
        <w:smallCaps/>
        <w:color w:val="244061"/>
        <w:sz w:val="24"/>
      </w:rPr>
      <w:t>Office of Special Education and Rehabilitative Services</w:t>
    </w:r>
  </w:p>
  <w:p w14:paraId="1A550A00" w14:textId="77777777" w:rsidR="008F7972" w:rsidRDefault="008F7972" w:rsidP="008F7972">
    <w:pPr>
      <w:pStyle w:val="Header"/>
    </w:pPr>
  </w:p>
  <w:p w14:paraId="3A4A119D" w14:textId="77777777" w:rsidR="00FE4611" w:rsidRPr="00923F24" w:rsidRDefault="00FE4611" w:rsidP="00903BFD">
    <w:pPr>
      <w:spacing w:before="120" w:after="0"/>
      <w:ind w:right="1440"/>
      <w:rPr>
        <w:rFonts w:ascii="Times New Roman" w:eastAsia="Times New Roman" w:hAnsi="Times New Roman" w:cs="Times New Roman"/>
        <w:b/>
        <w:smallCaps/>
        <w:color w:val="244061"/>
        <w:sz w:val="24"/>
      </w:rPr>
    </w:pPr>
  </w:p>
  <w:p w14:paraId="46928CAD" w14:textId="77777777" w:rsidR="00FE4611" w:rsidRDefault="00FE4611">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AE8F" w14:textId="77777777" w:rsidR="00EC3EF4" w:rsidRDefault="00EC3EF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7B"/>
    <w:multiLevelType w:val="hybridMultilevel"/>
    <w:tmpl w:val="8548B854"/>
    <w:lvl w:ilvl="0" w:tplc="00203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526B4"/>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640E2"/>
    <w:multiLevelType w:val="multilevel"/>
    <w:tmpl w:val="C1CAE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10E5A23"/>
    <w:multiLevelType w:val="hybridMultilevel"/>
    <w:tmpl w:val="081A0F38"/>
    <w:lvl w:ilvl="0" w:tplc="A14A3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6" w15:restartNumberingAfterBreak="0">
    <w:nsid w:val="43DB6ABC"/>
    <w:multiLevelType w:val="multilevel"/>
    <w:tmpl w:val="19F66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62C3BE4"/>
    <w:multiLevelType w:val="multilevel"/>
    <w:tmpl w:val="A9CEB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F5530B4"/>
    <w:multiLevelType w:val="hybridMultilevel"/>
    <w:tmpl w:val="969A0E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CC62B6"/>
    <w:multiLevelType w:val="hybridMultilevel"/>
    <w:tmpl w:val="43D82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7D63B9"/>
    <w:multiLevelType w:val="hybridMultilevel"/>
    <w:tmpl w:val="CD9088B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7F6E09"/>
    <w:multiLevelType w:val="hybridMultilevel"/>
    <w:tmpl w:val="14C08E3C"/>
    <w:lvl w:ilvl="0" w:tplc="11F2CA00">
      <w:start w:val="1"/>
      <w:numFmt w:val="decimal"/>
      <w:lvlText w:val="(%1)"/>
      <w:lvlJc w:val="left"/>
      <w:pPr>
        <w:ind w:left="720" w:hanging="360"/>
      </w:pPr>
      <w:rPr>
        <w:rFonts w:ascii="Arial" w:eastAsiaTheme="minorHAnsi" w:hAnsi="Arial"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44278"/>
    <w:multiLevelType w:val="hybridMultilevel"/>
    <w:tmpl w:val="43D82728"/>
    <w:lvl w:ilvl="0" w:tplc="5BE00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CC7F34"/>
    <w:multiLevelType w:val="hybridMultilevel"/>
    <w:tmpl w:val="9F809C7A"/>
    <w:lvl w:ilvl="0" w:tplc="63A63868">
      <w:start w:val="1"/>
      <w:numFmt w:val="bullet"/>
      <w:pStyle w:val="IndNote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0D1260"/>
    <w:multiLevelType w:val="hybridMultilevel"/>
    <w:tmpl w:val="969A0ED4"/>
    <w:lvl w:ilvl="0" w:tplc="4D3A2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0345B"/>
    <w:multiLevelType w:val="hybridMultilevel"/>
    <w:tmpl w:val="07A0DB14"/>
    <w:lvl w:ilvl="0" w:tplc="FC6C7E0C">
      <w:start w:val="1"/>
      <w:numFmt w:val="decimal"/>
      <w:pStyle w:val="BRIRequirement"/>
      <w:lvlText w:val="BR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835698">
    <w:abstractNumId w:val="15"/>
  </w:num>
  <w:num w:numId="2" w16cid:durableId="1592162888">
    <w:abstractNumId w:val="4"/>
  </w:num>
  <w:num w:numId="3" w16cid:durableId="1701589992">
    <w:abstractNumId w:val="13"/>
  </w:num>
  <w:num w:numId="4" w16cid:durableId="250937431">
    <w:abstractNumId w:val="16"/>
  </w:num>
  <w:num w:numId="5" w16cid:durableId="1616593578">
    <w:abstractNumId w:val="6"/>
  </w:num>
  <w:num w:numId="6" w16cid:durableId="1061438534">
    <w:abstractNumId w:val="2"/>
  </w:num>
  <w:num w:numId="7" w16cid:durableId="1802728668">
    <w:abstractNumId w:val="7"/>
  </w:num>
  <w:num w:numId="8" w16cid:durableId="1040520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69979">
    <w:abstractNumId w:val="0"/>
  </w:num>
  <w:num w:numId="10" w16cid:durableId="42338469">
    <w:abstractNumId w:val="11"/>
  </w:num>
  <w:num w:numId="11" w16cid:durableId="1052729607">
    <w:abstractNumId w:val="14"/>
  </w:num>
  <w:num w:numId="12" w16cid:durableId="526408006">
    <w:abstractNumId w:val="12"/>
  </w:num>
  <w:num w:numId="13" w16cid:durableId="1451318079">
    <w:abstractNumId w:val="3"/>
  </w:num>
  <w:num w:numId="14" w16cid:durableId="25982123">
    <w:abstractNumId w:val="1"/>
  </w:num>
  <w:num w:numId="15" w16cid:durableId="762146582">
    <w:abstractNumId w:val="9"/>
  </w:num>
  <w:num w:numId="16" w16cid:durableId="648872921">
    <w:abstractNumId w:val="8"/>
  </w:num>
  <w:num w:numId="17" w16cid:durableId="105928631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24B"/>
    <w:rsid w:val="00000E77"/>
    <w:rsid w:val="0000102A"/>
    <w:rsid w:val="0000116E"/>
    <w:rsid w:val="000013E5"/>
    <w:rsid w:val="0000146B"/>
    <w:rsid w:val="00001EAE"/>
    <w:rsid w:val="000020E9"/>
    <w:rsid w:val="00002320"/>
    <w:rsid w:val="0000272B"/>
    <w:rsid w:val="00002962"/>
    <w:rsid w:val="00002B25"/>
    <w:rsid w:val="00002D92"/>
    <w:rsid w:val="00002E37"/>
    <w:rsid w:val="0000325B"/>
    <w:rsid w:val="000032E5"/>
    <w:rsid w:val="000036C1"/>
    <w:rsid w:val="00003894"/>
    <w:rsid w:val="00004592"/>
    <w:rsid w:val="00004700"/>
    <w:rsid w:val="00004880"/>
    <w:rsid w:val="00004E61"/>
    <w:rsid w:val="0000579A"/>
    <w:rsid w:val="000063AC"/>
    <w:rsid w:val="0000663B"/>
    <w:rsid w:val="00006A25"/>
    <w:rsid w:val="000070D5"/>
    <w:rsid w:val="00010158"/>
    <w:rsid w:val="000105C5"/>
    <w:rsid w:val="00011443"/>
    <w:rsid w:val="000114E3"/>
    <w:rsid w:val="00011778"/>
    <w:rsid w:val="00011B86"/>
    <w:rsid w:val="000120DA"/>
    <w:rsid w:val="0001227B"/>
    <w:rsid w:val="000123D2"/>
    <w:rsid w:val="000124F7"/>
    <w:rsid w:val="00013138"/>
    <w:rsid w:val="00013F12"/>
    <w:rsid w:val="0001550D"/>
    <w:rsid w:val="00015D55"/>
    <w:rsid w:val="0001707D"/>
    <w:rsid w:val="00017940"/>
    <w:rsid w:val="00017BA7"/>
    <w:rsid w:val="00017D15"/>
    <w:rsid w:val="000209D6"/>
    <w:rsid w:val="00020C7A"/>
    <w:rsid w:val="00020E05"/>
    <w:rsid w:val="0002147B"/>
    <w:rsid w:val="00021AE9"/>
    <w:rsid w:val="000221B3"/>
    <w:rsid w:val="000223EC"/>
    <w:rsid w:val="000227B7"/>
    <w:rsid w:val="00023642"/>
    <w:rsid w:val="00023E62"/>
    <w:rsid w:val="000248C8"/>
    <w:rsid w:val="00024979"/>
    <w:rsid w:val="000251C4"/>
    <w:rsid w:val="000256D1"/>
    <w:rsid w:val="00025AFF"/>
    <w:rsid w:val="00025D8D"/>
    <w:rsid w:val="000277CE"/>
    <w:rsid w:val="00027886"/>
    <w:rsid w:val="0003014D"/>
    <w:rsid w:val="000301BA"/>
    <w:rsid w:val="00030B45"/>
    <w:rsid w:val="00030F5E"/>
    <w:rsid w:val="00031465"/>
    <w:rsid w:val="00031560"/>
    <w:rsid w:val="00031A91"/>
    <w:rsid w:val="00031B94"/>
    <w:rsid w:val="00031C3A"/>
    <w:rsid w:val="00031E3A"/>
    <w:rsid w:val="00032548"/>
    <w:rsid w:val="0003292C"/>
    <w:rsid w:val="00032930"/>
    <w:rsid w:val="00032AC4"/>
    <w:rsid w:val="00032DB1"/>
    <w:rsid w:val="00033474"/>
    <w:rsid w:val="000336AC"/>
    <w:rsid w:val="00033723"/>
    <w:rsid w:val="00034451"/>
    <w:rsid w:val="00034A81"/>
    <w:rsid w:val="000360A5"/>
    <w:rsid w:val="000367A3"/>
    <w:rsid w:val="00036AA4"/>
    <w:rsid w:val="00040BA5"/>
    <w:rsid w:val="00041274"/>
    <w:rsid w:val="000417B4"/>
    <w:rsid w:val="00041E27"/>
    <w:rsid w:val="00041FD3"/>
    <w:rsid w:val="0004359A"/>
    <w:rsid w:val="000437FD"/>
    <w:rsid w:val="000439AF"/>
    <w:rsid w:val="00043AAB"/>
    <w:rsid w:val="00043AC9"/>
    <w:rsid w:val="000444E2"/>
    <w:rsid w:val="00044883"/>
    <w:rsid w:val="00044B5C"/>
    <w:rsid w:val="00045F9F"/>
    <w:rsid w:val="00046488"/>
    <w:rsid w:val="00046969"/>
    <w:rsid w:val="00046BF9"/>
    <w:rsid w:val="00046F83"/>
    <w:rsid w:val="000477FF"/>
    <w:rsid w:val="00047CB5"/>
    <w:rsid w:val="00050175"/>
    <w:rsid w:val="00051B61"/>
    <w:rsid w:val="000521AB"/>
    <w:rsid w:val="0005247A"/>
    <w:rsid w:val="00052590"/>
    <w:rsid w:val="000526F6"/>
    <w:rsid w:val="00052E15"/>
    <w:rsid w:val="000532EB"/>
    <w:rsid w:val="00053391"/>
    <w:rsid w:val="000533D7"/>
    <w:rsid w:val="00053795"/>
    <w:rsid w:val="00053B06"/>
    <w:rsid w:val="00053DFE"/>
    <w:rsid w:val="0005400D"/>
    <w:rsid w:val="000545D2"/>
    <w:rsid w:val="00054985"/>
    <w:rsid w:val="00054A60"/>
    <w:rsid w:val="00054C7A"/>
    <w:rsid w:val="00054FA8"/>
    <w:rsid w:val="000550B2"/>
    <w:rsid w:val="000559DA"/>
    <w:rsid w:val="00055BD1"/>
    <w:rsid w:val="00055C7A"/>
    <w:rsid w:val="00055FC7"/>
    <w:rsid w:val="00056350"/>
    <w:rsid w:val="00056758"/>
    <w:rsid w:val="00056F03"/>
    <w:rsid w:val="00057843"/>
    <w:rsid w:val="000578BA"/>
    <w:rsid w:val="0006058A"/>
    <w:rsid w:val="00060ADC"/>
    <w:rsid w:val="00061459"/>
    <w:rsid w:val="0006151E"/>
    <w:rsid w:val="000618B4"/>
    <w:rsid w:val="00061AB2"/>
    <w:rsid w:val="00061DF1"/>
    <w:rsid w:val="00061F73"/>
    <w:rsid w:val="000622A8"/>
    <w:rsid w:val="0006235D"/>
    <w:rsid w:val="000625F8"/>
    <w:rsid w:val="00062BB2"/>
    <w:rsid w:val="00062E68"/>
    <w:rsid w:val="00063136"/>
    <w:rsid w:val="00063CB9"/>
    <w:rsid w:val="000646AE"/>
    <w:rsid w:val="00064809"/>
    <w:rsid w:val="000648D2"/>
    <w:rsid w:val="00064AB6"/>
    <w:rsid w:val="000657A8"/>
    <w:rsid w:val="000657F0"/>
    <w:rsid w:val="000663C3"/>
    <w:rsid w:val="000668E0"/>
    <w:rsid w:val="00066BAA"/>
    <w:rsid w:val="00066F3E"/>
    <w:rsid w:val="00067654"/>
    <w:rsid w:val="00067C04"/>
    <w:rsid w:val="00070D9E"/>
    <w:rsid w:val="0007196B"/>
    <w:rsid w:val="00071D42"/>
    <w:rsid w:val="00072B99"/>
    <w:rsid w:val="00072BBA"/>
    <w:rsid w:val="00072BF0"/>
    <w:rsid w:val="00072FEE"/>
    <w:rsid w:val="00073047"/>
    <w:rsid w:val="00073BD7"/>
    <w:rsid w:val="00074237"/>
    <w:rsid w:val="000743D6"/>
    <w:rsid w:val="00074B33"/>
    <w:rsid w:val="000762B0"/>
    <w:rsid w:val="00076ED5"/>
    <w:rsid w:val="000778C9"/>
    <w:rsid w:val="000802F7"/>
    <w:rsid w:val="000806CC"/>
    <w:rsid w:val="00080D36"/>
    <w:rsid w:val="00080EBD"/>
    <w:rsid w:val="00082667"/>
    <w:rsid w:val="000826D3"/>
    <w:rsid w:val="00082757"/>
    <w:rsid w:val="000829BF"/>
    <w:rsid w:val="00082AC0"/>
    <w:rsid w:val="0008392B"/>
    <w:rsid w:val="00083B68"/>
    <w:rsid w:val="00083ECF"/>
    <w:rsid w:val="0008402E"/>
    <w:rsid w:val="0008434A"/>
    <w:rsid w:val="000845C1"/>
    <w:rsid w:val="000847AD"/>
    <w:rsid w:val="00084AD7"/>
    <w:rsid w:val="00084FF1"/>
    <w:rsid w:val="000850E1"/>
    <w:rsid w:val="00085111"/>
    <w:rsid w:val="0008540D"/>
    <w:rsid w:val="00085B13"/>
    <w:rsid w:val="00085C21"/>
    <w:rsid w:val="00085D61"/>
    <w:rsid w:val="00085D89"/>
    <w:rsid w:val="000867D7"/>
    <w:rsid w:val="0008752B"/>
    <w:rsid w:val="00087EB9"/>
    <w:rsid w:val="00090132"/>
    <w:rsid w:val="000901D6"/>
    <w:rsid w:val="000903A7"/>
    <w:rsid w:val="00090C2F"/>
    <w:rsid w:val="000915A3"/>
    <w:rsid w:val="00091A40"/>
    <w:rsid w:val="00091DB2"/>
    <w:rsid w:val="000923A7"/>
    <w:rsid w:val="00092636"/>
    <w:rsid w:val="00092E0A"/>
    <w:rsid w:val="00093ACB"/>
    <w:rsid w:val="00094739"/>
    <w:rsid w:val="000948DD"/>
    <w:rsid w:val="00095491"/>
    <w:rsid w:val="00096442"/>
    <w:rsid w:val="0009692C"/>
    <w:rsid w:val="00096A50"/>
    <w:rsid w:val="00096B4B"/>
    <w:rsid w:val="00096F71"/>
    <w:rsid w:val="00097249"/>
    <w:rsid w:val="000977EB"/>
    <w:rsid w:val="000A01AC"/>
    <w:rsid w:val="000A0593"/>
    <w:rsid w:val="000A1594"/>
    <w:rsid w:val="000A18ED"/>
    <w:rsid w:val="000A1989"/>
    <w:rsid w:val="000A2C83"/>
    <w:rsid w:val="000A2E95"/>
    <w:rsid w:val="000A32F4"/>
    <w:rsid w:val="000A4757"/>
    <w:rsid w:val="000A49CD"/>
    <w:rsid w:val="000A49F7"/>
    <w:rsid w:val="000A4CDC"/>
    <w:rsid w:val="000A4ED6"/>
    <w:rsid w:val="000A4FD8"/>
    <w:rsid w:val="000A5A2E"/>
    <w:rsid w:val="000A66A9"/>
    <w:rsid w:val="000A6CA4"/>
    <w:rsid w:val="000A6EEB"/>
    <w:rsid w:val="000A7001"/>
    <w:rsid w:val="000A73A1"/>
    <w:rsid w:val="000A7A15"/>
    <w:rsid w:val="000A7D7D"/>
    <w:rsid w:val="000B050E"/>
    <w:rsid w:val="000B0DE4"/>
    <w:rsid w:val="000B10B1"/>
    <w:rsid w:val="000B1A1B"/>
    <w:rsid w:val="000B1F9C"/>
    <w:rsid w:val="000B2819"/>
    <w:rsid w:val="000B29F8"/>
    <w:rsid w:val="000B2A70"/>
    <w:rsid w:val="000B2C26"/>
    <w:rsid w:val="000B2DCB"/>
    <w:rsid w:val="000B3578"/>
    <w:rsid w:val="000B3A11"/>
    <w:rsid w:val="000B3D92"/>
    <w:rsid w:val="000B4405"/>
    <w:rsid w:val="000B4AA4"/>
    <w:rsid w:val="000B547A"/>
    <w:rsid w:val="000B56BA"/>
    <w:rsid w:val="000B5823"/>
    <w:rsid w:val="000B60CA"/>
    <w:rsid w:val="000B64CB"/>
    <w:rsid w:val="000B7132"/>
    <w:rsid w:val="000B7462"/>
    <w:rsid w:val="000C03F0"/>
    <w:rsid w:val="000C0565"/>
    <w:rsid w:val="000C0900"/>
    <w:rsid w:val="000C1754"/>
    <w:rsid w:val="000C1C56"/>
    <w:rsid w:val="000C2448"/>
    <w:rsid w:val="000C24C2"/>
    <w:rsid w:val="000C2AED"/>
    <w:rsid w:val="000C3180"/>
    <w:rsid w:val="000C3421"/>
    <w:rsid w:val="000C3A20"/>
    <w:rsid w:val="000C45DB"/>
    <w:rsid w:val="000C47B3"/>
    <w:rsid w:val="000C50F5"/>
    <w:rsid w:val="000C52CF"/>
    <w:rsid w:val="000C5A7A"/>
    <w:rsid w:val="000C5B96"/>
    <w:rsid w:val="000C60E1"/>
    <w:rsid w:val="000C6167"/>
    <w:rsid w:val="000C6C6A"/>
    <w:rsid w:val="000C71F1"/>
    <w:rsid w:val="000C7B90"/>
    <w:rsid w:val="000D03F2"/>
    <w:rsid w:val="000D0B6A"/>
    <w:rsid w:val="000D0EE0"/>
    <w:rsid w:val="000D1580"/>
    <w:rsid w:val="000D2287"/>
    <w:rsid w:val="000D289C"/>
    <w:rsid w:val="000D2EA7"/>
    <w:rsid w:val="000D3273"/>
    <w:rsid w:val="000D3CAE"/>
    <w:rsid w:val="000D3DAA"/>
    <w:rsid w:val="000D3ED8"/>
    <w:rsid w:val="000D3EDF"/>
    <w:rsid w:val="000D3F12"/>
    <w:rsid w:val="000D428C"/>
    <w:rsid w:val="000D4537"/>
    <w:rsid w:val="000D4C8D"/>
    <w:rsid w:val="000D4EB7"/>
    <w:rsid w:val="000D67EF"/>
    <w:rsid w:val="000D6C5B"/>
    <w:rsid w:val="000D6EC4"/>
    <w:rsid w:val="000D746C"/>
    <w:rsid w:val="000D79AE"/>
    <w:rsid w:val="000E04D6"/>
    <w:rsid w:val="000E0BA2"/>
    <w:rsid w:val="000E0C95"/>
    <w:rsid w:val="000E0EBC"/>
    <w:rsid w:val="000E1C83"/>
    <w:rsid w:val="000E1FC6"/>
    <w:rsid w:val="000E206D"/>
    <w:rsid w:val="000E23B5"/>
    <w:rsid w:val="000E2A52"/>
    <w:rsid w:val="000E30A8"/>
    <w:rsid w:val="000E33D0"/>
    <w:rsid w:val="000E3445"/>
    <w:rsid w:val="000E3ACC"/>
    <w:rsid w:val="000E4061"/>
    <w:rsid w:val="000E4594"/>
    <w:rsid w:val="000E4B9A"/>
    <w:rsid w:val="000E4EE2"/>
    <w:rsid w:val="000E56FA"/>
    <w:rsid w:val="000E5AAB"/>
    <w:rsid w:val="000E62E5"/>
    <w:rsid w:val="000E6823"/>
    <w:rsid w:val="000E6948"/>
    <w:rsid w:val="000E7350"/>
    <w:rsid w:val="000E7E94"/>
    <w:rsid w:val="000F007B"/>
    <w:rsid w:val="000F0525"/>
    <w:rsid w:val="000F0806"/>
    <w:rsid w:val="000F0D59"/>
    <w:rsid w:val="000F0FCB"/>
    <w:rsid w:val="000F1792"/>
    <w:rsid w:val="000F1C34"/>
    <w:rsid w:val="000F256B"/>
    <w:rsid w:val="000F2A59"/>
    <w:rsid w:val="000F2A8B"/>
    <w:rsid w:val="000F40CF"/>
    <w:rsid w:val="000F435D"/>
    <w:rsid w:val="000F48BC"/>
    <w:rsid w:val="000F4A1E"/>
    <w:rsid w:val="000F4C46"/>
    <w:rsid w:val="000F4E22"/>
    <w:rsid w:val="000F4F37"/>
    <w:rsid w:val="000F66B8"/>
    <w:rsid w:val="000F670E"/>
    <w:rsid w:val="000F7167"/>
    <w:rsid w:val="000F7196"/>
    <w:rsid w:val="000F7399"/>
    <w:rsid w:val="000F7515"/>
    <w:rsid w:val="000F76DD"/>
    <w:rsid w:val="000F7A89"/>
    <w:rsid w:val="000F7C7C"/>
    <w:rsid w:val="000F7CF3"/>
    <w:rsid w:val="0010110E"/>
    <w:rsid w:val="001011BB"/>
    <w:rsid w:val="0010168C"/>
    <w:rsid w:val="0010170F"/>
    <w:rsid w:val="00101CA5"/>
    <w:rsid w:val="0010203A"/>
    <w:rsid w:val="001022E6"/>
    <w:rsid w:val="00102505"/>
    <w:rsid w:val="00102C3C"/>
    <w:rsid w:val="00102F19"/>
    <w:rsid w:val="00102FA3"/>
    <w:rsid w:val="00104B17"/>
    <w:rsid w:val="0010510A"/>
    <w:rsid w:val="00105DC4"/>
    <w:rsid w:val="00105F98"/>
    <w:rsid w:val="001061C0"/>
    <w:rsid w:val="00106D71"/>
    <w:rsid w:val="00107406"/>
    <w:rsid w:val="0010785B"/>
    <w:rsid w:val="00107F32"/>
    <w:rsid w:val="00107FAE"/>
    <w:rsid w:val="00110328"/>
    <w:rsid w:val="0011074D"/>
    <w:rsid w:val="00110BB6"/>
    <w:rsid w:val="001111BE"/>
    <w:rsid w:val="0011161A"/>
    <w:rsid w:val="00111C8D"/>
    <w:rsid w:val="0011241A"/>
    <w:rsid w:val="001126C3"/>
    <w:rsid w:val="00112F4D"/>
    <w:rsid w:val="00113CE9"/>
    <w:rsid w:val="001142DE"/>
    <w:rsid w:val="0011547F"/>
    <w:rsid w:val="001156D2"/>
    <w:rsid w:val="00115AAA"/>
    <w:rsid w:val="00115CDA"/>
    <w:rsid w:val="00116D0B"/>
    <w:rsid w:val="00116E25"/>
    <w:rsid w:val="00117490"/>
    <w:rsid w:val="00117588"/>
    <w:rsid w:val="00117696"/>
    <w:rsid w:val="00117952"/>
    <w:rsid w:val="001203FA"/>
    <w:rsid w:val="0012058D"/>
    <w:rsid w:val="00120808"/>
    <w:rsid w:val="00121709"/>
    <w:rsid w:val="00121968"/>
    <w:rsid w:val="00122103"/>
    <w:rsid w:val="0012230D"/>
    <w:rsid w:val="00122384"/>
    <w:rsid w:val="001225CB"/>
    <w:rsid w:val="00123D76"/>
    <w:rsid w:val="00123FF7"/>
    <w:rsid w:val="00124025"/>
    <w:rsid w:val="00124A5D"/>
    <w:rsid w:val="00124E6A"/>
    <w:rsid w:val="00124ED5"/>
    <w:rsid w:val="00126039"/>
    <w:rsid w:val="001266CE"/>
    <w:rsid w:val="001267A3"/>
    <w:rsid w:val="00126B45"/>
    <w:rsid w:val="00126ED9"/>
    <w:rsid w:val="00126FF9"/>
    <w:rsid w:val="00127006"/>
    <w:rsid w:val="00127037"/>
    <w:rsid w:val="00127074"/>
    <w:rsid w:val="001270B8"/>
    <w:rsid w:val="001273C6"/>
    <w:rsid w:val="00127B4A"/>
    <w:rsid w:val="00127FEE"/>
    <w:rsid w:val="00130AE9"/>
    <w:rsid w:val="00130B2B"/>
    <w:rsid w:val="001316B1"/>
    <w:rsid w:val="00131842"/>
    <w:rsid w:val="00131F82"/>
    <w:rsid w:val="001323A5"/>
    <w:rsid w:val="00132EE9"/>
    <w:rsid w:val="001336AE"/>
    <w:rsid w:val="00133C73"/>
    <w:rsid w:val="0013422A"/>
    <w:rsid w:val="00134567"/>
    <w:rsid w:val="0013465F"/>
    <w:rsid w:val="0013495C"/>
    <w:rsid w:val="00134C80"/>
    <w:rsid w:val="00134F30"/>
    <w:rsid w:val="00135576"/>
    <w:rsid w:val="00135F0C"/>
    <w:rsid w:val="00136BE2"/>
    <w:rsid w:val="00136C54"/>
    <w:rsid w:val="001378D0"/>
    <w:rsid w:val="00137AD3"/>
    <w:rsid w:val="0014043C"/>
    <w:rsid w:val="00140972"/>
    <w:rsid w:val="00140A8A"/>
    <w:rsid w:val="00141A33"/>
    <w:rsid w:val="00141E29"/>
    <w:rsid w:val="00142056"/>
    <w:rsid w:val="00142117"/>
    <w:rsid w:val="001428A0"/>
    <w:rsid w:val="001430AA"/>
    <w:rsid w:val="001436E0"/>
    <w:rsid w:val="0014399E"/>
    <w:rsid w:val="001445CE"/>
    <w:rsid w:val="00144795"/>
    <w:rsid w:val="00145049"/>
    <w:rsid w:val="001450D9"/>
    <w:rsid w:val="00145967"/>
    <w:rsid w:val="001465F2"/>
    <w:rsid w:val="001468ED"/>
    <w:rsid w:val="00146BB0"/>
    <w:rsid w:val="00146C28"/>
    <w:rsid w:val="00146FBA"/>
    <w:rsid w:val="001474EC"/>
    <w:rsid w:val="0014778D"/>
    <w:rsid w:val="00150A68"/>
    <w:rsid w:val="00150B3B"/>
    <w:rsid w:val="001510FD"/>
    <w:rsid w:val="00151F97"/>
    <w:rsid w:val="00152396"/>
    <w:rsid w:val="0015313D"/>
    <w:rsid w:val="00153F2D"/>
    <w:rsid w:val="001542AE"/>
    <w:rsid w:val="00154448"/>
    <w:rsid w:val="0015622A"/>
    <w:rsid w:val="00156264"/>
    <w:rsid w:val="00156865"/>
    <w:rsid w:val="0015691B"/>
    <w:rsid w:val="00156C67"/>
    <w:rsid w:val="00156F30"/>
    <w:rsid w:val="00156FDD"/>
    <w:rsid w:val="0015743E"/>
    <w:rsid w:val="00160362"/>
    <w:rsid w:val="001603DE"/>
    <w:rsid w:val="001604F3"/>
    <w:rsid w:val="00160856"/>
    <w:rsid w:val="00160D96"/>
    <w:rsid w:val="001612CB"/>
    <w:rsid w:val="00161D1D"/>
    <w:rsid w:val="001628C0"/>
    <w:rsid w:val="00162F4A"/>
    <w:rsid w:val="001633A0"/>
    <w:rsid w:val="0016350F"/>
    <w:rsid w:val="001638EB"/>
    <w:rsid w:val="00163AF4"/>
    <w:rsid w:val="00163BEE"/>
    <w:rsid w:val="00163D63"/>
    <w:rsid w:val="00163FA7"/>
    <w:rsid w:val="001647C7"/>
    <w:rsid w:val="00164AAD"/>
    <w:rsid w:val="00164B78"/>
    <w:rsid w:val="00164E7F"/>
    <w:rsid w:val="00165225"/>
    <w:rsid w:val="0016528C"/>
    <w:rsid w:val="00165467"/>
    <w:rsid w:val="00165B2C"/>
    <w:rsid w:val="00166D00"/>
    <w:rsid w:val="0016730D"/>
    <w:rsid w:val="00167423"/>
    <w:rsid w:val="00167BF7"/>
    <w:rsid w:val="00170A9A"/>
    <w:rsid w:val="001711DC"/>
    <w:rsid w:val="00172058"/>
    <w:rsid w:val="001720C2"/>
    <w:rsid w:val="00172C41"/>
    <w:rsid w:val="00172F58"/>
    <w:rsid w:val="00173186"/>
    <w:rsid w:val="0017335B"/>
    <w:rsid w:val="001739F9"/>
    <w:rsid w:val="00173DFE"/>
    <w:rsid w:val="001744F9"/>
    <w:rsid w:val="00174662"/>
    <w:rsid w:val="00174B9B"/>
    <w:rsid w:val="00174D28"/>
    <w:rsid w:val="001750A0"/>
    <w:rsid w:val="00175656"/>
    <w:rsid w:val="001756FB"/>
    <w:rsid w:val="00175845"/>
    <w:rsid w:val="00175D9B"/>
    <w:rsid w:val="00176082"/>
    <w:rsid w:val="00176779"/>
    <w:rsid w:val="001773E7"/>
    <w:rsid w:val="00177BC6"/>
    <w:rsid w:val="00177E7A"/>
    <w:rsid w:val="00177EC7"/>
    <w:rsid w:val="001806EA"/>
    <w:rsid w:val="00180942"/>
    <w:rsid w:val="00181070"/>
    <w:rsid w:val="001829C9"/>
    <w:rsid w:val="00182B26"/>
    <w:rsid w:val="001831D2"/>
    <w:rsid w:val="001835EE"/>
    <w:rsid w:val="00183E9B"/>
    <w:rsid w:val="001843C6"/>
    <w:rsid w:val="00184911"/>
    <w:rsid w:val="00184A72"/>
    <w:rsid w:val="001853BF"/>
    <w:rsid w:val="00185BA9"/>
    <w:rsid w:val="00186309"/>
    <w:rsid w:val="0018657A"/>
    <w:rsid w:val="00186964"/>
    <w:rsid w:val="001871DC"/>
    <w:rsid w:val="001875AF"/>
    <w:rsid w:val="00190104"/>
    <w:rsid w:val="00191350"/>
    <w:rsid w:val="0019260C"/>
    <w:rsid w:val="00192E2B"/>
    <w:rsid w:val="00193321"/>
    <w:rsid w:val="00193AD1"/>
    <w:rsid w:val="00194AD8"/>
    <w:rsid w:val="001955AC"/>
    <w:rsid w:val="001965F5"/>
    <w:rsid w:val="0019671E"/>
    <w:rsid w:val="00196B54"/>
    <w:rsid w:val="00196BEB"/>
    <w:rsid w:val="00196BF6"/>
    <w:rsid w:val="00196CE6"/>
    <w:rsid w:val="00196F4B"/>
    <w:rsid w:val="001A0637"/>
    <w:rsid w:val="001A0C28"/>
    <w:rsid w:val="001A189D"/>
    <w:rsid w:val="001A1911"/>
    <w:rsid w:val="001A1ABA"/>
    <w:rsid w:val="001A262A"/>
    <w:rsid w:val="001A2657"/>
    <w:rsid w:val="001A2D6A"/>
    <w:rsid w:val="001A31FD"/>
    <w:rsid w:val="001A342F"/>
    <w:rsid w:val="001A3539"/>
    <w:rsid w:val="001A3BEB"/>
    <w:rsid w:val="001A4886"/>
    <w:rsid w:val="001A582D"/>
    <w:rsid w:val="001A5EEE"/>
    <w:rsid w:val="001A60EE"/>
    <w:rsid w:val="001A6B81"/>
    <w:rsid w:val="001A6E55"/>
    <w:rsid w:val="001B07D3"/>
    <w:rsid w:val="001B12D3"/>
    <w:rsid w:val="001B1437"/>
    <w:rsid w:val="001B16F4"/>
    <w:rsid w:val="001B1B03"/>
    <w:rsid w:val="001B1B38"/>
    <w:rsid w:val="001B1E5C"/>
    <w:rsid w:val="001B2F50"/>
    <w:rsid w:val="001B2FFF"/>
    <w:rsid w:val="001B30DB"/>
    <w:rsid w:val="001B35F8"/>
    <w:rsid w:val="001B3D85"/>
    <w:rsid w:val="001B43E4"/>
    <w:rsid w:val="001B45DD"/>
    <w:rsid w:val="001B4AF7"/>
    <w:rsid w:val="001B5174"/>
    <w:rsid w:val="001B5210"/>
    <w:rsid w:val="001B560A"/>
    <w:rsid w:val="001B5817"/>
    <w:rsid w:val="001B5AFB"/>
    <w:rsid w:val="001B5CAF"/>
    <w:rsid w:val="001B7525"/>
    <w:rsid w:val="001B75FD"/>
    <w:rsid w:val="001B7C2C"/>
    <w:rsid w:val="001B7E95"/>
    <w:rsid w:val="001C00E2"/>
    <w:rsid w:val="001C05DB"/>
    <w:rsid w:val="001C0D43"/>
    <w:rsid w:val="001C23B6"/>
    <w:rsid w:val="001C2B29"/>
    <w:rsid w:val="001C2BF0"/>
    <w:rsid w:val="001C2E4E"/>
    <w:rsid w:val="001C2EC2"/>
    <w:rsid w:val="001C2FC6"/>
    <w:rsid w:val="001C3129"/>
    <w:rsid w:val="001C34E6"/>
    <w:rsid w:val="001C443D"/>
    <w:rsid w:val="001C46DC"/>
    <w:rsid w:val="001C4828"/>
    <w:rsid w:val="001C4BFE"/>
    <w:rsid w:val="001C6C30"/>
    <w:rsid w:val="001C79FF"/>
    <w:rsid w:val="001C7E55"/>
    <w:rsid w:val="001D000B"/>
    <w:rsid w:val="001D009F"/>
    <w:rsid w:val="001D0860"/>
    <w:rsid w:val="001D16F7"/>
    <w:rsid w:val="001D17B3"/>
    <w:rsid w:val="001D1A20"/>
    <w:rsid w:val="001D1B71"/>
    <w:rsid w:val="001D21D9"/>
    <w:rsid w:val="001D2E9B"/>
    <w:rsid w:val="001D39B0"/>
    <w:rsid w:val="001D3C35"/>
    <w:rsid w:val="001D3D0A"/>
    <w:rsid w:val="001D496D"/>
    <w:rsid w:val="001D508C"/>
    <w:rsid w:val="001D508D"/>
    <w:rsid w:val="001D51D9"/>
    <w:rsid w:val="001D55EC"/>
    <w:rsid w:val="001D5841"/>
    <w:rsid w:val="001D5BAF"/>
    <w:rsid w:val="001D5F4A"/>
    <w:rsid w:val="001D677D"/>
    <w:rsid w:val="001D6982"/>
    <w:rsid w:val="001D6A0A"/>
    <w:rsid w:val="001D6B3B"/>
    <w:rsid w:val="001D6BA5"/>
    <w:rsid w:val="001D6C92"/>
    <w:rsid w:val="001D7011"/>
    <w:rsid w:val="001D71B6"/>
    <w:rsid w:val="001E0824"/>
    <w:rsid w:val="001E083F"/>
    <w:rsid w:val="001E141D"/>
    <w:rsid w:val="001E1828"/>
    <w:rsid w:val="001E1D92"/>
    <w:rsid w:val="001E2193"/>
    <w:rsid w:val="001E2418"/>
    <w:rsid w:val="001E2749"/>
    <w:rsid w:val="001E2AFB"/>
    <w:rsid w:val="001E2E5A"/>
    <w:rsid w:val="001E2F3E"/>
    <w:rsid w:val="001E430B"/>
    <w:rsid w:val="001E4624"/>
    <w:rsid w:val="001E49B3"/>
    <w:rsid w:val="001E5B13"/>
    <w:rsid w:val="001E5CEA"/>
    <w:rsid w:val="001E6A41"/>
    <w:rsid w:val="001E6FDD"/>
    <w:rsid w:val="001E724E"/>
    <w:rsid w:val="001E733F"/>
    <w:rsid w:val="001E7916"/>
    <w:rsid w:val="001E7CA0"/>
    <w:rsid w:val="001F07A9"/>
    <w:rsid w:val="001F0BFD"/>
    <w:rsid w:val="001F1168"/>
    <w:rsid w:val="001F1275"/>
    <w:rsid w:val="001F165D"/>
    <w:rsid w:val="001F1F11"/>
    <w:rsid w:val="001F2462"/>
    <w:rsid w:val="001F2531"/>
    <w:rsid w:val="001F2870"/>
    <w:rsid w:val="001F2C34"/>
    <w:rsid w:val="001F2DC7"/>
    <w:rsid w:val="001F32F8"/>
    <w:rsid w:val="001F361D"/>
    <w:rsid w:val="001F3A65"/>
    <w:rsid w:val="001F3A6C"/>
    <w:rsid w:val="001F448F"/>
    <w:rsid w:val="001F4991"/>
    <w:rsid w:val="001F4C9D"/>
    <w:rsid w:val="001F5453"/>
    <w:rsid w:val="001F57DF"/>
    <w:rsid w:val="001F6166"/>
    <w:rsid w:val="001F64DB"/>
    <w:rsid w:val="001F6583"/>
    <w:rsid w:val="001F692C"/>
    <w:rsid w:val="001F6A28"/>
    <w:rsid w:val="001F6BAA"/>
    <w:rsid w:val="001F7049"/>
    <w:rsid w:val="001F7C95"/>
    <w:rsid w:val="002002C8"/>
    <w:rsid w:val="00200745"/>
    <w:rsid w:val="00200DF4"/>
    <w:rsid w:val="00201088"/>
    <w:rsid w:val="0020141B"/>
    <w:rsid w:val="00201889"/>
    <w:rsid w:val="002019C9"/>
    <w:rsid w:val="00201B4B"/>
    <w:rsid w:val="00202A6D"/>
    <w:rsid w:val="002043C7"/>
    <w:rsid w:val="0020456D"/>
    <w:rsid w:val="002049CF"/>
    <w:rsid w:val="00204FB9"/>
    <w:rsid w:val="00205239"/>
    <w:rsid w:val="0020552B"/>
    <w:rsid w:val="00205E6B"/>
    <w:rsid w:val="00206890"/>
    <w:rsid w:val="00206A65"/>
    <w:rsid w:val="00207D31"/>
    <w:rsid w:val="00210AC6"/>
    <w:rsid w:val="00210D18"/>
    <w:rsid w:val="00210F75"/>
    <w:rsid w:val="0021110D"/>
    <w:rsid w:val="00211617"/>
    <w:rsid w:val="00211C03"/>
    <w:rsid w:val="00211DCE"/>
    <w:rsid w:val="00212954"/>
    <w:rsid w:val="00212E92"/>
    <w:rsid w:val="00214263"/>
    <w:rsid w:val="00214749"/>
    <w:rsid w:val="0021481D"/>
    <w:rsid w:val="00214BDE"/>
    <w:rsid w:val="00214BEB"/>
    <w:rsid w:val="0021530B"/>
    <w:rsid w:val="00215E33"/>
    <w:rsid w:val="00216A75"/>
    <w:rsid w:val="00216B52"/>
    <w:rsid w:val="00217F33"/>
    <w:rsid w:val="00220311"/>
    <w:rsid w:val="002203FA"/>
    <w:rsid w:val="0022093F"/>
    <w:rsid w:val="002210FB"/>
    <w:rsid w:val="00221206"/>
    <w:rsid w:val="00221EC9"/>
    <w:rsid w:val="002223BB"/>
    <w:rsid w:val="00222B7B"/>
    <w:rsid w:val="0022313A"/>
    <w:rsid w:val="00224107"/>
    <w:rsid w:val="00225126"/>
    <w:rsid w:val="0022535C"/>
    <w:rsid w:val="00225CD5"/>
    <w:rsid w:val="00227DE4"/>
    <w:rsid w:val="00227E23"/>
    <w:rsid w:val="00230E4A"/>
    <w:rsid w:val="00230EE6"/>
    <w:rsid w:val="002318F8"/>
    <w:rsid w:val="00232B1A"/>
    <w:rsid w:val="002330FF"/>
    <w:rsid w:val="00233191"/>
    <w:rsid w:val="00233230"/>
    <w:rsid w:val="00233913"/>
    <w:rsid w:val="00233EFB"/>
    <w:rsid w:val="002342E5"/>
    <w:rsid w:val="002349E3"/>
    <w:rsid w:val="002349E5"/>
    <w:rsid w:val="0023537B"/>
    <w:rsid w:val="0023569F"/>
    <w:rsid w:val="002374DE"/>
    <w:rsid w:val="0024014D"/>
    <w:rsid w:val="00240447"/>
    <w:rsid w:val="00240638"/>
    <w:rsid w:val="00241102"/>
    <w:rsid w:val="00241BD0"/>
    <w:rsid w:val="00241E12"/>
    <w:rsid w:val="002423F2"/>
    <w:rsid w:val="00242B5A"/>
    <w:rsid w:val="00242D8A"/>
    <w:rsid w:val="00242F63"/>
    <w:rsid w:val="0024349D"/>
    <w:rsid w:val="0024349E"/>
    <w:rsid w:val="0024351A"/>
    <w:rsid w:val="00243C7D"/>
    <w:rsid w:val="002441FF"/>
    <w:rsid w:val="00244E23"/>
    <w:rsid w:val="002451DC"/>
    <w:rsid w:val="00245261"/>
    <w:rsid w:val="00245835"/>
    <w:rsid w:val="002458C0"/>
    <w:rsid w:val="00245D5D"/>
    <w:rsid w:val="0024644C"/>
    <w:rsid w:val="00246915"/>
    <w:rsid w:val="002477AC"/>
    <w:rsid w:val="00247959"/>
    <w:rsid w:val="00250278"/>
    <w:rsid w:val="002507BC"/>
    <w:rsid w:val="00250A97"/>
    <w:rsid w:val="00250BEA"/>
    <w:rsid w:val="00250E0A"/>
    <w:rsid w:val="00251098"/>
    <w:rsid w:val="00251242"/>
    <w:rsid w:val="002518F2"/>
    <w:rsid w:val="002519BD"/>
    <w:rsid w:val="00251CC0"/>
    <w:rsid w:val="002522EB"/>
    <w:rsid w:val="002523BB"/>
    <w:rsid w:val="002529C8"/>
    <w:rsid w:val="00253252"/>
    <w:rsid w:val="0025343C"/>
    <w:rsid w:val="002536C1"/>
    <w:rsid w:val="00253975"/>
    <w:rsid w:val="00255083"/>
    <w:rsid w:val="00255E0E"/>
    <w:rsid w:val="00256572"/>
    <w:rsid w:val="0025687D"/>
    <w:rsid w:val="00256998"/>
    <w:rsid w:val="00256FF8"/>
    <w:rsid w:val="002575D7"/>
    <w:rsid w:val="002602A9"/>
    <w:rsid w:val="00260D94"/>
    <w:rsid w:val="00260DBA"/>
    <w:rsid w:val="00261CCA"/>
    <w:rsid w:val="0026218F"/>
    <w:rsid w:val="002621F6"/>
    <w:rsid w:val="002623CD"/>
    <w:rsid w:val="00262BC0"/>
    <w:rsid w:val="002639F2"/>
    <w:rsid w:val="00264AC4"/>
    <w:rsid w:val="00264D70"/>
    <w:rsid w:val="002651D2"/>
    <w:rsid w:val="00265DF6"/>
    <w:rsid w:val="00266107"/>
    <w:rsid w:val="002666D1"/>
    <w:rsid w:val="002667EA"/>
    <w:rsid w:val="002668EF"/>
    <w:rsid w:val="00267199"/>
    <w:rsid w:val="0026766C"/>
    <w:rsid w:val="002676A2"/>
    <w:rsid w:val="00270239"/>
    <w:rsid w:val="00271656"/>
    <w:rsid w:val="002717E6"/>
    <w:rsid w:val="00271D26"/>
    <w:rsid w:val="00271E37"/>
    <w:rsid w:val="00273A95"/>
    <w:rsid w:val="002742D7"/>
    <w:rsid w:val="0027466E"/>
    <w:rsid w:val="00274A01"/>
    <w:rsid w:val="002764FB"/>
    <w:rsid w:val="002768DB"/>
    <w:rsid w:val="002772F4"/>
    <w:rsid w:val="00277C0C"/>
    <w:rsid w:val="00277CE4"/>
    <w:rsid w:val="00277FC9"/>
    <w:rsid w:val="002801CB"/>
    <w:rsid w:val="0028078A"/>
    <w:rsid w:val="00280C06"/>
    <w:rsid w:val="00280FC8"/>
    <w:rsid w:val="0028126A"/>
    <w:rsid w:val="002813C2"/>
    <w:rsid w:val="002816F8"/>
    <w:rsid w:val="00281D27"/>
    <w:rsid w:val="0028232F"/>
    <w:rsid w:val="002824BD"/>
    <w:rsid w:val="00283714"/>
    <w:rsid w:val="002839AD"/>
    <w:rsid w:val="00283A6E"/>
    <w:rsid w:val="00283B9B"/>
    <w:rsid w:val="00283E11"/>
    <w:rsid w:val="002842DB"/>
    <w:rsid w:val="0028448A"/>
    <w:rsid w:val="00284EF7"/>
    <w:rsid w:val="00284FB1"/>
    <w:rsid w:val="0028570E"/>
    <w:rsid w:val="00285DE9"/>
    <w:rsid w:val="00285DF4"/>
    <w:rsid w:val="00285F70"/>
    <w:rsid w:val="002860EA"/>
    <w:rsid w:val="0028638B"/>
    <w:rsid w:val="00286999"/>
    <w:rsid w:val="00286AE2"/>
    <w:rsid w:val="00286BDF"/>
    <w:rsid w:val="00287DAC"/>
    <w:rsid w:val="00287E73"/>
    <w:rsid w:val="002908CD"/>
    <w:rsid w:val="00290CC3"/>
    <w:rsid w:val="0029150F"/>
    <w:rsid w:val="002916E6"/>
    <w:rsid w:val="00291712"/>
    <w:rsid w:val="002917AF"/>
    <w:rsid w:val="00291D97"/>
    <w:rsid w:val="00292349"/>
    <w:rsid w:val="0029351F"/>
    <w:rsid w:val="00293C7E"/>
    <w:rsid w:val="002945EF"/>
    <w:rsid w:val="00294DF7"/>
    <w:rsid w:val="00295C99"/>
    <w:rsid w:val="00296637"/>
    <w:rsid w:val="00296D74"/>
    <w:rsid w:val="00296EF8"/>
    <w:rsid w:val="0029729C"/>
    <w:rsid w:val="002974C4"/>
    <w:rsid w:val="00297652"/>
    <w:rsid w:val="00297710"/>
    <w:rsid w:val="002A09E1"/>
    <w:rsid w:val="002A0FDD"/>
    <w:rsid w:val="002A1542"/>
    <w:rsid w:val="002A1641"/>
    <w:rsid w:val="002A18EC"/>
    <w:rsid w:val="002A19C8"/>
    <w:rsid w:val="002A1EAC"/>
    <w:rsid w:val="002A2503"/>
    <w:rsid w:val="002A2781"/>
    <w:rsid w:val="002A2A1B"/>
    <w:rsid w:val="002A3A93"/>
    <w:rsid w:val="002A4591"/>
    <w:rsid w:val="002A4DA7"/>
    <w:rsid w:val="002A4FB3"/>
    <w:rsid w:val="002A568B"/>
    <w:rsid w:val="002A5ACF"/>
    <w:rsid w:val="002A5BA4"/>
    <w:rsid w:val="002A5C3B"/>
    <w:rsid w:val="002A5E4E"/>
    <w:rsid w:val="002A6E26"/>
    <w:rsid w:val="002A70AC"/>
    <w:rsid w:val="002B0988"/>
    <w:rsid w:val="002B10E9"/>
    <w:rsid w:val="002B14DF"/>
    <w:rsid w:val="002B15AD"/>
    <w:rsid w:val="002B3B1A"/>
    <w:rsid w:val="002B4010"/>
    <w:rsid w:val="002B481B"/>
    <w:rsid w:val="002B4BE3"/>
    <w:rsid w:val="002B4D97"/>
    <w:rsid w:val="002B5631"/>
    <w:rsid w:val="002B646E"/>
    <w:rsid w:val="002B6555"/>
    <w:rsid w:val="002B68F9"/>
    <w:rsid w:val="002B6949"/>
    <w:rsid w:val="002B6965"/>
    <w:rsid w:val="002B7490"/>
    <w:rsid w:val="002B7BF0"/>
    <w:rsid w:val="002B7F41"/>
    <w:rsid w:val="002C02F9"/>
    <w:rsid w:val="002C039C"/>
    <w:rsid w:val="002C11D6"/>
    <w:rsid w:val="002C207A"/>
    <w:rsid w:val="002C20E0"/>
    <w:rsid w:val="002C274F"/>
    <w:rsid w:val="002C32D7"/>
    <w:rsid w:val="002C3413"/>
    <w:rsid w:val="002C3D51"/>
    <w:rsid w:val="002C43CF"/>
    <w:rsid w:val="002C5259"/>
    <w:rsid w:val="002C5A1B"/>
    <w:rsid w:val="002C60D5"/>
    <w:rsid w:val="002C68A2"/>
    <w:rsid w:val="002C6B70"/>
    <w:rsid w:val="002C705B"/>
    <w:rsid w:val="002C72EA"/>
    <w:rsid w:val="002C7DA3"/>
    <w:rsid w:val="002C7FB6"/>
    <w:rsid w:val="002D0871"/>
    <w:rsid w:val="002D0922"/>
    <w:rsid w:val="002D0CFA"/>
    <w:rsid w:val="002D145D"/>
    <w:rsid w:val="002D15D3"/>
    <w:rsid w:val="002D1C51"/>
    <w:rsid w:val="002D2499"/>
    <w:rsid w:val="002D30ED"/>
    <w:rsid w:val="002D3265"/>
    <w:rsid w:val="002D3270"/>
    <w:rsid w:val="002D35C2"/>
    <w:rsid w:val="002D3EE6"/>
    <w:rsid w:val="002D41F0"/>
    <w:rsid w:val="002D492B"/>
    <w:rsid w:val="002D4D55"/>
    <w:rsid w:val="002D57DA"/>
    <w:rsid w:val="002D597B"/>
    <w:rsid w:val="002D5ED8"/>
    <w:rsid w:val="002D6889"/>
    <w:rsid w:val="002D6F4D"/>
    <w:rsid w:val="002D71EA"/>
    <w:rsid w:val="002D75C7"/>
    <w:rsid w:val="002D7A24"/>
    <w:rsid w:val="002D7AD6"/>
    <w:rsid w:val="002D7B2A"/>
    <w:rsid w:val="002E00D1"/>
    <w:rsid w:val="002E02A9"/>
    <w:rsid w:val="002E0BFD"/>
    <w:rsid w:val="002E0D74"/>
    <w:rsid w:val="002E111A"/>
    <w:rsid w:val="002E1710"/>
    <w:rsid w:val="002E1751"/>
    <w:rsid w:val="002E1E70"/>
    <w:rsid w:val="002E2229"/>
    <w:rsid w:val="002E346C"/>
    <w:rsid w:val="002E4104"/>
    <w:rsid w:val="002E456C"/>
    <w:rsid w:val="002E49AA"/>
    <w:rsid w:val="002E4D4F"/>
    <w:rsid w:val="002E5136"/>
    <w:rsid w:val="002E52B9"/>
    <w:rsid w:val="002E603F"/>
    <w:rsid w:val="002E66C4"/>
    <w:rsid w:val="002E69D1"/>
    <w:rsid w:val="002E763A"/>
    <w:rsid w:val="002E7868"/>
    <w:rsid w:val="002F0129"/>
    <w:rsid w:val="002F088C"/>
    <w:rsid w:val="002F09C5"/>
    <w:rsid w:val="002F0F0A"/>
    <w:rsid w:val="002F0F0E"/>
    <w:rsid w:val="002F1CFB"/>
    <w:rsid w:val="002F1D27"/>
    <w:rsid w:val="002F1F86"/>
    <w:rsid w:val="002F2379"/>
    <w:rsid w:val="002F3163"/>
    <w:rsid w:val="002F364A"/>
    <w:rsid w:val="002F3F83"/>
    <w:rsid w:val="002F44F9"/>
    <w:rsid w:val="002F503C"/>
    <w:rsid w:val="002F5568"/>
    <w:rsid w:val="002F5F54"/>
    <w:rsid w:val="002F6CA7"/>
    <w:rsid w:val="002F6CB6"/>
    <w:rsid w:val="002F7D07"/>
    <w:rsid w:val="00300258"/>
    <w:rsid w:val="003008E2"/>
    <w:rsid w:val="00300CF4"/>
    <w:rsid w:val="00301FD0"/>
    <w:rsid w:val="00302CA6"/>
    <w:rsid w:val="00302CD0"/>
    <w:rsid w:val="0030318F"/>
    <w:rsid w:val="003031B5"/>
    <w:rsid w:val="0030359D"/>
    <w:rsid w:val="003038B6"/>
    <w:rsid w:val="0030500A"/>
    <w:rsid w:val="00305357"/>
    <w:rsid w:val="003053C8"/>
    <w:rsid w:val="00305458"/>
    <w:rsid w:val="00306032"/>
    <w:rsid w:val="0030619F"/>
    <w:rsid w:val="0030668A"/>
    <w:rsid w:val="003066D7"/>
    <w:rsid w:val="003068D4"/>
    <w:rsid w:val="003069AE"/>
    <w:rsid w:val="00306A86"/>
    <w:rsid w:val="00306CEA"/>
    <w:rsid w:val="00306E3B"/>
    <w:rsid w:val="00306EB6"/>
    <w:rsid w:val="0030752F"/>
    <w:rsid w:val="0030766A"/>
    <w:rsid w:val="003077CF"/>
    <w:rsid w:val="00307895"/>
    <w:rsid w:val="00310357"/>
    <w:rsid w:val="00310483"/>
    <w:rsid w:val="00310D4A"/>
    <w:rsid w:val="003111B9"/>
    <w:rsid w:val="003112BE"/>
    <w:rsid w:val="003112D5"/>
    <w:rsid w:val="00311355"/>
    <w:rsid w:val="00312480"/>
    <w:rsid w:val="00312732"/>
    <w:rsid w:val="00312C1A"/>
    <w:rsid w:val="00312E43"/>
    <w:rsid w:val="0031316A"/>
    <w:rsid w:val="0031327B"/>
    <w:rsid w:val="003132AE"/>
    <w:rsid w:val="003133B4"/>
    <w:rsid w:val="003136FD"/>
    <w:rsid w:val="00313823"/>
    <w:rsid w:val="003138F9"/>
    <w:rsid w:val="0031445F"/>
    <w:rsid w:val="00314A86"/>
    <w:rsid w:val="00314D46"/>
    <w:rsid w:val="00315173"/>
    <w:rsid w:val="00315747"/>
    <w:rsid w:val="00315E88"/>
    <w:rsid w:val="003160FB"/>
    <w:rsid w:val="00316138"/>
    <w:rsid w:val="0031684C"/>
    <w:rsid w:val="00317888"/>
    <w:rsid w:val="00317C9F"/>
    <w:rsid w:val="00317D36"/>
    <w:rsid w:val="003205A2"/>
    <w:rsid w:val="00320A06"/>
    <w:rsid w:val="00320AC3"/>
    <w:rsid w:val="00320F23"/>
    <w:rsid w:val="00321497"/>
    <w:rsid w:val="003217D2"/>
    <w:rsid w:val="00321869"/>
    <w:rsid w:val="00321982"/>
    <w:rsid w:val="00321ED3"/>
    <w:rsid w:val="003229FA"/>
    <w:rsid w:val="00322EB5"/>
    <w:rsid w:val="003234C9"/>
    <w:rsid w:val="003237A7"/>
    <w:rsid w:val="00323BDD"/>
    <w:rsid w:val="00324430"/>
    <w:rsid w:val="00324615"/>
    <w:rsid w:val="00325944"/>
    <w:rsid w:val="003261F6"/>
    <w:rsid w:val="003263F1"/>
    <w:rsid w:val="00326814"/>
    <w:rsid w:val="00326B5B"/>
    <w:rsid w:val="00326C0B"/>
    <w:rsid w:val="00330231"/>
    <w:rsid w:val="00330836"/>
    <w:rsid w:val="003308B8"/>
    <w:rsid w:val="00331137"/>
    <w:rsid w:val="00331CBC"/>
    <w:rsid w:val="00332054"/>
    <w:rsid w:val="003321D1"/>
    <w:rsid w:val="00332397"/>
    <w:rsid w:val="0033239B"/>
    <w:rsid w:val="00332E23"/>
    <w:rsid w:val="00332E76"/>
    <w:rsid w:val="003330FA"/>
    <w:rsid w:val="00333FD4"/>
    <w:rsid w:val="00334194"/>
    <w:rsid w:val="0033429D"/>
    <w:rsid w:val="00334953"/>
    <w:rsid w:val="00334EAB"/>
    <w:rsid w:val="00334EF8"/>
    <w:rsid w:val="00335139"/>
    <w:rsid w:val="003352F7"/>
    <w:rsid w:val="003356F1"/>
    <w:rsid w:val="00335D2A"/>
    <w:rsid w:val="00340115"/>
    <w:rsid w:val="003403B4"/>
    <w:rsid w:val="0034074E"/>
    <w:rsid w:val="0034094E"/>
    <w:rsid w:val="00341650"/>
    <w:rsid w:val="00342627"/>
    <w:rsid w:val="0034266C"/>
    <w:rsid w:val="00343E21"/>
    <w:rsid w:val="00344A5B"/>
    <w:rsid w:val="00344AE0"/>
    <w:rsid w:val="00344B76"/>
    <w:rsid w:val="00344F68"/>
    <w:rsid w:val="00344FB9"/>
    <w:rsid w:val="003452DA"/>
    <w:rsid w:val="0034558C"/>
    <w:rsid w:val="00345912"/>
    <w:rsid w:val="00345B60"/>
    <w:rsid w:val="00345EDF"/>
    <w:rsid w:val="003464CD"/>
    <w:rsid w:val="00346510"/>
    <w:rsid w:val="00346807"/>
    <w:rsid w:val="00346D66"/>
    <w:rsid w:val="00346E9D"/>
    <w:rsid w:val="00347516"/>
    <w:rsid w:val="00347F04"/>
    <w:rsid w:val="003501E6"/>
    <w:rsid w:val="00350DA6"/>
    <w:rsid w:val="00350F73"/>
    <w:rsid w:val="0035126E"/>
    <w:rsid w:val="00351CE7"/>
    <w:rsid w:val="00351F26"/>
    <w:rsid w:val="00351FA8"/>
    <w:rsid w:val="003521AD"/>
    <w:rsid w:val="003522C0"/>
    <w:rsid w:val="00352769"/>
    <w:rsid w:val="00352E68"/>
    <w:rsid w:val="003532E2"/>
    <w:rsid w:val="00353B3F"/>
    <w:rsid w:val="00353EB1"/>
    <w:rsid w:val="00353FEA"/>
    <w:rsid w:val="003542D6"/>
    <w:rsid w:val="0035454C"/>
    <w:rsid w:val="00354CA9"/>
    <w:rsid w:val="0035552F"/>
    <w:rsid w:val="00356224"/>
    <w:rsid w:val="003569A0"/>
    <w:rsid w:val="003601CD"/>
    <w:rsid w:val="00360734"/>
    <w:rsid w:val="003608F9"/>
    <w:rsid w:val="00360CD9"/>
    <w:rsid w:val="00360DD6"/>
    <w:rsid w:val="00361018"/>
    <w:rsid w:val="0036124B"/>
    <w:rsid w:val="00361CFA"/>
    <w:rsid w:val="003622F1"/>
    <w:rsid w:val="00362834"/>
    <w:rsid w:val="003628FE"/>
    <w:rsid w:val="00363327"/>
    <w:rsid w:val="00363FF5"/>
    <w:rsid w:val="00364826"/>
    <w:rsid w:val="0036658D"/>
    <w:rsid w:val="00366764"/>
    <w:rsid w:val="003704E3"/>
    <w:rsid w:val="00370A28"/>
    <w:rsid w:val="00370FBD"/>
    <w:rsid w:val="0037168C"/>
    <w:rsid w:val="00371D57"/>
    <w:rsid w:val="00371DE4"/>
    <w:rsid w:val="00371FAA"/>
    <w:rsid w:val="0037212A"/>
    <w:rsid w:val="003721DA"/>
    <w:rsid w:val="00372273"/>
    <w:rsid w:val="00372D83"/>
    <w:rsid w:val="00372DF8"/>
    <w:rsid w:val="0037347F"/>
    <w:rsid w:val="00373699"/>
    <w:rsid w:val="00373CF8"/>
    <w:rsid w:val="00373F78"/>
    <w:rsid w:val="0037431B"/>
    <w:rsid w:val="00374399"/>
    <w:rsid w:val="003746CE"/>
    <w:rsid w:val="0037493F"/>
    <w:rsid w:val="003749F7"/>
    <w:rsid w:val="0037506A"/>
    <w:rsid w:val="0037560A"/>
    <w:rsid w:val="00375795"/>
    <w:rsid w:val="0037616E"/>
    <w:rsid w:val="00376262"/>
    <w:rsid w:val="003763A1"/>
    <w:rsid w:val="003768E2"/>
    <w:rsid w:val="00376F43"/>
    <w:rsid w:val="00377473"/>
    <w:rsid w:val="0037760E"/>
    <w:rsid w:val="003803E0"/>
    <w:rsid w:val="0038054C"/>
    <w:rsid w:val="003805D3"/>
    <w:rsid w:val="0038061E"/>
    <w:rsid w:val="003809AF"/>
    <w:rsid w:val="00380B36"/>
    <w:rsid w:val="003817A7"/>
    <w:rsid w:val="003817C0"/>
    <w:rsid w:val="0038191F"/>
    <w:rsid w:val="003819CC"/>
    <w:rsid w:val="00381B0C"/>
    <w:rsid w:val="0038290A"/>
    <w:rsid w:val="00382D8D"/>
    <w:rsid w:val="00382F22"/>
    <w:rsid w:val="003830A8"/>
    <w:rsid w:val="0038322A"/>
    <w:rsid w:val="00384541"/>
    <w:rsid w:val="00384797"/>
    <w:rsid w:val="00385049"/>
    <w:rsid w:val="00385214"/>
    <w:rsid w:val="003856C4"/>
    <w:rsid w:val="003864B1"/>
    <w:rsid w:val="00386623"/>
    <w:rsid w:val="00387F2F"/>
    <w:rsid w:val="0039000D"/>
    <w:rsid w:val="003900C7"/>
    <w:rsid w:val="003902D5"/>
    <w:rsid w:val="00390746"/>
    <w:rsid w:val="00390CF9"/>
    <w:rsid w:val="00391C58"/>
    <w:rsid w:val="00391C9B"/>
    <w:rsid w:val="00392198"/>
    <w:rsid w:val="003929E1"/>
    <w:rsid w:val="00392D78"/>
    <w:rsid w:val="00393264"/>
    <w:rsid w:val="00395064"/>
    <w:rsid w:val="0039534D"/>
    <w:rsid w:val="003953C1"/>
    <w:rsid w:val="00395B6C"/>
    <w:rsid w:val="00395F8F"/>
    <w:rsid w:val="003968A6"/>
    <w:rsid w:val="00396BA3"/>
    <w:rsid w:val="003975E8"/>
    <w:rsid w:val="0039793B"/>
    <w:rsid w:val="003A07F8"/>
    <w:rsid w:val="003A1055"/>
    <w:rsid w:val="003A10AE"/>
    <w:rsid w:val="003A2176"/>
    <w:rsid w:val="003A2612"/>
    <w:rsid w:val="003A32A9"/>
    <w:rsid w:val="003A32DA"/>
    <w:rsid w:val="003A34C1"/>
    <w:rsid w:val="003A380D"/>
    <w:rsid w:val="003A3D26"/>
    <w:rsid w:val="003A3DF1"/>
    <w:rsid w:val="003A4027"/>
    <w:rsid w:val="003A42F7"/>
    <w:rsid w:val="003A4653"/>
    <w:rsid w:val="003A4794"/>
    <w:rsid w:val="003A47D8"/>
    <w:rsid w:val="003A481F"/>
    <w:rsid w:val="003A4A57"/>
    <w:rsid w:val="003A4C7C"/>
    <w:rsid w:val="003A4D11"/>
    <w:rsid w:val="003A4D17"/>
    <w:rsid w:val="003A51A7"/>
    <w:rsid w:val="003A5280"/>
    <w:rsid w:val="003A5585"/>
    <w:rsid w:val="003A5701"/>
    <w:rsid w:val="003A6167"/>
    <w:rsid w:val="003A652D"/>
    <w:rsid w:val="003A67B1"/>
    <w:rsid w:val="003A6862"/>
    <w:rsid w:val="003A6BD9"/>
    <w:rsid w:val="003A6D3A"/>
    <w:rsid w:val="003A7B67"/>
    <w:rsid w:val="003A7D48"/>
    <w:rsid w:val="003B08A2"/>
    <w:rsid w:val="003B0BF4"/>
    <w:rsid w:val="003B0C91"/>
    <w:rsid w:val="003B0F8E"/>
    <w:rsid w:val="003B1111"/>
    <w:rsid w:val="003B1933"/>
    <w:rsid w:val="003B2B5E"/>
    <w:rsid w:val="003B30B3"/>
    <w:rsid w:val="003B3666"/>
    <w:rsid w:val="003B3E5C"/>
    <w:rsid w:val="003B4163"/>
    <w:rsid w:val="003B41C7"/>
    <w:rsid w:val="003B496A"/>
    <w:rsid w:val="003B4CAA"/>
    <w:rsid w:val="003B5105"/>
    <w:rsid w:val="003B512C"/>
    <w:rsid w:val="003B5241"/>
    <w:rsid w:val="003B5C91"/>
    <w:rsid w:val="003B5D58"/>
    <w:rsid w:val="003B5FA0"/>
    <w:rsid w:val="003B6047"/>
    <w:rsid w:val="003B64C0"/>
    <w:rsid w:val="003B692F"/>
    <w:rsid w:val="003B693F"/>
    <w:rsid w:val="003B6DEA"/>
    <w:rsid w:val="003B6ECC"/>
    <w:rsid w:val="003B7250"/>
    <w:rsid w:val="003B7835"/>
    <w:rsid w:val="003B7840"/>
    <w:rsid w:val="003B79B9"/>
    <w:rsid w:val="003B7A6C"/>
    <w:rsid w:val="003B7E92"/>
    <w:rsid w:val="003C0029"/>
    <w:rsid w:val="003C01AC"/>
    <w:rsid w:val="003C04A9"/>
    <w:rsid w:val="003C0975"/>
    <w:rsid w:val="003C0D49"/>
    <w:rsid w:val="003C0D77"/>
    <w:rsid w:val="003C0FEC"/>
    <w:rsid w:val="003C10E1"/>
    <w:rsid w:val="003C1852"/>
    <w:rsid w:val="003C1943"/>
    <w:rsid w:val="003C2214"/>
    <w:rsid w:val="003C2B5C"/>
    <w:rsid w:val="003C2E92"/>
    <w:rsid w:val="003C308E"/>
    <w:rsid w:val="003C32EE"/>
    <w:rsid w:val="003C4506"/>
    <w:rsid w:val="003C450C"/>
    <w:rsid w:val="003C4DB4"/>
    <w:rsid w:val="003C4DD4"/>
    <w:rsid w:val="003C4E4D"/>
    <w:rsid w:val="003C5308"/>
    <w:rsid w:val="003C567F"/>
    <w:rsid w:val="003C587C"/>
    <w:rsid w:val="003C62D9"/>
    <w:rsid w:val="003C6438"/>
    <w:rsid w:val="003C6A5B"/>
    <w:rsid w:val="003C6D1D"/>
    <w:rsid w:val="003C6E27"/>
    <w:rsid w:val="003C6F87"/>
    <w:rsid w:val="003C7251"/>
    <w:rsid w:val="003C776C"/>
    <w:rsid w:val="003D02CD"/>
    <w:rsid w:val="003D2651"/>
    <w:rsid w:val="003D332D"/>
    <w:rsid w:val="003D3787"/>
    <w:rsid w:val="003D436D"/>
    <w:rsid w:val="003D45A0"/>
    <w:rsid w:val="003D4EC0"/>
    <w:rsid w:val="003D506A"/>
    <w:rsid w:val="003D567D"/>
    <w:rsid w:val="003D5D06"/>
    <w:rsid w:val="003D5FD3"/>
    <w:rsid w:val="003D61B5"/>
    <w:rsid w:val="003D79C5"/>
    <w:rsid w:val="003D7F56"/>
    <w:rsid w:val="003E05D8"/>
    <w:rsid w:val="003E11AE"/>
    <w:rsid w:val="003E1709"/>
    <w:rsid w:val="003E1D8E"/>
    <w:rsid w:val="003E28EB"/>
    <w:rsid w:val="003E32F0"/>
    <w:rsid w:val="003E3939"/>
    <w:rsid w:val="003E3AED"/>
    <w:rsid w:val="003E3B30"/>
    <w:rsid w:val="003E44E5"/>
    <w:rsid w:val="003E45D7"/>
    <w:rsid w:val="003E4D6F"/>
    <w:rsid w:val="003E53BB"/>
    <w:rsid w:val="003E54EB"/>
    <w:rsid w:val="003E551D"/>
    <w:rsid w:val="003E5A6B"/>
    <w:rsid w:val="003E5D5A"/>
    <w:rsid w:val="003E643A"/>
    <w:rsid w:val="003E65F5"/>
    <w:rsid w:val="003E69BA"/>
    <w:rsid w:val="003E7287"/>
    <w:rsid w:val="003E7437"/>
    <w:rsid w:val="003E7EE9"/>
    <w:rsid w:val="003E7FC1"/>
    <w:rsid w:val="003F088A"/>
    <w:rsid w:val="003F0F5F"/>
    <w:rsid w:val="003F1034"/>
    <w:rsid w:val="003F1198"/>
    <w:rsid w:val="003F1EF0"/>
    <w:rsid w:val="003F3EA5"/>
    <w:rsid w:val="003F4461"/>
    <w:rsid w:val="003F4A0E"/>
    <w:rsid w:val="003F4D08"/>
    <w:rsid w:val="003F589D"/>
    <w:rsid w:val="003F58AF"/>
    <w:rsid w:val="003F5B6E"/>
    <w:rsid w:val="003F63C0"/>
    <w:rsid w:val="003F6592"/>
    <w:rsid w:val="003F6728"/>
    <w:rsid w:val="003F6F4E"/>
    <w:rsid w:val="003F7384"/>
    <w:rsid w:val="00400C56"/>
    <w:rsid w:val="00400F0F"/>
    <w:rsid w:val="00400F58"/>
    <w:rsid w:val="004010B8"/>
    <w:rsid w:val="0040136C"/>
    <w:rsid w:val="00401663"/>
    <w:rsid w:val="0040181B"/>
    <w:rsid w:val="00401924"/>
    <w:rsid w:val="0040197F"/>
    <w:rsid w:val="00401C77"/>
    <w:rsid w:val="00401CBF"/>
    <w:rsid w:val="004021BD"/>
    <w:rsid w:val="00402838"/>
    <w:rsid w:val="00402E87"/>
    <w:rsid w:val="0040325C"/>
    <w:rsid w:val="00403A29"/>
    <w:rsid w:val="004043E9"/>
    <w:rsid w:val="004043F6"/>
    <w:rsid w:val="00404967"/>
    <w:rsid w:val="00404B50"/>
    <w:rsid w:val="00404D7E"/>
    <w:rsid w:val="00405D30"/>
    <w:rsid w:val="004067B5"/>
    <w:rsid w:val="004067BC"/>
    <w:rsid w:val="00406814"/>
    <w:rsid w:val="00406B81"/>
    <w:rsid w:val="004070B7"/>
    <w:rsid w:val="004078AA"/>
    <w:rsid w:val="004108FE"/>
    <w:rsid w:val="00410D98"/>
    <w:rsid w:val="00410E20"/>
    <w:rsid w:val="00412179"/>
    <w:rsid w:val="00413366"/>
    <w:rsid w:val="0041365C"/>
    <w:rsid w:val="00413C81"/>
    <w:rsid w:val="00413CE3"/>
    <w:rsid w:val="004143CB"/>
    <w:rsid w:val="004147AC"/>
    <w:rsid w:val="0041488C"/>
    <w:rsid w:val="00414CDE"/>
    <w:rsid w:val="00414E3B"/>
    <w:rsid w:val="00414FEA"/>
    <w:rsid w:val="00415272"/>
    <w:rsid w:val="0041564F"/>
    <w:rsid w:val="00415684"/>
    <w:rsid w:val="00415802"/>
    <w:rsid w:val="004158DD"/>
    <w:rsid w:val="00415998"/>
    <w:rsid w:val="00415C11"/>
    <w:rsid w:val="00415FE9"/>
    <w:rsid w:val="0041625C"/>
    <w:rsid w:val="00416463"/>
    <w:rsid w:val="004165DC"/>
    <w:rsid w:val="00416B0F"/>
    <w:rsid w:val="00416FE7"/>
    <w:rsid w:val="0041712E"/>
    <w:rsid w:val="00417CE0"/>
    <w:rsid w:val="004201D8"/>
    <w:rsid w:val="00420950"/>
    <w:rsid w:val="00420A46"/>
    <w:rsid w:val="00420F2A"/>
    <w:rsid w:val="004212BA"/>
    <w:rsid w:val="004216A9"/>
    <w:rsid w:val="00421CA3"/>
    <w:rsid w:val="00421D14"/>
    <w:rsid w:val="00421FA5"/>
    <w:rsid w:val="004226FE"/>
    <w:rsid w:val="00422FBD"/>
    <w:rsid w:val="00423047"/>
    <w:rsid w:val="00423D5F"/>
    <w:rsid w:val="0042434D"/>
    <w:rsid w:val="00424C95"/>
    <w:rsid w:val="00424E9C"/>
    <w:rsid w:val="0042509A"/>
    <w:rsid w:val="004267DD"/>
    <w:rsid w:val="00426EC6"/>
    <w:rsid w:val="00427176"/>
    <w:rsid w:val="00427654"/>
    <w:rsid w:val="00427682"/>
    <w:rsid w:val="004300A1"/>
    <w:rsid w:val="004301DA"/>
    <w:rsid w:val="00430527"/>
    <w:rsid w:val="00430C55"/>
    <w:rsid w:val="00430E26"/>
    <w:rsid w:val="0043137C"/>
    <w:rsid w:val="00431920"/>
    <w:rsid w:val="00431DA5"/>
    <w:rsid w:val="00432187"/>
    <w:rsid w:val="00432838"/>
    <w:rsid w:val="004337B0"/>
    <w:rsid w:val="00433902"/>
    <w:rsid w:val="00433A7A"/>
    <w:rsid w:val="00433E14"/>
    <w:rsid w:val="00433F76"/>
    <w:rsid w:val="00433FB5"/>
    <w:rsid w:val="0043415F"/>
    <w:rsid w:val="00434273"/>
    <w:rsid w:val="00434298"/>
    <w:rsid w:val="004344B1"/>
    <w:rsid w:val="004348BB"/>
    <w:rsid w:val="00434915"/>
    <w:rsid w:val="00434CA0"/>
    <w:rsid w:val="0043553A"/>
    <w:rsid w:val="00435568"/>
    <w:rsid w:val="00435E51"/>
    <w:rsid w:val="0043678A"/>
    <w:rsid w:val="004369B2"/>
    <w:rsid w:val="00437204"/>
    <w:rsid w:val="00437C25"/>
    <w:rsid w:val="00440955"/>
    <w:rsid w:val="00440D29"/>
    <w:rsid w:val="00440EFA"/>
    <w:rsid w:val="004410A6"/>
    <w:rsid w:val="00441578"/>
    <w:rsid w:val="004415B7"/>
    <w:rsid w:val="00441FB4"/>
    <w:rsid w:val="004422B4"/>
    <w:rsid w:val="0044260C"/>
    <w:rsid w:val="004427EB"/>
    <w:rsid w:val="00442906"/>
    <w:rsid w:val="00442B92"/>
    <w:rsid w:val="00442D9C"/>
    <w:rsid w:val="00443376"/>
    <w:rsid w:val="00443406"/>
    <w:rsid w:val="004435DE"/>
    <w:rsid w:val="00444401"/>
    <w:rsid w:val="00444A9D"/>
    <w:rsid w:val="00444C81"/>
    <w:rsid w:val="00445543"/>
    <w:rsid w:val="004455C4"/>
    <w:rsid w:val="00445640"/>
    <w:rsid w:val="00445B98"/>
    <w:rsid w:val="00445D91"/>
    <w:rsid w:val="00445DF0"/>
    <w:rsid w:val="004462E1"/>
    <w:rsid w:val="00446423"/>
    <w:rsid w:val="00446689"/>
    <w:rsid w:val="0044669B"/>
    <w:rsid w:val="00447067"/>
    <w:rsid w:val="0044716A"/>
    <w:rsid w:val="00450059"/>
    <w:rsid w:val="004502CD"/>
    <w:rsid w:val="004505AF"/>
    <w:rsid w:val="00450DE8"/>
    <w:rsid w:val="00450F98"/>
    <w:rsid w:val="004515C2"/>
    <w:rsid w:val="004516FC"/>
    <w:rsid w:val="004518AF"/>
    <w:rsid w:val="00451A1F"/>
    <w:rsid w:val="00451D7E"/>
    <w:rsid w:val="00452273"/>
    <w:rsid w:val="004529BD"/>
    <w:rsid w:val="00453FF2"/>
    <w:rsid w:val="00454049"/>
    <w:rsid w:val="004540D9"/>
    <w:rsid w:val="004542FA"/>
    <w:rsid w:val="00455806"/>
    <w:rsid w:val="00455889"/>
    <w:rsid w:val="00455A8E"/>
    <w:rsid w:val="00455B5B"/>
    <w:rsid w:val="00456A1A"/>
    <w:rsid w:val="00456EB4"/>
    <w:rsid w:val="00456FF8"/>
    <w:rsid w:val="004577C1"/>
    <w:rsid w:val="00457F04"/>
    <w:rsid w:val="00460298"/>
    <w:rsid w:val="004611C1"/>
    <w:rsid w:val="004611C5"/>
    <w:rsid w:val="004613BA"/>
    <w:rsid w:val="0046146E"/>
    <w:rsid w:val="00461A3D"/>
    <w:rsid w:val="00461B4B"/>
    <w:rsid w:val="00461CA6"/>
    <w:rsid w:val="00461E1F"/>
    <w:rsid w:val="00462483"/>
    <w:rsid w:val="004625A7"/>
    <w:rsid w:val="004625E9"/>
    <w:rsid w:val="00462678"/>
    <w:rsid w:val="0046281F"/>
    <w:rsid w:val="00462D2D"/>
    <w:rsid w:val="00463D01"/>
    <w:rsid w:val="00463E03"/>
    <w:rsid w:val="004640B3"/>
    <w:rsid w:val="00464512"/>
    <w:rsid w:val="00464A9D"/>
    <w:rsid w:val="0046603A"/>
    <w:rsid w:val="00466073"/>
    <w:rsid w:val="0046611E"/>
    <w:rsid w:val="00466646"/>
    <w:rsid w:val="00467140"/>
    <w:rsid w:val="004671FF"/>
    <w:rsid w:val="00467711"/>
    <w:rsid w:val="004704F3"/>
    <w:rsid w:val="004706F6"/>
    <w:rsid w:val="0047086A"/>
    <w:rsid w:val="00470EEA"/>
    <w:rsid w:val="004713D1"/>
    <w:rsid w:val="00472013"/>
    <w:rsid w:val="00472138"/>
    <w:rsid w:val="004721B2"/>
    <w:rsid w:val="004725E6"/>
    <w:rsid w:val="0047313F"/>
    <w:rsid w:val="0047379E"/>
    <w:rsid w:val="00474848"/>
    <w:rsid w:val="00474DB4"/>
    <w:rsid w:val="00475E2D"/>
    <w:rsid w:val="0047630E"/>
    <w:rsid w:val="00476460"/>
    <w:rsid w:val="004765BA"/>
    <w:rsid w:val="00476EA2"/>
    <w:rsid w:val="0047749E"/>
    <w:rsid w:val="00477740"/>
    <w:rsid w:val="004777CA"/>
    <w:rsid w:val="0048004B"/>
    <w:rsid w:val="00480083"/>
    <w:rsid w:val="00480185"/>
    <w:rsid w:val="004801D4"/>
    <w:rsid w:val="00480944"/>
    <w:rsid w:val="00480A1F"/>
    <w:rsid w:val="00480B96"/>
    <w:rsid w:val="00480C58"/>
    <w:rsid w:val="0048106A"/>
    <w:rsid w:val="00481476"/>
    <w:rsid w:val="00481536"/>
    <w:rsid w:val="0048173D"/>
    <w:rsid w:val="004827B2"/>
    <w:rsid w:val="00482A0C"/>
    <w:rsid w:val="00482C3B"/>
    <w:rsid w:val="00482C64"/>
    <w:rsid w:val="004838A4"/>
    <w:rsid w:val="00483A7E"/>
    <w:rsid w:val="00483ABB"/>
    <w:rsid w:val="00483CEE"/>
    <w:rsid w:val="00483FA7"/>
    <w:rsid w:val="00484670"/>
    <w:rsid w:val="0048481F"/>
    <w:rsid w:val="00484C42"/>
    <w:rsid w:val="00484DFC"/>
    <w:rsid w:val="00484E18"/>
    <w:rsid w:val="004855E0"/>
    <w:rsid w:val="00485942"/>
    <w:rsid w:val="00486160"/>
    <w:rsid w:val="0048675D"/>
    <w:rsid w:val="004871E4"/>
    <w:rsid w:val="00487CBD"/>
    <w:rsid w:val="00487DD1"/>
    <w:rsid w:val="00487F39"/>
    <w:rsid w:val="00490F6A"/>
    <w:rsid w:val="00491141"/>
    <w:rsid w:val="0049134B"/>
    <w:rsid w:val="004918B3"/>
    <w:rsid w:val="00491ED9"/>
    <w:rsid w:val="00492332"/>
    <w:rsid w:val="00492339"/>
    <w:rsid w:val="00492994"/>
    <w:rsid w:val="004939D7"/>
    <w:rsid w:val="004944F8"/>
    <w:rsid w:val="00494CD6"/>
    <w:rsid w:val="00494F22"/>
    <w:rsid w:val="004955D2"/>
    <w:rsid w:val="00495BB6"/>
    <w:rsid w:val="00496A5E"/>
    <w:rsid w:val="00496EF6"/>
    <w:rsid w:val="00496FEA"/>
    <w:rsid w:val="00497063"/>
    <w:rsid w:val="0049743B"/>
    <w:rsid w:val="00497579"/>
    <w:rsid w:val="00497C4D"/>
    <w:rsid w:val="00497DE4"/>
    <w:rsid w:val="00497EA2"/>
    <w:rsid w:val="004A074D"/>
    <w:rsid w:val="004A13F5"/>
    <w:rsid w:val="004A15B3"/>
    <w:rsid w:val="004A1709"/>
    <w:rsid w:val="004A1894"/>
    <w:rsid w:val="004A1FCC"/>
    <w:rsid w:val="004A22EC"/>
    <w:rsid w:val="004A3038"/>
    <w:rsid w:val="004A336A"/>
    <w:rsid w:val="004A33CD"/>
    <w:rsid w:val="004A38B9"/>
    <w:rsid w:val="004A3F07"/>
    <w:rsid w:val="004A463F"/>
    <w:rsid w:val="004A4803"/>
    <w:rsid w:val="004A4AC8"/>
    <w:rsid w:val="004A4E9A"/>
    <w:rsid w:val="004A5538"/>
    <w:rsid w:val="004A6352"/>
    <w:rsid w:val="004A68E3"/>
    <w:rsid w:val="004A7084"/>
    <w:rsid w:val="004A74D2"/>
    <w:rsid w:val="004B0B07"/>
    <w:rsid w:val="004B0B1D"/>
    <w:rsid w:val="004B0DD6"/>
    <w:rsid w:val="004B197E"/>
    <w:rsid w:val="004B1FD2"/>
    <w:rsid w:val="004B292A"/>
    <w:rsid w:val="004B2960"/>
    <w:rsid w:val="004B2A77"/>
    <w:rsid w:val="004B2C2D"/>
    <w:rsid w:val="004B3695"/>
    <w:rsid w:val="004B3B4A"/>
    <w:rsid w:val="004B3E74"/>
    <w:rsid w:val="004B3F40"/>
    <w:rsid w:val="004B3FD9"/>
    <w:rsid w:val="004B3FDC"/>
    <w:rsid w:val="004B6512"/>
    <w:rsid w:val="004B69B2"/>
    <w:rsid w:val="004B728F"/>
    <w:rsid w:val="004B75EC"/>
    <w:rsid w:val="004B782D"/>
    <w:rsid w:val="004B79A1"/>
    <w:rsid w:val="004B7A7A"/>
    <w:rsid w:val="004B7D0D"/>
    <w:rsid w:val="004C00EE"/>
    <w:rsid w:val="004C070C"/>
    <w:rsid w:val="004C1866"/>
    <w:rsid w:val="004C223D"/>
    <w:rsid w:val="004C2776"/>
    <w:rsid w:val="004C2C08"/>
    <w:rsid w:val="004C33EB"/>
    <w:rsid w:val="004C36E3"/>
    <w:rsid w:val="004C3FF1"/>
    <w:rsid w:val="004C4033"/>
    <w:rsid w:val="004C45C6"/>
    <w:rsid w:val="004C462E"/>
    <w:rsid w:val="004C47BE"/>
    <w:rsid w:val="004C56BB"/>
    <w:rsid w:val="004C5DF4"/>
    <w:rsid w:val="004C6B21"/>
    <w:rsid w:val="004C6D9C"/>
    <w:rsid w:val="004C6EDC"/>
    <w:rsid w:val="004C6F4C"/>
    <w:rsid w:val="004C74B7"/>
    <w:rsid w:val="004C794B"/>
    <w:rsid w:val="004C7EF3"/>
    <w:rsid w:val="004D0044"/>
    <w:rsid w:val="004D04B2"/>
    <w:rsid w:val="004D0C68"/>
    <w:rsid w:val="004D0C88"/>
    <w:rsid w:val="004D0D91"/>
    <w:rsid w:val="004D12C4"/>
    <w:rsid w:val="004D13EA"/>
    <w:rsid w:val="004D1797"/>
    <w:rsid w:val="004D1EAB"/>
    <w:rsid w:val="004D257E"/>
    <w:rsid w:val="004D25AB"/>
    <w:rsid w:val="004D2E91"/>
    <w:rsid w:val="004D364A"/>
    <w:rsid w:val="004D402E"/>
    <w:rsid w:val="004D4249"/>
    <w:rsid w:val="004D494B"/>
    <w:rsid w:val="004D4A0F"/>
    <w:rsid w:val="004D5775"/>
    <w:rsid w:val="004D5948"/>
    <w:rsid w:val="004D595F"/>
    <w:rsid w:val="004D61A8"/>
    <w:rsid w:val="004D69AC"/>
    <w:rsid w:val="004D6D68"/>
    <w:rsid w:val="004D7133"/>
    <w:rsid w:val="004D796B"/>
    <w:rsid w:val="004D7C38"/>
    <w:rsid w:val="004D7FBF"/>
    <w:rsid w:val="004E0578"/>
    <w:rsid w:val="004E0F0B"/>
    <w:rsid w:val="004E1324"/>
    <w:rsid w:val="004E1360"/>
    <w:rsid w:val="004E1471"/>
    <w:rsid w:val="004E1996"/>
    <w:rsid w:val="004E1F08"/>
    <w:rsid w:val="004E1F6F"/>
    <w:rsid w:val="004E2151"/>
    <w:rsid w:val="004E2885"/>
    <w:rsid w:val="004E39F9"/>
    <w:rsid w:val="004E4050"/>
    <w:rsid w:val="004E420B"/>
    <w:rsid w:val="004E499F"/>
    <w:rsid w:val="004E4B8A"/>
    <w:rsid w:val="004E51BB"/>
    <w:rsid w:val="004E5B01"/>
    <w:rsid w:val="004E5C74"/>
    <w:rsid w:val="004E6797"/>
    <w:rsid w:val="004E67B3"/>
    <w:rsid w:val="004E6870"/>
    <w:rsid w:val="004E7413"/>
    <w:rsid w:val="004E75B4"/>
    <w:rsid w:val="004E76FC"/>
    <w:rsid w:val="004F019B"/>
    <w:rsid w:val="004F01F7"/>
    <w:rsid w:val="004F03C3"/>
    <w:rsid w:val="004F0C02"/>
    <w:rsid w:val="004F0C1C"/>
    <w:rsid w:val="004F1386"/>
    <w:rsid w:val="004F1449"/>
    <w:rsid w:val="004F2245"/>
    <w:rsid w:val="004F237D"/>
    <w:rsid w:val="004F2A22"/>
    <w:rsid w:val="004F2EB8"/>
    <w:rsid w:val="004F348D"/>
    <w:rsid w:val="004F3650"/>
    <w:rsid w:val="004F3929"/>
    <w:rsid w:val="004F3B41"/>
    <w:rsid w:val="004F4016"/>
    <w:rsid w:val="004F4564"/>
    <w:rsid w:val="004F50E1"/>
    <w:rsid w:val="004F53DE"/>
    <w:rsid w:val="004F5ED8"/>
    <w:rsid w:val="004F64DD"/>
    <w:rsid w:val="004F6533"/>
    <w:rsid w:val="004F665A"/>
    <w:rsid w:val="004F7427"/>
    <w:rsid w:val="004F7463"/>
    <w:rsid w:val="004F7699"/>
    <w:rsid w:val="00500112"/>
    <w:rsid w:val="00500171"/>
    <w:rsid w:val="005003A6"/>
    <w:rsid w:val="005004AB"/>
    <w:rsid w:val="005018AB"/>
    <w:rsid w:val="00501909"/>
    <w:rsid w:val="00501910"/>
    <w:rsid w:val="005019C1"/>
    <w:rsid w:val="00501E5B"/>
    <w:rsid w:val="005024FD"/>
    <w:rsid w:val="00502870"/>
    <w:rsid w:val="00502D8B"/>
    <w:rsid w:val="0050331E"/>
    <w:rsid w:val="005033CE"/>
    <w:rsid w:val="00503555"/>
    <w:rsid w:val="00503F0A"/>
    <w:rsid w:val="00504107"/>
    <w:rsid w:val="00504599"/>
    <w:rsid w:val="00504753"/>
    <w:rsid w:val="00504809"/>
    <w:rsid w:val="00505DBD"/>
    <w:rsid w:val="00505F18"/>
    <w:rsid w:val="0050677F"/>
    <w:rsid w:val="005069CB"/>
    <w:rsid w:val="00506D13"/>
    <w:rsid w:val="00507464"/>
    <w:rsid w:val="005079FD"/>
    <w:rsid w:val="00507A51"/>
    <w:rsid w:val="00507F92"/>
    <w:rsid w:val="0051067B"/>
    <w:rsid w:val="00510E64"/>
    <w:rsid w:val="005115D6"/>
    <w:rsid w:val="0051170F"/>
    <w:rsid w:val="00511963"/>
    <w:rsid w:val="00511AB2"/>
    <w:rsid w:val="00511C1D"/>
    <w:rsid w:val="005120D4"/>
    <w:rsid w:val="00513629"/>
    <w:rsid w:val="0051385A"/>
    <w:rsid w:val="0051396A"/>
    <w:rsid w:val="00513985"/>
    <w:rsid w:val="00513F21"/>
    <w:rsid w:val="00514367"/>
    <w:rsid w:val="0051535C"/>
    <w:rsid w:val="005155CD"/>
    <w:rsid w:val="00515E61"/>
    <w:rsid w:val="00517594"/>
    <w:rsid w:val="00517622"/>
    <w:rsid w:val="005179CD"/>
    <w:rsid w:val="005179F5"/>
    <w:rsid w:val="0052033B"/>
    <w:rsid w:val="00520631"/>
    <w:rsid w:val="0052083F"/>
    <w:rsid w:val="00520DDF"/>
    <w:rsid w:val="005213C4"/>
    <w:rsid w:val="0052187D"/>
    <w:rsid w:val="00521EAE"/>
    <w:rsid w:val="005224A0"/>
    <w:rsid w:val="00522995"/>
    <w:rsid w:val="00522BEA"/>
    <w:rsid w:val="00523375"/>
    <w:rsid w:val="005235BF"/>
    <w:rsid w:val="00523B67"/>
    <w:rsid w:val="00523D06"/>
    <w:rsid w:val="00523F25"/>
    <w:rsid w:val="00523F73"/>
    <w:rsid w:val="005246CC"/>
    <w:rsid w:val="00525505"/>
    <w:rsid w:val="00525A27"/>
    <w:rsid w:val="00525B5D"/>
    <w:rsid w:val="0052615D"/>
    <w:rsid w:val="00526A64"/>
    <w:rsid w:val="00526DC0"/>
    <w:rsid w:val="0052703F"/>
    <w:rsid w:val="0053066F"/>
    <w:rsid w:val="00530769"/>
    <w:rsid w:val="00530F27"/>
    <w:rsid w:val="005319BD"/>
    <w:rsid w:val="00531E54"/>
    <w:rsid w:val="00531ED7"/>
    <w:rsid w:val="005322B8"/>
    <w:rsid w:val="005322E8"/>
    <w:rsid w:val="0053266B"/>
    <w:rsid w:val="00532F94"/>
    <w:rsid w:val="005331BB"/>
    <w:rsid w:val="00533B0C"/>
    <w:rsid w:val="005340E9"/>
    <w:rsid w:val="005342DE"/>
    <w:rsid w:val="00534663"/>
    <w:rsid w:val="00534829"/>
    <w:rsid w:val="005349F9"/>
    <w:rsid w:val="00534F0F"/>
    <w:rsid w:val="00535855"/>
    <w:rsid w:val="005360D3"/>
    <w:rsid w:val="00536266"/>
    <w:rsid w:val="00536818"/>
    <w:rsid w:val="00536947"/>
    <w:rsid w:val="00536B0B"/>
    <w:rsid w:val="00536F59"/>
    <w:rsid w:val="00537221"/>
    <w:rsid w:val="00537D53"/>
    <w:rsid w:val="005401F3"/>
    <w:rsid w:val="00540D24"/>
    <w:rsid w:val="00540D34"/>
    <w:rsid w:val="0054138E"/>
    <w:rsid w:val="0054187F"/>
    <w:rsid w:val="00541F19"/>
    <w:rsid w:val="005426B7"/>
    <w:rsid w:val="005430ED"/>
    <w:rsid w:val="005440A4"/>
    <w:rsid w:val="005446B0"/>
    <w:rsid w:val="005448AE"/>
    <w:rsid w:val="005459A8"/>
    <w:rsid w:val="00545FA0"/>
    <w:rsid w:val="00546143"/>
    <w:rsid w:val="005473C2"/>
    <w:rsid w:val="00547A80"/>
    <w:rsid w:val="005506F0"/>
    <w:rsid w:val="0055088F"/>
    <w:rsid w:val="00550D9A"/>
    <w:rsid w:val="005510B1"/>
    <w:rsid w:val="00551459"/>
    <w:rsid w:val="00551785"/>
    <w:rsid w:val="00551A71"/>
    <w:rsid w:val="005527CB"/>
    <w:rsid w:val="00552927"/>
    <w:rsid w:val="00552C72"/>
    <w:rsid w:val="00553544"/>
    <w:rsid w:val="0055371A"/>
    <w:rsid w:val="00553A47"/>
    <w:rsid w:val="00553ADE"/>
    <w:rsid w:val="00553B49"/>
    <w:rsid w:val="005542B2"/>
    <w:rsid w:val="00554311"/>
    <w:rsid w:val="00555729"/>
    <w:rsid w:val="005566A3"/>
    <w:rsid w:val="00556E45"/>
    <w:rsid w:val="005573B3"/>
    <w:rsid w:val="005573BB"/>
    <w:rsid w:val="00557804"/>
    <w:rsid w:val="00557A02"/>
    <w:rsid w:val="00557A50"/>
    <w:rsid w:val="00557D06"/>
    <w:rsid w:val="00561042"/>
    <w:rsid w:val="0056196B"/>
    <w:rsid w:val="00561FD9"/>
    <w:rsid w:val="005622AB"/>
    <w:rsid w:val="005628D2"/>
    <w:rsid w:val="0056360C"/>
    <w:rsid w:val="0056363D"/>
    <w:rsid w:val="005643BD"/>
    <w:rsid w:val="00564BFF"/>
    <w:rsid w:val="00564D95"/>
    <w:rsid w:val="0056509A"/>
    <w:rsid w:val="005658C5"/>
    <w:rsid w:val="00565970"/>
    <w:rsid w:val="005660E2"/>
    <w:rsid w:val="0056613A"/>
    <w:rsid w:val="0056654D"/>
    <w:rsid w:val="00566725"/>
    <w:rsid w:val="00566C03"/>
    <w:rsid w:val="005677D4"/>
    <w:rsid w:val="00570930"/>
    <w:rsid w:val="00570C07"/>
    <w:rsid w:val="00570CE4"/>
    <w:rsid w:val="00570F8B"/>
    <w:rsid w:val="00571344"/>
    <w:rsid w:val="00571A0D"/>
    <w:rsid w:val="00571EAB"/>
    <w:rsid w:val="0057259D"/>
    <w:rsid w:val="005727D4"/>
    <w:rsid w:val="00572A24"/>
    <w:rsid w:val="00573021"/>
    <w:rsid w:val="005735FC"/>
    <w:rsid w:val="00573616"/>
    <w:rsid w:val="00573A7D"/>
    <w:rsid w:val="00573F6C"/>
    <w:rsid w:val="00574623"/>
    <w:rsid w:val="00574BB1"/>
    <w:rsid w:val="00574BBB"/>
    <w:rsid w:val="00574BEC"/>
    <w:rsid w:val="00575688"/>
    <w:rsid w:val="005756A5"/>
    <w:rsid w:val="0057598D"/>
    <w:rsid w:val="00575F02"/>
    <w:rsid w:val="00576498"/>
    <w:rsid w:val="005765DB"/>
    <w:rsid w:val="00580044"/>
    <w:rsid w:val="00580134"/>
    <w:rsid w:val="005816F3"/>
    <w:rsid w:val="00581EB2"/>
    <w:rsid w:val="00582103"/>
    <w:rsid w:val="0058254D"/>
    <w:rsid w:val="00582880"/>
    <w:rsid w:val="00582A4E"/>
    <w:rsid w:val="00582C08"/>
    <w:rsid w:val="00582C70"/>
    <w:rsid w:val="0058315D"/>
    <w:rsid w:val="00583185"/>
    <w:rsid w:val="0058374D"/>
    <w:rsid w:val="00584123"/>
    <w:rsid w:val="00584527"/>
    <w:rsid w:val="00584668"/>
    <w:rsid w:val="00584B6A"/>
    <w:rsid w:val="00585959"/>
    <w:rsid w:val="00585BC2"/>
    <w:rsid w:val="00586168"/>
    <w:rsid w:val="005867E7"/>
    <w:rsid w:val="00586AB8"/>
    <w:rsid w:val="00586C93"/>
    <w:rsid w:val="005873EB"/>
    <w:rsid w:val="00587A22"/>
    <w:rsid w:val="00590296"/>
    <w:rsid w:val="00590F88"/>
    <w:rsid w:val="005913D1"/>
    <w:rsid w:val="00591597"/>
    <w:rsid w:val="00591864"/>
    <w:rsid w:val="0059249C"/>
    <w:rsid w:val="00592E75"/>
    <w:rsid w:val="0059425A"/>
    <w:rsid w:val="005945C8"/>
    <w:rsid w:val="00594EFC"/>
    <w:rsid w:val="00595193"/>
    <w:rsid w:val="00595FD8"/>
    <w:rsid w:val="00596EBD"/>
    <w:rsid w:val="00596F4D"/>
    <w:rsid w:val="00596F83"/>
    <w:rsid w:val="0059735F"/>
    <w:rsid w:val="00597BC3"/>
    <w:rsid w:val="005A08D0"/>
    <w:rsid w:val="005A1138"/>
    <w:rsid w:val="005A18E0"/>
    <w:rsid w:val="005A19DB"/>
    <w:rsid w:val="005A2F23"/>
    <w:rsid w:val="005A2FC0"/>
    <w:rsid w:val="005A338D"/>
    <w:rsid w:val="005A36A2"/>
    <w:rsid w:val="005A3C12"/>
    <w:rsid w:val="005A3C49"/>
    <w:rsid w:val="005A4830"/>
    <w:rsid w:val="005A486A"/>
    <w:rsid w:val="005A4E0A"/>
    <w:rsid w:val="005A4FB1"/>
    <w:rsid w:val="005A54B6"/>
    <w:rsid w:val="005A54E0"/>
    <w:rsid w:val="005A75AD"/>
    <w:rsid w:val="005A79B9"/>
    <w:rsid w:val="005A7BC0"/>
    <w:rsid w:val="005A7D62"/>
    <w:rsid w:val="005A7E6C"/>
    <w:rsid w:val="005B0A78"/>
    <w:rsid w:val="005B0B58"/>
    <w:rsid w:val="005B188F"/>
    <w:rsid w:val="005B3B4E"/>
    <w:rsid w:val="005B4004"/>
    <w:rsid w:val="005B40C0"/>
    <w:rsid w:val="005B5169"/>
    <w:rsid w:val="005B51B2"/>
    <w:rsid w:val="005B53EB"/>
    <w:rsid w:val="005B5CC2"/>
    <w:rsid w:val="005B5DFE"/>
    <w:rsid w:val="005B5E66"/>
    <w:rsid w:val="005B5F0A"/>
    <w:rsid w:val="005B63EF"/>
    <w:rsid w:val="005B66AD"/>
    <w:rsid w:val="005B6725"/>
    <w:rsid w:val="005B79CA"/>
    <w:rsid w:val="005B7C50"/>
    <w:rsid w:val="005B7DDF"/>
    <w:rsid w:val="005C04E9"/>
    <w:rsid w:val="005C0579"/>
    <w:rsid w:val="005C0F96"/>
    <w:rsid w:val="005C202C"/>
    <w:rsid w:val="005C280E"/>
    <w:rsid w:val="005C29F8"/>
    <w:rsid w:val="005C2BA4"/>
    <w:rsid w:val="005C3370"/>
    <w:rsid w:val="005C362A"/>
    <w:rsid w:val="005C3BB5"/>
    <w:rsid w:val="005C3DF6"/>
    <w:rsid w:val="005C4208"/>
    <w:rsid w:val="005C4311"/>
    <w:rsid w:val="005C50DB"/>
    <w:rsid w:val="005C6000"/>
    <w:rsid w:val="005C6BF5"/>
    <w:rsid w:val="005C6DCB"/>
    <w:rsid w:val="005C7E7C"/>
    <w:rsid w:val="005D0690"/>
    <w:rsid w:val="005D1372"/>
    <w:rsid w:val="005D18BE"/>
    <w:rsid w:val="005D27F7"/>
    <w:rsid w:val="005D296B"/>
    <w:rsid w:val="005D2BAC"/>
    <w:rsid w:val="005D2BDF"/>
    <w:rsid w:val="005D2DDB"/>
    <w:rsid w:val="005D3E4E"/>
    <w:rsid w:val="005D3F8B"/>
    <w:rsid w:val="005D4362"/>
    <w:rsid w:val="005D5131"/>
    <w:rsid w:val="005D5508"/>
    <w:rsid w:val="005D604C"/>
    <w:rsid w:val="005D6713"/>
    <w:rsid w:val="005D6D24"/>
    <w:rsid w:val="005D6D91"/>
    <w:rsid w:val="005D6EB4"/>
    <w:rsid w:val="005D702C"/>
    <w:rsid w:val="005D7714"/>
    <w:rsid w:val="005E00AD"/>
    <w:rsid w:val="005E0303"/>
    <w:rsid w:val="005E05A2"/>
    <w:rsid w:val="005E0706"/>
    <w:rsid w:val="005E1087"/>
    <w:rsid w:val="005E127B"/>
    <w:rsid w:val="005E2440"/>
    <w:rsid w:val="005E34E0"/>
    <w:rsid w:val="005E5083"/>
    <w:rsid w:val="005E59DB"/>
    <w:rsid w:val="005E6AE6"/>
    <w:rsid w:val="005E70DD"/>
    <w:rsid w:val="005E7410"/>
    <w:rsid w:val="005E751A"/>
    <w:rsid w:val="005F00C3"/>
    <w:rsid w:val="005F0A05"/>
    <w:rsid w:val="005F0D3B"/>
    <w:rsid w:val="005F1C33"/>
    <w:rsid w:val="005F28F5"/>
    <w:rsid w:val="005F291F"/>
    <w:rsid w:val="005F2D87"/>
    <w:rsid w:val="005F2FF9"/>
    <w:rsid w:val="005F3399"/>
    <w:rsid w:val="005F408F"/>
    <w:rsid w:val="005F442C"/>
    <w:rsid w:val="005F4CA4"/>
    <w:rsid w:val="005F5010"/>
    <w:rsid w:val="005F5161"/>
    <w:rsid w:val="005F53B8"/>
    <w:rsid w:val="005F5514"/>
    <w:rsid w:val="005F55A1"/>
    <w:rsid w:val="005F55E8"/>
    <w:rsid w:val="005F5EDD"/>
    <w:rsid w:val="005F5FE9"/>
    <w:rsid w:val="005F6116"/>
    <w:rsid w:val="005F61B8"/>
    <w:rsid w:val="005F6328"/>
    <w:rsid w:val="005F7457"/>
    <w:rsid w:val="005F7CB9"/>
    <w:rsid w:val="00600C5D"/>
    <w:rsid w:val="00600E15"/>
    <w:rsid w:val="006016F5"/>
    <w:rsid w:val="00601806"/>
    <w:rsid w:val="00602A2C"/>
    <w:rsid w:val="00602C4C"/>
    <w:rsid w:val="0060363C"/>
    <w:rsid w:val="00603B42"/>
    <w:rsid w:val="00604657"/>
    <w:rsid w:val="00605029"/>
    <w:rsid w:val="006051E8"/>
    <w:rsid w:val="0060541C"/>
    <w:rsid w:val="00605930"/>
    <w:rsid w:val="00605B96"/>
    <w:rsid w:val="00606346"/>
    <w:rsid w:val="006066C2"/>
    <w:rsid w:val="00606705"/>
    <w:rsid w:val="006073AD"/>
    <w:rsid w:val="006078CF"/>
    <w:rsid w:val="006104B2"/>
    <w:rsid w:val="006122DB"/>
    <w:rsid w:val="00612978"/>
    <w:rsid w:val="00612B24"/>
    <w:rsid w:val="00613356"/>
    <w:rsid w:val="006133A3"/>
    <w:rsid w:val="00613CEA"/>
    <w:rsid w:val="00613D6A"/>
    <w:rsid w:val="006148DA"/>
    <w:rsid w:val="00614992"/>
    <w:rsid w:val="00614B2B"/>
    <w:rsid w:val="00614E43"/>
    <w:rsid w:val="00615548"/>
    <w:rsid w:val="00615BD0"/>
    <w:rsid w:val="006160B4"/>
    <w:rsid w:val="006164AF"/>
    <w:rsid w:val="006164C9"/>
    <w:rsid w:val="00616510"/>
    <w:rsid w:val="00616AB4"/>
    <w:rsid w:val="00616AF8"/>
    <w:rsid w:val="00616BA4"/>
    <w:rsid w:val="00616E19"/>
    <w:rsid w:val="006170BD"/>
    <w:rsid w:val="00617714"/>
    <w:rsid w:val="00617B8B"/>
    <w:rsid w:val="00617F81"/>
    <w:rsid w:val="00620267"/>
    <w:rsid w:val="006203BF"/>
    <w:rsid w:val="00620A1E"/>
    <w:rsid w:val="006210B5"/>
    <w:rsid w:val="006217DF"/>
    <w:rsid w:val="00621E9E"/>
    <w:rsid w:val="006221A4"/>
    <w:rsid w:val="00622F65"/>
    <w:rsid w:val="006234B7"/>
    <w:rsid w:val="00623954"/>
    <w:rsid w:val="00623DD9"/>
    <w:rsid w:val="00625011"/>
    <w:rsid w:val="00625882"/>
    <w:rsid w:val="00625DA1"/>
    <w:rsid w:val="00625E3A"/>
    <w:rsid w:val="00626739"/>
    <w:rsid w:val="006267C0"/>
    <w:rsid w:val="006279F2"/>
    <w:rsid w:val="006301A1"/>
    <w:rsid w:val="00630925"/>
    <w:rsid w:val="006309D0"/>
    <w:rsid w:val="00630A49"/>
    <w:rsid w:val="00630DF5"/>
    <w:rsid w:val="006315A8"/>
    <w:rsid w:val="006318FB"/>
    <w:rsid w:val="00631963"/>
    <w:rsid w:val="00631A85"/>
    <w:rsid w:val="0063215B"/>
    <w:rsid w:val="00632372"/>
    <w:rsid w:val="006327F7"/>
    <w:rsid w:val="00632E65"/>
    <w:rsid w:val="00632EAD"/>
    <w:rsid w:val="00633044"/>
    <w:rsid w:val="006332DC"/>
    <w:rsid w:val="006335E9"/>
    <w:rsid w:val="0063426D"/>
    <w:rsid w:val="006342FA"/>
    <w:rsid w:val="0063434A"/>
    <w:rsid w:val="00634AD8"/>
    <w:rsid w:val="00635026"/>
    <w:rsid w:val="00635660"/>
    <w:rsid w:val="006357C5"/>
    <w:rsid w:val="006359CF"/>
    <w:rsid w:val="00635E50"/>
    <w:rsid w:val="00636061"/>
    <w:rsid w:val="0063655B"/>
    <w:rsid w:val="006369C2"/>
    <w:rsid w:val="00636B0E"/>
    <w:rsid w:val="006376ED"/>
    <w:rsid w:val="00637BE2"/>
    <w:rsid w:val="00637C47"/>
    <w:rsid w:val="006407B2"/>
    <w:rsid w:val="00640F04"/>
    <w:rsid w:val="00641023"/>
    <w:rsid w:val="00641149"/>
    <w:rsid w:val="0064117D"/>
    <w:rsid w:val="006414D9"/>
    <w:rsid w:val="00641893"/>
    <w:rsid w:val="00641AC8"/>
    <w:rsid w:val="00641F99"/>
    <w:rsid w:val="0064217C"/>
    <w:rsid w:val="006424B2"/>
    <w:rsid w:val="00642FF1"/>
    <w:rsid w:val="00642FFD"/>
    <w:rsid w:val="0064369A"/>
    <w:rsid w:val="00643D78"/>
    <w:rsid w:val="00644A3A"/>
    <w:rsid w:val="00644AC8"/>
    <w:rsid w:val="00644D4C"/>
    <w:rsid w:val="0064501C"/>
    <w:rsid w:val="00645750"/>
    <w:rsid w:val="006457D1"/>
    <w:rsid w:val="00645847"/>
    <w:rsid w:val="00646642"/>
    <w:rsid w:val="00646E42"/>
    <w:rsid w:val="006470C4"/>
    <w:rsid w:val="0064716E"/>
    <w:rsid w:val="0064778E"/>
    <w:rsid w:val="006478FC"/>
    <w:rsid w:val="006479A2"/>
    <w:rsid w:val="00647F29"/>
    <w:rsid w:val="00650385"/>
    <w:rsid w:val="00650510"/>
    <w:rsid w:val="00650524"/>
    <w:rsid w:val="00650873"/>
    <w:rsid w:val="00650E5B"/>
    <w:rsid w:val="00651069"/>
    <w:rsid w:val="00651E83"/>
    <w:rsid w:val="00652135"/>
    <w:rsid w:val="006536FF"/>
    <w:rsid w:val="00653967"/>
    <w:rsid w:val="00653B49"/>
    <w:rsid w:val="00653D42"/>
    <w:rsid w:val="006543C8"/>
    <w:rsid w:val="0065474E"/>
    <w:rsid w:val="00654A4B"/>
    <w:rsid w:val="0065503C"/>
    <w:rsid w:val="006550C3"/>
    <w:rsid w:val="00655489"/>
    <w:rsid w:val="006555C2"/>
    <w:rsid w:val="00655C91"/>
    <w:rsid w:val="00655F47"/>
    <w:rsid w:val="00656234"/>
    <w:rsid w:val="0065643A"/>
    <w:rsid w:val="00657135"/>
    <w:rsid w:val="00660173"/>
    <w:rsid w:val="006603CA"/>
    <w:rsid w:val="00660DCB"/>
    <w:rsid w:val="006618C8"/>
    <w:rsid w:val="006620B0"/>
    <w:rsid w:val="006620F3"/>
    <w:rsid w:val="00662806"/>
    <w:rsid w:val="006634D9"/>
    <w:rsid w:val="00664D35"/>
    <w:rsid w:val="00665097"/>
    <w:rsid w:val="006652CF"/>
    <w:rsid w:val="00665431"/>
    <w:rsid w:val="00665E2F"/>
    <w:rsid w:val="00665E66"/>
    <w:rsid w:val="00666042"/>
    <w:rsid w:val="00666EC6"/>
    <w:rsid w:val="00667704"/>
    <w:rsid w:val="00667B66"/>
    <w:rsid w:val="00670B70"/>
    <w:rsid w:val="00670C09"/>
    <w:rsid w:val="006712F6"/>
    <w:rsid w:val="00671E7A"/>
    <w:rsid w:val="006728F7"/>
    <w:rsid w:val="00672CF2"/>
    <w:rsid w:val="00672EE9"/>
    <w:rsid w:val="006736C1"/>
    <w:rsid w:val="006737FF"/>
    <w:rsid w:val="00673813"/>
    <w:rsid w:val="00674187"/>
    <w:rsid w:val="006746B1"/>
    <w:rsid w:val="006748D9"/>
    <w:rsid w:val="00674A5C"/>
    <w:rsid w:val="0067614F"/>
    <w:rsid w:val="00676225"/>
    <w:rsid w:val="00676379"/>
    <w:rsid w:val="00676431"/>
    <w:rsid w:val="006765F7"/>
    <w:rsid w:val="0067663D"/>
    <w:rsid w:val="006766B1"/>
    <w:rsid w:val="00676950"/>
    <w:rsid w:val="006771AA"/>
    <w:rsid w:val="00677BB1"/>
    <w:rsid w:val="00677C8C"/>
    <w:rsid w:val="006800AF"/>
    <w:rsid w:val="00680330"/>
    <w:rsid w:val="00680720"/>
    <w:rsid w:val="00680744"/>
    <w:rsid w:val="00681631"/>
    <w:rsid w:val="00681B2A"/>
    <w:rsid w:val="00681BA6"/>
    <w:rsid w:val="006822BE"/>
    <w:rsid w:val="006833AD"/>
    <w:rsid w:val="00683CF6"/>
    <w:rsid w:val="00684B51"/>
    <w:rsid w:val="00684C47"/>
    <w:rsid w:val="00684EE4"/>
    <w:rsid w:val="00685039"/>
    <w:rsid w:val="006856E6"/>
    <w:rsid w:val="00685BA9"/>
    <w:rsid w:val="00685C73"/>
    <w:rsid w:val="006868A2"/>
    <w:rsid w:val="00686ABE"/>
    <w:rsid w:val="00686D7F"/>
    <w:rsid w:val="00686DB7"/>
    <w:rsid w:val="00686E2E"/>
    <w:rsid w:val="006879FA"/>
    <w:rsid w:val="006904CC"/>
    <w:rsid w:val="006905C9"/>
    <w:rsid w:val="00690A61"/>
    <w:rsid w:val="00690AC9"/>
    <w:rsid w:val="00691390"/>
    <w:rsid w:val="00691ABA"/>
    <w:rsid w:val="0069207F"/>
    <w:rsid w:val="00692B95"/>
    <w:rsid w:val="00692C2E"/>
    <w:rsid w:val="006936D7"/>
    <w:rsid w:val="006938D2"/>
    <w:rsid w:val="00693A7B"/>
    <w:rsid w:val="00694372"/>
    <w:rsid w:val="00694A39"/>
    <w:rsid w:val="00694EEA"/>
    <w:rsid w:val="00695A84"/>
    <w:rsid w:val="00695C49"/>
    <w:rsid w:val="00695D78"/>
    <w:rsid w:val="00696E62"/>
    <w:rsid w:val="0069727E"/>
    <w:rsid w:val="006972BA"/>
    <w:rsid w:val="006973EB"/>
    <w:rsid w:val="00697434"/>
    <w:rsid w:val="00697A99"/>
    <w:rsid w:val="006A01BD"/>
    <w:rsid w:val="006A02EA"/>
    <w:rsid w:val="006A08B4"/>
    <w:rsid w:val="006A0F28"/>
    <w:rsid w:val="006A1119"/>
    <w:rsid w:val="006A11BE"/>
    <w:rsid w:val="006A28DE"/>
    <w:rsid w:val="006A35F9"/>
    <w:rsid w:val="006A36C0"/>
    <w:rsid w:val="006A3AA9"/>
    <w:rsid w:val="006A3B84"/>
    <w:rsid w:val="006A417F"/>
    <w:rsid w:val="006A44D8"/>
    <w:rsid w:val="006A451B"/>
    <w:rsid w:val="006A4596"/>
    <w:rsid w:val="006A47E8"/>
    <w:rsid w:val="006A5203"/>
    <w:rsid w:val="006A5881"/>
    <w:rsid w:val="006A72FD"/>
    <w:rsid w:val="006A7621"/>
    <w:rsid w:val="006A7CCA"/>
    <w:rsid w:val="006A7DB5"/>
    <w:rsid w:val="006B068C"/>
    <w:rsid w:val="006B0D68"/>
    <w:rsid w:val="006B0F30"/>
    <w:rsid w:val="006B0FD9"/>
    <w:rsid w:val="006B10DC"/>
    <w:rsid w:val="006B14AD"/>
    <w:rsid w:val="006B15E1"/>
    <w:rsid w:val="006B1FFB"/>
    <w:rsid w:val="006B23FB"/>
    <w:rsid w:val="006B33AE"/>
    <w:rsid w:val="006B39BD"/>
    <w:rsid w:val="006B4436"/>
    <w:rsid w:val="006B48EA"/>
    <w:rsid w:val="006B4CA9"/>
    <w:rsid w:val="006B4D98"/>
    <w:rsid w:val="006B5083"/>
    <w:rsid w:val="006B5750"/>
    <w:rsid w:val="006B6EF0"/>
    <w:rsid w:val="006B7031"/>
    <w:rsid w:val="006B75A3"/>
    <w:rsid w:val="006C0729"/>
    <w:rsid w:val="006C0CA1"/>
    <w:rsid w:val="006C25C4"/>
    <w:rsid w:val="006C2704"/>
    <w:rsid w:val="006C28CF"/>
    <w:rsid w:val="006C3252"/>
    <w:rsid w:val="006C3322"/>
    <w:rsid w:val="006C3A3D"/>
    <w:rsid w:val="006C3B7E"/>
    <w:rsid w:val="006C4BB8"/>
    <w:rsid w:val="006C4DA7"/>
    <w:rsid w:val="006C4F90"/>
    <w:rsid w:val="006C575D"/>
    <w:rsid w:val="006C58FD"/>
    <w:rsid w:val="006C6111"/>
    <w:rsid w:val="006C6B39"/>
    <w:rsid w:val="006C6D4D"/>
    <w:rsid w:val="006C7125"/>
    <w:rsid w:val="006D0A52"/>
    <w:rsid w:val="006D117B"/>
    <w:rsid w:val="006D1560"/>
    <w:rsid w:val="006D16E4"/>
    <w:rsid w:val="006D1A2B"/>
    <w:rsid w:val="006D20B0"/>
    <w:rsid w:val="006D21A8"/>
    <w:rsid w:val="006D3BD7"/>
    <w:rsid w:val="006D437F"/>
    <w:rsid w:val="006D44DC"/>
    <w:rsid w:val="006D4F8F"/>
    <w:rsid w:val="006D5937"/>
    <w:rsid w:val="006D5982"/>
    <w:rsid w:val="006D5A8B"/>
    <w:rsid w:val="006D5C56"/>
    <w:rsid w:val="006D5DC4"/>
    <w:rsid w:val="006D5E8D"/>
    <w:rsid w:val="006D5ECB"/>
    <w:rsid w:val="006D650D"/>
    <w:rsid w:val="006D685F"/>
    <w:rsid w:val="006D7047"/>
    <w:rsid w:val="006D741F"/>
    <w:rsid w:val="006D77A0"/>
    <w:rsid w:val="006D7D0C"/>
    <w:rsid w:val="006D7F77"/>
    <w:rsid w:val="006E0CC6"/>
    <w:rsid w:val="006E1738"/>
    <w:rsid w:val="006E1A87"/>
    <w:rsid w:val="006E2B53"/>
    <w:rsid w:val="006E2BBB"/>
    <w:rsid w:val="006E2D94"/>
    <w:rsid w:val="006E3068"/>
    <w:rsid w:val="006E3226"/>
    <w:rsid w:val="006E3F55"/>
    <w:rsid w:val="006E4B85"/>
    <w:rsid w:val="006E52F6"/>
    <w:rsid w:val="006E5A0E"/>
    <w:rsid w:val="006E5A3F"/>
    <w:rsid w:val="006E5AE4"/>
    <w:rsid w:val="006E60EA"/>
    <w:rsid w:val="006E6280"/>
    <w:rsid w:val="006F0B24"/>
    <w:rsid w:val="006F0FFF"/>
    <w:rsid w:val="006F1DE4"/>
    <w:rsid w:val="006F2250"/>
    <w:rsid w:val="006F2592"/>
    <w:rsid w:val="006F2A7D"/>
    <w:rsid w:val="006F3531"/>
    <w:rsid w:val="006F391E"/>
    <w:rsid w:val="006F3C93"/>
    <w:rsid w:val="006F3F36"/>
    <w:rsid w:val="006F4307"/>
    <w:rsid w:val="006F4BF7"/>
    <w:rsid w:val="006F588D"/>
    <w:rsid w:val="006F5957"/>
    <w:rsid w:val="006F6351"/>
    <w:rsid w:val="006F6B8F"/>
    <w:rsid w:val="006F6E8E"/>
    <w:rsid w:val="0070077A"/>
    <w:rsid w:val="0070083E"/>
    <w:rsid w:val="00700E96"/>
    <w:rsid w:val="00700E98"/>
    <w:rsid w:val="00700FD9"/>
    <w:rsid w:val="00701B1E"/>
    <w:rsid w:val="00701B5B"/>
    <w:rsid w:val="00702A40"/>
    <w:rsid w:val="00702CFF"/>
    <w:rsid w:val="00703FA0"/>
    <w:rsid w:val="00704B70"/>
    <w:rsid w:val="00704C17"/>
    <w:rsid w:val="00704E6A"/>
    <w:rsid w:val="007057AB"/>
    <w:rsid w:val="007059B2"/>
    <w:rsid w:val="007072DC"/>
    <w:rsid w:val="00707AF3"/>
    <w:rsid w:val="00707D22"/>
    <w:rsid w:val="0071007C"/>
    <w:rsid w:val="0071022D"/>
    <w:rsid w:val="007104B6"/>
    <w:rsid w:val="00710CAA"/>
    <w:rsid w:val="00710D95"/>
    <w:rsid w:val="0071141F"/>
    <w:rsid w:val="00711473"/>
    <w:rsid w:val="007122B2"/>
    <w:rsid w:val="0071284C"/>
    <w:rsid w:val="00712877"/>
    <w:rsid w:val="007134D3"/>
    <w:rsid w:val="007135ED"/>
    <w:rsid w:val="0071385D"/>
    <w:rsid w:val="00713B92"/>
    <w:rsid w:val="007146BE"/>
    <w:rsid w:val="00714F02"/>
    <w:rsid w:val="00715CA8"/>
    <w:rsid w:val="00715E1E"/>
    <w:rsid w:val="007164C1"/>
    <w:rsid w:val="00716EB9"/>
    <w:rsid w:val="00717580"/>
    <w:rsid w:val="00717710"/>
    <w:rsid w:val="00720099"/>
    <w:rsid w:val="007200FD"/>
    <w:rsid w:val="0072060C"/>
    <w:rsid w:val="00720AC8"/>
    <w:rsid w:val="00721FDA"/>
    <w:rsid w:val="007227E3"/>
    <w:rsid w:val="007239EC"/>
    <w:rsid w:val="00723A08"/>
    <w:rsid w:val="007243CE"/>
    <w:rsid w:val="00724BCB"/>
    <w:rsid w:val="00724E03"/>
    <w:rsid w:val="00724E57"/>
    <w:rsid w:val="00724EC4"/>
    <w:rsid w:val="00724F2E"/>
    <w:rsid w:val="00725433"/>
    <w:rsid w:val="007257BA"/>
    <w:rsid w:val="00725955"/>
    <w:rsid w:val="00725A32"/>
    <w:rsid w:val="00725F6D"/>
    <w:rsid w:val="007262AD"/>
    <w:rsid w:val="007270F5"/>
    <w:rsid w:val="00727644"/>
    <w:rsid w:val="0072798B"/>
    <w:rsid w:val="00727E58"/>
    <w:rsid w:val="007303FE"/>
    <w:rsid w:val="0073090D"/>
    <w:rsid w:val="00730C62"/>
    <w:rsid w:val="007312B2"/>
    <w:rsid w:val="00731910"/>
    <w:rsid w:val="00731E72"/>
    <w:rsid w:val="0073226E"/>
    <w:rsid w:val="007327EA"/>
    <w:rsid w:val="00733048"/>
    <w:rsid w:val="007341C1"/>
    <w:rsid w:val="00734221"/>
    <w:rsid w:val="0073456C"/>
    <w:rsid w:val="0073461B"/>
    <w:rsid w:val="007350F7"/>
    <w:rsid w:val="00735FFF"/>
    <w:rsid w:val="007362A1"/>
    <w:rsid w:val="0073644F"/>
    <w:rsid w:val="00736620"/>
    <w:rsid w:val="00736AE6"/>
    <w:rsid w:val="00736E83"/>
    <w:rsid w:val="00737087"/>
    <w:rsid w:val="007376B4"/>
    <w:rsid w:val="00740CBC"/>
    <w:rsid w:val="00741170"/>
    <w:rsid w:val="007413DC"/>
    <w:rsid w:val="0074189E"/>
    <w:rsid w:val="007419A9"/>
    <w:rsid w:val="007419E3"/>
    <w:rsid w:val="00741A36"/>
    <w:rsid w:val="00742A9D"/>
    <w:rsid w:val="00742DCB"/>
    <w:rsid w:val="00742E14"/>
    <w:rsid w:val="00742F8B"/>
    <w:rsid w:val="00743643"/>
    <w:rsid w:val="00743759"/>
    <w:rsid w:val="00743EED"/>
    <w:rsid w:val="00744152"/>
    <w:rsid w:val="0074473E"/>
    <w:rsid w:val="00744E34"/>
    <w:rsid w:val="0074520E"/>
    <w:rsid w:val="00745BF1"/>
    <w:rsid w:val="0074762E"/>
    <w:rsid w:val="00747DFB"/>
    <w:rsid w:val="00747EAD"/>
    <w:rsid w:val="007504AA"/>
    <w:rsid w:val="007508E0"/>
    <w:rsid w:val="00750CD5"/>
    <w:rsid w:val="007519E8"/>
    <w:rsid w:val="00751BFA"/>
    <w:rsid w:val="007524CC"/>
    <w:rsid w:val="007529F4"/>
    <w:rsid w:val="00752BAF"/>
    <w:rsid w:val="00752D0A"/>
    <w:rsid w:val="00752D76"/>
    <w:rsid w:val="00752EFE"/>
    <w:rsid w:val="00752FA3"/>
    <w:rsid w:val="0075451F"/>
    <w:rsid w:val="007545B3"/>
    <w:rsid w:val="00754C6F"/>
    <w:rsid w:val="00755AF7"/>
    <w:rsid w:val="0075626F"/>
    <w:rsid w:val="00756794"/>
    <w:rsid w:val="00756827"/>
    <w:rsid w:val="00756ABA"/>
    <w:rsid w:val="00756B33"/>
    <w:rsid w:val="00757054"/>
    <w:rsid w:val="00757B8A"/>
    <w:rsid w:val="00757D21"/>
    <w:rsid w:val="00760059"/>
    <w:rsid w:val="0076014E"/>
    <w:rsid w:val="007605BB"/>
    <w:rsid w:val="00760C8C"/>
    <w:rsid w:val="007617A4"/>
    <w:rsid w:val="00762033"/>
    <w:rsid w:val="00762DE8"/>
    <w:rsid w:val="0076314D"/>
    <w:rsid w:val="007631DD"/>
    <w:rsid w:val="00763780"/>
    <w:rsid w:val="007637D6"/>
    <w:rsid w:val="007639D7"/>
    <w:rsid w:val="00763C24"/>
    <w:rsid w:val="00763F84"/>
    <w:rsid w:val="00764DDE"/>
    <w:rsid w:val="00764FE1"/>
    <w:rsid w:val="00767A2B"/>
    <w:rsid w:val="00767D3B"/>
    <w:rsid w:val="007703CC"/>
    <w:rsid w:val="0077075F"/>
    <w:rsid w:val="00770816"/>
    <w:rsid w:val="007709B9"/>
    <w:rsid w:val="00770AF9"/>
    <w:rsid w:val="00770B11"/>
    <w:rsid w:val="0077120F"/>
    <w:rsid w:val="007717C9"/>
    <w:rsid w:val="0077223E"/>
    <w:rsid w:val="0077257F"/>
    <w:rsid w:val="00773230"/>
    <w:rsid w:val="0077340A"/>
    <w:rsid w:val="00773D70"/>
    <w:rsid w:val="00773DD2"/>
    <w:rsid w:val="007742F1"/>
    <w:rsid w:val="00774726"/>
    <w:rsid w:val="00774972"/>
    <w:rsid w:val="00774A11"/>
    <w:rsid w:val="00774A90"/>
    <w:rsid w:val="00774DE0"/>
    <w:rsid w:val="00775686"/>
    <w:rsid w:val="00775716"/>
    <w:rsid w:val="007757B1"/>
    <w:rsid w:val="00775845"/>
    <w:rsid w:val="00775D73"/>
    <w:rsid w:val="00775E47"/>
    <w:rsid w:val="007765EF"/>
    <w:rsid w:val="007767D3"/>
    <w:rsid w:val="00776DD1"/>
    <w:rsid w:val="00776F26"/>
    <w:rsid w:val="0077712B"/>
    <w:rsid w:val="0077753E"/>
    <w:rsid w:val="00777946"/>
    <w:rsid w:val="007800BD"/>
    <w:rsid w:val="00780340"/>
    <w:rsid w:val="0078056F"/>
    <w:rsid w:val="00780CF3"/>
    <w:rsid w:val="00781112"/>
    <w:rsid w:val="007816D8"/>
    <w:rsid w:val="00781C0F"/>
    <w:rsid w:val="007822E4"/>
    <w:rsid w:val="007822FD"/>
    <w:rsid w:val="00782606"/>
    <w:rsid w:val="0078269B"/>
    <w:rsid w:val="007827D9"/>
    <w:rsid w:val="00782979"/>
    <w:rsid w:val="00782B5F"/>
    <w:rsid w:val="00782EC8"/>
    <w:rsid w:val="00782FB6"/>
    <w:rsid w:val="00783479"/>
    <w:rsid w:val="00783F1A"/>
    <w:rsid w:val="00784854"/>
    <w:rsid w:val="0078491F"/>
    <w:rsid w:val="0078546F"/>
    <w:rsid w:val="00785672"/>
    <w:rsid w:val="007857BF"/>
    <w:rsid w:val="00785806"/>
    <w:rsid w:val="0078594A"/>
    <w:rsid w:val="007870F8"/>
    <w:rsid w:val="007874BB"/>
    <w:rsid w:val="00787AEB"/>
    <w:rsid w:val="00790589"/>
    <w:rsid w:val="007905E6"/>
    <w:rsid w:val="0079169F"/>
    <w:rsid w:val="007917AE"/>
    <w:rsid w:val="00791C5F"/>
    <w:rsid w:val="00791DEB"/>
    <w:rsid w:val="007925C6"/>
    <w:rsid w:val="0079360D"/>
    <w:rsid w:val="00794672"/>
    <w:rsid w:val="00794931"/>
    <w:rsid w:val="00794A41"/>
    <w:rsid w:val="007950D4"/>
    <w:rsid w:val="007953D7"/>
    <w:rsid w:val="007954D3"/>
    <w:rsid w:val="00795995"/>
    <w:rsid w:val="00795E9E"/>
    <w:rsid w:val="00796266"/>
    <w:rsid w:val="00796DC0"/>
    <w:rsid w:val="007973B0"/>
    <w:rsid w:val="007A00C1"/>
    <w:rsid w:val="007A0221"/>
    <w:rsid w:val="007A1398"/>
    <w:rsid w:val="007A1B2A"/>
    <w:rsid w:val="007A2822"/>
    <w:rsid w:val="007A35E2"/>
    <w:rsid w:val="007A3964"/>
    <w:rsid w:val="007A3A34"/>
    <w:rsid w:val="007A3E26"/>
    <w:rsid w:val="007A467C"/>
    <w:rsid w:val="007A470E"/>
    <w:rsid w:val="007A48DF"/>
    <w:rsid w:val="007A59A7"/>
    <w:rsid w:val="007A5B01"/>
    <w:rsid w:val="007A5B63"/>
    <w:rsid w:val="007A5BA6"/>
    <w:rsid w:val="007A5EC1"/>
    <w:rsid w:val="007A62B9"/>
    <w:rsid w:val="007A6310"/>
    <w:rsid w:val="007A644D"/>
    <w:rsid w:val="007A6818"/>
    <w:rsid w:val="007A6ADA"/>
    <w:rsid w:val="007A715D"/>
    <w:rsid w:val="007A7E81"/>
    <w:rsid w:val="007A7E93"/>
    <w:rsid w:val="007B0A26"/>
    <w:rsid w:val="007B1221"/>
    <w:rsid w:val="007B14B2"/>
    <w:rsid w:val="007B1B7E"/>
    <w:rsid w:val="007B1DB7"/>
    <w:rsid w:val="007B2985"/>
    <w:rsid w:val="007B2B8D"/>
    <w:rsid w:val="007B35BE"/>
    <w:rsid w:val="007B46BF"/>
    <w:rsid w:val="007B5383"/>
    <w:rsid w:val="007B56DD"/>
    <w:rsid w:val="007B5C1B"/>
    <w:rsid w:val="007B6017"/>
    <w:rsid w:val="007B61E6"/>
    <w:rsid w:val="007B69ED"/>
    <w:rsid w:val="007B6B98"/>
    <w:rsid w:val="007B7736"/>
    <w:rsid w:val="007B78ED"/>
    <w:rsid w:val="007B7ACE"/>
    <w:rsid w:val="007B7D25"/>
    <w:rsid w:val="007C0107"/>
    <w:rsid w:val="007C0E6F"/>
    <w:rsid w:val="007C139C"/>
    <w:rsid w:val="007C1AC4"/>
    <w:rsid w:val="007C1BCF"/>
    <w:rsid w:val="007C1FC9"/>
    <w:rsid w:val="007C2607"/>
    <w:rsid w:val="007C29FA"/>
    <w:rsid w:val="007C2ABB"/>
    <w:rsid w:val="007C2BE4"/>
    <w:rsid w:val="007C3067"/>
    <w:rsid w:val="007C3C89"/>
    <w:rsid w:val="007C3E25"/>
    <w:rsid w:val="007C4262"/>
    <w:rsid w:val="007C4B0E"/>
    <w:rsid w:val="007C5CB2"/>
    <w:rsid w:val="007C5E7D"/>
    <w:rsid w:val="007C66BF"/>
    <w:rsid w:val="007C67E2"/>
    <w:rsid w:val="007C689C"/>
    <w:rsid w:val="007C7971"/>
    <w:rsid w:val="007C7DFF"/>
    <w:rsid w:val="007C7E17"/>
    <w:rsid w:val="007D01BC"/>
    <w:rsid w:val="007D07C4"/>
    <w:rsid w:val="007D100A"/>
    <w:rsid w:val="007D1137"/>
    <w:rsid w:val="007D116C"/>
    <w:rsid w:val="007D12EA"/>
    <w:rsid w:val="007D156B"/>
    <w:rsid w:val="007D168C"/>
    <w:rsid w:val="007D1975"/>
    <w:rsid w:val="007D219D"/>
    <w:rsid w:val="007D28D0"/>
    <w:rsid w:val="007D2F92"/>
    <w:rsid w:val="007D374D"/>
    <w:rsid w:val="007D3D18"/>
    <w:rsid w:val="007D3F55"/>
    <w:rsid w:val="007D4253"/>
    <w:rsid w:val="007D433F"/>
    <w:rsid w:val="007D435F"/>
    <w:rsid w:val="007D527A"/>
    <w:rsid w:val="007D5D8B"/>
    <w:rsid w:val="007D5FA6"/>
    <w:rsid w:val="007D638F"/>
    <w:rsid w:val="007D64C9"/>
    <w:rsid w:val="007D6635"/>
    <w:rsid w:val="007D6BB1"/>
    <w:rsid w:val="007D755C"/>
    <w:rsid w:val="007D798F"/>
    <w:rsid w:val="007D7A20"/>
    <w:rsid w:val="007E0A04"/>
    <w:rsid w:val="007E10E7"/>
    <w:rsid w:val="007E1738"/>
    <w:rsid w:val="007E1791"/>
    <w:rsid w:val="007E1833"/>
    <w:rsid w:val="007E2779"/>
    <w:rsid w:val="007E3073"/>
    <w:rsid w:val="007E35D9"/>
    <w:rsid w:val="007E3B19"/>
    <w:rsid w:val="007E4314"/>
    <w:rsid w:val="007E4572"/>
    <w:rsid w:val="007E4838"/>
    <w:rsid w:val="007E4BE9"/>
    <w:rsid w:val="007E4BF2"/>
    <w:rsid w:val="007E5038"/>
    <w:rsid w:val="007E57D2"/>
    <w:rsid w:val="007E58E3"/>
    <w:rsid w:val="007E5E5B"/>
    <w:rsid w:val="007E6407"/>
    <w:rsid w:val="007E6810"/>
    <w:rsid w:val="007E6F97"/>
    <w:rsid w:val="007E6F9F"/>
    <w:rsid w:val="007E7764"/>
    <w:rsid w:val="007E77D6"/>
    <w:rsid w:val="007E7C36"/>
    <w:rsid w:val="007E7D2A"/>
    <w:rsid w:val="007F0425"/>
    <w:rsid w:val="007F0944"/>
    <w:rsid w:val="007F0969"/>
    <w:rsid w:val="007F0C33"/>
    <w:rsid w:val="007F0C5F"/>
    <w:rsid w:val="007F0CEC"/>
    <w:rsid w:val="007F10E6"/>
    <w:rsid w:val="007F1174"/>
    <w:rsid w:val="007F11D7"/>
    <w:rsid w:val="007F1383"/>
    <w:rsid w:val="007F15BC"/>
    <w:rsid w:val="007F164B"/>
    <w:rsid w:val="007F1D12"/>
    <w:rsid w:val="007F1DA7"/>
    <w:rsid w:val="007F1F79"/>
    <w:rsid w:val="007F2313"/>
    <w:rsid w:val="007F24E2"/>
    <w:rsid w:val="007F2DDE"/>
    <w:rsid w:val="007F337D"/>
    <w:rsid w:val="007F3B1A"/>
    <w:rsid w:val="007F3BA1"/>
    <w:rsid w:val="007F41FD"/>
    <w:rsid w:val="007F44A9"/>
    <w:rsid w:val="007F4592"/>
    <w:rsid w:val="007F5071"/>
    <w:rsid w:val="007F50EE"/>
    <w:rsid w:val="007F53F1"/>
    <w:rsid w:val="007F5604"/>
    <w:rsid w:val="007F6192"/>
    <w:rsid w:val="007F6756"/>
    <w:rsid w:val="007F67A9"/>
    <w:rsid w:val="007F67C7"/>
    <w:rsid w:val="007F6A1A"/>
    <w:rsid w:val="007F6AFF"/>
    <w:rsid w:val="007F6F3A"/>
    <w:rsid w:val="007F7063"/>
    <w:rsid w:val="007F76DD"/>
    <w:rsid w:val="007F7E44"/>
    <w:rsid w:val="007F7FF8"/>
    <w:rsid w:val="008021F4"/>
    <w:rsid w:val="00802665"/>
    <w:rsid w:val="00802A46"/>
    <w:rsid w:val="00803155"/>
    <w:rsid w:val="00803CFD"/>
    <w:rsid w:val="00803FBB"/>
    <w:rsid w:val="0080439F"/>
    <w:rsid w:val="008043A8"/>
    <w:rsid w:val="00805DD3"/>
    <w:rsid w:val="00805F54"/>
    <w:rsid w:val="00806AE6"/>
    <w:rsid w:val="00806C75"/>
    <w:rsid w:val="008078DE"/>
    <w:rsid w:val="00807AD3"/>
    <w:rsid w:val="008108AC"/>
    <w:rsid w:val="00810DCF"/>
    <w:rsid w:val="008115FD"/>
    <w:rsid w:val="0081195E"/>
    <w:rsid w:val="00811A99"/>
    <w:rsid w:val="00811B13"/>
    <w:rsid w:val="008137CC"/>
    <w:rsid w:val="0081430E"/>
    <w:rsid w:val="00814341"/>
    <w:rsid w:val="008149EF"/>
    <w:rsid w:val="008151EC"/>
    <w:rsid w:val="00815B9B"/>
    <w:rsid w:val="00816065"/>
    <w:rsid w:val="00817042"/>
    <w:rsid w:val="008174C3"/>
    <w:rsid w:val="00820441"/>
    <w:rsid w:val="008206CE"/>
    <w:rsid w:val="00820751"/>
    <w:rsid w:val="00820AD0"/>
    <w:rsid w:val="0082130B"/>
    <w:rsid w:val="00821BA2"/>
    <w:rsid w:val="008221C1"/>
    <w:rsid w:val="008227D4"/>
    <w:rsid w:val="00823232"/>
    <w:rsid w:val="00823A32"/>
    <w:rsid w:val="00823B4C"/>
    <w:rsid w:val="0082411F"/>
    <w:rsid w:val="00824C46"/>
    <w:rsid w:val="00824D00"/>
    <w:rsid w:val="00825455"/>
    <w:rsid w:val="00825520"/>
    <w:rsid w:val="0082560D"/>
    <w:rsid w:val="0082568C"/>
    <w:rsid w:val="0082574D"/>
    <w:rsid w:val="00825D03"/>
    <w:rsid w:val="00825F7C"/>
    <w:rsid w:val="00826A26"/>
    <w:rsid w:val="00826A44"/>
    <w:rsid w:val="00826CF1"/>
    <w:rsid w:val="00826D36"/>
    <w:rsid w:val="00827192"/>
    <w:rsid w:val="00827EE7"/>
    <w:rsid w:val="00827FF4"/>
    <w:rsid w:val="00830159"/>
    <w:rsid w:val="00830178"/>
    <w:rsid w:val="00831025"/>
    <w:rsid w:val="00831752"/>
    <w:rsid w:val="00831918"/>
    <w:rsid w:val="00831B93"/>
    <w:rsid w:val="00831CDE"/>
    <w:rsid w:val="0083260B"/>
    <w:rsid w:val="008327A8"/>
    <w:rsid w:val="00832807"/>
    <w:rsid w:val="00832D0E"/>
    <w:rsid w:val="0083356C"/>
    <w:rsid w:val="00833727"/>
    <w:rsid w:val="0083390E"/>
    <w:rsid w:val="00833FDC"/>
    <w:rsid w:val="008345E5"/>
    <w:rsid w:val="0083466B"/>
    <w:rsid w:val="0083484B"/>
    <w:rsid w:val="00834A7C"/>
    <w:rsid w:val="00834FE5"/>
    <w:rsid w:val="0083500D"/>
    <w:rsid w:val="00835297"/>
    <w:rsid w:val="00835A6C"/>
    <w:rsid w:val="00835CCC"/>
    <w:rsid w:val="00835EAD"/>
    <w:rsid w:val="00835F30"/>
    <w:rsid w:val="00836687"/>
    <w:rsid w:val="008375EB"/>
    <w:rsid w:val="00837E94"/>
    <w:rsid w:val="00837FBB"/>
    <w:rsid w:val="0084048A"/>
    <w:rsid w:val="0084082F"/>
    <w:rsid w:val="00840EF0"/>
    <w:rsid w:val="00841302"/>
    <w:rsid w:val="00841CCE"/>
    <w:rsid w:val="00841DCC"/>
    <w:rsid w:val="008420E4"/>
    <w:rsid w:val="00842A43"/>
    <w:rsid w:val="008436D5"/>
    <w:rsid w:val="008438DC"/>
    <w:rsid w:val="00843E0F"/>
    <w:rsid w:val="008446B4"/>
    <w:rsid w:val="00844ADE"/>
    <w:rsid w:val="00844FD2"/>
    <w:rsid w:val="00845096"/>
    <w:rsid w:val="00845242"/>
    <w:rsid w:val="00845B9B"/>
    <w:rsid w:val="00845C0C"/>
    <w:rsid w:val="00846055"/>
    <w:rsid w:val="0084674B"/>
    <w:rsid w:val="008469C7"/>
    <w:rsid w:val="00846D41"/>
    <w:rsid w:val="00846E78"/>
    <w:rsid w:val="0084727C"/>
    <w:rsid w:val="0084736E"/>
    <w:rsid w:val="008474CD"/>
    <w:rsid w:val="00847776"/>
    <w:rsid w:val="00847916"/>
    <w:rsid w:val="00847C4D"/>
    <w:rsid w:val="008500C1"/>
    <w:rsid w:val="00850BB0"/>
    <w:rsid w:val="0085119E"/>
    <w:rsid w:val="00851CC5"/>
    <w:rsid w:val="00851D2C"/>
    <w:rsid w:val="00851F98"/>
    <w:rsid w:val="008521F9"/>
    <w:rsid w:val="00852263"/>
    <w:rsid w:val="00852D5E"/>
    <w:rsid w:val="0085317B"/>
    <w:rsid w:val="0085328E"/>
    <w:rsid w:val="00853F0A"/>
    <w:rsid w:val="0085462C"/>
    <w:rsid w:val="008546BE"/>
    <w:rsid w:val="0085496F"/>
    <w:rsid w:val="00854A7F"/>
    <w:rsid w:val="008555F3"/>
    <w:rsid w:val="00855879"/>
    <w:rsid w:val="00855C12"/>
    <w:rsid w:val="0085627F"/>
    <w:rsid w:val="00856344"/>
    <w:rsid w:val="008567C0"/>
    <w:rsid w:val="00856A9E"/>
    <w:rsid w:val="00856B0E"/>
    <w:rsid w:val="00856BA3"/>
    <w:rsid w:val="00856C4E"/>
    <w:rsid w:val="00856DE7"/>
    <w:rsid w:val="008579DB"/>
    <w:rsid w:val="00857A31"/>
    <w:rsid w:val="00857B7C"/>
    <w:rsid w:val="00857C39"/>
    <w:rsid w:val="00857E4F"/>
    <w:rsid w:val="00861035"/>
    <w:rsid w:val="008610A8"/>
    <w:rsid w:val="00861D31"/>
    <w:rsid w:val="00861FBA"/>
    <w:rsid w:val="00862001"/>
    <w:rsid w:val="00862019"/>
    <w:rsid w:val="0086206B"/>
    <w:rsid w:val="00862248"/>
    <w:rsid w:val="008626F6"/>
    <w:rsid w:val="00862AC4"/>
    <w:rsid w:val="00862B20"/>
    <w:rsid w:val="00862B39"/>
    <w:rsid w:val="00862DA1"/>
    <w:rsid w:val="008637F8"/>
    <w:rsid w:val="0086391F"/>
    <w:rsid w:val="008639A1"/>
    <w:rsid w:val="008644AD"/>
    <w:rsid w:val="008645AD"/>
    <w:rsid w:val="00864A46"/>
    <w:rsid w:val="00864D12"/>
    <w:rsid w:val="00864E23"/>
    <w:rsid w:val="00864F0F"/>
    <w:rsid w:val="00865289"/>
    <w:rsid w:val="008652F1"/>
    <w:rsid w:val="00865331"/>
    <w:rsid w:val="008657CA"/>
    <w:rsid w:val="00865DD5"/>
    <w:rsid w:val="0086649A"/>
    <w:rsid w:val="008667B9"/>
    <w:rsid w:val="00866B4D"/>
    <w:rsid w:val="00866C0C"/>
    <w:rsid w:val="00866DC4"/>
    <w:rsid w:val="008671C9"/>
    <w:rsid w:val="008676CB"/>
    <w:rsid w:val="00870121"/>
    <w:rsid w:val="0087093B"/>
    <w:rsid w:val="00870B5A"/>
    <w:rsid w:val="00870D14"/>
    <w:rsid w:val="0087115E"/>
    <w:rsid w:val="0087130D"/>
    <w:rsid w:val="008716CB"/>
    <w:rsid w:val="0087186A"/>
    <w:rsid w:val="008719C4"/>
    <w:rsid w:val="0087235F"/>
    <w:rsid w:val="0087345D"/>
    <w:rsid w:val="00873713"/>
    <w:rsid w:val="00873973"/>
    <w:rsid w:val="00874387"/>
    <w:rsid w:val="0087456C"/>
    <w:rsid w:val="00875068"/>
    <w:rsid w:val="008751D3"/>
    <w:rsid w:val="008756B3"/>
    <w:rsid w:val="00876394"/>
    <w:rsid w:val="008765AB"/>
    <w:rsid w:val="00876657"/>
    <w:rsid w:val="00876B84"/>
    <w:rsid w:val="00876C35"/>
    <w:rsid w:val="00876D2A"/>
    <w:rsid w:val="00877012"/>
    <w:rsid w:val="00877614"/>
    <w:rsid w:val="00877D81"/>
    <w:rsid w:val="00880550"/>
    <w:rsid w:val="0088093A"/>
    <w:rsid w:val="00881450"/>
    <w:rsid w:val="008815F1"/>
    <w:rsid w:val="008816C1"/>
    <w:rsid w:val="00881D3B"/>
    <w:rsid w:val="008826C6"/>
    <w:rsid w:val="00883322"/>
    <w:rsid w:val="00883B39"/>
    <w:rsid w:val="00883F13"/>
    <w:rsid w:val="008841EE"/>
    <w:rsid w:val="008845C7"/>
    <w:rsid w:val="00884FD4"/>
    <w:rsid w:val="00885C35"/>
    <w:rsid w:val="0088691E"/>
    <w:rsid w:val="00886A21"/>
    <w:rsid w:val="00886FCF"/>
    <w:rsid w:val="00887363"/>
    <w:rsid w:val="0088758A"/>
    <w:rsid w:val="008877E3"/>
    <w:rsid w:val="008878CC"/>
    <w:rsid w:val="00887C29"/>
    <w:rsid w:val="0089046C"/>
    <w:rsid w:val="00890AC9"/>
    <w:rsid w:val="00891F3E"/>
    <w:rsid w:val="00892DD7"/>
    <w:rsid w:val="00892FF3"/>
    <w:rsid w:val="0089330B"/>
    <w:rsid w:val="00893497"/>
    <w:rsid w:val="00893F02"/>
    <w:rsid w:val="008942E7"/>
    <w:rsid w:val="00894709"/>
    <w:rsid w:val="00894F9B"/>
    <w:rsid w:val="00895550"/>
    <w:rsid w:val="00895AA2"/>
    <w:rsid w:val="00897094"/>
    <w:rsid w:val="00897286"/>
    <w:rsid w:val="00897563"/>
    <w:rsid w:val="00897815"/>
    <w:rsid w:val="008A0370"/>
    <w:rsid w:val="008A0549"/>
    <w:rsid w:val="008A0F62"/>
    <w:rsid w:val="008A2090"/>
    <w:rsid w:val="008A2300"/>
    <w:rsid w:val="008A2533"/>
    <w:rsid w:val="008A28C4"/>
    <w:rsid w:val="008A36B7"/>
    <w:rsid w:val="008A3934"/>
    <w:rsid w:val="008A3DC6"/>
    <w:rsid w:val="008A3EFE"/>
    <w:rsid w:val="008A4E4A"/>
    <w:rsid w:val="008A4FB7"/>
    <w:rsid w:val="008A517B"/>
    <w:rsid w:val="008A5402"/>
    <w:rsid w:val="008A54C8"/>
    <w:rsid w:val="008A58FE"/>
    <w:rsid w:val="008A663E"/>
    <w:rsid w:val="008A67F5"/>
    <w:rsid w:val="008A6DCA"/>
    <w:rsid w:val="008A6FBA"/>
    <w:rsid w:val="008A73ED"/>
    <w:rsid w:val="008A791B"/>
    <w:rsid w:val="008A793F"/>
    <w:rsid w:val="008B00F3"/>
    <w:rsid w:val="008B048F"/>
    <w:rsid w:val="008B08DA"/>
    <w:rsid w:val="008B0C67"/>
    <w:rsid w:val="008B0DB0"/>
    <w:rsid w:val="008B1088"/>
    <w:rsid w:val="008B248E"/>
    <w:rsid w:val="008B2598"/>
    <w:rsid w:val="008B4009"/>
    <w:rsid w:val="008B4956"/>
    <w:rsid w:val="008B52D1"/>
    <w:rsid w:val="008B532F"/>
    <w:rsid w:val="008B600B"/>
    <w:rsid w:val="008B60AB"/>
    <w:rsid w:val="008B60E2"/>
    <w:rsid w:val="008B6511"/>
    <w:rsid w:val="008B71EA"/>
    <w:rsid w:val="008B7475"/>
    <w:rsid w:val="008B7787"/>
    <w:rsid w:val="008B7DF5"/>
    <w:rsid w:val="008C070D"/>
    <w:rsid w:val="008C0F61"/>
    <w:rsid w:val="008C26A6"/>
    <w:rsid w:val="008C34A2"/>
    <w:rsid w:val="008C3525"/>
    <w:rsid w:val="008C390F"/>
    <w:rsid w:val="008C40CD"/>
    <w:rsid w:val="008C436C"/>
    <w:rsid w:val="008C4579"/>
    <w:rsid w:val="008C49E3"/>
    <w:rsid w:val="008C4BD5"/>
    <w:rsid w:val="008C56EE"/>
    <w:rsid w:val="008C5922"/>
    <w:rsid w:val="008C5FD7"/>
    <w:rsid w:val="008C688A"/>
    <w:rsid w:val="008D012E"/>
    <w:rsid w:val="008D02A5"/>
    <w:rsid w:val="008D0823"/>
    <w:rsid w:val="008D09A7"/>
    <w:rsid w:val="008D0CC6"/>
    <w:rsid w:val="008D194B"/>
    <w:rsid w:val="008D1AC8"/>
    <w:rsid w:val="008D1F5C"/>
    <w:rsid w:val="008D23DF"/>
    <w:rsid w:val="008D24E3"/>
    <w:rsid w:val="008D2663"/>
    <w:rsid w:val="008D2829"/>
    <w:rsid w:val="008D3349"/>
    <w:rsid w:val="008D3482"/>
    <w:rsid w:val="008D3484"/>
    <w:rsid w:val="008D369E"/>
    <w:rsid w:val="008D3817"/>
    <w:rsid w:val="008D39CD"/>
    <w:rsid w:val="008D433F"/>
    <w:rsid w:val="008D49D7"/>
    <w:rsid w:val="008D4DFC"/>
    <w:rsid w:val="008D51A7"/>
    <w:rsid w:val="008D584B"/>
    <w:rsid w:val="008D5D5F"/>
    <w:rsid w:val="008D66A2"/>
    <w:rsid w:val="008D6AA4"/>
    <w:rsid w:val="008D6D25"/>
    <w:rsid w:val="008D766F"/>
    <w:rsid w:val="008D794C"/>
    <w:rsid w:val="008E0D19"/>
    <w:rsid w:val="008E16F9"/>
    <w:rsid w:val="008E1C65"/>
    <w:rsid w:val="008E1C6D"/>
    <w:rsid w:val="008E2491"/>
    <w:rsid w:val="008E2621"/>
    <w:rsid w:val="008E31C4"/>
    <w:rsid w:val="008E3C06"/>
    <w:rsid w:val="008E3ECC"/>
    <w:rsid w:val="008E430B"/>
    <w:rsid w:val="008E6410"/>
    <w:rsid w:val="008E64EB"/>
    <w:rsid w:val="008E6658"/>
    <w:rsid w:val="008E69AC"/>
    <w:rsid w:val="008E6F00"/>
    <w:rsid w:val="008E7AF3"/>
    <w:rsid w:val="008E7B87"/>
    <w:rsid w:val="008F0291"/>
    <w:rsid w:val="008F1F71"/>
    <w:rsid w:val="008F267C"/>
    <w:rsid w:val="008F26D4"/>
    <w:rsid w:val="008F2AAD"/>
    <w:rsid w:val="008F3F33"/>
    <w:rsid w:val="008F44BD"/>
    <w:rsid w:val="008F4B6F"/>
    <w:rsid w:val="008F4C82"/>
    <w:rsid w:val="008F4E37"/>
    <w:rsid w:val="008F4F89"/>
    <w:rsid w:val="008F540C"/>
    <w:rsid w:val="008F5415"/>
    <w:rsid w:val="008F56AC"/>
    <w:rsid w:val="008F5DB7"/>
    <w:rsid w:val="008F7306"/>
    <w:rsid w:val="008F7972"/>
    <w:rsid w:val="00900744"/>
    <w:rsid w:val="009008F2"/>
    <w:rsid w:val="009008F8"/>
    <w:rsid w:val="00900A11"/>
    <w:rsid w:val="009012D4"/>
    <w:rsid w:val="0090140E"/>
    <w:rsid w:val="009016E8"/>
    <w:rsid w:val="00901A40"/>
    <w:rsid w:val="00901F75"/>
    <w:rsid w:val="00902308"/>
    <w:rsid w:val="009023AD"/>
    <w:rsid w:val="00902431"/>
    <w:rsid w:val="009026F3"/>
    <w:rsid w:val="009028CA"/>
    <w:rsid w:val="00902EAB"/>
    <w:rsid w:val="00903774"/>
    <w:rsid w:val="0090388A"/>
    <w:rsid w:val="00903BFD"/>
    <w:rsid w:val="0090412A"/>
    <w:rsid w:val="00904B27"/>
    <w:rsid w:val="00904E40"/>
    <w:rsid w:val="00905040"/>
    <w:rsid w:val="00905291"/>
    <w:rsid w:val="00905F6B"/>
    <w:rsid w:val="00906600"/>
    <w:rsid w:val="009068F2"/>
    <w:rsid w:val="00906D5F"/>
    <w:rsid w:val="00907A35"/>
    <w:rsid w:val="009100F6"/>
    <w:rsid w:val="00910446"/>
    <w:rsid w:val="009104FF"/>
    <w:rsid w:val="00910610"/>
    <w:rsid w:val="0091098C"/>
    <w:rsid w:val="00910E15"/>
    <w:rsid w:val="00911671"/>
    <w:rsid w:val="0091199B"/>
    <w:rsid w:val="00911AA1"/>
    <w:rsid w:val="00911C9C"/>
    <w:rsid w:val="00911F8E"/>
    <w:rsid w:val="009122B6"/>
    <w:rsid w:val="009134E5"/>
    <w:rsid w:val="00913A33"/>
    <w:rsid w:val="00914535"/>
    <w:rsid w:val="00915139"/>
    <w:rsid w:val="00915D46"/>
    <w:rsid w:val="00915FBE"/>
    <w:rsid w:val="00916835"/>
    <w:rsid w:val="00916E70"/>
    <w:rsid w:val="009170DE"/>
    <w:rsid w:val="009172F2"/>
    <w:rsid w:val="009176D0"/>
    <w:rsid w:val="00917E2C"/>
    <w:rsid w:val="00920AEA"/>
    <w:rsid w:val="00921789"/>
    <w:rsid w:val="0092282C"/>
    <w:rsid w:val="009228C1"/>
    <w:rsid w:val="00923335"/>
    <w:rsid w:val="0092334F"/>
    <w:rsid w:val="00923BD9"/>
    <w:rsid w:val="00923F2E"/>
    <w:rsid w:val="00924DCE"/>
    <w:rsid w:val="00925847"/>
    <w:rsid w:val="00925B2E"/>
    <w:rsid w:val="00925E33"/>
    <w:rsid w:val="00926328"/>
    <w:rsid w:val="00926A7F"/>
    <w:rsid w:val="00927B26"/>
    <w:rsid w:val="00927E4D"/>
    <w:rsid w:val="0093014E"/>
    <w:rsid w:val="00930263"/>
    <w:rsid w:val="00930BAA"/>
    <w:rsid w:val="009315A3"/>
    <w:rsid w:val="00931748"/>
    <w:rsid w:val="00931A25"/>
    <w:rsid w:val="009323AE"/>
    <w:rsid w:val="0093332A"/>
    <w:rsid w:val="009333BB"/>
    <w:rsid w:val="0093381B"/>
    <w:rsid w:val="009340E3"/>
    <w:rsid w:val="0093456C"/>
    <w:rsid w:val="009349AB"/>
    <w:rsid w:val="00934DC4"/>
    <w:rsid w:val="009353C7"/>
    <w:rsid w:val="0093562B"/>
    <w:rsid w:val="009356C1"/>
    <w:rsid w:val="009358D4"/>
    <w:rsid w:val="00935B96"/>
    <w:rsid w:val="00935E2F"/>
    <w:rsid w:val="00936827"/>
    <w:rsid w:val="00936C53"/>
    <w:rsid w:val="00937A74"/>
    <w:rsid w:val="00937C4F"/>
    <w:rsid w:val="00937D82"/>
    <w:rsid w:val="009404D6"/>
    <w:rsid w:val="009408C2"/>
    <w:rsid w:val="009415EB"/>
    <w:rsid w:val="009418D8"/>
    <w:rsid w:val="00941BB7"/>
    <w:rsid w:val="0094300A"/>
    <w:rsid w:val="00943314"/>
    <w:rsid w:val="009437E9"/>
    <w:rsid w:val="00943A67"/>
    <w:rsid w:val="00943CE1"/>
    <w:rsid w:val="00943EFA"/>
    <w:rsid w:val="009447A3"/>
    <w:rsid w:val="0094481B"/>
    <w:rsid w:val="00944B78"/>
    <w:rsid w:val="00944C45"/>
    <w:rsid w:val="00944E51"/>
    <w:rsid w:val="00944FB4"/>
    <w:rsid w:val="00945274"/>
    <w:rsid w:val="00945596"/>
    <w:rsid w:val="00945A25"/>
    <w:rsid w:val="00945B39"/>
    <w:rsid w:val="0094658B"/>
    <w:rsid w:val="00946982"/>
    <w:rsid w:val="0094735E"/>
    <w:rsid w:val="0094743F"/>
    <w:rsid w:val="00947C07"/>
    <w:rsid w:val="00950161"/>
    <w:rsid w:val="009511A5"/>
    <w:rsid w:val="00951443"/>
    <w:rsid w:val="0095159B"/>
    <w:rsid w:val="00951A0A"/>
    <w:rsid w:val="00951BEE"/>
    <w:rsid w:val="00951F6F"/>
    <w:rsid w:val="00952078"/>
    <w:rsid w:val="009520B1"/>
    <w:rsid w:val="00952244"/>
    <w:rsid w:val="00952282"/>
    <w:rsid w:val="009526B8"/>
    <w:rsid w:val="0095288C"/>
    <w:rsid w:val="00953081"/>
    <w:rsid w:val="00953707"/>
    <w:rsid w:val="0095471A"/>
    <w:rsid w:val="00954EDD"/>
    <w:rsid w:val="009550A6"/>
    <w:rsid w:val="0095537B"/>
    <w:rsid w:val="009553C6"/>
    <w:rsid w:val="00955FDB"/>
    <w:rsid w:val="0095611C"/>
    <w:rsid w:val="00956236"/>
    <w:rsid w:val="009567E3"/>
    <w:rsid w:val="009569B8"/>
    <w:rsid w:val="00956BFB"/>
    <w:rsid w:val="00956DB0"/>
    <w:rsid w:val="00956DFE"/>
    <w:rsid w:val="00956F82"/>
    <w:rsid w:val="0095745C"/>
    <w:rsid w:val="00957C31"/>
    <w:rsid w:val="00957E03"/>
    <w:rsid w:val="009609E1"/>
    <w:rsid w:val="00960F94"/>
    <w:rsid w:val="009611F2"/>
    <w:rsid w:val="009615EC"/>
    <w:rsid w:val="009616A9"/>
    <w:rsid w:val="00961E1B"/>
    <w:rsid w:val="009620B1"/>
    <w:rsid w:val="0096257C"/>
    <w:rsid w:val="00963870"/>
    <w:rsid w:val="00963D63"/>
    <w:rsid w:val="00963E16"/>
    <w:rsid w:val="00964467"/>
    <w:rsid w:val="00964A72"/>
    <w:rsid w:val="00964AF5"/>
    <w:rsid w:val="00965B71"/>
    <w:rsid w:val="00965F4F"/>
    <w:rsid w:val="00966232"/>
    <w:rsid w:val="00966D22"/>
    <w:rsid w:val="00966ECC"/>
    <w:rsid w:val="00966ED1"/>
    <w:rsid w:val="00967488"/>
    <w:rsid w:val="009676BE"/>
    <w:rsid w:val="009702B6"/>
    <w:rsid w:val="009705DF"/>
    <w:rsid w:val="0097078D"/>
    <w:rsid w:val="0097089F"/>
    <w:rsid w:val="009709BF"/>
    <w:rsid w:val="0097168D"/>
    <w:rsid w:val="00972124"/>
    <w:rsid w:val="00972442"/>
    <w:rsid w:val="009725F4"/>
    <w:rsid w:val="00972BC8"/>
    <w:rsid w:val="0097308E"/>
    <w:rsid w:val="00973669"/>
    <w:rsid w:val="00973727"/>
    <w:rsid w:val="0097445D"/>
    <w:rsid w:val="0097451A"/>
    <w:rsid w:val="00975876"/>
    <w:rsid w:val="00976DF1"/>
    <w:rsid w:val="00977C1B"/>
    <w:rsid w:val="00977D0D"/>
    <w:rsid w:val="0098003F"/>
    <w:rsid w:val="00981292"/>
    <w:rsid w:val="00981858"/>
    <w:rsid w:val="009821AF"/>
    <w:rsid w:val="00982A58"/>
    <w:rsid w:val="00983370"/>
    <w:rsid w:val="00983B46"/>
    <w:rsid w:val="00983FE2"/>
    <w:rsid w:val="00984301"/>
    <w:rsid w:val="009844B5"/>
    <w:rsid w:val="0098478C"/>
    <w:rsid w:val="00985234"/>
    <w:rsid w:val="009856C0"/>
    <w:rsid w:val="00985987"/>
    <w:rsid w:val="00986037"/>
    <w:rsid w:val="00986244"/>
    <w:rsid w:val="0098729C"/>
    <w:rsid w:val="00987611"/>
    <w:rsid w:val="00987BD2"/>
    <w:rsid w:val="009901EF"/>
    <w:rsid w:val="009906FC"/>
    <w:rsid w:val="0099146F"/>
    <w:rsid w:val="00991685"/>
    <w:rsid w:val="009926E2"/>
    <w:rsid w:val="00992A44"/>
    <w:rsid w:val="00992ACE"/>
    <w:rsid w:val="009934CE"/>
    <w:rsid w:val="00993705"/>
    <w:rsid w:val="00993B32"/>
    <w:rsid w:val="00993DC2"/>
    <w:rsid w:val="0099447D"/>
    <w:rsid w:val="009945C3"/>
    <w:rsid w:val="0099500B"/>
    <w:rsid w:val="00995398"/>
    <w:rsid w:val="00995441"/>
    <w:rsid w:val="00995737"/>
    <w:rsid w:val="00995D3B"/>
    <w:rsid w:val="00995E40"/>
    <w:rsid w:val="00996297"/>
    <w:rsid w:val="00996DD5"/>
    <w:rsid w:val="009973AB"/>
    <w:rsid w:val="009976D0"/>
    <w:rsid w:val="00997807"/>
    <w:rsid w:val="00997B72"/>
    <w:rsid w:val="00997FCA"/>
    <w:rsid w:val="009A02AB"/>
    <w:rsid w:val="009A0A1A"/>
    <w:rsid w:val="009A1058"/>
    <w:rsid w:val="009A15FD"/>
    <w:rsid w:val="009A16E4"/>
    <w:rsid w:val="009A221D"/>
    <w:rsid w:val="009A2965"/>
    <w:rsid w:val="009A331A"/>
    <w:rsid w:val="009A378E"/>
    <w:rsid w:val="009A41A0"/>
    <w:rsid w:val="009A4BAC"/>
    <w:rsid w:val="009A5641"/>
    <w:rsid w:val="009A58F2"/>
    <w:rsid w:val="009A62A4"/>
    <w:rsid w:val="009A6BE8"/>
    <w:rsid w:val="009A70E0"/>
    <w:rsid w:val="009A755E"/>
    <w:rsid w:val="009A76B9"/>
    <w:rsid w:val="009A7A16"/>
    <w:rsid w:val="009A7B65"/>
    <w:rsid w:val="009A7C65"/>
    <w:rsid w:val="009A7DD3"/>
    <w:rsid w:val="009B02BC"/>
    <w:rsid w:val="009B0761"/>
    <w:rsid w:val="009B0853"/>
    <w:rsid w:val="009B0B39"/>
    <w:rsid w:val="009B0EF0"/>
    <w:rsid w:val="009B122B"/>
    <w:rsid w:val="009B1384"/>
    <w:rsid w:val="009B1592"/>
    <w:rsid w:val="009B1F40"/>
    <w:rsid w:val="009B2617"/>
    <w:rsid w:val="009B2B72"/>
    <w:rsid w:val="009B3481"/>
    <w:rsid w:val="009B37A2"/>
    <w:rsid w:val="009B3D8D"/>
    <w:rsid w:val="009B4257"/>
    <w:rsid w:val="009B43F8"/>
    <w:rsid w:val="009B4FDA"/>
    <w:rsid w:val="009B50C7"/>
    <w:rsid w:val="009B5598"/>
    <w:rsid w:val="009B5A0F"/>
    <w:rsid w:val="009B5D3A"/>
    <w:rsid w:val="009B6143"/>
    <w:rsid w:val="009B6586"/>
    <w:rsid w:val="009B6C2A"/>
    <w:rsid w:val="009B739A"/>
    <w:rsid w:val="009B76C5"/>
    <w:rsid w:val="009B78C5"/>
    <w:rsid w:val="009B7EAA"/>
    <w:rsid w:val="009C0E2A"/>
    <w:rsid w:val="009C1AEB"/>
    <w:rsid w:val="009C1B6C"/>
    <w:rsid w:val="009C1BA6"/>
    <w:rsid w:val="009C2B83"/>
    <w:rsid w:val="009C357B"/>
    <w:rsid w:val="009C394A"/>
    <w:rsid w:val="009C3CCF"/>
    <w:rsid w:val="009C4E7A"/>
    <w:rsid w:val="009C5632"/>
    <w:rsid w:val="009C5AE7"/>
    <w:rsid w:val="009C5D81"/>
    <w:rsid w:val="009C60CE"/>
    <w:rsid w:val="009C613A"/>
    <w:rsid w:val="009C6495"/>
    <w:rsid w:val="009C65E9"/>
    <w:rsid w:val="009C66EA"/>
    <w:rsid w:val="009C74BD"/>
    <w:rsid w:val="009C74D2"/>
    <w:rsid w:val="009C75E8"/>
    <w:rsid w:val="009C7F16"/>
    <w:rsid w:val="009D0D68"/>
    <w:rsid w:val="009D0E53"/>
    <w:rsid w:val="009D1412"/>
    <w:rsid w:val="009D2511"/>
    <w:rsid w:val="009D292D"/>
    <w:rsid w:val="009D2AD3"/>
    <w:rsid w:val="009D364B"/>
    <w:rsid w:val="009D378C"/>
    <w:rsid w:val="009D3860"/>
    <w:rsid w:val="009D3AB7"/>
    <w:rsid w:val="009D3F56"/>
    <w:rsid w:val="009D4123"/>
    <w:rsid w:val="009D44B9"/>
    <w:rsid w:val="009D4E4C"/>
    <w:rsid w:val="009D5850"/>
    <w:rsid w:val="009D58C7"/>
    <w:rsid w:val="009D67BD"/>
    <w:rsid w:val="009D70F6"/>
    <w:rsid w:val="009D72C2"/>
    <w:rsid w:val="009D7F96"/>
    <w:rsid w:val="009D7F9E"/>
    <w:rsid w:val="009E026B"/>
    <w:rsid w:val="009E0439"/>
    <w:rsid w:val="009E097D"/>
    <w:rsid w:val="009E147E"/>
    <w:rsid w:val="009E186D"/>
    <w:rsid w:val="009E2199"/>
    <w:rsid w:val="009E27F2"/>
    <w:rsid w:val="009E28A5"/>
    <w:rsid w:val="009E3512"/>
    <w:rsid w:val="009E385A"/>
    <w:rsid w:val="009E38AF"/>
    <w:rsid w:val="009E39EA"/>
    <w:rsid w:val="009E4023"/>
    <w:rsid w:val="009E40E1"/>
    <w:rsid w:val="009E470F"/>
    <w:rsid w:val="009E58E6"/>
    <w:rsid w:val="009E5C7A"/>
    <w:rsid w:val="009E693B"/>
    <w:rsid w:val="009E6C1A"/>
    <w:rsid w:val="009E7699"/>
    <w:rsid w:val="009F0D14"/>
    <w:rsid w:val="009F104E"/>
    <w:rsid w:val="009F1E58"/>
    <w:rsid w:val="009F2D7B"/>
    <w:rsid w:val="009F3208"/>
    <w:rsid w:val="009F53DD"/>
    <w:rsid w:val="009F5EEA"/>
    <w:rsid w:val="009F6292"/>
    <w:rsid w:val="009F6331"/>
    <w:rsid w:val="009F64D5"/>
    <w:rsid w:val="009F69E7"/>
    <w:rsid w:val="009F6B1E"/>
    <w:rsid w:val="009F6D6C"/>
    <w:rsid w:val="009F6E02"/>
    <w:rsid w:val="009F764E"/>
    <w:rsid w:val="009F79A2"/>
    <w:rsid w:val="00A003EF"/>
    <w:rsid w:val="00A006FE"/>
    <w:rsid w:val="00A00E1D"/>
    <w:rsid w:val="00A017B3"/>
    <w:rsid w:val="00A018D4"/>
    <w:rsid w:val="00A01C3F"/>
    <w:rsid w:val="00A02020"/>
    <w:rsid w:val="00A02FAD"/>
    <w:rsid w:val="00A032E1"/>
    <w:rsid w:val="00A03745"/>
    <w:rsid w:val="00A03EFA"/>
    <w:rsid w:val="00A05C13"/>
    <w:rsid w:val="00A06AB0"/>
    <w:rsid w:val="00A06EFB"/>
    <w:rsid w:val="00A07887"/>
    <w:rsid w:val="00A07910"/>
    <w:rsid w:val="00A10323"/>
    <w:rsid w:val="00A104F8"/>
    <w:rsid w:val="00A10548"/>
    <w:rsid w:val="00A10AC9"/>
    <w:rsid w:val="00A10BB1"/>
    <w:rsid w:val="00A11125"/>
    <w:rsid w:val="00A117F6"/>
    <w:rsid w:val="00A11932"/>
    <w:rsid w:val="00A11BD4"/>
    <w:rsid w:val="00A11CDC"/>
    <w:rsid w:val="00A12592"/>
    <w:rsid w:val="00A12797"/>
    <w:rsid w:val="00A12915"/>
    <w:rsid w:val="00A12923"/>
    <w:rsid w:val="00A12B68"/>
    <w:rsid w:val="00A12F48"/>
    <w:rsid w:val="00A134AA"/>
    <w:rsid w:val="00A13555"/>
    <w:rsid w:val="00A13E00"/>
    <w:rsid w:val="00A13F7C"/>
    <w:rsid w:val="00A148BB"/>
    <w:rsid w:val="00A14932"/>
    <w:rsid w:val="00A14A36"/>
    <w:rsid w:val="00A14AEA"/>
    <w:rsid w:val="00A14B5D"/>
    <w:rsid w:val="00A14DB4"/>
    <w:rsid w:val="00A15262"/>
    <w:rsid w:val="00A15C8A"/>
    <w:rsid w:val="00A15D41"/>
    <w:rsid w:val="00A16538"/>
    <w:rsid w:val="00A171A9"/>
    <w:rsid w:val="00A175B7"/>
    <w:rsid w:val="00A175F1"/>
    <w:rsid w:val="00A178D0"/>
    <w:rsid w:val="00A17ED1"/>
    <w:rsid w:val="00A20096"/>
    <w:rsid w:val="00A202E9"/>
    <w:rsid w:val="00A20411"/>
    <w:rsid w:val="00A20643"/>
    <w:rsid w:val="00A20CC3"/>
    <w:rsid w:val="00A224F8"/>
    <w:rsid w:val="00A225C5"/>
    <w:rsid w:val="00A22677"/>
    <w:rsid w:val="00A22761"/>
    <w:rsid w:val="00A23301"/>
    <w:rsid w:val="00A23384"/>
    <w:rsid w:val="00A23624"/>
    <w:rsid w:val="00A23741"/>
    <w:rsid w:val="00A237A4"/>
    <w:rsid w:val="00A251C4"/>
    <w:rsid w:val="00A256F6"/>
    <w:rsid w:val="00A25BE9"/>
    <w:rsid w:val="00A25F41"/>
    <w:rsid w:val="00A27325"/>
    <w:rsid w:val="00A2794A"/>
    <w:rsid w:val="00A27AD7"/>
    <w:rsid w:val="00A30602"/>
    <w:rsid w:val="00A30828"/>
    <w:rsid w:val="00A3100D"/>
    <w:rsid w:val="00A31711"/>
    <w:rsid w:val="00A31E8A"/>
    <w:rsid w:val="00A3269A"/>
    <w:rsid w:val="00A326E1"/>
    <w:rsid w:val="00A328F2"/>
    <w:rsid w:val="00A32A5E"/>
    <w:rsid w:val="00A33464"/>
    <w:rsid w:val="00A33668"/>
    <w:rsid w:val="00A338F4"/>
    <w:rsid w:val="00A33C81"/>
    <w:rsid w:val="00A34633"/>
    <w:rsid w:val="00A34F69"/>
    <w:rsid w:val="00A35007"/>
    <w:rsid w:val="00A3674D"/>
    <w:rsid w:val="00A37231"/>
    <w:rsid w:val="00A37AF1"/>
    <w:rsid w:val="00A40EE2"/>
    <w:rsid w:val="00A41EFA"/>
    <w:rsid w:val="00A429E0"/>
    <w:rsid w:val="00A42BA4"/>
    <w:rsid w:val="00A430B5"/>
    <w:rsid w:val="00A432F3"/>
    <w:rsid w:val="00A434C8"/>
    <w:rsid w:val="00A4449C"/>
    <w:rsid w:val="00A44506"/>
    <w:rsid w:val="00A447E0"/>
    <w:rsid w:val="00A44B7A"/>
    <w:rsid w:val="00A44BD9"/>
    <w:rsid w:val="00A4503C"/>
    <w:rsid w:val="00A454A2"/>
    <w:rsid w:val="00A45E9F"/>
    <w:rsid w:val="00A46274"/>
    <w:rsid w:val="00A46BF2"/>
    <w:rsid w:val="00A46DE5"/>
    <w:rsid w:val="00A47064"/>
    <w:rsid w:val="00A47134"/>
    <w:rsid w:val="00A47960"/>
    <w:rsid w:val="00A479A0"/>
    <w:rsid w:val="00A47C7A"/>
    <w:rsid w:val="00A5046C"/>
    <w:rsid w:val="00A51737"/>
    <w:rsid w:val="00A51AE0"/>
    <w:rsid w:val="00A51FF7"/>
    <w:rsid w:val="00A526BE"/>
    <w:rsid w:val="00A5296C"/>
    <w:rsid w:val="00A52ABB"/>
    <w:rsid w:val="00A52D97"/>
    <w:rsid w:val="00A533A0"/>
    <w:rsid w:val="00A540E9"/>
    <w:rsid w:val="00A5422F"/>
    <w:rsid w:val="00A54544"/>
    <w:rsid w:val="00A5495A"/>
    <w:rsid w:val="00A555E4"/>
    <w:rsid w:val="00A55DCE"/>
    <w:rsid w:val="00A5601C"/>
    <w:rsid w:val="00A561FA"/>
    <w:rsid w:val="00A5643E"/>
    <w:rsid w:val="00A564E2"/>
    <w:rsid w:val="00A56893"/>
    <w:rsid w:val="00A56F73"/>
    <w:rsid w:val="00A5723B"/>
    <w:rsid w:val="00A575D7"/>
    <w:rsid w:val="00A57F1B"/>
    <w:rsid w:val="00A6012B"/>
    <w:rsid w:val="00A6034E"/>
    <w:rsid w:val="00A60389"/>
    <w:rsid w:val="00A6073D"/>
    <w:rsid w:val="00A60743"/>
    <w:rsid w:val="00A60C3E"/>
    <w:rsid w:val="00A60DE4"/>
    <w:rsid w:val="00A619BE"/>
    <w:rsid w:val="00A62282"/>
    <w:rsid w:val="00A6295C"/>
    <w:rsid w:val="00A62987"/>
    <w:rsid w:val="00A62D75"/>
    <w:rsid w:val="00A62E72"/>
    <w:rsid w:val="00A63347"/>
    <w:rsid w:val="00A63608"/>
    <w:rsid w:val="00A63636"/>
    <w:rsid w:val="00A63D66"/>
    <w:rsid w:val="00A6458D"/>
    <w:rsid w:val="00A64677"/>
    <w:rsid w:val="00A64749"/>
    <w:rsid w:val="00A651F2"/>
    <w:rsid w:val="00A6567C"/>
    <w:rsid w:val="00A658E3"/>
    <w:rsid w:val="00A65A94"/>
    <w:rsid w:val="00A65B1B"/>
    <w:rsid w:val="00A66715"/>
    <w:rsid w:val="00A66738"/>
    <w:rsid w:val="00A66ACC"/>
    <w:rsid w:val="00A66F53"/>
    <w:rsid w:val="00A6742B"/>
    <w:rsid w:val="00A67B64"/>
    <w:rsid w:val="00A70254"/>
    <w:rsid w:val="00A70277"/>
    <w:rsid w:val="00A70E62"/>
    <w:rsid w:val="00A7106F"/>
    <w:rsid w:val="00A7143A"/>
    <w:rsid w:val="00A71F5F"/>
    <w:rsid w:val="00A725EA"/>
    <w:rsid w:val="00A72CD9"/>
    <w:rsid w:val="00A73054"/>
    <w:rsid w:val="00A73454"/>
    <w:rsid w:val="00A7412C"/>
    <w:rsid w:val="00A741CC"/>
    <w:rsid w:val="00A74AAC"/>
    <w:rsid w:val="00A74CC1"/>
    <w:rsid w:val="00A7519F"/>
    <w:rsid w:val="00A76EDE"/>
    <w:rsid w:val="00A770C1"/>
    <w:rsid w:val="00A770F6"/>
    <w:rsid w:val="00A77AB3"/>
    <w:rsid w:val="00A77DF9"/>
    <w:rsid w:val="00A80541"/>
    <w:rsid w:val="00A80FEB"/>
    <w:rsid w:val="00A81191"/>
    <w:rsid w:val="00A813AC"/>
    <w:rsid w:val="00A813DA"/>
    <w:rsid w:val="00A814DE"/>
    <w:rsid w:val="00A81C51"/>
    <w:rsid w:val="00A8257D"/>
    <w:rsid w:val="00A8311A"/>
    <w:rsid w:val="00A8322F"/>
    <w:rsid w:val="00A83C7C"/>
    <w:rsid w:val="00A843B7"/>
    <w:rsid w:val="00A84871"/>
    <w:rsid w:val="00A84FF8"/>
    <w:rsid w:val="00A850D2"/>
    <w:rsid w:val="00A85449"/>
    <w:rsid w:val="00A86055"/>
    <w:rsid w:val="00A862C3"/>
    <w:rsid w:val="00A86385"/>
    <w:rsid w:val="00A8656A"/>
    <w:rsid w:val="00A869E9"/>
    <w:rsid w:val="00A870D1"/>
    <w:rsid w:val="00A8716C"/>
    <w:rsid w:val="00A875D2"/>
    <w:rsid w:val="00A87820"/>
    <w:rsid w:val="00A87A9D"/>
    <w:rsid w:val="00A87B90"/>
    <w:rsid w:val="00A90581"/>
    <w:rsid w:val="00A90691"/>
    <w:rsid w:val="00A90921"/>
    <w:rsid w:val="00A90E71"/>
    <w:rsid w:val="00A911BE"/>
    <w:rsid w:val="00A91457"/>
    <w:rsid w:val="00A91AFF"/>
    <w:rsid w:val="00A92650"/>
    <w:rsid w:val="00A928D3"/>
    <w:rsid w:val="00A92AAD"/>
    <w:rsid w:val="00A92B80"/>
    <w:rsid w:val="00A93979"/>
    <w:rsid w:val="00A94276"/>
    <w:rsid w:val="00A9475A"/>
    <w:rsid w:val="00A947D9"/>
    <w:rsid w:val="00A94C55"/>
    <w:rsid w:val="00A95280"/>
    <w:rsid w:val="00A95316"/>
    <w:rsid w:val="00A95CF9"/>
    <w:rsid w:val="00A96962"/>
    <w:rsid w:val="00A96A21"/>
    <w:rsid w:val="00A97229"/>
    <w:rsid w:val="00A97899"/>
    <w:rsid w:val="00A97A84"/>
    <w:rsid w:val="00AA010F"/>
    <w:rsid w:val="00AA04BD"/>
    <w:rsid w:val="00AA0A55"/>
    <w:rsid w:val="00AA0D04"/>
    <w:rsid w:val="00AA0DB3"/>
    <w:rsid w:val="00AA0F28"/>
    <w:rsid w:val="00AA1152"/>
    <w:rsid w:val="00AA1D7A"/>
    <w:rsid w:val="00AA23BD"/>
    <w:rsid w:val="00AA265C"/>
    <w:rsid w:val="00AA2BB8"/>
    <w:rsid w:val="00AA3109"/>
    <w:rsid w:val="00AA32F8"/>
    <w:rsid w:val="00AA3620"/>
    <w:rsid w:val="00AA3787"/>
    <w:rsid w:val="00AA378C"/>
    <w:rsid w:val="00AA3A28"/>
    <w:rsid w:val="00AA3A41"/>
    <w:rsid w:val="00AA46D2"/>
    <w:rsid w:val="00AA4DAF"/>
    <w:rsid w:val="00AA4F85"/>
    <w:rsid w:val="00AA52A3"/>
    <w:rsid w:val="00AA55EE"/>
    <w:rsid w:val="00AA588F"/>
    <w:rsid w:val="00AA625D"/>
    <w:rsid w:val="00AA66B9"/>
    <w:rsid w:val="00AA68A8"/>
    <w:rsid w:val="00AA6D22"/>
    <w:rsid w:val="00AA6D68"/>
    <w:rsid w:val="00AA76F1"/>
    <w:rsid w:val="00AB001D"/>
    <w:rsid w:val="00AB08B1"/>
    <w:rsid w:val="00AB0D6A"/>
    <w:rsid w:val="00AB11D3"/>
    <w:rsid w:val="00AB11F1"/>
    <w:rsid w:val="00AB200C"/>
    <w:rsid w:val="00AB20DA"/>
    <w:rsid w:val="00AB260E"/>
    <w:rsid w:val="00AB2A39"/>
    <w:rsid w:val="00AB2AE1"/>
    <w:rsid w:val="00AB38B4"/>
    <w:rsid w:val="00AB39FB"/>
    <w:rsid w:val="00AB3E77"/>
    <w:rsid w:val="00AB484C"/>
    <w:rsid w:val="00AB4BBB"/>
    <w:rsid w:val="00AB4C33"/>
    <w:rsid w:val="00AB4D3F"/>
    <w:rsid w:val="00AB4F35"/>
    <w:rsid w:val="00AB4FE1"/>
    <w:rsid w:val="00AB50AA"/>
    <w:rsid w:val="00AB527A"/>
    <w:rsid w:val="00AB559A"/>
    <w:rsid w:val="00AB60CB"/>
    <w:rsid w:val="00AB61CB"/>
    <w:rsid w:val="00AB6240"/>
    <w:rsid w:val="00AB6873"/>
    <w:rsid w:val="00AB7284"/>
    <w:rsid w:val="00AB7E25"/>
    <w:rsid w:val="00AC0487"/>
    <w:rsid w:val="00AC0646"/>
    <w:rsid w:val="00AC08FB"/>
    <w:rsid w:val="00AC10EE"/>
    <w:rsid w:val="00AC1418"/>
    <w:rsid w:val="00AC161E"/>
    <w:rsid w:val="00AC165B"/>
    <w:rsid w:val="00AC185D"/>
    <w:rsid w:val="00AC2111"/>
    <w:rsid w:val="00AC23D5"/>
    <w:rsid w:val="00AC3342"/>
    <w:rsid w:val="00AC3EF2"/>
    <w:rsid w:val="00AC4C6C"/>
    <w:rsid w:val="00AC53A7"/>
    <w:rsid w:val="00AC5AA5"/>
    <w:rsid w:val="00AC64F8"/>
    <w:rsid w:val="00AC68F1"/>
    <w:rsid w:val="00AC79E3"/>
    <w:rsid w:val="00AC7BB6"/>
    <w:rsid w:val="00AC7DF9"/>
    <w:rsid w:val="00AD0017"/>
    <w:rsid w:val="00AD07C2"/>
    <w:rsid w:val="00AD0841"/>
    <w:rsid w:val="00AD0E97"/>
    <w:rsid w:val="00AD16DC"/>
    <w:rsid w:val="00AD1B29"/>
    <w:rsid w:val="00AD1F69"/>
    <w:rsid w:val="00AD2361"/>
    <w:rsid w:val="00AD282D"/>
    <w:rsid w:val="00AD2C8C"/>
    <w:rsid w:val="00AD2F85"/>
    <w:rsid w:val="00AD3ABC"/>
    <w:rsid w:val="00AD3C71"/>
    <w:rsid w:val="00AD4883"/>
    <w:rsid w:val="00AD4B90"/>
    <w:rsid w:val="00AD5583"/>
    <w:rsid w:val="00AD631B"/>
    <w:rsid w:val="00AD6891"/>
    <w:rsid w:val="00AD6DA0"/>
    <w:rsid w:val="00AD71C0"/>
    <w:rsid w:val="00AD7470"/>
    <w:rsid w:val="00AD75EE"/>
    <w:rsid w:val="00AE01D5"/>
    <w:rsid w:val="00AE06AA"/>
    <w:rsid w:val="00AE0C10"/>
    <w:rsid w:val="00AE129E"/>
    <w:rsid w:val="00AE16C4"/>
    <w:rsid w:val="00AE1917"/>
    <w:rsid w:val="00AE1972"/>
    <w:rsid w:val="00AE1DB6"/>
    <w:rsid w:val="00AE232C"/>
    <w:rsid w:val="00AE237C"/>
    <w:rsid w:val="00AE25E2"/>
    <w:rsid w:val="00AE2880"/>
    <w:rsid w:val="00AE3220"/>
    <w:rsid w:val="00AE3B11"/>
    <w:rsid w:val="00AE46E7"/>
    <w:rsid w:val="00AE4731"/>
    <w:rsid w:val="00AE4DAB"/>
    <w:rsid w:val="00AE5A55"/>
    <w:rsid w:val="00AE621D"/>
    <w:rsid w:val="00AE6466"/>
    <w:rsid w:val="00AE64F4"/>
    <w:rsid w:val="00AE6A81"/>
    <w:rsid w:val="00AE6D30"/>
    <w:rsid w:val="00AE6D3B"/>
    <w:rsid w:val="00AE712C"/>
    <w:rsid w:val="00AE72CC"/>
    <w:rsid w:val="00AE77A9"/>
    <w:rsid w:val="00AE7F29"/>
    <w:rsid w:val="00AE7FC9"/>
    <w:rsid w:val="00AF101A"/>
    <w:rsid w:val="00AF12E4"/>
    <w:rsid w:val="00AF1BC7"/>
    <w:rsid w:val="00AF1C1C"/>
    <w:rsid w:val="00AF1F7D"/>
    <w:rsid w:val="00AF205E"/>
    <w:rsid w:val="00AF230A"/>
    <w:rsid w:val="00AF29CA"/>
    <w:rsid w:val="00AF2BDA"/>
    <w:rsid w:val="00AF30E8"/>
    <w:rsid w:val="00AF30F0"/>
    <w:rsid w:val="00AF3687"/>
    <w:rsid w:val="00AF385B"/>
    <w:rsid w:val="00AF550B"/>
    <w:rsid w:val="00AF5649"/>
    <w:rsid w:val="00AF574F"/>
    <w:rsid w:val="00AF5AFB"/>
    <w:rsid w:val="00AF6970"/>
    <w:rsid w:val="00AF7190"/>
    <w:rsid w:val="00AF7AD6"/>
    <w:rsid w:val="00B00A11"/>
    <w:rsid w:val="00B00ED0"/>
    <w:rsid w:val="00B0123F"/>
    <w:rsid w:val="00B01978"/>
    <w:rsid w:val="00B01B15"/>
    <w:rsid w:val="00B01BA4"/>
    <w:rsid w:val="00B02670"/>
    <w:rsid w:val="00B02904"/>
    <w:rsid w:val="00B02B95"/>
    <w:rsid w:val="00B02C5F"/>
    <w:rsid w:val="00B02FC5"/>
    <w:rsid w:val="00B032DE"/>
    <w:rsid w:val="00B03D4F"/>
    <w:rsid w:val="00B03F1D"/>
    <w:rsid w:val="00B042E6"/>
    <w:rsid w:val="00B049D2"/>
    <w:rsid w:val="00B062C6"/>
    <w:rsid w:val="00B06902"/>
    <w:rsid w:val="00B06A84"/>
    <w:rsid w:val="00B06C3E"/>
    <w:rsid w:val="00B07423"/>
    <w:rsid w:val="00B07427"/>
    <w:rsid w:val="00B0742B"/>
    <w:rsid w:val="00B07818"/>
    <w:rsid w:val="00B07CBA"/>
    <w:rsid w:val="00B07E06"/>
    <w:rsid w:val="00B10D41"/>
    <w:rsid w:val="00B10E2D"/>
    <w:rsid w:val="00B11011"/>
    <w:rsid w:val="00B12152"/>
    <w:rsid w:val="00B1280F"/>
    <w:rsid w:val="00B128EE"/>
    <w:rsid w:val="00B139EE"/>
    <w:rsid w:val="00B14008"/>
    <w:rsid w:val="00B14519"/>
    <w:rsid w:val="00B14746"/>
    <w:rsid w:val="00B1488E"/>
    <w:rsid w:val="00B14E9C"/>
    <w:rsid w:val="00B14FA1"/>
    <w:rsid w:val="00B15367"/>
    <w:rsid w:val="00B15707"/>
    <w:rsid w:val="00B15FA1"/>
    <w:rsid w:val="00B16353"/>
    <w:rsid w:val="00B16422"/>
    <w:rsid w:val="00B1652C"/>
    <w:rsid w:val="00B16562"/>
    <w:rsid w:val="00B16A26"/>
    <w:rsid w:val="00B17288"/>
    <w:rsid w:val="00B20541"/>
    <w:rsid w:val="00B20856"/>
    <w:rsid w:val="00B20988"/>
    <w:rsid w:val="00B20D5E"/>
    <w:rsid w:val="00B21404"/>
    <w:rsid w:val="00B21923"/>
    <w:rsid w:val="00B24034"/>
    <w:rsid w:val="00B2403F"/>
    <w:rsid w:val="00B240EA"/>
    <w:rsid w:val="00B2484B"/>
    <w:rsid w:val="00B2497F"/>
    <w:rsid w:val="00B2510D"/>
    <w:rsid w:val="00B25A9D"/>
    <w:rsid w:val="00B26417"/>
    <w:rsid w:val="00B271C0"/>
    <w:rsid w:val="00B27947"/>
    <w:rsid w:val="00B302AC"/>
    <w:rsid w:val="00B30403"/>
    <w:rsid w:val="00B30BEC"/>
    <w:rsid w:val="00B3121C"/>
    <w:rsid w:val="00B315F0"/>
    <w:rsid w:val="00B31A25"/>
    <w:rsid w:val="00B31BA1"/>
    <w:rsid w:val="00B32291"/>
    <w:rsid w:val="00B3261B"/>
    <w:rsid w:val="00B32CC7"/>
    <w:rsid w:val="00B336CD"/>
    <w:rsid w:val="00B33BA6"/>
    <w:rsid w:val="00B3459E"/>
    <w:rsid w:val="00B3462E"/>
    <w:rsid w:val="00B34CD5"/>
    <w:rsid w:val="00B34D52"/>
    <w:rsid w:val="00B34EE6"/>
    <w:rsid w:val="00B35FEC"/>
    <w:rsid w:val="00B37700"/>
    <w:rsid w:val="00B379E5"/>
    <w:rsid w:val="00B37C74"/>
    <w:rsid w:val="00B37FB3"/>
    <w:rsid w:val="00B408EE"/>
    <w:rsid w:val="00B40D82"/>
    <w:rsid w:val="00B40DE1"/>
    <w:rsid w:val="00B41283"/>
    <w:rsid w:val="00B41EFC"/>
    <w:rsid w:val="00B42223"/>
    <w:rsid w:val="00B4298B"/>
    <w:rsid w:val="00B429D3"/>
    <w:rsid w:val="00B42C5F"/>
    <w:rsid w:val="00B42E51"/>
    <w:rsid w:val="00B432E8"/>
    <w:rsid w:val="00B43785"/>
    <w:rsid w:val="00B43D31"/>
    <w:rsid w:val="00B446FF"/>
    <w:rsid w:val="00B45AFC"/>
    <w:rsid w:val="00B45B73"/>
    <w:rsid w:val="00B45F00"/>
    <w:rsid w:val="00B45FB1"/>
    <w:rsid w:val="00B461E1"/>
    <w:rsid w:val="00B46259"/>
    <w:rsid w:val="00B46857"/>
    <w:rsid w:val="00B47068"/>
    <w:rsid w:val="00B476A3"/>
    <w:rsid w:val="00B47D91"/>
    <w:rsid w:val="00B5018E"/>
    <w:rsid w:val="00B50241"/>
    <w:rsid w:val="00B504A8"/>
    <w:rsid w:val="00B505CD"/>
    <w:rsid w:val="00B506A0"/>
    <w:rsid w:val="00B50C91"/>
    <w:rsid w:val="00B50F8A"/>
    <w:rsid w:val="00B51029"/>
    <w:rsid w:val="00B517B0"/>
    <w:rsid w:val="00B51C5C"/>
    <w:rsid w:val="00B51E62"/>
    <w:rsid w:val="00B5226C"/>
    <w:rsid w:val="00B5246B"/>
    <w:rsid w:val="00B5350E"/>
    <w:rsid w:val="00B5360D"/>
    <w:rsid w:val="00B54174"/>
    <w:rsid w:val="00B54491"/>
    <w:rsid w:val="00B54904"/>
    <w:rsid w:val="00B55C2D"/>
    <w:rsid w:val="00B55FBB"/>
    <w:rsid w:val="00B56D0B"/>
    <w:rsid w:val="00B5712D"/>
    <w:rsid w:val="00B5766A"/>
    <w:rsid w:val="00B57976"/>
    <w:rsid w:val="00B57DC7"/>
    <w:rsid w:val="00B60990"/>
    <w:rsid w:val="00B61941"/>
    <w:rsid w:val="00B61DC4"/>
    <w:rsid w:val="00B632B8"/>
    <w:rsid w:val="00B63617"/>
    <w:rsid w:val="00B63772"/>
    <w:rsid w:val="00B6413B"/>
    <w:rsid w:val="00B645B3"/>
    <w:rsid w:val="00B648A2"/>
    <w:rsid w:val="00B654C1"/>
    <w:rsid w:val="00B659D3"/>
    <w:rsid w:val="00B65C2C"/>
    <w:rsid w:val="00B65F74"/>
    <w:rsid w:val="00B67038"/>
    <w:rsid w:val="00B670C4"/>
    <w:rsid w:val="00B67F4C"/>
    <w:rsid w:val="00B67FCE"/>
    <w:rsid w:val="00B67FFE"/>
    <w:rsid w:val="00B703F0"/>
    <w:rsid w:val="00B7068F"/>
    <w:rsid w:val="00B70C7F"/>
    <w:rsid w:val="00B70F12"/>
    <w:rsid w:val="00B70FBF"/>
    <w:rsid w:val="00B71866"/>
    <w:rsid w:val="00B71B11"/>
    <w:rsid w:val="00B7206B"/>
    <w:rsid w:val="00B725C2"/>
    <w:rsid w:val="00B726F6"/>
    <w:rsid w:val="00B728FF"/>
    <w:rsid w:val="00B72A16"/>
    <w:rsid w:val="00B72CF0"/>
    <w:rsid w:val="00B7324D"/>
    <w:rsid w:val="00B73485"/>
    <w:rsid w:val="00B734CF"/>
    <w:rsid w:val="00B74D9F"/>
    <w:rsid w:val="00B756CC"/>
    <w:rsid w:val="00B75CC1"/>
    <w:rsid w:val="00B7653B"/>
    <w:rsid w:val="00B7679B"/>
    <w:rsid w:val="00B76E91"/>
    <w:rsid w:val="00B771D7"/>
    <w:rsid w:val="00B77661"/>
    <w:rsid w:val="00B801B2"/>
    <w:rsid w:val="00B8225C"/>
    <w:rsid w:val="00B8277D"/>
    <w:rsid w:val="00B82897"/>
    <w:rsid w:val="00B82D3F"/>
    <w:rsid w:val="00B82E67"/>
    <w:rsid w:val="00B831A9"/>
    <w:rsid w:val="00B83857"/>
    <w:rsid w:val="00B84348"/>
    <w:rsid w:val="00B847D9"/>
    <w:rsid w:val="00B84B06"/>
    <w:rsid w:val="00B85251"/>
    <w:rsid w:val="00B8529D"/>
    <w:rsid w:val="00B853CC"/>
    <w:rsid w:val="00B8653C"/>
    <w:rsid w:val="00B866EE"/>
    <w:rsid w:val="00B867BE"/>
    <w:rsid w:val="00B86E84"/>
    <w:rsid w:val="00B86E85"/>
    <w:rsid w:val="00B8751C"/>
    <w:rsid w:val="00B87F36"/>
    <w:rsid w:val="00B9048A"/>
    <w:rsid w:val="00B90835"/>
    <w:rsid w:val="00B90F18"/>
    <w:rsid w:val="00B912F2"/>
    <w:rsid w:val="00B917BF"/>
    <w:rsid w:val="00B91C11"/>
    <w:rsid w:val="00B91D2A"/>
    <w:rsid w:val="00B9250E"/>
    <w:rsid w:val="00B92C38"/>
    <w:rsid w:val="00B930FA"/>
    <w:rsid w:val="00B94815"/>
    <w:rsid w:val="00B954DC"/>
    <w:rsid w:val="00B9739D"/>
    <w:rsid w:val="00B97669"/>
    <w:rsid w:val="00BA0429"/>
    <w:rsid w:val="00BA04C0"/>
    <w:rsid w:val="00BA0A2B"/>
    <w:rsid w:val="00BA0C99"/>
    <w:rsid w:val="00BA0CEE"/>
    <w:rsid w:val="00BA0CFF"/>
    <w:rsid w:val="00BA1C32"/>
    <w:rsid w:val="00BA1C69"/>
    <w:rsid w:val="00BA2104"/>
    <w:rsid w:val="00BA24D5"/>
    <w:rsid w:val="00BA25C6"/>
    <w:rsid w:val="00BA27B0"/>
    <w:rsid w:val="00BA2D86"/>
    <w:rsid w:val="00BA3DBE"/>
    <w:rsid w:val="00BA4780"/>
    <w:rsid w:val="00BA480A"/>
    <w:rsid w:val="00BA4863"/>
    <w:rsid w:val="00BA5482"/>
    <w:rsid w:val="00BA55AE"/>
    <w:rsid w:val="00BA56C8"/>
    <w:rsid w:val="00BA576B"/>
    <w:rsid w:val="00BA57AA"/>
    <w:rsid w:val="00BA62DD"/>
    <w:rsid w:val="00BA663F"/>
    <w:rsid w:val="00BA66ED"/>
    <w:rsid w:val="00BA687C"/>
    <w:rsid w:val="00BA709E"/>
    <w:rsid w:val="00BA70F9"/>
    <w:rsid w:val="00BB0038"/>
    <w:rsid w:val="00BB05C2"/>
    <w:rsid w:val="00BB06EF"/>
    <w:rsid w:val="00BB07A1"/>
    <w:rsid w:val="00BB08CD"/>
    <w:rsid w:val="00BB0D13"/>
    <w:rsid w:val="00BB2745"/>
    <w:rsid w:val="00BB32F3"/>
    <w:rsid w:val="00BB377B"/>
    <w:rsid w:val="00BB3D2D"/>
    <w:rsid w:val="00BB3E12"/>
    <w:rsid w:val="00BB48E9"/>
    <w:rsid w:val="00BB4BB2"/>
    <w:rsid w:val="00BB4FD7"/>
    <w:rsid w:val="00BB504D"/>
    <w:rsid w:val="00BB56EB"/>
    <w:rsid w:val="00BB57F4"/>
    <w:rsid w:val="00BB5945"/>
    <w:rsid w:val="00BB6859"/>
    <w:rsid w:val="00BB6ABD"/>
    <w:rsid w:val="00BB76D3"/>
    <w:rsid w:val="00BB79DA"/>
    <w:rsid w:val="00BB7BC9"/>
    <w:rsid w:val="00BB7FC0"/>
    <w:rsid w:val="00BC060A"/>
    <w:rsid w:val="00BC0656"/>
    <w:rsid w:val="00BC0C42"/>
    <w:rsid w:val="00BC110E"/>
    <w:rsid w:val="00BC114A"/>
    <w:rsid w:val="00BC1CD9"/>
    <w:rsid w:val="00BC1EF1"/>
    <w:rsid w:val="00BC2850"/>
    <w:rsid w:val="00BC3AE3"/>
    <w:rsid w:val="00BC4159"/>
    <w:rsid w:val="00BC4655"/>
    <w:rsid w:val="00BC469C"/>
    <w:rsid w:val="00BC545C"/>
    <w:rsid w:val="00BC56ED"/>
    <w:rsid w:val="00BC5CA0"/>
    <w:rsid w:val="00BC62E7"/>
    <w:rsid w:val="00BC65B2"/>
    <w:rsid w:val="00BC6811"/>
    <w:rsid w:val="00BC682D"/>
    <w:rsid w:val="00BC6FE3"/>
    <w:rsid w:val="00BC727A"/>
    <w:rsid w:val="00BC72AD"/>
    <w:rsid w:val="00BC7C04"/>
    <w:rsid w:val="00BD0303"/>
    <w:rsid w:val="00BD0401"/>
    <w:rsid w:val="00BD08ED"/>
    <w:rsid w:val="00BD0977"/>
    <w:rsid w:val="00BD181F"/>
    <w:rsid w:val="00BD18C1"/>
    <w:rsid w:val="00BD1E3E"/>
    <w:rsid w:val="00BD1F7F"/>
    <w:rsid w:val="00BD26DC"/>
    <w:rsid w:val="00BD2861"/>
    <w:rsid w:val="00BD2E91"/>
    <w:rsid w:val="00BD32FB"/>
    <w:rsid w:val="00BD3654"/>
    <w:rsid w:val="00BD399A"/>
    <w:rsid w:val="00BD39CA"/>
    <w:rsid w:val="00BD39E7"/>
    <w:rsid w:val="00BD3B5B"/>
    <w:rsid w:val="00BD4FA2"/>
    <w:rsid w:val="00BD516D"/>
    <w:rsid w:val="00BD528E"/>
    <w:rsid w:val="00BD5633"/>
    <w:rsid w:val="00BD6926"/>
    <w:rsid w:val="00BD712D"/>
    <w:rsid w:val="00BD7229"/>
    <w:rsid w:val="00BD7718"/>
    <w:rsid w:val="00BE002A"/>
    <w:rsid w:val="00BE00F4"/>
    <w:rsid w:val="00BE028C"/>
    <w:rsid w:val="00BE0EEF"/>
    <w:rsid w:val="00BE1439"/>
    <w:rsid w:val="00BE2255"/>
    <w:rsid w:val="00BE22A7"/>
    <w:rsid w:val="00BE23B1"/>
    <w:rsid w:val="00BE2F38"/>
    <w:rsid w:val="00BE3411"/>
    <w:rsid w:val="00BE38AA"/>
    <w:rsid w:val="00BE3901"/>
    <w:rsid w:val="00BE4067"/>
    <w:rsid w:val="00BE4D0D"/>
    <w:rsid w:val="00BE4D98"/>
    <w:rsid w:val="00BE57DD"/>
    <w:rsid w:val="00BE591B"/>
    <w:rsid w:val="00BE7103"/>
    <w:rsid w:val="00BE77D8"/>
    <w:rsid w:val="00BE7AF0"/>
    <w:rsid w:val="00BE7D2E"/>
    <w:rsid w:val="00BF006D"/>
    <w:rsid w:val="00BF04FB"/>
    <w:rsid w:val="00BF15D1"/>
    <w:rsid w:val="00BF1740"/>
    <w:rsid w:val="00BF1CCA"/>
    <w:rsid w:val="00BF232E"/>
    <w:rsid w:val="00BF2D9E"/>
    <w:rsid w:val="00BF2EE2"/>
    <w:rsid w:val="00BF313B"/>
    <w:rsid w:val="00BF340D"/>
    <w:rsid w:val="00BF3511"/>
    <w:rsid w:val="00BF3AC6"/>
    <w:rsid w:val="00BF3FFA"/>
    <w:rsid w:val="00BF45F7"/>
    <w:rsid w:val="00BF4690"/>
    <w:rsid w:val="00BF4699"/>
    <w:rsid w:val="00BF51E8"/>
    <w:rsid w:val="00BF5D5E"/>
    <w:rsid w:val="00BF5EAB"/>
    <w:rsid w:val="00BF661F"/>
    <w:rsid w:val="00BF6CBD"/>
    <w:rsid w:val="00BF7575"/>
    <w:rsid w:val="00C0025D"/>
    <w:rsid w:val="00C00BAC"/>
    <w:rsid w:val="00C01339"/>
    <w:rsid w:val="00C0191E"/>
    <w:rsid w:val="00C01C38"/>
    <w:rsid w:val="00C01DEB"/>
    <w:rsid w:val="00C01F99"/>
    <w:rsid w:val="00C02480"/>
    <w:rsid w:val="00C02692"/>
    <w:rsid w:val="00C029A3"/>
    <w:rsid w:val="00C02FF5"/>
    <w:rsid w:val="00C0340C"/>
    <w:rsid w:val="00C03650"/>
    <w:rsid w:val="00C03CB4"/>
    <w:rsid w:val="00C04118"/>
    <w:rsid w:val="00C041AB"/>
    <w:rsid w:val="00C04582"/>
    <w:rsid w:val="00C048FB"/>
    <w:rsid w:val="00C05F06"/>
    <w:rsid w:val="00C05FF0"/>
    <w:rsid w:val="00C069CB"/>
    <w:rsid w:val="00C06B8F"/>
    <w:rsid w:val="00C06D5A"/>
    <w:rsid w:val="00C071A4"/>
    <w:rsid w:val="00C07414"/>
    <w:rsid w:val="00C0787E"/>
    <w:rsid w:val="00C07BAA"/>
    <w:rsid w:val="00C10675"/>
    <w:rsid w:val="00C10980"/>
    <w:rsid w:val="00C10A6D"/>
    <w:rsid w:val="00C11A57"/>
    <w:rsid w:val="00C11E87"/>
    <w:rsid w:val="00C12079"/>
    <w:rsid w:val="00C12403"/>
    <w:rsid w:val="00C1263A"/>
    <w:rsid w:val="00C12AD6"/>
    <w:rsid w:val="00C12B69"/>
    <w:rsid w:val="00C13225"/>
    <w:rsid w:val="00C133FC"/>
    <w:rsid w:val="00C136D3"/>
    <w:rsid w:val="00C13A4D"/>
    <w:rsid w:val="00C13FB5"/>
    <w:rsid w:val="00C1411B"/>
    <w:rsid w:val="00C14200"/>
    <w:rsid w:val="00C144E3"/>
    <w:rsid w:val="00C144F3"/>
    <w:rsid w:val="00C146B3"/>
    <w:rsid w:val="00C149D9"/>
    <w:rsid w:val="00C14D48"/>
    <w:rsid w:val="00C15355"/>
    <w:rsid w:val="00C16040"/>
    <w:rsid w:val="00C163A8"/>
    <w:rsid w:val="00C1733F"/>
    <w:rsid w:val="00C17A08"/>
    <w:rsid w:val="00C17A3B"/>
    <w:rsid w:val="00C17DB1"/>
    <w:rsid w:val="00C203BC"/>
    <w:rsid w:val="00C20C52"/>
    <w:rsid w:val="00C20F76"/>
    <w:rsid w:val="00C21BFD"/>
    <w:rsid w:val="00C227BD"/>
    <w:rsid w:val="00C22B92"/>
    <w:rsid w:val="00C2395D"/>
    <w:rsid w:val="00C239D6"/>
    <w:rsid w:val="00C246CA"/>
    <w:rsid w:val="00C248A1"/>
    <w:rsid w:val="00C24A43"/>
    <w:rsid w:val="00C24E83"/>
    <w:rsid w:val="00C2539C"/>
    <w:rsid w:val="00C25623"/>
    <w:rsid w:val="00C259F9"/>
    <w:rsid w:val="00C25A87"/>
    <w:rsid w:val="00C25BF2"/>
    <w:rsid w:val="00C25D8B"/>
    <w:rsid w:val="00C25EE1"/>
    <w:rsid w:val="00C2635F"/>
    <w:rsid w:val="00C2729D"/>
    <w:rsid w:val="00C273B0"/>
    <w:rsid w:val="00C278DD"/>
    <w:rsid w:val="00C27EAE"/>
    <w:rsid w:val="00C27F80"/>
    <w:rsid w:val="00C300B2"/>
    <w:rsid w:val="00C30279"/>
    <w:rsid w:val="00C317C5"/>
    <w:rsid w:val="00C3192D"/>
    <w:rsid w:val="00C31AE4"/>
    <w:rsid w:val="00C31FA0"/>
    <w:rsid w:val="00C325A5"/>
    <w:rsid w:val="00C33434"/>
    <w:rsid w:val="00C33ED6"/>
    <w:rsid w:val="00C3418C"/>
    <w:rsid w:val="00C346FC"/>
    <w:rsid w:val="00C34B5F"/>
    <w:rsid w:val="00C34C0E"/>
    <w:rsid w:val="00C34F6D"/>
    <w:rsid w:val="00C3520A"/>
    <w:rsid w:val="00C35527"/>
    <w:rsid w:val="00C35777"/>
    <w:rsid w:val="00C35EDD"/>
    <w:rsid w:val="00C36045"/>
    <w:rsid w:val="00C362C0"/>
    <w:rsid w:val="00C36523"/>
    <w:rsid w:val="00C36625"/>
    <w:rsid w:val="00C36C23"/>
    <w:rsid w:val="00C371F7"/>
    <w:rsid w:val="00C37CAE"/>
    <w:rsid w:val="00C408F8"/>
    <w:rsid w:val="00C40B77"/>
    <w:rsid w:val="00C40E4D"/>
    <w:rsid w:val="00C42020"/>
    <w:rsid w:val="00C426A6"/>
    <w:rsid w:val="00C42944"/>
    <w:rsid w:val="00C429D7"/>
    <w:rsid w:val="00C42ACB"/>
    <w:rsid w:val="00C43AB2"/>
    <w:rsid w:val="00C43AD8"/>
    <w:rsid w:val="00C43EA6"/>
    <w:rsid w:val="00C445F6"/>
    <w:rsid w:val="00C44A80"/>
    <w:rsid w:val="00C44DA9"/>
    <w:rsid w:val="00C44DF1"/>
    <w:rsid w:val="00C45510"/>
    <w:rsid w:val="00C46072"/>
    <w:rsid w:val="00C460B8"/>
    <w:rsid w:val="00C469A5"/>
    <w:rsid w:val="00C470E8"/>
    <w:rsid w:val="00C47BD1"/>
    <w:rsid w:val="00C47E1D"/>
    <w:rsid w:val="00C50290"/>
    <w:rsid w:val="00C50978"/>
    <w:rsid w:val="00C516D2"/>
    <w:rsid w:val="00C519FB"/>
    <w:rsid w:val="00C51C7C"/>
    <w:rsid w:val="00C51F60"/>
    <w:rsid w:val="00C5316F"/>
    <w:rsid w:val="00C5413F"/>
    <w:rsid w:val="00C55A80"/>
    <w:rsid w:val="00C55B98"/>
    <w:rsid w:val="00C56D79"/>
    <w:rsid w:val="00C56E77"/>
    <w:rsid w:val="00C56EE8"/>
    <w:rsid w:val="00C5703A"/>
    <w:rsid w:val="00C570AA"/>
    <w:rsid w:val="00C570D2"/>
    <w:rsid w:val="00C57490"/>
    <w:rsid w:val="00C5757B"/>
    <w:rsid w:val="00C57696"/>
    <w:rsid w:val="00C579FF"/>
    <w:rsid w:val="00C613F4"/>
    <w:rsid w:val="00C615CF"/>
    <w:rsid w:val="00C61704"/>
    <w:rsid w:val="00C61B83"/>
    <w:rsid w:val="00C61C2E"/>
    <w:rsid w:val="00C62665"/>
    <w:rsid w:val="00C62A09"/>
    <w:rsid w:val="00C62E1E"/>
    <w:rsid w:val="00C63075"/>
    <w:rsid w:val="00C644F5"/>
    <w:rsid w:val="00C65512"/>
    <w:rsid w:val="00C65D57"/>
    <w:rsid w:val="00C66181"/>
    <w:rsid w:val="00C663C3"/>
    <w:rsid w:val="00C7010E"/>
    <w:rsid w:val="00C701BC"/>
    <w:rsid w:val="00C70716"/>
    <w:rsid w:val="00C71446"/>
    <w:rsid w:val="00C71BD8"/>
    <w:rsid w:val="00C71F0B"/>
    <w:rsid w:val="00C72024"/>
    <w:rsid w:val="00C723F9"/>
    <w:rsid w:val="00C72C4A"/>
    <w:rsid w:val="00C73A67"/>
    <w:rsid w:val="00C73A6F"/>
    <w:rsid w:val="00C73AC1"/>
    <w:rsid w:val="00C74568"/>
    <w:rsid w:val="00C74691"/>
    <w:rsid w:val="00C748B0"/>
    <w:rsid w:val="00C74928"/>
    <w:rsid w:val="00C74ADE"/>
    <w:rsid w:val="00C74DA6"/>
    <w:rsid w:val="00C74E3D"/>
    <w:rsid w:val="00C74EEA"/>
    <w:rsid w:val="00C75236"/>
    <w:rsid w:val="00C75449"/>
    <w:rsid w:val="00C75C3F"/>
    <w:rsid w:val="00C75DB4"/>
    <w:rsid w:val="00C766CC"/>
    <w:rsid w:val="00C76811"/>
    <w:rsid w:val="00C77356"/>
    <w:rsid w:val="00C773D6"/>
    <w:rsid w:val="00C773DB"/>
    <w:rsid w:val="00C7780C"/>
    <w:rsid w:val="00C77920"/>
    <w:rsid w:val="00C77D8E"/>
    <w:rsid w:val="00C80666"/>
    <w:rsid w:val="00C80794"/>
    <w:rsid w:val="00C80869"/>
    <w:rsid w:val="00C80CA6"/>
    <w:rsid w:val="00C814C0"/>
    <w:rsid w:val="00C81DA9"/>
    <w:rsid w:val="00C81FBD"/>
    <w:rsid w:val="00C82076"/>
    <w:rsid w:val="00C823B4"/>
    <w:rsid w:val="00C82955"/>
    <w:rsid w:val="00C82B08"/>
    <w:rsid w:val="00C83443"/>
    <w:rsid w:val="00C836AB"/>
    <w:rsid w:val="00C83769"/>
    <w:rsid w:val="00C84957"/>
    <w:rsid w:val="00C86149"/>
    <w:rsid w:val="00C86164"/>
    <w:rsid w:val="00C863C4"/>
    <w:rsid w:val="00C87801"/>
    <w:rsid w:val="00C87A1D"/>
    <w:rsid w:val="00C87B9E"/>
    <w:rsid w:val="00C90152"/>
    <w:rsid w:val="00C910BC"/>
    <w:rsid w:val="00C91B94"/>
    <w:rsid w:val="00C91C48"/>
    <w:rsid w:val="00C91F30"/>
    <w:rsid w:val="00C9207A"/>
    <w:rsid w:val="00C924C3"/>
    <w:rsid w:val="00C92B5B"/>
    <w:rsid w:val="00C92EE4"/>
    <w:rsid w:val="00C93BC7"/>
    <w:rsid w:val="00C94146"/>
    <w:rsid w:val="00C947E2"/>
    <w:rsid w:val="00C9488E"/>
    <w:rsid w:val="00C94EBD"/>
    <w:rsid w:val="00C94F56"/>
    <w:rsid w:val="00C95094"/>
    <w:rsid w:val="00C9549F"/>
    <w:rsid w:val="00C958EA"/>
    <w:rsid w:val="00C95C84"/>
    <w:rsid w:val="00C95D2E"/>
    <w:rsid w:val="00C960B4"/>
    <w:rsid w:val="00C96236"/>
    <w:rsid w:val="00C96339"/>
    <w:rsid w:val="00C96D4C"/>
    <w:rsid w:val="00C96D95"/>
    <w:rsid w:val="00C96E5D"/>
    <w:rsid w:val="00C96EFF"/>
    <w:rsid w:val="00C9712C"/>
    <w:rsid w:val="00C973D4"/>
    <w:rsid w:val="00CA0009"/>
    <w:rsid w:val="00CA0148"/>
    <w:rsid w:val="00CA0EFE"/>
    <w:rsid w:val="00CA1448"/>
    <w:rsid w:val="00CA14C2"/>
    <w:rsid w:val="00CA15B6"/>
    <w:rsid w:val="00CA1A8A"/>
    <w:rsid w:val="00CA1CD9"/>
    <w:rsid w:val="00CA1E5A"/>
    <w:rsid w:val="00CA26F4"/>
    <w:rsid w:val="00CA2834"/>
    <w:rsid w:val="00CA2A29"/>
    <w:rsid w:val="00CA32B2"/>
    <w:rsid w:val="00CA3B2F"/>
    <w:rsid w:val="00CA3C56"/>
    <w:rsid w:val="00CA41C7"/>
    <w:rsid w:val="00CA4E1D"/>
    <w:rsid w:val="00CA5009"/>
    <w:rsid w:val="00CA539F"/>
    <w:rsid w:val="00CA5B28"/>
    <w:rsid w:val="00CA5CDB"/>
    <w:rsid w:val="00CA62E8"/>
    <w:rsid w:val="00CA64BC"/>
    <w:rsid w:val="00CA6970"/>
    <w:rsid w:val="00CA6B0F"/>
    <w:rsid w:val="00CA7625"/>
    <w:rsid w:val="00CA7F35"/>
    <w:rsid w:val="00CB0A72"/>
    <w:rsid w:val="00CB0E6B"/>
    <w:rsid w:val="00CB13C6"/>
    <w:rsid w:val="00CB1813"/>
    <w:rsid w:val="00CB1D10"/>
    <w:rsid w:val="00CB2050"/>
    <w:rsid w:val="00CB20E5"/>
    <w:rsid w:val="00CB252D"/>
    <w:rsid w:val="00CB3489"/>
    <w:rsid w:val="00CB348D"/>
    <w:rsid w:val="00CB34A2"/>
    <w:rsid w:val="00CB39E0"/>
    <w:rsid w:val="00CB3A6E"/>
    <w:rsid w:val="00CB3E88"/>
    <w:rsid w:val="00CB419D"/>
    <w:rsid w:val="00CB482B"/>
    <w:rsid w:val="00CB48A5"/>
    <w:rsid w:val="00CB505C"/>
    <w:rsid w:val="00CB50DD"/>
    <w:rsid w:val="00CB5840"/>
    <w:rsid w:val="00CB6049"/>
    <w:rsid w:val="00CB69D6"/>
    <w:rsid w:val="00CB6E4F"/>
    <w:rsid w:val="00CB6E91"/>
    <w:rsid w:val="00CB76BB"/>
    <w:rsid w:val="00CB7DBA"/>
    <w:rsid w:val="00CC003C"/>
    <w:rsid w:val="00CC0BE8"/>
    <w:rsid w:val="00CC1061"/>
    <w:rsid w:val="00CC1276"/>
    <w:rsid w:val="00CC15AB"/>
    <w:rsid w:val="00CC190A"/>
    <w:rsid w:val="00CC1FBF"/>
    <w:rsid w:val="00CC2002"/>
    <w:rsid w:val="00CC2244"/>
    <w:rsid w:val="00CC2356"/>
    <w:rsid w:val="00CC2963"/>
    <w:rsid w:val="00CC2BC9"/>
    <w:rsid w:val="00CC3094"/>
    <w:rsid w:val="00CC30ED"/>
    <w:rsid w:val="00CC3582"/>
    <w:rsid w:val="00CC3891"/>
    <w:rsid w:val="00CC38B2"/>
    <w:rsid w:val="00CC3A85"/>
    <w:rsid w:val="00CC3C4A"/>
    <w:rsid w:val="00CC3DFD"/>
    <w:rsid w:val="00CC3F24"/>
    <w:rsid w:val="00CC407C"/>
    <w:rsid w:val="00CC415E"/>
    <w:rsid w:val="00CC42A7"/>
    <w:rsid w:val="00CC489E"/>
    <w:rsid w:val="00CC4BE1"/>
    <w:rsid w:val="00CC5450"/>
    <w:rsid w:val="00CC5489"/>
    <w:rsid w:val="00CC6131"/>
    <w:rsid w:val="00CC625A"/>
    <w:rsid w:val="00CC634E"/>
    <w:rsid w:val="00CC640E"/>
    <w:rsid w:val="00CC6FD4"/>
    <w:rsid w:val="00CC7263"/>
    <w:rsid w:val="00CC7D57"/>
    <w:rsid w:val="00CD0295"/>
    <w:rsid w:val="00CD061F"/>
    <w:rsid w:val="00CD1B50"/>
    <w:rsid w:val="00CD2DF5"/>
    <w:rsid w:val="00CD44AE"/>
    <w:rsid w:val="00CD47F9"/>
    <w:rsid w:val="00CD49D9"/>
    <w:rsid w:val="00CD511E"/>
    <w:rsid w:val="00CD5C7D"/>
    <w:rsid w:val="00CD5D37"/>
    <w:rsid w:val="00CD6A11"/>
    <w:rsid w:val="00CD73D9"/>
    <w:rsid w:val="00CE0C40"/>
    <w:rsid w:val="00CE0C68"/>
    <w:rsid w:val="00CE0E64"/>
    <w:rsid w:val="00CE10DF"/>
    <w:rsid w:val="00CE11E6"/>
    <w:rsid w:val="00CE1AE0"/>
    <w:rsid w:val="00CE1CE8"/>
    <w:rsid w:val="00CE230E"/>
    <w:rsid w:val="00CE23A6"/>
    <w:rsid w:val="00CE2572"/>
    <w:rsid w:val="00CE25F8"/>
    <w:rsid w:val="00CE2D39"/>
    <w:rsid w:val="00CE4265"/>
    <w:rsid w:val="00CE5122"/>
    <w:rsid w:val="00CE5723"/>
    <w:rsid w:val="00CE585C"/>
    <w:rsid w:val="00CE59CE"/>
    <w:rsid w:val="00CE5A76"/>
    <w:rsid w:val="00CE5AB0"/>
    <w:rsid w:val="00CE60B4"/>
    <w:rsid w:val="00CE6132"/>
    <w:rsid w:val="00CE61F3"/>
    <w:rsid w:val="00CE6207"/>
    <w:rsid w:val="00CE625C"/>
    <w:rsid w:val="00CE6EB0"/>
    <w:rsid w:val="00CE6EF5"/>
    <w:rsid w:val="00CE7596"/>
    <w:rsid w:val="00CE7DAF"/>
    <w:rsid w:val="00CE7EB2"/>
    <w:rsid w:val="00CF090D"/>
    <w:rsid w:val="00CF0910"/>
    <w:rsid w:val="00CF0A73"/>
    <w:rsid w:val="00CF0A94"/>
    <w:rsid w:val="00CF0AF1"/>
    <w:rsid w:val="00CF103B"/>
    <w:rsid w:val="00CF24A4"/>
    <w:rsid w:val="00CF25EE"/>
    <w:rsid w:val="00CF2696"/>
    <w:rsid w:val="00CF26EB"/>
    <w:rsid w:val="00CF281D"/>
    <w:rsid w:val="00CF2823"/>
    <w:rsid w:val="00CF289A"/>
    <w:rsid w:val="00CF3BA8"/>
    <w:rsid w:val="00CF431A"/>
    <w:rsid w:val="00CF4807"/>
    <w:rsid w:val="00CF57A2"/>
    <w:rsid w:val="00CF6742"/>
    <w:rsid w:val="00CF723B"/>
    <w:rsid w:val="00CF7466"/>
    <w:rsid w:val="00CF78D5"/>
    <w:rsid w:val="00CF7D45"/>
    <w:rsid w:val="00D001D3"/>
    <w:rsid w:val="00D002E6"/>
    <w:rsid w:val="00D00430"/>
    <w:rsid w:val="00D00537"/>
    <w:rsid w:val="00D00A45"/>
    <w:rsid w:val="00D0106A"/>
    <w:rsid w:val="00D01281"/>
    <w:rsid w:val="00D01C0F"/>
    <w:rsid w:val="00D020C1"/>
    <w:rsid w:val="00D021B8"/>
    <w:rsid w:val="00D03701"/>
    <w:rsid w:val="00D03A42"/>
    <w:rsid w:val="00D03ABE"/>
    <w:rsid w:val="00D03B1F"/>
    <w:rsid w:val="00D04044"/>
    <w:rsid w:val="00D04150"/>
    <w:rsid w:val="00D0432D"/>
    <w:rsid w:val="00D0481B"/>
    <w:rsid w:val="00D048BC"/>
    <w:rsid w:val="00D04B1F"/>
    <w:rsid w:val="00D05754"/>
    <w:rsid w:val="00D05925"/>
    <w:rsid w:val="00D05A64"/>
    <w:rsid w:val="00D06420"/>
    <w:rsid w:val="00D067E6"/>
    <w:rsid w:val="00D068BA"/>
    <w:rsid w:val="00D0701F"/>
    <w:rsid w:val="00D07185"/>
    <w:rsid w:val="00D0754F"/>
    <w:rsid w:val="00D0796B"/>
    <w:rsid w:val="00D07A59"/>
    <w:rsid w:val="00D07B24"/>
    <w:rsid w:val="00D07E18"/>
    <w:rsid w:val="00D113C6"/>
    <w:rsid w:val="00D11478"/>
    <w:rsid w:val="00D11730"/>
    <w:rsid w:val="00D11A66"/>
    <w:rsid w:val="00D11AB4"/>
    <w:rsid w:val="00D1210D"/>
    <w:rsid w:val="00D124AA"/>
    <w:rsid w:val="00D12506"/>
    <w:rsid w:val="00D13592"/>
    <w:rsid w:val="00D1413B"/>
    <w:rsid w:val="00D147BB"/>
    <w:rsid w:val="00D14A03"/>
    <w:rsid w:val="00D14A1B"/>
    <w:rsid w:val="00D15531"/>
    <w:rsid w:val="00D1596B"/>
    <w:rsid w:val="00D159BF"/>
    <w:rsid w:val="00D15AA1"/>
    <w:rsid w:val="00D15CCA"/>
    <w:rsid w:val="00D15D44"/>
    <w:rsid w:val="00D1639C"/>
    <w:rsid w:val="00D16519"/>
    <w:rsid w:val="00D16730"/>
    <w:rsid w:val="00D16B97"/>
    <w:rsid w:val="00D16DD8"/>
    <w:rsid w:val="00D20CBF"/>
    <w:rsid w:val="00D2159F"/>
    <w:rsid w:val="00D215D5"/>
    <w:rsid w:val="00D21EAA"/>
    <w:rsid w:val="00D22450"/>
    <w:rsid w:val="00D22496"/>
    <w:rsid w:val="00D224A3"/>
    <w:rsid w:val="00D225AB"/>
    <w:rsid w:val="00D22710"/>
    <w:rsid w:val="00D23004"/>
    <w:rsid w:val="00D23128"/>
    <w:rsid w:val="00D2417D"/>
    <w:rsid w:val="00D244B8"/>
    <w:rsid w:val="00D25038"/>
    <w:rsid w:val="00D259F9"/>
    <w:rsid w:val="00D25CBC"/>
    <w:rsid w:val="00D25D65"/>
    <w:rsid w:val="00D261D9"/>
    <w:rsid w:val="00D2643C"/>
    <w:rsid w:val="00D2679D"/>
    <w:rsid w:val="00D26AFC"/>
    <w:rsid w:val="00D26E13"/>
    <w:rsid w:val="00D27663"/>
    <w:rsid w:val="00D2768C"/>
    <w:rsid w:val="00D27EF9"/>
    <w:rsid w:val="00D300B3"/>
    <w:rsid w:val="00D31507"/>
    <w:rsid w:val="00D318C8"/>
    <w:rsid w:val="00D31CB1"/>
    <w:rsid w:val="00D31E59"/>
    <w:rsid w:val="00D32975"/>
    <w:rsid w:val="00D33675"/>
    <w:rsid w:val="00D33B36"/>
    <w:rsid w:val="00D342B0"/>
    <w:rsid w:val="00D34C54"/>
    <w:rsid w:val="00D34C6B"/>
    <w:rsid w:val="00D35A49"/>
    <w:rsid w:val="00D35C1B"/>
    <w:rsid w:val="00D362C5"/>
    <w:rsid w:val="00D372DD"/>
    <w:rsid w:val="00D373E5"/>
    <w:rsid w:val="00D37503"/>
    <w:rsid w:val="00D37BF0"/>
    <w:rsid w:val="00D37CB4"/>
    <w:rsid w:val="00D40505"/>
    <w:rsid w:val="00D4073E"/>
    <w:rsid w:val="00D40767"/>
    <w:rsid w:val="00D40CCF"/>
    <w:rsid w:val="00D412A0"/>
    <w:rsid w:val="00D413B3"/>
    <w:rsid w:val="00D41665"/>
    <w:rsid w:val="00D42114"/>
    <w:rsid w:val="00D42148"/>
    <w:rsid w:val="00D427E8"/>
    <w:rsid w:val="00D43287"/>
    <w:rsid w:val="00D43659"/>
    <w:rsid w:val="00D43B22"/>
    <w:rsid w:val="00D43C4D"/>
    <w:rsid w:val="00D43D13"/>
    <w:rsid w:val="00D43DCF"/>
    <w:rsid w:val="00D44007"/>
    <w:rsid w:val="00D44A9B"/>
    <w:rsid w:val="00D44E98"/>
    <w:rsid w:val="00D4744F"/>
    <w:rsid w:val="00D475B5"/>
    <w:rsid w:val="00D47756"/>
    <w:rsid w:val="00D47EAB"/>
    <w:rsid w:val="00D5021D"/>
    <w:rsid w:val="00D5024B"/>
    <w:rsid w:val="00D505B7"/>
    <w:rsid w:val="00D50738"/>
    <w:rsid w:val="00D50AC2"/>
    <w:rsid w:val="00D50DBC"/>
    <w:rsid w:val="00D5103B"/>
    <w:rsid w:val="00D51519"/>
    <w:rsid w:val="00D5193F"/>
    <w:rsid w:val="00D52478"/>
    <w:rsid w:val="00D52F8B"/>
    <w:rsid w:val="00D533A5"/>
    <w:rsid w:val="00D534B7"/>
    <w:rsid w:val="00D5404B"/>
    <w:rsid w:val="00D54096"/>
    <w:rsid w:val="00D558DA"/>
    <w:rsid w:val="00D5642C"/>
    <w:rsid w:val="00D56EC4"/>
    <w:rsid w:val="00D57811"/>
    <w:rsid w:val="00D57BA5"/>
    <w:rsid w:val="00D60294"/>
    <w:rsid w:val="00D60B20"/>
    <w:rsid w:val="00D60B5F"/>
    <w:rsid w:val="00D60C6A"/>
    <w:rsid w:val="00D60F2F"/>
    <w:rsid w:val="00D60FB3"/>
    <w:rsid w:val="00D61A9B"/>
    <w:rsid w:val="00D62058"/>
    <w:rsid w:val="00D632C7"/>
    <w:rsid w:val="00D63489"/>
    <w:rsid w:val="00D63BC8"/>
    <w:rsid w:val="00D6417A"/>
    <w:rsid w:val="00D64954"/>
    <w:rsid w:val="00D6512E"/>
    <w:rsid w:val="00D65D0A"/>
    <w:rsid w:val="00D6602F"/>
    <w:rsid w:val="00D6658E"/>
    <w:rsid w:val="00D66C6D"/>
    <w:rsid w:val="00D6748C"/>
    <w:rsid w:val="00D708DA"/>
    <w:rsid w:val="00D70BA4"/>
    <w:rsid w:val="00D7112A"/>
    <w:rsid w:val="00D718AE"/>
    <w:rsid w:val="00D719BF"/>
    <w:rsid w:val="00D72031"/>
    <w:rsid w:val="00D7220A"/>
    <w:rsid w:val="00D72986"/>
    <w:rsid w:val="00D733C3"/>
    <w:rsid w:val="00D74080"/>
    <w:rsid w:val="00D740F0"/>
    <w:rsid w:val="00D74CAD"/>
    <w:rsid w:val="00D751F6"/>
    <w:rsid w:val="00D752A3"/>
    <w:rsid w:val="00D75351"/>
    <w:rsid w:val="00D75CFE"/>
    <w:rsid w:val="00D76A05"/>
    <w:rsid w:val="00D76EC9"/>
    <w:rsid w:val="00D77305"/>
    <w:rsid w:val="00D775C5"/>
    <w:rsid w:val="00D77DD2"/>
    <w:rsid w:val="00D80AB4"/>
    <w:rsid w:val="00D8117D"/>
    <w:rsid w:val="00D81639"/>
    <w:rsid w:val="00D821D3"/>
    <w:rsid w:val="00D82204"/>
    <w:rsid w:val="00D825E5"/>
    <w:rsid w:val="00D827BA"/>
    <w:rsid w:val="00D82883"/>
    <w:rsid w:val="00D82CD4"/>
    <w:rsid w:val="00D82CF3"/>
    <w:rsid w:val="00D8338E"/>
    <w:rsid w:val="00D83829"/>
    <w:rsid w:val="00D8388A"/>
    <w:rsid w:val="00D8398D"/>
    <w:rsid w:val="00D83B2D"/>
    <w:rsid w:val="00D84540"/>
    <w:rsid w:val="00D84A0A"/>
    <w:rsid w:val="00D84F8A"/>
    <w:rsid w:val="00D853AE"/>
    <w:rsid w:val="00D85879"/>
    <w:rsid w:val="00D85F7F"/>
    <w:rsid w:val="00D8608C"/>
    <w:rsid w:val="00D867D0"/>
    <w:rsid w:val="00D86855"/>
    <w:rsid w:val="00D86ED8"/>
    <w:rsid w:val="00D8749C"/>
    <w:rsid w:val="00D87B4B"/>
    <w:rsid w:val="00D90B7C"/>
    <w:rsid w:val="00D91F0C"/>
    <w:rsid w:val="00D92169"/>
    <w:rsid w:val="00D92237"/>
    <w:rsid w:val="00D92356"/>
    <w:rsid w:val="00D92399"/>
    <w:rsid w:val="00D93381"/>
    <w:rsid w:val="00D93415"/>
    <w:rsid w:val="00D9421D"/>
    <w:rsid w:val="00D9422C"/>
    <w:rsid w:val="00D95BF2"/>
    <w:rsid w:val="00D95C14"/>
    <w:rsid w:val="00D96393"/>
    <w:rsid w:val="00D96E31"/>
    <w:rsid w:val="00D97289"/>
    <w:rsid w:val="00D97A9A"/>
    <w:rsid w:val="00D97ACF"/>
    <w:rsid w:val="00D97DC1"/>
    <w:rsid w:val="00D97E60"/>
    <w:rsid w:val="00DA0126"/>
    <w:rsid w:val="00DA052D"/>
    <w:rsid w:val="00DA0B69"/>
    <w:rsid w:val="00DA0D8C"/>
    <w:rsid w:val="00DA173C"/>
    <w:rsid w:val="00DA1829"/>
    <w:rsid w:val="00DA2081"/>
    <w:rsid w:val="00DA2679"/>
    <w:rsid w:val="00DA2B33"/>
    <w:rsid w:val="00DA3157"/>
    <w:rsid w:val="00DA3835"/>
    <w:rsid w:val="00DA3C7A"/>
    <w:rsid w:val="00DA4C4C"/>
    <w:rsid w:val="00DA541B"/>
    <w:rsid w:val="00DA561D"/>
    <w:rsid w:val="00DA5BC6"/>
    <w:rsid w:val="00DA5E82"/>
    <w:rsid w:val="00DA65FF"/>
    <w:rsid w:val="00DA71BF"/>
    <w:rsid w:val="00DA79C9"/>
    <w:rsid w:val="00DA7FAE"/>
    <w:rsid w:val="00DB05D9"/>
    <w:rsid w:val="00DB0A73"/>
    <w:rsid w:val="00DB1150"/>
    <w:rsid w:val="00DB129D"/>
    <w:rsid w:val="00DB1363"/>
    <w:rsid w:val="00DB1776"/>
    <w:rsid w:val="00DB19F9"/>
    <w:rsid w:val="00DB20BC"/>
    <w:rsid w:val="00DB2393"/>
    <w:rsid w:val="00DB2B16"/>
    <w:rsid w:val="00DB2E4E"/>
    <w:rsid w:val="00DB3324"/>
    <w:rsid w:val="00DB3B9E"/>
    <w:rsid w:val="00DB3EC5"/>
    <w:rsid w:val="00DB457F"/>
    <w:rsid w:val="00DB497E"/>
    <w:rsid w:val="00DB4B81"/>
    <w:rsid w:val="00DB4C39"/>
    <w:rsid w:val="00DB5FF7"/>
    <w:rsid w:val="00DB62B8"/>
    <w:rsid w:val="00DB635A"/>
    <w:rsid w:val="00DB6F36"/>
    <w:rsid w:val="00DB7205"/>
    <w:rsid w:val="00DB7BA1"/>
    <w:rsid w:val="00DB7C8F"/>
    <w:rsid w:val="00DC09CA"/>
    <w:rsid w:val="00DC263A"/>
    <w:rsid w:val="00DC27BE"/>
    <w:rsid w:val="00DC2AF4"/>
    <w:rsid w:val="00DC2CB5"/>
    <w:rsid w:val="00DC4B6C"/>
    <w:rsid w:val="00DC4D0F"/>
    <w:rsid w:val="00DC52E1"/>
    <w:rsid w:val="00DC5500"/>
    <w:rsid w:val="00DC5AC2"/>
    <w:rsid w:val="00DC5C6F"/>
    <w:rsid w:val="00DC66BA"/>
    <w:rsid w:val="00DC67BC"/>
    <w:rsid w:val="00DC7262"/>
    <w:rsid w:val="00DC7E05"/>
    <w:rsid w:val="00DD051F"/>
    <w:rsid w:val="00DD0974"/>
    <w:rsid w:val="00DD0D7F"/>
    <w:rsid w:val="00DD0DB1"/>
    <w:rsid w:val="00DD108F"/>
    <w:rsid w:val="00DD1157"/>
    <w:rsid w:val="00DD1311"/>
    <w:rsid w:val="00DD1346"/>
    <w:rsid w:val="00DD1483"/>
    <w:rsid w:val="00DD1B01"/>
    <w:rsid w:val="00DD1D55"/>
    <w:rsid w:val="00DD2023"/>
    <w:rsid w:val="00DD20DA"/>
    <w:rsid w:val="00DD2119"/>
    <w:rsid w:val="00DD2761"/>
    <w:rsid w:val="00DD2A90"/>
    <w:rsid w:val="00DD2A9F"/>
    <w:rsid w:val="00DD2D16"/>
    <w:rsid w:val="00DD32CC"/>
    <w:rsid w:val="00DD3719"/>
    <w:rsid w:val="00DD3830"/>
    <w:rsid w:val="00DD397E"/>
    <w:rsid w:val="00DD4294"/>
    <w:rsid w:val="00DD4E25"/>
    <w:rsid w:val="00DD5B7A"/>
    <w:rsid w:val="00DD5DC6"/>
    <w:rsid w:val="00DD6165"/>
    <w:rsid w:val="00DD62B9"/>
    <w:rsid w:val="00DD65BB"/>
    <w:rsid w:val="00DD6816"/>
    <w:rsid w:val="00DD6B4A"/>
    <w:rsid w:val="00DD6BA8"/>
    <w:rsid w:val="00DD6D47"/>
    <w:rsid w:val="00DD7917"/>
    <w:rsid w:val="00DD7CEF"/>
    <w:rsid w:val="00DE01CB"/>
    <w:rsid w:val="00DE0E25"/>
    <w:rsid w:val="00DE0FC6"/>
    <w:rsid w:val="00DE189A"/>
    <w:rsid w:val="00DE1E11"/>
    <w:rsid w:val="00DE26B3"/>
    <w:rsid w:val="00DE2E22"/>
    <w:rsid w:val="00DE39DE"/>
    <w:rsid w:val="00DE3B9C"/>
    <w:rsid w:val="00DE45A5"/>
    <w:rsid w:val="00DE45AB"/>
    <w:rsid w:val="00DE4615"/>
    <w:rsid w:val="00DE4B04"/>
    <w:rsid w:val="00DE5045"/>
    <w:rsid w:val="00DE50D6"/>
    <w:rsid w:val="00DE5141"/>
    <w:rsid w:val="00DE5527"/>
    <w:rsid w:val="00DE58A0"/>
    <w:rsid w:val="00DE58DB"/>
    <w:rsid w:val="00DE5B71"/>
    <w:rsid w:val="00DE6F62"/>
    <w:rsid w:val="00DE73FB"/>
    <w:rsid w:val="00DE7CB8"/>
    <w:rsid w:val="00DF14E7"/>
    <w:rsid w:val="00DF14F8"/>
    <w:rsid w:val="00DF1529"/>
    <w:rsid w:val="00DF2103"/>
    <w:rsid w:val="00DF232D"/>
    <w:rsid w:val="00DF29F7"/>
    <w:rsid w:val="00DF2D3A"/>
    <w:rsid w:val="00DF30F0"/>
    <w:rsid w:val="00DF34E4"/>
    <w:rsid w:val="00DF3AD9"/>
    <w:rsid w:val="00DF3D72"/>
    <w:rsid w:val="00DF3F83"/>
    <w:rsid w:val="00DF4C35"/>
    <w:rsid w:val="00DF570E"/>
    <w:rsid w:val="00DF5951"/>
    <w:rsid w:val="00DF5DC9"/>
    <w:rsid w:val="00DF60AA"/>
    <w:rsid w:val="00DF6198"/>
    <w:rsid w:val="00DF63A7"/>
    <w:rsid w:val="00DF64AF"/>
    <w:rsid w:val="00DF64D2"/>
    <w:rsid w:val="00DF6698"/>
    <w:rsid w:val="00DF6A61"/>
    <w:rsid w:val="00DF6E30"/>
    <w:rsid w:val="00DF7022"/>
    <w:rsid w:val="00DF719B"/>
    <w:rsid w:val="00DF7992"/>
    <w:rsid w:val="00DF79E4"/>
    <w:rsid w:val="00E00A9A"/>
    <w:rsid w:val="00E0207A"/>
    <w:rsid w:val="00E023E6"/>
    <w:rsid w:val="00E02C35"/>
    <w:rsid w:val="00E02FFE"/>
    <w:rsid w:val="00E0321D"/>
    <w:rsid w:val="00E039A5"/>
    <w:rsid w:val="00E04958"/>
    <w:rsid w:val="00E049BD"/>
    <w:rsid w:val="00E05956"/>
    <w:rsid w:val="00E06916"/>
    <w:rsid w:val="00E06991"/>
    <w:rsid w:val="00E06BC3"/>
    <w:rsid w:val="00E06D3C"/>
    <w:rsid w:val="00E075CA"/>
    <w:rsid w:val="00E101A7"/>
    <w:rsid w:val="00E104F3"/>
    <w:rsid w:val="00E10C16"/>
    <w:rsid w:val="00E1124C"/>
    <w:rsid w:val="00E119B0"/>
    <w:rsid w:val="00E11B8F"/>
    <w:rsid w:val="00E11BB1"/>
    <w:rsid w:val="00E122C9"/>
    <w:rsid w:val="00E1239A"/>
    <w:rsid w:val="00E1259A"/>
    <w:rsid w:val="00E13243"/>
    <w:rsid w:val="00E1330D"/>
    <w:rsid w:val="00E13B95"/>
    <w:rsid w:val="00E14CF0"/>
    <w:rsid w:val="00E14EEE"/>
    <w:rsid w:val="00E16198"/>
    <w:rsid w:val="00E16243"/>
    <w:rsid w:val="00E1624B"/>
    <w:rsid w:val="00E168EE"/>
    <w:rsid w:val="00E16C42"/>
    <w:rsid w:val="00E1723E"/>
    <w:rsid w:val="00E17289"/>
    <w:rsid w:val="00E17503"/>
    <w:rsid w:val="00E17EA4"/>
    <w:rsid w:val="00E17F49"/>
    <w:rsid w:val="00E2006D"/>
    <w:rsid w:val="00E20418"/>
    <w:rsid w:val="00E2096F"/>
    <w:rsid w:val="00E20E93"/>
    <w:rsid w:val="00E21107"/>
    <w:rsid w:val="00E211BF"/>
    <w:rsid w:val="00E21412"/>
    <w:rsid w:val="00E21598"/>
    <w:rsid w:val="00E22104"/>
    <w:rsid w:val="00E22454"/>
    <w:rsid w:val="00E22486"/>
    <w:rsid w:val="00E22739"/>
    <w:rsid w:val="00E227F0"/>
    <w:rsid w:val="00E22993"/>
    <w:rsid w:val="00E229A0"/>
    <w:rsid w:val="00E230CB"/>
    <w:rsid w:val="00E236E4"/>
    <w:rsid w:val="00E23E25"/>
    <w:rsid w:val="00E23F69"/>
    <w:rsid w:val="00E244B9"/>
    <w:rsid w:val="00E2469C"/>
    <w:rsid w:val="00E24CF9"/>
    <w:rsid w:val="00E24FD8"/>
    <w:rsid w:val="00E24FDD"/>
    <w:rsid w:val="00E25159"/>
    <w:rsid w:val="00E253F1"/>
    <w:rsid w:val="00E25577"/>
    <w:rsid w:val="00E2583D"/>
    <w:rsid w:val="00E258AA"/>
    <w:rsid w:val="00E25AC1"/>
    <w:rsid w:val="00E26040"/>
    <w:rsid w:val="00E260AB"/>
    <w:rsid w:val="00E26398"/>
    <w:rsid w:val="00E26466"/>
    <w:rsid w:val="00E27116"/>
    <w:rsid w:val="00E27408"/>
    <w:rsid w:val="00E27FCF"/>
    <w:rsid w:val="00E31319"/>
    <w:rsid w:val="00E3160B"/>
    <w:rsid w:val="00E31D6F"/>
    <w:rsid w:val="00E31E0B"/>
    <w:rsid w:val="00E31E29"/>
    <w:rsid w:val="00E32882"/>
    <w:rsid w:val="00E32B9B"/>
    <w:rsid w:val="00E3369B"/>
    <w:rsid w:val="00E34AB7"/>
    <w:rsid w:val="00E34CDC"/>
    <w:rsid w:val="00E361E1"/>
    <w:rsid w:val="00E366C8"/>
    <w:rsid w:val="00E368B4"/>
    <w:rsid w:val="00E36EAB"/>
    <w:rsid w:val="00E37144"/>
    <w:rsid w:val="00E37375"/>
    <w:rsid w:val="00E37592"/>
    <w:rsid w:val="00E37FDF"/>
    <w:rsid w:val="00E4039F"/>
    <w:rsid w:val="00E4112E"/>
    <w:rsid w:val="00E414DC"/>
    <w:rsid w:val="00E418E6"/>
    <w:rsid w:val="00E42707"/>
    <w:rsid w:val="00E428BD"/>
    <w:rsid w:val="00E43292"/>
    <w:rsid w:val="00E4333D"/>
    <w:rsid w:val="00E4371F"/>
    <w:rsid w:val="00E444AA"/>
    <w:rsid w:val="00E44845"/>
    <w:rsid w:val="00E448E9"/>
    <w:rsid w:val="00E44FC4"/>
    <w:rsid w:val="00E46206"/>
    <w:rsid w:val="00E46F61"/>
    <w:rsid w:val="00E47413"/>
    <w:rsid w:val="00E47C30"/>
    <w:rsid w:val="00E50C0E"/>
    <w:rsid w:val="00E5168B"/>
    <w:rsid w:val="00E5212B"/>
    <w:rsid w:val="00E52466"/>
    <w:rsid w:val="00E52597"/>
    <w:rsid w:val="00E526FC"/>
    <w:rsid w:val="00E52C16"/>
    <w:rsid w:val="00E52CF6"/>
    <w:rsid w:val="00E53761"/>
    <w:rsid w:val="00E53870"/>
    <w:rsid w:val="00E538FF"/>
    <w:rsid w:val="00E539AB"/>
    <w:rsid w:val="00E54407"/>
    <w:rsid w:val="00E54DDA"/>
    <w:rsid w:val="00E54F53"/>
    <w:rsid w:val="00E55491"/>
    <w:rsid w:val="00E5628F"/>
    <w:rsid w:val="00E56DE3"/>
    <w:rsid w:val="00E57771"/>
    <w:rsid w:val="00E57C92"/>
    <w:rsid w:val="00E60622"/>
    <w:rsid w:val="00E6079D"/>
    <w:rsid w:val="00E614E8"/>
    <w:rsid w:val="00E6158C"/>
    <w:rsid w:val="00E619AC"/>
    <w:rsid w:val="00E6260F"/>
    <w:rsid w:val="00E626FE"/>
    <w:rsid w:val="00E62C82"/>
    <w:rsid w:val="00E63DBA"/>
    <w:rsid w:val="00E6417D"/>
    <w:rsid w:val="00E64BF3"/>
    <w:rsid w:val="00E65277"/>
    <w:rsid w:val="00E65E32"/>
    <w:rsid w:val="00E65E64"/>
    <w:rsid w:val="00E66E30"/>
    <w:rsid w:val="00E67379"/>
    <w:rsid w:val="00E67387"/>
    <w:rsid w:val="00E67A05"/>
    <w:rsid w:val="00E67B35"/>
    <w:rsid w:val="00E67D7E"/>
    <w:rsid w:val="00E700A7"/>
    <w:rsid w:val="00E70266"/>
    <w:rsid w:val="00E702C2"/>
    <w:rsid w:val="00E706BB"/>
    <w:rsid w:val="00E70AFA"/>
    <w:rsid w:val="00E7109D"/>
    <w:rsid w:val="00E71179"/>
    <w:rsid w:val="00E718ED"/>
    <w:rsid w:val="00E71B5C"/>
    <w:rsid w:val="00E72044"/>
    <w:rsid w:val="00E722D0"/>
    <w:rsid w:val="00E726E2"/>
    <w:rsid w:val="00E7292D"/>
    <w:rsid w:val="00E73720"/>
    <w:rsid w:val="00E73CA5"/>
    <w:rsid w:val="00E73FDD"/>
    <w:rsid w:val="00E743A4"/>
    <w:rsid w:val="00E74AAB"/>
    <w:rsid w:val="00E75248"/>
    <w:rsid w:val="00E759E6"/>
    <w:rsid w:val="00E75EC1"/>
    <w:rsid w:val="00E7608E"/>
    <w:rsid w:val="00E76192"/>
    <w:rsid w:val="00E76B1A"/>
    <w:rsid w:val="00E778FF"/>
    <w:rsid w:val="00E804F0"/>
    <w:rsid w:val="00E8090F"/>
    <w:rsid w:val="00E80C37"/>
    <w:rsid w:val="00E80C6A"/>
    <w:rsid w:val="00E81362"/>
    <w:rsid w:val="00E81485"/>
    <w:rsid w:val="00E8170D"/>
    <w:rsid w:val="00E81924"/>
    <w:rsid w:val="00E81A23"/>
    <w:rsid w:val="00E827E9"/>
    <w:rsid w:val="00E82857"/>
    <w:rsid w:val="00E82D58"/>
    <w:rsid w:val="00E8357D"/>
    <w:rsid w:val="00E84077"/>
    <w:rsid w:val="00E841F1"/>
    <w:rsid w:val="00E8430B"/>
    <w:rsid w:val="00E84BDF"/>
    <w:rsid w:val="00E850C3"/>
    <w:rsid w:val="00E8514E"/>
    <w:rsid w:val="00E86165"/>
    <w:rsid w:val="00E8627A"/>
    <w:rsid w:val="00E866D0"/>
    <w:rsid w:val="00E870F7"/>
    <w:rsid w:val="00E8722F"/>
    <w:rsid w:val="00E8739D"/>
    <w:rsid w:val="00E877AC"/>
    <w:rsid w:val="00E87854"/>
    <w:rsid w:val="00E878D3"/>
    <w:rsid w:val="00E87D62"/>
    <w:rsid w:val="00E90DE9"/>
    <w:rsid w:val="00E9110B"/>
    <w:rsid w:val="00E91363"/>
    <w:rsid w:val="00E91570"/>
    <w:rsid w:val="00E91F8B"/>
    <w:rsid w:val="00E92143"/>
    <w:rsid w:val="00E9278F"/>
    <w:rsid w:val="00E928DD"/>
    <w:rsid w:val="00E92EFB"/>
    <w:rsid w:val="00E93DFE"/>
    <w:rsid w:val="00E946D9"/>
    <w:rsid w:val="00E956A8"/>
    <w:rsid w:val="00E959A2"/>
    <w:rsid w:val="00E95FA9"/>
    <w:rsid w:val="00E95FBF"/>
    <w:rsid w:val="00E9635A"/>
    <w:rsid w:val="00E97863"/>
    <w:rsid w:val="00E97CD6"/>
    <w:rsid w:val="00EA0264"/>
    <w:rsid w:val="00EA0390"/>
    <w:rsid w:val="00EA0E37"/>
    <w:rsid w:val="00EA1474"/>
    <w:rsid w:val="00EA2918"/>
    <w:rsid w:val="00EA2C74"/>
    <w:rsid w:val="00EA355A"/>
    <w:rsid w:val="00EA3E3C"/>
    <w:rsid w:val="00EA3E48"/>
    <w:rsid w:val="00EA41B8"/>
    <w:rsid w:val="00EA4406"/>
    <w:rsid w:val="00EA4DAA"/>
    <w:rsid w:val="00EA5A14"/>
    <w:rsid w:val="00EA5BA9"/>
    <w:rsid w:val="00EA5D59"/>
    <w:rsid w:val="00EA5D5C"/>
    <w:rsid w:val="00EA656F"/>
    <w:rsid w:val="00EA65BC"/>
    <w:rsid w:val="00EA66BB"/>
    <w:rsid w:val="00EA6A17"/>
    <w:rsid w:val="00EA71C0"/>
    <w:rsid w:val="00EA72EC"/>
    <w:rsid w:val="00EA782C"/>
    <w:rsid w:val="00EA78D0"/>
    <w:rsid w:val="00EB0146"/>
    <w:rsid w:val="00EB057F"/>
    <w:rsid w:val="00EB0885"/>
    <w:rsid w:val="00EB08BC"/>
    <w:rsid w:val="00EB12DE"/>
    <w:rsid w:val="00EB16F4"/>
    <w:rsid w:val="00EB1855"/>
    <w:rsid w:val="00EB1A49"/>
    <w:rsid w:val="00EB1E77"/>
    <w:rsid w:val="00EB2405"/>
    <w:rsid w:val="00EB29E4"/>
    <w:rsid w:val="00EB2BB1"/>
    <w:rsid w:val="00EB2CCE"/>
    <w:rsid w:val="00EB351D"/>
    <w:rsid w:val="00EB381C"/>
    <w:rsid w:val="00EB3A29"/>
    <w:rsid w:val="00EB4DCB"/>
    <w:rsid w:val="00EB5120"/>
    <w:rsid w:val="00EB5483"/>
    <w:rsid w:val="00EB6900"/>
    <w:rsid w:val="00EB6BAA"/>
    <w:rsid w:val="00EB6C1F"/>
    <w:rsid w:val="00EB6D2B"/>
    <w:rsid w:val="00EB70E3"/>
    <w:rsid w:val="00EB73B5"/>
    <w:rsid w:val="00EB7555"/>
    <w:rsid w:val="00EB7CAF"/>
    <w:rsid w:val="00EC00A5"/>
    <w:rsid w:val="00EC02B8"/>
    <w:rsid w:val="00EC0636"/>
    <w:rsid w:val="00EC083A"/>
    <w:rsid w:val="00EC0A63"/>
    <w:rsid w:val="00EC0BBB"/>
    <w:rsid w:val="00EC0EDB"/>
    <w:rsid w:val="00EC0F6D"/>
    <w:rsid w:val="00EC1064"/>
    <w:rsid w:val="00EC14BE"/>
    <w:rsid w:val="00EC1707"/>
    <w:rsid w:val="00EC174C"/>
    <w:rsid w:val="00EC1B27"/>
    <w:rsid w:val="00EC1ED8"/>
    <w:rsid w:val="00EC2237"/>
    <w:rsid w:val="00EC2977"/>
    <w:rsid w:val="00EC2CA3"/>
    <w:rsid w:val="00EC3176"/>
    <w:rsid w:val="00EC3DD9"/>
    <w:rsid w:val="00EC3EF4"/>
    <w:rsid w:val="00EC46E4"/>
    <w:rsid w:val="00EC4AD3"/>
    <w:rsid w:val="00EC5039"/>
    <w:rsid w:val="00EC5281"/>
    <w:rsid w:val="00EC5920"/>
    <w:rsid w:val="00EC5A65"/>
    <w:rsid w:val="00EC5F63"/>
    <w:rsid w:val="00EC61AC"/>
    <w:rsid w:val="00EC63A2"/>
    <w:rsid w:val="00ED0065"/>
    <w:rsid w:val="00ED08F3"/>
    <w:rsid w:val="00ED0C6A"/>
    <w:rsid w:val="00ED0DDE"/>
    <w:rsid w:val="00ED152D"/>
    <w:rsid w:val="00ED1949"/>
    <w:rsid w:val="00ED197C"/>
    <w:rsid w:val="00ED1EF7"/>
    <w:rsid w:val="00ED20A8"/>
    <w:rsid w:val="00ED2552"/>
    <w:rsid w:val="00ED272C"/>
    <w:rsid w:val="00ED2DDD"/>
    <w:rsid w:val="00ED38E3"/>
    <w:rsid w:val="00ED485F"/>
    <w:rsid w:val="00ED4930"/>
    <w:rsid w:val="00ED4A3A"/>
    <w:rsid w:val="00ED4CBB"/>
    <w:rsid w:val="00ED5509"/>
    <w:rsid w:val="00ED55AA"/>
    <w:rsid w:val="00ED55B7"/>
    <w:rsid w:val="00ED5FCE"/>
    <w:rsid w:val="00ED6450"/>
    <w:rsid w:val="00ED64DE"/>
    <w:rsid w:val="00ED6638"/>
    <w:rsid w:val="00ED6E79"/>
    <w:rsid w:val="00ED712A"/>
    <w:rsid w:val="00ED71A6"/>
    <w:rsid w:val="00ED7F00"/>
    <w:rsid w:val="00EE0028"/>
    <w:rsid w:val="00EE0221"/>
    <w:rsid w:val="00EE03CC"/>
    <w:rsid w:val="00EE051F"/>
    <w:rsid w:val="00EE05B7"/>
    <w:rsid w:val="00EE0C65"/>
    <w:rsid w:val="00EE0EC5"/>
    <w:rsid w:val="00EE1282"/>
    <w:rsid w:val="00EE1817"/>
    <w:rsid w:val="00EE1BB8"/>
    <w:rsid w:val="00EE1DD1"/>
    <w:rsid w:val="00EE1FC9"/>
    <w:rsid w:val="00EE2245"/>
    <w:rsid w:val="00EE25F9"/>
    <w:rsid w:val="00EE29AF"/>
    <w:rsid w:val="00EE2E01"/>
    <w:rsid w:val="00EE3463"/>
    <w:rsid w:val="00EE37EE"/>
    <w:rsid w:val="00EE39A4"/>
    <w:rsid w:val="00EE4B59"/>
    <w:rsid w:val="00EE50A8"/>
    <w:rsid w:val="00EE53B9"/>
    <w:rsid w:val="00EE6372"/>
    <w:rsid w:val="00EE6783"/>
    <w:rsid w:val="00EE6889"/>
    <w:rsid w:val="00EE7829"/>
    <w:rsid w:val="00EF0279"/>
    <w:rsid w:val="00EF0629"/>
    <w:rsid w:val="00EF09DF"/>
    <w:rsid w:val="00EF0D49"/>
    <w:rsid w:val="00EF1594"/>
    <w:rsid w:val="00EF1C23"/>
    <w:rsid w:val="00EF269C"/>
    <w:rsid w:val="00EF29C7"/>
    <w:rsid w:val="00EF3463"/>
    <w:rsid w:val="00EF36A1"/>
    <w:rsid w:val="00EF389F"/>
    <w:rsid w:val="00EF3DE4"/>
    <w:rsid w:val="00EF40A9"/>
    <w:rsid w:val="00EF4251"/>
    <w:rsid w:val="00EF4841"/>
    <w:rsid w:val="00EF4A6B"/>
    <w:rsid w:val="00EF4CAF"/>
    <w:rsid w:val="00EF4E00"/>
    <w:rsid w:val="00EF540A"/>
    <w:rsid w:val="00EF56AD"/>
    <w:rsid w:val="00EF6405"/>
    <w:rsid w:val="00EF719E"/>
    <w:rsid w:val="00EF76FE"/>
    <w:rsid w:val="00F0064D"/>
    <w:rsid w:val="00F006BC"/>
    <w:rsid w:val="00F0087F"/>
    <w:rsid w:val="00F00C37"/>
    <w:rsid w:val="00F00C86"/>
    <w:rsid w:val="00F00D52"/>
    <w:rsid w:val="00F01005"/>
    <w:rsid w:val="00F01129"/>
    <w:rsid w:val="00F0119D"/>
    <w:rsid w:val="00F01A5B"/>
    <w:rsid w:val="00F020B0"/>
    <w:rsid w:val="00F02F41"/>
    <w:rsid w:val="00F0304D"/>
    <w:rsid w:val="00F03088"/>
    <w:rsid w:val="00F0433A"/>
    <w:rsid w:val="00F044BF"/>
    <w:rsid w:val="00F04643"/>
    <w:rsid w:val="00F047EF"/>
    <w:rsid w:val="00F04CE5"/>
    <w:rsid w:val="00F0577A"/>
    <w:rsid w:val="00F0619B"/>
    <w:rsid w:val="00F062E1"/>
    <w:rsid w:val="00F06B73"/>
    <w:rsid w:val="00F06EF8"/>
    <w:rsid w:val="00F07728"/>
    <w:rsid w:val="00F10A73"/>
    <w:rsid w:val="00F11145"/>
    <w:rsid w:val="00F11700"/>
    <w:rsid w:val="00F118CF"/>
    <w:rsid w:val="00F11F45"/>
    <w:rsid w:val="00F120EC"/>
    <w:rsid w:val="00F12445"/>
    <w:rsid w:val="00F12496"/>
    <w:rsid w:val="00F12666"/>
    <w:rsid w:val="00F12DC0"/>
    <w:rsid w:val="00F139BE"/>
    <w:rsid w:val="00F147FA"/>
    <w:rsid w:val="00F1486B"/>
    <w:rsid w:val="00F14D0B"/>
    <w:rsid w:val="00F14FC6"/>
    <w:rsid w:val="00F152C9"/>
    <w:rsid w:val="00F159F8"/>
    <w:rsid w:val="00F15AA8"/>
    <w:rsid w:val="00F15D77"/>
    <w:rsid w:val="00F15F58"/>
    <w:rsid w:val="00F17663"/>
    <w:rsid w:val="00F17D5E"/>
    <w:rsid w:val="00F20369"/>
    <w:rsid w:val="00F20899"/>
    <w:rsid w:val="00F20E57"/>
    <w:rsid w:val="00F21273"/>
    <w:rsid w:val="00F217F9"/>
    <w:rsid w:val="00F21D64"/>
    <w:rsid w:val="00F21EFC"/>
    <w:rsid w:val="00F2262B"/>
    <w:rsid w:val="00F22C4F"/>
    <w:rsid w:val="00F23BFE"/>
    <w:rsid w:val="00F2456C"/>
    <w:rsid w:val="00F24C95"/>
    <w:rsid w:val="00F25138"/>
    <w:rsid w:val="00F2548E"/>
    <w:rsid w:val="00F25965"/>
    <w:rsid w:val="00F2704B"/>
    <w:rsid w:val="00F27659"/>
    <w:rsid w:val="00F302A0"/>
    <w:rsid w:val="00F3080C"/>
    <w:rsid w:val="00F31AD8"/>
    <w:rsid w:val="00F32751"/>
    <w:rsid w:val="00F3365B"/>
    <w:rsid w:val="00F339CE"/>
    <w:rsid w:val="00F33E76"/>
    <w:rsid w:val="00F342F9"/>
    <w:rsid w:val="00F345C3"/>
    <w:rsid w:val="00F3469B"/>
    <w:rsid w:val="00F348B2"/>
    <w:rsid w:val="00F35094"/>
    <w:rsid w:val="00F35125"/>
    <w:rsid w:val="00F3516E"/>
    <w:rsid w:val="00F35FBD"/>
    <w:rsid w:val="00F366A6"/>
    <w:rsid w:val="00F37764"/>
    <w:rsid w:val="00F37F91"/>
    <w:rsid w:val="00F4021E"/>
    <w:rsid w:val="00F40692"/>
    <w:rsid w:val="00F4071F"/>
    <w:rsid w:val="00F40C9F"/>
    <w:rsid w:val="00F4118B"/>
    <w:rsid w:val="00F4192A"/>
    <w:rsid w:val="00F41DFF"/>
    <w:rsid w:val="00F42179"/>
    <w:rsid w:val="00F42995"/>
    <w:rsid w:val="00F42D1A"/>
    <w:rsid w:val="00F42F4E"/>
    <w:rsid w:val="00F44379"/>
    <w:rsid w:val="00F44601"/>
    <w:rsid w:val="00F45348"/>
    <w:rsid w:val="00F45CB7"/>
    <w:rsid w:val="00F46B76"/>
    <w:rsid w:val="00F46CC4"/>
    <w:rsid w:val="00F46EFD"/>
    <w:rsid w:val="00F46F21"/>
    <w:rsid w:val="00F47996"/>
    <w:rsid w:val="00F47E58"/>
    <w:rsid w:val="00F50527"/>
    <w:rsid w:val="00F507BE"/>
    <w:rsid w:val="00F50C82"/>
    <w:rsid w:val="00F50F62"/>
    <w:rsid w:val="00F51011"/>
    <w:rsid w:val="00F5126C"/>
    <w:rsid w:val="00F518E5"/>
    <w:rsid w:val="00F52ED5"/>
    <w:rsid w:val="00F5303D"/>
    <w:rsid w:val="00F5382A"/>
    <w:rsid w:val="00F5391D"/>
    <w:rsid w:val="00F5435D"/>
    <w:rsid w:val="00F54A50"/>
    <w:rsid w:val="00F54A67"/>
    <w:rsid w:val="00F54F47"/>
    <w:rsid w:val="00F54FAA"/>
    <w:rsid w:val="00F55079"/>
    <w:rsid w:val="00F55896"/>
    <w:rsid w:val="00F55CF9"/>
    <w:rsid w:val="00F56834"/>
    <w:rsid w:val="00F56A8F"/>
    <w:rsid w:val="00F56C00"/>
    <w:rsid w:val="00F571EB"/>
    <w:rsid w:val="00F57673"/>
    <w:rsid w:val="00F579EC"/>
    <w:rsid w:val="00F617DC"/>
    <w:rsid w:val="00F61AAD"/>
    <w:rsid w:val="00F61BCF"/>
    <w:rsid w:val="00F621BD"/>
    <w:rsid w:val="00F627C0"/>
    <w:rsid w:val="00F6348D"/>
    <w:rsid w:val="00F638C4"/>
    <w:rsid w:val="00F63955"/>
    <w:rsid w:val="00F63A75"/>
    <w:rsid w:val="00F640BF"/>
    <w:rsid w:val="00F6415A"/>
    <w:rsid w:val="00F64753"/>
    <w:rsid w:val="00F64FB0"/>
    <w:rsid w:val="00F651BC"/>
    <w:rsid w:val="00F6522A"/>
    <w:rsid w:val="00F65586"/>
    <w:rsid w:val="00F67165"/>
    <w:rsid w:val="00F672DF"/>
    <w:rsid w:val="00F67894"/>
    <w:rsid w:val="00F67CCA"/>
    <w:rsid w:val="00F67FA4"/>
    <w:rsid w:val="00F70490"/>
    <w:rsid w:val="00F7071C"/>
    <w:rsid w:val="00F70B2D"/>
    <w:rsid w:val="00F70B9C"/>
    <w:rsid w:val="00F719E6"/>
    <w:rsid w:val="00F71C45"/>
    <w:rsid w:val="00F72908"/>
    <w:rsid w:val="00F72E24"/>
    <w:rsid w:val="00F74CF3"/>
    <w:rsid w:val="00F74E2A"/>
    <w:rsid w:val="00F7539A"/>
    <w:rsid w:val="00F754D5"/>
    <w:rsid w:val="00F75864"/>
    <w:rsid w:val="00F760F3"/>
    <w:rsid w:val="00F76251"/>
    <w:rsid w:val="00F7673F"/>
    <w:rsid w:val="00F76DDA"/>
    <w:rsid w:val="00F76FE8"/>
    <w:rsid w:val="00F8015F"/>
    <w:rsid w:val="00F80505"/>
    <w:rsid w:val="00F807FB"/>
    <w:rsid w:val="00F80C71"/>
    <w:rsid w:val="00F812BA"/>
    <w:rsid w:val="00F82595"/>
    <w:rsid w:val="00F829C9"/>
    <w:rsid w:val="00F8304E"/>
    <w:rsid w:val="00F83228"/>
    <w:rsid w:val="00F833A2"/>
    <w:rsid w:val="00F834C1"/>
    <w:rsid w:val="00F83727"/>
    <w:rsid w:val="00F84A82"/>
    <w:rsid w:val="00F84DDE"/>
    <w:rsid w:val="00F85593"/>
    <w:rsid w:val="00F857BB"/>
    <w:rsid w:val="00F858FA"/>
    <w:rsid w:val="00F85F5C"/>
    <w:rsid w:val="00F8685E"/>
    <w:rsid w:val="00F86861"/>
    <w:rsid w:val="00F869D6"/>
    <w:rsid w:val="00F86C32"/>
    <w:rsid w:val="00F872DC"/>
    <w:rsid w:val="00F8799A"/>
    <w:rsid w:val="00F87EA4"/>
    <w:rsid w:val="00F9062E"/>
    <w:rsid w:val="00F90636"/>
    <w:rsid w:val="00F908BE"/>
    <w:rsid w:val="00F90DEE"/>
    <w:rsid w:val="00F910B8"/>
    <w:rsid w:val="00F914B4"/>
    <w:rsid w:val="00F91D32"/>
    <w:rsid w:val="00F92785"/>
    <w:rsid w:val="00F93985"/>
    <w:rsid w:val="00F94783"/>
    <w:rsid w:val="00F9524E"/>
    <w:rsid w:val="00F95AA3"/>
    <w:rsid w:val="00F95B43"/>
    <w:rsid w:val="00F95BD7"/>
    <w:rsid w:val="00F95FEA"/>
    <w:rsid w:val="00F960AD"/>
    <w:rsid w:val="00F96489"/>
    <w:rsid w:val="00F964E8"/>
    <w:rsid w:val="00F968CB"/>
    <w:rsid w:val="00F970BA"/>
    <w:rsid w:val="00F97124"/>
    <w:rsid w:val="00F9713C"/>
    <w:rsid w:val="00F971CE"/>
    <w:rsid w:val="00F97C17"/>
    <w:rsid w:val="00F97FAF"/>
    <w:rsid w:val="00FA002A"/>
    <w:rsid w:val="00FA1420"/>
    <w:rsid w:val="00FA2553"/>
    <w:rsid w:val="00FA318E"/>
    <w:rsid w:val="00FA3375"/>
    <w:rsid w:val="00FA33C9"/>
    <w:rsid w:val="00FA3AFB"/>
    <w:rsid w:val="00FA45A1"/>
    <w:rsid w:val="00FA4AAF"/>
    <w:rsid w:val="00FA5955"/>
    <w:rsid w:val="00FA5E02"/>
    <w:rsid w:val="00FA5F04"/>
    <w:rsid w:val="00FA62A2"/>
    <w:rsid w:val="00FA69B8"/>
    <w:rsid w:val="00FA6C7B"/>
    <w:rsid w:val="00FA6CA0"/>
    <w:rsid w:val="00FA72A0"/>
    <w:rsid w:val="00FA7580"/>
    <w:rsid w:val="00FB0D0A"/>
    <w:rsid w:val="00FB1048"/>
    <w:rsid w:val="00FB146D"/>
    <w:rsid w:val="00FB1F1C"/>
    <w:rsid w:val="00FB221D"/>
    <w:rsid w:val="00FB2D29"/>
    <w:rsid w:val="00FB30A1"/>
    <w:rsid w:val="00FB31DD"/>
    <w:rsid w:val="00FB32A4"/>
    <w:rsid w:val="00FB3CF2"/>
    <w:rsid w:val="00FB3F34"/>
    <w:rsid w:val="00FB4692"/>
    <w:rsid w:val="00FB47B4"/>
    <w:rsid w:val="00FB4B8E"/>
    <w:rsid w:val="00FB4E79"/>
    <w:rsid w:val="00FB515C"/>
    <w:rsid w:val="00FB51A3"/>
    <w:rsid w:val="00FB520B"/>
    <w:rsid w:val="00FB52E0"/>
    <w:rsid w:val="00FB5342"/>
    <w:rsid w:val="00FB6462"/>
    <w:rsid w:val="00FB6BFE"/>
    <w:rsid w:val="00FB6E80"/>
    <w:rsid w:val="00FB785D"/>
    <w:rsid w:val="00FC001D"/>
    <w:rsid w:val="00FC0108"/>
    <w:rsid w:val="00FC0549"/>
    <w:rsid w:val="00FC083E"/>
    <w:rsid w:val="00FC08A3"/>
    <w:rsid w:val="00FC0AC7"/>
    <w:rsid w:val="00FC11C1"/>
    <w:rsid w:val="00FC1251"/>
    <w:rsid w:val="00FC15D4"/>
    <w:rsid w:val="00FC1AA8"/>
    <w:rsid w:val="00FC1ADC"/>
    <w:rsid w:val="00FC1D83"/>
    <w:rsid w:val="00FC2B12"/>
    <w:rsid w:val="00FC35B5"/>
    <w:rsid w:val="00FC42B7"/>
    <w:rsid w:val="00FC4B93"/>
    <w:rsid w:val="00FC5451"/>
    <w:rsid w:val="00FC5650"/>
    <w:rsid w:val="00FC5979"/>
    <w:rsid w:val="00FC69E3"/>
    <w:rsid w:val="00FC74CA"/>
    <w:rsid w:val="00FC75A5"/>
    <w:rsid w:val="00FC769C"/>
    <w:rsid w:val="00FC7899"/>
    <w:rsid w:val="00FC7D76"/>
    <w:rsid w:val="00FC7E3A"/>
    <w:rsid w:val="00FD03DA"/>
    <w:rsid w:val="00FD059E"/>
    <w:rsid w:val="00FD0CE4"/>
    <w:rsid w:val="00FD17E9"/>
    <w:rsid w:val="00FD2125"/>
    <w:rsid w:val="00FD2AC4"/>
    <w:rsid w:val="00FD46EE"/>
    <w:rsid w:val="00FD4802"/>
    <w:rsid w:val="00FD4A6F"/>
    <w:rsid w:val="00FD4B29"/>
    <w:rsid w:val="00FD4FDD"/>
    <w:rsid w:val="00FD5357"/>
    <w:rsid w:val="00FD5602"/>
    <w:rsid w:val="00FD5C75"/>
    <w:rsid w:val="00FD6C9B"/>
    <w:rsid w:val="00FD7A8D"/>
    <w:rsid w:val="00FD7DD8"/>
    <w:rsid w:val="00FD7F65"/>
    <w:rsid w:val="00FE02B2"/>
    <w:rsid w:val="00FE0565"/>
    <w:rsid w:val="00FE0F05"/>
    <w:rsid w:val="00FE1118"/>
    <w:rsid w:val="00FE122D"/>
    <w:rsid w:val="00FE1B3A"/>
    <w:rsid w:val="00FE2056"/>
    <w:rsid w:val="00FE2066"/>
    <w:rsid w:val="00FE27FA"/>
    <w:rsid w:val="00FE4015"/>
    <w:rsid w:val="00FE4611"/>
    <w:rsid w:val="00FE4661"/>
    <w:rsid w:val="00FE4AEB"/>
    <w:rsid w:val="00FE51E3"/>
    <w:rsid w:val="00FE5C1F"/>
    <w:rsid w:val="00FE6398"/>
    <w:rsid w:val="00FE661F"/>
    <w:rsid w:val="00FE68B6"/>
    <w:rsid w:val="00FE6F1B"/>
    <w:rsid w:val="00FE7611"/>
    <w:rsid w:val="00FE783A"/>
    <w:rsid w:val="00FE7D29"/>
    <w:rsid w:val="00FF026D"/>
    <w:rsid w:val="00FF0DB8"/>
    <w:rsid w:val="00FF10AB"/>
    <w:rsid w:val="00FF1111"/>
    <w:rsid w:val="00FF155B"/>
    <w:rsid w:val="00FF2166"/>
    <w:rsid w:val="00FF244B"/>
    <w:rsid w:val="00FF25CA"/>
    <w:rsid w:val="00FF260A"/>
    <w:rsid w:val="00FF3F3A"/>
    <w:rsid w:val="00FF46E3"/>
    <w:rsid w:val="00FF5474"/>
    <w:rsid w:val="00FF54D0"/>
    <w:rsid w:val="00FF5FFF"/>
    <w:rsid w:val="00FF6FF6"/>
    <w:rsid w:val="00FF7204"/>
    <w:rsid w:val="00FF7959"/>
    <w:rsid w:val="041B1F30"/>
    <w:rsid w:val="0BF92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0278"/>
  <w15:docId w15:val="{0BB978F0-54D2-466E-B8D7-B75717B6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5A"/>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5B40C0"/>
    <w:pPr>
      <w:autoSpaceDE w:val="0"/>
      <w:autoSpaceDN w:val="0"/>
      <w:adjustRightInd w:val="0"/>
      <w:spacing w:before="1800"/>
      <w:jc w:val="center"/>
      <w:outlineLvl w:val="0"/>
    </w:pPr>
    <w:rPr>
      <w:rFonts w:cs="Arial"/>
      <w:b/>
      <w:bCs/>
      <w:smallCaps/>
      <w:color w:val="000000" w:themeColor="text1"/>
      <w:sz w:val="32"/>
      <w:szCs w:val="32"/>
    </w:rPr>
  </w:style>
  <w:style w:type="paragraph" w:styleId="Heading2">
    <w:name w:val="heading 2"/>
    <w:basedOn w:val="Normal"/>
    <w:next w:val="Normal"/>
    <w:link w:val="Heading2Char"/>
    <w:uiPriority w:val="9"/>
    <w:unhideWhenUsed/>
    <w:qFormat/>
    <w:rsid w:val="008645AD"/>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371FAA"/>
    <w:pPr>
      <w:keepNext/>
      <w:keepLines/>
      <w:spacing w:before="240" w:after="0"/>
      <w:outlineLvl w:val="2"/>
    </w:pPr>
    <w:rPr>
      <w:rFonts w:eastAsiaTheme="majorEastAsia" w:cstheme="majorBidi"/>
      <w:b/>
      <w:bCs/>
      <w:sz w:val="20"/>
    </w:rPr>
  </w:style>
  <w:style w:type="paragraph" w:styleId="Heading4">
    <w:name w:val="heading 4"/>
    <w:basedOn w:val="Normal"/>
    <w:next w:val="Normal"/>
    <w:link w:val="Heading4Char"/>
    <w:uiPriority w:val="9"/>
    <w:unhideWhenUsed/>
    <w:qFormat/>
    <w:rsid w:val="00371FAA"/>
    <w:pPr>
      <w:keepNext/>
      <w:keepLines/>
      <w:spacing w:before="40" w:after="0"/>
      <w:outlineLvl w:val="3"/>
    </w:pPr>
    <w:rPr>
      <w:rFonts w:eastAsiaTheme="majorEastAsia" w:cstheme="majorBidi"/>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0C0"/>
    <w:rPr>
      <w:rFonts w:ascii="Arial" w:hAnsi="Arial" w:cs="Arial"/>
      <w:b/>
      <w:bCs/>
      <w:smallCaps/>
      <w:color w:val="000000" w:themeColor="text1"/>
      <w:sz w:val="32"/>
      <w:szCs w:val="32"/>
    </w:rPr>
  </w:style>
  <w:style w:type="character" w:customStyle="1" w:styleId="Heading2Char">
    <w:name w:val="Heading 2 Char"/>
    <w:basedOn w:val="DefaultParagraphFont"/>
    <w:link w:val="Heading2"/>
    <w:uiPriority w:val="9"/>
    <w:rsid w:val="008645AD"/>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371FAA"/>
    <w:rPr>
      <w:rFonts w:ascii="Arial" w:eastAsiaTheme="majorEastAsia" w:hAnsi="Arial" w:cstheme="majorBidi"/>
      <w:b/>
      <w:bCs/>
      <w:sz w:val="20"/>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customStyle="1" w:styleId="Default">
    <w:name w:val="Default"/>
    <w:rsid w:val="00E02FFE"/>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paragraph" w:customStyle="1" w:styleId="BRIRequirement">
    <w:name w:val="BRI Requirement"/>
    <w:basedOn w:val="Normal"/>
    <w:qFormat/>
    <w:rsid w:val="00441FB4"/>
    <w:pPr>
      <w:numPr>
        <w:numId w:val="1"/>
      </w:numPr>
      <w:contextualSpacing/>
    </w:pPr>
  </w:style>
  <w:style w:type="character" w:styleId="PlaceholderText">
    <w:name w:val="Placeholder Text"/>
    <w:basedOn w:val="DefaultParagraphFont"/>
    <w:uiPriority w:val="99"/>
    <w:semiHidden/>
    <w:rsid w:val="00F0619B"/>
    <w:rPr>
      <w:color w:val="808080"/>
    </w:rPr>
  </w:style>
  <w:style w:type="paragraph" w:customStyle="1" w:styleId="CRIRequirement">
    <w:name w:val="CRI Requirement"/>
    <w:basedOn w:val="Normal"/>
    <w:qFormat/>
    <w:rsid w:val="000923A7"/>
    <w:pPr>
      <w:ind w:left="720" w:hanging="720"/>
      <w:contextualSpacing/>
    </w:pPr>
  </w:style>
  <w:style w:type="paragraph" w:customStyle="1" w:styleId="BCIRequirement">
    <w:name w:val="BCI Requirement"/>
    <w:basedOn w:val="Normal"/>
    <w:qFormat/>
    <w:rsid w:val="00D03701"/>
    <w:pPr>
      <w:ind w:left="720" w:hanging="720"/>
      <w:contextualSpacing/>
    </w:pPr>
  </w:style>
  <w:style w:type="paragraph" w:customStyle="1" w:styleId="RadioButtonBullet">
    <w:name w:val="Radio Button Bullet"/>
    <w:basedOn w:val="ListParagraph"/>
    <w:qFormat/>
    <w:rsid w:val="00D03701"/>
    <w:pPr>
      <w:numPr>
        <w:numId w:val="2"/>
      </w:numPr>
    </w:pPr>
  </w:style>
  <w:style w:type="paragraph" w:customStyle="1" w:styleId="Title-notfirst">
    <w:name w:val="Title - not first"/>
    <w:basedOn w:val="Title"/>
    <w:qFormat/>
    <w:rsid w:val="00D03701"/>
    <w:pPr>
      <w:spacing w:before="60"/>
    </w:pPr>
  </w:style>
  <w:style w:type="paragraph" w:customStyle="1" w:styleId="IndNoteBullet">
    <w:name w:val="Ind Note Bullet"/>
    <w:basedOn w:val="Default"/>
    <w:qFormat/>
    <w:rsid w:val="00D03701"/>
    <w:pPr>
      <w:numPr>
        <w:numId w:val="3"/>
      </w:numPr>
      <w:ind w:left="360"/>
    </w:pPr>
    <w:rPr>
      <w:rFonts w:asciiTheme="minorHAnsi" w:hAnsiTheme="minorHAnsi"/>
      <w:color w:val="auto"/>
      <w:sz w:val="20"/>
      <w:szCs w:val="20"/>
    </w:r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4"/>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paragraph" w:customStyle="1" w:styleId="Explanation">
    <w:name w:val="Explanation"/>
    <w:basedOn w:val="Normal"/>
    <w:qFormat/>
    <w:rsid w:val="004502CD"/>
    <w:rPr>
      <w:i/>
      <w:color w:val="5F497A" w:themeColor="accent4" w:themeShade="BF"/>
    </w:rPr>
  </w:style>
  <w:style w:type="paragraph" w:styleId="NormalWeb">
    <w:name w:val="Normal (Web)"/>
    <w:basedOn w:val="Normal"/>
    <w:uiPriority w:val="99"/>
    <w:unhideWhenUsed/>
    <w:rsid w:val="005F551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55354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8751D3"/>
  </w:style>
  <w:style w:type="paragraph" w:customStyle="1" w:styleId="panel-sub1">
    <w:name w:val="panel-sub1"/>
    <w:basedOn w:val="Normal"/>
    <w:rsid w:val="008751D3"/>
    <w:pPr>
      <w:spacing w:before="100" w:beforeAutospacing="1" w:after="100" w:afterAutospacing="1"/>
    </w:pPr>
    <w:rPr>
      <w:rFonts w:ascii="Times New Roman" w:eastAsia="Times New Roman" w:hAnsi="Times New Roman" w:cs="Times New Roman"/>
      <w:sz w:val="24"/>
      <w:szCs w:val="24"/>
    </w:rPr>
  </w:style>
  <w:style w:type="paragraph" w:customStyle="1" w:styleId="panel-paragraph">
    <w:name w:val="panel-paragraph"/>
    <w:basedOn w:val="Normal"/>
    <w:rsid w:val="00B6703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A7519F"/>
    <w:pPr>
      <w:spacing w:before="100" w:beforeAutospacing="1" w:after="100" w:afterAutospacing="1"/>
    </w:pPr>
    <w:rPr>
      <w:rFonts w:ascii="Times New Roman" w:eastAsia="Times New Roman" w:hAnsi="Times New Roman" w:cs="Times New Roman"/>
      <w:sz w:val="24"/>
      <w:szCs w:val="24"/>
    </w:rPr>
  </w:style>
  <w:style w:type="paragraph" w:customStyle="1" w:styleId="Bold">
    <w:name w:val="Bold"/>
    <w:basedOn w:val="Normal"/>
    <w:qFormat/>
    <w:rsid w:val="00A20411"/>
    <w:pPr>
      <w:keepNext/>
      <w:spacing w:after="0"/>
    </w:pPr>
    <w:rPr>
      <w:b/>
    </w:rPr>
  </w:style>
  <w:style w:type="paragraph" w:customStyle="1" w:styleId="Italic">
    <w:name w:val="Italic"/>
    <w:basedOn w:val="Normal"/>
    <w:next w:val="Normal"/>
    <w:qFormat/>
    <w:rsid w:val="007D435F"/>
    <w:pPr>
      <w:keepNext/>
    </w:pPr>
    <w:rPr>
      <w:i/>
    </w:rPr>
  </w:style>
  <w:style w:type="paragraph" w:customStyle="1" w:styleId="indicator-section-title">
    <w:name w:val="indicator-section-title"/>
    <w:basedOn w:val="Normal"/>
    <w:rsid w:val="00C960B4"/>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C24C2"/>
    <w:pPr>
      <w:spacing w:after="0" w:line="240" w:lineRule="auto"/>
    </w:pPr>
  </w:style>
  <w:style w:type="character" w:customStyle="1" w:styleId="Heading4Char">
    <w:name w:val="Heading 4 Char"/>
    <w:basedOn w:val="DefaultParagraphFont"/>
    <w:link w:val="Heading4"/>
    <w:uiPriority w:val="9"/>
    <w:rsid w:val="00371FAA"/>
    <w:rPr>
      <w:rFonts w:ascii="Arial" w:eastAsiaTheme="majorEastAsia" w:hAnsi="Arial" w:cstheme="majorBidi"/>
      <w:b/>
      <w:iCs/>
      <w:sz w:val="20"/>
    </w:rPr>
  </w:style>
  <w:style w:type="paragraph" w:customStyle="1" w:styleId="Subhed">
    <w:name w:val="Subhed"/>
    <w:basedOn w:val="Bold"/>
    <w:qFormat/>
    <w:rsid w:val="00120808"/>
    <w:rPr>
      <w:rFonts w:cs="Arial"/>
      <w:szCs w:val="16"/>
    </w:rPr>
  </w:style>
  <w:style w:type="character" w:styleId="Strong">
    <w:name w:val="Strong"/>
    <w:basedOn w:val="DefaultParagraphFont"/>
    <w:uiPriority w:val="22"/>
    <w:qFormat/>
    <w:rsid w:val="00B8653C"/>
    <w:rPr>
      <w:b/>
      <w:bCs/>
    </w:rPr>
  </w:style>
  <w:style w:type="paragraph" w:styleId="NoSpacing">
    <w:name w:val="No Spacing"/>
    <w:uiPriority w:val="1"/>
    <w:qFormat/>
    <w:rsid w:val="00EE0028"/>
    <w:pPr>
      <w:spacing w:after="0" w:line="240" w:lineRule="auto"/>
    </w:pPr>
  </w:style>
  <w:style w:type="paragraph" w:customStyle="1" w:styleId="TableHead">
    <w:name w:val="Table Head"/>
    <w:basedOn w:val="Normal"/>
    <w:qFormat/>
    <w:rsid w:val="009569B8"/>
    <w:pPr>
      <w:jc w:val="center"/>
    </w:pPr>
    <w:rPr>
      <w:rFonts w:cs="Arial"/>
      <w:b/>
      <w:szCs w:val="16"/>
    </w:rPr>
  </w:style>
  <w:style w:type="paragraph" w:customStyle="1" w:styleId="Numbering">
    <w:name w:val="Numbering"/>
    <w:basedOn w:val="Normal"/>
    <w:qFormat/>
    <w:rsid w:val="0093562B"/>
    <w:pPr>
      <w:spacing w:before="0" w:after="0"/>
    </w:pPr>
    <w:rPr>
      <w:rFonts w:eastAsia="Times New Roman" w:cs="Arial"/>
      <w:color w:val="222222"/>
      <w:szCs w:val="16"/>
    </w:rPr>
  </w:style>
  <w:style w:type="table" w:customStyle="1" w:styleId="TableGrid1">
    <w:name w:val="Table Grid1"/>
    <w:basedOn w:val="TableNormal"/>
    <w:next w:val="TableGrid"/>
    <w:uiPriority w:val="59"/>
    <w:rsid w:val="000B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0EEF"/>
    <w:rPr>
      <w:i/>
      <w:iCs/>
    </w:rPr>
  </w:style>
  <w:style w:type="paragraph" w:customStyle="1" w:styleId="msonormal0">
    <w:name w:val="msonormal"/>
    <w:basedOn w:val="Normal"/>
    <w:rsid w:val="00BE0EEF"/>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BE0EEF"/>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BE0EEF"/>
    <w:rPr>
      <w:rFonts w:ascii="Carlito" w:eastAsia="Carlito" w:hAnsi="Carlito" w:cs="Carlito"/>
    </w:rPr>
  </w:style>
  <w:style w:type="paragraph" w:customStyle="1" w:styleId="TableParagraph">
    <w:name w:val="Table Paragraph"/>
    <w:basedOn w:val="Normal"/>
    <w:uiPriority w:val="1"/>
    <w:qFormat/>
    <w:rsid w:val="00BE0EEF"/>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BE0EEF"/>
    <w:rPr>
      <w:color w:val="800080"/>
      <w:u w:val="single"/>
    </w:rPr>
  </w:style>
  <w:style w:type="table" w:styleId="LightGrid-Accent1">
    <w:name w:val="Light Grid Accent 1"/>
    <w:basedOn w:val="TableNormal"/>
    <w:uiPriority w:val="62"/>
    <w:rsid w:val="00BE0E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BE0E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E0E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480A1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EndnoteText">
    <w:name w:val="endnote text"/>
    <w:basedOn w:val="Normal"/>
    <w:link w:val="EndnoteTextChar"/>
    <w:uiPriority w:val="99"/>
    <w:semiHidden/>
    <w:unhideWhenUsed/>
    <w:rsid w:val="00A47134"/>
    <w:pPr>
      <w:spacing w:before="0" w:after="0"/>
    </w:pPr>
    <w:rPr>
      <w:sz w:val="20"/>
      <w:szCs w:val="20"/>
    </w:rPr>
  </w:style>
  <w:style w:type="character" w:customStyle="1" w:styleId="EndnoteTextChar">
    <w:name w:val="Endnote Text Char"/>
    <w:basedOn w:val="DefaultParagraphFont"/>
    <w:link w:val="EndnoteText"/>
    <w:uiPriority w:val="99"/>
    <w:semiHidden/>
    <w:rsid w:val="00A47134"/>
    <w:rPr>
      <w:rFonts w:ascii="Arial" w:hAnsi="Arial"/>
      <w:sz w:val="20"/>
      <w:szCs w:val="20"/>
    </w:rPr>
  </w:style>
  <w:style w:type="character" w:styleId="EndnoteReference">
    <w:name w:val="endnote reference"/>
    <w:basedOn w:val="DefaultParagraphFont"/>
    <w:uiPriority w:val="99"/>
    <w:semiHidden/>
    <w:unhideWhenUsed/>
    <w:rsid w:val="00A47134"/>
    <w:rPr>
      <w:vertAlign w:val="superscript"/>
    </w:rPr>
  </w:style>
  <w:style w:type="character" w:styleId="UnresolvedMention">
    <w:name w:val="Unresolved Mention"/>
    <w:basedOn w:val="DefaultParagraphFont"/>
    <w:uiPriority w:val="99"/>
    <w:semiHidden/>
    <w:unhideWhenUsed/>
    <w:rsid w:val="00501909"/>
    <w:rPr>
      <w:color w:val="605E5C"/>
      <w:shd w:val="clear" w:color="auto" w:fill="E1DFDD"/>
    </w:rPr>
  </w:style>
  <w:style w:type="character" w:customStyle="1" w:styleId="ui-provider">
    <w:name w:val="ui-provider"/>
    <w:basedOn w:val="DefaultParagraphFont"/>
    <w:rsid w:val="006F0B24"/>
  </w:style>
  <w:style w:type="character" w:customStyle="1" w:styleId="normaltextrun">
    <w:name w:val="normaltextrun"/>
    <w:basedOn w:val="DefaultParagraphFont"/>
    <w:rsid w:val="003749F7"/>
  </w:style>
  <w:style w:type="character" w:styleId="Mention">
    <w:name w:val="Mention"/>
    <w:basedOn w:val="DefaultParagraphFont"/>
    <w:uiPriority w:val="99"/>
    <w:unhideWhenUsed/>
    <w:rsid w:val="007C68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878">
      <w:bodyDiv w:val="1"/>
      <w:marLeft w:val="0"/>
      <w:marRight w:val="0"/>
      <w:marTop w:val="0"/>
      <w:marBottom w:val="0"/>
      <w:divBdr>
        <w:top w:val="none" w:sz="0" w:space="0" w:color="auto"/>
        <w:left w:val="none" w:sz="0" w:space="0" w:color="auto"/>
        <w:bottom w:val="none" w:sz="0" w:space="0" w:color="auto"/>
        <w:right w:val="none" w:sz="0" w:space="0" w:color="auto"/>
      </w:divBdr>
    </w:div>
    <w:div w:id="33582676">
      <w:bodyDiv w:val="1"/>
      <w:marLeft w:val="0"/>
      <w:marRight w:val="0"/>
      <w:marTop w:val="0"/>
      <w:marBottom w:val="0"/>
      <w:divBdr>
        <w:top w:val="none" w:sz="0" w:space="0" w:color="auto"/>
        <w:left w:val="none" w:sz="0" w:space="0" w:color="auto"/>
        <w:bottom w:val="none" w:sz="0" w:space="0" w:color="auto"/>
        <w:right w:val="none" w:sz="0" w:space="0" w:color="auto"/>
      </w:divBdr>
    </w:div>
    <w:div w:id="66614295">
      <w:bodyDiv w:val="1"/>
      <w:marLeft w:val="0"/>
      <w:marRight w:val="0"/>
      <w:marTop w:val="0"/>
      <w:marBottom w:val="0"/>
      <w:divBdr>
        <w:top w:val="none" w:sz="0" w:space="0" w:color="auto"/>
        <w:left w:val="none" w:sz="0" w:space="0" w:color="auto"/>
        <w:bottom w:val="none" w:sz="0" w:space="0" w:color="auto"/>
        <w:right w:val="none" w:sz="0" w:space="0" w:color="auto"/>
      </w:divBdr>
      <w:divsChild>
        <w:div w:id="1664039907">
          <w:marLeft w:val="0"/>
          <w:marRight w:val="0"/>
          <w:marTop w:val="0"/>
          <w:marBottom w:val="0"/>
          <w:divBdr>
            <w:top w:val="none" w:sz="0" w:space="0" w:color="auto"/>
            <w:left w:val="none" w:sz="0" w:space="0" w:color="auto"/>
            <w:bottom w:val="none" w:sz="0" w:space="0" w:color="auto"/>
            <w:right w:val="none" w:sz="0" w:space="0" w:color="auto"/>
          </w:divBdr>
        </w:div>
      </w:divsChild>
    </w:div>
    <w:div w:id="73865556">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7917847">
      <w:bodyDiv w:val="1"/>
      <w:marLeft w:val="0"/>
      <w:marRight w:val="0"/>
      <w:marTop w:val="0"/>
      <w:marBottom w:val="0"/>
      <w:divBdr>
        <w:top w:val="none" w:sz="0" w:space="0" w:color="auto"/>
        <w:left w:val="none" w:sz="0" w:space="0" w:color="auto"/>
        <w:bottom w:val="none" w:sz="0" w:space="0" w:color="auto"/>
        <w:right w:val="none" w:sz="0" w:space="0" w:color="auto"/>
      </w:divBdr>
    </w:div>
    <w:div w:id="220336243">
      <w:bodyDiv w:val="1"/>
      <w:marLeft w:val="0"/>
      <w:marRight w:val="0"/>
      <w:marTop w:val="0"/>
      <w:marBottom w:val="0"/>
      <w:divBdr>
        <w:top w:val="none" w:sz="0" w:space="0" w:color="auto"/>
        <w:left w:val="none" w:sz="0" w:space="0" w:color="auto"/>
        <w:bottom w:val="none" w:sz="0" w:space="0" w:color="auto"/>
        <w:right w:val="none" w:sz="0" w:space="0" w:color="auto"/>
      </w:divBdr>
    </w:div>
    <w:div w:id="227694473">
      <w:bodyDiv w:val="1"/>
      <w:marLeft w:val="0"/>
      <w:marRight w:val="0"/>
      <w:marTop w:val="0"/>
      <w:marBottom w:val="0"/>
      <w:divBdr>
        <w:top w:val="none" w:sz="0" w:space="0" w:color="auto"/>
        <w:left w:val="none" w:sz="0" w:space="0" w:color="auto"/>
        <w:bottom w:val="none" w:sz="0" w:space="0" w:color="auto"/>
        <w:right w:val="none" w:sz="0" w:space="0" w:color="auto"/>
      </w:divBdr>
    </w:div>
    <w:div w:id="246109840">
      <w:bodyDiv w:val="1"/>
      <w:marLeft w:val="0"/>
      <w:marRight w:val="0"/>
      <w:marTop w:val="0"/>
      <w:marBottom w:val="0"/>
      <w:divBdr>
        <w:top w:val="none" w:sz="0" w:space="0" w:color="auto"/>
        <w:left w:val="none" w:sz="0" w:space="0" w:color="auto"/>
        <w:bottom w:val="none" w:sz="0" w:space="0" w:color="auto"/>
        <w:right w:val="none" w:sz="0" w:space="0" w:color="auto"/>
      </w:divBdr>
    </w:div>
    <w:div w:id="257836862">
      <w:bodyDiv w:val="1"/>
      <w:marLeft w:val="0"/>
      <w:marRight w:val="0"/>
      <w:marTop w:val="0"/>
      <w:marBottom w:val="0"/>
      <w:divBdr>
        <w:top w:val="none" w:sz="0" w:space="0" w:color="auto"/>
        <w:left w:val="none" w:sz="0" w:space="0" w:color="auto"/>
        <w:bottom w:val="none" w:sz="0" w:space="0" w:color="auto"/>
        <w:right w:val="none" w:sz="0" w:space="0" w:color="auto"/>
      </w:divBdr>
    </w:div>
    <w:div w:id="264505258">
      <w:bodyDiv w:val="1"/>
      <w:marLeft w:val="0"/>
      <w:marRight w:val="0"/>
      <w:marTop w:val="0"/>
      <w:marBottom w:val="0"/>
      <w:divBdr>
        <w:top w:val="none" w:sz="0" w:space="0" w:color="auto"/>
        <w:left w:val="none" w:sz="0" w:space="0" w:color="auto"/>
        <w:bottom w:val="none" w:sz="0" w:space="0" w:color="auto"/>
        <w:right w:val="none" w:sz="0" w:space="0" w:color="auto"/>
      </w:divBdr>
      <w:divsChild>
        <w:div w:id="1898078886">
          <w:marLeft w:val="0"/>
          <w:marRight w:val="0"/>
          <w:marTop w:val="0"/>
          <w:marBottom w:val="150"/>
          <w:divBdr>
            <w:top w:val="none" w:sz="0" w:space="0" w:color="auto"/>
            <w:left w:val="none" w:sz="0" w:space="0" w:color="auto"/>
            <w:bottom w:val="none" w:sz="0" w:space="0" w:color="auto"/>
            <w:right w:val="none" w:sz="0" w:space="0" w:color="auto"/>
          </w:divBdr>
        </w:div>
        <w:div w:id="2020041191">
          <w:marLeft w:val="0"/>
          <w:marRight w:val="0"/>
          <w:marTop w:val="0"/>
          <w:marBottom w:val="150"/>
          <w:divBdr>
            <w:top w:val="none" w:sz="0" w:space="0" w:color="auto"/>
            <w:left w:val="none" w:sz="0" w:space="0" w:color="auto"/>
            <w:bottom w:val="none" w:sz="0" w:space="0" w:color="auto"/>
            <w:right w:val="none" w:sz="0" w:space="0" w:color="auto"/>
          </w:divBdr>
        </w:div>
      </w:divsChild>
    </w:div>
    <w:div w:id="269122146">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31032465">
      <w:bodyDiv w:val="1"/>
      <w:marLeft w:val="0"/>
      <w:marRight w:val="0"/>
      <w:marTop w:val="0"/>
      <w:marBottom w:val="0"/>
      <w:divBdr>
        <w:top w:val="none" w:sz="0" w:space="0" w:color="auto"/>
        <w:left w:val="none" w:sz="0" w:space="0" w:color="auto"/>
        <w:bottom w:val="none" w:sz="0" w:space="0" w:color="auto"/>
        <w:right w:val="none" w:sz="0" w:space="0" w:color="auto"/>
      </w:divBdr>
    </w:div>
    <w:div w:id="343824430">
      <w:bodyDiv w:val="1"/>
      <w:marLeft w:val="0"/>
      <w:marRight w:val="0"/>
      <w:marTop w:val="0"/>
      <w:marBottom w:val="0"/>
      <w:divBdr>
        <w:top w:val="none" w:sz="0" w:space="0" w:color="auto"/>
        <w:left w:val="none" w:sz="0" w:space="0" w:color="auto"/>
        <w:bottom w:val="none" w:sz="0" w:space="0" w:color="auto"/>
        <w:right w:val="none" w:sz="0" w:space="0" w:color="auto"/>
      </w:divBdr>
      <w:divsChild>
        <w:div w:id="289673781">
          <w:marLeft w:val="0"/>
          <w:marRight w:val="0"/>
          <w:marTop w:val="0"/>
          <w:marBottom w:val="210"/>
          <w:divBdr>
            <w:top w:val="none" w:sz="0" w:space="0" w:color="auto"/>
            <w:left w:val="none" w:sz="0" w:space="0" w:color="auto"/>
            <w:bottom w:val="none" w:sz="0" w:space="0" w:color="auto"/>
            <w:right w:val="none" w:sz="0" w:space="0" w:color="auto"/>
          </w:divBdr>
        </w:div>
        <w:div w:id="296957980">
          <w:marLeft w:val="0"/>
          <w:marRight w:val="0"/>
          <w:marTop w:val="0"/>
          <w:marBottom w:val="210"/>
          <w:divBdr>
            <w:top w:val="none" w:sz="0" w:space="0" w:color="auto"/>
            <w:left w:val="none" w:sz="0" w:space="0" w:color="auto"/>
            <w:bottom w:val="none" w:sz="0" w:space="0" w:color="auto"/>
            <w:right w:val="none" w:sz="0" w:space="0" w:color="auto"/>
          </w:divBdr>
        </w:div>
        <w:div w:id="308442762">
          <w:marLeft w:val="0"/>
          <w:marRight w:val="0"/>
          <w:marTop w:val="0"/>
          <w:marBottom w:val="210"/>
          <w:divBdr>
            <w:top w:val="none" w:sz="0" w:space="0" w:color="auto"/>
            <w:left w:val="none" w:sz="0" w:space="0" w:color="auto"/>
            <w:bottom w:val="none" w:sz="0" w:space="0" w:color="auto"/>
            <w:right w:val="none" w:sz="0" w:space="0" w:color="auto"/>
          </w:divBdr>
        </w:div>
        <w:div w:id="1092167359">
          <w:marLeft w:val="0"/>
          <w:marRight w:val="0"/>
          <w:marTop w:val="0"/>
          <w:marBottom w:val="210"/>
          <w:divBdr>
            <w:top w:val="none" w:sz="0" w:space="0" w:color="auto"/>
            <w:left w:val="none" w:sz="0" w:space="0" w:color="auto"/>
            <w:bottom w:val="none" w:sz="0" w:space="0" w:color="auto"/>
            <w:right w:val="none" w:sz="0" w:space="0" w:color="auto"/>
          </w:divBdr>
        </w:div>
      </w:divsChild>
    </w:div>
    <w:div w:id="353579608">
      <w:bodyDiv w:val="1"/>
      <w:marLeft w:val="0"/>
      <w:marRight w:val="0"/>
      <w:marTop w:val="0"/>
      <w:marBottom w:val="0"/>
      <w:divBdr>
        <w:top w:val="none" w:sz="0" w:space="0" w:color="auto"/>
        <w:left w:val="none" w:sz="0" w:space="0" w:color="auto"/>
        <w:bottom w:val="none" w:sz="0" w:space="0" w:color="auto"/>
        <w:right w:val="none" w:sz="0" w:space="0" w:color="auto"/>
      </w:divBdr>
    </w:div>
    <w:div w:id="380713603">
      <w:bodyDiv w:val="1"/>
      <w:marLeft w:val="0"/>
      <w:marRight w:val="0"/>
      <w:marTop w:val="0"/>
      <w:marBottom w:val="0"/>
      <w:divBdr>
        <w:top w:val="none" w:sz="0" w:space="0" w:color="auto"/>
        <w:left w:val="none" w:sz="0" w:space="0" w:color="auto"/>
        <w:bottom w:val="none" w:sz="0" w:space="0" w:color="auto"/>
        <w:right w:val="none" w:sz="0" w:space="0" w:color="auto"/>
      </w:divBdr>
    </w:div>
    <w:div w:id="393163176">
      <w:bodyDiv w:val="1"/>
      <w:marLeft w:val="0"/>
      <w:marRight w:val="0"/>
      <w:marTop w:val="0"/>
      <w:marBottom w:val="0"/>
      <w:divBdr>
        <w:top w:val="none" w:sz="0" w:space="0" w:color="auto"/>
        <w:left w:val="none" w:sz="0" w:space="0" w:color="auto"/>
        <w:bottom w:val="none" w:sz="0" w:space="0" w:color="auto"/>
        <w:right w:val="none" w:sz="0" w:space="0" w:color="auto"/>
      </w:divBdr>
    </w:div>
    <w:div w:id="407192773">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28965040">
      <w:bodyDiv w:val="1"/>
      <w:marLeft w:val="0"/>
      <w:marRight w:val="0"/>
      <w:marTop w:val="0"/>
      <w:marBottom w:val="0"/>
      <w:divBdr>
        <w:top w:val="none" w:sz="0" w:space="0" w:color="auto"/>
        <w:left w:val="none" w:sz="0" w:space="0" w:color="auto"/>
        <w:bottom w:val="none" w:sz="0" w:space="0" w:color="auto"/>
        <w:right w:val="none" w:sz="0" w:space="0" w:color="auto"/>
      </w:divBdr>
      <w:divsChild>
        <w:div w:id="28116490">
          <w:marLeft w:val="0"/>
          <w:marRight w:val="0"/>
          <w:marTop w:val="0"/>
          <w:marBottom w:val="150"/>
          <w:divBdr>
            <w:top w:val="none" w:sz="0" w:space="0" w:color="auto"/>
            <w:left w:val="none" w:sz="0" w:space="0" w:color="auto"/>
            <w:bottom w:val="none" w:sz="0" w:space="0" w:color="auto"/>
            <w:right w:val="none" w:sz="0" w:space="0" w:color="auto"/>
          </w:divBdr>
        </w:div>
        <w:div w:id="774641537">
          <w:marLeft w:val="0"/>
          <w:marRight w:val="0"/>
          <w:marTop w:val="0"/>
          <w:marBottom w:val="150"/>
          <w:divBdr>
            <w:top w:val="none" w:sz="0" w:space="0" w:color="auto"/>
            <w:left w:val="none" w:sz="0" w:space="0" w:color="auto"/>
            <w:bottom w:val="none" w:sz="0" w:space="0" w:color="auto"/>
            <w:right w:val="none" w:sz="0" w:space="0" w:color="auto"/>
          </w:divBdr>
        </w:div>
        <w:div w:id="817460730">
          <w:marLeft w:val="0"/>
          <w:marRight w:val="0"/>
          <w:marTop w:val="0"/>
          <w:marBottom w:val="600"/>
          <w:divBdr>
            <w:top w:val="none" w:sz="0" w:space="0" w:color="auto"/>
            <w:left w:val="none" w:sz="0" w:space="0" w:color="auto"/>
            <w:bottom w:val="none" w:sz="0" w:space="0" w:color="auto"/>
            <w:right w:val="none" w:sz="0" w:space="0" w:color="auto"/>
          </w:divBdr>
        </w:div>
      </w:divsChild>
    </w:div>
    <w:div w:id="452943263">
      <w:bodyDiv w:val="1"/>
      <w:marLeft w:val="0"/>
      <w:marRight w:val="0"/>
      <w:marTop w:val="0"/>
      <w:marBottom w:val="0"/>
      <w:divBdr>
        <w:top w:val="none" w:sz="0" w:space="0" w:color="auto"/>
        <w:left w:val="none" w:sz="0" w:space="0" w:color="auto"/>
        <w:bottom w:val="none" w:sz="0" w:space="0" w:color="auto"/>
        <w:right w:val="none" w:sz="0" w:space="0" w:color="auto"/>
      </w:divBdr>
    </w:div>
    <w:div w:id="462816014">
      <w:bodyDiv w:val="1"/>
      <w:marLeft w:val="0"/>
      <w:marRight w:val="0"/>
      <w:marTop w:val="0"/>
      <w:marBottom w:val="0"/>
      <w:divBdr>
        <w:top w:val="none" w:sz="0" w:space="0" w:color="auto"/>
        <w:left w:val="none" w:sz="0" w:space="0" w:color="auto"/>
        <w:bottom w:val="none" w:sz="0" w:space="0" w:color="auto"/>
        <w:right w:val="none" w:sz="0" w:space="0" w:color="auto"/>
      </w:divBdr>
    </w:div>
    <w:div w:id="471408565">
      <w:bodyDiv w:val="1"/>
      <w:marLeft w:val="0"/>
      <w:marRight w:val="0"/>
      <w:marTop w:val="0"/>
      <w:marBottom w:val="0"/>
      <w:divBdr>
        <w:top w:val="none" w:sz="0" w:space="0" w:color="auto"/>
        <w:left w:val="none" w:sz="0" w:space="0" w:color="auto"/>
        <w:bottom w:val="none" w:sz="0" w:space="0" w:color="auto"/>
        <w:right w:val="none" w:sz="0" w:space="0" w:color="auto"/>
      </w:divBdr>
    </w:div>
    <w:div w:id="490412300">
      <w:bodyDiv w:val="1"/>
      <w:marLeft w:val="0"/>
      <w:marRight w:val="0"/>
      <w:marTop w:val="0"/>
      <w:marBottom w:val="0"/>
      <w:divBdr>
        <w:top w:val="none" w:sz="0" w:space="0" w:color="auto"/>
        <w:left w:val="none" w:sz="0" w:space="0" w:color="auto"/>
        <w:bottom w:val="none" w:sz="0" w:space="0" w:color="auto"/>
        <w:right w:val="none" w:sz="0" w:space="0" w:color="auto"/>
      </w:divBdr>
    </w:div>
    <w:div w:id="500513603">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44684300">
      <w:bodyDiv w:val="1"/>
      <w:marLeft w:val="0"/>
      <w:marRight w:val="0"/>
      <w:marTop w:val="0"/>
      <w:marBottom w:val="0"/>
      <w:divBdr>
        <w:top w:val="none" w:sz="0" w:space="0" w:color="auto"/>
        <w:left w:val="none" w:sz="0" w:space="0" w:color="auto"/>
        <w:bottom w:val="none" w:sz="0" w:space="0" w:color="auto"/>
        <w:right w:val="none" w:sz="0" w:space="0" w:color="auto"/>
      </w:divBdr>
    </w:div>
    <w:div w:id="546917993">
      <w:bodyDiv w:val="1"/>
      <w:marLeft w:val="0"/>
      <w:marRight w:val="0"/>
      <w:marTop w:val="0"/>
      <w:marBottom w:val="0"/>
      <w:divBdr>
        <w:top w:val="none" w:sz="0" w:space="0" w:color="auto"/>
        <w:left w:val="none" w:sz="0" w:space="0" w:color="auto"/>
        <w:bottom w:val="none" w:sz="0" w:space="0" w:color="auto"/>
        <w:right w:val="none" w:sz="0" w:space="0" w:color="auto"/>
      </w:divBdr>
      <w:divsChild>
        <w:div w:id="138767312">
          <w:marLeft w:val="0"/>
          <w:marRight w:val="0"/>
          <w:marTop w:val="0"/>
          <w:marBottom w:val="150"/>
          <w:divBdr>
            <w:top w:val="none" w:sz="0" w:space="0" w:color="auto"/>
            <w:left w:val="none" w:sz="0" w:space="0" w:color="auto"/>
            <w:bottom w:val="none" w:sz="0" w:space="0" w:color="auto"/>
            <w:right w:val="none" w:sz="0" w:space="0" w:color="auto"/>
          </w:divBdr>
        </w:div>
        <w:div w:id="809245715">
          <w:marLeft w:val="0"/>
          <w:marRight w:val="0"/>
          <w:marTop w:val="0"/>
          <w:marBottom w:val="150"/>
          <w:divBdr>
            <w:top w:val="none" w:sz="0" w:space="0" w:color="auto"/>
            <w:left w:val="none" w:sz="0" w:space="0" w:color="auto"/>
            <w:bottom w:val="none" w:sz="0" w:space="0" w:color="auto"/>
            <w:right w:val="none" w:sz="0" w:space="0" w:color="auto"/>
          </w:divBdr>
        </w:div>
      </w:divsChild>
    </w:div>
    <w:div w:id="585847008">
      <w:bodyDiv w:val="1"/>
      <w:marLeft w:val="0"/>
      <w:marRight w:val="0"/>
      <w:marTop w:val="0"/>
      <w:marBottom w:val="0"/>
      <w:divBdr>
        <w:top w:val="none" w:sz="0" w:space="0" w:color="auto"/>
        <w:left w:val="none" w:sz="0" w:space="0" w:color="auto"/>
        <w:bottom w:val="none" w:sz="0" w:space="0" w:color="auto"/>
        <w:right w:val="none" w:sz="0" w:space="0" w:color="auto"/>
      </w:divBdr>
    </w:div>
    <w:div w:id="589579102">
      <w:bodyDiv w:val="1"/>
      <w:marLeft w:val="0"/>
      <w:marRight w:val="0"/>
      <w:marTop w:val="0"/>
      <w:marBottom w:val="0"/>
      <w:divBdr>
        <w:top w:val="none" w:sz="0" w:space="0" w:color="auto"/>
        <w:left w:val="none" w:sz="0" w:space="0" w:color="auto"/>
        <w:bottom w:val="none" w:sz="0" w:space="0" w:color="auto"/>
        <w:right w:val="none" w:sz="0" w:space="0" w:color="auto"/>
      </w:divBdr>
    </w:div>
    <w:div w:id="599142207">
      <w:bodyDiv w:val="1"/>
      <w:marLeft w:val="0"/>
      <w:marRight w:val="0"/>
      <w:marTop w:val="0"/>
      <w:marBottom w:val="0"/>
      <w:divBdr>
        <w:top w:val="none" w:sz="0" w:space="0" w:color="auto"/>
        <w:left w:val="none" w:sz="0" w:space="0" w:color="auto"/>
        <w:bottom w:val="none" w:sz="0" w:space="0" w:color="auto"/>
        <w:right w:val="none" w:sz="0" w:space="0" w:color="auto"/>
      </w:divBdr>
    </w:div>
    <w:div w:id="601256913">
      <w:bodyDiv w:val="1"/>
      <w:marLeft w:val="0"/>
      <w:marRight w:val="0"/>
      <w:marTop w:val="0"/>
      <w:marBottom w:val="0"/>
      <w:divBdr>
        <w:top w:val="none" w:sz="0" w:space="0" w:color="auto"/>
        <w:left w:val="none" w:sz="0" w:space="0" w:color="auto"/>
        <w:bottom w:val="none" w:sz="0" w:space="0" w:color="auto"/>
        <w:right w:val="none" w:sz="0" w:space="0" w:color="auto"/>
      </w:divBdr>
    </w:div>
    <w:div w:id="625159589">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720909749">
      <w:bodyDiv w:val="1"/>
      <w:marLeft w:val="0"/>
      <w:marRight w:val="0"/>
      <w:marTop w:val="0"/>
      <w:marBottom w:val="0"/>
      <w:divBdr>
        <w:top w:val="none" w:sz="0" w:space="0" w:color="auto"/>
        <w:left w:val="none" w:sz="0" w:space="0" w:color="auto"/>
        <w:bottom w:val="none" w:sz="0" w:space="0" w:color="auto"/>
        <w:right w:val="none" w:sz="0" w:space="0" w:color="auto"/>
      </w:divBdr>
    </w:div>
    <w:div w:id="754941418">
      <w:bodyDiv w:val="1"/>
      <w:marLeft w:val="0"/>
      <w:marRight w:val="0"/>
      <w:marTop w:val="0"/>
      <w:marBottom w:val="0"/>
      <w:divBdr>
        <w:top w:val="none" w:sz="0" w:space="0" w:color="auto"/>
        <w:left w:val="none" w:sz="0" w:space="0" w:color="auto"/>
        <w:bottom w:val="none" w:sz="0" w:space="0" w:color="auto"/>
        <w:right w:val="none" w:sz="0" w:space="0" w:color="auto"/>
      </w:divBdr>
    </w:div>
    <w:div w:id="770859703">
      <w:bodyDiv w:val="1"/>
      <w:marLeft w:val="0"/>
      <w:marRight w:val="0"/>
      <w:marTop w:val="0"/>
      <w:marBottom w:val="0"/>
      <w:divBdr>
        <w:top w:val="none" w:sz="0" w:space="0" w:color="auto"/>
        <w:left w:val="none" w:sz="0" w:space="0" w:color="auto"/>
        <w:bottom w:val="none" w:sz="0" w:space="0" w:color="auto"/>
        <w:right w:val="none" w:sz="0" w:space="0" w:color="auto"/>
      </w:divBdr>
    </w:div>
    <w:div w:id="871263046">
      <w:bodyDiv w:val="1"/>
      <w:marLeft w:val="0"/>
      <w:marRight w:val="0"/>
      <w:marTop w:val="0"/>
      <w:marBottom w:val="0"/>
      <w:divBdr>
        <w:top w:val="none" w:sz="0" w:space="0" w:color="auto"/>
        <w:left w:val="none" w:sz="0" w:space="0" w:color="auto"/>
        <w:bottom w:val="none" w:sz="0" w:space="0" w:color="auto"/>
        <w:right w:val="none" w:sz="0" w:space="0" w:color="auto"/>
      </w:divBdr>
    </w:div>
    <w:div w:id="875460430">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919487728">
      <w:bodyDiv w:val="1"/>
      <w:marLeft w:val="0"/>
      <w:marRight w:val="0"/>
      <w:marTop w:val="0"/>
      <w:marBottom w:val="0"/>
      <w:divBdr>
        <w:top w:val="none" w:sz="0" w:space="0" w:color="auto"/>
        <w:left w:val="none" w:sz="0" w:space="0" w:color="auto"/>
        <w:bottom w:val="none" w:sz="0" w:space="0" w:color="auto"/>
        <w:right w:val="none" w:sz="0" w:space="0" w:color="auto"/>
      </w:divBdr>
    </w:div>
    <w:div w:id="922296269">
      <w:bodyDiv w:val="1"/>
      <w:marLeft w:val="0"/>
      <w:marRight w:val="0"/>
      <w:marTop w:val="0"/>
      <w:marBottom w:val="0"/>
      <w:divBdr>
        <w:top w:val="none" w:sz="0" w:space="0" w:color="auto"/>
        <w:left w:val="none" w:sz="0" w:space="0" w:color="auto"/>
        <w:bottom w:val="none" w:sz="0" w:space="0" w:color="auto"/>
        <w:right w:val="none" w:sz="0" w:space="0" w:color="auto"/>
      </w:divBdr>
    </w:div>
    <w:div w:id="948194938">
      <w:bodyDiv w:val="1"/>
      <w:marLeft w:val="0"/>
      <w:marRight w:val="0"/>
      <w:marTop w:val="0"/>
      <w:marBottom w:val="0"/>
      <w:divBdr>
        <w:top w:val="none" w:sz="0" w:space="0" w:color="auto"/>
        <w:left w:val="none" w:sz="0" w:space="0" w:color="auto"/>
        <w:bottom w:val="none" w:sz="0" w:space="0" w:color="auto"/>
        <w:right w:val="none" w:sz="0" w:space="0" w:color="auto"/>
      </w:divBdr>
    </w:div>
    <w:div w:id="982778362">
      <w:bodyDiv w:val="1"/>
      <w:marLeft w:val="0"/>
      <w:marRight w:val="0"/>
      <w:marTop w:val="0"/>
      <w:marBottom w:val="0"/>
      <w:divBdr>
        <w:top w:val="none" w:sz="0" w:space="0" w:color="auto"/>
        <w:left w:val="none" w:sz="0" w:space="0" w:color="auto"/>
        <w:bottom w:val="none" w:sz="0" w:space="0" w:color="auto"/>
        <w:right w:val="none" w:sz="0" w:space="0" w:color="auto"/>
      </w:divBdr>
      <w:divsChild>
        <w:div w:id="676611782">
          <w:marLeft w:val="0"/>
          <w:marRight w:val="0"/>
          <w:marTop w:val="0"/>
          <w:marBottom w:val="210"/>
          <w:divBdr>
            <w:top w:val="none" w:sz="0" w:space="0" w:color="auto"/>
            <w:left w:val="none" w:sz="0" w:space="0" w:color="auto"/>
            <w:bottom w:val="none" w:sz="0" w:space="0" w:color="auto"/>
            <w:right w:val="none" w:sz="0" w:space="0" w:color="auto"/>
          </w:divBdr>
        </w:div>
        <w:div w:id="805707046">
          <w:marLeft w:val="0"/>
          <w:marRight w:val="0"/>
          <w:marTop w:val="0"/>
          <w:marBottom w:val="210"/>
          <w:divBdr>
            <w:top w:val="none" w:sz="0" w:space="0" w:color="auto"/>
            <w:left w:val="none" w:sz="0" w:space="0" w:color="auto"/>
            <w:bottom w:val="none" w:sz="0" w:space="0" w:color="auto"/>
            <w:right w:val="none" w:sz="0" w:space="0" w:color="auto"/>
          </w:divBdr>
        </w:div>
        <w:div w:id="1207450279">
          <w:marLeft w:val="0"/>
          <w:marRight w:val="0"/>
          <w:marTop w:val="0"/>
          <w:marBottom w:val="210"/>
          <w:divBdr>
            <w:top w:val="none" w:sz="0" w:space="0" w:color="auto"/>
            <w:left w:val="none" w:sz="0" w:space="0" w:color="auto"/>
            <w:bottom w:val="none" w:sz="0" w:space="0" w:color="auto"/>
            <w:right w:val="none" w:sz="0" w:space="0" w:color="auto"/>
          </w:divBdr>
        </w:div>
      </w:divsChild>
    </w:div>
    <w:div w:id="986087305">
      <w:bodyDiv w:val="1"/>
      <w:marLeft w:val="0"/>
      <w:marRight w:val="0"/>
      <w:marTop w:val="0"/>
      <w:marBottom w:val="0"/>
      <w:divBdr>
        <w:top w:val="none" w:sz="0" w:space="0" w:color="auto"/>
        <w:left w:val="none" w:sz="0" w:space="0" w:color="auto"/>
        <w:bottom w:val="none" w:sz="0" w:space="0" w:color="auto"/>
        <w:right w:val="none" w:sz="0" w:space="0" w:color="auto"/>
      </w:divBdr>
      <w:divsChild>
        <w:div w:id="185751529">
          <w:marLeft w:val="0"/>
          <w:marRight w:val="0"/>
          <w:marTop w:val="75"/>
          <w:marBottom w:val="225"/>
          <w:divBdr>
            <w:top w:val="none" w:sz="0" w:space="0" w:color="auto"/>
            <w:left w:val="none" w:sz="0" w:space="0" w:color="auto"/>
            <w:bottom w:val="none" w:sz="0" w:space="0" w:color="auto"/>
            <w:right w:val="none" w:sz="0" w:space="0" w:color="auto"/>
          </w:divBdr>
        </w:div>
        <w:div w:id="751465934">
          <w:marLeft w:val="0"/>
          <w:marRight w:val="0"/>
          <w:marTop w:val="75"/>
          <w:marBottom w:val="75"/>
          <w:divBdr>
            <w:top w:val="none" w:sz="0" w:space="0" w:color="auto"/>
            <w:left w:val="none" w:sz="0" w:space="0" w:color="auto"/>
            <w:bottom w:val="none" w:sz="0" w:space="0" w:color="auto"/>
            <w:right w:val="none" w:sz="0" w:space="0" w:color="auto"/>
          </w:divBdr>
        </w:div>
      </w:divsChild>
    </w:div>
    <w:div w:id="990327768">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12027449">
      <w:bodyDiv w:val="1"/>
      <w:marLeft w:val="0"/>
      <w:marRight w:val="0"/>
      <w:marTop w:val="0"/>
      <w:marBottom w:val="0"/>
      <w:divBdr>
        <w:top w:val="none" w:sz="0" w:space="0" w:color="auto"/>
        <w:left w:val="none" w:sz="0" w:space="0" w:color="auto"/>
        <w:bottom w:val="none" w:sz="0" w:space="0" w:color="auto"/>
        <w:right w:val="none" w:sz="0" w:space="0" w:color="auto"/>
      </w:divBdr>
      <w:divsChild>
        <w:div w:id="94712170">
          <w:marLeft w:val="0"/>
          <w:marRight w:val="0"/>
          <w:marTop w:val="0"/>
          <w:marBottom w:val="150"/>
          <w:divBdr>
            <w:top w:val="none" w:sz="0" w:space="0" w:color="auto"/>
            <w:left w:val="none" w:sz="0" w:space="0" w:color="auto"/>
            <w:bottom w:val="none" w:sz="0" w:space="0" w:color="auto"/>
            <w:right w:val="none" w:sz="0" w:space="0" w:color="auto"/>
          </w:divBdr>
        </w:div>
        <w:div w:id="1955480511">
          <w:marLeft w:val="0"/>
          <w:marRight w:val="0"/>
          <w:marTop w:val="0"/>
          <w:marBottom w:val="150"/>
          <w:divBdr>
            <w:top w:val="none" w:sz="0" w:space="0" w:color="auto"/>
            <w:left w:val="none" w:sz="0" w:space="0" w:color="auto"/>
            <w:bottom w:val="none" w:sz="0" w:space="0" w:color="auto"/>
            <w:right w:val="none" w:sz="0" w:space="0" w:color="auto"/>
          </w:divBdr>
        </w:div>
      </w:divsChild>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089742121">
      <w:bodyDiv w:val="1"/>
      <w:marLeft w:val="0"/>
      <w:marRight w:val="0"/>
      <w:marTop w:val="0"/>
      <w:marBottom w:val="0"/>
      <w:divBdr>
        <w:top w:val="none" w:sz="0" w:space="0" w:color="auto"/>
        <w:left w:val="none" w:sz="0" w:space="0" w:color="auto"/>
        <w:bottom w:val="none" w:sz="0" w:space="0" w:color="auto"/>
        <w:right w:val="none" w:sz="0" w:space="0" w:color="auto"/>
      </w:divBdr>
    </w:div>
    <w:div w:id="1104957471">
      <w:bodyDiv w:val="1"/>
      <w:marLeft w:val="0"/>
      <w:marRight w:val="0"/>
      <w:marTop w:val="0"/>
      <w:marBottom w:val="0"/>
      <w:divBdr>
        <w:top w:val="none" w:sz="0" w:space="0" w:color="auto"/>
        <w:left w:val="none" w:sz="0" w:space="0" w:color="auto"/>
        <w:bottom w:val="none" w:sz="0" w:space="0" w:color="auto"/>
        <w:right w:val="none" w:sz="0" w:space="0" w:color="auto"/>
      </w:divBdr>
      <w:divsChild>
        <w:div w:id="362757015">
          <w:marLeft w:val="0"/>
          <w:marRight w:val="0"/>
          <w:marTop w:val="0"/>
          <w:marBottom w:val="150"/>
          <w:divBdr>
            <w:top w:val="none" w:sz="0" w:space="0" w:color="auto"/>
            <w:left w:val="none" w:sz="0" w:space="0" w:color="auto"/>
            <w:bottom w:val="none" w:sz="0" w:space="0" w:color="auto"/>
            <w:right w:val="none" w:sz="0" w:space="0" w:color="auto"/>
          </w:divBdr>
        </w:div>
        <w:div w:id="843126751">
          <w:marLeft w:val="0"/>
          <w:marRight w:val="0"/>
          <w:marTop w:val="0"/>
          <w:marBottom w:val="150"/>
          <w:divBdr>
            <w:top w:val="none" w:sz="0" w:space="0" w:color="auto"/>
            <w:left w:val="none" w:sz="0" w:space="0" w:color="auto"/>
            <w:bottom w:val="none" w:sz="0" w:space="0" w:color="auto"/>
            <w:right w:val="none" w:sz="0" w:space="0" w:color="auto"/>
          </w:divBdr>
        </w:div>
      </w:divsChild>
    </w:div>
    <w:div w:id="1105730462">
      <w:bodyDiv w:val="1"/>
      <w:marLeft w:val="0"/>
      <w:marRight w:val="0"/>
      <w:marTop w:val="0"/>
      <w:marBottom w:val="0"/>
      <w:divBdr>
        <w:top w:val="none" w:sz="0" w:space="0" w:color="auto"/>
        <w:left w:val="none" w:sz="0" w:space="0" w:color="auto"/>
        <w:bottom w:val="none" w:sz="0" w:space="0" w:color="auto"/>
        <w:right w:val="none" w:sz="0" w:space="0" w:color="auto"/>
      </w:divBdr>
    </w:div>
    <w:div w:id="1111977471">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55343312">
      <w:bodyDiv w:val="1"/>
      <w:marLeft w:val="0"/>
      <w:marRight w:val="0"/>
      <w:marTop w:val="0"/>
      <w:marBottom w:val="0"/>
      <w:divBdr>
        <w:top w:val="none" w:sz="0" w:space="0" w:color="auto"/>
        <w:left w:val="none" w:sz="0" w:space="0" w:color="auto"/>
        <w:bottom w:val="none" w:sz="0" w:space="0" w:color="auto"/>
        <w:right w:val="none" w:sz="0" w:space="0" w:color="auto"/>
      </w:divBdr>
    </w:div>
    <w:div w:id="1169979268">
      <w:bodyDiv w:val="1"/>
      <w:marLeft w:val="0"/>
      <w:marRight w:val="0"/>
      <w:marTop w:val="0"/>
      <w:marBottom w:val="0"/>
      <w:divBdr>
        <w:top w:val="none" w:sz="0" w:space="0" w:color="auto"/>
        <w:left w:val="none" w:sz="0" w:space="0" w:color="auto"/>
        <w:bottom w:val="none" w:sz="0" w:space="0" w:color="auto"/>
        <w:right w:val="none" w:sz="0" w:space="0" w:color="auto"/>
      </w:divBdr>
    </w:div>
    <w:div w:id="1218905054">
      <w:bodyDiv w:val="1"/>
      <w:marLeft w:val="0"/>
      <w:marRight w:val="0"/>
      <w:marTop w:val="0"/>
      <w:marBottom w:val="0"/>
      <w:divBdr>
        <w:top w:val="none" w:sz="0" w:space="0" w:color="auto"/>
        <w:left w:val="none" w:sz="0" w:space="0" w:color="auto"/>
        <w:bottom w:val="none" w:sz="0" w:space="0" w:color="auto"/>
        <w:right w:val="none" w:sz="0" w:space="0" w:color="auto"/>
      </w:divBdr>
    </w:div>
    <w:div w:id="1226722209">
      <w:bodyDiv w:val="1"/>
      <w:marLeft w:val="0"/>
      <w:marRight w:val="0"/>
      <w:marTop w:val="0"/>
      <w:marBottom w:val="0"/>
      <w:divBdr>
        <w:top w:val="none" w:sz="0" w:space="0" w:color="auto"/>
        <w:left w:val="none" w:sz="0" w:space="0" w:color="auto"/>
        <w:bottom w:val="none" w:sz="0" w:space="0" w:color="auto"/>
        <w:right w:val="none" w:sz="0" w:space="0" w:color="auto"/>
      </w:divBdr>
    </w:div>
    <w:div w:id="1233541336">
      <w:bodyDiv w:val="1"/>
      <w:marLeft w:val="0"/>
      <w:marRight w:val="0"/>
      <w:marTop w:val="0"/>
      <w:marBottom w:val="0"/>
      <w:divBdr>
        <w:top w:val="none" w:sz="0" w:space="0" w:color="auto"/>
        <w:left w:val="none" w:sz="0" w:space="0" w:color="auto"/>
        <w:bottom w:val="none" w:sz="0" w:space="0" w:color="auto"/>
        <w:right w:val="none" w:sz="0" w:space="0" w:color="auto"/>
      </w:divBdr>
      <w:divsChild>
        <w:div w:id="42338744">
          <w:marLeft w:val="0"/>
          <w:marRight w:val="0"/>
          <w:marTop w:val="0"/>
          <w:marBottom w:val="150"/>
          <w:divBdr>
            <w:top w:val="none" w:sz="0" w:space="0" w:color="auto"/>
            <w:left w:val="none" w:sz="0" w:space="0" w:color="auto"/>
            <w:bottom w:val="none" w:sz="0" w:space="0" w:color="auto"/>
            <w:right w:val="none" w:sz="0" w:space="0" w:color="auto"/>
          </w:divBdr>
        </w:div>
        <w:div w:id="1351757042">
          <w:marLeft w:val="0"/>
          <w:marRight w:val="0"/>
          <w:marTop w:val="0"/>
          <w:marBottom w:val="150"/>
          <w:divBdr>
            <w:top w:val="none" w:sz="0" w:space="0" w:color="auto"/>
            <w:left w:val="none" w:sz="0" w:space="0" w:color="auto"/>
            <w:bottom w:val="none" w:sz="0" w:space="0" w:color="auto"/>
            <w:right w:val="none" w:sz="0" w:space="0" w:color="auto"/>
          </w:divBdr>
        </w:div>
      </w:divsChild>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59414140">
      <w:bodyDiv w:val="1"/>
      <w:marLeft w:val="0"/>
      <w:marRight w:val="0"/>
      <w:marTop w:val="0"/>
      <w:marBottom w:val="0"/>
      <w:divBdr>
        <w:top w:val="none" w:sz="0" w:space="0" w:color="auto"/>
        <w:left w:val="none" w:sz="0" w:space="0" w:color="auto"/>
        <w:bottom w:val="none" w:sz="0" w:space="0" w:color="auto"/>
        <w:right w:val="none" w:sz="0" w:space="0" w:color="auto"/>
      </w:divBdr>
    </w:div>
    <w:div w:id="1281301325">
      <w:bodyDiv w:val="1"/>
      <w:marLeft w:val="0"/>
      <w:marRight w:val="0"/>
      <w:marTop w:val="0"/>
      <w:marBottom w:val="0"/>
      <w:divBdr>
        <w:top w:val="none" w:sz="0" w:space="0" w:color="auto"/>
        <w:left w:val="none" w:sz="0" w:space="0" w:color="auto"/>
        <w:bottom w:val="none" w:sz="0" w:space="0" w:color="auto"/>
        <w:right w:val="none" w:sz="0" w:space="0" w:color="auto"/>
      </w:divBdr>
      <w:divsChild>
        <w:div w:id="1879319867">
          <w:marLeft w:val="0"/>
          <w:marRight w:val="0"/>
          <w:marTop w:val="0"/>
          <w:marBottom w:val="0"/>
          <w:divBdr>
            <w:top w:val="none" w:sz="0" w:space="0" w:color="auto"/>
            <w:left w:val="none" w:sz="0" w:space="0" w:color="auto"/>
            <w:bottom w:val="none" w:sz="0" w:space="0" w:color="auto"/>
            <w:right w:val="none" w:sz="0" w:space="0" w:color="auto"/>
          </w:divBdr>
        </w:div>
      </w:divsChild>
    </w:div>
    <w:div w:id="1281302524">
      <w:bodyDiv w:val="1"/>
      <w:marLeft w:val="0"/>
      <w:marRight w:val="0"/>
      <w:marTop w:val="0"/>
      <w:marBottom w:val="0"/>
      <w:divBdr>
        <w:top w:val="none" w:sz="0" w:space="0" w:color="auto"/>
        <w:left w:val="none" w:sz="0" w:space="0" w:color="auto"/>
        <w:bottom w:val="none" w:sz="0" w:space="0" w:color="auto"/>
        <w:right w:val="none" w:sz="0" w:space="0" w:color="auto"/>
      </w:divBdr>
    </w:div>
    <w:div w:id="1309869885">
      <w:bodyDiv w:val="1"/>
      <w:marLeft w:val="0"/>
      <w:marRight w:val="0"/>
      <w:marTop w:val="0"/>
      <w:marBottom w:val="0"/>
      <w:divBdr>
        <w:top w:val="none" w:sz="0" w:space="0" w:color="auto"/>
        <w:left w:val="none" w:sz="0" w:space="0" w:color="auto"/>
        <w:bottom w:val="none" w:sz="0" w:space="0" w:color="auto"/>
        <w:right w:val="none" w:sz="0" w:space="0" w:color="auto"/>
      </w:divBdr>
    </w:div>
    <w:div w:id="1321539046">
      <w:bodyDiv w:val="1"/>
      <w:marLeft w:val="0"/>
      <w:marRight w:val="0"/>
      <w:marTop w:val="0"/>
      <w:marBottom w:val="0"/>
      <w:divBdr>
        <w:top w:val="none" w:sz="0" w:space="0" w:color="auto"/>
        <w:left w:val="none" w:sz="0" w:space="0" w:color="auto"/>
        <w:bottom w:val="none" w:sz="0" w:space="0" w:color="auto"/>
        <w:right w:val="none" w:sz="0" w:space="0" w:color="auto"/>
      </w:divBdr>
      <w:divsChild>
        <w:div w:id="969017410">
          <w:marLeft w:val="0"/>
          <w:marRight w:val="0"/>
          <w:marTop w:val="0"/>
          <w:marBottom w:val="150"/>
          <w:divBdr>
            <w:top w:val="none" w:sz="0" w:space="0" w:color="auto"/>
            <w:left w:val="none" w:sz="0" w:space="0" w:color="auto"/>
            <w:bottom w:val="none" w:sz="0" w:space="0" w:color="auto"/>
            <w:right w:val="none" w:sz="0" w:space="0" w:color="auto"/>
          </w:divBdr>
        </w:div>
        <w:div w:id="2121759734">
          <w:marLeft w:val="0"/>
          <w:marRight w:val="0"/>
          <w:marTop w:val="0"/>
          <w:marBottom w:val="150"/>
          <w:divBdr>
            <w:top w:val="none" w:sz="0" w:space="0" w:color="auto"/>
            <w:left w:val="none" w:sz="0" w:space="0" w:color="auto"/>
            <w:bottom w:val="none" w:sz="0" w:space="0" w:color="auto"/>
            <w:right w:val="none" w:sz="0" w:space="0" w:color="auto"/>
          </w:divBdr>
        </w:div>
      </w:divsChild>
    </w:div>
    <w:div w:id="1406562115">
      <w:bodyDiv w:val="1"/>
      <w:marLeft w:val="0"/>
      <w:marRight w:val="0"/>
      <w:marTop w:val="0"/>
      <w:marBottom w:val="0"/>
      <w:divBdr>
        <w:top w:val="none" w:sz="0" w:space="0" w:color="auto"/>
        <w:left w:val="none" w:sz="0" w:space="0" w:color="auto"/>
        <w:bottom w:val="none" w:sz="0" w:space="0" w:color="auto"/>
        <w:right w:val="none" w:sz="0" w:space="0" w:color="auto"/>
      </w:divBdr>
    </w:div>
    <w:div w:id="1408459067">
      <w:bodyDiv w:val="1"/>
      <w:marLeft w:val="0"/>
      <w:marRight w:val="0"/>
      <w:marTop w:val="0"/>
      <w:marBottom w:val="0"/>
      <w:divBdr>
        <w:top w:val="none" w:sz="0" w:space="0" w:color="auto"/>
        <w:left w:val="none" w:sz="0" w:space="0" w:color="auto"/>
        <w:bottom w:val="none" w:sz="0" w:space="0" w:color="auto"/>
        <w:right w:val="none" w:sz="0" w:space="0" w:color="auto"/>
      </w:divBdr>
    </w:div>
    <w:div w:id="1415055054">
      <w:bodyDiv w:val="1"/>
      <w:marLeft w:val="0"/>
      <w:marRight w:val="0"/>
      <w:marTop w:val="0"/>
      <w:marBottom w:val="0"/>
      <w:divBdr>
        <w:top w:val="none" w:sz="0" w:space="0" w:color="auto"/>
        <w:left w:val="none" w:sz="0" w:space="0" w:color="auto"/>
        <w:bottom w:val="none" w:sz="0" w:space="0" w:color="auto"/>
        <w:right w:val="none" w:sz="0" w:space="0" w:color="auto"/>
      </w:divBdr>
    </w:div>
    <w:div w:id="1428115145">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35783463">
      <w:bodyDiv w:val="1"/>
      <w:marLeft w:val="0"/>
      <w:marRight w:val="0"/>
      <w:marTop w:val="0"/>
      <w:marBottom w:val="0"/>
      <w:divBdr>
        <w:top w:val="none" w:sz="0" w:space="0" w:color="auto"/>
        <w:left w:val="none" w:sz="0" w:space="0" w:color="auto"/>
        <w:bottom w:val="none" w:sz="0" w:space="0" w:color="auto"/>
        <w:right w:val="none" w:sz="0" w:space="0" w:color="auto"/>
      </w:divBdr>
    </w:div>
    <w:div w:id="1462117970">
      <w:bodyDiv w:val="1"/>
      <w:marLeft w:val="0"/>
      <w:marRight w:val="0"/>
      <w:marTop w:val="0"/>
      <w:marBottom w:val="0"/>
      <w:divBdr>
        <w:top w:val="none" w:sz="0" w:space="0" w:color="auto"/>
        <w:left w:val="none" w:sz="0" w:space="0" w:color="auto"/>
        <w:bottom w:val="none" w:sz="0" w:space="0" w:color="auto"/>
        <w:right w:val="none" w:sz="0" w:space="0" w:color="auto"/>
      </w:divBdr>
    </w:div>
    <w:div w:id="1532642496">
      <w:bodyDiv w:val="1"/>
      <w:marLeft w:val="0"/>
      <w:marRight w:val="0"/>
      <w:marTop w:val="0"/>
      <w:marBottom w:val="0"/>
      <w:divBdr>
        <w:top w:val="none" w:sz="0" w:space="0" w:color="auto"/>
        <w:left w:val="none" w:sz="0" w:space="0" w:color="auto"/>
        <w:bottom w:val="none" w:sz="0" w:space="0" w:color="auto"/>
        <w:right w:val="none" w:sz="0" w:space="0" w:color="auto"/>
      </w:divBdr>
    </w:div>
    <w:div w:id="1558131726">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78662953">
      <w:bodyDiv w:val="1"/>
      <w:marLeft w:val="0"/>
      <w:marRight w:val="0"/>
      <w:marTop w:val="0"/>
      <w:marBottom w:val="0"/>
      <w:divBdr>
        <w:top w:val="none" w:sz="0" w:space="0" w:color="auto"/>
        <w:left w:val="none" w:sz="0" w:space="0" w:color="auto"/>
        <w:bottom w:val="none" w:sz="0" w:space="0" w:color="auto"/>
        <w:right w:val="none" w:sz="0" w:space="0" w:color="auto"/>
      </w:divBdr>
    </w:div>
    <w:div w:id="1593704839">
      <w:bodyDiv w:val="1"/>
      <w:marLeft w:val="0"/>
      <w:marRight w:val="0"/>
      <w:marTop w:val="0"/>
      <w:marBottom w:val="0"/>
      <w:divBdr>
        <w:top w:val="none" w:sz="0" w:space="0" w:color="auto"/>
        <w:left w:val="none" w:sz="0" w:space="0" w:color="auto"/>
        <w:bottom w:val="none" w:sz="0" w:space="0" w:color="auto"/>
        <w:right w:val="none" w:sz="0" w:space="0" w:color="auto"/>
      </w:divBdr>
    </w:div>
    <w:div w:id="1676111689">
      <w:bodyDiv w:val="1"/>
      <w:marLeft w:val="0"/>
      <w:marRight w:val="0"/>
      <w:marTop w:val="0"/>
      <w:marBottom w:val="0"/>
      <w:divBdr>
        <w:top w:val="none" w:sz="0" w:space="0" w:color="auto"/>
        <w:left w:val="none" w:sz="0" w:space="0" w:color="auto"/>
        <w:bottom w:val="none" w:sz="0" w:space="0" w:color="auto"/>
        <w:right w:val="none" w:sz="0" w:space="0" w:color="auto"/>
      </w:divBdr>
    </w:div>
    <w:div w:id="1686595240">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957171809">
      <w:bodyDiv w:val="1"/>
      <w:marLeft w:val="0"/>
      <w:marRight w:val="0"/>
      <w:marTop w:val="0"/>
      <w:marBottom w:val="0"/>
      <w:divBdr>
        <w:top w:val="none" w:sz="0" w:space="0" w:color="auto"/>
        <w:left w:val="none" w:sz="0" w:space="0" w:color="auto"/>
        <w:bottom w:val="none" w:sz="0" w:space="0" w:color="auto"/>
        <w:right w:val="none" w:sz="0" w:space="0" w:color="auto"/>
      </w:divBdr>
    </w:div>
    <w:div w:id="1966697167">
      <w:bodyDiv w:val="1"/>
      <w:marLeft w:val="0"/>
      <w:marRight w:val="0"/>
      <w:marTop w:val="0"/>
      <w:marBottom w:val="0"/>
      <w:divBdr>
        <w:top w:val="none" w:sz="0" w:space="0" w:color="auto"/>
        <w:left w:val="none" w:sz="0" w:space="0" w:color="auto"/>
        <w:bottom w:val="none" w:sz="0" w:space="0" w:color="auto"/>
        <w:right w:val="none" w:sz="0" w:space="0" w:color="auto"/>
      </w:divBdr>
    </w:div>
    <w:div w:id="1995135284">
      <w:bodyDiv w:val="1"/>
      <w:marLeft w:val="0"/>
      <w:marRight w:val="0"/>
      <w:marTop w:val="0"/>
      <w:marBottom w:val="0"/>
      <w:divBdr>
        <w:top w:val="none" w:sz="0" w:space="0" w:color="auto"/>
        <w:left w:val="none" w:sz="0" w:space="0" w:color="auto"/>
        <w:bottom w:val="none" w:sz="0" w:space="0" w:color="auto"/>
        <w:right w:val="none" w:sz="0" w:space="0" w:color="auto"/>
      </w:divBdr>
    </w:div>
    <w:div w:id="2004157455">
      <w:bodyDiv w:val="1"/>
      <w:marLeft w:val="0"/>
      <w:marRight w:val="0"/>
      <w:marTop w:val="0"/>
      <w:marBottom w:val="0"/>
      <w:divBdr>
        <w:top w:val="none" w:sz="0" w:space="0" w:color="auto"/>
        <w:left w:val="none" w:sz="0" w:space="0" w:color="auto"/>
        <w:bottom w:val="none" w:sz="0" w:space="0" w:color="auto"/>
        <w:right w:val="none" w:sz="0" w:space="0" w:color="auto"/>
      </w:divBdr>
    </w:div>
    <w:div w:id="2016878801">
      <w:bodyDiv w:val="1"/>
      <w:marLeft w:val="0"/>
      <w:marRight w:val="0"/>
      <w:marTop w:val="0"/>
      <w:marBottom w:val="0"/>
      <w:divBdr>
        <w:top w:val="none" w:sz="0" w:space="0" w:color="auto"/>
        <w:left w:val="none" w:sz="0" w:space="0" w:color="auto"/>
        <w:bottom w:val="none" w:sz="0" w:space="0" w:color="auto"/>
        <w:right w:val="none" w:sz="0" w:space="0" w:color="auto"/>
      </w:divBdr>
    </w:div>
    <w:div w:id="2038578029">
      <w:bodyDiv w:val="1"/>
      <w:marLeft w:val="0"/>
      <w:marRight w:val="0"/>
      <w:marTop w:val="0"/>
      <w:marBottom w:val="0"/>
      <w:divBdr>
        <w:top w:val="none" w:sz="0" w:space="0" w:color="auto"/>
        <w:left w:val="none" w:sz="0" w:space="0" w:color="auto"/>
        <w:bottom w:val="none" w:sz="0" w:space="0" w:color="auto"/>
        <w:right w:val="none" w:sz="0" w:space="0" w:color="auto"/>
      </w:divBdr>
    </w:div>
    <w:div w:id="2058122113">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81563270">
      <w:bodyDiv w:val="1"/>
      <w:marLeft w:val="0"/>
      <w:marRight w:val="0"/>
      <w:marTop w:val="0"/>
      <w:marBottom w:val="0"/>
      <w:divBdr>
        <w:top w:val="none" w:sz="0" w:space="0" w:color="auto"/>
        <w:left w:val="none" w:sz="0" w:space="0" w:color="auto"/>
        <w:bottom w:val="none" w:sz="0" w:space="0" w:color="auto"/>
        <w:right w:val="none" w:sz="0" w:space="0" w:color="auto"/>
      </w:divBdr>
    </w:div>
    <w:div w:id="2087679097">
      <w:bodyDiv w:val="1"/>
      <w:marLeft w:val="0"/>
      <w:marRight w:val="0"/>
      <w:marTop w:val="0"/>
      <w:marBottom w:val="0"/>
      <w:divBdr>
        <w:top w:val="none" w:sz="0" w:space="0" w:color="auto"/>
        <w:left w:val="none" w:sz="0" w:space="0" w:color="auto"/>
        <w:bottom w:val="none" w:sz="0" w:space="0" w:color="auto"/>
        <w:right w:val="none" w:sz="0" w:space="0" w:color="auto"/>
      </w:divBdr>
      <w:divsChild>
        <w:div w:id="1618758744">
          <w:marLeft w:val="0"/>
          <w:marRight w:val="0"/>
          <w:marTop w:val="0"/>
          <w:marBottom w:val="150"/>
          <w:divBdr>
            <w:top w:val="none" w:sz="0" w:space="0" w:color="auto"/>
            <w:left w:val="none" w:sz="0" w:space="0" w:color="auto"/>
            <w:bottom w:val="none" w:sz="0" w:space="0" w:color="auto"/>
            <w:right w:val="none" w:sz="0" w:space="0" w:color="auto"/>
          </w:divBdr>
        </w:div>
        <w:div w:id="1634751897">
          <w:marLeft w:val="0"/>
          <w:marRight w:val="0"/>
          <w:marTop w:val="0"/>
          <w:marBottom w:val="150"/>
          <w:divBdr>
            <w:top w:val="none" w:sz="0" w:space="0" w:color="auto"/>
            <w:left w:val="none" w:sz="0" w:space="0" w:color="auto"/>
            <w:bottom w:val="none" w:sz="0" w:space="0" w:color="auto"/>
            <w:right w:val="none" w:sz="0" w:space="0" w:color="auto"/>
          </w:divBdr>
        </w:div>
      </w:divsChild>
    </w:div>
    <w:div w:id="2115979369">
      <w:bodyDiv w:val="1"/>
      <w:marLeft w:val="0"/>
      <w:marRight w:val="0"/>
      <w:marTop w:val="0"/>
      <w:marBottom w:val="0"/>
      <w:divBdr>
        <w:top w:val="none" w:sz="0" w:space="0" w:color="auto"/>
        <w:left w:val="none" w:sz="0" w:space="0" w:color="auto"/>
        <w:bottom w:val="none" w:sz="0" w:space="0" w:color="auto"/>
        <w:right w:val="none" w:sz="0" w:space="0" w:color="auto"/>
      </w:divBdr>
    </w:div>
    <w:div w:id="2130708161">
      <w:bodyDiv w:val="1"/>
      <w:marLeft w:val="0"/>
      <w:marRight w:val="0"/>
      <w:marTop w:val="0"/>
      <w:marBottom w:val="0"/>
      <w:divBdr>
        <w:top w:val="none" w:sz="0" w:space="0" w:color="auto"/>
        <w:left w:val="none" w:sz="0" w:space="0" w:color="auto"/>
        <w:bottom w:val="none" w:sz="0" w:space="0" w:color="auto"/>
        <w:right w:val="none" w:sz="0" w:space="0" w:color="auto"/>
      </w:divBdr>
      <w:divsChild>
        <w:div w:id="1966891675">
          <w:marLeft w:val="0"/>
          <w:marRight w:val="0"/>
          <w:marTop w:val="0"/>
          <w:marBottom w:val="150"/>
          <w:divBdr>
            <w:top w:val="none" w:sz="0" w:space="0" w:color="auto"/>
            <w:left w:val="none" w:sz="0" w:space="0" w:color="auto"/>
            <w:bottom w:val="none" w:sz="0" w:space="0" w:color="auto"/>
            <w:right w:val="none" w:sz="0" w:space="0" w:color="auto"/>
          </w:divBdr>
        </w:div>
        <w:div w:id="2013677850">
          <w:marLeft w:val="0"/>
          <w:marRight w:val="0"/>
          <w:marTop w:val="0"/>
          <w:marBottom w:val="150"/>
          <w:divBdr>
            <w:top w:val="none" w:sz="0" w:space="0" w:color="auto"/>
            <w:left w:val="none" w:sz="0" w:space="0" w:color="auto"/>
            <w:bottom w:val="none" w:sz="0" w:space="0" w:color="auto"/>
            <w:right w:val="none" w:sz="0" w:space="0" w:color="auto"/>
          </w:divBdr>
        </w:div>
      </w:divsChild>
    </w:div>
    <w:div w:id="2131050161">
      <w:bodyDiv w:val="1"/>
      <w:marLeft w:val="0"/>
      <w:marRight w:val="0"/>
      <w:marTop w:val="0"/>
      <w:marBottom w:val="0"/>
      <w:divBdr>
        <w:top w:val="none" w:sz="0" w:space="0" w:color="auto"/>
        <w:left w:val="none" w:sz="0" w:space="0" w:color="auto"/>
        <w:bottom w:val="none" w:sz="0" w:space="0" w:color="auto"/>
        <w:right w:val="none" w:sz="0" w:space="0" w:color="auto"/>
      </w:divBdr>
    </w:div>
    <w:div w:id="21444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maps.ed.gov/suit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sites.ed.gov/idea/how-the-department-made-determin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yperlink"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Relationship Id="rId23" Type="http://schemas.openxmlformats.org/officeDocument/2006/relationships/hyperlink" Target="https://sites.ed.gov/idea/topic-area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files/FFY2023-Part-B-SPP-APR-Reformatted-Measurement-Table.pdf" TargetMode="External"/><Relationship Id="rId22" Type="http://schemas.openxmlformats.org/officeDocument/2006/relationships/hyperlink" Target="https://sites.ed.gov/idea/how-the-department-made-determination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3A0F89BB9954C8B253FD585569827" ma:contentTypeVersion="7" ma:contentTypeDescription="Create a new document." ma:contentTypeScope="" ma:versionID="a81cf9d4b13597e61b9efcf1db968191">
  <xsd:schema xmlns:xsd="http://www.w3.org/2001/XMLSchema" xmlns:xs="http://www.w3.org/2001/XMLSchema" xmlns:p="http://schemas.microsoft.com/office/2006/metadata/properties" xmlns:ns1="http://schemas.microsoft.com/sharepoint/v3" xmlns:ns2="b4311169-ef95-4eb4-ad55-0b8e815ccd7b" xmlns:ns3="626a857a-181d-4963-b522-a6055312c9f6" targetNamespace="http://schemas.microsoft.com/office/2006/metadata/properties" ma:root="true" ma:fieldsID="502f16f298c31747db7e96094745dff6" ns1:_="" ns2:_="" ns3:_="">
    <xsd:import namespace="http://schemas.microsoft.com/sharepoint/v3"/>
    <xsd:import namespace="b4311169-ef95-4eb4-ad55-0b8e815ccd7b"/>
    <xsd:import namespace="626a857a-181d-4963-b522-a6055312c9f6"/>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11169-ef95-4eb4-ad55-0b8e815ccd7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626a857a-181d-4963-b522-a6055312c9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b4311169-ef95-4eb4-ad55-0b8e815ccd7b" xsi:nil="true"/>
    <PublishingExpirationDate xmlns="http://schemas.microsoft.com/sharepoint/v3" xsi:nil="true"/>
    <PublishingStartDate xmlns="http://schemas.microsoft.com/sharepoint/v3" xsi:nil="true"/>
    <Priority xmlns="b4311169-ef95-4eb4-ad55-0b8e815ccd7b" xsi:nil="true"/>
    <Remediation_x0020_Date xmlns="b4311169-ef95-4eb4-ad55-0b8e815ccd7b">2025-09-04T15:48:05+00:00</Remediation_x0020_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37ADA-9910-491F-BF61-CAC921EDA0A4}"/>
</file>

<file path=customXml/itemProps2.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3.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2a2db8c4-56ab-4882-a5d0-0fe8165c6658"/>
    <ds:schemaRef ds:uri="fb719a72-a91c-437e-ad17-9a63c6279d1b"/>
    <ds:schemaRef ds:uri="http://schemas.microsoft.com/sharepoint/v3"/>
    <ds:schemaRef ds:uri="3f455286-6ee5-4bed-910d-8bb2068730de"/>
  </ds:schemaRefs>
</ds:datastoreItem>
</file>

<file path=customXml/itemProps4.xml><?xml version="1.0" encoding="utf-8"?>
<ds:datastoreItem xmlns:ds="http://schemas.openxmlformats.org/officeDocument/2006/customXml" ds:itemID="{3DB16239-2E83-4543-A07E-6AFF5384A3D6}">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2</TotalTime>
  <Pages>110</Pages>
  <Words>62441</Words>
  <Characters>370902</Characters>
  <Application>Microsoft Office Word</Application>
  <DocSecurity>0</DocSecurity>
  <Lines>10908</Lines>
  <Paragraphs>5038</Paragraphs>
  <ScaleCrop>false</ScaleCrop>
  <HeadingPairs>
    <vt:vector size="2" baseType="variant">
      <vt:variant>
        <vt:lpstr>Title</vt:lpstr>
      </vt:variant>
      <vt:variant>
        <vt:i4>1</vt:i4>
      </vt:variant>
    </vt:vector>
  </HeadingPairs>
  <TitlesOfParts>
    <vt:vector size="1" baseType="lpstr">
      <vt:lpstr>2025 SPP/APR and State Determination Letters, Part B</vt:lpstr>
    </vt:vector>
  </TitlesOfParts>
  <Manager/>
  <Company>Microsoft</Company>
  <LinksUpToDate>false</LinksUpToDate>
  <CharactersWithSpaces>428305</CharactersWithSpaces>
  <SharedDoc>false</SharedDoc>
  <HyperlinkBase/>
  <HLinks>
    <vt:vector size="54" baseType="variant">
      <vt:variant>
        <vt:i4>852039</vt:i4>
      </vt:variant>
      <vt:variant>
        <vt:i4>24</vt:i4>
      </vt:variant>
      <vt:variant>
        <vt:i4>0</vt:i4>
      </vt:variant>
      <vt:variant>
        <vt:i4>5</vt:i4>
      </vt:variant>
      <vt:variant>
        <vt:lpwstr>https://compcenternetwork.org/states</vt:lpwstr>
      </vt:variant>
      <vt:variant>
        <vt:lpwstr/>
      </vt:variant>
      <vt:variant>
        <vt:i4>7471146</vt:i4>
      </vt:variant>
      <vt:variant>
        <vt:i4>21</vt:i4>
      </vt:variant>
      <vt:variant>
        <vt:i4>0</vt:i4>
      </vt:variant>
      <vt:variant>
        <vt:i4>5</vt:i4>
      </vt:variant>
      <vt:variant>
        <vt:lpwstr>https://sites.ed.gov/idea/topic-areas/</vt:lpwstr>
      </vt:variant>
      <vt:variant>
        <vt:lpwstr/>
      </vt:variant>
      <vt:variant>
        <vt:i4>3670114</vt:i4>
      </vt:variant>
      <vt:variant>
        <vt:i4>18</vt:i4>
      </vt:variant>
      <vt:variant>
        <vt:i4>0</vt:i4>
      </vt:variant>
      <vt:variant>
        <vt:i4>5</vt:i4>
      </vt:variant>
      <vt:variant>
        <vt:lpwstr>https://osepideasthatwork.org/resources-grantees/program-areas/monitoring-and-state-improvement-planning-msip?tab=pa-resources</vt:lpwstr>
      </vt:variant>
      <vt:variant>
        <vt:lpwstr/>
      </vt:variant>
      <vt:variant>
        <vt:i4>4980757</vt:i4>
      </vt:variant>
      <vt:variant>
        <vt:i4>15</vt:i4>
      </vt:variant>
      <vt:variant>
        <vt:i4>0</vt:i4>
      </vt:variant>
      <vt:variant>
        <vt:i4>5</vt:i4>
      </vt:variant>
      <vt:variant>
        <vt:lpwstr>https://sites.ed.gov/idea/how-the-department-made-determinations/</vt:lpwstr>
      </vt:variant>
      <vt:variant>
        <vt:lpwstr/>
      </vt:variant>
      <vt:variant>
        <vt:i4>2621501</vt:i4>
      </vt:variant>
      <vt:variant>
        <vt:i4>12</vt:i4>
      </vt:variant>
      <vt:variant>
        <vt:i4>0</vt:i4>
      </vt:variant>
      <vt:variant>
        <vt:i4>5</vt:i4>
      </vt:variant>
      <vt:variant>
        <vt:lpwstr>https://emaps.ed.gov/suite/</vt:lpwstr>
      </vt:variant>
      <vt:variant>
        <vt:lpwstr/>
      </vt:variant>
      <vt:variant>
        <vt:i4>4980757</vt:i4>
      </vt:variant>
      <vt:variant>
        <vt:i4>9</vt:i4>
      </vt:variant>
      <vt:variant>
        <vt:i4>0</vt:i4>
      </vt:variant>
      <vt:variant>
        <vt:i4>5</vt:i4>
      </vt:variant>
      <vt:variant>
        <vt:lpwstr>https://sites.ed.gov/idea/how-the-department-made-determinations/</vt:lpwstr>
      </vt:variant>
      <vt:variant>
        <vt:lpwstr/>
      </vt:variant>
      <vt:variant>
        <vt:i4>2687072</vt:i4>
      </vt:variant>
      <vt:variant>
        <vt:i4>6</vt:i4>
      </vt:variant>
      <vt:variant>
        <vt:i4>0</vt:i4>
      </vt:variant>
      <vt:variant>
        <vt:i4>5</vt:i4>
      </vt:variant>
      <vt:variant>
        <vt:lpwstr>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vt:lpwstr>
      </vt:variant>
      <vt:variant>
        <vt:lpwstr/>
      </vt:variant>
      <vt:variant>
        <vt:i4>4128885</vt:i4>
      </vt:variant>
      <vt:variant>
        <vt:i4>3</vt:i4>
      </vt:variant>
      <vt:variant>
        <vt:i4>0</vt:i4>
      </vt:variant>
      <vt:variant>
        <vt:i4>5</vt:i4>
      </vt:variant>
      <vt:variant>
        <vt:lpwstr>https://sites.ed.gov/idea/files/2024_Part-B_SPP-APR_Measurement_Table.pdf</vt:lpwstr>
      </vt:variant>
      <vt:variant>
        <vt:lpwstr/>
      </vt: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SPP/APR and State Determination Letters, Part B - Oregon</dc:title>
  <dc:subject>IDEA State Performance Plan/Annual Performance Report (SPP/APR)</dc:subject>
  <dc:creator>U.S. Department of Education, OSERS, OSEP</dc:creator>
  <cp:keywords>Oregon, Part B, 2025, IDEA, State Performance Plan, Annual Performance Report, SPP, APR, Determination Letter, Results Driven Accountability, RDA</cp:keywords>
  <dc:description/>
  <cp:lastModifiedBy>"turnbulm"</cp:lastModifiedBy>
  <cp:revision>2</cp:revision>
  <cp:lastPrinted>2014-08-19T22:56:00Z</cp:lastPrinted>
  <dcterms:created xsi:type="dcterms:W3CDTF">2025-09-04T15:36:00Z</dcterms:created>
  <dcterms:modified xsi:type="dcterms:W3CDTF">2025-09-04T15:36:00Z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0x01010054E3A0F89BB9954C8B253FD585569827</vt:lpwstr>
  </property>
  <property fmtid="{D5CDD505-2E9C-101B-9397-08002B2CF9AE}" pid="3" name="_dlc_DocIdItemGuid">
    <vt:lpwstr>d1961a7b-789a-475e-aff2-ded90ef3b8b9</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i4>41383400</vt:i4>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B/Part B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y fmtid="{D5CDD505-2E9C-101B-9397-08002B2CF9AE}" pid="18" name="MSIP_Label_4ad35bab-6e18-4b1b-82b4-d81f4f36a979_Enabled">
    <vt:lpwstr>true</vt:lpwstr>
  </property>
  <property fmtid="{D5CDD505-2E9C-101B-9397-08002B2CF9AE}" pid="19" name="MSIP_Label_4ad35bab-6e18-4b1b-82b4-d81f4f36a979_SetDate">
    <vt:lpwstr>2023-03-14T00:12:18Z</vt:lpwstr>
  </property>
  <property fmtid="{D5CDD505-2E9C-101B-9397-08002B2CF9AE}" pid="20" name="MSIP_Label_4ad35bab-6e18-4b1b-82b4-d81f4f36a979_Method">
    <vt:lpwstr>Standard</vt:lpwstr>
  </property>
  <property fmtid="{D5CDD505-2E9C-101B-9397-08002B2CF9AE}" pid="21" name="MSIP_Label_4ad35bab-6e18-4b1b-82b4-d81f4f36a979_Name">
    <vt:lpwstr>Public</vt:lpwstr>
  </property>
  <property fmtid="{D5CDD505-2E9C-101B-9397-08002B2CF9AE}" pid="22" name="MSIP_Label_4ad35bab-6e18-4b1b-82b4-d81f4f36a979_SiteId">
    <vt:lpwstr>7a41925e-f697-4f7c-bec3-0470887ac752</vt:lpwstr>
  </property>
  <property fmtid="{D5CDD505-2E9C-101B-9397-08002B2CF9AE}" pid="23" name="MSIP_Label_4ad35bab-6e18-4b1b-82b4-d81f4f36a979_ActionId">
    <vt:lpwstr>212e3d3a-8d9d-47e5-ba89-5887e937e98c</vt:lpwstr>
  </property>
  <property fmtid="{D5CDD505-2E9C-101B-9397-08002B2CF9AE}" pid="24" name="MSIP_Label_4ad35bab-6e18-4b1b-82b4-d81f4f36a979_ContentBits">
    <vt:lpwstr>0</vt:lpwstr>
  </property>
</Properties>
</file>