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35D2" w14:textId="77777777"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r w:rsidRPr="001071FD">
        <w:rPr>
          <w:rFonts w:cs="Arial"/>
          <w:b/>
          <w:bCs/>
          <w:smallCaps/>
          <w:color w:val="000000" w:themeColor="text1"/>
          <w:sz w:val="32"/>
          <w:szCs w:val="32"/>
        </w:rPr>
        <w:t>State Performance Plan / Annual Performance Report: Part C</w:t>
      </w:r>
    </w:p>
    <w:p w14:paraId="0ADB93CE" w14:textId="77777777"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 xml:space="preserve">for STATE FORMULA GRANT PROGRAMS under the </w:t>
      </w:r>
      <w:r w:rsidR="009E3DEA">
        <w:rPr>
          <w:rFonts w:cs="Arial"/>
          <w:b/>
          <w:bCs/>
          <w:color w:val="000000" w:themeColor="text1"/>
          <w:sz w:val="24"/>
          <w:szCs w:val="24"/>
        </w:rPr>
        <w:br/>
      </w:r>
      <w:r w:rsidRPr="001071FD">
        <w:rPr>
          <w:rFonts w:cs="Arial"/>
          <w:b/>
          <w:bCs/>
          <w:color w:val="000000" w:themeColor="text1"/>
          <w:sz w:val="24"/>
          <w:szCs w:val="24"/>
        </w:rPr>
        <w:t>Individuals with Disabilities Education Act</w:t>
      </w:r>
    </w:p>
    <w:p w14:paraId="24C20980" w14:textId="77777777"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 xml:space="preserve">FFY </w:t>
      </w:r>
      <w:r w:rsidR="00A54A87">
        <w:rPr>
          <w:rFonts w:cs="Arial"/>
          <w:b/>
          <w:bCs/>
          <w:color w:val="000000" w:themeColor="text1"/>
          <w:sz w:val="28"/>
          <w:szCs w:val="28"/>
        </w:rPr>
        <w:t>2024</w:t>
      </w:r>
    </w:p>
    <w:p w14:paraId="42F327CD"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Oregon</w:t>
      </w:r>
    </w:p>
    <w:p w14:paraId="054AB513"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1E1145F6"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 xml:space="preserve">February </w:t>
      </w:r>
      <w:r w:rsidR="00A54A87">
        <w:rPr>
          <w:rFonts w:cs="Arial"/>
          <w:b/>
          <w:bCs/>
          <w:color w:val="000000" w:themeColor="text1"/>
          <w:sz w:val="24"/>
          <w:szCs w:val="24"/>
        </w:rPr>
        <w:t>2</w:t>
      </w:r>
      <w:r w:rsidR="00B43A02">
        <w:rPr>
          <w:rFonts w:cs="Arial"/>
          <w:b/>
          <w:bCs/>
          <w:color w:val="000000" w:themeColor="text1"/>
          <w:sz w:val="24"/>
          <w:szCs w:val="24"/>
        </w:rPr>
        <w:t xml:space="preserve">, </w:t>
      </w:r>
      <w:r w:rsidR="000F0136">
        <w:rPr>
          <w:rFonts w:cs="Arial"/>
          <w:b/>
          <w:bCs/>
          <w:color w:val="000000" w:themeColor="text1"/>
          <w:sz w:val="24"/>
          <w:szCs w:val="24"/>
        </w:rPr>
        <w:t>2026</w:t>
      </w:r>
    </w:p>
    <w:p w14:paraId="17B5C0B7"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32AEF7DC" w14:textId="77777777"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7D67826B" w14:textId="77777777" w:rsidR="00181DEB" w:rsidRPr="00ED172B" w:rsidRDefault="00F563DA" w:rsidP="00CD6E4E">
      <w:pPr>
        <w:pStyle w:val="Heading1"/>
        <w:tabs>
          <w:tab w:val="left" w:pos="8415"/>
        </w:tabs>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r w:rsidR="0073775B">
        <w:rPr>
          <w:color w:val="000000" w:themeColor="text1"/>
        </w:rPr>
        <w:tab/>
      </w:r>
    </w:p>
    <w:p w14:paraId="0703385D"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2195F412" w14:textId="77777777"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 xml:space="preserve">Provide sufficient detail to ensure that the Secretary and the public are informed of and understand the State’s systems designed to drive improved results for infants and toddlers with disabilities and their families and to ensure that the Lead Agency (LA) </w:t>
      </w:r>
      <w:r w:rsidR="000F5FCD">
        <w:rPr>
          <w:szCs w:val="16"/>
          <w:shd w:val="clear" w:color="auto" w:fill="FFFFFF"/>
        </w:rPr>
        <w:t xml:space="preserve">and early intervention service (EIS) providers and EIS programs </w:t>
      </w:r>
      <w:r w:rsidRPr="00ED172B">
        <w:rPr>
          <w:color w:val="000000" w:themeColor="text1"/>
          <w:szCs w:val="16"/>
          <w:shd w:val="clear" w:color="auto" w:fill="FFFFFF"/>
        </w:rPr>
        <w:t>meets the requirements of Part C of the IDEA. This introduction must include descriptions of the State’s General Supervision System, Technical Assistance System, Professional Development System, Stakeholder Involvement, and Reporting to the Public.</w:t>
      </w:r>
    </w:p>
    <w:p w14:paraId="10C1176E" w14:textId="77777777" w:rsidR="00042EBF" w:rsidRPr="00A40EE1" w:rsidRDefault="00571E72" w:rsidP="00C15786">
      <w:pPr>
        <w:pStyle w:val="Heading2"/>
      </w:pPr>
      <w:r w:rsidRPr="00A40EE1">
        <w:t xml:space="preserve">Intro - </w:t>
      </w:r>
      <w:r w:rsidR="00042EBF" w:rsidRPr="00A40EE1">
        <w:t>Indicator Data</w:t>
      </w:r>
    </w:p>
    <w:p w14:paraId="5AAC95F9" w14:textId="77777777" w:rsidR="00181DEB" w:rsidRPr="00ED172B" w:rsidRDefault="00181DEB">
      <w:pPr>
        <w:rPr>
          <w:b/>
          <w:color w:val="000000" w:themeColor="text1"/>
        </w:rPr>
      </w:pPr>
      <w:r w:rsidRPr="00ED172B">
        <w:rPr>
          <w:b/>
          <w:color w:val="000000" w:themeColor="text1"/>
        </w:rPr>
        <w:t>Executive Summary</w:t>
      </w:r>
    </w:p>
    <w:p w14:paraId="2A026872" w14:textId="77777777" w:rsidR="003A4D77" w:rsidRPr="00ED172B" w:rsidRDefault="00860830" w:rsidP="003A4D77">
      <w:pPr>
        <w:rPr>
          <w:color w:val="000000" w:themeColor="text1"/>
        </w:rPr>
      </w:pPr>
      <w:r w:rsidRPr="00ED172B">
        <w:rPr>
          <w:color w:val="000000" w:themeColor="text1"/>
        </w:rPr>
        <w:t>The Oregon Department of Education (ODE), Office of Enhancing Student Opportunities, is the Lead Agency for IDEA Part C and oversees 35 Early Intervention/Early Childhood Special Education (EI/ECSE) programs serving eligible infants and toddlers across the state. ODE administers a comprehensive system of general supervision, technical assistance, professional development, stakeholder engagement, and public reporting to ensure that IDEA Part C requirements are met and that programs are supported in delivering timely, effective services to children and families.</w:t>
      </w:r>
    </w:p>
    <w:p w14:paraId="396DA1F9" w14:textId="77777777" w:rsidR="000575B2" w:rsidRDefault="000575B2"/>
    <w:p w14:paraId="3DEBAF04" w14:textId="77777777" w:rsidR="000575B2" w:rsidRDefault="00D6492D">
      <w:r>
        <w:rPr>
          <w:color w:val="000000"/>
        </w:rPr>
        <w:t>The State works collaboratively with EI/ECSE programs to support improved functional outcomes for children and to ensure consistent implementation of federal and state requirements. These efforts are implemented through an integrated system that includes data-based monitoring, fiscal oversight, dispute resolution, and continuous improvement planning.</w:t>
      </w:r>
    </w:p>
    <w:p w14:paraId="15A5F2F7" w14:textId="77777777" w:rsidR="000575B2" w:rsidRDefault="000575B2"/>
    <w:p w14:paraId="1A669E49" w14:textId="77777777" w:rsidR="000575B2" w:rsidRDefault="00D6492D">
      <w:r>
        <w:rPr>
          <w:color w:val="000000"/>
        </w:rPr>
        <w:t>ODE maintains a Technical Assistance System that uses both technology and staff expertise to provide timely access to data, guidance, and support. Education specialists serve as primary points of contact for programs, and a web-based system provides access to data tools, monitoring resources, and on-demand guidance.</w:t>
      </w:r>
    </w:p>
    <w:p w14:paraId="6DD324F8" w14:textId="77777777" w:rsidR="000575B2" w:rsidRDefault="000575B2"/>
    <w:p w14:paraId="583E1EC0" w14:textId="77777777" w:rsidR="000575B2" w:rsidRDefault="00D6492D">
      <w:r>
        <w:rPr>
          <w:color w:val="000000"/>
        </w:rPr>
        <w:t xml:space="preserve">The State’s Professional Development System ensures that personnel have access to coordinated training and support focused on effective practices, compliance requirements, and service delivery quality. Activities include statewide training on data collections and compliance requirements, family-focused </w:t>
      </w:r>
      <w:proofErr w:type="gramStart"/>
      <w:r>
        <w:rPr>
          <w:color w:val="000000"/>
        </w:rPr>
        <w:t>trainings</w:t>
      </w:r>
      <w:proofErr w:type="gramEnd"/>
      <w:r>
        <w:rPr>
          <w:color w:val="000000"/>
        </w:rPr>
        <w:t xml:space="preserve"> on procedural safeguards and IFSP processes, and targeted technical assistance to programs upon request.</w:t>
      </w:r>
    </w:p>
    <w:p w14:paraId="622E91E0" w14:textId="77777777" w:rsidR="000575B2" w:rsidRDefault="000575B2"/>
    <w:p w14:paraId="2F9F2E52" w14:textId="77777777" w:rsidR="000575B2" w:rsidRDefault="00D6492D">
      <w:r>
        <w:rPr>
          <w:color w:val="000000"/>
        </w:rPr>
        <w:t>Stakeholder input is incorporated into APR development, target setting, and improvement planning through engagement with the State Interagency Coordinating Council (SICC), the Parent Training and Information Center, and other advisory groups. The State publishes program performance information through publicly available Special Education Profiles and posts the SPP/APR on its website.</w:t>
      </w:r>
    </w:p>
    <w:p w14:paraId="08C0C181" w14:textId="77777777" w:rsidR="000575B2" w:rsidRDefault="000575B2"/>
    <w:p w14:paraId="65CC30CD" w14:textId="77777777" w:rsidR="000575B2" w:rsidRDefault="00D6492D">
      <w:r>
        <w:rPr>
          <w:color w:val="000000"/>
        </w:rPr>
        <w:t>Together, these systems are designed to promote consistent expectations, timely services, and effective implementation of IDEA Part C across Oregon. Public reporting site: https://www.oregon.gov/ode/reports-and-data/spedreports/pages/default.aspx</w:t>
      </w:r>
    </w:p>
    <w:p w14:paraId="6579187D" w14:textId="77777777" w:rsidR="004C7EE6" w:rsidRDefault="004C7EE6" w:rsidP="004C7EE6">
      <w:pPr>
        <w:pStyle w:val="Subhed"/>
      </w:pPr>
      <w:r>
        <w:t>A</w:t>
      </w:r>
      <w:r w:rsidRPr="001B6EB0">
        <w:t>dditional information related to data collection and reporting</w:t>
      </w:r>
    </w:p>
    <w:p w14:paraId="71AD6274" w14:textId="77777777" w:rsidR="008C6D27" w:rsidRPr="00ED172B" w:rsidRDefault="008C6D27" w:rsidP="008C6D27">
      <w:pPr>
        <w:rPr>
          <w:color w:val="000000" w:themeColor="text1"/>
        </w:rPr>
      </w:pPr>
      <w:r w:rsidRPr="00ED172B">
        <w:rPr>
          <w:color w:val="000000" w:themeColor="text1"/>
        </w:rPr>
        <w:t>N/A</w:t>
      </w:r>
    </w:p>
    <w:p w14:paraId="23A6DD53" w14:textId="77777777" w:rsidR="00181DEB" w:rsidRPr="00ED172B" w:rsidRDefault="00181DEB">
      <w:pPr>
        <w:rPr>
          <w:b/>
          <w:color w:val="000000" w:themeColor="text1"/>
        </w:rPr>
      </w:pPr>
      <w:r w:rsidRPr="00ED172B">
        <w:rPr>
          <w:b/>
          <w:color w:val="000000" w:themeColor="text1"/>
        </w:rPr>
        <w:t>General Supervision System</w:t>
      </w:r>
    </w:p>
    <w:p w14:paraId="53858341" w14:textId="77777777" w:rsidR="00B717AA" w:rsidRPr="00ED172B" w:rsidRDefault="00492B6F" w:rsidP="00042EBF">
      <w:pPr>
        <w:rPr>
          <w:b/>
          <w:color w:val="000000" w:themeColor="text1"/>
          <w:szCs w:val="16"/>
        </w:rPr>
      </w:pPr>
      <w:r>
        <w:rPr>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 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4409471B" w14:textId="77777777" w:rsidR="00A775F4" w:rsidRPr="00A32E08" w:rsidRDefault="00A775F4" w:rsidP="00A32E08">
      <w:pPr>
        <w:rPr>
          <w:b/>
          <w:bCs/>
        </w:rPr>
      </w:pPr>
      <w:r w:rsidRPr="00A32E08">
        <w:rPr>
          <w:b/>
          <w:bCs/>
        </w:rPr>
        <w:t>Describe the process the State uses to select EIS providers and/or EIS programs for monitoring, the schedule, and number of EIS providers/programs monitored per year.</w:t>
      </w:r>
    </w:p>
    <w:p w14:paraId="32F99F44" w14:textId="77777777" w:rsidR="00A775F4" w:rsidRPr="00E74450" w:rsidRDefault="00A775F4" w:rsidP="005E1362">
      <w:pPr>
        <w:rPr>
          <w:bCs/>
        </w:rPr>
      </w:pPr>
      <w:r w:rsidRPr="00E74450">
        <w:rPr>
          <w:bCs/>
        </w:rPr>
        <w:t>Oregon’s general supervision system is a coordinated, data-based framework designed to ensure compliance with IDEA Part C and to support continuous improvement in program performance. The system integrates monitoring, fiscal oversight, dispute resolution, data management, and enforcement to identify noncompliance, verify correction, and strengthen program implementation. The system is administered by the Office of Enhancing Student Opportunities and includes the following components:</w:t>
      </w:r>
    </w:p>
    <w:p w14:paraId="2D5FBFFB" w14:textId="77777777" w:rsidR="000575B2" w:rsidRDefault="00D6492D">
      <w:r>
        <w:t>--Fiscal management and grant oversight</w:t>
      </w:r>
    </w:p>
    <w:p w14:paraId="4D54D693" w14:textId="77777777" w:rsidR="000575B2" w:rsidRDefault="00D6492D">
      <w:r>
        <w:t>--System Performance Review &amp; Improvement (SPR&amp;I)</w:t>
      </w:r>
    </w:p>
    <w:p w14:paraId="4AB8AFCD" w14:textId="77777777" w:rsidR="000575B2" w:rsidRDefault="00D6492D">
      <w:r>
        <w:t>--Statewide data systems (</w:t>
      </w:r>
      <w:proofErr w:type="spellStart"/>
      <w:r>
        <w:t>ecWeb</w:t>
      </w:r>
      <w:proofErr w:type="spellEnd"/>
      <w:r>
        <w:t>)</w:t>
      </w:r>
    </w:p>
    <w:p w14:paraId="2A3D229E" w14:textId="77777777" w:rsidR="000575B2" w:rsidRDefault="00D6492D">
      <w:r>
        <w:t>--Dispute resolution and complaint management</w:t>
      </w:r>
    </w:p>
    <w:p w14:paraId="0665C465" w14:textId="77777777" w:rsidR="000575B2" w:rsidRDefault="00D6492D">
      <w:r>
        <w:t>--Policy and procedure guidance</w:t>
      </w:r>
    </w:p>
    <w:p w14:paraId="092C04A0" w14:textId="77777777" w:rsidR="000575B2" w:rsidRDefault="00D6492D">
      <w:r>
        <w:t>--Graduated enforcement and corrective action</w:t>
      </w:r>
    </w:p>
    <w:p w14:paraId="78BA2EDC" w14:textId="77777777" w:rsidR="000575B2" w:rsidRDefault="000575B2"/>
    <w:p w14:paraId="19A4ABBB" w14:textId="77777777" w:rsidR="000575B2" w:rsidRDefault="00D6492D">
      <w:r>
        <w:t>All 35 EI/ECSE programs are monitored annually through the System Performance Review and Improvement (SPR&amp;I) process. This is a universal monitoring system rather than a cyclical or risk-based sample. Each year, every program conducts required file reviews, submits procedural compliance data, and receives program-specific SPP/APR indicator data for review and improvement planning. In addition to annual SPR&amp;I monitoring, ODE conducts focused reviews and audits of a subset of programs each year using the same tools and procedures, based on risk, performance trends, data quality concerns, or other identified issues.</w:t>
      </w:r>
    </w:p>
    <w:p w14:paraId="5D5CD782" w14:textId="77777777" w:rsidR="00A775F4" w:rsidRPr="00A32E08" w:rsidRDefault="00A775F4" w:rsidP="00A32E08">
      <w:pPr>
        <w:rPr>
          <w:b/>
          <w:bCs/>
        </w:rPr>
      </w:pPr>
      <w:r w:rsidRPr="00A32E08">
        <w:rPr>
          <w:b/>
          <w:bCs/>
        </w:rPr>
        <w:t>Describe how child records are chosen, including the number of child records that are selected, as part of the State’s process for determining an EIS provider’s and EIS program’s compliance with IDEA requirements and verifying the EIS provider/program’s correction of any identified noncompliance.</w:t>
      </w:r>
    </w:p>
    <w:p w14:paraId="4DC4875E" w14:textId="77777777" w:rsidR="00A775F4" w:rsidRPr="00E74450" w:rsidRDefault="00A775F4" w:rsidP="005E1362">
      <w:pPr>
        <w:rPr>
          <w:bCs/>
        </w:rPr>
      </w:pPr>
      <w:r w:rsidRPr="00E74450">
        <w:rPr>
          <w:bCs/>
        </w:rPr>
        <w:t xml:space="preserve">Programs use Oregon’s statewide data system, </w:t>
      </w:r>
      <w:proofErr w:type="spellStart"/>
      <w:r w:rsidRPr="00E74450">
        <w:rPr>
          <w:bCs/>
        </w:rPr>
        <w:t>ecWeb</w:t>
      </w:r>
      <w:proofErr w:type="spellEnd"/>
      <w:r w:rsidRPr="00E74450">
        <w:rPr>
          <w:bCs/>
        </w:rPr>
        <w:t xml:space="preserve">, to select records for review. </w:t>
      </w:r>
      <w:proofErr w:type="spellStart"/>
      <w:r w:rsidRPr="00E74450">
        <w:rPr>
          <w:bCs/>
        </w:rPr>
        <w:t>ecWeb</w:t>
      </w:r>
      <w:proofErr w:type="spellEnd"/>
      <w:r w:rsidRPr="00E74450">
        <w:rPr>
          <w:bCs/>
        </w:rPr>
        <w:t xml:space="preserve"> generates a pool of eligible records based on the required monitoring periods and file types, including Early Intervention, Early Childhood Special Education, and transition records. The system selects records using demographic and program-level criteria, including age, disability category, race and ethnicity, gender, and service area, to ensure the sample </w:t>
      </w:r>
      <w:r w:rsidRPr="00E74450">
        <w:rPr>
          <w:bCs/>
        </w:rPr>
        <w:lastRenderedPageBreak/>
        <w:t xml:space="preserve">reasonably reflects the population served by the program. </w:t>
      </w:r>
      <w:proofErr w:type="spellStart"/>
      <w:r w:rsidRPr="00E74450">
        <w:rPr>
          <w:bCs/>
        </w:rPr>
        <w:t>ecWeb</w:t>
      </w:r>
      <w:proofErr w:type="spellEnd"/>
      <w:r w:rsidRPr="00E74450">
        <w:rPr>
          <w:bCs/>
        </w:rPr>
        <w:t xml:space="preserve"> identifies the required number of records and assigns them to the program’s SPR&amp;I review list. These records are then reviewed by the program using the State’s standardized monitoring protocols.</w:t>
      </w:r>
    </w:p>
    <w:p w14:paraId="078A05A2" w14:textId="77777777" w:rsidR="00A775F4" w:rsidRPr="00A32E08" w:rsidRDefault="00A775F4" w:rsidP="00A32E08">
      <w:pPr>
        <w:rPr>
          <w:b/>
          <w:bCs/>
        </w:rPr>
      </w:pPr>
      <w:r w:rsidRPr="00A32E08">
        <w:rPr>
          <w:b/>
          <w:bCs/>
        </w:rPr>
        <w:t xml:space="preserve">Describe the data system(s) the State uses to collect monitoring and SPP/APR data, and the period from which records are reviewed.  </w:t>
      </w:r>
    </w:p>
    <w:p w14:paraId="5506BB37" w14:textId="77777777" w:rsidR="00A775F4" w:rsidRPr="00E74450" w:rsidRDefault="00A775F4" w:rsidP="005E1362">
      <w:pPr>
        <w:rPr>
          <w:bCs/>
        </w:rPr>
      </w:pPr>
      <w:r w:rsidRPr="00E74450">
        <w:rPr>
          <w:bCs/>
        </w:rPr>
        <w:t xml:space="preserve">Oregon uses two primary systems: the System Performance Review and Improvement (SPR&amp;I) system and the statewide EI/ECSE database, </w:t>
      </w:r>
      <w:proofErr w:type="spellStart"/>
      <w:r w:rsidRPr="00E74450">
        <w:rPr>
          <w:bCs/>
        </w:rPr>
        <w:t>ecWeb</w:t>
      </w:r>
      <w:proofErr w:type="spellEnd"/>
      <w:r w:rsidRPr="00E74450">
        <w:rPr>
          <w:bCs/>
        </w:rPr>
        <w:t xml:space="preserve">. SPR&amp;I is the State’s annual monitoring and accountability system. Programs submit procedural compliance data based on child record reviews and receive program-specific indicator data within the system. For the current cycle, programs submitted SPR&amp;I data on February 1, 2025. The State reviewed submissions and issued findings on April 15, 2025. Programs must correct any identified noncompliance as soon as possible, but no later than one year from the date of identification. </w:t>
      </w:r>
      <w:proofErr w:type="spellStart"/>
      <w:r w:rsidRPr="00E74450">
        <w:rPr>
          <w:bCs/>
        </w:rPr>
        <w:t>ecWeb</w:t>
      </w:r>
      <w:proofErr w:type="spellEnd"/>
      <w:r w:rsidRPr="00E74450">
        <w:rPr>
          <w:bCs/>
        </w:rPr>
        <w:t xml:space="preserve"> is the official system of record for EI/ECSE. It houses individual child records and supports data collection for child outcomes, timelines, monitoring, audits, and verification of correction. ODE staff also use </w:t>
      </w:r>
      <w:proofErr w:type="spellStart"/>
      <w:r w:rsidRPr="00E74450">
        <w:rPr>
          <w:bCs/>
        </w:rPr>
        <w:t>ecWeb</w:t>
      </w:r>
      <w:proofErr w:type="spellEnd"/>
      <w:r w:rsidRPr="00E74450">
        <w:rPr>
          <w:bCs/>
        </w:rPr>
        <w:t xml:space="preserve"> when conducting focused reviews and audits of programs. Records reviewed are from the applicable federal fiscal year monitoring window, consistent with the State’s monitoring protocols and OSEP guidance.</w:t>
      </w:r>
    </w:p>
    <w:p w14:paraId="7E4922FD" w14:textId="77777777" w:rsidR="00A775F4" w:rsidRPr="00A32E08" w:rsidRDefault="00A775F4" w:rsidP="00A32E08">
      <w:pPr>
        <w:rPr>
          <w:b/>
          <w:bCs/>
        </w:rPr>
      </w:pPr>
      <w:r w:rsidRPr="00A32E08">
        <w:rPr>
          <w:b/>
          <w:bCs/>
        </w:rPr>
        <w:t>Describe how the State issues findings: by EIS provider and/or EIS program; and if findings are issued by the number of instances or by EIS provider and/or EIS program.</w:t>
      </w:r>
    </w:p>
    <w:p w14:paraId="56D04755" w14:textId="77777777" w:rsidR="00A775F4" w:rsidRPr="00E74450" w:rsidRDefault="00A775F4" w:rsidP="005E1362">
      <w:pPr>
        <w:rPr>
          <w:bCs/>
        </w:rPr>
      </w:pPr>
      <w:r w:rsidRPr="00E74450">
        <w:rPr>
          <w:bCs/>
        </w:rPr>
        <w:t>The State issues findings by EI/ECSE program. Findings are issued based on the number of instances of noncompliance identified through SPR&amp;I submissions, audits, complaints, due process decisions, or other substantiated sources. For the current cycle, findings were issued on April 15, 2025.</w:t>
      </w:r>
    </w:p>
    <w:p w14:paraId="0F4D78CD" w14:textId="77777777" w:rsidR="00A775F4" w:rsidRPr="00A32E08" w:rsidRDefault="00A775F4" w:rsidP="00A32E08">
      <w:pPr>
        <w:rPr>
          <w:b/>
          <w:bCs/>
        </w:rPr>
      </w:pPr>
      <w:r w:rsidRPr="00A32E08">
        <w:rPr>
          <w:b/>
          <w:bCs/>
        </w:rPr>
        <w:t>If applicable, describe the adopted procedures that permit its EIS providers/ programs to correct noncompliance prior to the State’s issuance of a finding (i.e., pre-finding correction).</w:t>
      </w:r>
    </w:p>
    <w:p w14:paraId="2A1FF9AF" w14:textId="77777777" w:rsidR="00A775F4" w:rsidRPr="00E74450" w:rsidRDefault="00A775F4" w:rsidP="005E1362">
      <w:pPr>
        <w:rPr>
          <w:bCs/>
        </w:rPr>
      </w:pPr>
      <w:r w:rsidRPr="00E74450">
        <w:rPr>
          <w:bCs/>
        </w:rPr>
        <w:t>N/A</w:t>
      </w:r>
    </w:p>
    <w:p w14:paraId="27BA84AB" w14:textId="77777777" w:rsidR="00A775F4" w:rsidRPr="00A32E08" w:rsidRDefault="00A775F4" w:rsidP="00A32E08">
      <w:pPr>
        <w:rPr>
          <w:b/>
          <w:bCs/>
        </w:rPr>
      </w:pPr>
      <w:r w:rsidRPr="006675B4">
        <w:t xml:space="preserve">Describe the State’s system of graduated and progressive sanctions to ensure the correction of identified noncompliance and to address areas in need </w:t>
      </w:r>
      <w:r w:rsidRPr="00A32E08">
        <w:rPr>
          <w:b/>
          <w:bCs/>
        </w:rPr>
        <w:t>of improvement, used as necessary and consistent with IDEA Part C’s enforcement provisions, the OMB Uniform Administrative Requirements, Cost Principles, and Audit Requirements for Federal Awards (Uniform Guidance), and State policies.</w:t>
      </w:r>
    </w:p>
    <w:p w14:paraId="398062A6" w14:textId="77777777" w:rsidR="00A775F4" w:rsidRPr="00E74450" w:rsidRDefault="00A775F4" w:rsidP="005E1362">
      <w:pPr>
        <w:rPr>
          <w:bCs/>
        </w:rPr>
      </w:pPr>
      <w:r w:rsidRPr="00E74450">
        <w:rPr>
          <w:bCs/>
        </w:rPr>
        <w:t>ODE uses a tiered system aligned with IDEA enforcement categories: Meets Requirements, Needs Assistance, Needs Intervention, and Needs Substantial Intervention. Programs that meet requirements may receive continued support and optional technical assistance to sustain performance. Programs identified as needing assistance receive targeted technical assistance, may be designated as high-risk grantees, and may be required to direct program resources toward specific improvement activities. Programs identified as needing intervention are subject to increased oversight, required corrective action plans, restrictions on fiscal flexibility, and may have IDEA funds partially withheld or recovered. Programs identified as needing substantial intervention may be subject to the most significant enforcement actions, including withholding of funds and referral for additional legal or fiscal enforcement as appropriate. This framework ensures that enforcement is proportional, timely, and focused on achieving correction and strengthening system performance.</w:t>
      </w:r>
    </w:p>
    <w:p w14:paraId="0D553B92" w14:textId="77777777" w:rsidR="00A775F4" w:rsidRPr="00A32E08" w:rsidRDefault="00A775F4" w:rsidP="00A32E08">
      <w:pPr>
        <w:rPr>
          <w:b/>
          <w:bCs/>
        </w:rPr>
      </w:pPr>
      <w:r w:rsidRPr="00A32E08">
        <w:rPr>
          <w:b/>
          <w:bCs/>
        </w:rPr>
        <w:t>Describe how the State makes annual determinations of EIS program performance, including the criteria the State uses and the schedule for notifying EIS programs of their determinations. If the determinations are made public, include a web link for the most recent determinations.</w:t>
      </w:r>
    </w:p>
    <w:p w14:paraId="19DB0B89" w14:textId="77777777" w:rsidR="00A775F4" w:rsidRPr="00E74450" w:rsidRDefault="00A775F4" w:rsidP="005E1362">
      <w:pPr>
        <w:rPr>
          <w:bCs/>
        </w:rPr>
      </w:pPr>
      <w:r w:rsidRPr="00E74450">
        <w:rPr>
          <w:bCs/>
        </w:rPr>
        <w:t>ODE makes annual determinations for each EI/ECSE program each June, based on FFY data from two years prior. Determinations are based on compliance indicators, timely and accurate data submission, correction of noncompliance, dispute resolution data, and other required measures. Programs are assigned to one of four categories: Meets Requirements, Needs Assistance, Needs Intervention, or Needs Substantial Intervention, using the State’s Determination and Enforcement Matrix. Programs are notified of their determinations in writing. Determinations are publicly posted at: https://www.oregon.gov/ode/students-and-family/specialeducation/generalsupervision/pages/2024-2025eiecsespriresources.aspx</w:t>
      </w:r>
    </w:p>
    <w:p w14:paraId="035642CB" w14:textId="77777777" w:rsidR="00A775F4" w:rsidRPr="00A32E08" w:rsidRDefault="00A775F4" w:rsidP="00A32E08">
      <w:pPr>
        <w:rPr>
          <w:b/>
          <w:bCs/>
        </w:rPr>
      </w:pPr>
      <w:r w:rsidRPr="00A32E08">
        <w:rPr>
          <w:b/>
          <w:bCs/>
        </w:rPr>
        <w:t xml:space="preserve">Provide the web link </w:t>
      </w:r>
      <w:proofErr w:type="gramStart"/>
      <w:r w:rsidRPr="00A32E08">
        <w:rPr>
          <w:b/>
          <w:bCs/>
        </w:rPr>
        <w:t>to</w:t>
      </w:r>
      <w:proofErr w:type="gramEnd"/>
      <w:r w:rsidRPr="00A32E08">
        <w:rPr>
          <w:b/>
          <w:bCs/>
        </w:rPr>
        <w:t xml:space="preserve"> information about the State’s general supervision policies, procedures, and </w:t>
      </w:r>
      <w:proofErr w:type="gramStart"/>
      <w:r w:rsidRPr="00A32E08">
        <w:rPr>
          <w:b/>
          <w:bCs/>
        </w:rPr>
        <w:t>process</w:t>
      </w:r>
      <w:proofErr w:type="gramEnd"/>
      <w:r w:rsidRPr="00A32E08">
        <w:rPr>
          <w:b/>
          <w:bCs/>
        </w:rPr>
        <w:t xml:space="preserve"> that </w:t>
      </w:r>
      <w:proofErr w:type="gramStart"/>
      <w:r w:rsidRPr="00A32E08">
        <w:rPr>
          <w:b/>
          <w:bCs/>
        </w:rPr>
        <w:t>is</w:t>
      </w:r>
      <w:proofErr w:type="gramEnd"/>
      <w:r w:rsidRPr="00A32E08">
        <w:rPr>
          <w:b/>
          <w:bCs/>
        </w:rPr>
        <w:t xml:space="preserve"> made available to the public.</w:t>
      </w:r>
    </w:p>
    <w:p w14:paraId="1F4D05D1" w14:textId="77777777" w:rsidR="00A775F4" w:rsidRPr="00E74450" w:rsidRDefault="00A775F4" w:rsidP="005E1362">
      <w:pPr>
        <w:rPr>
          <w:bCs/>
        </w:rPr>
      </w:pPr>
      <w:r w:rsidRPr="00E74450">
        <w:rPr>
          <w:bCs/>
        </w:rPr>
        <w:t xml:space="preserve">https://www.oregon.gov/ode/students-and-family/SpecialEducation/earlyintervention/Pages/EI-ECSE-Contractor%27s-Information.aspx </w:t>
      </w:r>
    </w:p>
    <w:p w14:paraId="68E4F2DF" w14:textId="77777777" w:rsidR="00181DEB" w:rsidRPr="00ED172B" w:rsidRDefault="00181DEB">
      <w:pPr>
        <w:rPr>
          <w:b/>
          <w:color w:val="000000" w:themeColor="text1"/>
        </w:rPr>
      </w:pPr>
      <w:r w:rsidRPr="00ED172B">
        <w:rPr>
          <w:b/>
          <w:color w:val="000000" w:themeColor="text1"/>
        </w:rPr>
        <w:t>Technical Assistance System:</w:t>
      </w:r>
    </w:p>
    <w:p w14:paraId="32464DF2" w14:textId="77777777" w:rsidR="00181DEB" w:rsidRPr="00ED172B" w:rsidRDefault="00181DEB" w:rsidP="00042EBF">
      <w:pPr>
        <w:rPr>
          <w:b/>
          <w:color w:val="000000" w:themeColor="text1"/>
          <w:szCs w:val="16"/>
        </w:rPr>
      </w:pPr>
      <w:r w:rsidRPr="00ED172B">
        <w:rPr>
          <w:b/>
          <w:color w:val="000000" w:themeColor="text1"/>
          <w:szCs w:val="16"/>
        </w:rPr>
        <w:t xml:space="preserve">The mechanisms that the State has in place </w:t>
      </w:r>
      <w:proofErr w:type="gramStart"/>
      <w:r w:rsidRPr="00ED172B">
        <w:rPr>
          <w:b/>
          <w:color w:val="000000" w:themeColor="text1"/>
          <w:szCs w:val="16"/>
        </w:rPr>
        <w:t>to</w:t>
      </w:r>
      <w:proofErr w:type="gramEnd"/>
      <w:r w:rsidRPr="00ED172B">
        <w:rPr>
          <w:b/>
          <w:color w:val="000000" w:themeColor="text1"/>
          <w:szCs w:val="16"/>
        </w:rPr>
        <w:t xml:space="preserve"> ensure the timely delivery of high quality, evidence-based technical assistance and support to EIS programs.</w:t>
      </w:r>
    </w:p>
    <w:p w14:paraId="4E291D32" w14:textId="77777777" w:rsidR="003A4D77" w:rsidRPr="00ED172B" w:rsidRDefault="00860830" w:rsidP="00042EBF">
      <w:pPr>
        <w:rPr>
          <w:color w:val="000000" w:themeColor="text1"/>
          <w:szCs w:val="16"/>
        </w:rPr>
      </w:pPr>
      <w:r w:rsidRPr="00ED172B">
        <w:rPr>
          <w:color w:val="000000" w:themeColor="text1"/>
          <w:szCs w:val="16"/>
        </w:rPr>
        <w:t xml:space="preserve">The State provides technical assistance through a combination of assigned education specialists, statewide training, communities of practice, and data-based </w:t>
      </w:r>
      <w:proofErr w:type="gramStart"/>
      <w:r w:rsidRPr="00ED172B">
        <w:rPr>
          <w:color w:val="000000" w:themeColor="text1"/>
          <w:szCs w:val="16"/>
        </w:rPr>
        <w:t>supports</w:t>
      </w:r>
      <w:proofErr w:type="gramEnd"/>
      <w:r w:rsidRPr="00ED172B">
        <w:rPr>
          <w:color w:val="000000" w:themeColor="text1"/>
          <w:szCs w:val="16"/>
        </w:rPr>
        <w:t xml:space="preserve">. This includes annual data manager </w:t>
      </w:r>
      <w:proofErr w:type="gramStart"/>
      <w:r w:rsidRPr="00ED172B">
        <w:rPr>
          <w:color w:val="000000" w:themeColor="text1"/>
          <w:szCs w:val="16"/>
        </w:rPr>
        <w:t>trainings</w:t>
      </w:r>
      <w:proofErr w:type="gramEnd"/>
      <w:r w:rsidRPr="00ED172B">
        <w:rPr>
          <w:color w:val="000000" w:themeColor="text1"/>
          <w:szCs w:val="16"/>
        </w:rPr>
        <w:t>, fall and spring statewide technical assistance sessions, and ongoing targeted support based on monitoring results, data trends, and program needs. The State facilitates a bimonthly intake and referral community of practice that brings together staff from across regions to address referral processes, eligibility pathways, form updates, and statewide trends. The State also coordinates with partner agencies to support consistent and timely service coordination. These mechanisms ensure timely, consistent, and practical support to EI/ECSE programs.</w:t>
      </w:r>
    </w:p>
    <w:p w14:paraId="1A51F0AA" w14:textId="77777777" w:rsidR="00181DEB" w:rsidRPr="00ED172B" w:rsidRDefault="00181DEB">
      <w:pPr>
        <w:rPr>
          <w:b/>
          <w:color w:val="000000" w:themeColor="text1"/>
        </w:rPr>
      </w:pPr>
      <w:r w:rsidRPr="00ED172B">
        <w:rPr>
          <w:b/>
          <w:color w:val="000000" w:themeColor="text1"/>
        </w:rPr>
        <w:t>Professional Development System:</w:t>
      </w:r>
    </w:p>
    <w:p w14:paraId="548A7A01" w14:textId="77777777"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have the skills to effectively provide services that improve results for infants and toddlers with disabilities and their families.</w:t>
      </w:r>
    </w:p>
    <w:p w14:paraId="5F7766CE" w14:textId="77777777" w:rsidR="003A4D77" w:rsidRPr="00ED172B" w:rsidRDefault="00860830" w:rsidP="00181DEB">
      <w:pPr>
        <w:rPr>
          <w:color w:val="000000" w:themeColor="text1"/>
          <w:szCs w:val="16"/>
        </w:rPr>
      </w:pPr>
      <w:r w:rsidRPr="00ED172B">
        <w:rPr>
          <w:color w:val="000000" w:themeColor="text1"/>
          <w:szCs w:val="16"/>
        </w:rPr>
        <w:t xml:space="preserve">Oregon’s professional development system is guided by its Comprehensive Professional Development Plan and the ECTA System Framework. Focus areas include personnel standards, preservice and </w:t>
      </w:r>
      <w:proofErr w:type="spellStart"/>
      <w:r w:rsidRPr="00ED172B">
        <w:rPr>
          <w:color w:val="000000" w:themeColor="text1"/>
          <w:szCs w:val="16"/>
        </w:rPr>
        <w:t>inservice</w:t>
      </w:r>
      <w:proofErr w:type="spellEnd"/>
      <w:r w:rsidRPr="00ED172B">
        <w:rPr>
          <w:color w:val="000000" w:themeColor="text1"/>
          <w:szCs w:val="16"/>
        </w:rPr>
        <w:t xml:space="preserve"> training, and workforce stability.</w:t>
      </w:r>
    </w:p>
    <w:p w14:paraId="02AFE300" w14:textId="77777777" w:rsidR="000575B2" w:rsidRDefault="00D6492D">
      <w:r>
        <w:rPr>
          <w:color w:val="000000"/>
        </w:rPr>
        <w:t>In October 2023, Oregon updated its EI/ECSE personnel standards by adopting national professional standards for specialists, assistants, and supervisors. These standards guide individual professional development plans, statewide training priorities, technical assistance activities, and alignment with higher education programs. The standards are reviewed and updated on a five-year cycle to ensure continued alignment with current practice.</w:t>
      </w:r>
    </w:p>
    <w:p w14:paraId="30A43BA3" w14:textId="77777777" w:rsidR="00D62BE4" w:rsidRPr="00D62BE4" w:rsidRDefault="00492B6F" w:rsidP="00D62BE4">
      <w:pPr>
        <w:rPr>
          <w:b/>
          <w:color w:val="000000" w:themeColor="text1"/>
        </w:rPr>
      </w:pPr>
      <w:r>
        <w:rPr>
          <w:b/>
          <w:color w:val="000000" w:themeColor="text1"/>
        </w:rPr>
        <w:t xml:space="preserve">Stakeholder Engagement: </w:t>
      </w:r>
    </w:p>
    <w:p w14:paraId="27909E61" w14:textId="77777777" w:rsidR="00B717AA" w:rsidRDefault="00492B6F" w:rsidP="00D62BE4">
      <w:pPr>
        <w:rPr>
          <w:b/>
          <w:color w:val="000000" w:themeColor="text1"/>
        </w:rPr>
      </w:pPr>
      <w:r w:rsidRPr="003B2959">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sidRPr="00D62BE4" w:rsidDel="00492B6F">
        <w:rPr>
          <w:b/>
          <w:color w:val="000000" w:themeColor="text1"/>
        </w:rPr>
        <w:t xml:space="preserve"> </w:t>
      </w:r>
    </w:p>
    <w:p w14:paraId="7218C8A0" w14:textId="77777777" w:rsidR="00D62BE4" w:rsidRPr="00F85A5B" w:rsidRDefault="00116D8B" w:rsidP="00D62BE4">
      <w:pPr>
        <w:rPr>
          <w:color w:val="000000" w:themeColor="text1"/>
          <w:szCs w:val="16"/>
        </w:rPr>
      </w:pPr>
      <w:r w:rsidRPr="00ED172B">
        <w:rPr>
          <w:color w:val="000000" w:themeColor="text1"/>
          <w:szCs w:val="16"/>
        </w:rPr>
        <w:t xml:space="preserve">The State engages stakeholders through the State Interagency Coordinating Council (SICC), collaboration with the parent training and information center (FACT Oregon), public reporting, and targeted outreach efforts. These structures support stakeholder involvement in reviewing data, setting targets, shaping improvement strategies, and monitoring progress. The State has made focused efforts to broaden participation in the SICC and to strengthen connections with Local Interagency Coordinating Councils. The State also works to improve participation in the annual Parent Survey and to ensure feedback from families </w:t>
      </w:r>
      <w:proofErr w:type="gramStart"/>
      <w:r w:rsidRPr="00ED172B">
        <w:rPr>
          <w:color w:val="000000" w:themeColor="text1"/>
          <w:szCs w:val="16"/>
        </w:rPr>
        <w:t>informs</w:t>
      </w:r>
      <w:proofErr w:type="gramEnd"/>
      <w:r w:rsidRPr="00ED172B">
        <w:rPr>
          <w:color w:val="000000" w:themeColor="text1"/>
          <w:szCs w:val="16"/>
        </w:rPr>
        <w:t xml:space="preserve"> system improvement activities.</w:t>
      </w:r>
    </w:p>
    <w:p w14:paraId="3BD596B7" w14:textId="77777777"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0C03B63D" w14:textId="77777777" w:rsidR="00907A9B" w:rsidRDefault="003747D0">
      <w:pPr>
        <w:rPr>
          <w:color w:val="000000" w:themeColor="text1"/>
          <w:szCs w:val="16"/>
        </w:rPr>
      </w:pPr>
      <w:r w:rsidRPr="00ED172B">
        <w:rPr>
          <w:color w:val="000000" w:themeColor="text1"/>
          <w:szCs w:val="16"/>
        </w:rPr>
        <w:t>YES</w:t>
      </w:r>
    </w:p>
    <w:p w14:paraId="0572E7C7" w14:textId="77777777" w:rsidR="00887FBA" w:rsidRDefault="00887FBA">
      <w:pPr>
        <w:rPr>
          <w:b/>
          <w:color w:val="000000" w:themeColor="text1"/>
        </w:rPr>
      </w:pPr>
      <w:r w:rsidRPr="00887FBA">
        <w:rPr>
          <w:b/>
          <w:color w:val="000000" w:themeColor="text1"/>
        </w:rPr>
        <w:t>Number of Parent Members:</w:t>
      </w:r>
    </w:p>
    <w:p w14:paraId="243277D0" w14:textId="77777777" w:rsidR="00887FBA" w:rsidRPr="00ED172B" w:rsidRDefault="00887FBA" w:rsidP="00887FBA">
      <w:pPr>
        <w:rPr>
          <w:color w:val="000000" w:themeColor="text1"/>
          <w:szCs w:val="16"/>
        </w:rPr>
      </w:pPr>
      <w:r w:rsidRPr="00ED172B">
        <w:rPr>
          <w:color w:val="000000" w:themeColor="text1"/>
          <w:szCs w:val="16"/>
        </w:rPr>
        <w:t>25</w:t>
      </w:r>
    </w:p>
    <w:p w14:paraId="3F2B3B15" w14:textId="77777777" w:rsidR="00887FBA" w:rsidRDefault="00887FBA">
      <w:pPr>
        <w:rPr>
          <w:b/>
          <w:color w:val="000000" w:themeColor="text1"/>
        </w:rPr>
      </w:pPr>
      <w:r w:rsidRPr="00887FBA">
        <w:rPr>
          <w:b/>
          <w:color w:val="000000" w:themeColor="text1"/>
        </w:rPr>
        <w:lastRenderedPageBreak/>
        <w:t>Parent Members Engagement:</w:t>
      </w:r>
    </w:p>
    <w:p w14:paraId="78866A45" w14:textId="77777777" w:rsidR="00887FBA" w:rsidRDefault="00887FBA">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57A7CA82" w14:textId="77777777" w:rsidR="00887FBA" w:rsidRPr="00F85A5B" w:rsidRDefault="00091E9A">
      <w:pPr>
        <w:rPr>
          <w:color w:val="000000" w:themeColor="text1"/>
          <w:szCs w:val="16"/>
        </w:rPr>
      </w:pPr>
      <w:r w:rsidRPr="00ED172B">
        <w:rPr>
          <w:color w:val="000000" w:themeColor="text1"/>
          <w:szCs w:val="16"/>
        </w:rPr>
        <w:t xml:space="preserve">The SPP/APR is presented annually to </w:t>
      </w:r>
      <w:proofErr w:type="gramStart"/>
      <w:r w:rsidRPr="00ED172B">
        <w:rPr>
          <w:color w:val="000000" w:themeColor="text1"/>
          <w:szCs w:val="16"/>
        </w:rPr>
        <w:t>the SICC</w:t>
      </w:r>
      <w:proofErr w:type="gramEnd"/>
      <w:r w:rsidRPr="00ED172B">
        <w:rPr>
          <w:color w:val="000000" w:themeColor="text1"/>
          <w:szCs w:val="16"/>
        </w:rPr>
        <w:t>, which includes parent members and representatives from the parent training center. Parent members participate in reviewing data, discussing system performance, and providing input on targets and improvement priorities. FACT Oregon and SICC members also participate in the Parent Involvement Survey collaboration, which sets joint goals and timelines related to family experience indicators.</w:t>
      </w:r>
    </w:p>
    <w:p w14:paraId="5B10B75D"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2B575855" w14:textId="77777777"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50E47DC9" w14:textId="77777777" w:rsidR="00375DCE" w:rsidRDefault="002D7C09" w:rsidP="00375DCE">
      <w:pPr>
        <w:rPr>
          <w:color w:val="000000" w:themeColor="text1"/>
          <w:szCs w:val="16"/>
        </w:rPr>
      </w:pPr>
      <w:r w:rsidRPr="00ED172B">
        <w:rPr>
          <w:color w:val="000000" w:themeColor="text1"/>
          <w:szCs w:val="16"/>
        </w:rPr>
        <w:t>Oregon conducts targeted activities to increase the capacity of diverse groups of parents to support the development and implementation of improvement activities designed to improve outcomes for infants and toddlers with disabilities and their families. These efforts focus on building parent knowledge of the Part C system, strengthening understanding of family rights and early intervention services, and supporting meaningful participation in system improvement processes.</w:t>
      </w:r>
    </w:p>
    <w:p w14:paraId="68BA57BE" w14:textId="77777777" w:rsidR="000575B2" w:rsidRDefault="000575B2"/>
    <w:p w14:paraId="4FC4F80D" w14:textId="77777777" w:rsidR="000575B2" w:rsidRDefault="00D6492D">
      <w:r>
        <w:rPr>
          <w:color w:val="000000"/>
        </w:rPr>
        <w:t>The State provides translated materials, interpretation services, and accessible communication supports to ensure families who are English learners or who have additional communication needs can participate in improvement activities. Oregon partners with parent organizations and community-based agencies, including the State’s Parent Training and Information Center, to deliver culturally responsive outreach and family education, with an emphasis on reaching families from historically underserved communities.</w:t>
      </w:r>
    </w:p>
    <w:p w14:paraId="526CF75E" w14:textId="77777777" w:rsidR="000575B2" w:rsidRDefault="000575B2"/>
    <w:p w14:paraId="395AB986" w14:textId="77777777" w:rsidR="000575B2" w:rsidRDefault="00D6492D">
      <w:r>
        <w:rPr>
          <w:color w:val="000000"/>
        </w:rPr>
        <w:t>Oregon also supports parent leadership development by recruiting diverse parents to serve on advisory and stakeholder groups, including the State Interagency Coordinating Council (SICC). Parent members receive orientation, access to relevant data and background materials, and ongoing support to enable informed participation in discussions related to system performance, improvement priorities, and implementation strategies. Flexible and virtual engagement options are used to reduce participation barriers.</w:t>
      </w:r>
    </w:p>
    <w:p w14:paraId="688C247E" w14:textId="77777777" w:rsidR="000575B2" w:rsidRDefault="000575B2"/>
    <w:p w14:paraId="6360D54E" w14:textId="77777777" w:rsidR="000575B2" w:rsidRDefault="00D6492D">
      <w:r>
        <w:rPr>
          <w:color w:val="000000"/>
        </w:rPr>
        <w:t>In addition, Oregon gathers family input through the Early Intervention Parent Involvement Survey and reviews the results with parent partners and advisory groups to identify strengths, disparities, and improvement priorities. This process builds parent capacity to contribute to continuous improvement by demonstrating how family input informs implementation and system change.</w:t>
      </w:r>
    </w:p>
    <w:p w14:paraId="14E401E2" w14:textId="77777777" w:rsidR="006D0CD0" w:rsidRPr="00F85A5B" w:rsidRDefault="006D0CD0" w:rsidP="006D0CD0">
      <w:pPr>
        <w:rPr>
          <w:b/>
          <w:color w:val="000000" w:themeColor="text1"/>
        </w:rPr>
      </w:pPr>
      <w:r w:rsidRPr="00F85A5B">
        <w:rPr>
          <w:b/>
          <w:color w:val="000000" w:themeColor="text1"/>
        </w:rPr>
        <w:t>Soliciting Public Input:</w:t>
      </w:r>
    </w:p>
    <w:p w14:paraId="0A28E7D6" w14:textId="77777777"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5E52C113" w14:textId="77777777" w:rsidR="006D0CD0" w:rsidRDefault="006D0CD0" w:rsidP="006D0CD0">
      <w:pPr>
        <w:rPr>
          <w:color w:val="000000" w:themeColor="text1"/>
          <w:szCs w:val="16"/>
        </w:rPr>
      </w:pPr>
      <w:r w:rsidRPr="00ED172B">
        <w:rPr>
          <w:color w:val="000000" w:themeColor="text1"/>
          <w:szCs w:val="16"/>
        </w:rPr>
        <w:t xml:space="preserve">The State solicited broad public input during FFY 2020 when setting the current targets and continues to engage the SICC and stakeholders in reviewing data and progress. The State provides regular updates to </w:t>
      </w:r>
      <w:proofErr w:type="gramStart"/>
      <w:r w:rsidRPr="00ED172B">
        <w:rPr>
          <w:color w:val="000000" w:themeColor="text1"/>
          <w:szCs w:val="16"/>
        </w:rPr>
        <w:t>the SICC</w:t>
      </w:r>
      <w:proofErr w:type="gramEnd"/>
      <w:r w:rsidRPr="00ED172B">
        <w:rPr>
          <w:color w:val="000000" w:themeColor="text1"/>
          <w:szCs w:val="16"/>
        </w:rPr>
        <w:t>, including information about system performance, policy changes, and implementation priorities. Public input is also solicited during major policy or system changes.</w:t>
      </w:r>
    </w:p>
    <w:p w14:paraId="27C5E8EB" w14:textId="77777777" w:rsidR="00583FAD" w:rsidRPr="00F85A5B" w:rsidRDefault="00583FAD" w:rsidP="00583FAD">
      <w:pPr>
        <w:rPr>
          <w:b/>
          <w:color w:val="000000" w:themeColor="text1"/>
        </w:rPr>
      </w:pPr>
      <w:r w:rsidRPr="00F85A5B">
        <w:rPr>
          <w:b/>
          <w:color w:val="000000" w:themeColor="text1"/>
        </w:rPr>
        <w:t>Making Results Available to the Public:</w:t>
      </w:r>
    </w:p>
    <w:p w14:paraId="6E85523D" w14:textId="77777777" w:rsidR="00583FAD" w:rsidRDefault="00583FAD" w:rsidP="00583FAD">
      <w:pPr>
        <w:rPr>
          <w:b/>
          <w:color w:val="000000" w:themeColor="text1"/>
        </w:rPr>
      </w:pPr>
      <w:r w:rsidRPr="00F85A5B">
        <w:rPr>
          <w:b/>
          <w:color w:val="000000" w:themeColor="text1"/>
        </w:rPr>
        <w:t xml:space="preserve">The mechanisms and timelines for making the results of the setting targets, data analysis, development of </w:t>
      </w:r>
      <w:proofErr w:type="gramStart"/>
      <w:r w:rsidRPr="00F85A5B">
        <w:rPr>
          <w:b/>
          <w:color w:val="000000" w:themeColor="text1"/>
        </w:rPr>
        <w:t>the improvement</w:t>
      </w:r>
      <w:proofErr w:type="gramEnd"/>
      <w:r w:rsidRPr="00F85A5B">
        <w:rPr>
          <w:b/>
          <w:color w:val="000000" w:themeColor="text1"/>
        </w:rPr>
        <w:t xml:space="preserve"> strategies, and evaluation available to the public.</w:t>
      </w:r>
    </w:p>
    <w:p w14:paraId="0BB0EA52" w14:textId="77777777" w:rsidR="00583FAD" w:rsidRDefault="00583FAD" w:rsidP="00583FAD">
      <w:pPr>
        <w:rPr>
          <w:color w:val="000000" w:themeColor="text1"/>
          <w:szCs w:val="16"/>
        </w:rPr>
      </w:pPr>
      <w:r w:rsidRPr="00ED172B">
        <w:rPr>
          <w:color w:val="000000" w:themeColor="text1"/>
          <w:szCs w:val="16"/>
        </w:rPr>
        <w:t>The State posts the SPP/APR annually on its website at: https://www.oregon.gov/ode/reports-and-data/spedreports/pages/default.aspx</w:t>
      </w:r>
    </w:p>
    <w:p w14:paraId="1D19FE85" w14:textId="77777777" w:rsidR="000575B2" w:rsidRDefault="00D6492D">
      <w:r>
        <w:rPr>
          <w:color w:val="000000"/>
        </w:rPr>
        <w:t>The State also issues a public news release summarizing results and providing access to the full report.</w:t>
      </w:r>
    </w:p>
    <w:p w14:paraId="0945E6AC" w14:textId="77777777" w:rsidR="00181DEB" w:rsidRPr="00ED172B" w:rsidRDefault="00181DEB">
      <w:pPr>
        <w:rPr>
          <w:b/>
          <w:color w:val="000000" w:themeColor="text1"/>
        </w:rPr>
      </w:pPr>
      <w:r w:rsidRPr="00ED172B">
        <w:rPr>
          <w:b/>
          <w:color w:val="000000" w:themeColor="text1"/>
        </w:rPr>
        <w:t>Reporting to the Public:</w:t>
      </w:r>
    </w:p>
    <w:p w14:paraId="59AF0A5B" w14:textId="77777777" w:rsidR="004868E8" w:rsidRPr="00ED172B" w:rsidRDefault="004868E8" w:rsidP="004868E8">
      <w:pPr>
        <w:rPr>
          <w:b/>
          <w:color w:val="000000" w:themeColor="text1"/>
          <w:szCs w:val="16"/>
        </w:rPr>
      </w:pPr>
      <w:r w:rsidRPr="00ED172B">
        <w:rPr>
          <w:b/>
          <w:color w:val="000000" w:themeColor="text1"/>
          <w:szCs w:val="16"/>
        </w:rPr>
        <w:t>How and where the State reported to the public on the FFY 2023 performance of each EIS Program located in the State on the targets in the SPP/APR as soon as practicable, but no later than 120 days following the State’s submission of its FFY 2023 APR, as required by 34 CFR §303.702(b)(1)(</w:t>
      </w:r>
      <w:proofErr w:type="spellStart"/>
      <w:r w:rsidRPr="00ED172B">
        <w:rPr>
          <w:b/>
          <w:color w:val="000000" w:themeColor="text1"/>
          <w:szCs w:val="16"/>
        </w:rPr>
        <w:t>i</w:t>
      </w:r>
      <w:proofErr w:type="spellEnd"/>
      <w:r w:rsidRPr="00ED172B">
        <w:rPr>
          <w:b/>
          <w:color w:val="000000" w:themeColor="text1"/>
          <w:szCs w:val="16"/>
        </w:rPr>
        <w:t>)(A); and a description of where, on its website, a complete copy of the State’s SPP/APR, including any revisions if the State has revised the targets that it submitted with its FFY 2023 APR in 2025, is available.</w:t>
      </w:r>
    </w:p>
    <w:p w14:paraId="2B2D35E7" w14:textId="77777777" w:rsidR="003A4D77" w:rsidRPr="00ED172B" w:rsidRDefault="00860830" w:rsidP="00DF09CC">
      <w:pPr>
        <w:rPr>
          <w:color w:val="000000" w:themeColor="text1"/>
          <w:szCs w:val="16"/>
        </w:rPr>
      </w:pPr>
      <w:r w:rsidRPr="00ED172B">
        <w:rPr>
          <w:color w:val="000000" w:themeColor="text1"/>
          <w:szCs w:val="16"/>
        </w:rPr>
        <w:t>The State reports publicly on the performance of each EI/ECSE program within 120 days of submitting the APR, as required by 34 CFR §303.702(b)(1)(</w:t>
      </w:r>
      <w:proofErr w:type="spellStart"/>
      <w:r w:rsidRPr="00ED172B">
        <w:rPr>
          <w:color w:val="000000" w:themeColor="text1"/>
          <w:szCs w:val="16"/>
        </w:rPr>
        <w:t>i</w:t>
      </w:r>
      <w:proofErr w:type="spellEnd"/>
      <w:r w:rsidRPr="00ED172B">
        <w:rPr>
          <w:color w:val="000000" w:themeColor="text1"/>
          <w:szCs w:val="16"/>
        </w:rPr>
        <w:t>)(A), through its public reporting website and Special Education Profiles. A complete copy of the State’s SPP/APR, including any revisions, is available at: https://www.oregon.gov/ode/reports-and-data/spedreports/pages/default.aspx</w:t>
      </w:r>
    </w:p>
    <w:p w14:paraId="0079A787" w14:textId="77777777" w:rsidR="003A4D77" w:rsidRPr="00A40EE1" w:rsidRDefault="00571E72" w:rsidP="00C15786">
      <w:pPr>
        <w:pStyle w:val="Heading2"/>
      </w:pPr>
      <w:r w:rsidRPr="00A40EE1">
        <w:t xml:space="preserve">Intro - </w:t>
      </w:r>
      <w:r w:rsidR="003A4D77" w:rsidRPr="00A40EE1">
        <w:t xml:space="preserve">Prior FFY Required Actions </w:t>
      </w:r>
    </w:p>
    <w:p w14:paraId="561C99E4" w14:textId="77777777" w:rsidR="003A4D77" w:rsidRPr="00ED172B" w:rsidRDefault="00027F39" w:rsidP="00027F39">
      <w:pPr>
        <w:rPr>
          <w:color w:val="000000" w:themeColor="text1"/>
        </w:rPr>
      </w:pPr>
      <w:r w:rsidRPr="00ED172B">
        <w:rPr>
          <w:color w:val="000000" w:themeColor="text1"/>
        </w:rPr>
        <w:t>None</w:t>
      </w:r>
    </w:p>
    <w:p w14:paraId="2248B458" w14:textId="77777777" w:rsidR="005A43C0" w:rsidRPr="00ED172B" w:rsidRDefault="005A43C0" w:rsidP="003A4D77">
      <w:pPr>
        <w:rPr>
          <w:rFonts w:cs="Arial"/>
          <w:color w:val="000000" w:themeColor="text1"/>
          <w:szCs w:val="16"/>
        </w:rPr>
      </w:pPr>
    </w:p>
    <w:p w14:paraId="5A3B6437" w14:textId="77777777" w:rsidR="003A4D77" w:rsidRPr="00A40EE1" w:rsidRDefault="00571E72" w:rsidP="00C15786">
      <w:pPr>
        <w:pStyle w:val="Heading2"/>
      </w:pPr>
      <w:r w:rsidRPr="00A40EE1">
        <w:t>Intro - OSEP Response</w:t>
      </w:r>
    </w:p>
    <w:p w14:paraId="3380806D" w14:textId="77777777" w:rsidR="003A4D77" w:rsidRPr="00ED172B" w:rsidRDefault="00027F39" w:rsidP="00027F3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r>
    </w:p>
    <w:p w14:paraId="63CBA565" w14:textId="77777777" w:rsidR="000575B2" w:rsidRDefault="000575B2"/>
    <w:p w14:paraId="1694FEB1" w14:textId="77777777" w:rsidR="000575B2" w:rsidRDefault="00D6492D">
      <w:r>
        <w:rPr>
          <w:color w:val="000000"/>
        </w:rPr>
        <w:t>On June 5, 2025, OSEP issued findings in its monitoring report, which are not fully resolved. Longstanding noncompliance (from any unresolved finding identified by OSEP) may be a factor in the Department’s 2027 determinations. OSEP will work with Oregon to clarify what actions remain.</w:t>
      </w:r>
    </w:p>
    <w:p w14:paraId="6CFB8E76" w14:textId="77777777" w:rsidR="003A4D77" w:rsidRPr="00A40EE1" w:rsidRDefault="00571E72" w:rsidP="00C15786">
      <w:pPr>
        <w:pStyle w:val="Heading2"/>
      </w:pPr>
      <w:r w:rsidRPr="00A40EE1">
        <w:t>Intro - Required Actions</w:t>
      </w:r>
    </w:p>
    <w:p w14:paraId="09952D9F" w14:textId="77777777" w:rsidR="003A4D77" w:rsidRPr="00ED172B" w:rsidRDefault="003A4D77" w:rsidP="00027F39">
      <w:pPr>
        <w:rPr>
          <w:color w:val="000000" w:themeColor="text1"/>
        </w:rPr>
      </w:pPr>
    </w:p>
    <w:p w14:paraId="3B03DDD7"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1E6259F9" w14:textId="77777777" w:rsidR="00EB0146" w:rsidRPr="00ED172B" w:rsidRDefault="00EB0146" w:rsidP="0077063D">
      <w:pPr>
        <w:pStyle w:val="Heading1"/>
        <w:rPr>
          <w:color w:val="000000" w:themeColor="text1"/>
        </w:rPr>
      </w:pPr>
      <w:r w:rsidRPr="00ED172B">
        <w:rPr>
          <w:color w:val="000000" w:themeColor="text1"/>
        </w:rPr>
        <w:lastRenderedPageBreak/>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3E226944" w14:textId="77777777"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492D3E4E" w14:textId="77777777" w:rsidR="005F5034" w:rsidRPr="00ED172B" w:rsidRDefault="005F5034" w:rsidP="0077063D">
      <w:pPr>
        <w:rPr>
          <w:b/>
          <w:color w:val="000000" w:themeColor="text1"/>
          <w:szCs w:val="16"/>
        </w:rPr>
      </w:pPr>
      <w:bookmarkStart w:id="2" w:name="_Toc392159259"/>
      <w:r w:rsidRPr="00ED172B">
        <w:rPr>
          <w:b/>
          <w:color w:val="000000" w:themeColor="text1"/>
          <w:szCs w:val="16"/>
        </w:rPr>
        <w:t xml:space="preserve">Monitoring Priority: </w:t>
      </w:r>
      <w:r w:rsidRPr="00ED172B">
        <w:rPr>
          <w:color w:val="000000" w:themeColor="text1"/>
          <w:szCs w:val="16"/>
        </w:rPr>
        <w:t xml:space="preserve">Early Intervention Services </w:t>
      </w:r>
      <w:proofErr w:type="gramStart"/>
      <w:r w:rsidRPr="00ED172B">
        <w:rPr>
          <w:color w:val="000000" w:themeColor="text1"/>
          <w:szCs w:val="16"/>
        </w:rPr>
        <w:t>In</w:t>
      </w:r>
      <w:proofErr w:type="gramEnd"/>
      <w:r w:rsidRPr="00ED172B">
        <w:rPr>
          <w:color w:val="000000" w:themeColor="text1"/>
          <w:szCs w:val="16"/>
        </w:rPr>
        <w:t xml:space="preserve"> Natural Environments</w:t>
      </w:r>
    </w:p>
    <w:p w14:paraId="67BBFFB0" w14:textId="77777777"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324CFC79" w14:textId="77777777" w:rsidR="00DF09CC" w:rsidRPr="00ED172B" w:rsidRDefault="00DF09CC">
      <w:pPr>
        <w:rPr>
          <w:b/>
          <w:color w:val="000000" w:themeColor="text1"/>
        </w:rPr>
      </w:pPr>
      <w:r w:rsidRPr="00ED172B">
        <w:rPr>
          <w:b/>
          <w:color w:val="000000" w:themeColor="text1"/>
        </w:rPr>
        <w:t>Data Source</w:t>
      </w:r>
    </w:p>
    <w:p w14:paraId="4E7E7942" w14:textId="77777777" w:rsidR="00DF09CC" w:rsidRPr="00ED172B" w:rsidRDefault="00A86E16" w:rsidP="0077063D">
      <w:pPr>
        <w:rPr>
          <w:color w:val="000000" w:themeColor="text1"/>
          <w:szCs w:val="16"/>
        </w:rPr>
      </w:pPr>
      <w:r w:rsidRPr="00ED172B">
        <w:rPr>
          <w:color w:val="000000" w:themeColor="text1"/>
          <w:szCs w:val="16"/>
        </w:rPr>
        <w:t xml:space="preserve">Data to be taken from monitoring or State data system and must be based on actual, not an average, number of days. Include the State’s criteria for “timely” receipt of early intervention services (i.e., the </w:t>
      </w:r>
      <w:proofErr w:type="gramStart"/>
      <w:r w:rsidRPr="00ED172B">
        <w:rPr>
          <w:color w:val="000000" w:themeColor="text1"/>
          <w:szCs w:val="16"/>
        </w:rPr>
        <w:t>time period</w:t>
      </w:r>
      <w:proofErr w:type="gramEnd"/>
      <w:r w:rsidRPr="00ED172B">
        <w:rPr>
          <w:color w:val="000000" w:themeColor="text1"/>
          <w:szCs w:val="16"/>
        </w:rPr>
        <w:t xml:space="preserve"> from parent consent to when IFSP services are </w:t>
      </w:r>
      <w:proofErr w:type="gramStart"/>
      <w:r w:rsidRPr="00ED172B">
        <w:rPr>
          <w:color w:val="000000" w:themeColor="text1"/>
          <w:szCs w:val="16"/>
        </w:rPr>
        <w:t>actually initiated</w:t>
      </w:r>
      <w:proofErr w:type="gramEnd"/>
      <w:r w:rsidRPr="00ED172B">
        <w:rPr>
          <w:color w:val="000000" w:themeColor="text1"/>
          <w:szCs w:val="16"/>
        </w:rPr>
        <w:t>).</w:t>
      </w:r>
    </w:p>
    <w:p w14:paraId="64FEC7DE" w14:textId="77777777" w:rsidR="00DF09CC" w:rsidRPr="00ED172B" w:rsidRDefault="00DF09CC">
      <w:pPr>
        <w:rPr>
          <w:b/>
          <w:color w:val="000000" w:themeColor="text1"/>
        </w:rPr>
      </w:pPr>
      <w:r w:rsidRPr="00ED172B">
        <w:rPr>
          <w:b/>
          <w:color w:val="000000" w:themeColor="text1"/>
        </w:rPr>
        <w:t>Measurement</w:t>
      </w:r>
    </w:p>
    <w:p w14:paraId="1D468942" w14:textId="77777777" w:rsidR="00A86E16" w:rsidRPr="00ED172B" w:rsidRDefault="00A86E16" w:rsidP="0077063D">
      <w:pPr>
        <w:rPr>
          <w:color w:val="000000" w:themeColor="text1"/>
          <w:szCs w:val="16"/>
        </w:rPr>
      </w:pPr>
      <w:r w:rsidRPr="00ED172B">
        <w:rPr>
          <w:color w:val="000000" w:themeColor="text1"/>
          <w:szCs w:val="16"/>
        </w:rPr>
        <w:t xml:space="preserve">Percent = </w:t>
      </w:r>
      <w:proofErr w:type="gramStart"/>
      <w:r w:rsidRPr="00ED172B">
        <w:rPr>
          <w:color w:val="000000" w:themeColor="text1"/>
          <w:szCs w:val="16"/>
        </w:rPr>
        <w:t xml:space="preserve">[(# </w:t>
      </w:r>
      <w:proofErr w:type="gramEnd"/>
      <w:r w:rsidRPr="00ED172B">
        <w:rPr>
          <w:color w:val="000000" w:themeColor="text1"/>
          <w:szCs w:val="16"/>
        </w:rPr>
        <w:t>of infants and toddlers with IFSPs who receive the early intervention services on their IFSPs in a timely manner) divided by the (total # of infants and toddlers with IFSPs)] times 100.</w:t>
      </w:r>
    </w:p>
    <w:p w14:paraId="360C7B40"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17E10AAA" w14:textId="77777777" w:rsidR="00DF09CC" w:rsidRPr="00ED172B" w:rsidRDefault="00DF09CC">
      <w:pPr>
        <w:rPr>
          <w:b/>
          <w:color w:val="000000" w:themeColor="text1"/>
        </w:rPr>
      </w:pPr>
      <w:r w:rsidRPr="00ED172B">
        <w:rPr>
          <w:b/>
          <w:color w:val="000000" w:themeColor="text1"/>
        </w:rPr>
        <w:t>Instructions</w:t>
      </w:r>
    </w:p>
    <w:p w14:paraId="2F62C904" w14:textId="77777777" w:rsidR="00A86E16" w:rsidRPr="00D21F29" w:rsidRDefault="00A86E16" w:rsidP="0077063D">
      <w:pPr>
        <w:rPr>
          <w:i/>
          <w:iCs/>
          <w:color w:val="000000" w:themeColor="text1"/>
          <w:szCs w:val="16"/>
        </w:rPr>
      </w:pPr>
      <w:r w:rsidRPr="00D21F29">
        <w:rPr>
          <w:i/>
          <w:iCs/>
          <w:color w:val="000000" w:themeColor="text1"/>
          <w:szCs w:val="16"/>
        </w:rPr>
        <w:t xml:space="preserve">If data are from State monitoring, describe the method used to select early intervention service (EIS) programs for monitoring. If data are from a </w:t>
      </w:r>
      <w:proofErr w:type="gramStart"/>
      <w:r w:rsidRPr="00D21F29">
        <w:rPr>
          <w:i/>
          <w:iCs/>
          <w:color w:val="000000" w:themeColor="text1"/>
          <w:szCs w:val="16"/>
        </w:rPr>
        <w:t>State</w:t>
      </w:r>
      <w:proofErr w:type="gramEnd"/>
      <w:r w:rsidRPr="00D21F29">
        <w:rPr>
          <w:i/>
          <w:iCs/>
          <w:color w:val="000000" w:themeColor="text1"/>
          <w:szCs w:val="16"/>
        </w:rPr>
        <w:t xml:space="preserve"> database, describe the </w:t>
      </w:r>
      <w:proofErr w:type="gramStart"/>
      <w:r w:rsidRPr="00D21F29">
        <w:rPr>
          <w:i/>
          <w:iCs/>
          <w:color w:val="000000" w:themeColor="text1"/>
          <w:szCs w:val="16"/>
        </w:rPr>
        <w:t>time period</w:t>
      </w:r>
      <w:proofErr w:type="gramEnd"/>
      <w:r w:rsidRPr="00D21F29">
        <w:rPr>
          <w:i/>
          <w:iCs/>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7BC66D33" w14:textId="77777777" w:rsidR="00A86E16" w:rsidRPr="00ED172B" w:rsidRDefault="00A86E16" w:rsidP="0077063D">
      <w:pPr>
        <w:rPr>
          <w:color w:val="000000" w:themeColor="text1"/>
          <w:szCs w:val="16"/>
        </w:rPr>
      </w:pPr>
      <w:r w:rsidRPr="00ED172B">
        <w:rPr>
          <w:color w:val="000000" w:themeColor="text1"/>
          <w:szCs w:val="16"/>
        </w:rPr>
        <w:t>Targets must be 100%.</w:t>
      </w:r>
    </w:p>
    <w:p w14:paraId="06583A10" w14:textId="77777777" w:rsidR="00A86E16" w:rsidRPr="00ED172B" w:rsidRDefault="00A86E16" w:rsidP="0077063D">
      <w:pPr>
        <w:rPr>
          <w:color w:val="000000" w:themeColor="text1"/>
          <w:szCs w:val="16"/>
        </w:rPr>
      </w:pPr>
      <w:r w:rsidRPr="00ED172B">
        <w:rPr>
          <w:color w:val="000000" w:themeColor="text1"/>
          <w:szCs w:val="16"/>
        </w:rPr>
        <w:t xml:space="preserve">Describe the results of the calculations and compare the results to the target. Describe the method used to collect </w:t>
      </w:r>
      <w:proofErr w:type="gramStart"/>
      <w:r w:rsidRPr="00ED172B">
        <w:rPr>
          <w:color w:val="000000" w:themeColor="text1"/>
          <w:szCs w:val="16"/>
        </w:rPr>
        <w:t>these</w:t>
      </w:r>
      <w:proofErr w:type="gramEnd"/>
      <w:r w:rsidRPr="00ED172B">
        <w:rPr>
          <w:color w:val="000000" w:themeColor="text1"/>
          <w:szCs w:val="16"/>
        </w:rPr>
        <w:t xml:space="preserv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14:paraId="01B82719" w14:textId="77777777" w:rsidR="00A86E16" w:rsidRPr="00ED172B" w:rsidRDefault="00A86E16" w:rsidP="0077063D">
      <w:pPr>
        <w:rPr>
          <w:color w:val="000000" w:themeColor="text1"/>
          <w:szCs w:val="16"/>
        </w:rPr>
      </w:pPr>
      <w:r w:rsidRPr="00ED172B">
        <w:rPr>
          <w:color w:val="000000" w:themeColor="text1"/>
          <w:szCs w:val="16"/>
        </w:rPr>
        <w:t xml:space="preserve">The State’s timeliness measure for this indicator must be either: (1) </w:t>
      </w:r>
      <w:proofErr w:type="gramStart"/>
      <w:r w:rsidRPr="00ED172B">
        <w:rPr>
          <w:color w:val="000000" w:themeColor="text1"/>
          <w:szCs w:val="16"/>
        </w:rPr>
        <w:t>a time period</w:t>
      </w:r>
      <w:proofErr w:type="gramEnd"/>
      <w:r w:rsidRPr="00ED172B">
        <w:rPr>
          <w:color w:val="000000" w:themeColor="text1"/>
          <w:szCs w:val="16"/>
        </w:rPr>
        <w:t xml:space="preserve"> that runs from when the parent consents to IFSP services; or (2) the IFSP initiation date (established by the IFSP Team, including the parent).</w:t>
      </w:r>
    </w:p>
    <w:p w14:paraId="10C08ECD" w14:textId="77777777" w:rsidR="00A86E16" w:rsidRPr="00ED172B" w:rsidRDefault="00A86E16" w:rsidP="0077063D">
      <w:pPr>
        <w:rPr>
          <w:color w:val="000000" w:themeColor="text1"/>
          <w:szCs w:val="16"/>
        </w:rPr>
      </w:pPr>
      <w:r w:rsidRPr="00ED172B">
        <w:rPr>
          <w:color w:val="000000" w:themeColor="text1"/>
          <w:szCs w:val="16"/>
        </w:rPr>
        <w:t xml:space="preserve">States are not required to report in their calculation the number of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4633021A" w14:textId="77777777" w:rsidR="00A86E16" w:rsidRPr="00ED172B" w:rsidRDefault="00A86E16" w:rsidP="0077063D">
      <w:pPr>
        <w:rPr>
          <w:color w:val="000000" w:themeColor="text1"/>
          <w:szCs w:val="16"/>
        </w:rPr>
      </w:pPr>
      <w:r w:rsidRPr="00ED172B">
        <w:rPr>
          <w:color w:val="000000" w:themeColor="text1"/>
          <w:szCs w:val="16"/>
        </w:rPr>
        <w:t>Provide detailed information about the timely correction of child-specific and regulatory/systemic 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2DE46FB2" w14:textId="77777777"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2F9DC7BF" w14:textId="77777777" w:rsidR="00193E59" w:rsidRPr="00EC51AB" w:rsidRDefault="00E40237" w:rsidP="0077063D">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bookmarkEnd w:id="2"/>
    <w:p w14:paraId="5304BA2F" w14:textId="77777777" w:rsidR="005E59DB" w:rsidRPr="00A40EE1" w:rsidRDefault="000D0117" w:rsidP="005C3FFD">
      <w:pPr>
        <w:pStyle w:val="Heading2"/>
      </w:pPr>
      <w:r w:rsidRPr="00A40EE1">
        <w:t xml:space="preserve">1 - </w:t>
      </w:r>
      <w:r w:rsidR="0077063D" w:rsidRPr="00A40EE1">
        <w:t>Indicator Data</w:t>
      </w:r>
    </w:p>
    <w:p w14:paraId="77678812" w14:textId="77777777" w:rsidR="00761753" w:rsidRDefault="00761753">
      <w:pPr>
        <w:rPr>
          <w:b/>
          <w:color w:val="000000" w:themeColor="text1"/>
        </w:rPr>
      </w:pPr>
      <w:bookmarkStart w:id="3"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6E3DFC79" w14:textId="77777777" w:rsidTr="00A40EE1">
        <w:trPr>
          <w:trHeight w:val="311"/>
          <w:tblHeader/>
        </w:trPr>
        <w:tc>
          <w:tcPr>
            <w:tcW w:w="1797" w:type="dxa"/>
          </w:tcPr>
          <w:p w14:paraId="59DC0310"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686E65A3"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45515FB5" w14:textId="77777777" w:rsidTr="00A40EE1">
        <w:trPr>
          <w:trHeight w:val="311"/>
        </w:trPr>
        <w:tc>
          <w:tcPr>
            <w:tcW w:w="1797" w:type="dxa"/>
            <w:vAlign w:val="center"/>
          </w:tcPr>
          <w:p w14:paraId="5B0B9B20" w14:textId="77777777" w:rsidR="000A2C40" w:rsidRDefault="000A2C40" w:rsidP="000A2C40">
            <w:pPr>
              <w:jc w:val="center"/>
              <w:rPr>
                <w:b/>
                <w:color w:val="000000" w:themeColor="text1"/>
              </w:rPr>
            </w:pPr>
            <w:r w:rsidRPr="005C29F8">
              <w:rPr>
                <w:rFonts w:cs="Arial"/>
                <w:color w:val="000000" w:themeColor="text1"/>
                <w:szCs w:val="16"/>
              </w:rPr>
              <w:t>2005</w:t>
            </w:r>
          </w:p>
        </w:tc>
        <w:tc>
          <w:tcPr>
            <w:tcW w:w="1798" w:type="dxa"/>
            <w:vAlign w:val="center"/>
          </w:tcPr>
          <w:p w14:paraId="674B0D7D" w14:textId="77777777" w:rsidR="000A2C40" w:rsidRDefault="000A2C40" w:rsidP="000A2C40">
            <w:pPr>
              <w:jc w:val="center"/>
              <w:rPr>
                <w:b/>
                <w:color w:val="000000" w:themeColor="text1"/>
              </w:rPr>
            </w:pPr>
            <w:r w:rsidRPr="005C29F8">
              <w:rPr>
                <w:rFonts w:cs="Arial"/>
                <w:color w:val="000000" w:themeColor="text1"/>
                <w:szCs w:val="16"/>
              </w:rPr>
              <w:t>99.00%</w:t>
            </w:r>
          </w:p>
        </w:tc>
      </w:tr>
    </w:tbl>
    <w:p w14:paraId="5DD180CA"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41002192" w14:textId="77777777" w:rsidTr="00986B99">
        <w:trPr>
          <w:trHeight w:val="350"/>
        </w:trPr>
        <w:tc>
          <w:tcPr>
            <w:tcW w:w="456" w:type="pct"/>
            <w:tcBorders>
              <w:bottom w:val="single" w:sz="4" w:space="0" w:color="auto"/>
            </w:tcBorders>
          </w:tcPr>
          <w:p w14:paraId="49469DA6"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vAlign w:val="center"/>
          </w:tcPr>
          <w:p w14:paraId="351AC219" w14:textId="77777777" w:rsidR="003A4D77" w:rsidRPr="00ED172B" w:rsidRDefault="002163F2" w:rsidP="003A4D77">
            <w:pPr>
              <w:jc w:val="center"/>
              <w:rPr>
                <w:b/>
                <w:color w:val="000000" w:themeColor="text1"/>
                <w:szCs w:val="16"/>
              </w:rPr>
            </w:pPr>
            <w:r w:rsidRPr="00ED172B">
              <w:rPr>
                <w:rFonts w:cs="Arial"/>
                <w:b/>
                <w:color w:val="000000" w:themeColor="text1"/>
                <w:szCs w:val="16"/>
              </w:rPr>
              <w:t>2019</w:t>
            </w:r>
          </w:p>
        </w:tc>
        <w:tc>
          <w:tcPr>
            <w:tcW w:w="918" w:type="pct"/>
            <w:vAlign w:val="center"/>
          </w:tcPr>
          <w:p w14:paraId="5E94F5EC" w14:textId="77777777" w:rsidR="003A4D77" w:rsidRPr="00ED172B" w:rsidRDefault="002163F2" w:rsidP="003A4D77">
            <w:pPr>
              <w:jc w:val="center"/>
              <w:rPr>
                <w:b/>
                <w:color w:val="000000" w:themeColor="text1"/>
                <w:szCs w:val="16"/>
              </w:rPr>
            </w:pPr>
            <w:r w:rsidRPr="00ED172B">
              <w:rPr>
                <w:rFonts w:cs="Arial"/>
                <w:b/>
                <w:color w:val="000000" w:themeColor="text1"/>
                <w:szCs w:val="16"/>
              </w:rPr>
              <w:t>2020</w:t>
            </w:r>
          </w:p>
        </w:tc>
        <w:tc>
          <w:tcPr>
            <w:tcW w:w="850" w:type="pct"/>
            <w:vAlign w:val="center"/>
          </w:tcPr>
          <w:p w14:paraId="13AB4B75" w14:textId="77777777" w:rsidR="003A4D77" w:rsidRPr="00ED172B" w:rsidRDefault="002163F2" w:rsidP="003A4D77">
            <w:pPr>
              <w:jc w:val="center"/>
              <w:rPr>
                <w:b/>
                <w:color w:val="000000" w:themeColor="text1"/>
                <w:szCs w:val="16"/>
              </w:rPr>
            </w:pPr>
            <w:r w:rsidRPr="00ED172B">
              <w:rPr>
                <w:rFonts w:cs="Arial"/>
                <w:b/>
                <w:color w:val="000000" w:themeColor="text1"/>
                <w:szCs w:val="16"/>
              </w:rPr>
              <w:t>2021</w:t>
            </w:r>
          </w:p>
        </w:tc>
        <w:tc>
          <w:tcPr>
            <w:tcW w:w="930" w:type="pct"/>
            <w:vAlign w:val="center"/>
          </w:tcPr>
          <w:p w14:paraId="2D7A907C" w14:textId="77777777" w:rsidR="003A4D77" w:rsidRPr="00ED172B" w:rsidRDefault="002163F2" w:rsidP="003A4D77">
            <w:pPr>
              <w:jc w:val="center"/>
              <w:rPr>
                <w:b/>
                <w:color w:val="000000" w:themeColor="text1"/>
                <w:szCs w:val="16"/>
              </w:rPr>
            </w:pPr>
            <w:r w:rsidRPr="00ED172B">
              <w:rPr>
                <w:rFonts w:cs="Arial"/>
                <w:b/>
                <w:color w:val="000000" w:themeColor="text1"/>
                <w:szCs w:val="16"/>
              </w:rPr>
              <w:t>2022</w:t>
            </w:r>
          </w:p>
        </w:tc>
        <w:tc>
          <w:tcPr>
            <w:tcW w:w="929" w:type="pct"/>
            <w:vAlign w:val="center"/>
          </w:tcPr>
          <w:p w14:paraId="5205BBBD" w14:textId="77777777" w:rsidR="003A4D77" w:rsidRPr="00ED172B" w:rsidRDefault="006D43D3" w:rsidP="003A4D77">
            <w:pPr>
              <w:jc w:val="center"/>
              <w:rPr>
                <w:b/>
                <w:color w:val="000000" w:themeColor="text1"/>
                <w:szCs w:val="16"/>
              </w:rPr>
            </w:pPr>
            <w:r w:rsidRPr="00ED172B">
              <w:rPr>
                <w:rFonts w:cs="Arial"/>
                <w:b/>
                <w:color w:val="000000" w:themeColor="text1"/>
                <w:szCs w:val="16"/>
              </w:rPr>
              <w:t>2023</w:t>
            </w:r>
          </w:p>
        </w:tc>
      </w:tr>
      <w:tr w:rsidR="00ED172B" w:rsidRPr="00ED172B" w14:paraId="3764A5AE" w14:textId="77777777" w:rsidTr="00986B99">
        <w:trPr>
          <w:trHeight w:val="357"/>
        </w:trPr>
        <w:tc>
          <w:tcPr>
            <w:tcW w:w="456" w:type="pct"/>
          </w:tcPr>
          <w:p w14:paraId="3D14A4B2" w14:textId="77777777" w:rsidR="00CB5BE6" w:rsidRPr="00ED172B" w:rsidRDefault="00CB5BE6" w:rsidP="00D21F29">
            <w:pPr>
              <w:jc w:val="center"/>
              <w:rPr>
                <w:color w:val="000000" w:themeColor="text1"/>
                <w:szCs w:val="16"/>
              </w:rPr>
            </w:pPr>
            <w:r w:rsidRPr="00ED172B">
              <w:rPr>
                <w:color w:val="000000" w:themeColor="text1"/>
                <w:szCs w:val="16"/>
              </w:rPr>
              <w:t>Target</w:t>
            </w:r>
          </w:p>
        </w:tc>
        <w:tc>
          <w:tcPr>
            <w:tcW w:w="917" w:type="pct"/>
          </w:tcPr>
          <w:p w14:paraId="5BFF2584"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tcPr>
          <w:p w14:paraId="664F2586"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tcPr>
          <w:p w14:paraId="055F6717"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tcPr>
          <w:p w14:paraId="380295ED"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tcPr>
          <w:p w14:paraId="563E8441" w14:textId="77777777"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59A6D502" w14:textId="77777777" w:rsidTr="00986B99">
        <w:trPr>
          <w:trHeight w:val="85"/>
        </w:trPr>
        <w:tc>
          <w:tcPr>
            <w:tcW w:w="456" w:type="pct"/>
          </w:tcPr>
          <w:p w14:paraId="2B34C58D" w14:textId="77777777" w:rsidR="003A4D77" w:rsidRPr="00ED172B" w:rsidRDefault="003A4D77" w:rsidP="00D21F29">
            <w:pPr>
              <w:jc w:val="center"/>
              <w:rPr>
                <w:color w:val="000000" w:themeColor="text1"/>
                <w:szCs w:val="16"/>
              </w:rPr>
            </w:pPr>
            <w:r w:rsidRPr="00ED172B">
              <w:rPr>
                <w:color w:val="000000" w:themeColor="text1"/>
                <w:szCs w:val="16"/>
              </w:rPr>
              <w:t>Data</w:t>
            </w:r>
          </w:p>
        </w:tc>
        <w:tc>
          <w:tcPr>
            <w:tcW w:w="917" w:type="pct"/>
            <w:vAlign w:val="center"/>
          </w:tcPr>
          <w:p w14:paraId="228B74B0" w14:textId="77777777" w:rsidR="003A4D77" w:rsidRPr="00ED172B" w:rsidRDefault="00860830" w:rsidP="003A4D77">
            <w:pPr>
              <w:jc w:val="center"/>
              <w:rPr>
                <w:color w:val="000000" w:themeColor="text1"/>
                <w:szCs w:val="16"/>
              </w:rPr>
            </w:pPr>
            <w:r w:rsidRPr="00ED172B">
              <w:rPr>
                <w:rFonts w:cs="Arial"/>
                <w:color w:val="000000" w:themeColor="text1"/>
                <w:szCs w:val="16"/>
              </w:rPr>
              <w:t>97.47%</w:t>
            </w:r>
          </w:p>
        </w:tc>
        <w:tc>
          <w:tcPr>
            <w:tcW w:w="918" w:type="pct"/>
            <w:tcBorders>
              <w:bottom w:val="single" w:sz="4" w:space="0" w:color="auto"/>
            </w:tcBorders>
            <w:vAlign w:val="center"/>
          </w:tcPr>
          <w:p w14:paraId="5B083BD5" w14:textId="77777777" w:rsidR="003A4D77" w:rsidRPr="00ED172B" w:rsidRDefault="00860830" w:rsidP="003A4D77">
            <w:pPr>
              <w:jc w:val="center"/>
              <w:rPr>
                <w:color w:val="000000" w:themeColor="text1"/>
                <w:szCs w:val="16"/>
              </w:rPr>
            </w:pPr>
            <w:r w:rsidRPr="00ED172B">
              <w:rPr>
                <w:rFonts w:cs="Arial"/>
                <w:color w:val="000000" w:themeColor="text1"/>
                <w:szCs w:val="16"/>
              </w:rPr>
              <w:t>96.84%</w:t>
            </w:r>
          </w:p>
        </w:tc>
        <w:tc>
          <w:tcPr>
            <w:tcW w:w="850" w:type="pct"/>
            <w:tcBorders>
              <w:bottom w:val="single" w:sz="4" w:space="0" w:color="auto"/>
            </w:tcBorders>
            <w:vAlign w:val="center"/>
          </w:tcPr>
          <w:p w14:paraId="65EC478C" w14:textId="77777777" w:rsidR="003A4D77" w:rsidRPr="00ED172B" w:rsidRDefault="00860830" w:rsidP="003A4D77">
            <w:pPr>
              <w:jc w:val="center"/>
              <w:rPr>
                <w:color w:val="000000" w:themeColor="text1"/>
                <w:szCs w:val="16"/>
              </w:rPr>
            </w:pPr>
            <w:r w:rsidRPr="00ED172B">
              <w:rPr>
                <w:rFonts w:cs="Arial"/>
                <w:color w:val="000000" w:themeColor="text1"/>
                <w:szCs w:val="16"/>
              </w:rPr>
              <w:t>97.97%</w:t>
            </w:r>
          </w:p>
        </w:tc>
        <w:tc>
          <w:tcPr>
            <w:tcW w:w="930" w:type="pct"/>
            <w:tcBorders>
              <w:bottom w:val="single" w:sz="4" w:space="0" w:color="auto"/>
            </w:tcBorders>
            <w:vAlign w:val="center"/>
          </w:tcPr>
          <w:p w14:paraId="3481B8A7" w14:textId="77777777" w:rsidR="003A4D77" w:rsidRPr="00ED172B" w:rsidRDefault="00860830" w:rsidP="003A4D77">
            <w:pPr>
              <w:jc w:val="center"/>
              <w:rPr>
                <w:color w:val="000000" w:themeColor="text1"/>
                <w:szCs w:val="16"/>
              </w:rPr>
            </w:pPr>
            <w:r w:rsidRPr="00ED172B">
              <w:rPr>
                <w:rFonts w:cs="Arial"/>
                <w:color w:val="000000" w:themeColor="text1"/>
                <w:szCs w:val="16"/>
              </w:rPr>
              <w:t>98.72%</w:t>
            </w:r>
          </w:p>
        </w:tc>
        <w:tc>
          <w:tcPr>
            <w:tcW w:w="929" w:type="pct"/>
            <w:tcBorders>
              <w:bottom w:val="single" w:sz="4" w:space="0" w:color="auto"/>
            </w:tcBorders>
            <w:vAlign w:val="center"/>
          </w:tcPr>
          <w:p w14:paraId="6F959CA2" w14:textId="77777777" w:rsidR="003A4D77" w:rsidRPr="00ED172B" w:rsidRDefault="00860830" w:rsidP="003A4D77">
            <w:pPr>
              <w:jc w:val="center"/>
              <w:rPr>
                <w:color w:val="000000" w:themeColor="text1"/>
                <w:szCs w:val="16"/>
              </w:rPr>
            </w:pPr>
            <w:r w:rsidRPr="00ED172B">
              <w:rPr>
                <w:rFonts w:cs="Arial"/>
                <w:color w:val="000000" w:themeColor="text1"/>
                <w:szCs w:val="16"/>
              </w:rPr>
              <w:t>96.13%</w:t>
            </w:r>
          </w:p>
        </w:tc>
      </w:tr>
    </w:tbl>
    <w:p w14:paraId="704685C4" w14:textId="77777777" w:rsidR="000A2C40" w:rsidRDefault="000A2C40">
      <w:pPr>
        <w:rPr>
          <w:b/>
          <w:color w:val="000000" w:themeColor="text1"/>
        </w:rPr>
      </w:pPr>
    </w:p>
    <w:p w14:paraId="5C869A73" w14:textId="77777777" w:rsidR="00B609A4" w:rsidRPr="00ED172B" w:rsidRDefault="00B609A4">
      <w:pPr>
        <w:rPr>
          <w:b/>
          <w:color w:val="000000" w:themeColor="text1"/>
        </w:rPr>
      </w:pPr>
      <w:r w:rsidRPr="00ED172B">
        <w:rPr>
          <w:b/>
          <w:color w:val="000000" w:themeColor="text1"/>
        </w:rPr>
        <w:t>Targets</w:t>
      </w:r>
    </w:p>
    <w:tbl>
      <w:tblPr>
        <w:tblW w:w="1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80"/>
        <w:gridCol w:w="1688"/>
        <w:gridCol w:w="1685"/>
      </w:tblGrid>
      <w:tr w:rsidR="00CF59E2" w:rsidRPr="00ED172B" w14:paraId="4CC64CE5" w14:textId="77777777" w:rsidTr="00811738">
        <w:trPr>
          <w:trHeight w:val="350"/>
        </w:trPr>
        <w:tc>
          <w:tcPr>
            <w:tcW w:w="838" w:type="pct"/>
            <w:tcBorders>
              <w:bottom w:val="single" w:sz="4" w:space="0" w:color="auto"/>
            </w:tcBorders>
          </w:tcPr>
          <w:p w14:paraId="32E01D7F" w14:textId="77777777" w:rsidR="00CF59E2" w:rsidRPr="00ED172B" w:rsidRDefault="00CF59E2" w:rsidP="00E01C49">
            <w:pPr>
              <w:jc w:val="center"/>
              <w:rPr>
                <w:b/>
                <w:color w:val="000000" w:themeColor="text1"/>
                <w:szCs w:val="16"/>
              </w:rPr>
            </w:pPr>
            <w:r w:rsidRPr="00ED172B">
              <w:rPr>
                <w:b/>
                <w:color w:val="000000" w:themeColor="text1"/>
                <w:szCs w:val="16"/>
              </w:rPr>
              <w:t>FFY</w:t>
            </w:r>
          </w:p>
        </w:tc>
        <w:tc>
          <w:tcPr>
            <w:tcW w:w="2083" w:type="pct"/>
            <w:vAlign w:val="center"/>
          </w:tcPr>
          <w:p w14:paraId="5AD8644E" w14:textId="77777777" w:rsidR="00CF59E2" w:rsidRPr="00ED172B" w:rsidRDefault="00CF59E2" w:rsidP="003A4D77">
            <w:pPr>
              <w:jc w:val="center"/>
              <w:rPr>
                <w:b/>
                <w:color w:val="000000" w:themeColor="text1"/>
                <w:szCs w:val="16"/>
              </w:rPr>
            </w:pPr>
            <w:r w:rsidRPr="00ED172B">
              <w:rPr>
                <w:rFonts w:cs="Arial"/>
                <w:b/>
                <w:color w:val="000000" w:themeColor="text1"/>
                <w:szCs w:val="16"/>
              </w:rPr>
              <w:t>2024</w:t>
            </w:r>
          </w:p>
        </w:tc>
        <w:tc>
          <w:tcPr>
            <w:tcW w:w="2079" w:type="pct"/>
          </w:tcPr>
          <w:p w14:paraId="3A8CF601" w14:textId="77777777" w:rsidR="00CF59E2" w:rsidRPr="00ED172B" w:rsidRDefault="00CF59E2" w:rsidP="003A4D77">
            <w:pPr>
              <w:jc w:val="center"/>
              <w:rPr>
                <w:rFonts w:cs="Arial"/>
                <w:b/>
                <w:color w:val="000000" w:themeColor="text1"/>
                <w:szCs w:val="16"/>
              </w:rPr>
            </w:pPr>
            <w:r>
              <w:rPr>
                <w:rFonts w:cs="Arial"/>
                <w:b/>
                <w:color w:val="000000" w:themeColor="text1"/>
                <w:szCs w:val="16"/>
              </w:rPr>
              <w:t>2025</w:t>
            </w:r>
          </w:p>
        </w:tc>
      </w:tr>
      <w:tr w:rsidR="00CF59E2" w:rsidRPr="00ED172B" w14:paraId="63918CA7" w14:textId="77777777" w:rsidTr="00811738">
        <w:trPr>
          <w:trHeight w:val="357"/>
        </w:trPr>
        <w:tc>
          <w:tcPr>
            <w:tcW w:w="838" w:type="pct"/>
          </w:tcPr>
          <w:p w14:paraId="6E80C06F"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083" w:type="pct"/>
          </w:tcPr>
          <w:p w14:paraId="5C635AF5" w14:textId="77777777" w:rsidR="00CF59E2" w:rsidRPr="00ED172B" w:rsidRDefault="00CF59E2" w:rsidP="00715B7C">
            <w:pPr>
              <w:jc w:val="center"/>
              <w:rPr>
                <w:color w:val="000000" w:themeColor="text1"/>
                <w:szCs w:val="16"/>
              </w:rPr>
            </w:pPr>
            <w:r w:rsidRPr="00ED172B">
              <w:rPr>
                <w:color w:val="000000" w:themeColor="text1"/>
                <w:szCs w:val="16"/>
              </w:rPr>
              <w:t>100%</w:t>
            </w:r>
          </w:p>
        </w:tc>
        <w:tc>
          <w:tcPr>
            <w:tcW w:w="2079" w:type="pct"/>
          </w:tcPr>
          <w:p w14:paraId="6AA553ED" w14:textId="77777777" w:rsidR="00CF59E2" w:rsidRPr="00ED172B" w:rsidRDefault="00CF59E2" w:rsidP="00715B7C">
            <w:pPr>
              <w:jc w:val="center"/>
              <w:rPr>
                <w:color w:val="000000" w:themeColor="text1"/>
                <w:szCs w:val="16"/>
              </w:rPr>
            </w:pPr>
            <w:r>
              <w:rPr>
                <w:color w:val="000000" w:themeColor="text1"/>
                <w:szCs w:val="16"/>
              </w:rPr>
              <w:t>100%</w:t>
            </w:r>
          </w:p>
        </w:tc>
      </w:tr>
    </w:tbl>
    <w:p w14:paraId="61CDCF89" w14:textId="77777777" w:rsidR="000A2C40" w:rsidRDefault="000A2C40">
      <w:pPr>
        <w:rPr>
          <w:b/>
          <w:color w:val="000000" w:themeColor="text1"/>
        </w:rPr>
      </w:pPr>
    </w:p>
    <w:p w14:paraId="2F9FB80D" w14:textId="77777777" w:rsidR="00441FB4" w:rsidRPr="00ED172B" w:rsidRDefault="00F22D09">
      <w:pPr>
        <w:rPr>
          <w:b/>
          <w:color w:val="000000" w:themeColor="text1"/>
        </w:rPr>
      </w:pPr>
      <w:r>
        <w:rPr>
          <w:b/>
          <w:color w:val="000000" w:themeColor="text1"/>
        </w:rPr>
        <w:t>FFY 2024 SPP/APR Data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7"/>
        <w:gridCol w:w="1278"/>
        <w:gridCol w:w="1912"/>
        <w:gridCol w:w="1152"/>
        <w:gridCol w:w="1459"/>
        <w:gridCol w:w="1411"/>
      </w:tblGrid>
      <w:tr w:rsidR="00ED172B" w:rsidRPr="00ED172B" w14:paraId="06F1DACD" w14:textId="77777777" w:rsidTr="00A40EE1">
        <w:trPr>
          <w:tblHeader/>
        </w:trPr>
        <w:tc>
          <w:tcPr>
            <w:tcW w:w="793" w:type="pct"/>
            <w:vAlign w:val="bottom"/>
          </w:tcPr>
          <w:p w14:paraId="1D64992D" w14:textId="77777777" w:rsidR="006A05A9" w:rsidRPr="00ED172B" w:rsidRDefault="006A05A9" w:rsidP="006A05A9">
            <w:pPr>
              <w:jc w:val="center"/>
              <w:rPr>
                <w:b/>
                <w:color w:val="000000" w:themeColor="text1"/>
                <w:szCs w:val="16"/>
              </w:rPr>
            </w:pPr>
            <w:bookmarkStart w:id="4" w:name="_Toc392159261"/>
            <w:r w:rsidRPr="00ED172B">
              <w:rPr>
                <w:b/>
                <w:color w:val="000000" w:themeColor="text1"/>
                <w:szCs w:val="16"/>
              </w:rPr>
              <w:lastRenderedPageBreak/>
              <w:t>Number of infants and toddlers with IFSPs who receive the early intervention services on their IFSPs in a timely manner</w:t>
            </w:r>
          </w:p>
        </w:tc>
        <w:tc>
          <w:tcPr>
            <w:tcW w:w="865" w:type="pct"/>
            <w:vAlign w:val="bottom"/>
          </w:tcPr>
          <w:p w14:paraId="37550DA5"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vAlign w:val="bottom"/>
          </w:tcPr>
          <w:p w14:paraId="54F9328E" w14:textId="77777777" w:rsidR="006A05A9" w:rsidRPr="00ED172B" w:rsidRDefault="00CD74B5" w:rsidP="006A05A9">
            <w:pPr>
              <w:jc w:val="center"/>
              <w:rPr>
                <w:b/>
                <w:color w:val="000000" w:themeColor="text1"/>
                <w:szCs w:val="16"/>
              </w:rPr>
            </w:pPr>
            <w:r>
              <w:rPr>
                <w:rFonts w:cs="Arial"/>
                <w:b/>
                <w:color w:val="000000" w:themeColor="text1"/>
                <w:szCs w:val="16"/>
              </w:rPr>
              <w:t>FFY 2023 Data</w:t>
            </w:r>
          </w:p>
        </w:tc>
        <w:tc>
          <w:tcPr>
            <w:tcW w:w="886" w:type="pct"/>
            <w:vAlign w:val="bottom"/>
          </w:tcPr>
          <w:p w14:paraId="77155397" w14:textId="77777777" w:rsidR="006A05A9" w:rsidRPr="00ED172B" w:rsidRDefault="00F22D09" w:rsidP="006A05A9">
            <w:pPr>
              <w:jc w:val="center"/>
              <w:rPr>
                <w:b/>
                <w:color w:val="000000" w:themeColor="text1"/>
                <w:szCs w:val="16"/>
              </w:rPr>
            </w:pPr>
            <w:r>
              <w:rPr>
                <w:rFonts w:cs="Arial"/>
                <w:b/>
                <w:color w:val="000000" w:themeColor="text1"/>
                <w:szCs w:val="16"/>
              </w:rPr>
              <w:t>FFY 2024 Target</w:t>
            </w:r>
          </w:p>
        </w:tc>
        <w:tc>
          <w:tcPr>
            <w:tcW w:w="534" w:type="pct"/>
            <w:vAlign w:val="bottom"/>
          </w:tcPr>
          <w:p w14:paraId="0834B82D" w14:textId="77777777" w:rsidR="006A05A9" w:rsidRPr="00ED172B" w:rsidRDefault="00F22D09" w:rsidP="006A05A9">
            <w:pPr>
              <w:jc w:val="center"/>
              <w:rPr>
                <w:b/>
                <w:color w:val="000000" w:themeColor="text1"/>
                <w:szCs w:val="16"/>
              </w:rPr>
            </w:pPr>
            <w:r>
              <w:rPr>
                <w:rFonts w:cs="Arial"/>
                <w:b/>
                <w:color w:val="000000" w:themeColor="text1"/>
                <w:szCs w:val="16"/>
              </w:rPr>
              <w:t>FFY 2024 Data</w:t>
            </w:r>
          </w:p>
        </w:tc>
        <w:tc>
          <w:tcPr>
            <w:tcW w:w="676" w:type="pct"/>
            <w:vAlign w:val="bottom"/>
          </w:tcPr>
          <w:p w14:paraId="698A549C" w14:textId="77777777"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vAlign w:val="bottom"/>
          </w:tcPr>
          <w:p w14:paraId="7ADCE2B3" w14:textId="77777777"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6CA8992F" w14:textId="77777777" w:rsidTr="00A40EE1">
        <w:tc>
          <w:tcPr>
            <w:tcW w:w="793" w:type="pct"/>
            <w:vAlign w:val="center"/>
          </w:tcPr>
          <w:p w14:paraId="0763A200" w14:textId="77777777" w:rsidR="00F97A57" w:rsidRPr="00ED172B" w:rsidRDefault="00860830" w:rsidP="00F97A57">
            <w:pPr>
              <w:jc w:val="center"/>
              <w:rPr>
                <w:color w:val="000000" w:themeColor="text1"/>
                <w:szCs w:val="16"/>
              </w:rPr>
            </w:pPr>
            <w:r w:rsidRPr="00ED172B">
              <w:rPr>
                <w:color w:val="000000" w:themeColor="text1"/>
                <w:szCs w:val="16"/>
              </w:rPr>
              <w:t>146</w:t>
            </w:r>
          </w:p>
        </w:tc>
        <w:tc>
          <w:tcPr>
            <w:tcW w:w="865" w:type="pct"/>
            <w:vAlign w:val="center"/>
          </w:tcPr>
          <w:p w14:paraId="144A7DF8" w14:textId="77777777" w:rsidR="00F97A57" w:rsidRPr="00ED172B" w:rsidRDefault="00860830" w:rsidP="00F97A57">
            <w:pPr>
              <w:jc w:val="center"/>
              <w:rPr>
                <w:color w:val="000000" w:themeColor="text1"/>
                <w:szCs w:val="16"/>
              </w:rPr>
            </w:pPr>
            <w:r w:rsidRPr="00ED172B">
              <w:rPr>
                <w:color w:val="000000" w:themeColor="text1"/>
                <w:szCs w:val="16"/>
              </w:rPr>
              <w:t>151</w:t>
            </w:r>
          </w:p>
        </w:tc>
        <w:tc>
          <w:tcPr>
            <w:tcW w:w="592" w:type="pct"/>
          </w:tcPr>
          <w:p w14:paraId="08CF4DC4" w14:textId="77777777" w:rsidR="00F97A57" w:rsidRPr="00ED172B" w:rsidRDefault="00860830" w:rsidP="00F97A57">
            <w:pPr>
              <w:jc w:val="center"/>
              <w:rPr>
                <w:color w:val="000000" w:themeColor="text1"/>
                <w:szCs w:val="16"/>
              </w:rPr>
            </w:pPr>
            <w:r w:rsidRPr="00ED172B">
              <w:rPr>
                <w:rFonts w:cs="Arial"/>
                <w:color w:val="000000" w:themeColor="text1"/>
                <w:szCs w:val="16"/>
              </w:rPr>
              <w:t>96.13%</w:t>
            </w:r>
          </w:p>
        </w:tc>
        <w:tc>
          <w:tcPr>
            <w:tcW w:w="886" w:type="pct"/>
          </w:tcPr>
          <w:p w14:paraId="13E7144C" w14:textId="77777777"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tcPr>
          <w:p w14:paraId="23027503" w14:textId="77777777" w:rsidR="00F97A57" w:rsidRPr="00ED172B" w:rsidRDefault="00860830" w:rsidP="00F97A57">
            <w:pPr>
              <w:jc w:val="center"/>
              <w:rPr>
                <w:color w:val="000000" w:themeColor="text1"/>
                <w:szCs w:val="16"/>
              </w:rPr>
            </w:pPr>
            <w:r w:rsidRPr="00ED172B">
              <w:rPr>
                <w:rFonts w:cs="Arial"/>
                <w:color w:val="000000" w:themeColor="text1"/>
                <w:szCs w:val="16"/>
              </w:rPr>
              <w:t>97.35%</w:t>
            </w:r>
          </w:p>
        </w:tc>
        <w:tc>
          <w:tcPr>
            <w:tcW w:w="676" w:type="pct"/>
          </w:tcPr>
          <w:p w14:paraId="304FBFEB" w14:textId="77777777"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tcPr>
          <w:p w14:paraId="7E826D50" w14:textId="77777777" w:rsidR="00F97A57" w:rsidRPr="00ED172B" w:rsidRDefault="005E414F" w:rsidP="00027F39">
            <w:pPr>
              <w:jc w:val="center"/>
              <w:rPr>
                <w:color w:val="000000" w:themeColor="text1"/>
              </w:rPr>
            </w:pPr>
            <w:r w:rsidRPr="00ED172B">
              <w:rPr>
                <w:rFonts w:cs="Arial"/>
                <w:color w:val="000000" w:themeColor="text1"/>
                <w:szCs w:val="16"/>
              </w:rPr>
              <w:t>No Slippage</w:t>
            </w:r>
          </w:p>
        </w:tc>
      </w:tr>
    </w:tbl>
    <w:p w14:paraId="1B099B7C" w14:textId="77777777"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5A9E9DD1" w14:textId="77777777"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1219367E" w14:textId="77777777" w:rsidR="00B54E6C" w:rsidRPr="00ED172B" w:rsidRDefault="00B54E6C" w:rsidP="00133698">
      <w:pPr>
        <w:rPr>
          <w:rFonts w:cs="Arial"/>
          <w:color w:val="000000" w:themeColor="text1"/>
          <w:szCs w:val="16"/>
        </w:rPr>
      </w:pPr>
      <w:bookmarkStart w:id="5" w:name="_Toc382082358"/>
      <w:bookmarkEnd w:id="4"/>
      <w:r w:rsidRPr="00ED172B">
        <w:rPr>
          <w:color w:val="000000" w:themeColor="text1"/>
          <w:szCs w:val="16"/>
        </w:rPr>
        <w:t>1</w:t>
      </w:r>
    </w:p>
    <w:p w14:paraId="6C4C31E6" w14:textId="7777777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42233240" w14:textId="77777777" w:rsidR="003739C5" w:rsidRPr="00ED172B" w:rsidRDefault="003739C5" w:rsidP="003739C5">
      <w:pPr>
        <w:rPr>
          <w:rFonts w:cs="Arial"/>
          <w:color w:val="000000" w:themeColor="text1"/>
          <w:szCs w:val="16"/>
        </w:rPr>
      </w:pPr>
      <w:r w:rsidRPr="00ED172B">
        <w:rPr>
          <w:color w:val="000000" w:themeColor="text1"/>
          <w:szCs w:val="16"/>
        </w:rPr>
        <w:t xml:space="preserve">In addition to one delay attributed to exceptional family circumstances due to the child being absent, four delays were associated with agency-related factors. Two delays resulted from staff illness or absence, which required rescheduling services beyond Oregon’s definition of timely receipt of services. The remaining two delays occurred when staff scheduled services after the start date documented on the IFSP. </w:t>
      </w:r>
    </w:p>
    <w:p w14:paraId="5B4B9817" w14:textId="77777777" w:rsidR="007E0FCC" w:rsidRPr="00ED172B" w:rsidRDefault="00A86E16" w:rsidP="00133698">
      <w:pPr>
        <w:rPr>
          <w:rFonts w:cs="Arial"/>
          <w:b/>
          <w:color w:val="000000" w:themeColor="text1"/>
          <w:szCs w:val="16"/>
        </w:rPr>
      </w:pPr>
      <w:r w:rsidRPr="00ED172B">
        <w:rPr>
          <w:rFonts w:cs="Arial"/>
          <w:b/>
          <w:color w:val="000000" w:themeColor="text1"/>
          <w:szCs w:val="16"/>
        </w:rPr>
        <w:t xml:space="preserve">Include your </w:t>
      </w:r>
      <w:proofErr w:type="gramStart"/>
      <w:r w:rsidRPr="00ED172B">
        <w:rPr>
          <w:rFonts w:cs="Arial"/>
          <w:b/>
          <w:color w:val="000000" w:themeColor="text1"/>
          <w:szCs w:val="16"/>
        </w:rPr>
        <w:t>State’s</w:t>
      </w:r>
      <w:proofErr w:type="gramEnd"/>
      <w:r w:rsidRPr="00ED172B">
        <w:rPr>
          <w:rFonts w:cs="Arial"/>
          <w:b/>
          <w:color w:val="000000" w:themeColor="text1"/>
          <w:szCs w:val="16"/>
        </w:rPr>
        <w:t xml:space="preserve"> criteria for “timely” receipt of early intervention services (i.e., the </w:t>
      </w:r>
      <w:proofErr w:type="gramStart"/>
      <w:r w:rsidRPr="00ED172B">
        <w:rPr>
          <w:rFonts w:cs="Arial"/>
          <w:b/>
          <w:color w:val="000000" w:themeColor="text1"/>
          <w:szCs w:val="16"/>
        </w:rPr>
        <w:t>time period</w:t>
      </w:r>
      <w:proofErr w:type="gramEnd"/>
      <w:r w:rsidRPr="00ED172B">
        <w:rPr>
          <w:rFonts w:cs="Arial"/>
          <w:b/>
          <w:color w:val="000000" w:themeColor="text1"/>
          <w:szCs w:val="16"/>
        </w:rPr>
        <w:t xml:space="preserve"> from parent consent to when IFSP services are </w:t>
      </w:r>
      <w:proofErr w:type="gramStart"/>
      <w:r w:rsidRPr="00ED172B">
        <w:rPr>
          <w:rFonts w:cs="Arial"/>
          <w:b/>
          <w:color w:val="000000" w:themeColor="text1"/>
          <w:szCs w:val="16"/>
        </w:rPr>
        <w:t>actually</w:t>
      </w:r>
      <w:r w:rsidRPr="00ED172B">
        <w:rPr>
          <w:b/>
          <w:color w:val="000000" w:themeColor="text1"/>
          <w:szCs w:val="16"/>
        </w:rPr>
        <w:t xml:space="preserve"> </w:t>
      </w:r>
      <w:r w:rsidRPr="00ED172B">
        <w:rPr>
          <w:rFonts w:cs="Arial"/>
          <w:b/>
          <w:color w:val="000000" w:themeColor="text1"/>
          <w:szCs w:val="16"/>
        </w:rPr>
        <w:t>initiated</w:t>
      </w:r>
      <w:proofErr w:type="gramEnd"/>
      <w:r w:rsidRPr="00ED172B">
        <w:rPr>
          <w:rFonts w:cs="Arial"/>
          <w:b/>
          <w:color w:val="000000" w:themeColor="text1"/>
          <w:szCs w:val="16"/>
        </w:rPr>
        <w:t>).</w:t>
      </w:r>
    </w:p>
    <w:p w14:paraId="7E169832" w14:textId="77777777" w:rsidR="007F3393" w:rsidRPr="00ED172B" w:rsidRDefault="00860830" w:rsidP="00133698">
      <w:pPr>
        <w:rPr>
          <w:color w:val="000000" w:themeColor="text1"/>
          <w:szCs w:val="16"/>
        </w:rPr>
      </w:pPr>
      <w:r w:rsidRPr="00ED172B">
        <w:rPr>
          <w:color w:val="000000" w:themeColor="text1"/>
          <w:szCs w:val="16"/>
        </w:rPr>
        <w:t xml:space="preserve">Oregon defines “timely manner” (based on guidance from OSEP) as the initiation date on the IFSP or ten days from when the parent provides consent for the IFSP service. </w:t>
      </w:r>
    </w:p>
    <w:p w14:paraId="43D9C14E"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13D9B304" w14:textId="77777777" w:rsidR="00431D4D" w:rsidRDefault="00431D4D" w:rsidP="00B83404">
      <w:pPr>
        <w:rPr>
          <w:rFonts w:cs="Arial"/>
          <w:color w:val="000000" w:themeColor="text1"/>
          <w:szCs w:val="16"/>
        </w:rPr>
      </w:pPr>
      <w:bookmarkStart w:id="6" w:name="_Hlk23243004"/>
      <w:r w:rsidRPr="00ED172B">
        <w:rPr>
          <w:rFonts w:cs="Arial"/>
          <w:color w:val="000000" w:themeColor="text1"/>
          <w:szCs w:val="16"/>
        </w:rPr>
        <w:t>State monitoring</w:t>
      </w:r>
    </w:p>
    <w:bookmarkEnd w:id="6"/>
    <w:p w14:paraId="21B56697" w14:textId="77777777" w:rsidR="005A4FE1" w:rsidRPr="00ED172B" w:rsidRDefault="007F3393" w:rsidP="00B83404">
      <w:pPr>
        <w:rPr>
          <w:b/>
          <w:color w:val="000000" w:themeColor="text1"/>
        </w:rPr>
      </w:pPr>
      <w:r w:rsidRPr="00ED172B">
        <w:rPr>
          <w:b/>
          <w:color w:val="000000" w:themeColor="text1"/>
        </w:rPr>
        <w:t>Describe the method used to select EIS programs for monitoring.</w:t>
      </w:r>
    </w:p>
    <w:p w14:paraId="472D62EE" w14:textId="77777777" w:rsidR="007F3393" w:rsidRDefault="00860830" w:rsidP="00B83404">
      <w:pPr>
        <w:rPr>
          <w:color w:val="000000" w:themeColor="text1"/>
        </w:rPr>
      </w:pPr>
      <w:r w:rsidRPr="00ED172B">
        <w:rPr>
          <w:color w:val="000000" w:themeColor="text1"/>
        </w:rPr>
        <w:t xml:space="preserve">The Oregon Department of Education (ODE) uses the System Performance Review and Improvement (SPR&amp;I) process to select files from all Early Intervention (EI) programs for annual monitoring. All programs receiving IDEA Part C funds participate in this statewide accountability system, which focuses on procedural compliance and performance on key federal and state indicators. The SPR&amp;I system provides the State with the mechanism for review of corrective actions and of program policies, procedures, and systems to ensure the requirements set forth in 34 CFR §§303.700–303.708 are met. </w:t>
      </w:r>
    </w:p>
    <w:p w14:paraId="33392784" w14:textId="77777777" w:rsidR="000575B2" w:rsidRDefault="000575B2"/>
    <w:p w14:paraId="32ADD1BD" w14:textId="77777777" w:rsidR="000575B2" w:rsidRDefault="00D6492D">
      <w:r>
        <w:rPr>
          <w:color w:val="000000"/>
        </w:rPr>
        <w:t xml:space="preserve">Each year, EI programs conduct reviews of individual child records based on </w:t>
      </w:r>
      <w:proofErr w:type="gramStart"/>
      <w:r>
        <w:rPr>
          <w:color w:val="000000"/>
        </w:rPr>
        <w:t>a number of</w:t>
      </w:r>
      <w:proofErr w:type="gramEnd"/>
      <w:r>
        <w:rPr>
          <w:color w:val="000000"/>
        </w:rPr>
        <w:t xml:space="preserve"> files determined by the State. Files are divided evenly between Early Intervention and Transition from Early Intervention and are selected to reflect the program’s population by race/ethnicity, disability, and gender using the most recent December 1 child count. Programs submit individual child procedural compliance data electronically through the SPR&amp;I database, including timelines from parent consent to service implementation and documentation of any delays. </w:t>
      </w:r>
    </w:p>
    <w:p w14:paraId="515410E2" w14:textId="77777777" w:rsidR="000575B2" w:rsidRDefault="000575B2"/>
    <w:p w14:paraId="2118840C" w14:textId="77777777" w:rsidR="000575B2" w:rsidRDefault="00D6492D">
      <w:r>
        <w:rPr>
          <w:color w:val="000000"/>
        </w:rPr>
        <w:t>ODE reviews these data to evaluate compliance, verify correction of noncompliance, and identify areas for improvement. Through the SPR&amp;I process, ODE collaborates with local programs on data collection and analysis, improvement planning, implementation, and reporting of progress. This continuous improvement process enables the State to monitor program performance, ensure timely service delivery, and strengthen outcomes for infants and toddlers and their families.</w:t>
      </w:r>
    </w:p>
    <w:p w14:paraId="448E80F3"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29F5B3C9" w14:textId="77777777" w:rsidR="006E322D" w:rsidRPr="00ED172B" w:rsidRDefault="006E322D" w:rsidP="00361F62">
      <w:pPr>
        <w:rPr>
          <w:color w:val="000000" w:themeColor="text1"/>
        </w:rPr>
      </w:pPr>
    </w:p>
    <w:p w14:paraId="51FEE0C3" w14:textId="77777777" w:rsidR="002F1A9A" w:rsidRPr="00ED172B" w:rsidRDefault="002F1A9A"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7015ED81" w14:textId="77777777" w:rsidTr="00986B99">
        <w:trPr>
          <w:trHeight w:val="389"/>
          <w:tblHeader/>
        </w:trPr>
        <w:tc>
          <w:tcPr>
            <w:tcW w:w="1226" w:type="pct"/>
            <w:vAlign w:val="bottom"/>
          </w:tcPr>
          <w:p w14:paraId="3A018244"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vAlign w:val="bottom"/>
          </w:tcPr>
          <w:p w14:paraId="66EF33F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vAlign w:val="bottom"/>
          </w:tcPr>
          <w:p w14:paraId="01AA16C1"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vAlign w:val="bottom"/>
          </w:tcPr>
          <w:p w14:paraId="7537932C"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34297CEC" w14:textId="77777777" w:rsidTr="00986B99">
        <w:tc>
          <w:tcPr>
            <w:tcW w:w="1226" w:type="pct"/>
          </w:tcPr>
          <w:p w14:paraId="1445503F"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6</w:t>
            </w:r>
          </w:p>
        </w:tc>
        <w:tc>
          <w:tcPr>
            <w:tcW w:w="1286" w:type="pct"/>
          </w:tcPr>
          <w:p w14:paraId="42244765"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6</w:t>
            </w:r>
          </w:p>
        </w:tc>
        <w:tc>
          <w:tcPr>
            <w:tcW w:w="1229" w:type="pct"/>
          </w:tcPr>
          <w:p w14:paraId="04D3C49D"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tcPr>
          <w:p w14:paraId="4B2A631F"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36AA2959" w14:textId="77777777" w:rsidR="002F1A9A" w:rsidRPr="00ED172B" w:rsidRDefault="00CD74B5" w:rsidP="00B83404">
      <w:pPr>
        <w:rPr>
          <w:color w:val="000000" w:themeColor="text1"/>
        </w:rPr>
      </w:pPr>
      <w:r>
        <w:rPr>
          <w:b/>
          <w:color w:val="000000" w:themeColor="text1"/>
        </w:rPr>
        <w:t>FFY 2023 Findings of Noncompliance Verified as Corrected</w:t>
      </w:r>
    </w:p>
    <w:p w14:paraId="39011D57" w14:textId="77777777" w:rsidR="002F1A9A" w:rsidRPr="00ED172B" w:rsidRDefault="002F1A9A">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A26AB9">
        <w:rPr>
          <w:b/>
          <w:i/>
          <w:color w:val="000000" w:themeColor="text1"/>
        </w:rPr>
        <w:t>.</w:t>
      </w:r>
    </w:p>
    <w:p w14:paraId="7ACF5C8E" w14:textId="77777777" w:rsidR="002F1A9A" w:rsidRPr="00ED172B" w:rsidRDefault="00860830">
      <w:pPr>
        <w:rPr>
          <w:color w:val="000000" w:themeColor="text1"/>
        </w:rPr>
      </w:pPr>
      <w:r w:rsidRPr="00ED172B">
        <w:rPr>
          <w:color w:val="000000" w:themeColor="text1"/>
        </w:rPr>
        <w:t xml:space="preserve">To ensure that the sources of noncompliance were correctly implementing the regulatory requirements, the State conducted additional verification activities. Through our monitoring process, a total of six instances of child-specific noncompliance were identified. Each EI program with identified noncompliance completed and submitted subsequent file reviews in SPR&amp;I for child records developed after the original noncompliance was corrected.  </w:t>
      </w:r>
    </w:p>
    <w:p w14:paraId="001EBE82" w14:textId="77777777" w:rsidR="000575B2" w:rsidRDefault="000575B2"/>
    <w:p w14:paraId="367F2BB6" w14:textId="77777777" w:rsidR="000575B2" w:rsidRDefault="00D6492D">
      <w:r>
        <w:rPr>
          <w:color w:val="000000"/>
        </w:rPr>
        <w:t xml:space="preserve">The State reviewed these subsequent files in SPR&amp;I and cross-checked the information in </w:t>
      </w:r>
      <w:proofErr w:type="spellStart"/>
      <w:r>
        <w:rPr>
          <w:color w:val="000000"/>
        </w:rPr>
        <w:t>ecWeb</w:t>
      </w:r>
      <w:proofErr w:type="spellEnd"/>
      <w:r>
        <w:rPr>
          <w:color w:val="000000"/>
        </w:rPr>
        <w:t xml:space="preserve">, Oregon’s statewide EI/ECSE data system, to confirm current compliance and correct implementation of required procedures. Through this review, the State verified that all programs with previous noncompliance demonstrated sustained correction and full adherence to the regulatory requirements.  </w:t>
      </w:r>
    </w:p>
    <w:p w14:paraId="47BCBE95" w14:textId="77777777" w:rsidR="002F1A9A" w:rsidRPr="00ED172B" w:rsidRDefault="002F1A9A">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A26AB9">
        <w:rPr>
          <w:b/>
          <w:color w:val="000000" w:themeColor="text1"/>
        </w:rPr>
        <w:t>.</w:t>
      </w:r>
    </w:p>
    <w:p w14:paraId="2EE83DB6" w14:textId="77777777" w:rsidR="002F1A9A" w:rsidRDefault="00860830">
      <w:pPr>
        <w:rPr>
          <w:color w:val="000000" w:themeColor="text1"/>
        </w:rPr>
      </w:pPr>
      <w:r w:rsidRPr="00ED172B">
        <w:rPr>
          <w:color w:val="000000" w:themeColor="text1"/>
        </w:rPr>
        <w:t xml:space="preserve">For FFY 2023, the State completed a comprehensive verification process to ensure correction of all six identified instances of individual noncompliance. In accordance with OSEP QA 23-01, the State verified correction through individual file review and review and approval of correction data submitted by Early Intervention programs in SPR&amp;I, Oregon’s online monitoring system. The State confirmed that 100% (6 of 6) of identified incidents of noncompliance were corrected within one year of identification. </w:t>
      </w:r>
    </w:p>
    <w:p w14:paraId="1E9431F5" w14:textId="77777777" w:rsidR="000575B2" w:rsidRDefault="000575B2"/>
    <w:p w14:paraId="364D3861" w14:textId="77777777" w:rsidR="000575B2" w:rsidRDefault="00D6492D">
      <w:r>
        <w:rPr>
          <w:color w:val="000000"/>
        </w:rPr>
        <w:t xml:space="preserve">To verify correction of the identified noncompliance, the State completed the following actions: </w:t>
      </w:r>
    </w:p>
    <w:p w14:paraId="4B78B9CE" w14:textId="77777777" w:rsidR="000575B2" w:rsidRDefault="000575B2"/>
    <w:p w14:paraId="717CE222" w14:textId="77777777" w:rsidR="000575B2" w:rsidRDefault="00D6492D">
      <w:r>
        <w:rPr>
          <w:color w:val="000000"/>
        </w:rPr>
        <w:lastRenderedPageBreak/>
        <w:t xml:space="preserve">The Early Intervention (EI) program submitted documentation of the correction of noncompliance for each of the six </w:t>
      </w:r>
      <w:proofErr w:type="gramStart"/>
      <w:r>
        <w:rPr>
          <w:color w:val="000000"/>
        </w:rPr>
        <w:t>individual</w:t>
      </w:r>
      <w:proofErr w:type="gramEnd"/>
      <w:r>
        <w:rPr>
          <w:color w:val="000000"/>
        </w:rPr>
        <w:t xml:space="preserve"> noncompliant IFSPs through online submission in SPR&amp;I, Oregon’s electronic monitoring system. </w:t>
      </w:r>
    </w:p>
    <w:p w14:paraId="5EFC2B6F" w14:textId="77777777" w:rsidR="000575B2" w:rsidRDefault="00D6492D">
      <w:r>
        <w:rPr>
          <w:color w:val="000000"/>
        </w:rPr>
        <w:t xml:space="preserve"> </w:t>
      </w:r>
    </w:p>
    <w:p w14:paraId="0B1B2F8C" w14:textId="77777777" w:rsidR="000575B2" w:rsidRDefault="00D6492D">
      <w:r>
        <w:rPr>
          <w:color w:val="000000"/>
        </w:rPr>
        <w:t xml:space="preserve">The State reviewed the six individual child records in </w:t>
      </w:r>
      <w:proofErr w:type="spellStart"/>
      <w:r>
        <w:rPr>
          <w:color w:val="000000"/>
        </w:rPr>
        <w:t>ecWeb</w:t>
      </w:r>
      <w:proofErr w:type="spellEnd"/>
      <w:r>
        <w:rPr>
          <w:color w:val="000000"/>
        </w:rPr>
        <w:t xml:space="preserve">, Oregon’s statewide EI/ECSE data system, to see if services were provided, although late, </w:t>
      </w:r>
      <w:proofErr w:type="gramStart"/>
      <w:r>
        <w:rPr>
          <w:color w:val="000000"/>
        </w:rPr>
        <w:t>or</w:t>
      </w:r>
      <w:proofErr w:type="gramEnd"/>
      <w:r>
        <w:rPr>
          <w:color w:val="000000"/>
        </w:rPr>
        <w:t xml:space="preserve"> the child was no longer in the program’s jurisdiction.  </w:t>
      </w:r>
    </w:p>
    <w:p w14:paraId="2CFBC8C1" w14:textId="77777777" w:rsidR="000575B2" w:rsidRDefault="00D6492D">
      <w:r>
        <w:rPr>
          <w:color w:val="000000"/>
        </w:rPr>
        <w:t xml:space="preserve"> </w:t>
      </w:r>
    </w:p>
    <w:p w14:paraId="5251651C" w14:textId="77777777" w:rsidR="000575B2" w:rsidRDefault="00D6492D">
      <w:r>
        <w:rPr>
          <w:color w:val="000000"/>
        </w:rPr>
        <w:t xml:space="preserve">The State verified correction in accordance with OSEP QA 23-01 through review of all six individual child data submitted in SPR&amp;I and review of the six child-specific files in </w:t>
      </w:r>
      <w:proofErr w:type="spellStart"/>
      <w:r>
        <w:rPr>
          <w:color w:val="000000"/>
        </w:rPr>
        <w:t>ecWeb</w:t>
      </w:r>
      <w:proofErr w:type="spellEnd"/>
      <w:r>
        <w:rPr>
          <w:color w:val="000000"/>
        </w:rPr>
        <w:t xml:space="preserve">. Through review of the individual child files, the State verified that in each of the six instances of noncompliance, the children ultimately received the early intervention services listed on their IFSPs—although delayed—unless the child was no longer within the jurisdiction of the EIS program, consistent with OSEP QA 23-01.  </w:t>
      </w:r>
    </w:p>
    <w:p w14:paraId="17A0CA93" w14:textId="77777777" w:rsidR="007843C0" w:rsidRPr="00964E73" w:rsidRDefault="007843C0" w:rsidP="007843C0">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0E88365B" w14:textId="77777777" w:rsidR="007843C0" w:rsidRPr="00510A22" w:rsidRDefault="007843C0" w:rsidP="007843C0">
      <w:pPr>
        <w:rPr>
          <w:color w:val="00B0F0"/>
        </w:rPr>
      </w:pPr>
    </w:p>
    <w:p w14:paraId="1A9A0971" w14:textId="77777777" w:rsidR="002F1A9A" w:rsidRPr="00ED172B" w:rsidRDefault="002F1A9A"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7308DEBB" w14:textId="77777777" w:rsidTr="00986B99">
        <w:trPr>
          <w:tblHeader/>
        </w:trPr>
        <w:tc>
          <w:tcPr>
            <w:tcW w:w="899" w:type="pct"/>
            <w:vAlign w:val="bottom"/>
          </w:tcPr>
          <w:p w14:paraId="2268F95D"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vAlign w:val="bottom"/>
          </w:tcPr>
          <w:p w14:paraId="303318F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94" w:type="pct"/>
            <w:vAlign w:val="bottom"/>
          </w:tcPr>
          <w:p w14:paraId="335072D9"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vAlign w:val="bottom"/>
          </w:tcPr>
          <w:p w14:paraId="3052C97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234A2BE" w14:textId="77777777" w:rsidTr="00986B99">
        <w:tc>
          <w:tcPr>
            <w:tcW w:w="899" w:type="pct"/>
          </w:tcPr>
          <w:p w14:paraId="3655A4B8" w14:textId="77777777" w:rsidR="002F1A9A" w:rsidRPr="00ED172B" w:rsidRDefault="002F1A9A" w:rsidP="00186420">
            <w:pPr>
              <w:jc w:val="center"/>
              <w:rPr>
                <w:rFonts w:cs="Arial"/>
                <w:color w:val="000000" w:themeColor="text1"/>
                <w:szCs w:val="16"/>
              </w:rPr>
            </w:pPr>
          </w:p>
        </w:tc>
        <w:tc>
          <w:tcPr>
            <w:tcW w:w="1399" w:type="pct"/>
          </w:tcPr>
          <w:p w14:paraId="0E9CF931" w14:textId="77777777" w:rsidR="002F1A9A" w:rsidRPr="00ED172B" w:rsidRDefault="002F1A9A" w:rsidP="009A3621">
            <w:pPr>
              <w:jc w:val="center"/>
              <w:rPr>
                <w:rFonts w:cs="Arial"/>
                <w:noProof/>
                <w:color w:val="000000" w:themeColor="text1"/>
                <w:szCs w:val="16"/>
              </w:rPr>
            </w:pPr>
          </w:p>
        </w:tc>
        <w:tc>
          <w:tcPr>
            <w:tcW w:w="1394" w:type="pct"/>
          </w:tcPr>
          <w:p w14:paraId="3710982E" w14:textId="77777777" w:rsidR="002F1A9A" w:rsidRPr="00ED172B" w:rsidRDefault="002F1A9A" w:rsidP="009A3621">
            <w:pPr>
              <w:jc w:val="center"/>
              <w:rPr>
                <w:rFonts w:cs="Arial"/>
                <w:noProof/>
                <w:color w:val="000000" w:themeColor="text1"/>
                <w:szCs w:val="16"/>
              </w:rPr>
            </w:pPr>
          </w:p>
        </w:tc>
        <w:tc>
          <w:tcPr>
            <w:tcW w:w="1307" w:type="pct"/>
          </w:tcPr>
          <w:p w14:paraId="12AAEC37" w14:textId="77777777" w:rsidR="002F1A9A" w:rsidRPr="00ED172B" w:rsidRDefault="002F1A9A" w:rsidP="00433DB7">
            <w:pPr>
              <w:jc w:val="center"/>
              <w:rPr>
                <w:rFonts w:cs="Arial"/>
                <w:noProof/>
                <w:color w:val="000000" w:themeColor="text1"/>
                <w:szCs w:val="16"/>
              </w:rPr>
            </w:pPr>
          </w:p>
        </w:tc>
      </w:tr>
      <w:tr w:rsidR="00ED172B" w:rsidRPr="00ED172B" w14:paraId="5D75EA7B" w14:textId="77777777" w:rsidTr="00986B99">
        <w:tc>
          <w:tcPr>
            <w:tcW w:w="899" w:type="pct"/>
          </w:tcPr>
          <w:p w14:paraId="785425AB" w14:textId="77777777" w:rsidR="002F1A9A" w:rsidRPr="00ED172B" w:rsidRDefault="002F1A9A" w:rsidP="00186420">
            <w:pPr>
              <w:jc w:val="center"/>
              <w:rPr>
                <w:rFonts w:cs="Arial"/>
                <w:color w:val="000000" w:themeColor="text1"/>
                <w:szCs w:val="16"/>
              </w:rPr>
            </w:pPr>
          </w:p>
        </w:tc>
        <w:tc>
          <w:tcPr>
            <w:tcW w:w="1399" w:type="pct"/>
          </w:tcPr>
          <w:p w14:paraId="4F35F85F" w14:textId="77777777" w:rsidR="002F1A9A" w:rsidRPr="00ED172B" w:rsidRDefault="002F1A9A" w:rsidP="009A3621">
            <w:pPr>
              <w:jc w:val="center"/>
              <w:rPr>
                <w:rFonts w:cs="Arial"/>
                <w:noProof/>
                <w:color w:val="000000" w:themeColor="text1"/>
                <w:szCs w:val="16"/>
              </w:rPr>
            </w:pPr>
          </w:p>
        </w:tc>
        <w:tc>
          <w:tcPr>
            <w:tcW w:w="1394" w:type="pct"/>
          </w:tcPr>
          <w:p w14:paraId="64863A0A" w14:textId="77777777" w:rsidR="002F1A9A" w:rsidRPr="00ED172B" w:rsidRDefault="002F1A9A" w:rsidP="009A3621">
            <w:pPr>
              <w:jc w:val="center"/>
              <w:rPr>
                <w:rFonts w:cs="Arial"/>
                <w:noProof/>
                <w:color w:val="000000" w:themeColor="text1"/>
                <w:szCs w:val="16"/>
              </w:rPr>
            </w:pPr>
          </w:p>
        </w:tc>
        <w:tc>
          <w:tcPr>
            <w:tcW w:w="1307" w:type="pct"/>
          </w:tcPr>
          <w:p w14:paraId="0C6D7032" w14:textId="77777777" w:rsidR="002F1A9A" w:rsidRPr="00ED172B" w:rsidRDefault="002F1A9A" w:rsidP="00433DB7">
            <w:pPr>
              <w:jc w:val="center"/>
              <w:rPr>
                <w:rFonts w:cs="Arial"/>
                <w:noProof/>
                <w:color w:val="000000" w:themeColor="text1"/>
                <w:szCs w:val="16"/>
              </w:rPr>
            </w:pPr>
          </w:p>
        </w:tc>
      </w:tr>
      <w:tr w:rsidR="00ED172B" w:rsidRPr="00ED172B" w14:paraId="55CD20DE" w14:textId="77777777" w:rsidTr="00986B99">
        <w:tc>
          <w:tcPr>
            <w:tcW w:w="899" w:type="pct"/>
          </w:tcPr>
          <w:p w14:paraId="0FB152FE" w14:textId="77777777" w:rsidR="002F1A9A" w:rsidRPr="00ED172B" w:rsidRDefault="002F1A9A" w:rsidP="00186420">
            <w:pPr>
              <w:jc w:val="center"/>
              <w:rPr>
                <w:rFonts w:cs="Arial"/>
                <w:color w:val="000000" w:themeColor="text1"/>
                <w:szCs w:val="16"/>
              </w:rPr>
            </w:pPr>
          </w:p>
        </w:tc>
        <w:tc>
          <w:tcPr>
            <w:tcW w:w="1399" w:type="pct"/>
          </w:tcPr>
          <w:p w14:paraId="20C999BD" w14:textId="77777777" w:rsidR="002F1A9A" w:rsidRPr="00ED172B" w:rsidRDefault="002F1A9A" w:rsidP="009A3621">
            <w:pPr>
              <w:jc w:val="center"/>
              <w:rPr>
                <w:rFonts w:cs="Arial"/>
                <w:noProof/>
                <w:color w:val="000000" w:themeColor="text1"/>
                <w:szCs w:val="16"/>
              </w:rPr>
            </w:pPr>
          </w:p>
        </w:tc>
        <w:tc>
          <w:tcPr>
            <w:tcW w:w="1394" w:type="pct"/>
          </w:tcPr>
          <w:p w14:paraId="711BBBBA" w14:textId="77777777" w:rsidR="002F1A9A" w:rsidRPr="00ED172B" w:rsidRDefault="002F1A9A" w:rsidP="009A3621">
            <w:pPr>
              <w:jc w:val="center"/>
              <w:rPr>
                <w:rFonts w:cs="Arial"/>
                <w:noProof/>
                <w:color w:val="000000" w:themeColor="text1"/>
                <w:szCs w:val="16"/>
              </w:rPr>
            </w:pPr>
          </w:p>
        </w:tc>
        <w:tc>
          <w:tcPr>
            <w:tcW w:w="1307" w:type="pct"/>
          </w:tcPr>
          <w:p w14:paraId="4FFDC721" w14:textId="77777777" w:rsidR="002F1A9A" w:rsidRPr="00ED172B" w:rsidRDefault="002F1A9A" w:rsidP="00433DB7">
            <w:pPr>
              <w:jc w:val="center"/>
              <w:rPr>
                <w:rFonts w:cs="Arial"/>
                <w:noProof/>
                <w:color w:val="000000" w:themeColor="text1"/>
                <w:szCs w:val="16"/>
              </w:rPr>
            </w:pPr>
          </w:p>
        </w:tc>
      </w:tr>
      <w:tr w:rsidR="00D06052" w:rsidRPr="00ED172B" w14:paraId="269CE3BD" w14:textId="77777777" w:rsidTr="00986B99">
        <w:tc>
          <w:tcPr>
            <w:tcW w:w="899" w:type="pct"/>
          </w:tcPr>
          <w:p w14:paraId="3972C35C" w14:textId="77777777" w:rsidR="00D06052" w:rsidRPr="00ED172B" w:rsidRDefault="00D06052" w:rsidP="00D06052">
            <w:pPr>
              <w:jc w:val="center"/>
              <w:rPr>
                <w:rFonts w:cs="Arial"/>
                <w:color w:val="000000" w:themeColor="text1"/>
                <w:szCs w:val="16"/>
              </w:rPr>
            </w:pPr>
          </w:p>
        </w:tc>
        <w:tc>
          <w:tcPr>
            <w:tcW w:w="1399" w:type="pct"/>
          </w:tcPr>
          <w:p w14:paraId="02BD6AAE" w14:textId="77777777" w:rsidR="00D06052" w:rsidRPr="00ED172B" w:rsidRDefault="00D06052" w:rsidP="00D06052">
            <w:pPr>
              <w:jc w:val="center"/>
              <w:rPr>
                <w:rFonts w:cs="Arial"/>
                <w:color w:val="000000" w:themeColor="text1"/>
                <w:szCs w:val="16"/>
              </w:rPr>
            </w:pPr>
          </w:p>
        </w:tc>
        <w:tc>
          <w:tcPr>
            <w:tcW w:w="1394" w:type="pct"/>
          </w:tcPr>
          <w:p w14:paraId="37B248EA" w14:textId="77777777" w:rsidR="00D06052" w:rsidRPr="00ED172B" w:rsidRDefault="00D06052" w:rsidP="00D06052">
            <w:pPr>
              <w:jc w:val="center"/>
              <w:rPr>
                <w:rFonts w:cs="Arial"/>
                <w:color w:val="000000" w:themeColor="text1"/>
                <w:szCs w:val="16"/>
              </w:rPr>
            </w:pPr>
          </w:p>
        </w:tc>
        <w:tc>
          <w:tcPr>
            <w:tcW w:w="1307" w:type="pct"/>
          </w:tcPr>
          <w:p w14:paraId="4DA3F939" w14:textId="77777777" w:rsidR="00D06052" w:rsidRPr="00ED172B" w:rsidRDefault="00D06052" w:rsidP="00D06052">
            <w:pPr>
              <w:jc w:val="center"/>
              <w:rPr>
                <w:rFonts w:cs="Arial"/>
                <w:color w:val="000000" w:themeColor="text1"/>
                <w:szCs w:val="16"/>
              </w:rPr>
            </w:pPr>
          </w:p>
        </w:tc>
      </w:tr>
      <w:tr w:rsidR="00D06052" w:rsidRPr="00ED172B" w14:paraId="1A1620C9" w14:textId="77777777" w:rsidTr="00986B99">
        <w:tc>
          <w:tcPr>
            <w:tcW w:w="899" w:type="pct"/>
          </w:tcPr>
          <w:p w14:paraId="6BD98FF1" w14:textId="77777777" w:rsidR="00D06052" w:rsidRPr="00ED172B" w:rsidRDefault="00D06052" w:rsidP="00D06052">
            <w:pPr>
              <w:jc w:val="center"/>
              <w:rPr>
                <w:rFonts w:cs="Arial"/>
                <w:color w:val="000000" w:themeColor="text1"/>
                <w:szCs w:val="16"/>
              </w:rPr>
            </w:pPr>
          </w:p>
        </w:tc>
        <w:tc>
          <w:tcPr>
            <w:tcW w:w="1399" w:type="pct"/>
          </w:tcPr>
          <w:p w14:paraId="1473F8EE" w14:textId="77777777" w:rsidR="00D06052" w:rsidRPr="00ED172B" w:rsidRDefault="00D06052" w:rsidP="00D06052">
            <w:pPr>
              <w:jc w:val="center"/>
              <w:rPr>
                <w:rFonts w:cs="Arial"/>
                <w:color w:val="000000" w:themeColor="text1"/>
                <w:szCs w:val="16"/>
              </w:rPr>
            </w:pPr>
          </w:p>
        </w:tc>
        <w:tc>
          <w:tcPr>
            <w:tcW w:w="1394" w:type="pct"/>
          </w:tcPr>
          <w:p w14:paraId="402176FC" w14:textId="77777777" w:rsidR="00D06052" w:rsidRPr="00ED172B" w:rsidRDefault="00D06052" w:rsidP="00D06052">
            <w:pPr>
              <w:jc w:val="center"/>
              <w:rPr>
                <w:rFonts w:cs="Arial"/>
                <w:color w:val="000000" w:themeColor="text1"/>
                <w:szCs w:val="16"/>
              </w:rPr>
            </w:pPr>
          </w:p>
        </w:tc>
        <w:tc>
          <w:tcPr>
            <w:tcW w:w="1307" w:type="pct"/>
          </w:tcPr>
          <w:p w14:paraId="5EDE880C" w14:textId="77777777" w:rsidR="00D06052" w:rsidRPr="00ED172B" w:rsidRDefault="00D06052" w:rsidP="00D06052">
            <w:pPr>
              <w:jc w:val="center"/>
              <w:rPr>
                <w:rFonts w:cs="Arial"/>
                <w:color w:val="000000" w:themeColor="text1"/>
                <w:szCs w:val="16"/>
              </w:rPr>
            </w:pPr>
          </w:p>
        </w:tc>
      </w:tr>
    </w:tbl>
    <w:p w14:paraId="5DF46C20" w14:textId="77777777" w:rsidR="00DE328D" w:rsidRPr="00ED172B" w:rsidRDefault="00DE328D">
      <w:pPr>
        <w:rPr>
          <w:color w:val="000000" w:themeColor="text1"/>
        </w:rPr>
      </w:pPr>
    </w:p>
    <w:p w14:paraId="04E4EECE" w14:textId="77777777" w:rsidR="002F1A9A" w:rsidRPr="00A40EE1" w:rsidRDefault="000D0117" w:rsidP="005C3FFD">
      <w:pPr>
        <w:pStyle w:val="Heading2"/>
      </w:pPr>
      <w:r w:rsidRPr="00A40EE1">
        <w:t xml:space="preserve">1 - </w:t>
      </w:r>
      <w:r w:rsidR="002F1A9A" w:rsidRPr="00A40EE1">
        <w:t>Prior FFY Required Actions</w:t>
      </w:r>
    </w:p>
    <w:p w14:paraId="5DAA0CE1" w14:textId="77777777" w:rsidR="002F1A9A" w:rsidRPr="00ED172B" w:rsidRDefault="005E414F" w:rsidP="00027F39">
      <w:pPr>
        <w:rPr>
          <w:color w:val="000000" w:themeColor="text1"/>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ED172B">
        <w:rPr>
          <w:color w:val="000000" w:themeColor="text1"/>
        </w:rPr>
        <w:t>reflect</w:t>
      </w:r>
      <w:proofErr w:type="gramEnd"/>
      <w:r w:rsidRPr="00ED172B">
        <w:rPr>
          <w:color w:val="000000" w:themeColor="text1"/>
        </w:rPr>
        <w:t xml:space="preserve">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5FBD0ED8" w14:textId="77777777" w:rsidR="004C1CEE" w:rsidRPr="00ED172B" w:rsidRDefault="004C1CEE" w:rsidP="002F1A9A">
      <w:pPr>
        <w:rPr>
          <w:rFonts w:cs="Arial"/>
          <w:color w:val="000000" w:themeColor="text1"/>
          <w:szCs w:val="16"/>
        </w:rPr>
      </w:pPr>
    </w:p>
    <w:p w14:paraId="72EF5F04" w14:textId="77777777" w:rsidR="002F1A9A" w:rsidRPr="00ED172B" w:rsidRDefault="002F1A9A"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641D0188" w14:textId="77777777" w:rsidR="002F1A9A" w:rsidRPr="00ED172B" w:rsidRDefault="00027F39" w:rsidP="00027F39">
      <w:pPr>
        <w:rPr>
          <w:color w:val="000000" w:themeColor="text1"/>
        </w:rPr>
      </w:pPr>
      <w:r w:rsidRPr="00ED172B">
        <w:rPr>
          <w:color w:val="000000" w:themeColor="text1"/>
        </w:rPr>
        <w:t xml:space="preserve">To ensure that the sources of noncompliance were correctly implementing the regulatory requirements, the State conducted additional verification activities. Through our monitoring process, a total of six instances of child-specific noncompliance were identified. Each EI program with identified noncompliance completed and submitted subsequent file reviews in SPR&amp;I for child records developed after the original noncompliance was corrected. </w:t>
      </w:r>
    </w:p>
    <w:p w14:paraId="47D09998" w14:textId="77777777" w:rsidR="000575B2" w:rsidRDefault="000575B2"/>
    <w:p w14:paraId="28A1383C" w14:textId="77777777" w:rsidR="000575B2" w:rsidRDefault="00D6492D">
      <w:r>
        <w:rPr>
          <w:color w:val="000000"/>
        </w:rPr>
        <w:t xml:space="preserve">The State reviewed these subsequent files in SPR&amp;I and cross-checked the information in </w:t>
      </w:r>
      <w:proofErr w:type="spellStart"/>
      <w:r>
        <w:rPr>
          <w:color w:val="000000"/>
        </w:rPr>
        <w:t>ecWeb</w:t>
      </w:r>
      <w:proofErr w:type="spellEnd"/>
      <w:r>
        <w:rPr>
          <w:color w:val="000000"/>
        </w:rPr>
        <w:t xml:space="preserve">, Oregon’s statewide EI/ECSE data system, to confirm current compliance and correct implementation of required procedures. Through this review, the State verified that all programs with previous noncompliance demonstrated sustained correction and full adherence to the regulatory requirements. </w:t>
      </w:r>
    </w:p>
    <w:p w14:paraId="4BF70B5F" w14:textId="77777777" w:rsidR="000575B2" w:rsidRDefault="000575B2"/>
    <w:p w14:paraId="5F7C107B" w14:textId="77777777" w:rsidR="000575B2" w:rsidRDefault="00D6492D">
      <w:r>
        <w:rPr>
          <w:color w:val="000000"/>
        </w:rPr>
        <w:t xml:space="preserve">For FFY 2023, the State completed a comprehensive verification process to ensure correction of all six identified instances of individual noncompliance. In accordance with OSEP QA 23-01, the State verified correction through individual file review and review and approval of correction data submitted by Early Intervention programs in SPR&amp;I, Oregon’s online monitoring system. The State confirmed that 100% (6 of 6) of identified incidents of noncompliance were corrected within one year of identification. </w:t>
      </w:r>
    </w:p>
    <w:p w14:paraId="359117C6" w14:textId="77777777" w:rsidR="000575B2" w:rsidRDefault="000575B2"/>
    <w:p w14:paraId="1A49DFA6" w14:textId="77777777" w:rsidR="000575B2" w:rsidRDefault="00D6492D">
      <w:r>
        <w:rPr>
          <w:color w:val="000000"/>
        </w:rPr>
        <w:t xml:space="preserve">To verify correction of the identified noncompliance, the State completed the following actions: </w:t>
      </w:r>
    </w:p>
    <w:p w14:paraId="1F15992E" w14:textId="77777777" w:rsidR="000575B2" w:rsidRDefault="000575B2"/>
    <w:p w14:paraId="1AA24431" w14:textId="77777777" w:rsidR="000575B2" w:rsidRDefault="00D6492D">
      <w:r>
        <w:rPr>
          <w:color w:val="000000"/>
        </w:rPr>
        <w:t xml:space="preserve">The Early Intervention (EI) program submitted documentation of the correction of noncompliance for each of the six </w:t>
      </w:r>
      <w:proofErr w:type="gramStart"/>
      <w:r>
        <w:rPr>
          <w:color w:val="000000"/>
        </w:rPr>
        <w:t>individual</w:t>
      </w:r>
      <w:proofErr w:type="gramEnd"/>
      <w:r>
        <w:rPr>
          <w:color w:val="000000"/>
        </w:rPr>
        <w:t xml:space="preserve"> noncompliant IFSPs through online submission in SPR&amp;I, Oregon’s electronic monitoring system. </w:t>
      </w:r>
    </w:p>
    <w:p w14:paraId="5E1ED468" w14:textId="77777777" w:rsidR="000575B2" w:rsidRDefault="00D6492D">
      <w:r>
        <w:rPr>
          <w:color w:val="000000"/>
        </w:rPr>
        <w:t xml:space="preserve"> </w:t>
      </w:r>
    </w:p>
    <w:p w14:paraId="5FC773FE" w14:textId="77777777" w:rsidR="000575B2" w:rsidRDefault="00D6492D">
      <w:r>
        <w:rPr>
          <w:color w:val="000000"/>
        </w:rPr>
        <w:t xml:space="preserve">The State reviewed the six individual child records in </w:t>
      </w:r>
      <w:proofErr w:type="spellStart"/>
      <w:r>
        <w:rPr>
          <w:color w:val="000000"/>
        </w:rPr>
        <w:t>ecWeb</w:t>
      </w:r>
      <w:proofErr w:type="spellEnd"/>
      <w:r>
        <w:rPr>
          <w:color w:val="000000"/>
        </w:rPr>
        <w:t xml:space="preserve">, Oregon’s statewide EI/ECSE data system, to see if services were provided, although late, </w:t>
      </w:r>
      <w:proofErr w:type="gramStart"/>
      <w:r>
        <w:rPr>
          <w:color w:val="000000"/>
        </w:rPr>
        <w:t>or</w:t>
      </w:r>
      <w:proofErr w:type="gramEnd"/>
      <w:r>
        <w:rPr>
          <w:color w:val="000000"/>
        </w:rPr>
        <w:t xml:space="preserve"> the child was no longer in the program’s jurisdiction.  </w:t>
      </w:r>
    </w:p>
    <w:p w14:paraId="01B9CBCB" w14:textId="77777777" w:rsidR="000575B2" w:rsidRDefault="00D6492D">
      <w:r>
        <w:rPr>
          <w:color w:val="000000"/>
        </w:rPr>
        <w:t xml:space="preserve"> </w:t>
      </w:r>
    </w:p>
    <w:p w14:paraId="4FCBC92B" w14:textId="77777777" w:rsidR="000575B2" w:rsidRDefault="00D6492D">
      <w:r>
        <w:rPr>
          <w:color w:val="000000"/>
        </w:rPr>
        <w:t xml:space="preserve">The State verified correction in accordance with OSEP QA 23-01 through review of all six individual child data submitted in SPR&amp;I and review of the six child-specific files in </w:t>
      </w:r>
      <w:proofErr w:type="spellStart"/>
      <w:r>
        <w:rPr>
          <w:color w:val="000000"/>
        </w:rPr>
        <w:t>ecWeb</w:t>
      </w:r>
      <w:proofErr w:type="spellEnd"/>
      <w:r>
        <w:rPr>
          <w:color w:val="000000"/>
        </w:rPr>
        <w:t xml:space="preserve">. Through review of the individual child files, the State verified that in each of the six instances of noncompliance, the children ultimately received the early intervention services listed on their IFSPs—although delayed—unless the child was no longer within the jurisdiction of the EIS program, consistent with OSEP QA 23-01.  </w:t>
      </w:r>
    </w:p>
    <w:p w14:paraId="57F146B8" w14:textId="77777777" w:rsidR="002F1A9A" w:rsidRPr="00A40EE1" w:rsidRDefault="000D0117" w:rsidP="005C3FFD">
      <w:pPr>
        <w:pStyle w:val="Heading2"/>
      </w:pPr>
      <w:r w:rsidRPr="00A40EE1">
        <w:lastRenderedPageBreak/>
        <w:t xml:space="preserve">1 - </w:t>
      </w:r>
      <w:r w:rsidR="002F1A9A" w:rsidRPr="00A40EE1">
        <w:t>OSEP Response</w:t>
      </w:r>
    </w:p>
    <w:p w14:paraId="5E32F85A" w14:textId="77777777" w:rsidR="002F1A9A" w:rsidRPr="00ED172B" w:rsidRDefault="002F1A9A" w:rsidP="00027F39">
      <w:pPr>
        <w:rPr>
          <w:color w:val="000000" w:themeColor="text1"/>
        </w:rPr>
      </w:pPr>
    </w:p>
    <w:p w14:paraId="646E8A08" w14:textId="77777777" w:rsidR="002F1A9A" w:rsidRPr="00A40EE1" w:rsidRDefault="000D0117" w:rsidP="005C3FFD">
      <w:pPr>
        <w:pStyle w:val="Heading2"/>
      </w:pPr>
      <w:r w:rsidRPr="00A40EE1">
        <w:t xml:space="preserve">1 - </w:t>
      </w:r>
      <w:r w:rsidR="002F1A9A" w:rsidRPr="00A40EE1">
        <w:t>Required Actions</w:t>
      </w:r>
    </w:p>
    <w:p w14:paraId="7FB23FFA" w14:textId="77777777" w:rsidR="002F1A9A" w:rsidRPr="00ED172B" w:rsidRDefault="00027F39" w:rsidP="00027F39">
      <w:pPr>
        <w:rPr>
          <w:color w:val="000000" w:themeColor="text1"/>
        </w:rPr>
      </w:pPr>
      <w:r w:rsidRPr="00ED172B">
        <w:rPr>
          <w:color w:val="000000" w:themeColor="text1"/>
        </w:rPr>
        <w:t xml:space="preserve">Because the State reported less than 100% compliance for FFY 2024, the State must report on the status of correction of noncompliance identified in FFY 2024 for this indicator. When reporting on the correction of noncompliance, the State must report, in the FFY 2025 SPP/APR, that it has verified that each EIS program or provider with noncompliance identified in FFY 2024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2025 SPP/APR, the State must describe the specific actions that were taken to verify the correction. If the State did not identify any findings of noncompliance in FFY 2024, although its FFY 2024 data reflect less than 100% compliance, provide an explanation of why the State did not identify any findings of noncompliance in FFY 2024.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744D4950" w14:textId="77777777" w:rsidR="006B486C" w:rsidRPr="00ED172B" w:rsidRDefault="006B486C" w:rsidP="00604467">
      <w:pPr>
        <w:rPr>
          <w:color w:val="000000" w:themeColor="text1"/>
        </w:rPr>
        <w:sectPr w:rsidR="006B486C" w:rsidRPr="00ED172B" w:rsidSect="00BF3AB4">
          <w:footerReference w:type="default" r:id="rId12"/>
          <w:pgSz w:w="12240" w:h="15840"/>
          <w:pgMar w:top="720" w:right="720" w:bottom="720" w:left="720" w:header="720" w:footer="463" w:gutter="0"/>
          <w:cols w:space="720"/>
          <w:docGrid w:linePitch="360"/>
        </w:sectPr>
      </w:pPr>
    </w:p>
    <w:p w14:paraId="540266B1" w14:textId="77777777" w:rsidR="00D21EAA" w:rsidRPr="00ED172B" w:rsidRDefault="00D21EAA" w:rsidP="00174E1C">
      <w:pPr>
        <w:pStyle w:val="Heading1"/>
        <w:rPr>
          <w:color w:val="000000" w:themeColor="text1"/>
        </w:rPr>
      </w:pPr>
      <w:bookmarkStart w:id="7" w:name="_Toc392159262"/>
      <w:r w:rsidRPr="00ED172B">
        <w:rPr>
          <w:color w:val="000000" w:themeColor="text1"/>
        </w:rPr>
        <w:lastRenderedPageBreak/>
        <w:t xml:space="preserve">Indicator 2: </w:t>
      </w:r>
      <w:bookmarkEnd w:id="5"/>
      <w:bookmarkEnd w:id="7"/>
      <w:r w:rsidR="00B55C3D" w:rsidRPr="00ED172B">
        <w:rPr>
          <w:color w:val="000000" w:themeColor="text1"/>
        </w:rPr>
        <w:t>Services in Natural Environments</w:t>
      </w:r>
    </w:p>
    <w:p w14:paraId="7B2A6C0A" w14:textId="77777777" w:rsidR="00174E1C" w:rsidRPr="00ED172B" w:rsidRDefault="00174E1C" w:rsidP="00186420">
      <w:pPr>
        <w:rPr>
          <w:color w:val="000000" w:themeColor="text1"/>
          <w:szCs w:val="20"/>
        </w:rPr>
      </w:pPr>
      <w:bookmarkStart w:id="8" w:name="_Toc392159263"/>
      <w:r w:rsidRPr="00ED172B">
        <w:rPr>
          <w:b/>
          <w:color w:val="000000" w:themeColor="text1"/>
          <w:sz w:val="20"/>
          <w:szCs w:val="20"/>
        </w:rPr>
        <w:t>Instructions and Measurement</w:t>
      </w:r>
    </w:p>
    <w:p w14:paraId="257FB060"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Early Intervention Services </w:t>
      </w:r>
      <w:proofErr w:type="gramStart"/>
      <w:r w:rsidRPr="00ED172B">
        <w:rPr>
          <w:color w:val="000000" w:themeColor="text1"/>
          <w:szCs w:val="16"/>
        </w:rPr>
        <w:t>In</w:t>
      </w:r>
      <w:proofErr w:type="gramEnd"/>
      <w:r w:rsidRPr="00ED172B">
        <w:rPr>
          <w:color w:val="000000" w:themeColor="text1"/>
          <w:szCs w:val="16"/>
        </w:rPr>
        <w:t xml:space="preserve"> Natural Environments</w:t>
      </w:r>
    </w:p>
    <w:p w14:paraId="2E9E065A" w14:textId="77777777"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7F667C5D" w14:textId="77777777" w:rsidR="006628E4" w:rsidRPr="00ED172B" w:rsidRDefault="006628E4">
      <w:pPr>
        <w:rPr>
          <w:b/>
          <w:color w:val="000000" w:themeColor="text1"/>
        </w:rPr>
      </w:pPr>
      <w:r w:rsidRPr="00ED172B">
        <w:rPr>
          <w:b/>
          <w:color w:val="000000" w:themeColor="text1"/>
        </w:rPr>
        <w:t>Data Source</w:t>
      </w:r>
    </w:p>
    <w:p w14:paraId="19BDFB8A" w14:textId="77777777" w:rsidR="005D37E4" w:rsidRPr="003461DB" w:rsidRDefault="005D37E4" w:rsidP="005D37E4">
      <w:pPr>
        <w:rPr>
          <w:szCs w:val="16"/>
        </w:rPr>
      </w:pPr>
      <w:r w:rsidRPr="00ED3380">
        <w:rPr>
          <w:szCs w:val="16"/>
        </w:rPr>
        <w:t>Same data as used for reporting to the Department under section 618 of the IDEA, using the definitions in EDFacts file specification FS902.</w:t>
      </w:r>
    </w:p>
    <w:p w14:paraId="2867AB6F" w14:textId="77777777" w:rsidR="006628E4" w:rsidRPr="00ED172B" w:rsidRDefault="006628E4">
      <w:pPr>
        <w:rPr>
          <w:b/>
          <w:color w:val="000000" w:themeColor="text1"/>
        </w:rPr>
      </w:pPr>
      <w:r w:rsidRPr="00ED172B">
        <w:rPr>
          <w:b/>
          <w:color w:val="000000" w:themeColor="text1"/>
        </w:rPr>
        <w:t>Measurement</w:t>
      </w:r>
    </w:p>
    <w:p w14:paraId="2C28940C" w14:textId="77777777" w:rsidR="006628E4" w:rsidRPr="00ED172B" w:rsidRDefault="006628E4" w:rsidP="00174E1C">
      <w:pPr>
        <w:rPr>
          <w:color w:val="000000" w:themeColor="text1"/>
          <w:szCs w:val="16"/>
        </w:rPr>
      </w:pPr>
      <w:r w:rsidRPr="00ED172B">
        <w:rPr>
          <w:color w:val="000000" w:themeColor="text1"/>
          <w:szCs w:val="16"/>
        </w:rPr>
        <w:t xml:space="preserve">Percent = </w:t>
      </w:r>
      <w:proofErr w:type="gramStart"/>
      <w:r w:rsidRPr="00ED172B">
        <w:rPr>
          <w:color w:val="000000" w:themeColor="text1"/>
          <w:szCs w:val="16"/>
        </w:rPr>
        <w:t xml:space="preserve">[(# </w:t>
      </w:r>
      <w:proofErr w:type="gramEnd"/>
      <w:r w:rsidRPr="00ED172B">
        <w:rPr>
          <w:color w:val="000000" w:themeColor="text1"/>
          <w:szCs w:val="16"/>
        </w:rPr>
        <w:t>of infants and toddlers with IFSPs who primarily receive early intervention services in the home or community-based settings) divided by the (total # of infants and toddlers with IFSPs)] times 100.</w:t>
      </w:r>
    </w:p>
    <w:p w14:paraId="2BC45838" w14:textId="77777777" w:rsidR="006628E4" w:rsidRPr="00ED172B" w:rsidRDefault="006628E4">
      <w:pPr>
        <w:rPr>
          <w:b/>
          <w:color w:val="000000" w:themeColor="text1"/>
        </w:rPr>
      </w:pPr>
      <w:r w:rsidRPr="00ED172B">
        <w:rPr>
          <w:b/>
          <w:color w:val="000000" w:themeColor="text1"/>
        </w:rPr>
        <w:t>Instructions</w:t>
      </w:r>
    </w:p>
    <w:p w14:paraId="2679173D" w14:textId="77777777" w:rsidR="006628E4" w:rsidRPr="00D21F29" w:rsidRDefault="006628E4" w:rsidP="00174E1C">
      <w:pPr>
        <w:rPr>
          <w:i/>
          <w:iCs/>
          <w:color w:val="000000" w:themeColor="text1"/>
          <w:szCs w:val="16"/>
        </w:rPr>
      </w:pPr>
      <w:r w:rsidRPr="00D21F29">
        <w:rPr>
          <w:i/>
          <w:iCs/>
          <w:color w:val="000000" w:themeColor="text1"/>
          <w:szCs w:val="16"/>
        </w:rPr>
        <w:t>Sampling from the State’s 618 data is not allowed.</w:t>
      </w:r>
    </w:p>
    <w:p w14:paraId="0E7D5029"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7878F5EE" w14:textId="77777777"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14:paraId="537F9EC6" w14:textId="77777777" w:rsidR="00DE5141" w:rsidRPr="00A40EE1" w:rsidRDefault="000D0117" w:rsidP="005C3FFD">
      <w:pPr>
        <w:pStyle w:val="Heading2"/>
      </w:pPr>
      <w:r w:rsidRPr="00A40EE1">
        <w:t xml:space="preserve">2 - </w:t>
      </w:r>
      <w:r w:rsidR="00174E1C" w:rsidRPr="00A40EE1">
        <w:t>Indicator Data</w:t>
      </w:r>
    </w:p>
    <w:p w14:paraId="61FB00BF" w14:textId="77777777" w:rsidR="00B312CC" w:rsidRDefault="00B312CC">
      <w:pPr>
        <w:rPr>
          <w:b/>
          <w:color w:val="000000" w:themeColor="text1"/>
        </w:rPr>
      </w:pPr>
      <w:bookmarkStart w:id="9" w:name="_Toc392159264"/>
      <w:r w:rsidRPr="00ED172B">
        <w:rPr>
          <w:b/>
          <w:color w:val="000000" w:themeColor="text1"/>
        </w:rPr>
        <w:t>Historical Data</w:t>
      </w:r>
    </w:p>
    <w:p w14:paraId="75589206" w14:textId="77777777"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26197CB9" w14:textId="77777777" w:rsidTr="004B3BC6">
        <w:trPr>
          <w:trHeight w:val="350"/>
          <w:tblHeader/>
        </w:trPr>
        <w:tc>
          <w:tcPr>
            <w:tcW w:w="1800" w:type="dxa"/>
            <w:tcBorders>
              <w:bottom w:val="single" w:sz="4" w:space="0" w:color="auto"/>
            </w:tcBorders>
            <w:vAlign w:val="center"/>
          </w:tcPr>
          <w:p w14:paraId="61E6ECEF" w14:textId="77777777"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vAlign w:val="center"/>
          </w:tcPr>
          <w:p w14:paraId="731C774B" w14:textId="77777777"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618D4967" w14:textId="77777777" w:rsidTr="00A40EE1">
        <w:trPr>
          <w:trHeight w:val="350"/>
        </w:trPr>
        <w:tc>
          <w:tcPr>
            <w:tcW w:w="1800" w:type="dxa"/>
            <w:tcBorders>
              <w:bottom w:val="single" w:sz="4" w:space="0" w:color="auto"/>
            </w:tcBorders>
            <w:vAlign w:val="center"/>
          </w:tcPr>
          <w:p w14:paraId="3AD27E14" w14:textId="77777777" w:rsidR="0038029B" w:rsidRPr="00ED172B" w:rsidRDefault="0038029B" w:rsidP="000A2C40">
            <w:pPr>
              <w:jc w:val="center"/>
              <w:rPr>
                <w:b/>
                <w:color w:val="000000" w:themeColor="text1"/>
              </w:rPr>
            </w:pPr>
            <w:r w:rsidRPr="00ED172B">
              <w:rPr>
                <w:color w:val="000000" w:themeColor="text1"/>
              </w:rPr>
              <w:t>2005</w:t>
            </w:r>
          </w:p>
        </w:tc>
        <w:tc>
          <w:tcPr>
            <w:tcW w:w="1800" w:type="dxa"/>
            <w:tcBorders>
              <w:top w:val="single" w:sz="4" w:space="0" w:color="auto"/>
              <w:right w:val="single" w:sz="4" w:space="0" w:color="auto"/>
            </w:tcBorders>
            <w:vAlign w:val="center"/>
          </w:tcPr>
          <w:p w14:paraId="383B99EF" w14:textId="77777777" w:rsidR="0038029B" w:rsidRPr="00ED172B" w:rsidRDefault="0038029B" w:rsidP="000A2C40">
            <w:pPr>
              <w:jc w:val="center"/>
              <w:rPr>
                <w:b/>
                <w:color w:val="000000" w:themeColor="text1"/>
                <w:szCs w:val="16"/>
              </w:rPr>
            </w:pPr>
            <w:r w:rsidRPr="00ED172B">
              <w:rPr>
                <w:rFonts w:cs="Arial"/>
                <w:color w:val="000000" w:themeColor="text1"/>
                <w:szCs w:val="16"/>
              </w:rPr>
              <w:t>81.00%</w:t>
            </w:r>
          </w:p>
        </w:tc>
      </w:tr>
    </w:tbl>
    <w:p w14:paraId="0445DD9F" w14:textId="77777777" w:rsidR="000A2C40" w:rsidRDefault="000A2C40">
      <w:pPr>
        <w:rPr>
          <w:b/>
          <w:color w:val="000000" w:themeColor="text1"/>
        </w:rPr>
      </w:pPr>
    </w:p>
    <w:p w14:paraId="0753D124"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394F477E" w14:textId="77777777" w:rsidTr="00986B99">
        <w:trPr>
          <w:trHeight w:val="350"/>
        </w:trPr>
        <w:tc>
          <w:tcPr>
            <w:tcW w:w="666" w:type="pct"/>
            <w:tcBorders>
              <w:bottom w:val="single" w:sz="4" w:space="0" w:color="auto"/>
            </w:tcBorders>
          </w:tcPr>
          <w:p w14:paraId="358B0448"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vAlign w:val="center"/>
          </w:tcPr>
          <w:p w14:paraId="31300C75" w14:textId="77777777" w:rsidR="00472221" w:rsidRPr="00ED172B" w:rsidRDefault="002163F2" w:rsidP="00472221">
            <w:pPr>
              <w:jc w:val="center"/>
              <w:rPr>
                <w:b/>
                <w:color w:val="000000" w:themeColor="text1"/>
                <w:szCs w:val="16"/>
              </w:rPr>
            </w:pPr>
            <w:r w:rsidRPr="00ED172B">
              <w:rPr>
                <w:rFonts w:cs="Arial"/>
                <w:b/>
                <w:color w:val="000000" w:themeColor="text1"/>
                <w:szCs w:val="16"/>
              </w:rPr>
              <w:t>2019</w:t>
            </w:r>
          </w:p>
        </w:tc>
        <w:tc>
          <w:tcPr>
            <w:tcW w:w="867" w:type="pct"/>
            <w:vAlign w:val="center"/>
          </w:tcPr>
          <w:p w14:paraId="1B5AB73A" w14:textId="77777777" w:rsidR="00472221" w:rsidRPr="00ED172B" w:rsidRDefault="002163F2" w:rsidP="00472221">
            <w:pPr>
              <w:jc w:val="center"/>
              <w:rPr>
                <w:b/>
                <w:color w:val="000000" w:themeColor="text1"/>
                <w:szCs w:val="16"/>
              </w:rPr>
            </w:pPr>
            <w:r w:rsidRPr="00ED172B">
              <w:rPr>
                <w:rFonts w:cs="Arial"/>
                <w:b/>
                <w:color w:val="000000" w:themeColor="text1"/>
                <w:szCs w:val="16"/>
              </w:rPr>
              <w:t>2020</w:t>
            </w:r>
          </w:p>
        </w:tc>
        <w:tc>
          <w:tcPr>
            <w:tcW w:w="867" w:type="pct"/>
            <w:vAlign w:val="center"/>
          </w:tcPr>
          <w:p w14:paraId="0233F3EE" w14:textId="77777777" w:rsidR="00472221" w:rsidRPr="00ED172B" w:rsidRDefault="002163F2" w:rsidP="00472221">
            <w:pPr>
              <w:jc w:val="center"/>
              <w:rPr>
                <w:b/>
                <w:color w:val="000000" w:themeColor="text1"/>
                <w:szCs w:val="16"/>
              </w:rPr>
            </w:pPr>
            <w:r w:rsidRPr="00ED172B">
              <w:rPr>
                <w:rFonts w:cs="Arial"/>
                <w:b/>
                <w:color w:val="000000" w:themeColor="text1"/>
                <w:szCs w:val="16"/>
              </w:rPr>
              <w:t>2021</w:t>
            </w:r>
          </w:p>
        </w:tc>
        <w:tc>
          <w:tcPr>
            <w:tcW w:w="867" w:type="pct"/>
            <w:vAlign w:val="center"/>
          </w:tcPr>
          <w:p w14:paraId="1E21AC5B" w14:textId="77777777" w:rsidR="00472221" w:rsidRPr="00ED172B" w:rsidRDefault="002163F2" w:rsidP="00472221">
            <w:pPr>
              <w:jc w:val="center"/>
              <w:rPr>
                <w:b/>
                <w:color w:val="000000" w:themeColor="text1"/>
                <w:szCs w:val="16"/>
              </w:rPr>
            </w:pPr>
            <w:r w:rsidRPr="00ED172B">
              <w:rPr>
                <w:rFonts w:cs="Arial"/>
                <w:b/>
                <w:color w:val="000000" w:themeColor="text1"/>
                <w:szCs w:val="16"/>
              </w:rPr>
              <w:t>2022</w:t>
            </w:r>
          </w:p>
        </w:tc>
        <w:tc>
          <w:tcPr>
            <w:tcW w:w="866" w:type="pct"/>
            <w:vAlign w:val="center"/>
          </w:tcPr>
          <w:p w14:paraId="0CDDF010" w14:textId="77777777" w:rsidR="00472221" w:rsidRPr="00ED172B" w:rsidRDefault="006D43D3" w:rsidP="00472221">
            <w:pPr>
              <w:jc w:val="center"/>
              <w:rPr>
                <w:b/>
                <w:color w:val="000000" w:themeColor="text1"/>
                <w:szCs w:val="16"/>
              </w:rPr>
            </w:pPr>
            <w:r w:rsidRPr="00ED172B">
              <w:rPr>
                <w:rFonts w:cs="Arial"/>
                <w:b/>
                <w:color w:val="000000" w:themeColor="text1"/>
                <w:szCs w:val="16"/>
              </w:rPr>
              <w:t>2023</w:t>
            </w:r>
          </w:p>
        </w:tc>
      </w:tr>
      <w:tr w:rsidR="00ED172B" w:rsidRPr="00ED172B" w14:paraId="68E01A28" w14:textId="77777777" w:rsidTr="00986B99">
        <w:trPr>
          <w:trHeight w:val="357"/>
        </w:trPr>
        <w:tc>
          <w:tcPr>
            <w:tcW w:w="666" w:type="pct"/>
          </w:tcPr>
          <w:p w14:paraId="317670A9" w14:textId="77777777" w:rsidR="00D71B7C" w:rsidRPr="00ED172B" w:rsidRDefault="00D71B7C" w:rsidP="00D21F29">
            <w:pPr>
              <w:jc w:val="center"/>
              <w:rPr>
                <w:color w:val="000000" w:themeColor="text1"/>
                <w:szCs w:val="16"/>
              </w:rPr>
            </w:pPr>
            <w:r w:rsidRPr="00ED172B">
              <w:rPr>
                <w:color w:val="000000" w:themeColor="text1"/>
                <w:szCs w:val="16"/>
              </w:rPr>
              <w:t>Target&gt;=</w:t>
            </w:r>
          </w:p>
        </w:tc>
        <w:tc>
          <w:tcPr>
            <w:tcW w:w="867" w:type="pct"/>
            <w:vAlign w:val="center"/>
          </w:tcPr>
          <w:p w14:paraId="27CCCC9A" w14:textId="77777777"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7" w:type="pct"/>
            <w:vAlign w:val="center"/>
          </w:tcPr>
          <w:p w14:paraId="76D1F52D" w14:textId="77777777"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7" w:type="pct"/>
            <w:vAlign w:val="center"/>
          </w:tcPr>
          <w:p w14:paraId="6FB7B941" w14:textId="77777777"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7" w:type="pct"/>
            <w:vAlign w:val="center"/>
          </w:tcPr>
          <w:p w14:paraId="764AE0D4" w14:textId="77777777" w:rsidR="00D71B7C" w:rsidRPr="00ED172B" w:rsidRDefault="00860830" w:rsidP="00D71B7C">
            <w:pPr>
              <w:jc w:val="center"/>
              <w:rPr>
                <w:color w:val="000000" w:themeColor="text1"/>
                <w:szCs w:val="16"/>
              </w:rPr>
            </w:pPr>
            <w:r w:rsidRPr="00ED172B">
              <w:rPr>
                <w:rFonts w:cs="Arial"/>
                <w:color w:val="000000" w:themeColor="text1"/>
                <w:szCs w:val="16"/>
              </w:rPr>
              <w:t>96.50%</w:t>
            </w:r>
          </w:p>
        </w:tc>
        <w:tc>
          <w:tcPr>
            <w:tcW w:w="866" w:type="pct"/>
            <w:vAlign w:val="center"/>
          </w:tcPr>
          <w:p w14:paraId="31A02CB6" w14:textId="77777777" w:rsidR="00D71B7C" w:rsidRPr="00ED172B" w:rsidRDefault="00860830" w:rsidP="00D71B7C">
            <w:pPr>
              <w:jc w:val="center"/>
              <w:rPr>
                <w:color w:val="000000" w:themeColor="text1"/>
                <w:szCs w:val="16"/>
              </w:rPr>
            </w:pPr>
            <w:r w:rsidRPr="00ED172B">
              <w:rPr>
                <w:rFonts w:cs="Arial"/>
                <w:color w:val="000000" w:themeColor="text1"/>
                <w:szCs w:val="16"/>
              </w:rPr>
              <w:t>96.50%</w:t>
            </w:r>
          </w:p>
        </w:tc>
      </w:tr>
      <w:tr w:rsidR="00ED172B" w:rsidRPr="00ED172B" w14:paraId="54E804EB" w14:textId="77777777" w:rsidTr="00986B99">
        <w:trPr>
          <w:trHeight w:val="85"/>
        </w:trPr>
        <w:tc>
          <w:tcPr>
            <w:tcW w:w="666" w:type="pct"/>
          </w:tcPr>
          <w:p w14:paraId="78585AC7" w14:textId="77777777" w:rsidR="00D71B7C" w:rsidRPr="00ED172B" w:rsidRDefault="00D71B7C" w:rsidP="00D21F29">
            <w:pPr>
              <w:jc w:val="center"/>
              <w:rPr>
                <w:color w:val="000000" w:themeColor="text1"/>
                <w:szCs w:val="16"/>
              </w:rPr>
            </w:pPr>
            <w:r w:rsidRPr="00ED172B">
              <w:rPr>
                <w:color w:val="000000" w:themeColor="text1"/>
                <w:szCs w:val="16"/>
              </w:rPr>
              <w:t>Data</w:t>
            </w:r>
          </w:p>
        </w:tc>
        <w:tc>
          <w:tcPr>
            <w:tcW w:w="867" w:type="pct"/>
            <w:vAlign w:val="center"/>
          </w:tcPr>
          <w:p w14:paraId="709F73DC" w14:textId="77777777" w:rsidR="00D71B7C" w:rsidRPr="00ED172B" w:rsidRDefault="00860830" w:rsidP="00D71B7C">
            <w:pPr>
              <w:jc w:val="center"/>
              <w:rPr>
                <w:color w:val="000000" w:themeColor="text1"/>
                <w:szCs w:val="16"/>
              </w:rPr>
            </w:pPr>
            <w:r w:rsidRPr="00ED172B">
              <w:rPr>
                <w:rFonts w:cs="Arial"/>
                <w:color w:val="000000" w:themeColor="text1"/>
                <w:szCs w:val="16"/>
              </w:rPr>
              <w:t>98.66%</w:t>
            </w:r>
          </w:p>
        </w:tc>
        <w:tc>
          <w:tcPr>
            <w:tcW w:w="867" w:type="pct"/>
            <w:vAlign w:val="center"/>
          </w:tcPr>
          <w:p w14:paraId="302CAA98" w14:textId="77777777" w:rsidR="00D71B7C" w:rsidRPr="00ED172B" w:rsidRDefault="00860830" w:rsidP="00D71B7C">
            <w:pPr>
              <w:jc w:val="center"/>
              <w:rPr>
                <w:color w:val="000000" w:themeColor="text1"/>
                <w:szCs w:val="16"/>
              </w:rPr>
            </w:pPr>
            <w:r w:rsidRPr="00ED172B">
              <w:rPr>
                <w:rFonts w:cs="Arial"/>
                <w:color w:val="000000" w:themeColor="text1"/>
                <w:szCs w:val="16"/>
              </w:rPr>
              <w:t>99.31%</w:t>
            </w:r>
          </w:p>
        </w:tc>
        <w:tc>
          <w:tcPr>
            <w:tcW w:w="867" w:type="pct"/>
            <w:tcBorders>
              <w:bottom w:val="single" w:sz="4" w:space="0" w:color="auto"/>
            </w:tcBorders>
            <w:vAlign w:val="center"/>
          </w:tcPr>
          <w:p w14:paraId="3C9963CF" w14:textId="77777777" w:rsidR="00D71B7C" w:rsidRPr="00ED172B" w:rsidRDefault="00860830" w:rsidP="00D71B7C">
            <w:pPr>
              <w:jc w:val="center"/>
              <w:rPr>
                <w:color w:val="000000" w:themeColor="text1"/>
                <w:szCs w:val="16"/>
              </w:rPr>
            </w:pPr>
            <w:r w:rsidRPr="00ED172B">
              <w:rPr>
                <w:rFonts w:cs="Arial"/>
                <w:color w:val="000000" w:themeColor="text1"/>
                <w:szCs w:val="16"/>
              </w:rPr>
              <w:t>97.42%</w:t>
            </w:r>
          </w:p>
        </w:tc>
        <w:tc>
          <w:tcPr>
            <w:tcW w:w="867" w:type="pct"/>
            <w:tcBorders>
              <w:bottom w:val="single" w:sz="4" w:space="0" w:color="auto"/>
            </w:tcBorders>
            <w:vAlign w:val="center"/>
          </w:tcPr>
          <w:p w14:paraId="6396C6D3" w14:textId="77777777" w:rsidR="00D71B7C" w:rsidRPr="00ED172B" w:rsidRDefault="00860830" w:rsidP="00D71B7C">
            <w:pPr>
              <w:jc w:val="center"/>
              <w:rPr>
                <w:color w:val="000000" w:themeColor="text1"/>
                <w:szCs w:val="16"/>
              </w:rPr>
            </w:pPr>
            <w:r w:rsidRPr="00ED172B">
              <w:rPr>
                <w:rFonts w:cs="Arial"/>
                <w:color w:val="000000" w:themeColor="text1"/>
                <w:szCs w:val="16"/>
              </w:rPr>
              <w:t>97.54%</w:t>
            </w:r>
          </w:p>
        </w:tc>
        <w:tc>
          <w:tcPr>
            <w:tcW w:w="866" w:type="pct"/>
            <w:tcBorders>
              <w:bottom w:val="single" w:sz="4" w:space="0" w:color="auto"/>
            </w:tcBorders>
            <w:vAlign w:val="center"/>
          </w:tcPr>
          <w:p w14:paraId="2A56898F" w14:textId="77777777" w:rsidR="00D71B7C" w:rsidRPr="00ED172B" w:rsidRDefault="00860830" w:rsidP="00D71B7C">
            <w:pPr>
              <w:jc w:val="center"/>
              <w:rPr>
                <w:color w:val="000000" w:themeColor="text1"/>
                <w:szCs w:val="16"/>
              </w:rPr>
            </w:pPr>
            <w:r w:rsidRPr="00ED172B">
              <w:rPr>
                <w:rFonts w:cs="Arial"/>
                <w:color w:val="000000" w:themeColor="text1"/>
                <w:szCs w:val="16"/>
              </w:rPr>
              <w:t>98.02%</w:t>
            </w:r>
          </w:p>
        </w:tc>
      </w:tr>
    </w:tbl>
    <w:p w14:paraId="6411A0A2" w14:textId="77777777" w:rsidR="00B312CC" w:rsidRPr="00ED172B" w:rsidRDefault="00B312CC">
      <w:pPr>
        <w:rPr>
          <w:b/>
          <w:color w:val="000000" w:themeColor="text1"/>
        </w:rPr>
      </w:pPr>
      <w:r w:rsidRPr="00ED172B">
        <w:rPr>
          <w:b/>
          <w:color w:val="000000" w:themeColor="text1"/>
        </w:rPr>
        <w:t>Targets</w:t>
      </w:r>
    </w:p>
    <w:tbl>
      <w:tblPr>
        <w:tblW w:w="1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30"/>
        <w:gridCol w:w="1676"/>
        <w:gridCol w:w="1677"/>
      </w:tblGrid>
      <w:tr w:rsidR="00CF59E2" w:rsidRPr="00ED172B" w14:paraId="2AEEB2FD" w14:textId="77777777" w:rsidTr="00811738">
        <w:trPr>
          <w:trHeight w:val="350"/>
        </w:trPr>
        <w:tc>
          <w:tcPr>
            <w:tcW w:w="893" w:type="pct"/>
            <w:tcBorders>
              <w:bottom w:val="single" w:sz="4" w:space="0" w:color="auto"/>
            </w:tcBorders>
          </w:tcPr>
          <w:p w14:paraId="134C4AF5" w14:textId="77777777" w:rsidR="00CF59E2" w:rsidRPr="00ED172B" w:rsidRDefault="00CF59E2" w:rsidP="003546A3">
            <w:pPr>
              <w:jc w:val="center"/>
              <w:rPr>
                <w:b/>
                <w:color w:val="000000" w:themeColor="text1"/>
                <w:szCs w:val="16"/>
              </w:rPr>
            </w:pPr>
            <w:r w:rsidRPr="00ED172B">
              <w:rPr>
                <w:b/>
                <w:color w:val="000000" w:themeColor="text1"/>
                <w:szCs w:val="16"/>
              </w:rPr>
              <w:t>FFY</w:t>
            </w:r>
          </w:p>
        </w:tc>
        <w:tc>
          <w:tcPr>
            <w:tcW w:w="2053" w:type="pct"/>
            <w:vAlign w:val="center"/>
          </w:tcPr>
          <w:p w14:paraId="70E46641" w14:textId="77777777" w:rsidR="00CF59E2" w:rsidRPr="00ED172B" w:rsidRDefault="00CF59E2" w:rsidP="003546A3">
            <w:pPr>
              <w:jc w:val="center"/>
              <w:rPr>
                <w:b/>
                <w:color w:val="000000" w:themeColor="text1"/>
                <w:szCs w:val="16"/>
              </w:rPr>
            </w:pPr>
            <w:r w:rsidRPr="00ED172B">
              <w:rPr>
                <w:rFonts w:cs="Arial"/>
                <w:b/>
                <w:color w:val="000000" w:themeColor="text1"/>
                <w:szCs w:val="16"/>
              </w:rPr>
              <w:t>2024</w:t>
            </w:r>
          </w:p>
        </w:tc>
        <w:tc>
          <w:tcPr>
            <w:tcW w:w="2054" w:type="pct"/>
          </w:tcPr>
          <w:p w14:paraId="0533AFDF" w14:textId="77777777" w:rsidR="00CF59E2" w:rsidRPr="00ED172B" w:rsidRDefault="00CF59E2" w:rsidP="003546A3">
            <w:pPr>
              <w:jc w:val="center"/>
              <w:rPr>
                <w:rFonts w:cs="Arial"/>
                <w:b/>
                <w:color w:val="000000" w:themeColor="text1"/>
                <w:szCs w:val="16"/>
              </w:rPr>
            </w:pPr>
            <w:r>
              <w:rPr>
                <w:rFonts w:cs="Arial"/>
                <w:b/>
                <w:color w:val="000000" w:themeColor="text1"/>
                <w:szCs w:val="16"/>
              </w:rPr>
              <w:t>2025</w:t>
            </w:r>
          </w:p>
        </w:tc>
      </w:tr>
      <w:tr w:rsidR="00CF59E2" w:rsidRPr="00ED172B" w14:paraId="614D5420" w14:textId="77777777" w:rsidTr="00811738">
        <w:trPr>
          <w:trHeight w:val="357"/>
        </w:trPr>
        <w:tc>
          <w:tcPr>
            <w:tcW w:w="893" w:type="pct"/>
          </w:tcPr>
          <w:p w14:paraId="2255577F" w14:textId="77777777" w:rsidR="00CF59E2" w:rsidRPr="00ED172B" w:rsidRDefault="00CF59E2" w:rsidP="00D21F29">
            <w:pPr>
              <w:jc w:val="center"/>
              <w:rPr>
                <w:color w:val="000000" w:themeColor="text1"/>
                <w:szCs w:val="16"/>
              </w:rPr>
            </w:pPr>
            <w:r w:rsidRPr="00ED172B">
              <w:rPr>
                <w:color w:val="000000" w:themeColor="text1"/>
                <w:szCs w:val="16"/>
              </w:rPr>
              <w:t>Target&gt;=</w:t>
            </w:r>
          </w:p>
        </w:tc>
        <w:tc>
          <w:tcPr>
            <w:tcW w:w="2053" w:type="pct"/>
            <w:vAlign w:val="center"/>
          </w:tcPr>
          <w:p w14:paraId="3F0A76D5" w14:textId="77777777" w:rsidR="00CF59E2" w:rsidRPr="00ED172B" w:rsidRDefault="00CF59E2" w:rsidP="00573310">
            <w:pPr>
              <w:jc w:val="center"/>
              <w:rPr>
                <w:color w:val="000000" w:themeColor="text1"/>
                <w:szCs w:val="16"/>
              </w:rPr>
            </w:pPr>
            <w:r w:rsidRPr="00ED172B">
              <w:rPr>
                <w:rFonts w:cs="Arial"/>
                <w:color w:val="000000" w:themeColor="text1"/>
                <w:szCs w:val="16"/>
              </w:rPr>
              <w:t>96.50%</w:t>
            </w:r>
          </w:p>
        </w:tc>
        <w:tc>
          <w:tcPr>
            <w:tcW w:w="2054" w:type="pct"/>
          </w:tcPr>
          <w:p w14:paraId="0F7D9F1A" w14:textId="77777777" w:rsidR="00CF59E2" w:rsidRPr="00ED172B" w:rsidRDefault="00CF59E2" w:rsidP="00573310">
            <w:pPr>
              <w:jc w:val="center"/>
              <w:rPr>
                <w:rFonts w:cs="Arial"/>
                <w:color w:val="000000" w:themeColor="text1"/>
                <w:szCs w:val="16"/>
              </w:rPr>
            </w:pPr>
            <w:r>
              <w:rPr>
                <w:rFonts w:cs="Arial"/>
                <w:color w:val="000000" w:themeColor="text1"/>
                <w:szCs w:val="16"/>
              </w:rPr>
              <w:t>96.50%</w:t>
            </w:r>
          </w:p>
        </w:tc>
      </w:tr>
    </w:tbl>
    <w:p w14:paraId="6EA14BDB" w14:textId="77777777" w:rsidR="00BF7D80" w:rsidRDefault="00F80C9C" w:rsidP="00B83404">
      <w:pPr>
        <w:rPr>
          <w:b/>
          <w:color w:val="000000" w:themeColor="text1"/>
        </w:rPr>
      </w:pPr>
      <w:bookmarkStart w:id="10" w:name="_Toc392159265"/>
      <w:bookmarkEnd w:id="9"/>
      <w:r w:rsidRPr="00ED172B">
        <w:rPr>
          <w:b/>
          <w:color w:val="000000" w:themeColor="text1"/>
        </w:rPr>
        <w:t>Targets: Description of Stakeholder Input</w:t>
      </w:r>
    </w:p>
    <w:p w14:paraId="3CE7F08B" w14:textId="77777777" w:rsidR="00F80C9C" w:rsidRDefault="00CF03E0" w:rsidP="00CF03E0">
      <w:pPr>
        <w:rPr>
          <w:color w:val="000000" w:themeColor="text1"/>
        </w:rPr>
      </w:pPr>
      <w:r w:rsidRPr="00ED172B">
        <w:rPr>
          <w:b/>
          <w:color w:val="000000" w:themeColor="text1"/>
        </w:rPr>
        <w:t xml:space="preserve"> </w:t>
      </w:r>
      <w:r w:rsidRPr="00ED172B">
        <w:rPr>
          <w:color w:val="000000" w:themeColor="text1"/>
        </w:rPr>
        <w:t xml:space="preserve">The State engages stakeholders through the State Interagency Coordinating Council (SICC), collaboration with the parent training and information center (FACT Oregon), public reporting, and targeted outreach efforts. These structures support stakeholder involvement in reviewing data, setting targets, shaping improvement strategies, and monitoring progress. The State has made focused efforts to broaden participation in the SICC and to strengthen connections with Local Interagency Coordinating Councils. The State also works to improve participation in the annual Parent Survey and to ensure feedback from families </w:t>
      </w:r>
      <w:proofErr w:type="gramStart"/>
      <w:r w:rsidRPr="00ED172B">
        <w:rPr>
          <w:color w:val="000000" w:themeColor="text1"/>
        </w:rPr>
        <w:t>informs</w:t>
      </w:r>
      <w:proofErr w:type="gramEnd"/>
      <w:r w:rsidRPr="00ED172B">
        <w:rPr>
          <w:color w:val="000000" w:themeColor="text1"/>
        </w:rPr>
        <w:t xml:space="preserve"> system improvement activities.</w:t>
      </w:r>
    </w:p>
    <w:p w14:paraId="2903D233" w14:textId="77777777" w:rsidR="00AE7452" w:rsidRPr="00ED172B" w:rsidRDefault="00AE7452" w:rsidP="00B83404">
      <w:pPr>
        <w:rPr>
          <w:color w:val="000000" w:themeColor="text1"/>
        </w:rPr>
      </w:pPr>
    </w:p>
    <w:p w14:paraId="12A3AFDE"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7966059E" w14:textId="77777777" w:rsidTr="00986B99">
        <w:trPr>
          <w:trHeight w:val="372"/>
          <w:tblHeader/>
        </w:trPr>
        <w:tc>
          <w:tcPr>
            <w:tcW w:w="1207" w:type="pct"/>
          </w:tcPr>
          <w:p w14:paraId="2C9E9A1D"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tcPr>
          <w:p w14:paraId="5B8B026E"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tcPr>
          <w:p w14:paraId="7EE92321"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tcPr>
          <w:p w14:paraId="50F59BC7"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16D3A2CB" w14:textId="77777777" w:rsidTr="00986B99">
        <w:trPr>
          <w:trHeight w:val="380"/>
        </w:trPr>
        <w:tc>
          <w:tcPr>
            <w:tcW w:w="1207" w:type="pct"/>
            <w:vAlign w:val="center"/>
          </w:tcPr>
          <w:p w14:paraId="59F286EB" w14:textId="77777777" w:rsidR="006111D4" w:rsidRPr="00ED172B" w:rsidRDefault="00753E04" w:rsidP="006111D4">
            <w:pPr>
              <w:jc w:val="center"/>
              <w:rPr>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460" w:type="pct"/>
          </w:tcPr>
          <w:p w14:paraId="482EBD69" w14:textId="77777777" w:rsidR="006111D4" w:rsidRPr="00ED172B" w:rsidRDefault="00753E04" w:rsidP="006111D4">
            <w:pPr>
              <w:jc w:val="center"/>
              <w:rPr>
                <w:rFonts w:cs="Arial"/>
                <w:color w:val="000000" w:themeColor="text1"/>
                <w:szCs w:val="16"/>
              </w:rPr>
            </w:pPr>
            <w:r w:rsidRPr="00ED172B">
              <w:rPr>
                <w:rFonts w:cs="Arial"/>
                <w:color w:val="000000" w:themeColor="text1"/>
                <w:szCs w:val="16"/>
              </w:rPr>
              <w:t>07/30/2025</w:t>
            </w:r>
          </w:p>
        </w:tc>
        <w:tc>
          <w:tcPr>
            <w:tcW w:w="1487" w:type="pct"/>
          </w:tcPr>
          <w:p w14:paraId="44254F65" w14:textId="77777777"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tcPr>
          <w:p w14:paraId="66639EE5" w14:textId="77777777" w:rsidR="006111D4" w:rsidRPr="00ED172B" w:rsidRDefault="00860830" w:rsidP="006111D4">
            <w:pPr>
              <w:jc w:val="center"/>
              <w:rPr>
                <w:color w:val="000000" w:themeColor="text1"/>
                <w:szCs w:val="16"/>
              </w:rPr>
            </w:pPr>
            <w:r w:rsidRPr="00ED172B">
              <w:rPr>
                <w:color w:val="000000" w:themeColor="text1"/>
                <w:szCs w:val="16"/>
              </w:rPr>
              <w:t>3,852</w:t>
            </w:r>
          </w:p>
        </w:tc>
      </w:tr>
      <w:tr w:rsidR="00ED172B" w:rsidRPr="00ED172B" w14:paraId="7FD70A3C" w14:textId="77777777" w:rsidTr="00986B99">
        <w:trPr>
          <w:trHeight w:val="380"/>
        </w:trPr>
        <w:tc>
          <w:tcPr>
            <w:tcW w:w="1207" w:type="pct"/>
            <w:vAlign w:val="center"/>
          </w:tcPr>
          <w:p w14:paraId="5018F2ED" w14:textId="77777777" w:rsidR="00F32B6D" w:rsidRPr="00ED172B" w:rsidRDefault="00753E04" w:rsidP="00F32B6D">
            <w:pPr>
              <w:jc w:val="center"/>
              <w:rPr>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460" w:type="pct"/>
          </w:tcPr>
          <w:p w14:paraId="682C5C3D" w14:textId="77777777" w:rsidR="00F32B6D" w:rsidRPr="00ED172B" w:rsidRDefault="00753E04" w:rsidP="00F32B6D">
            <w:pPr>
              <w:jc w:val="center"/>
              <w:rPr>
                <w:color w:val="000000" w:themeColor="text1"/>
                <w:szCs w:val="16"/>
              </w:rPr>
            </w:pPr>
            <w:r w:rsidRPr="00ED172B">
              <w:rPr>
                <w:rFonts w:cs="Arial"/>
                <w:color w:val="000000" w:themeColor="text1"/>
                <w:szCs w:val="16"/>
              </w:rPr>
              <w:t>07/30/2025</w:t>
            </w:r>
          </w:p>
        </w:tc>
        <w:tc>
          <w:tcPr>
            <w:tcW w:w="1487" w:type="pct"/>
          </w:tcPr>
          <w:p w14:paraId="08DB90D1" w14:textId="77777777"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vAlign w:val="center"/>
          </w:tcPr>
          <w:p w14:paraId="6A4F50AE" w14:textId="77777777" w:rsidR="00F32B6D" w:rsidRPr="00ED172B" w:rsidRDefault="00860830" w:rsidP="00F32B6D">
            <w:pPr>
              <w:jc w:val="center"/>
              <w:rPr>
                <w:color w:val="000000" w:themeColor="text1"/>
                <w:szCs w:val="16"/>
              </w:rPr>
            </w:pPr>
            <w:r w:rsidRPr="00ED172B">
              <w:rPr>
                <w:color w:val="000000" w:themeColor="text1"/>
                <w:szCs w:val="16"/>
              </w:rPr>
              <w:t>3,915</w:t>
            </w:r>
          </w:p>
        </w:tc>
      </w:tr>
    </w:tbl>
    <w:p w14:paraId="77B096A1" w14:textId="77777777" w:rsidR="006628E4"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9"/>
        <w:gridCol w:w="1268"/>
        <w:gridCol w:w="1893"/>
        <w:gridCol w:w="1140"/>
        <w:gridCol w:w="1444"/>
        <w:gridCol w:w="1399"/>
      </w:tblGrid>
      <w:tr w:rsidR="00ED172B" w:rsidRPr="00ED172B" w14:paraId="06F749DA" w14:textId="77777777" w:rsidTr="00986B99">
        <w:trPr>
          <w:trHeight w:val="359"/>
          <w:tblHeader/>
        </w:trPr>
        <w:tc>
          <w:tcPr>
            <w:tcW w:w="834" w:type="pct"/>
            <w:vAlign w:val="bottom"/>
          </w:tcPr>
          <w:p w14:paraId="4C8FA1FD" w14:textId="77777777" w:rsidR="00B605F5" w:rsidRPr="00ED172B" w:rsidRDefault="00B605F5" w:rsidP="00B605F5">
            <w:pPr>
              <w:jc w:val="center"/>
              <w:rPr>
                <w:b/>
                <w:color w:val="000000" w:themeColor="text1"/>
                <w:szCs w:val="16"/>
              </w:rPr>
            </w:pPr>
            <w:r w:rsidRPr="00ED172B">
              <w:rPr>
                <w:b/>
                <w:color w:val="000000" w:themeColor="text1"/>
                <w:szCs w:val="16"/>
              </w:rPr>
              <w:lastRenderedPageBreak/>
              <w:t>Number of infants and toddlers with IFSPs who primarily receive early intervention services in the home or community-based settings</w:t>
            </w:r>
          </w:p>
        </w:tc>
        <w:tc>
          <w:tcPr>
            <w:tcW w:w="856" w:type="pct"/>
            <w:vAlign w:val="bottom"/>
          </w:tcPr>
          <w:p w14:paraId="3D46385C" w14:textId="7777777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vAlign w:val="bottom"/>
          </w:tcPr>
          <w:p w14:paraId="49ECE5E8" w14:textId="77777777" w:rsidR="00B605F5" w:rsidRPr="00ED172B" w:rsidRDefault="00CD74B5" w:rsidP="00B605F5">
            <w:pPr>
              <w:jc w:val="center"/>
              <w:rPr>
                <w:b/>
                <w:color w:val="000000" w:themeColor="text1"/>
                <w:szCs w:val="16"/>
              </w:rPr>
            </w:pPr>
            <w:r>
              <w:rPr>
                <w:rFonts w:cs="Arial"/>
                <w:b/>
                <w:color w:val="000000" w:themeColor="text1"/>
                <w:szCs w:val="16"/>
              </w:rPr>
              <w:t>FFY 2023 Data</w:t>
            </w:r>
          </w:p>
        </w:tc>
        <w:tc>
          <w:tcPr>
            <w:tcW w:w="877" w:type="pct"/>
            <w:vAlign w:val="bottom"/>
          </w:tcPr>
          <w:p w14:paraId="203CCFDF" w14:textId="77777777" w:rsidR="00B605F5" w:rsidRPr="00ED172B" w:rsidRDefault="00F22D09" w:rsidP="00B605F5">
            <w:pPr>
              <w:jc w:val="center"/>
              <w:rPr>
                <w:b/>
                <w:color w:val="000000" w:themeColor="text1"/>
                <w:szCs w:val="16"/>
              </w:rPr>
            </w:pPr>
            <w:r>
              <w:rPr>
                <w:rFonts w:cs="Arial"/>
                <w:b/>
                <w:color w:val="000000" w:themeColor="text1"/>
                <w:szCs w:val="16"/>
              </w:rPr>
              <w:t>FFY 2024 Target</w:t>
            </w:r>
          </w:p>
        </w:tc>
        <w:tc>
          <w:tcPr>
            <w:tcW w:w="528" w:type="pct"/>
            <w:vAlign w:val="bottom"/>
          </w:tcPr>
          <w:p w14:paraId="57FF68A4" w14:textId="77777777" w:rsidR="00B605F5" w:rsidRPr="00ED172B" w:rsidRDefault="00F22D09" w:rsidP="00B605F5">
            <w:pPr>
              <w:jc w:val="center"/>
              <w:rPr>
                <w:b/>
                <w:color w:val="000000" w:themeColor="text1"/>
                <w:szCs w:val="16"/>
              </w:rPr>
            </w:pPr>
            <w:r>
              <w:rPr>
                <w:rFonts w:cs="Arial"/>
                <w:b/>
                <w:color w:val="000000" w:themeColor="text1"/>
                <w:szCs w:val="16"/>
              </w:rPr>
              <w:t>FFY 2024 Data</w:t>
            </w:r>
          </w:p>
        </w:tc>
        <w:tc>
          <w:tcPr>
            <w:tcW w:w="669" w:type="pct"/>
            <w:vAlign w:val="bottom"/>
          </w:tcPr>
          <w:p w14:paraId="7C5E321E"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vAlign w:val="bottom"/>
          </w:tcPr>
          <w:p w14:paraId="44B5A13C"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746A440C" w14:textId="77777777" w:rsidTr="00986B99">
        <w:trPr>
          <w:trHeight w:val="366"/>
        </w:trPr>
        <w:tc>
          <w:tcPr>
            <w:tcW w:w="834" w:type="pct"/>
            <w:vAlign w:val="center"/>
          </w:tcPr>
          <w:p w14:paraId="57D8D582" w14:textId="77777777" w:rsidR="00650CF7" w:rsidRPr="00ED172B" w:rsidRDefault="00860830" w:rsidP="00694144">
            <w:pPr>
              <w:jc w:val="center"/>
              <w:rPr>
                <w:color w:val="000000" w:themeColor="text1"/>
                <w:szCs w:val="16"/>
              </w:rPr>
            </w:pPr>
            <w:r w:rsidRPr="00ED172B">
              <w:rPr>
                <w:color w:val="000000" w:themeColor="text1"/>
                <w:szCs w:val="16"/>
              </w:rPr>
              <w:t>3,852</w:t>
            </w:r>
          </w:p>
        </w:tc>
        <w:tc>
          <w:tcPr>
            <w:tcW w:w="856" w:type="pct"/>
            <w:vAlign w:val="center"/>
          </w:tcPr>
          <w:p w14:paraId="3483C79A" w14:textId="77777777" w:rsidR="00650CF7" w:rsidRPr="00ED172B" w:rsidRDefault="00860830" w:rsidP="00694144">
            <w:pPr>
              <w:jc w:val="center"/>
              <w:rPr>
                <w:color w:val="000000" w:themeColor="text1"/>
                <w:szCs w:val="16"/>
              </w:rPr>
            </w:pPr>
            <w:r w:rsidRPr="00ED172B">
              <w:rPr>
                <w:color w:val="000000" w:themeColor="text1"/>
                <w:szCs w:val="16"/>
              </w:rPr>
              <w:t>3,915</w:t>
            </w:r>
          </w:p>
        </w:tc>
        <w:tc>
          <w:tcPr>
            <w:tcW w:w="587" w:type="pct"/>
            <w:vAlign w:val="center"/>
          </w:tcPr>
          <w:p w14:paraId="3E8D1D96" w14:textId="77777777" w:rsidR="00650CF7" w:rsidRPr="00ED172B" w:rsidRDefault="00860830" w:rsidP="00694144">
            <w:pPr>
              <w:jc w:val="center"/>
              <w:rPr>
                <w:color w:val="000000" w:themeColor="text1"/>
                <w:szCs w:val="16"/>
              </w:rPr>
            </w:pPr>
            <w:r w:rsidRPr="00ED172B">
              <w:rPr>
                <w:rFonts w:cs="Arial"/>
                <w:color w:val="000000" w:themeColor="text1"/>
                <w:szCs w:val="16"/>
              </w:rPr>
              <w:t>98.02%</w:t>
            </w:r>
          </w:p>
        </w:tc>
        <w:tc>
          <w:tcPr>
            <w:tcW w:w="877" w:type="pct"/>
            <w:vAlign w:val="center"/>
          </w:tcPr>
          <w:p w14:paraId="46B4D7A3" w14:textId="77777777" w:rsidR="00650CF7" w:rsidRPr="00ED172B" w:rsidRDefault="00860830" w:rsidP="00694144">
            <w:pPr>
              <w:jc w:val="center"/>
              <w:rPr>
                <w:color w:val="000000" w:themeColor="text1"/>
                <w:szCs w:val="16"/>
              </w:rPr>
            </w:pPr>
            <w:r w:rsidRPr="00ED172B">
              <w:rPr>
                <w:rFonts w:cs="Arial"/>
                <w:color w:val="000000" w:themeColor="text1"/>
                <w:szCs w:val="16"/>
              </w:rPr>
              <w:t>96.50%</w:t>
            </w:r>
          </w:p>
        </w:tc>
        <w:tc>
          <w:tcPr>
            <w:tcW w:w="528" w:type="pct"/>
            <w:vAlign w:val="center"/>
          </w:tcPr>
          <w:p w14:paraId="22C16162" w14:textId="77777777" w:rsidR="00650CF7" w:rsidRPr="00ED172B" w:rsidRDefault="00860830" w:rsidP="00694144">
            <w:pPr>
              <w:jc w:val="center"/>
              <w:rPr>
                <w:color w:val="000000" w:themeColor="text1"/>
                <w:szCs w:val="16"/>
              </w:rPr>
            </w:pPr>
            <w:r w:rsidRPr="00ED172B">
              <w:rPr>
                <w:rFonts w:cs="Arial"/>
                <w:color w:val="000000" w:themeColor="text1"/>
                <w:szCs w:val="16"/>
              </w:rPr>
              <w:t>98.39%</w:t>
            </w:r>
          </w:p>
        </w:tc>
        <w:tc>
          <w:tcPr>
            <w:tcW w:w="669" w:type="pct"/>
            <w:vAlign w:val="center"/>
          </w:tcPr>
          <w:p w14:paraId="6FC1A5EB" w14:textId="77777777" w:rsidR="00650CF7" w:rsidRPr="00ED172B" w:rsidRDefault="002F5A9E" w:rsidP="00027F39">
            <w:pPr>
              <w:jc w:val="center"/>
              <w:rPr>
                <w:color w:val="000000" w:themeColor="text1"/>
              </w:rPr>
            </w:pPr>
            <w:r w:rsidRPr="00ED172B">
              <w:rPr>
                <w:color w:val="000000" w:themeColor="text1"/>
              </w:rPr>
              <w:t>Met target</w:t>
            </w:r>
          </w:p>
        </w:tc>
        <w:tc>
          <w:tcPr>
            <w:tcW w:w="648" w:type="pct"/>
            <w:vAlign w:val="center"/>
          </w:tcPr>
          <w:p w14:paraId="730726D9" w14:textId="77777777" w:rsidR="00650CF7" w:rsidRPr="00ED172B" w:rsidRDefault="002F5A9E" w:rsidP="00027F39">
            <w:pPr>
              <w:jc w:val="center"/>
              <w:rPr>
                <w:color w:val="000000" w:themeColor="text1"/>
              </w:rPr>
            </w:pPr>
            <w:r w:rsidRPr="00ED172B">
              <w:rPr>
                <w:color w:val="000000" w:themeColor="text1"/>
              </w:rPr>
              <w:t>No Slippage</w:t>
            </w:r>
          </w:p>
        </w:tc>
      </w:tr>
    </w:tbl>
    <w:p w14:paraId="2BC16BE2" w14:textId="77777777" w:rsidR="003A3693" w:rsidRPr="00ED172B" w:rsidRDefault="003A3693" w:rsidP="003A3693">
      <w:pPr>
        <w:rPr>
          <w:rFonts w:cs="Arial"/>
          <w:b/>
          <w:color w:val="000000" w:themeColor="text1"/>
          <w:szCs w:val="16"/>
        </w:rPr>
      </w:pPr>
      <w:bookmarkStart w:id="11" w:name="_Toc382082359"/>
      <w:bookmarkStart w:id="12" w:name="_Toc392159266"/>
      <w:bookmarkStart w:id="13" w:name="_Toc365403651"/>
      <w:bookmarkEnd w:id="10"/>
      <w:r w:rsidRPr="00ED172B">
        <w:rPr>
          <w:rFonts w:cs="Arial"/>
          <w:b/>
          <w:color w:val="000000" w:themeColor="text1"/>
          <w:szCs w:val="16"/>
        </w:rPr>
        <w:t>Provide additional information about this indicator (optional).</w:t>
      </w:r>
    </w:p>
    <w:p w14:paraId="365489C1" w14:textId="77777777" w:rsidR="003A3693" w:rsidRPr="00ED172B" w:rsidRDefault="003A3693" w:rsidP="003A3693">
      <w:pPr>
        <w:rPr>
          <w:rFonts w:cs="Arial"/>
          <w:color w:val="000000" w:themeColor="text1"/>
          <w:szCs w:val="16"/>
        </w:rPr>
      </w:pPr>
    </w:p>
    <w:p w14:paraId="643583FB" w14:textId="77777777" w:rsidR="00DC0682" w:rsidRPr="00A40EE1" w:rsidRDefault="000D0117" w:rsidP="005C3FFD">
      <w:pPr>
        <w:pStyle w:val="Heading2"/>
      </w:pPr>
      <w:r w:rsidRPr="00A40EE1">
        <w:t xml:space="preserve">2 - </w:t>
      </w:r>
      <w:r w:rsidR="00DC0682" w:rsidRPr="00A40EE1">
        <w:t>Prior FFY Required Actions</w:t>
      </w:r>
    </w:p>
    <w:p w14:paraId="74153056" w14:textId="77777777" w:rsidR="004C1CEE" w:rsidRPr="00ED172B" w:rsidRDefault="002F5A9E" w:rsidP="00DC0682">
      <w:pPr>
        <w:rPr>
          <w:rFonts w:cs="Arial"/>
          <w:color w:val="000000" w:themeColor="text1"/>
          <w:szCs w:val="16"/>
        </w:rPr>
      </w:pPr>
      <w:r w:rsidRPr="00ED172B">
        <w:rPr>
          <w:color w:val="000000" w:themeColor="text1"/>
        </w:rPr>
        <w:t>None</w:t>
      </w:r>
    </w:p>
    <w:p w14:paraId="6BEC529E" w14:textId="77777777" w:rsidR="00DC0682" w:rsidRPr="00A40EE1" w:rsidRDefault="000D0117" w:rsidP="005C3FFD">
      <w:pPr>
        <w:pStyle w:val="Heading2"/>
      </w:pPr>
      <w:r w:rsidRPr="00A40EE1">
        <w:t xml:space="preserve">2 - </w:t>
      </w:r>
      <w:r w:rsidR="00DC0682" w:rsidRPr="00A40EE1">
        <w:t>OSEP Response</w:t>
      </w:r>
    </w:p>
    <w:p w14:paraId="642A6F82" w14:textId="77777777" w:rsidR="00DC0682" w:rsidRPr="00ED172B" w:rsidRDefault="00DC0682" w:rsidP="002F5A9E">
      <w:pPr>
        <w:rPr>
          <w:color w:val="000000" w:themeColor="text1"/>
        </w:rPr>
      </w:pPr>
    </w:p>
    <w:p w14:paraId="4B04AEA9" w14:textId="77777777" w:rsidR="00DC0682" w:rsidRPr="00A40EE1" w:rsidRDefault="000D0117" w:rsidP="005C3FFD">
      <w:pPr>
        <w:pStyle w:val="Heading2"/>
      </w:pPr>
      <w:r w:rsidRPr="00A40EE1">
        <w:t xml:space="preserve">2 - </w:t>
      </w:r>
      <w:r w:rsidR="00DC0682" w:rsidRPr="00A40EE1">
        <w:t>Required Actions</w:t>
      </w:r>
    </w:p>
    <w:p w14:paraId="0DAD5A78" w14:textId="77777777" w:rsidR="00DC0682" w:rsidRPr="00ED172B" w:rsidRDefault="00DC0682" w:rsidP="002F5A9E">
      <w:pPr>
        <w:rPr>
          <w:color w:val="000000" w:themeColor="text1"/>
        </w:rPr>
      </w:pPr>
    </w:p>
    <w:p w14:paraId="4E747599"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4D05DC6" w14:textId="7777777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1"/>
      <w:bookmarkEnd w:id="12"/>
      <w:r w:rsidR="005F4279" w:rsidRPr="00ED172B">
        <w:rPr>
          <w:color w:val="000000" w:themeColor="text1"/>
        </w:rPr>
        <w:t>3: Early Childhood Outcomes</w:t>
      </w:r>
    </w:p>
    <w:p w14:paraId="28AA640D" w14:textId="77777777" w:rsidR="000C5918" w:rsidRPr="00ED172B" w:rsidRDefault="000C5918" w:rsidP="00186420">
      <w:pPr>
        <w:rPr>
          <w:color w:val="000000" w:themeColor="text1"/>
          <w:szCs w:val="20"/>
        </w:rPr>
      </w:pPr>
      <w:bookmarkStart w:id="14" w:name="_Toc392159267"/>
      <w:r w:rsidRPr="00ED172B">
        <w:rPr>
          <w:b/>
          <w:color w:val="000000" w:themeColor="text1"/>
          <w:sz w:val="20"/>
          <w:szCs w:val="20"/>
        </w:rPr>
        <w:t>Instructions and Measurement</w:t>
      </w:r>
    </w:p>
    <w:p w14:paraId="2BCD0883"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 xml:space="preserve">Early Intervention Services </w:t>
      </w:r>
      <w:proofErr w:type="gramStart"/>
      <w:r w:rsidRPr="00ED172B">
        <w:rPr>
          <w:color w:val="000000" w:themeColor="text1"/>
        </w:rPr>
        <w:t>In</w:t>
      </w:r>
      <w:proofErr w:type="gramEnd"/>
      <w:r w:rsidRPr="00ED172B">
        <w:rPr>
          <w:color w:val="000000" w:themeColor="text1"/>
        </w:rPr>
        <w:t xml:space="preserve"> Natural Environments</w:t>
      </w:r>
    </w:p>
    <w:p w14:paraId="73CC4F7F"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0012A70A" w14:textId="77777777"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14:paraId="669ECD53" w14:textId="77777777"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7537C6D0" w14:textId="77777777"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77D302FC"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75266D43" w14:textId="77777777" w:rsidR="00F83F88" w:rsidRPr="00ED172B" w:rsidRDefault="00F83F88">
      <w:pPr>
        <w:rPr>
          <w:b/>
          <w:color w:val="000000" w:themeColor="text1"/>
        </w:rPr>
      </w:pPr>
      <w:r w:rsidRPr="00ED172B">
        <w:rPr>
          <w:b/>
          <w:color w:val="000000" w:themeColor="text1"/>
        </w:rPr>
        <w:t>Data Source</w:t>
      </w:r>
    </w:p>
    <w:p w14:paraId="5E3A9CF2" w14:textId="77777777"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09A3E8A1" w14:textId="77777777" w:rsidR="00F83F88" w:rsidRPr="00ED172B" w:rsidRDefault="00F83F88">
      <w:pPr>
        <w:rPr>
          <w:b/>
          <w:color w:val="000000" w:themeColor="text1"/>
        </w:rPr>
      </w:pPr>
      <w:r w:rsidRPr="00ED172B">
        <w:rPr>
          <w:b/>
          <w:color w:val="000000" w:themeColor="text1"/>
        </w:rPr>
        <w:t>Measurement</w:t>
      </w:r>
    </w:p>
    <w:p w14:paraId="70200D80"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18B2DD5D" w14:textId="77777777"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
    <w:p w14:paraId="20E307FD" w14:textId="77777777"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40B62829" w14:textId="77777777"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272F9007"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66B51BEE"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 xml:space="preserve">a. Percent of infants and toddlers who did not improve functioning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toddlers who did not improve functioning) divided </w:t>
      </w:r>
      <w:proofErr w:type="gramStart"/>
      <w:r w:rsidRPr="00ED172B">
        <w:rPr>
          <w:rFonts w:cs="Arial"/>
          <w:color w:val="000000" w:themeColor="text1"/>
          <w:szCs w:val="16"/>
        </w:rPr>
        <w:t xml:space="preserve">by (# </w:t>
      </w:r>
      <w:proofErr w:type="gramEnd"/>
      <w:r w:rsidRPr="00ED172B">
        <w:rPr>
          <w:rFonts w:cs="Arial"/>
          <w:color w:val="000000" w:themeColor="text1"/>
          <w:szCs w:val="16"/>
        </w:rPr>
        <w:t>of infants and toddlers with IFSPs assessed)] times 100.</w:t>
      </w:r>
    </w:p>
    <w:p w14:paraId="4CFD6CED"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 xml:space="preserve">b. Percent of infants and toddlers who improved functioning but not sufficient to move nearer to functioning comparable to same-aged peers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toddlers who improved functioning but not sufficient to move nearer to functioning comparable to same-aged peers) divided </w:t>
      </w:r>
      <w:proofErr w:type="gramStart"/>
      <w:r w:rsidRPr="00ED172B">
        <w:rPr>
          <w:rFonts w:cs="Arial"/>
          <w:color w:val="000000" w:themeColor="text1"/>
          <w:szCs w:val="16"/>
        </w:rPr>
        <w:t xml:space="preserve">by (# </w:t>
      </w:r>
      <w:proofErr w:type="gramEnd"/>
      <w:r w:rsidRPr="00ED172B">
        <w:rPr>
          <w:rFonts w:cs="Arial"/>
          <w:color w:val="000000" w:themeColor="text1"/>
          <w:szCs w:val="16"/>
        </w:rPr>
        <w:t>of infants and toddlers with IFSPs assessed)] times 100.</w:t>
      </w:r>
    </w:p>
    <w:p w14:paraId="3148966B"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48BF43F0"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 xml:space="preserve">d. Percent of infants and toddlers who improved functioning to reach a level comparable to same-aged peers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toddlers who improved functioning to reach a level comparable to same-aged peers) divided </w:t>
      </w:r>
      <w:proofErr w:type="gramStart"/>
      <w:r w:rsidRPr="00ED172B">
        <w:rPr>
          <w:rFonts w:cs="Arial"/>
          <w:color w:val="000000" w:themeColor="text1"/>
          <w:szCs w:val="16"/>
        </w:rPr>
        <w:t xml:space="preserve">by (# </w:t>
      </w:r>
      <w:proofErr w:type="gramEnd"/>
      <w:r w:rsidRPr="00ED172B">
        <w:rPr>
          <w:rFonts w:cs="Arial"/>
          <w:color w:val="000000" w:themeColor="text1"/>
          <w:szCs w:val="16"/>
        </w:rPr>
        <w:t>of infants and toddlers with IFSPs assessed)] times 100.</w:t>
      </w:r>
    </w:p>
    <w:p w14:paraId="6C9E2973"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 xml:space="preserve">e. Percent of infants and toddlers who maintained functioning at a level comparable to same-aged peers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toddlers who maintained functioning at a level comparable to same-aged peers) divided </w:t>
      </w:r>
      <w:proofErr w:type="gramStart"/>
      <w:r w:rsidRPr="00ED172B">
        <w:rPr>
          <w:rFonts w:cs="Arial"/>
          <w:color w:val="000000" w:themeColor="text1"/>
          <w:szCs w:val="16"/>
        </w:rPr>
        <w:t xml:space="preserve">by (# </w:t>
      </w:r>
      <w:proofErr w:type="gramEnd"/>
      <w:r w:rsidRPr="00ED172B">
        <w:rPr>
          <w:rFonts w:cs="Arial"/>
          <w:color w:val="000000" w:themeColor="text1"/>
          <w:szCs w:val="16"/>
        </w:rPr>
        <w:t>of infants and toddlers with IFSPs assessed)] times 100.</w:t>
      </w:r>
    </w:p>
    <w:p w14:paraId="0AA903C3"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1102015F"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xml:space="preserve"> Of those infants and toddlers who entered early intervention below age expectations in each Outcome, the </w:t>
      </w:r>
      <w:proofErr w:type="gramStart"/>
      <w:r w:rsidRPr="00ED172B">
        <w:rPr>
          <w:rFonts w:cs="Arial"/>
          <w:color w:val="000000" w:themeColor="text1"/>
          <w:szCs w:val="16"/>
        </w:rPr>
        <w:t>percent who</w:t>
      </w:r>
      <w:proofErr w:type="gramEnd"/>
      <w:r w:rsidRPr="00ED172B">
        <w:rPr>
          <w:rFonts w:cs="Arial"/>
          <w:color w:val="000000" w:themeColor="text1"/>
          <w:szCs w:val="16"/>
        </w:rPr>
        <w:t xml:space="preserve"> substantially increased their rate of growth by the time they turned 3 years of age or exited the program.</w:t>
      </w:r>
    </w:p>
    <w:p w14:paraId="14FB4F77"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08243351"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6FD16EE8"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14:paraId="5098BB3B"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0E53B781" w14:textId="77777777" w:rsidR="00F83F88" w:rsidRPr="00ED172B" w:rsidRDefault="00F83F88" w:rsidP="004A4483">
      <w:pPr>
        <w:rPr>
          <w:rFonts w:cs="Arial"/>
          <w:color w:val="000000" w:themeColor="text1"/>
          <w:szCs w:val="16"/>
        </w:rPr>
      </w:pPr>
      <w:r w:rsidRPr="00ED172B">
        <w:rPr>
          <w:rFonts w:cs="Arial"/>
          <w:color w:val="000000" w:themeColor="text1"/>
          <w:szCs w:val="16"/>
        </w:rPr>
        <w:t xml:space="preserve">Percent = </w:t>
      </w:r>
      <w:proofErr w:type="gramStart"/>
      <w:r w:rsidRPr="00ED172B">
        <w:rPr>
          <w:rFonts w:cs="Arial"/>
          <w:color w:val="000000" w:themeColor="text1"/>
          <w:szCs w:val="16"/>
        </w:rPr>
        <w:t xml:space="preserve">[(# </w:t>
      </w:r>
      <w:proofErr w:type="gramEnd"/>
      <w:r w:rsidRPr="00ED172B">
        <w:rPr>
          <w:rFonts w:cs="Arial"/>
          <w:color w:val="000000" w:themeColor="text1"/>
          <w:szCs w:val="16"/>
        </w:rPr>
        <w:t>of infants and toddlers reported in progress category (d) plus # of infants and toddlers reported in progress category (e)) divided by the (total # of infants and toddlers reported in progress categories (a) + (b) + (c) + (d) + (e))] times 100.</w:t>
      </w:r>
    </w:p>
    <w:p w14:paraId="3CB38703" w14:textId="77777777" w:rsidR="00F83F88" w:rsidRPr="00ED172B" w:rsidRDefault="00F83F88">
      <w:pPr>
        <w:rPr>
          <w:b/>
          <w:color w:val="000000" w:themeColor="text1"/>
        </w:rPr>
      </w:pPr>
      <w:r w:rsidRPr="00ED172B">
        <w:rPr>
          <w:b/>
          <w:color w:val="000000" w:themeColor="text1"/>
        </w:rPr>
        <w:t>Instructions</w:t>
      </w:r>
    </w:p>
    <w:p w14:paraId="4E4F4BF1"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53212BD3"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3A9B1E3C"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6BE3C2CE" w14:textId="77777777"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1BB53EF7" w14:textId="77777777" w:rsidR="00F83F88" w:rsidRPr="00ED172B" w:rsidRDefault="00F83F88" w:rsidP="004A4483">
      <w:pPr>
        <w:rPr>
          <w:color w:val="000000" w:themeColor="text1"/>
          <w:szCs w:val="16"/>
        </w:rPr>
      </w:pPr>
      <w:r w:rsidRPr="00ED172B">
        <w:rPr>
          <w:color w:val="000000" w:themeColor="text1"/>
          <w:szCs w:val="16"/>
        </w:rPr>
        <w:t>Report progress data and calculate Summary Statements to compare against the six targets. Provide the actual numbers and percentages for the five reporting categories for each of the three Outcomes.</w:t>
      </w:r>
    </w:p>
    <w:p w14:paraId="133D5363"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32B4C5A5"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5C0F2C1F" w14:textId="77777777" w:rsidR="00F83F88" w:rsidRPr="00ED172B" w:rsidRDefault="00F83F88" w:rsidP="004A4483">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w:t>
      </w:r>
      <w:proofErr w:type="spellStart"/>
      <w:r w:rsidRPr="00ED172B">
        <w:rPr>
          <w:color w:val="000000" w:themeColor="text1"/>
          <w:szCs w:val="16"/>
        </w:rPr>
        <w:t>i</w:t>
      </w:r>
      <w:proofErr w:type="spellEnd"/>
      <w:r w:rsidRPr="00ED172B">
        <w:rPr>
          <w:color w:val="000000" w:themeColor="text1"/>
          <w:szCs w:val="16"/>
        </w:rPr>
        <w:t xml:space="preserve">),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w:t>
      </w:r>
      <w:proofErr w:type="gramStart"/>
      <w:r w:rsidRPr="00ED172B">
        <w:rPr>
          <w:color w:val="000000" w:themeColor="text1"/>
          <w:szCs w:val="16"/>
        </w:rPr>
        <w:t>report outcome</w:t>
      </w:r>
      <w:proofErr w:type="gramEnd"/>
      <w:r w:rsidRPr="00ED172B">
        <w:rPr>
          <w:color w:val="000000" w:themeColor="text1"/>
          <w:szCs w:val="16"/>
        </w:rPr>
        <w:t xml:space="preserve"> data on </w:t>
      </w:r>
      <w:proofErr w:type="gramStart"/>
      <w:r w:rsidRPr="00ED172B">
        <w:rPr>
          <w:color w:val="000000" w:themeColor="text1"/>
          <w:szCs w:val="16"/>
        </w:rPr>
        <w:t>either: (</w:t>
      </w:r>
      <w:proofErr w:type="gramEnd"/>
      <w:r w:rsidRPr="00ED172B">
        <w:rPr>
          <w:color w:val="000000" w:themeColor="text1"/>
          <w:szCs w:val="16"/>
        </w:rPr>
        <w:t xml:space="preserve">1) just its at-risk infants and toddlers; or (2) aggregated performance data on </w:t>
      </w:r>
      <w:proofErr w:type="gramStart"/>
      <w:r w:rsidRPr="00ED172B">
        <w:rPr>
          <w:color w:val="000000" w:themeColor="text1"/>
          <w:szCs w:val="16"/>
        </w:rPr>
        <w:t>all of</w:t>
      </w:r>
      <w:proofErr w:type="gramEnd"/>
      <w:r w:rsidRPr="00ED172B">
        <w:rPr>
          <w:color w:val="000000" w:themeColor="text1"/>
          <w:szCs w:val="16"/>
        </w:rPr>
        <w:t xml:space="preserve"> the infants and toddlers it serves under Part C (including developmentally delayed children, children with diagnosed conditions, and at-risk infants and toddlers).</w:t>
      </w:r>
    </w:p>
    <w:p w14:paraId="4D1C91A7" w14:textId="77777777" w:rsidR="00833727" w:rsidRPr="00A40EE1" w:rsidRDefault="000D0117" w:rsidP="005C3FFD">
      <w:pPr>
        <w:pStyle w:val="Heading2"/>
      </w:pPr>
      <w:r w:rsidRPr="00A40EE1">
        <w:lastRenderedPageBreak/>
        <w:t xml:space="preserve">3 - </w:t>
      </w:r>
      <w:r w:rsidR="004A4483" w:rsidRPr="00A40EE1">
        <w:t>Indicator Data</w:t>
      </w:r>
      <w:bookmarkEnd w:id="14"/>
    </w:p>
    <w:p w14:paraId="5C0C9F30" w14:textId="77777777" w:rsidR="00363AAB" w:rsidRPr="00ED172B" w:rsidRDefault="00363AAB" w:rsidP="00186420">
      <w:pPr>
        <w:rPr>
          <w:b/>
          <w:color w:val="000000" w:themeColor="text1"/>
        </w:rPr>
      </w:pPr>
      <w:proofErr w:type="gramStart"/>
      <w:r w:rsidRPr="00ED172B">
        <w:rPr>
          <w:b/>
          <w:color w:val="000000" w:themeColor="text1"/>
        </w:rPr>
        <w:t>Does</w:t>
      </w:r>
      <w:proofErr w:type="gramEnd"/>
      <w:r w:rsidRPr="00ED172B">
        <w:rPr>
          <w:b/>
          <w:color w:val="000000" w:themeColor="text1"/>
        </w:rPr>
        <w:t xml:space="preserve"> your State's Part C eligibility criteria include infants and toddlers who are at risk of having substantial developmental delays (or “at-risk infants and toddlers”) under IDEA section 632(5)(B)(</w:t>
      </w:r>
      <w:proofErr w:type="spellStart"/>
      <w:r w:rsidRPr="00ED172B">
        <w:rPr>
          <w:b/>
          <w:color w:val="000000" w:themeColor="text1"/>
        </w:rPr>
        <w:t>i</w:t>
      </w:r>
      <w:proofErr w:type="spellEnd"/>
      <w:r w:rsidRPr="00ED172B">
        <w:rPr>
          <w:b/>
          <w:color w:val="000000" w:themeColor="text1"/>
        </w:rPr>
        <w:t>)? (yes/no)</w:t>
      </w:r>
    </w:p>
    <w:p w14:paraId="6B43E760" w14:textId="77777777" w:rsidR="00363AAB" w:rsidRPr="00ED172B" w:rsidRDefault="00363AAB">
      <w:pPr>
        <w:rPr>
          <w:color w:val="000000" w:themeColor="text1"/>
        </w:rPr>
      </w:pPr>
      <w:r w:rsidRPr="00ED172B">
        <w:rPr>
          <w:color w:val="000000" w:themeColor="text1"/>
        </w:rPr>
        <w:t>NO</w:t>
      </w:r>
    </w:p>
    <w:p w14:paraId="27104024" w14:textId="77777777" w:rsidR="00F32724" w:rsidRPr="00ED172B" w:rsidRDefault="00F32724" w:rsidP="00F32724">
      <w:pPr>
        <w:rPr>
          <w:b/>
          <w:color w:val="000000" w:themeColor="text1"/>
        </w:rPr>
      </w:pPr>
    </w:p>
    <w:p w14:paraId="35797F11" w14:textId="77777777" w:rsidR="00F32724" w:rsidRDefault="00F32724" w:rsidP="00F32724">
      <w:pPr>
        <w:rPr>
          <w:b/>
          <w:color w:val="000000" w:themeColor="text1"/>
        </w:rPr>
      </w:pPr>
      <w:r w:rsidRPr="00ED172B">
        <w:rPr>
          <w:b/>
          <w:color w:val="000000" w:themeColor="text1"/>
        </w:rPr>
        <w:t xml:space="preserve">Targets: Description of Stakeholder Input </w:t>
      </w:r>
    </w:p>
    <w:p w14:paraId="110C8ECA" w14:textId="77777777" w:rsidR="00F32724" w:rsidRDefault="00CF03E0" w:rsidP="00CF03E0">
      <w:pPr>
        <w:rPr>
          <w:color w:val="000000" w:themeColor="text1"/>
        </w:rPr>
      </w:pPr>
      <w:r w:rsidRPr="00ED172B">
        <w:rPr>
          <w:color w:val="000000" w:themeColor="text1"/>
        </w:rPr>
        <w:t xml:space="preserve">The State engages stakeholders through the State Interagency Coordinating Council (SICC), collaboration with the parent training and information center (FACT Oregon), public reporting, and targeted outreach efforts. These structures support stakeholder involvement in reviewing data, setting targets, shaping improvement strategies, and monitoring progress. The State has made focused efforts to broaden participation in the SICC and to strengthen connections with Local Interagency Coordinating Councils. The State also works to improve participation in the annual Parent Survey and to ensure feedback from families </w:t>
      </w:r>
      <w:proofErr w:type="gramStart"/>
      <w:r w:rsidRPr="00ED172B">
        <w:rPr>
          <w:color w:val="000000" w:themeColor="text1"/>
        </w:rPr>
        <w:t>informs</w:t>
      </w:r>
      <w:proofErr w:type="gramEnd"/>
      <w:r w:rsidRPr="00ED172B">
        <w:rPr>
          <w:color w:val="000000" w:themeColor="text1"/>
        </w:rPr>
        <w:t xml:space="preserve"> system improvement activities.</w:t>
      </w:r>
    </w:p>
    <w:p w14:paraId="29CE862B" w14:textId="77777777" w:rsidR="004C1CEE" w:rsidRPr="00ED172B" w:rsidRDefault="00F32724" w:rsidP="00F32724">
      <w:pPr>
        <w:rPr>
          <w:color w:val="000000" w:themeColor="text1"/>
        </w:rPr>
      </w:pPr>
      <w:r w:rsidRPr="00ED172B">
        <w:rPr>
          <w:rFonts w:cs="Arial"/>
          <w:color w:val="000000" w:themeColor="text1"/>
          <w:szCs w:val="16"/>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w:t>
      </w:r>
      <w:proofErr w:type="gramStart"/>
      <w:r w:rsidRPr="00ED172B">
        <w:rPr>
          <w:rFonts w:cs="Arial"/>
          <w:color w:val="000000" w:themeColor="text1"/>
          <w:szCs w:val="16"/>
        </w:rPr>
        <w:t>supports</w:t>
      </w:r>
      <w:proofErr w:type="gramEnd"/>
      <w:r w:rsidRPr="00ED172B">
        <w:rPr>
          <w:rFonts w:cs="Arial"/>
          <w:color w:val="000000" w:themeColor="text1"/>
          <w:szCs w:val="16"/>
        </w:rPr>
        <w:t xml:space="preserve"> for children with disabilities. </w:t>
      </w:r>
    </w:p>
    <w:p w14:paraId="72FDEE98" w14:textId="77777777" w:rsidR="000575B2" w:rsidRDefault="000575B2"/>
    <w:p w14:paraId="12B7284B" w14:textId="77777777" w:rsidR="000575B2" w:rsidRDefault="00D6492D">
      <w:r>
        <w:rPr>
          <w:color w:val="000000"/>
        </w:rP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p>
    <w:p w14:paraId="17918E74" w14:textId="77777777" w:rsidR="000575B2" w:rsidRDefault="000575B2"/>
    <w:p w14:paraId="4612BD60" w14:textId="77777777" w:rsidR="000575B2" w:rsidRDefault="00D6492D">
      <w:r>
        <w:rPr>
          <w:color w:val="000000"/>
        </w:rP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p>
    <w:p w14:paraId="57F7DF6B" w14:textId="77777777" w:rsidR="000575B2" w:rsidRDefault="000575B2"/>
    <w:p w14:paraId="5B42FA04" w14:textId="77777777" w:rsidR="000575B2" w:rsidRDefault="00D6492D">
      <w:r>
        <w:rPr>
          <w:color w:val="000000"/>
        </w:rPr>
        <w:t xml:space="preserve">Additional data and input </w:t>
      </w:r>
      <w:proofErr w:type="gramStart"/>
      <w:r>
        <w:rPr>
          <w:color w:val="000000"/>
        </w:rPr>
        <w:t>has</w:t>
      </w:r>
      <w:proofErr w:type="gramEnd"/>
      <w:r>
        <w:rPr>
          <w:color w:val="000000"/>
        </w:rPr>
        <w:t xml:space="preserve">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337E45BE" w14:textId="77777777" w:rsidR="001A4B29" w:rsidRPr="00ED172B" w:rsidRDefault="001A4B29">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3HISTDATA1"/>
      </w:tblPr>
      <w:tblGrid>
        <w:gridCol w:w="1078"/>
        <w:gridCol w:w="1078"/>
        <w:gridCol w:w="1079"/>
        <w:gridCol w:w="1511"/>
        <w:gridCol w:w="1511"/>
        <w:gridCol w:w="1511"/>
        <w:gridCol w:w="1511"/>
        <w:gridCol w:w="1511"/>
      </w:tblGrid>
      <w:tr w:rsidR="00ED172B" w:rsidRPr="00ED172B" w14:paraId="48903CF7" w14:textId="77777777" w:rsidTr="00A40EE1">
        <w:trPr>
          <w:trHeight w:val="395"/>
        </w:trPr>
        <w:tc>
          <w:tcPr>
            <w:tcW w:w="500" w:type="pct"/>
            <w:tcBorders>
              <w:top w:val="single" w:sz="4" w:space="0" w:color="auto"/>
              <w:left w:val="single" w:sz="4" w:space="0" w:color="auto"/>
              <w:bottom w:val="single" w:sz="4" w:space="0" w:color="auto"/>
              <w:right w:val="single" w:sz="4" w:space="0" w:color="auto"/>
            </w:tcBorders>
            <w:vAlign w:val="bottom"/>
          </w:tcPr>
          <w:p w14:paraId="0E465F25" w14:textId="77777777" w:rsidR="00E87031" w:rsidRPr="00ED172B" w:rsidRDefault="00E55520" w:rsidP="00E87031">
            <w:pPr>
              <w:jc w:val="center"/>
              <w:rPr>
                <w:rFonts w:cs="Arial"/>
                <w:b/>
                <w:color w:val="000000" w:themeColor="text1"/>
                <w:szCs w:val="16"/>
              </w:rPr>
            </w:pPr>
            <w:r>
              <w:rPr>
                <w:rFonts w:cs="Arial"/>
                <w:b/>
                <w:color w:val="000000" w:themeColor="text1"/>
                <w:szCs w:val="16"/>
              </w:rPr>
              <w:t>Outcome</w:t>
            </w:r>
          </w:p>
        </w:tc>
        <w:tc>
          <w:tcPr>
            <w:tcW w:w="500" w:type="pct"/>
            <w:tcBorders>
              <w:top w:val="single" w:sz="4" w:space="0" w:color="auto"/>
              <w:left w:val="single" w:sz="4" w:space="0" w:color="auto"/>
              <w:bottom w:val="single" w:sz="4" w:space="0" w:color="auto"/>
              <w:right w:val="single" w:sz="4" w:space="0" w:color="auto"/>
            </w:tcBorders>
            <w:vAlign w:val="bottom"/>
          </w:tcPr>
          <w:p w14:paraId="3CBCCF1B" w14:textId="77777777" w:rsidR="00E87031" w:rsidRPr="00ED172B" w:rsidRDefault="00E87031" w:rsidP="00E87031">
            <w:pPr>
              <w:jc w:val="center"/>
              <w:rPr>
                <w:rFonts w:cs="Arial"/>
                <w:b/>
                <w:color w:val="000000" w:themeColor="text1"/>
                <w:szCs w:val="16"/>
              </w:rPr>
            </w:pPr>
            <w:r w:rsidRPr="00ED172B">
              <w:rPr>
                <w:rFonts w:cs="Arial"/>
                <w:b/>
                <w:color w:val="000000" w:themeColor="text1"/>
                <w:szCs w:val="16"/>
              </w:rPr>
              <w:t>Baseline</w:t>
            </w:r>
          </w:p>
        </w:tc>
        <w:tc>
          <w:tcPr>
            <w:tcW w:w="500" w:type="pct"/>
            <w:tcBorders>
              <w:top w:val="single" w:sz="4" w:space="0" w:color="auto"/>
              <w:left w:val="single" w:sz="4" w:space="0" w:color="auto"/>
              <w:bottom w:val="single" w:sz="4" w:space="0" w:color="auto"/>
              <w:right w:val="single" w:sz="4" w:space="0" w:color="auto"/>
            </w:tcBorders>
            <w:vAlign w:val="bottom"/>
          </w:tcPr>
          <w:p w14:paraId="32620F48" w14:textId="77777777" w:rsidR="00E87031" w:rsidRPr="00ED172B" w:rsidRDefault="00E87031" w:rsidP="00E87031">
            <w:pPr>
              <w:jc w:val="center"/>
              <w:rPr>
                <w:rFonts w:cs="Arial"/>
                <w:b/>
                <w:color w:val="000000" w:themeColor="text1"/>
                <w:szCs w:val="16"/>
              </w:rPr>
            </w:pPr>
            <w:r w:rsidRPr="00ED172B">
              <w:rPr>
                <w:rFonts w:cs="Arial"/>
                <w:b/>
                <w:color w:val="000000" w:themeColor="text1"/>
                <w:szCs w:val="16"/>
              </w:rPr>
              <w:t>FFY</w:t>
            </w:r>
          </w:p>
        </w:tc>
        <w:tc>
          <w:tcPr>
            <w:tcW w:w="700" w:type="pct"/>
            <w:tcBorders>
              <w:top w:val="single" w:sz="4" w:space="0" w:color="auto"/>
              <w:left w:val="single" w:sz="4" w:space="0" w:color="auto"/>
              <w:bottom w:val="single" w:sz="4" w:space="0" w:color="auto"/>
              <w:right w:val="single" w:sz="4" w:space="0" w:color="auto"/>
            </w:tcBorders>
            <w:vAlign w:val="center"/>
          </w:tcPr>
          <w:p w14:paraId="76F11A24"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2019</w:t>
            </w:r>
          </w:p>
        </w:tc>
        <w:tc>
          <w:tcPr>
            <w:tcW w:w="700" w:type="pct"/>
            <w:tcBorders>
              <w:top w:val="single" w:sz="4" w:space="0" w:color="auto"/>
              <w:left w:val="single" w:sz="4" w:space="0" w:color="auto"/>
              <w:bottom w:val="single" w:sz="4" w:space="0" w:color="auto"/>
              <w:right w:val="single" w:sz="4" w:space="0" w:color="auto"/>
            </w:tcBorders>
            <w:vAlign w:val="center"/>
          </w:tcPr>
          <w:p w14:paraId="1A84C0E1"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2020</w:t>
            </w:r>
          </w:p>
        </w:tc>
        <w:tc>
          <w:tcPr>
            <w:tcW w:w="700" w:type="pct"/>
            <w:tcBorders>
              <w:top w:val="single" w:sz="4" w:space="0" w:color="auto"/>
              <w:left w:val="single" w:sz="4" w:space="0" w:color="auto"/>
              <w:bottom w:val="single" w:sz="4" w:space="0" w:color="auto"/>
              <w:right w:val="single" w:sz="4" w:space="0" w:color="auto"/>
            </w:tcBorders>
            <w:vAlign w:val="center"/>
          </w:tcPr>
          <w:p w14:paraId="71E83D7E"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2021</w:t>
            </w:r>
          </w:p>
        </w:tc>
        <w:tc>
          <w:tcPr>
            <w:tcW w:w="700" w:type="pct"/>
            <w:tcBorders>
              <w:top w:val="single" w:sz="4" w:space="0" w:color="auto"/>
              <w:left w:val="single" w:sz="4" w:space="0" w:color="auto"/>
              <w:bottom w:val="single" w:sz="4" w:space="0" w:color="auto"/>
              <w:right w:val="single" w:sz="4" w:space="0" w:color="auto"/>
            </w:tcBorders>
            <w:vAlign w:val="center"/>
          </w:tcPr>
          <w:p w14:paraId="758C0F18"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2022</w:t>
            </w:r>
          </w:p>
        </w:tc>
        <w:tc>
          <w:tcPr>
            <w:tcW w:w="700" w:type="pct"/>
            <w:tcBorders>
              <w:top w:val="single" w:sz="4" w:space="0" w:color="auto"/>
              <w:left w:val="single" w:sz="4" w:space="0" w:color="auto"/>
              <w:bottom w:val="single" w:sz="4" w:space="0" w:color="auto"/>
              <w:right w:val="single" w:sz="4" w:space="0" w:color="auto"/>
            </w:tcBorders>
            <w:vAlign w:val="center"/>
          </w:tcPr>
          <w:p w14:paraId="192C0388" w14:textId="77777777" w:rsidR="00E87031" w:rsidRPr="00ED172B" w:rsidRDefault="006D43D3" w:rsidP="00E87031">
            <w:pPr>
              <w:jc w:val="center"/>
              <w:rPr>
                <w:rFonts w:cs="Arial"/>
                <w:b/>
                <w:color w:val="000000" w:themeColor="text1"/>
                <w:szCs w:val="16"/>
              </w:rPr>
            </w:pPr>
            <w:r w:rsidRPr="00ED172B">
              <w:rPr>
                <w:rFonts w:cs="Arial"/>
                <w:b/>
                <w:color w:val="000000" w:themeColor="text1"/>
                <w:szCs w:val="16"/>
              </w:rPr>
              <w:t>2023</w:t>
            </w:r>
          </w:p>
        </w:tc>
      </w:tr>
      <w:tr w:rsidR="00ED172B" w:rsidRPr="00ED172B" w14:paraId="448A0E6C" w14:textId="77777777" w:rsidTr="00A40EE1">
        <w:trPr>
          <w:trHeight w:val="70"/>
        </w:trPr>
        <w:tc>
          <w:tcPr>
            <w:tcW w:w="500" w:type="pct"/>
            <w:tcBorders>
              <w:top w:val="single" w:sz="4" w:space="0" w:color="auto"/>
              <w:left w:val="single" w:sz="4" w:space="0" w:color="auto"/>
              <w:right w:val="single" w:sz="4" w:space="0" w:color="auto"/>
            </w:tcBorders>
            <w:vAlign w:val="center"/>
          </w:tcPr>
          <w:p w14:paraId="607FB149"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A1</w:t>
            </w:r>
          </w:p>
        </w:tc>
        <w:tc>
          <w:tcPr>
            <w:tcW w:w="500" w:type="pct"/>
            <w:tcBorders>
              <w:top w:val="single" w:sz="4" w:space="0" w:color="auto"/>
              <w:left w:val="single" w:sz="4" w:space="0" w:color="auto"/>
              <w:right w:val="single" w:sz="4" w:space="0" w:color="auto"/>
            </w:tcBorders>
          </w:tcPr>
          <w:p w14:paraId="1DC12A65" w14:textId="77777777" w:rsidR="007F3393" w:rsidRPr="00ED172B" w:rsidRDefault="002F5A9E" w:rsidP="00027F39">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hideMark/>
          </w:tcPr>
          <w:p w14:paraId="1684153F"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642FE05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85.40%</w:t>
            </w:r>
          </w:p>
        </w:tc>
        <w:tc>
          <w:tcPr>
            <w:tcW w:w="700" w:type="pct"/>
            <w:tcBorders>
              <w:top w:val="single" w:sz="4" w:space="0" w:color="auto"/>
              <w:left w:val="single" w:sz="4" w:space="0" w:color="auto"/>
              <w:bottom w:val="single" w:sz="4" w:space="0" w:color="auto"/>
              <w:right w:val="single" w:sz="4" w:space="0" w:color="auto"/>
            </w:tcBorders>
            <w:vAlign w:val="center"/>
          </w:tcPr>
          <w:p w14:paraId="1BBE23E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85.40%</w:t>
            </w:r>
          </w:p>
        </w:tc>
        <w:tc>
          <w:tcPr>
            <w:tcW w:w="700" w:type="pct"/>
            <w:tcBorders>
              <w:top w:val="single" w:sz="4" w:space="0" w:color="auto"/>
              <w:left w:val="single" w:sz="4" w:space="0" w:color="auto"/>
              <w:bottom w:val="single" w:sz="4" w:space="0" w:color="auto"/>
              <w:right w:val="single" w:sz="4" w:space="0" w:color="auto"/>
            </w:tcBorders>
            <w:vAlign w:val="center"/>
          </w:tcPr>
          <w:p w14:paraId="6874148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85.60%</w:t>
            </w:r>
          </w:p>
        </w:tc>
        <w:tc>
          <w:tcPr>
            <w:tcW w:w="700" w:type="pct"/>
            <w:tcBorders>
              <w:top w:val="single" w:sz="4" w:space="0" w:color="auto"/>
              <w:left w:val="single" w:sz="4" w:space="0" w:color="auto"/>
              <w:bottom w:val="single" w:sz="4" w:space="0" w:color="auto"/>
              <w:right w:val="single" w:sz="4" w:space="0" w:color="auto"/>
            </w:tcBorders>
            <w:vAlign w:val="center"/>
          </w:tcPr>
          <w:p w14:paraId="4844876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85.80%</w:t>
            </w:r>
          </w:p>
        </w:tc>
        <w:tc>
          <w:tcPr>
            <w:tcW w:w="700" w:type="pct"/>
            <w:tcBorders>
              <w:top w:val="single" w:sz="4" w:space="0" w:color="auto"/>
              <w:left w:val="single" w:sz="4" w:space="0" w:color="auto"/>
              <w:bottom w:val="single" w:sz="4" w:space="0" w:color="auto"/>
              <w:right w:val="single" w:sz="4" w:space="0" w:color="auto"/>
            </w:tcBorders>
            <w:vAlign w:val="center"/>
          </w:tcPr>
          <w:p w14:paraId="080BB77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86.00%</w:t>
            </w:r>
          </w:p>
        </w:tc>
      </w:tr>
      <w:tr w:rsidR="00ED172B" w:rsidRPr="00ED172B" w14:paraId="256A16F2" w14:textId="77777777" w:rsidTr="00A40EE1">
        <w:trPr>
          <w:trHeight w:val="70"/>
        </w:trPr>
        <w:tc>
          <w:tcPr>
            <w:tcW w:w="500" w:type="pct"/>
            <w:tcBorders>
              <w:left w:val="single" w:sz="4" w:space="0" w:color="auto"/>
              <w:right w:val="single" w:sz="4" w:space="0" w:color="auto"/>
            </w:tcBorders>
            <w:vAlign w:val="center"/>
          </w:tcPr>
          <w:p w14:paraId="7F5815EE"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500" w:type="pct"/>
            <w:tcBorders>
              <w:left w:val="single" w:sz="4" w:space="0" w:color="auto"/>
              <w:right w:val="single" w:sz="4" w:space="0" w:color="auto"/>
            </w:tcBorders>
          </w:tcPr>
          <w:p w14:paraId="714E3D59" w14:textId="77777777" w:rsidR="007F3393" w:rsidRPr="00ED172B" w:rsidRDefault="002F5A9E" w:rsidP="00027F39">
            <w:pPr>
              <w:jc w:val="center"/>
              <w:rPr>
                <w:color w:val="000000" w:themeColor="text1"/>
              </w:rPr>
            </w:pPr>
            <w:r w:rsidRPr="00ED172B">
              <w:rPr>
                <w:color w:val="000000" w:themeColor="text1"/>
              </w:rPr>
              <w:t>84.89%</w:t>
            </w:r>
          </w:p>
        </w:tc>
        <w:tc>
          <w:tcPr>
            <w:tcW w:w="500" w:type="pct"/>
            <w:tcBorders>
              <w:top w:val="single" w:sz="4" w:space="0" w:color="auto"/>
              <w:left w:val="single" w:sz="4" w:space="0" w:color="auto"/>
              <w:bottom w:val="single" w:sz="4" w:space="0" w:color="auto"/>
              <w:right w:val="single" w:sz="4" w:space="0" w:color="auto"/>
            </w:tcBorders>
            <w:hideMark/>
          </w:tcPr>
          <w:p w14:paraId="61948321"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1977765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85.92%</w:t>
            </w:r>
          </w:p>
        </w:tc>
        <w:tc>
          <w:tcPr>
            <w:tcW w:w="700" w:type="pct"/>
            <w:tcBorders>
              <w:top w:val="single" w:sz="4" w:space="0" w:color="auto"/>
              <w:left w:val="single" w:sz="4" w:space="0" w:color="auto"/>
              <w:bottom w:val="single" w:sz="4" w:space="0" w:color="auto"/>
              <w:right w:val="single" w:sz="4" w:space="0" w:color="auto"/>
            </w:tcBorders>
            <w:vAlign w:val="center"/>
          </w:tcPr>
          <w:p w14:paraId="17028F1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87.84%</w:t>
            </w:r>
          </w:p>
        </w:tc>
        <w:tc>
          <w:tcPr>
            <w:tcW w:w="700" w:type="pct"/>
            <w:tcBorders>
              <w:top w:val="single" w:sz="4" w:space="0" w:color="auto"/>
              <w:left w:val="single" w:sz="4" w:space="0" w:color="auto"/>
              <w:bottom w:val="single" w:sz="4" w:space="0" w:color="auto"/>
              <w:right w:val="single" w:sz="4" w:space="0" w:color="auto"/>
            </w:tcBorders>
            <w:vAlign w:val="center"/>
          </w:tcPr>
          <w:p w14:paraId="583734E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85.90%</w:t>
            </w:r>
          </w:p>
        </w:tc>
        <w:tc>
          <w:tcPr>
            <w:tcW w:w="700" w:type="pct"/>
            <w:tcBorders>
              <w:top w:val="single" w:sz="4" w:space="0" w:color="auto"/>
              <w:left w:val="single" w:sz="4" w:space="0" w:color="auto"/>
              <w:bottom w:val="single" w:sz="4" w:space="0" w:color="auto"/>
              <w:right w:val="single" w:sz="4" w:space="0" w:color="auto"/>
            </w:tcBorders>
            <w:vAlign w:val="center"/>
          </w:tcPr>
          <w:p w14:paraId="58F53E7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85.89%</w:t>
            </w:r>
          </w:p>
        </w:tc>
        <w:tc>
          <w:tcPr>
            <w:tcW w:w="700" w:type="pct"/>
            <w:tcBorders>
              <w:top w:val="single" w:sz="4" w:space="0" w:color="auto"/>
              <w:left w:val="single" w:sz="4" w:space="0" w:color="auto"/>
              <w:bottom w:val="single" w:sz="4" w:space="0" w:color="auto"/>
              <w:right w:val="single" w:sz="4" w:space="0" w:color="auto"/>
            </w:tcBorders>
            <w:vAlign w:val="center"/>
          </w:tcPr>
          <w:p w14:paraId="536A05B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86.14%</w:t>
            </w:r>
          </w:p>
        </w:tc>
      </w:tr>
      <w:tr w:rsidR="00ED172B" w:rsidRPr="00ED172B" w14:paraId="0E0D6848" w14:textId="77777777" w:rsidTr="00A40EE1">
        <w:trPr>
          <w:trHeight w:val="70"/>
        </w:trPr>
        <w:tc>
          <w:tcPr>
            <w:tcW w:w="500" w:type="pct"/>
            <w:tcBorders>
              <w:top w:val="single" w:sz="4" w:space="0" w:color="auto"/>
              <w:left w:val="single" w:sz="4" w:space="0" w:color="auto"/>
              <w:right w:val="single" w:sz="4" w:space="0" w:color="auto"/>
            </w:tcBorders>
            <w:vAlign w:val="center"/>
          </w:tcPr>
          <w:p w14:paraId="71FF171B"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A2</w:t>
            </w:r>
          </w:p>
        </w:tc>
        <w:tc>
          <w:tcPr>
            <w:tcW w:w="500" w:type="pct"/>
            <w:tcBorders>
              <w:top w:val="single" w:sz="4" w:space="0" w:color="auto"/>
              <w:left w:val="single" w:sz="4" w:space="0" w:color="auto"/>
              <w:right w:val="single" w:sz="4" w:space="0" w:color="auto"/>
            </w:tcBorders>
          </w:tcPr>
          <w:p w14:paraId="622654CD" w14:textId="77777777" w:rsidR="007F3393" w:rsidRPr="00ED172B" w:rsidRDefault="001E39E3" w:rsidP="001E39E3">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hideMark/>
          </w:tcPr>
          <w:p w14:paraId="73902F2F"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7D6F21C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42.30%</w:t>
            </w:r>
          </w:p>
        </w:tc>
        <w:tc>
          <w:tcPr>
            <w:tcW w:w="700" w:type="pct"/>
            <w:tcBorders>
              <w:top w:val="single" w:sz="4" w:space="0" w:color="auto"/>
              <w:left w:val="single" w:sz="4" w:space="0" w:color="auto"/>
              <w:bottom w:val="single" w:sz="4" w:space="0" w:color="auto"/>
              <w:right w:val="single" w:sz="4" w:space="0" w:color="auto"/>
            </w:tcBorders>
            <w:vAlign w:val="center"/>
          </w:tcPr>
          <w:p w14:paraId="2B70758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42.30%</w:t>
            </w:r>
          </w:p>
        </w:tc>
        <w:tc>
          <w:tcPr>
            <w:tcW w:w="700" w:type="pct"/>
            <w:tcBorders>
              <w:top w:val="single" w:sz="4" w:space="0" w:color="auto"/>
              <w:left w:val="single" w:sz="4" w:space="0" w:color="auto"/>
              <w:bottom w:val="single" w:sz="4" w:space="0" w:color="auto"/>
              <w:right w:val="single" w:sz="4" w:space="0" w:color="auto"/>
            </w:tcBorders>
            <w:vAlign w:val="center"/>
          </w:tcPr>
          <w:p w14:paraId="1459EE4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42.50%</w:t>
            </w:r>
          </w:p>
        </w:tc>
        <w:tc>
          <w:tcPr>
            <w:tcW w:w="700" w:type="pct"/>
            <w:tcBorders>
              <w:top w:val="single" w:sz="4" w:space="0" w:color="auto"/>
              <w:left w:val="single" w:sz="4" w:space="0" w:color="auto"/>
              <w:bottom w:val="single" w:sz="4" w:space="0" w:color="auto"/>
              <w:right w:val="single" w:sz="4" w:space="0" w:color="auto"/>
            </w:tcBorders>
            <w:vAlign w:val="center"/>
          </w:tcPr>
          <w:p w14:paraId="5917B82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42.70%</w:t>
            </w:r>
          </w:p>
        </w:tc>
        <w:tc>
          <w:tcPr>
            <w:tcW w:w="700" w:type="pct"/>
            <w:tcBorders>
              <w:top w:val="single" w:sz="4" w:space="0" w:color="auto"/>
              <w:left w:val="single" w:sz="4" w:space="0" w:color="auto"/>
              <w:bottom w:val="single" w:sz="4" w:space="0" w:color="auto"/>
              <w:right w:val="single" w:sz="4" w:space="0" w:color="auto"/>
            </w:tcBorders>
            <w:vAlign w:val="center"/>
          </w:tcPr>
          <w:p w14:paraId="7E012C4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42.90%</w:t>
            </w:r>
          </w:p>
        </w:tc>
      </w:tr>
      <w:tr w:rsidR="00ED172B" w:rsidRPr="00ED172B" w14:paraId="61E521F0" w14:textId="77777777" w:rsidTr="00A40EE1">
        <w:trPr>
          <w:trHeight w:val="85"/>
        </w:trPr>
        <w:tc>
          <w:tcPr>
            <w:tcW w:w="500" w:type="pct"/>
            <w:tcBorders>
              <w:left w:val="single" w:sz="4" w:space="0" w:color="auto"/>
              <w:right w:val="single" w:sz="4" w:space="0" w:color="auto"/>
            </w:tcBorders>
            <w:vAlign w:val="center"/>
          </w:tcPr>
          <w:p w14:paraId="3366519F"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500" w:type="pct"/>
            <w:tcBorders>
              <w:left w:val="single" w:sz="4" w:space="0" w:color="auto"/>
              <w:right w:val="single" w:sz="4" w:space="0" w:color="auto"/>
            </w:tcBorders>
          </w:tcPr>
          <w:p w14:paraId="775614D4" w14:textId="77777777" w:rsidR="007F3393" w:rsidRPr="00ED172B" w:rsidRDefault="001E39E3" w:rsidP="001E39E3">
            <w:pPr>
              <w:jc w:val="center"/>
              <w:rPr>
                <w:color w:val="000000" w:themeColor="text1"/>
              </w:rPr>
            </w:pPr>
            <w:r w:rsidRPr="00ED172B">
              <w:rPr>
                <w:color w:val="000000" w:themeColor="text1"/>
              </w:rPr>
              <w:t>41.00%</w:t>
            </w:r>
          </w:p>
        </w:tc>
        <w:tc>
          <w:tcPr>
            <w:tcW w:w="500" w:type="pct"/>
            <w:tcBorders>
              <w:top w:val="single" w:sz="4" w:space="0" w:color="auto"/>
              <w:left w:val="single" w:sz="4" w:space="0" w:color="auto"/>
              <w:bottom w:val="single" w:sz="4" w:space="0" w:color="auto"/>
              <w:right w:val="single" w:sz="4" w:space="0" w:color="auto"/>
            </w:tcBorders>
            <w:hideMark/>
          </w:tcPr>
          <w:p w14:paraId="3C6A0193"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49CB484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38.54%</w:t>
            </w:r>
          </w:p>
        </w:tc>
        <w:tc>
          <w:tcPr>
            <w:tcW w:w="700" w:type="pct"/>
            <w:tcBorders>
              <w:top w:val="single" w:sz="4" w:space="0" w:color="auto"/>
              <w:left w:val="single" w:sz="4" w:space="0" w:color="auto"/>
              <w:bottom w:val="single" w:sz="4" w:space="0" w:color="auto"/>
              <w:right w:val="single" w:sz="4" w:space="0" w:color="auto"/>
            </w:tcBorders>
            <w:vAlign w:val="center"/>
          </w:tcPr>
          <w:p w14:paraId="16A0D0DE"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43.74%</w:t>
            </w:r>
          </w:p>
        </w:tc>
        <w:tc>
          <w:tcPr>
            <w:tcW w:w="700" w:type="pct"/>
            <w:tcBorders>
              <w:top w:val="single" w:sz="4" w:space="0" w:color="auto"/>
              <w:left w:val="single" w:sz="4" w:space="0" w:color="auto"/>
              <w:bottom w:val="single" w:sz="4" w:space="0" w:color="auto"/>
              <w:right w:val="single" w:sz="4" w:space="0" w:color="auto"/>
            </w:tcBorders>
            <w:vAlign w:val="center"/>
          </w:tcPr>
          <w:p w14:paraId="32799EE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43.07%</w:t>
            </w:r>
          </w:p>
        </w:tc>
        <w:tc>
          <w:tcPr>
            <w:tcW w:w="700" w:type="pct"/>
            <w:tcBorders>
              <w:top w:val="single" w:sz="4" w:space="0" w:color="auto"/>
              <w:left w:val="single" w:sz="4" w:space="0" w:color="auto"/>
              <w:bottom w:val="single" w:sz="4" w:space="0" w:color="auto"/>
              <w:right w:val="single" w:sz="4" w:space="0" w:color="auto"/>
            </w:tcBorders>
            <w:vAlign w:val="center"/>
          </w:tcPr>
          <w:p w14:paraId="7ED1DDF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39.84%</w:t>
            </w:r>
          </w:p>
        </w:tc>
        <w:tc>
          <w:tcPr>
            <w:tcW w:w="700" w:type="pct"/>
            <w:tcBorders>
              <w:top w:val="single" w:sz="4" w:space="0" w:color="auto"/>
              <w:left w:val="single" w:sz="4" w:space="0" w:color="auto"/>
              <w:bottom w:val="single" w:sz="4" w:space="0" w:color="auto"/>
              <w:right w:val="single" w:sz="4" w:space="0" w:color="auto"/>
            </w:tcBorders>
            <w:vAlign w:val="center"/>
          </w:tcPr>
          <w:p w14:paraId="543DCCC2"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40.01%</w:t>
            </w:r>
          </w:p>
        </w:tc>
      </w:tr>
      <w:tr w:rsidR="00ED172B" w:rsidRPr="00ED172B" w14:paraId="00C1A6E5" w14:textId="77777777" w:rsidTr="00A40EE1">
        <w:trPr>
          <w:trHeight w:val="85"/>
        </w:trPr>
        <w:tc>
          <w:tcPr>
            <w:tcW w:w="500" w:type="pct"/>
            <w:tcBorders>
              <w:left w:val="single" w:sz="4" w:space="0" w:color="auto"/>
              <w:right w:val="single" w:sz="4" w:space="0" w:color="auto"/>
            </w:tcBorders>
            <w:vAlign w:val="center"/>
          </w:tcPr>
          <w:p w14:paraId="2E53F0DF"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tcPr>
          <w:p w14:paraId="654C5814" w14:textId="77777777" w:rsidR="007F3393" w:rsidRPr="00ED172B" w:rsidRDefault="001E39E3" w:rsidP="001E39E3">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tcPr>
          <w:p w14:paraId="3CDBD287"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5828680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66.70%</w:t>
            </w:r>
          </w:p>
        </w:tc>
        <w:tc>
          <w:tcPr>
            <w:tcW w:w="700" w:type="pct"/>
            <w:tcBorders>
              <w:top w:val="single" w:sz="4" w:space="0" w:color="auto"/>
              <w:left w:val="single" w:sz="4" w:space="0" w:color="auto"/>
              <w:bottom w:val="single" w:sz="4" w:space="0" w:color="auto"/>
              <w:right w:val="single" w:sz="4" w:space="0" w:color="auto"/>
            </w:tcBorders>
            <w:vAlign w:val="center"/>
          </w:tcPr>
          <w:p w14:paraId="212B85F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66.70%</w:t>
            </w:r>
          </w:p>
        </w:tc>
        <w:tc>
          <w:tcPr>
            <w:tcW w:w="700" w:type="pct"/>
            <w:tcBorders>
              <w:top w:val="single" w:sz="4" w:space="0" w:color="auto"/>
              <w:left w:val="single" w:sz="4" w:space="0" w:color="auto"/>
              <w:bottom w:val="single" w:sz="4" w:space="0" w:color="auto"/>
              <w:right w:val="single" w:sz="4" w:space="0" w:color="auto"/>
            </w:tcBorders>
            <w:vAlign w:val="center"/>
          </w:tcPr>
          <w:p w14:paraId="1DC05CF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67.90%</w:t>
            </w:r>
          </w:p>
        </w:tc>
        <w:tc>
          <w:tcPr>
            <w:tcW w:w="700" w:type="pct"/>
            <w:tcBorders>
              <w:top w:val="single" w:sz="4" w:space="0" w:color="auto"/>
              <w:left w:val="single" w:sz="4" w:space="0" w:color="auto"/>
              <w:bottom w:val="single" w:sz="4" w:space="0" w:color="auto"/>
              <w:right w:val="single" w:sz="4" w:space="0" w:color="auto"/>
            </w:tcBorders>
            <w:vAlign w:val="center"/>
          </w:tcPr>
          <w:p w14:paraId="77BBDEC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68.10%</w:t>
            </w:r>
          </w:p>
        </w:tc>
        <w:tc>
          <w:tcPr>
            <w:tcW w:w="700" w:type="pct"/>
            <w:tcBorders>
              <w:top w:val="single" w:sz="4" w:space="0" w:color="auto"/>
              <w:left w:val="single" w:sz="4" w:space="0" w:color="auto"/>
              <w:bottom w:val="single" w:sz="4" w:space="0" w:color="auto"/>
              <w:right w:val="single" w:sz="4" w:space="0" w:color="auto"/>
            </w:tcBorders>
            <w:vAlign w:val="center"/>
          </w:tcPr>
          <w:p w14:paraId="7D5D563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68.30%</w:t>
            </w:r>
          </w:p>
        </w:tc>
      </w:tr>
      <w:tr w:rsidR="00ED172B" w:rsidRPr="00ED172B" w14:paraId="3F7F6592" w14:textId="77777777" w:rsidTr="00A40EE1">
        <w:trPr>
          <w:trHeight w:val="85"/>
        </w:trPr>
        <w:tc>
          <w:tcPr>
            <w:tcW w:w="500" w:type="pct"/>
            <w:tcBorders>
              <w:left w:val="single" w:sz="4" w:space="0" w:color="auto"/>
              <w:right w:val="single" w:sz="4" w:space="0" w:color="auto"/>
            </w:tcBorders>
            <w:vAlign w:val="center"/>
          </w:tcPr>
          <w:p w14:paraId="202C5F1C"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tcPr>
          <w:p w14:paraId="61496653" w14:textId="77777777" w:rsidR="007F3393" w:rsidRPr="00ED172B" w:rsidRDefault="001E39E3" w:rsidP="001E39E3">
            <w:pPr>
              <w:jc w:val="center"/>
              <w:rPr>
                <w:color w:val="000000" w:themeColor="text1"/>
              </w:rPr>
            </w:pPr>
            <w:r w:rsidRPr="00ED172B">
              <w:rPr>
                <w:color w:val="000000" w:themeColor="text1"/>
              </w:rPr>
              <w:t>66.42%</w:t>
            </w:r>
          </w:p>
        </w:tc>
        <w:tc>
          <w:tcPr>
            <w:tcW w:w="500" w:type="pct"/>
            <w:tcBorders>
              <w:top w:val="single" w:sz="4" w:space="0" w:color="auto"/>
              <w:left w:val="single" w:sz="4" w:space="0" w:color="auto"/>
              <w:bottom w:val="single" w:sz="4" w:space="0" w:color="auto"/>
              <w:right w:val="single" w:sz="4" w:space="0" w:color="auto"/>
            </w:tcBorders>
          </w:tcPr>
          <w:p w14:paraId="57E7697C"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63C6AEC9"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61.98%</w:t>
            </w:r>
          </w:p>
        </w:tc>
        <w:tc>
          <w:tcPr>
            <w:tcW w:w="700" w:type="pct"/>
            <w:tcBorders>
              <w:top w:val="single" w:sz="4" w:space="0" w:color="auto"/>
              <w:left w:val="single" w:sz="4" w:space="0" w:color="auto"/>
              <w:bottom w:val="single" w:sz="4" w:space="0" w:color="auto"/>
              <w:right w:val="single" w:sz="4" w:space="0" w:color="auto"/>
            </w:tcBorders>
            <w:vAlign w:val="center"/>
          </w:tcPr>
          <w:p w14:paraId="582C2EB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61.58%</w:t>
            </w:r>
          </w:p>
        </w:tc>
        <w:tc>
          <w:tcPr>
            <w:tcW w:w="700" w:type="pct"/>
            <w:tcBorders>
              <w:top w:val="single" w:sz="4" w:space="0" w:color="auto"/>
              <w:left w:val="single" w:sz="4" w:space="0" w:color="auto"/>
              <w:bottom w:val="single" w:sz="4" w:space="0" w:color="auto"/>
              <w:right w:val="single" w:sz="4" w:space="0" w:color="auto"/>
            </w:tcBorders>
            <w:vAlign w:val="center"/>
          </w:tcPr>
          <w:p w14:paraId="3208BFD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60.34%</w:t>
            </w:r>
          </w:p>
        </w:tc>
        <w:tc>
          <w:tcPr>
            <w:tcW w:w="700" w:type="pct"/>
            <w:tcBorders>
              <w:top w:val="single" w:sz="4" w:space="0" w:color="auto"/>
              <w:left w:val="single" w:sz="4" w:space="0" w:color="auto"/>
              <w:bottom w:val="single" w:sz="4" w:space="0" w:color="auto"/>
              <w:right w:val="single" w:sz="4" w:space="0" w:color="auto"/>
            </w:tcBorders>
            <w:vAlign w:val="center"/>
          </w:tcPr>
          <w:p w14:paraId="14B4EFD4"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63.29%</w:t>
            </w:r>
          </w:p>
        </w:tc>
        <w:tc>
          <w:tcPr>
            <w:tcW w:w="700" w:type="pct"/>
            <w:tcBorders>
              <w:top w:val="single" w:sz="4" w:space="0" w:color="auto"/>
              <w:left w:val="single" w:sz="4" w:space="0" w:color="auto"/>
              <w:bottom w:val="single" w:sz="4" w:space="0" w:color="auto"/>
              <w:right w:val="single" w:sz="4" w:space="0" w:color="auto"/>
            </w:tcBorders>
            <w:vAlign w:val="center"/>
          </w:tcPr>
          <w:p w14:paraId="7C61657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63.29%</w:t>
            </w:r>
          </w:p>
        </w:tc>
      </w:tr>
      <w:tr w:rsidR="00ED172B" w:rsidRPr="00ED172B" w14:paraId="5AFA6672" w14:textId="77777777" w:rsidTr="00A40EE1">
        <w:trPr>
          <w:trHeight w:val="85"/>
        </w:trPr>
        <w:tc>
          <w:tcPr>
            <w:tcW w:w="500" w:type="pct"/>
            <w:tcBorders>
              <w:left w:val="single" w:sz="4" w:space="0" w:color="auto"/>
              <w:right w:val="single" w:sz="4" w:space="0" w:color="auto"/>
            </w:tcBorders>
            <w:vAlign w:val="center"/>
          </w:tcPr>
          <w:p w14:paraId="156860F1"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tcPr>
          <w:p w14:paraId="605BBB4A" w14:textId="77777777" w:rsidR="007F3393" w:rsidRPr="00ED172B" w:rsidRDefault="001E39E3" w:rsidP="001E39E3">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tcPr>
          <w:p w14:paraId="3A2CF97F"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6A6C616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36.00%</w:t>
            </w:r>
          </w:p>
        </w:tc>
        <w:tc>
          <w:tcPr>
            <w:tcW w:w="700" w:type="pct"/>
            <w:tcBorders>
              <w:top w:val="single" w:sz="4" w:space="0" w:color="auto"/>
              <w:left w:val="single" w:sz="4" w:space="0" w:color="auto"/>
              <w:bottom w:val="single" w:sz="4" w:space="0" w:color="auto"/>
              <w:right w:val="single" w:sz="4" w:space="0" w:color="auto"/>
            </w:tcBorders>
            <w:vAlign w:val="center"/>
          </w:tcPr>
          <w:p w14:paraId="5AE11484"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36.00%</w:t>
            </w:r>
          </w:p>
        </w:tc>
        <w:tc>
          <w:tcPr>
            <w:tcW w:w="700" w:type="pct"/>
            <w:tcBorders>
              <w:top w:val="single" w:sz="4" w:space="0" w:color="auto"/>
              <w:left w:val="single" w:sz="4" w:space="0" w:color="auto"/>
              <w:bottom w:val="single" w:sz="4" w:space="0" w:color="auto"/>
              <w:right w:val="single" w:sz="4" w:space="0" w:color="auto"/>
            </w:tcBorders>
            <w:vAlign w:val="center"/>
          </w:tcPr>
          <w:p w14:paraId="07DCE7F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36.20%</w:t>
            </w:r>
          </w:p>
        </w:tc>
        <w:tc>
          <w:tcPr>
            <w:tcW w:w="700" w:type="pct"/>
            <w:tcBorders>
              <w:top w:val="single" w:sz="4" w:space="0" w:color="auto"/>
              <w:left w:val="single" w:sz="4" w:space="0" w:color="auto"/>
              <w:bottom w:val="single" w:sz="4" w:space="0" w:color="auto"/>
              <w:right w:val="single" w:sz="4" w:space="0" w:color="auto"/>
            </w:tcBorders>
            <w:vAlign w:val="center"/>
          </w:tcPr>
          <w:p w14:paraId="40BBCAA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36.40%</w:t>
            </w:r>
          </w:p>
        </w:tc>
        <w:tc>
          <w:tcPr>
            <w:tcW w:w="700" w:type="pct"/>
            <w:tcBorders>
              <w:top w:val="single" w:sz="4" w:space="0" w:color="auto"/>
              <w:left w:val="single" w:sz="4" w:space="0" w:color="auto"/>
              <w:bottom w:val="single" w:sz="4" w:space="0" w:color="auto"/>
              <w:right w:val="single" w:sz="4" w:space="0" w:color="auto"/>
            </w:tcBorders>
            <w:vAlign w:val="center"/>
          </w:tcPr>
          <w:p w14:paraId="7F5AD71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36.60%</w:t>
            </w:r>
          </w:p>
        </w:tc>
      </w:tr>
      <w:tr w:rsidR="00ED172B" w:rsidRPr="00ED172B" w14:paraId="7D59DFBD" w14:textId="77777777" w:rsidTr="00A40EE1">
        <w:trPr>
          <w:trHeight w:val="85"/>
        </w:trPr>
        <w:tc>
          <w:tcPr>
            <w:tcW w:w="500" w:type="pct"/>
            <w:tcBorders>
              <w:left w:val="single" w:sz="4" w:space="0" w:color="auto"/>
              <w:right w:val="single" w:sz="4" w:space="0" w:color="auto"/>
            </w:tcBorders>
            <w:vAlign w:val="center"/>
          </w:tcPr>
          <w:p w14:paraId="5338FC34"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tcPr>
          <w:p w14:paraId="4C303A18" w14:textId="77777777" w:rsidR="007F3393" w:rsidRPr="00ED172B" w:rsidRDefault="001E39E3" w:rsidP="001E39E3">
            <w:pPr>
              <w:jc w:val="center"/>
              <w:rPr>
                <w:color w:val="000000" w:themeColor="text1"/>
              </w:rPr>
            </w:pPr>
            <w:r w:rsidRPr="00ED172B">
              <w:rPr>
                <w:color w:val="000000" w:themeColor="text1"/>
              </w:rPr>
              <w:t>35.69%</w:t>
            </w:r>
          </w:p>
        </w:tc>
        <w:tc>
          <w:tcPr>
            <w:tcW w:w="500" w:type="pct"/>
            <w:tcBorders>
              <w:top w:val="single" w:sz="4" w:space="0" w:color="auto"/>
              <w:left w:val="single" w:sz="4" w:space="0" w:color="auto"/>
              <w:bottom w:val="single" w:sz="4" w:space="0" w:color="auto"/>
              <w:right w:val="single" w:sz="4" w:space="0" w:color="auto"/>
            </w:tcBorders>
          </w:tcPr>
          <w:p w14:paraId="71319770"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168B9309"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31.72%</w:t>
            </w:r>
          </w:p>
        </w:tc>
        <w:tc>
          <w:tcPr>
            <w:tcW w:w="700" w:type="pct"/>
            <w:tcBorders>
              <w:top w:val="single" w:sz="4" w:space="0" w:color="auto"/>
              <w:left w:val="single" w:sz="4" w:space="0" w:color="auto"/>
              <w:bottom w:val="single" w:sz="4" w:space="0" w:color="auto"/>
              <w:right w:val="single" w:sz="4" w:space="0" w:color="auto"/>
            </w:tcBorders>
            <w:vAlign w:val="center"/>
          </w:tcPr>
          <w:p w14:paraId="039470C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34.24%</w:t>
            </w:r>
          </w:p>
        </w:tc>
        <w:tc>
          <w:tcPr>
            <w:tcW w:w="700" w:type="pct"/>
            <w:tcBorders>
              <w:top w:val="single" w:sz="4" w:space="0" w:color="auto"/>
              <w:left w:val="single" w:sz="4" w:space="0" w:color="auto"/>
              <w:bottom w:val="single" w:sz="4" w:space="0" w:color="auto"/>
              <w:right w:val="single" w:sz="4" w:space="0" w:color="auto"/>
            </w:tcBorders>
            <w:vAlign w:val="center"/>
          </w:tcPr>
          <w:p w14:paraId="70B63D3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33.65%</w:t>
            </w:r>
          </w:p>
        </w:tc>
        <w:tc>
          <w:tcPr>
            <w:tcW w:w="700" w:type="pct"/>
            <w:tcBorders>
              <w:top w:val="single" w:sz="4" w:space="0" w:color="auto"/>
              <w:left w:val="single" w:sz="4" w:space="0" w:color="auto"/>
              <w:bottom w:val="single" w:sz="4" w:space="0" w:color="auto"/>
              <w:right w:val="single" w:sz="4" w:space="0" w:color="auto"/>
            </w:tcBorders>
            <w:vAlign w:val="center"/>
          </w:tcPr>
          <w:p w14:paraId="1A57E53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31.69%</w:t>
            </w:r>
          </w:p>
        </w:tc>
        <w:tc>
          <w:tcPr>
            <w:tcW w:w="700" w:type="pct"/>
            <w:tcBorders>
              <w:top w:val="single" w:sz="4" w:space="0" w:color="auto"/>
              <w:left w:val="single" w:sz="4" w:space="0" w:color="auto"/>
              <w:bottom w:val="single" w:sz="4" w:space="0" w:color="auto"/>
              <w:right w:val="single" w:sz="4" w:space="0" w:color="auto"/>
            </w:tcBorders>
            <w:vAlign w:val="center"/>
          </w:tcPr>
          <w:p w14:paraId="39012E4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31.68%</w:t>
            </w:r>
          </w:p>
        </w:tc>
      </w:tr>
      <w:tr w:rsidR="00ED172B" w:rsidRPr="00ED172B" w14:paraId="621CD7DF" w14:textId="77777777" w:rsidTr="00A40EE1">
        <w:trPr>
          <w:trHeight w:val="85"/>
        </w:trPr>
        <w:tc>
          <w:tcPr>
            <w:tcW w:w="500" w:type="pct"/>
            <w:tcBorders>
              <w:left w:val="single" w:sz="4" w:space="0" w:color="auto"/>
              <w:right w:val="single" w:sz="4" w:space="0" w:color="auto"/>
            </w:tcBorders>
            <w:vAlign w:val="center"/>
          </w:tcPr>
          <w:p w14:paraId="7BE95675"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tcPr>
          <w:p w14:paraId="41A6CFFF" w14:textId="77777777" w:rsidR="007F3393" w:rsidRPr="00ED172B" w:rsidRDefault="005C14C2" w:rsidP="005C14C2">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tcPr>
          <w:p w14:paraId="37864F77"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36A35C4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77.80%</w:t>
            </w:r>
          </w:p>
        </w:tc>
        <w:tc>
          <w:tcPr>
            <w:tcW w:w="700" w:type="pct"/>
            <w:tcBorders>
              <w:top w:val="single" w:sz="4" w:space="0" w:color="auto"/>
              <w:left w:val="single" w:sz="4" w:space="0" w:color="auto"/>
              <w:bottom w:val="single" w:sz="4" w:space="0" w:color="auto"/>
              <w:right w:val="single" w:sz="4" w:space="0" w:color="auto"/>
            </w:tcBorders>
            <w:vAlign w:val="center"/>
          </w:tcPr>
          <w:p w14:paraId="3418C82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77.80%</w:t>
            </w:r>
          </w:p>
        </w:tc>
        <w:tc>
          <w:tcPr>
            <w:tcW w:w="700" w:type="pct"/>
            <w:tcBorders>
              <w:top w:val="single" w:sz="4" w:space="0" w:color="auto"/>
              <w:left w:val="single" w:sz="4" w:space="0" w:color="auto"/>
              <w:bottom w:val="single" w:sz="4" w:space="0" w:color="auto"/>
              <w:right w:val="single" w:sz="4" w:space="0" w:color="auto"/>
            </w:tcBorders>
            <w:vAlign w:val="center"/>
          </w:tcPr>
          <w:p w14:paraId="35C3FD6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78.00%</w:t>
            </w:r>
          </w:p>
        </w:tc>
        <w:tc>
          <w:tcPr>
            <w:tcW w:w="700" w:type="pct"/>
            <w:tcBorders>
              <w:top w:val="single" w:sz="4" w:space="0" w:color="auto"/>
              <w:left w:val="single" w:sz="4" w:space="0" w:color="auto"/>
              <w:bottom w:val="single" w:sz="4" w:space="0" w:color="auto"/>
              <w:right w:val="single" w:sz="4" w:space="0" w:color="auto"/>
            </w:tcBorders>
            <w:vAlign w:val="center"/>
          </w:tcPr>
          <w:p w14:paraId="3ADE165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78.20%</w:t>
            </w:r>
          </w:p>
        </w:tc>
        <w:tc>
          <w:tcPr>
            <w:tcW w:w="700" w:type="pct"/>
            <w:tcBorders>
              <w:top w:val="single" w:sz="4" w:space="0" w:color="auto"/>
              <w:left w:val="single" w:sz="4" w:space="0" w:color="auto"/>
              <w:bottom w:val="single" w:sz="4" w:space="0" w:color="auto"/>
              <w:right w:val="single" w:sz="4" w:space="0" w:color="auto"/>
            </w:tcBorders>
            <w:vAlign w:val="center"/>
          </w:tcPr>
          <w:p w14:paraId="750BD5F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78.40%</w:t>
            </w:r>
          </w:p>
        </w:tc>
      </w:tr>
      <w:tr w:rsidR="00ED172B" w:rsidRPr="00ED172B" w14:paraId="29DEAC74" w14:textId="77777777" w:rsidTr="00A40EE1">
        <w:trPr>
          <w:trHeight w:val="85"/>
        </w:trPr>
        <w:tc>
          <w:tcPr>
            <w:tcW w:w="500" w:type="pct"/>
            <w:tcBorders>
              <w:left w:val="single" w:sz="4" w:space="0" w:color="auto"/>
              <w:right w:val="single" w:sz="4" w:space="0" w:color="auto"/>
            </w:tcBorders>
            <w:vAlign w:val="center"/>
          </w:tcPr>
          <w:p w14:paraId="07927030"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tcPr>
          <w:p w14:paraId="17E6A3AD" w14:textId="77777777" w:rsidR="007F3393" w:rsidRPr="00ED172B" w:rsidRDefault="005C14C2" w:rsidP="005C14C2">
            <w:pPr>
              <w:jc w:val="center"/>
              <w:rPr>
                <w:color w:val="000000" w:themeColor="text1"/>
              </w:rPr>
            </w:pPr>
            <w:r w:rsidRPr="00ED172B">
              <w:rPr>
                <w:color w:val="000000" w:themeColor="text1"/>
              </w:rPr>
              <w:t>77.28%</w:t>
            </w:r>
          </w:p>
        </w:tc>
        <w:tc>
          <w:tcPr>
            <w:tcW w:w="500" w:type="pct"/>
            <w:tcBorders>
              <w:top w:val="single" w:sz="4" w:space="0" w:color="auto"/>
              <w:left w:val="single" w:sz="4" w:space="0" w:color="auto"/>
              <w:bottom w:val="single" w:sz="4" w:space="0" w:color="auto"/>
              <w:right w:val="single" w:sz="4" w:space="0" w:color="auto"/>
            </w:tcBorders>
          </w:tcPr>
          <w:p w14:paraId="0621ED35"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5E95B70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74.85%</w:t>
            </w:r>
          </w:p>
        </w:tc>
        <w:tc>
          <w:tcPr>
            <w:tcW w:w="700" w:type="pct"/>
            <w:tcBorders>
              <w:top w:val="single" w:sz="4" w:space="0" w:color="auto"/>
              <w:left w:val="single" w:sz="4" w:space="0" w:color="auto"/>
              <w:bottom w:val="single" w:sz="4" w:space="0" w:color="auto"/>
              <w:right w:val="single" w:sz="4" w:space="0" w:color="auto"/>
            </w:tcBorders>
            <w:vAlign w:val="center"/>
          </w:tcPr>
          <w:p w14:paraId="309CAC1E"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74.22%</w:t>
            </w:r>
          </w:p>
        </w:tc>
        <w:tc>
          <w:tcPr>
            <w:tcW w:w="700" w:type="pct"/>
            <w:tcBorders>
              <w:top w:val="single" w:sz="4" w:space="0" w:color="auto"/>
              <w:left w:val="single" w:sz="4" w:space="0" w:color="auto"/>
              <w:bottom w:val="single" w:sz="4" w:space="0" w:color="auto"/>
              <w:right w:val="single" w:sz="4" w:space="0" w:color="auto"/>
            </w:tcBorders>
            <w:vAlign w:val="center"/>
          </w:tcPr>
          <w:p w14:paraId="0583C36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71.66%</w:t>
            </w:r>
          </w:p>
        </w:tc>
        <w:tc>
          <w:tcPr>
            <w:tcW w:w="700" w:type="pct"/>
            <w:tcBorders>
              <w:top w:val="single" w:sz="4" w:space="0" w:color="auto"/>
              <w:left w:val="single" w:sz="4" w:space="0" w:color="auto"/>
              <w:bottom w:val="single" w:sz="4" w:space="0" w:color="auto"/>
              <w:right w:val="single" w:sz="4" w:space="0" w:color="auto"/>
            </w:tcBorders>
            <w:vAlign w:val="center"/>
          </w:tcPr>
          <w:p w14:paraId="2AED263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70.79%</w:t>
            </w:r>
          </w:p>
        </w:tc>
        <w:tc>
          <w:tcPr>
            <w:tcW w:w="700" w:type="pct"/>
            <w:tcBorders>
              <w:top w:val="single" w:sz="4" w:space="0" w:color="auto"/>
              <w:left w:val="single" w:sz="4" w:space="0" w:color="auto"/>
              <w:bottom w:val="single" w:sz="4" w:space="0" w:color="auto"/>
              <w:right w:val="single" w:sz="4" w:space="0" w:color="auto"/>
            </w:tcBorders>
            <w:vAlign w:val="center"/>
          </w:tcPr>
          <w:p w14:paraId="66DF918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71.74%</w:t>
            </w:r>
          </w:p>
        </w:tc>
      </w:tr>
      <w:tr w:rsidR="00ED172B" w:rsidRPr="00ED172B" w14:paraId="51EF29F3" w14:textId="77777777" w:rsidTr="00A40EE1">
        <w:trPr>
          <w:trHeight w:val="85"/>
        </w:trPr>
        <w:tc>
          <w:tcPr>
            <w:tcW w:w="500" w:type="pct"/>
            <w:tcBorders>
              <w:left w:val="single" w:sz="4" w:space="0" w:color="auto"/>
              <w:right w:val="single" w:sz="4" w:space="0" w:color="auto"/>
            </w:tcBorders>
            <w:vAlign w:val="center"/>
          </w:tcPr>
          <w:p w14:paraId="5E8AB1C2"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tcPr>
          <w:p w14:paraId="09D25498" w14:textId="77777777" w:rsidR="007F3393" w:rsidRPr="00ED172B" w:rsidRDefault="005C14C2" w:rsidP="005C14C2">
            <w:pPr>
              <w:jc w:val="center"/>
              <w:rPr>
                <w:color w:val="000000" w:themeColor="text1"/>
              </w:rPr>
            </w:pPr>
            <w:r w:rsidRPr="00ED172B">
              <w:rPr>
                <w:color w:val="000000" w:themeColor="text1"/>
              </w:rPr>
              <w:t>2015</w:t>
            </w:r>
          </w:p>
        </w:tc>
        <w:tc>
          <w:tcPr>
            <w:tcW w:w="500" w:type="pct"/>
            <w:tcBorders>
              <w:top w:val="single" w:sz="4" w:space="0" w:color="auto"/>
              <w:left w:val="single" w:sz="4" w:space="0" w:color="auto"/>
              <w:bottom w:val="single" w:sz="4" w:space="0" w:color="auto"/>
              <w:right w:val="single" w:sz="4" w:space="0" w:color="auto"/>
            </w:tcBorders>
          </w:tcPr>
          <w:p w14:paraId="6503FB05"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64C1EAA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40.60%</w:t>
            </w:r>
          </w:p>
        </w:tc>
        <w:tc>
          <w:tcPr>
            <w:tcW w:w="700" w:type="pct"/>
            <w:tcBorders>
              <w:top w:val="single" w:sz="4" w:space="0" w:color="auto"/>
              <w:left w:val="single" w:sz="4" w:space="0" w:color="auto"/>
              <w:bottom w:val="single" w:sz="4" w:space="0" w:color="auto"/>
              <w:right w:val="single" w:sz="4" w:space="0" w:color="auto"/>
            </w:tcBorders>
            <w:vAlign w:val="center"/>
          </w:tcPr>
          <w:p w14:paraId="7E54ABF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40.60%</w:t>
            </w:r>
          </w:p>
        </w:tc>
        <w:tc>
          <w:tcPr>
            <w:tcW w:w="700" w:type="pct"/>
            <w:tcBorders>
              <w:top w:val="single" w:sz="4" w:space="0" w:color="auto"/>
              <w:left w:val="single" w:sz="4" w:space="0" w:color="auto"/>
              <w:bottom w:val="single" w:sz="4" w:space="0" w:color="auto"/>
              <w:right w:val="single" w:sz="4" w:space="0" w:color="auto"/>
            </w:tcBorders>
            <w:vAlign w:val="center"/>
          </w:tcPr>
          <w:p w14:paraId="1156EB2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40.80%</w:t>
            </w:r>
          </w:p>
        </w:tc>
        <w:tc>
          <w:tcPr>
            <w:tcW w:w="700" w:type="pct"/>
            <w:tcBorders>
              <w:top w:val="single" w:sz="4" w:space="0" w:color="auto"/>
              <w:left w:val="single" w:sz="4" w:space="0" w:color="auto"/>
              <w:bottom w:val="single" w:sz="4" w:space="0" w:color="auto"/>
              <w:right w:val="single" w:sz="4" w:space="0" w:color="auto"/>
            </w:tcBorders>
            <w:vAlign w:val="center"/>
          </w:tcPr>
          <w:p w14:paraId="4E87A30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40.80%</w:t>
            </w:r>
          </w:p>
        </w:tc>
        <w:tc>
          <w:tcPr>
            <w:tcW w:w="700" w:type="pct"/>
            <w:tcBorders>
              <w:top w:val="single" w:sz="4" w:space="0" w:color="auto"/>
              <w:left w:val="single" w:sz="4" w:space="0" w:color="auto"/>
              <w:bottom w:val="single" w:sz="4" w:space="0" w:color="auto"/>
              <w:right w:val="single" w:sz="4" w:space="0" w:color="auto"/>
            </w:tcBorders>
            <w:vAlign w:val="center"/>
          </w:tcPr>
          <w:p w14:paraId="4485894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41.20%</w:t>
            </w:r>
          </w:p>
        </w:tc>
      </w:tr>
      <w:tr w:rsidR="00ED172B" w:rsidRPr="00ED172B" w14:paraId="0A2F00E5" w14:textId="77777777" w:rsidTr="00A40EE1">
        <w:trPr>
          <w:trHeight w:val="85"/>
        </w:trPr>
        <w:tc>
          <w:tcPr>
            <w:tcW w:w="500" w:type="pct"/>
            <w:tcBorders>
              <w:left w:val="single" w:sz="4" w:space="0" w:color="auto"/>
              <w:right w:val="single" w:sz="4" w:space="0" w:color="auto"/>
            </w:tcBorders>
            <w:vAlign w:val="center"/>
          </w:tcPr>
          <w:p w14:paraId="5F2936FA"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tcPr>
          <w:p w14:paraId="4B2EFDA5" w14:textId="77777777" w:rsidR="007F3393" w:rsidRPr="00ED172B" w:rsidRDefault="005C14C2" w:rsidP="005C14C2">
            <w:pPr>
              <w:jc w:val="center"/>
              <w:rPr>
                <w:color w:val="000000" w:themeColor="text1"/>
              </w:rPr>
            </w:pPr>
            <w:r w:rsidRPr="00ED172B">
              <w:rPr>
                <w:color w:val="000000" w:themeColor="text1"/>
              </w:rPr>
              <w:t>40.33%</w:t>
            </w:r>
          </w:p>
        </w:tc>
        <w:tc>
          <w:tcPr>
            <w:tcW w:w="500" w:type="pct"/>
            <w:tcBorders>
              <w:top w:val="single" w:sz="4" w:space="0" w:color="auto"/>
              <w:left w:val="single" w:sz="4" w:space="0" w:color="auto"/>
              <w:bottom w:val="single" w:sz="4" w:space="0" w:color="auto"/>
              <w:right w:val="single" w:sz="4" w:space="0" w:color="auto"/>
            </w:tcBorders>
          </w:tcPr>
          <w:p w14:paraId="64C58133"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07FA6EB4"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33.87%</w:t>
            </w:r>
          </w:p>
        </w:tc>
        <w:tc>
          <w:tcPr>
            <w:tcW w:w="700" w:type="pct"/>
            <w:tcBorders>
              <w:top w:val="single" w:sz="4" w:space="0" w:color="auto"/>
              <w:left w:val="single" w:sz="4" w:space="0" w:color="auto"/>
              <w:bottom w:val="single" w:sz="4" w:space="0" w:color="auto"/>
              <w:right w:val="single" w:sz="4" w:space="0" w:color="auto"/>
            </w:tcBorders>
            <w:vAlign w:val="center"/>
          </w:tcPr>
          <w:p w14:paraId="2D75957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36.36%</w:t>
            </w:r>
          </w:p>
        </w:tc>
        <w:tc>
          <w:tcPr>
            <w:tcW w:w="700" w:type="pct"/>
            <w:tcBorders>
              <w:top w:val="single" w:sz="4" w:space="0" w:color="auto"/>
              <w:left w:val="single" w:sz="4" w:space="0" w:color="auto"/>
              <w:bottom w:val="single" w:sz="4" w:space="0" w:color="auto"/>
              <w:right w:val="single" w:sz="4" w:space="0" w:color="auto"/>
            </w:tcBorders>
            <w:vAlign w:val="center"/>
          </w:tcPr>
          <w:p w14:paraId="12F36779"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35.45%</w:t>
            </w:r>
          </w:p>
        </w:tc>
        <w:tc>
          <w:tcPr>
            <w:tcW w:w="700" w:type="pct"/>
            <w:tcBorders>
              <w:top w:val="single" w:sz="4" w:space="0" w:color="auto"/>
              <w:left w:val="single" w:sz="4" w:space="0" w:color="auto"/>
              <w:bottom w:val="single" w:sz="4" w:space="0" w:color="auto"/>
              <w:right w:val="single" w:sz="4" w:space="0" w:color="auto"/>
            </w:tcBorders>
            <w:vAlign w:val="center"/>
          </w:tcPr>
          <w:p w14:paraId="1ED548C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33.32%</w:t>
            </w:r>
          </w:p>
        </w:tc>
        <w:tc>
          <w:tcPr>
            <w:tcW w:w="700" w:type="pct"/>
            <w:tcBorders>
              <w:top w:val="single" w:sz="4" w:space="0" w:color="auto"/>
              <w:left w:val="single" w:sz="4" w:space="0" w:color="auto"/>
              <w:bottom w:val="single" w:sz="4" w:space="0" w:color="auto"/>
              <w:right w:val="single" w:sz="4" w:space="0" w:color="auto"/>
            </w:tcBorders>
            <w:vAlign w:val="center"/>
          </w:tcPr>
          <w:p w14:paraId="7754C5A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33.32%</w:t>
            </w:r>
          </w:p>
        </w:tc>
      </w:tr>
    </w:tbl>
    <w:p w14:paraId="4841FC46" w14:textId="77777777" w:rsidR="005F4279" w:rsidRPr="00ED172B" w:rsidRDefault="005F4279">
      <w:pPr>
        <w:rPr>
          <w:b/>
          <w:color w:val="000000" w:themeColor="text1"/>
        </w:rPr>
      </w:pPr>
      <w:r w:rsidRPr="00ED172B">
        <w:rPr>
          <w:b/>
          <w:color w:val="000000" w:themeColor="text1"/>
        </w:rPr>
        <w:t>Targets</w:t>
      </w:r>
    </w:p>
    <w:tbl>
      <w:tblPr>
        <w:tblW w:w="1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1"/>
      </w:tblPr>
      <w:tblGrid>
        <w:gridCol w:w="754"/>
        <w:gridCol w:w="1674"/>
        <w:gridCol w:w="1674"/>
      </w:tblGrid>
      <w:tr w:rsidR="00CF59E2" w:rsidRPr="00ED172B" w14:paraId="3A9CB1FA" w14:textId="77777777" w:rsidTr="00811738">
        <w:trPr>
          <w:trHeight w:val="350"/>
        </w:trPr>
        <w:tc>
          <w:tcPr>
            <w:tcW w:w="919" w:type="pct"/>
            <w:tcBorders>
              <w:bottom w:val="single" w:sz="4" w:space="0" w:color="auto"/>
            </w:tcBorders>
            <w:vAlign w:val="center"/>
          </w:tcPr>
          <w:p w14:paraId="2677F448" w14:textId="77777777" w:rsidR="00CF59E2" w:rsidRPr="00ED172B" w:rsidRDefault="00CF59E2" w:rsidP="0012497F">
            <w:pPr>
              <w:jc w:val="center"/>
              <w:rPr>
                <w:b/>
                <w:color w:val="000000" w:themeColor="text1"/>
              </w:rPr>
            </w:pPr>
            <w:r w:rsidRPr="00ED172B">
              <w:rPr>
                <w:b/>
                <w:color w:val="000000" w:themeColor="text1"/>
              </w:rPr>
              <w:t>FFY</w:t>
            </w:r>
          </w:p>
        </w:tc>
        <w:tc>
          <w:tcPr>
            <w:tcW w:w="2040" w:type="pct"/>
            <w:vAlign w:val="center"/>
          </w:tcPr>
          <w:p w14:paraId="62E32261" w14:textId="77777777" w:rsidR="00CF59E2" w:rsidRPr="00ED172B" w:rsidRDefault="00CF59E2" w:rsidP="0012497F">
            <w:pPr>
              <w:jc w:val="center"/>
              <w:rPr>
                <w:b/>
                <w:color w:val="000000" w:themeColor="text1"/>
              </w:rPr>
            </w:pPr>
            <w:r w:rsidRPr="00ED172B">
              <w:rPr>
                <w:b/>
                <w:color w:val="000000" w:themeColor="text1"/>
              </w:rPr>
              <w:t>2024</w:t>
            </w:r>
          </w:p>
        </w:tc>
        <w:tc>
          <w:tcPr>
            <w:tcW w:w="2041" w:type="pct"/>
          </w:tcPr>
          <w:p w14:paraId="3EAAD43B" w14:textId="77777777" w:rsidR="00CF59E2" w:rsidRPr="00ED172B" w:rsidRDefault="00CF59E2" w:rsidP="0012497F">
            <w:pPr>
              <w:jc w:val="center"/>
              <w:rPr>
                <w:b/>
                <w:color w:val="000000" w:themeColor="text1"/>
              </w:rPr>
            </w:pPr>
            <w:r>
              <w:rPr>
                <w:rFonts w:cs="Arial"/>
                <w:b/>
                <w:color w:val="000000" w:themeColor="text1"/>
                <w:szCs w:val="16"/>
              </w:rPr>
              <w:t>2025</w:t>
            </w:r>
          </w:p>
        </w:tc>
      </w:tr>
      <w:tr w:rsidR="00CF59E2" w:rsidRPr="00ED172B" w14:paraId="3F4E729C" w14:textId="77777777" w:rsidTr="00811738">
        <w:trPr>
          <w:trHeight w:val="357"/>
        </w:trPr>
        <w:tc>
          <w:tcPr>
            <w:tcW w:w="919" w:type="pct"/>
            <w:vAlign w:val="center"/>
          </w:tcPr>
          <w:p w14:paraId="286495CB" w14:textId="77777777" w:rsidR="00CF59E2" w:rsidRPr="00ED172B" w:rsidRDefault="00CF59E2" w:rsidP="00D21F29">
            <w:pPr>
              <w:jc w:val="center"/>
              <w:rPr>
                <w:color w:val="000000" w:themeColor="text1"/>
                <w:szCs w:val="16"/>
              </w:rPr>
            </w:pPr>
            <w:r w:rsidRPr="00ED172B">
              <w:rPr>
                <w:color w:val="000000" w:themeColor="text1"/>
                <w:szCs w:val="16"/>
              </w:rPr>
              <w:t>Target A1&gt;=</w:t>
            </w:r>
          </w:p>
        </w:tc>
        <w:tc>
          <w:tcPr>
            <w:tcW w:w="2040" w:type="pct"/>
            <w:vAlign w:val="center"/>
          </w:tcPr>
          <w:p w14:paraId="35D35BA6" w14:textId="77777777" w:rsidR="00CF59E2" w:rsidRPr="00ED172B" w:rsidRDefault="00CF59E2" w:rsidP="002242B8">
            <w:pPr>
              <w:jc w:val="center"/>
              <w:rPr>
                <w:color w:val="000000" w:themeColor="text1"/>
              </w:rPr>
            </w:pPr>
            <w:r w:rsidRPr="00ED172B">
              <w:rPr>
                <w:color w:val="000000" w:themeColor="text1"/>
              </w:rPr>
              <w:t>86.20%</w:t>
            </w:r>
          </w:p>
        </w:tc>
        <w:tc>
          <w:tcPr>
            <w:tcW w:w="2041" w:type="pct"/>
          </w:tcPr>
          <w:p w14:paraId="086FAD0D" w14:textId="77777777" w:rsidR="00CF59E2" w:rsidRPr="00ED172B" w:rsidRDefault="00CF59E2" w:rsidP="002242B8">
            <w:pPr>
              <w:jc w:val="center"/>
              <w:rPr>
                <w:color w:val="000000" w:themeColor="text1"/>
              </w:rPr>
            </w:pPr>
            <w:r>
              <w:rPr>
                <w:color w:val="000000" w:themeColor="text1"/>
              </w:rPr>
              <w:t>86.40%</w:t>
            </w:r>
          </w:p>
        </w:tc>
      </w:tr>
      <w:tr w:rsidR="00CF59E2" w:rsidRPr="00ED172B" w14:paraId="52EA5658" w14:textId="77777777" w:rsidTr="00811738">
        <w:trPr>
          <w:trHeight w:val="357"/>
        </w:trPr>
        <w:tc>
          <w:tcPr>
            <w:tcW w:w="919" w:type="pct"/>
            <w:vAlign w:val="center"/>
          </w:tcPr>
          <w:p w14:paraId="3F8FAEED" w14:textId="77777777" w:rsidR="00CF59E2" w:rsidRPr="00ED172B" w:rsidRDefault="00CF59E2" w:rsidP="00D21F29">
            <w:pPr>
              <w:jc w:val="center"/>
              <w:rPr>
                <w:color w:val="000000" w:themeColor="text1"/>
                <w:szCs w:val="16"/>
              </w:rPr>
            </w:pPr>
            <w:r w:rsidRPr="00ED172B">
              <w:rPr>
                <w:color w:val="000000" w:themeColor="text1"/>
                <w:szCs w:val="16"/>
              </w:rPr>
              <w:t>Target A2&gt;=</w:t>
            </w:r>
          </w:p>
        </w:tc>
        <w:tc>
          <w:tcPr>
            <w:tcW w:w="2040" w:type="pct"/>
            <w:vAlign w:val="center"/>
          </w:tcPr>
          <w:p w14:paraId="0636954A" w14:textId="77777777" w:rsidR="00CF59E2" w:rsidRPr="00ED172B" w:rsidRDefault="00CF59E2" w:rsidP="002242B8">
            <w:pPr>
              <w:jc w:val="center"/>
              <w:rPr>
                <w:color w:val="000000" w:themeColor="text1"/>
              </w:rPr>
            </w:pPr>
            <w:r w:rsidRPr="00ED172B">
              <w:rPr>
                <w:color w:val="000000" w:themeColor="text1"/>
              </w:rPr>
              <w:t>43.10%</w:t>
            </w:r>
          </w:p>
        </w:tc>
        <w:tc>
          <w:tcPr>
            <w:tcW w:w="2041" w:type="pct"/>
          </w:tcPr>
          <w:p w14:paraId="7709ED87" w14:textId="77777777" w:rsidR="00CF59E2" w:rsidRPr="00ED172B" w:rsidRDefault="00CF59E2" w:rsidP="002242B8">
            <w:pPr>
              <w:jc w:val="center"/>
              <w:rPr>
                <w:color w:val="000000" w:themeColor="text1"/>
              </w:rPr>
            </w:pPr>
            <w:r>
              <w:rPr>
                <w:color w:val="000000" w:themeColor="text1"/>
              </w:rPr>
              <w:t>43.30%</w:t>
            </w:r>
          </w:p>
        </w:tc>
      </w:tr>
      <w:tr w:rsidR="00CF59E2" w:rsidRPr="00ED172B" w14:paraId="65CC64AB" w14:textId="77777777" w:rsidTr="00811738">
        <w:trPr>
          <w:trHeight w:val="357"/>
        </w:trPr>
        <w:tc>
          <w:tcPr>
            <w:tcW w:w="919" w:type="pct"/>
            <w:vAlign w:val="center"/>
          </w:tcPr>
          <w:p w14:paraId="02FF4304" w14:textId="77777777" w:rsidR="00CF59E2" w:rsidRPr="00ED172B" w:rsidRDefault="00CF59E2" w:rsidP="00D21F29">
            <w:pPr>
              <w:jc w:val="center"/>
              <w:rPr>
                <w:color w:val="000000" w:themeColor="text1"/>
                <w:szCs w:val="16"/>
              </w:rPr>
            </w:pPr>
            <w:r w:rsidRPr="00ED172B">
              <w:rPr>
                <w:color w:val="000000" w:themeColor="text1"/>
                <w:szCs w:val="16"/>
              </w:rPr>
              <w:t>Target B1&gt;=</w:t>
            </w:r>
          </w:p>
        </w:tc>
        <w:tc>
          <w:tcPr>
            <w:tcW w:w="2040" w:type="pct"/>
            <w:vAlign w:val="center"/>
          </w:tcPr>
          <w:p w14:paraId="15BAAA27" w14:textId="77777777" w:rsidR="00CF59E2" w:rsidRPr="00ED172B" w:rsidRDefault="00CF59E2" w:rsidP="002242B8">
            <w:pPr>
              <w:jc w:val="center"/>
              <w:rPr>
                <w:color w:val="000000" w:themeColor="text1"/>
              </w:rPr>
            </w:pPr>
            <w:r w:rsidRPr="00ED172B">
              <w:rPr>
                <w:color w:val="000000" w:themeColor="text1"/>
              </w:rPr>
              <w:t>68.50%</w:t>
            </w:r>
          </w:p>
        </w:tc>
        <w:tc>
          <w:tcPr>
            <w:tcW w:w="2041" w:type="pct"/>
          </w:tcPr>
          <w:p w14:paraId="351E4867" w14:textId="77777777" w:rsidR="00CF59E2" w:rsidRPr="00ED172B" w:rsidRDefault="00CF59E2" w:rsidP="002242B8">
            <w:pPr>
              <w:jc w:val="center"/>
              <w:rPr>
                <w:color w:val="000000" w:themeColor="text1"/>
              </w:rPr>
            </w:pPr>
            <w:r>
              <w:rPr>
                <w:color w:val="000000" w:themeColor="text1"/>
              </w:rPr>
              <w:t>68.70%</w:t>
            </w:r>
          </w:p>
        </w:tc>
      </w:tr>
      <w:tr w:rsidR="00CF59E2" w:rsidRPr="00ED172B" w14:paraId="1D83DD76" w14:textId="77777777" w:rsidTr="00811738">
        <w:trPr>
          <w:trHeight w:val="357"/>
        </w:trPr>
        <w:tc>
          <w:tcPr>
            <w:tcW w:w="919" w:type="pct"/>
            <w:vAlign w:val="center"/>
          </w:tcPr>
          <w:p w14:paraId="6D3ED85F" w14:textId="77777777" w:rsidR="00CF59E2" w:rsidRPr="00ED172B" w:rsidRDefault="00CF59E2" w:rsidP="00D21F29">
            <w:pPr>
              <w:jc w:val="center"/>
              <w:rPr>
                <w:color w:val="000000" w:themeColor="text1"/>
                <w:szCs w:val="16"/>
              </w:rPr>
            </w:pPr>
            <w:r w:rsidRPr="00ED172B">
              <w:rPr>
                <w:color w:val="000000" w:themeColor="text1"/>
                <w:szCs w:val="16"/>
              </w:rPr>
              <w:t>Target B2&gt;=</w:t>
            </w:r>
          </w:p>
        </w:tc>
        <w:tc>
          <w:tcPr>
            <w:tcW w:w="2040" w:type="pct"/>
            <w:vAlign w:val="center"/>
          </w:tcPr>
          <w:p w14:paraId="1EFFB611" w14:textId="77777777" w:rsidR="00CF59E2" w:rsidRPr="00ED172B" w:rsidRDefault="00CF59E2" w:rsidP="002242B8">
            <w:pPr>
              <w:jc w:val="center"/>
              <w:rPr>
                <w:color w:val="000000" w:themeColor="text1"/>
              </w:rPr>
            </w:pPr>
            <w:r w:rsidRPr="00ED172B">
              <w:rPr>
                <w:color w:val="000000" w:themeColor="text1"/>
              </w:rPr>
              <w:t>36.80%</w:t>
            </w:r>
          </w:p>
        </w:tc>
        <w:tc>
          <w:tcPr>
            <w:tcW w:w="2041" w:type="pct"/>
          </w:tcPr>
          <w:p w14:paraId="52F85FE6" w14:textId="77777777" w:rsidR="00CF59E2" w:rsidRPr="00ED172B" w:rsidRDefault="00CF59E2" w:rsidP="002242B8">
            <w:pPr>
              <w:jc w:val="center"/>
              <w:rPr>
                <w:color w:val="000000" w:themeColor="text1"/>
              </w:rPr>
            </w:pPr>
            <w:r>
              <w:rPr>
                <w:color w:val="000000" w:themeColor="text1"/>
              </w:rPr>
              <w:t>37.00%</w:t>
            </w:r>
          </w:p>
        </w:tc>
      </w:tr>
      <w:tr w:rsidR="00CF59E2" w:rsidRPr="00ED172B" w14:paraId="1C8F23CE" w14:textId="77777777" w:rsidTr="00811738">
        <w:trPr>
          <w:trHeight w:val="357"/>
        </w:trPr>
        <w:tc>
          <w:tcPr>
            <w:tcW w:w="919" w:type="pct"/>
            <w:vAlign w:val="center"/>
          </w:tcPr>
          <w:p w14:paraId="66D3C8B6" w14:textId="77777777" w:rsidR="00CF59E2" w:rsidRPr="00ED172B" w:rsidRDefault="00CF59E2" w:rsidP="00D21F29">
            <w:pPr>
              <w:jc w:val="center"/>
              <w:rPr>
                <w:color w:val="000000" w:themeColor="text1"/>
                <w:szCs w:val="16"/>
              </w:rPr>
            </w:pPr>
            <w:r w:rsidRPr="00ED172B">
              <w:rPr>
                <w:color w:val="000000" w:themeColor="text1"/>
                <w:szCs w:val="16"/>
              </w:rPr>
              <w:t>Target C1&gt;=</w:t>
            </w:r>
          </w:p>
        </w:tc>
        <w:tc>
          <w:tcPr>
            <w:tcW w:w="2040" w:type="pct"/>
            <w:vAlign w:val="center"/>
          </w:tcPr>
          <w:p w14:paraId="65C7EDF1" w14:textId="77777777" w:rsidR="00CF59E2" w:rsidRPr="00ED172B" w:rsidRDefault="00CF59E2" w:rsidP="0012497F">
            <w:pPr>
              <w:jc w:val="center"/>
              <w:rPr>
                <w:color w:val="000000" w:themeColor="text1"/>
              </w:rPr>
            </w:pPr>
            <w:r w:rsidRPr="00ED172B">
              <w:rPr>
                <w:color w:val="000000" w:themeColor="text1"/>
              </w:rPr>
              <w:t>78.60%</w:t>
            </w:r>
          </w:p>
        </w:tc>
        <w:tc>
          <w:tcPr>
            <w:tcW w:w="2041" w:type="pct"/>
          </w:tcPr>
          <w:p w14:paraId="4200321C" w14:textId="77777777" w:rsidR="00CF59E2" w:rsidRPr="00ED172B" w:rsidRDefault="00CF59E2" w:rsidP="0012497F">
            <w:pPr>
              <w:jc w:val="center"/>
              <w:rPr>
                <w:color w:val="000000" w:themeColor="text1"/>
              </w:rPr>
            </w:pPr>
            <w:r>
              <w:rPr>
                <w:color w:val="000000" w:themeColor="text1"/>
              </w:rPr>
              <w:t>78.80%</w:t>
            </w:r>
          </w:p>
        </w:tc>
      </w:tr>
      <w:tr w:rsidR="00CF59E2" w:rsidRPr="00ED172B" w14:paraId="4F2E2D7B" w14:textId="77777777" w:rsidTr="00811738">
        <w:trPr>
          <w:trHeight w:val="357"/>
        </w:trPr>
        <w:tc>
          <w:tcPr>
            <w:tcW w:w="919" w:type="pct"/>
            <w:vAlign w:val="center"/>
          </w:tcPr>
          <w:p w14:paraId="3A5D6230" w14:textId="77777777" w:rsidR="00CF59E2" w:rsidRPr="00ED172B" w:rsidRDefault="00CF59E2" w:rsidP="00D21F29">
            <w:pPr>
              <w:jc w:val="center"/>
              <w:rPr>
                <w:color w:val="000000" w:themeColor="text1"/>
                <w:szCs w:val="16"/>
              </w:rPr>
            </w:pPr>
            <w:r w:rsidRPr="00ED172B">
              <w:rPr>
                <w:color w:val="000000" w:themeColor="text1"/>
                <w:szCs w:val="16"/>
              </w:rPr>
              <w:t>Target C2&gt;=</w:t>
            </w:r>
          </w:p>
        </w:tc>
        <w:tc>
          <w:tcPr>
            <w:tcW w:w="2040" w:type="pct"/>
            <w:vAlign w:val="center"/>
          </w:tcPr>
          <w:p w14:paraId="2B8CA8CD" w14:textId="77777777" w:rsidR="00CF59E2" w:rsidRPr="00ED172B" w:rsidRDefault="00CF59E2" w:rsidP="0012497F">
            <w:pPr>
              <w:jc w:val="center"/>
              <w:rPr>
                <w:color w:val="000000" w:themeColor="text1"/>
              </w:rPr>
            </w:pPr>
            <w:r w:rsidRPr="00ED172B">
              <w:rPr>
                <w:color w:val="000000" w:themeColor="text1"/>
              </w:rPr>
              <w:t>41.40%</w:t>
            </w:r>
          </w:p>
        </w:tc>
        <w:tc>
          <w:tcPr>
            <w:tcW w:w="2041" w:type="pct"/>
          </w:tcPr>
          <w:p w14:paraId="4E348063" w14:textId="77777777" w:rsidR="00CF59E2" w:rsidRPr="00ED172B" w:rsidRDefault="00CF59E2" w:rsidP="0012497F">
            <w:pPr>
              <w:jc w:val="center"/>
              <w:rPr>
                <w:color w:val="000000" w:themeColor="text1"/>
              </w:rPr>
            </w:pPr>
            <w:r>
              <w:rPr>
                <w:color w:val="000000" w:themeColor="text1"/>
              </w:rPr>
              <w:t>41.60%</w:t>
            </w:r>
          </w:p>
        </w:tc>
      </w:tr>
    </w:tbl>
    <w:p w14:paraId="3993A785" w14:textId="77777777" w:rsidR="00CF59E2" w:rsidRDefault="00CF59E2">
      <w:pPr>
        <w:rPr>
          <w:b/>
          <w:color w:val="000000" w:themeColor="text1"/>
        </w:rPr>
      </w:pPr>
    </w:p>
    <w:p w14:paraId="708E5901" w14:textId="77777777" w:rsidR="00CF59E2" w:rsidRDefault="00CF59E2">
      <w:pPr>
        <w:rPr>
          <w:b/>
          <w:color w:val="000000" w:themeColor="text1"/>
        </w:rPr>
      </w:pPr>
    </w:p>
    <w:p w14:paraId="1FF96457" w14:textId="77777777" w:rsidR="001A4B29" w:rsidRPr="00ED172B" w:rsidRDefault="00F32724">
      <w:pPr>
        <w:rPr>
          <w:b/>
          <w:color w:val="000000" w:themeColor="text1"/>
        </w:rPr>
      </w:pPr>
      <w:r w:rsidRPr="00ED172B" w:rsidDel="00F32724">
        <w:rPr>
          <w:b/>
          <w:color w:val="000000" w:themeColor="text1"/>
        </w:rPr>
        <w:t xml:space="preserve"> 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1"/>
      </w:tblPr>
      <w:tblGrid>
        <w:gridCol w:w="7350"/>
        <w:gridCol w:w="1720"/>
        <w:gridCol w:w="1720"/>
      </w:tblGrid>
      <w:tr w:rsidR="00ED172B" w:rsidRPr="00ED172B" w14:paraId="6AE10AE3" w14:textId="77777777" w:rsidTr="00986B99">
        <w:trPr>
          <w:trHeight w:val="287"/>
          <w:tblHeader/>
        </w:trPr>
        <w:tc>
          <w:tcPr>
            <w:tcW w:w="3406" w:type="pct"/>
            <w:vAlign w:val="center"/>
          </w:tcPr>
          <w:p w14:paraId="3D8B2384" w14:textId="77777777" w:rsidR="001A4B29" w:rsidRPr="00ED172B" w:rsidRDefault="008320B5" w:rsidP="00B83404">
            <w:pPr>
              <w:rPr>
                <w:color w:val="000000" w:themeColor="text1"/>
              </w:rPr>
            </w:pPr>
            <w:r>
              <w:rPr>
                <w:rFonts w:cs="Arial"/>
                <w:b/>
                <w:color w:val="000000" w:themeColor="text1"/>
                <w:szCs w:val="16"/>
              </w:rPr>
              <w:t xml:space="preserve">Outcome A </w:t>
            </w:r>
            <w:r w:rsidRPr="001071FD">
              <w:rPr>
                <w:rFonts w:cs="Arial"/>
                <w:b/>
                <w:bCs/>
                <w:color w:val="000000" w:themeColor="text1"/>
                <w:szCs w:val="16"/>
              </w:rPr>
              <w:t xml:space="preserve">Progress </w:t>
            </w:r>
            <w:r>
              <w:rPr>
                <w:rFonts w:cs="Arial"/>
                <w:b/>
                <w:bCs/>
                <w:color w:val="000000" w:themeColor="text1"/>
                <w:szCs w:val="16"/>
              </w:rPr>
              <w:t>C</w:t>
            </w:r>
            <w:r w:rsidRPr="001071FD">
              <w:rPr>
                <w:rFonts w:cs="Arial"/>
                <w:b/>
                <w:bCs/>
                <w:color w:val="000000" w:themeColor="text1"/>
                <w:szCs w:val="16"/>
              </w:rPr>
              <w:t>ategor</w:t>
            </w:r>
            <w:r>
              <w:rPr>
                <w:rFonts w:cs="Arial"/>
                <w:b/>
                <w:bCs/>
                <w:color w:val="000000" w:themeColor="text1"/>
                <w:szCs w:val="16"/>
              </w:rPr>
              <w:t>y</w:t>
            </w:r>
          </w:p>
        </w:tc>
        <w:tc>
          <w:tcPr>
            <w:tcW w:w="797" w:type="pct"/>
            <w:vAlign w:val="center"/>
          </w:tcPr>
          <w:p w14:paraId="1DDE447D"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Number of children</w:t>
            </w:r>
          </w:p>
        </w:tc>
        <w:tc>
          <w:tcPr>
            <w:tcW w:w="797" w:type="pct"/>
          </w:tcPr>
          <w:p w14:paraId="72F63876"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4E0D44A8" w14:textId="77777777" w:rsidTr="00986B99">
        <w:trPr>
          <w:trHeight w:val="361"/>
        </w:trPr>
        <w:tc>
          <w:tcPr>
            <w:tcW w:w="3406" w:type="pct"/>
            <w:vAlign w:val="center"/>
          </w:tcPr>
          <w:p w14:paraId="566BA8C4" w14:textId="77777777" w:rsidR="001A4B29" w:rsidRPr="00ED172B" w:rsidRDefault="001A4B29" w:rsidP="001A4B29">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vAlign w:val="center"/>
          </w:tcPr>
          <w:p w14:paraId="7B363C3E" w14:textId="77777777" w:rsidR="001A4B29" w:rsidRPr="00ED172B" w:rsidRDefault="00860830" w:rsidP="00186420">
            <w:pPr>
              <w:jc w:val="center"/>
              <w:rPr>
                <w:rFonts w:cs="Arial"/>
                <w:color w:val="000000" w:themeColor="text1"/>
                <w:szCs w:val="16"/>
              </w:rPr>
            </w:pPr>
            <w:r w:rsidRPr="00ED172B">
              <w:rPr>
                <w:rFonts w:cs="Arial"/>
                <w:color w:val="000000" w:themeColor="text1"/>
                <w:szCs w:val="16"/>
              </w:rPr>
              <w:t>51</w:t>
            </w:r>
          </w:p>
        </w:tc>
        <w:tc>
          <w:tcPr>
            <w:tcW w:w="797" w:type="pct"/>
            <w:vAlign w:val="center"/>
          </w:tcPr>
          <w:p w14:paraId="6AB21CF1" w14:textId="77777777" w:rsidR="001A4B29" w:rsidRPr="00ED172B" w:rsidRDefault="00860830" w:rsidP="00186420">
            <w:pPr>
              <w:jc w:val="center"/>
              <w:rPr>
                <w:rFonts w:cs="Arial"/>
                <w:color w:val="000000" w:themeColor="text1"/>
                <w:szCs w:val="16"/>
              </w:rPr>
            </w:pPr>
            <w:r w:rsidRPr="00ED172B">
              <w:rPr>
                <w:rFonts w:cs="Arial"/>
                <w:color w:val="000000" w:themeColor="text1"/>
                <w:szCs w:val="16"/>
              </w:rPr>
              <w:t>1.77%</w:t>
            </w:r>
          </w:p>
        </w:tc>
      </w:tr>
      <w:tr w:rsidR="00ED172B" w:rsidRPr="00ED172B" w14:paraId="1FC3D71F" w14:textId="77777777" w:rsidTr="00986B99">
        <w:trPr>
          <w:trHeight w:val="361"/>
        </w:trPr>
        <w:tc>
          <w:tcPr>
            <w:tcW w:w="3406" w:type="pct"/>
            <w:vAlign w:val="center"/>
          </w:tcPr>
          <w:p w14:paraId="6E0FCB94" w14:textId="77777777" w:rsidR="00E447C5" w:rsidRPr="00ED172B" w:rsidRDefault="00E447C5" w:rsidP="00E447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vAlign w:val="center"/>
          </w:tcPr>
          <w:p w14:paraId="6F01D1D7"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282</w:t>
            </w:r>
          </w:p>
        </w:tc>
        <w:tc>
          <w:tcPr>
            <w:tcW w:w="797" w:type="pct"/>
            <w:vAlign w:val="center"/>
          </w:tcPr>
          <w:p w14:paraId="33DC26A8"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9.79%</w:t>
            </w:r>
          </w:p>
        </w:tc>
      </w:tr>
      <w:tr w:rsidR="00ED172B" w:rsidRPr="00ED172B" w14:paraId="14140EFB" w14:textId="77777777" w:rsidTr="00986B99">
        <w:trPr>
          <w:trHeight w:val="361"/>
        </w:trPr>
        <w:tc>
          <w:tcPr>
            <w:tcW w:w="3406" w:type="pct"/>
            <w:vAlign w:val="center"/>
          </w:tcPr>
          <w:p w14:paraId="37207CCE" w14:textId="77777777" w:rsidR="00E447C5" w:rsidRPr="00ED172B" w:rsidRDefault="00E447C5" w:rsidP="00E447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vAlign w:val="center"/>
          </w:tcPr>
          <w:p w14:paraId="7460BBAE"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1,367</w:t>
            </w:r>
          </w:p>
        </w:tc>
        <w:tc>
          <w:tcPr>
            <w:tcW w:w="797" w:type="pct"/>
            <w:vAlign w:val="center"/>
          </w:tcPr>
          <w:p w14:paraId="3E0D020A"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47.47%</w:t>
            </w:r>
          </w:p>
        </w:tc>
      </w:tr>
      <w:tr w:rsidR="00ED172B" w:rsidRPr="00ED172B" w14:paraId="0E7B6959" w14:textId="77777777" w:rsidTr="00986B99">
        <w:trPr>
          <w:trHeight w:val="361"/>
        </w:trPr>
        <w:tc>
          <w:tcPr>
            <w:tcW w:w="3406" w:type="pct"/>
            <w:vAlign w:val="center"/>
          </w:tcPr>
          <w:p w14:paraId="608F6263" w14:textId="77777777" w:rsidR="00E447C5" w:rsidRPr="00ED172B" w:rsidRDefault="00E447C5" w:rsidP="00E447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vAlign w:val="center"/>
          </w:tcPr>
          <w:p w14:paraId="77BE5A6F"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856</w:t>
            </w:r>
          </w:p>
        </w:tc>
        <w:tc>
          <w:tcPr>
            <w:tcW w:w="797" w:type="pct"/>
            <w:vAlign w:val="center"/>
          </w:tcPr>
          <w:p w14:paraId="5CA058CC"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29.72%</w:t>
            </w:r>
          </w:p>
        </w:tc>
      </w:tr>
      <w:tr w:rsidR="00ED172B" w:rsidRPr="00ED172B" w14:paraId="35643FA7" w14:textId="77777777" w:rsidTr="00986B99">
        <w:trPr>
          <w:trHeight w:val="361"/>
        </w:trPr>
        <w:tc>
          <w:tcPr>
            <w:tcW w:w="3406" w:type="pct"/>
            <w:vAlign w:val="center"/>
          </w:tcPr>
          <w:p w14:paraId="2F8529A4" w14:textId="77777777" w:rsidR="00E447C5" w:rsidRPr="00ED172B" w:rsidRDefault="00E447C5" w:rsidP="00E447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vAlign w:val="center"/>
          </w:tcPr>
          <w:p w14:paraId="229B35CC"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324</w:t>
            </w:r>
          </w:p>
        </w:tc>
        <w:tc>
          <w:tcPr>
            <w:tcW w:w="797" w:type="pct"/>
            <w:vAlign w:val="center"/>
          </w:tcPr>
          <w:p w14:paraId="376B95F2"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11.25%</w:t>
            </w:r>
          </w:p>
        </w:tc>
      </w:tr>
    </w:tbl>
    <w:p w14:paraId="61EAC23B"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2"/>
      </w:tblPr>
      <w:tblGrid>
        <w:gridCol w:w="2515"/>
        <w:gridCol w:w="1080"/>
        <w:gridCol w:w="1260"/>
        <w:gridCol w:w="1349"/>
        <w:gridCol w:w="1172"/>
        <w:gridCol w:w="1260"/>
        <w:gridCol w:w="1079"/>
        <w:gridCol w:w="1075"/>
      </w:tblGrid>
      <w:tr w:rsidR="00ED172B" w:rsidRPr="00ED172B" w14:paraId="7F59636E" w14:textId="77777777" w:rsidTr="00986B99">
        <w:trPr>
          <w:trHeight w:val="354"/>
          <w:tblHeader/>
        </w:trPr>
        <w:tc>
          <w:tcPr>
            <w:tcW w:w="1165" w:type="pct"/>
            <w:vAlign w:val="bottom"/>
          </w:tcPr>
          <w:p w14:paraId="062A461A" w14:textId="77777777" w:rsidR="00037032" w:rsidRPr="00A40EE1" w:rsidRDefault="008320B5" w:rsidP="00037032">
            <w:pPr>
              <w:jc w:val="center"/>
              <w:rPr>
                <w:rFonts w:cs="Arial"/>
                <w:b/>
                <w:bCs/>
                <w:color w:val="000000" w:themeColor="text1"/>
                <w:szCs w:val="16"/>
              </w:rPr>
            </w:pPr>
            <w:r>
              <w:rPr>
                <w:rFonts w:cs="Arial"/>
                <w:b/>
                <w:bCs/>
                <w:color w:val="000000" w:themeColor="text1"/>
                <w:szCs w:val="16"/>
              </w:rPr>
              <w:t>Outcome A</w:t>
            </w:r>
          </w:p>
        </w:tc>
        <w:tc>
          <w:tcPr>
            <w:tcW w:w="500" w:type="pct"/>
            <w:vAlign w:val="bottom"/>
          </w:tcPr>
          <w:p w14:paraId="1ECFFFCE"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Numerator</w:t>
            </w:r>
          </w:p>
        </w:tc>
        <w:tc>
          <w:tcPr>
            <w:tcW w:w="584" w:type="pct"/>
            <w:vAlign w:val="bottom"/>
          </w:tcPr>
          <w:p w14:paraId="2C9549B2"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Denominator</w:t>
            </w:r>
          </w:p>
        </w:tc>
        <w:tc>
          <w:tcPr>
            <w:tcW w:w="625" w:type="pct"/>
            <w:vAlign w:val="bottom"/>
          </w:tcPr>
          <w:p w14:paraId="7638EC8E" w14:textId="77777777" w:rsidR="00037032" w:rsidRPr="00ED172B" w:rsidRDefault="00CD74B5" w:rsidP="00037032">
            <w:pPr>
              <w:jc w:val="center"/>
              <w:rPr>
                <w:rFonts w:cs="Arial"/>
                <w:b/>
                <w:color w:val="000000" w:themeColor="text1"/>
                <w:szCs w:val="16"/>
              </w:rPr>
            </w:pPr>
            <w:r>
              <w:rPr>
                <w:rFonts w:cs="Arial"/>
                <w:b/>
                <w:color w:val="000000" w:themeColor="text1"/>
                <w:szCs w:val="16"/>
              </w:rPr>
              <w:t>FFY 2023 Data</w:t>
            </w:r>
          </w:p>
        </w:tc>
        <w:tc>
          <w:tcPr>
            <w:tcW w:w="543" w:type="pct"/>
            <w:vAlign w:val="bottom"/>
          </w:tcPr>
          <w:p w14:paraId="00D7FAF3" w14:textId="77777777" w:rsidR="00037032" w:rsidRPr="00ED172B" w:rsidRDefault="00F22D09" w:rsidP="00037032">
            <w:pPr>
              <w:jc w:val="center"/>
              <w:rPr>
                <w:rFonts w:cs="Arial"/>
                <w:b/>
                <w:color w:val="000000" w:themeColor="text1"/>
                <w:szCs w:val="16"/>
              </w:rPr>
            </w:pPr>
            <w:r>
              <w:rPr>
                <w:rFonts w:cs="Arial"/>
                <w:b/>
                <w:color w:val="000000" w:themeColor="text1"/>
                <w:szCs w:val="16"/>
              </w:rPr>
              <w:t>FFY 2024 Target</w:t>
            </w:r>
          </w:p>
        </w:tc>
        <w:tc>
          <w:tcPr>
            <w:tcW w:w="584" w:type="pct"/>
            <w:vAlign w:val="bottom"/>
          </w:tcPr>
          <w:p w14:paraId="78C2FD63" w14:textId="77777777" w:rsidR="00037032" w:rsidRPr="00ED172B" w:rsidRDefault="00F22D09" w:rsidP="00037032">
            <w:pPr>
              <w:jc w:val="center"/>
              <w:rPr>
                <w:rFonts w:cs="Arial"/>
                <w:b/>
                <w:color w:val="000000" w:themeColor="text1"/>
                <w:szCs w:val="16"/>
              </w:rPr>
            </w:pPr>
            <w:r>
              <w:rPr>
                <w:rFonts w:cs="Arial"/>
                <w:b/>
                <w:color w:val="000000" w:themeColor="text1"/>
                <w:szCs w:val="16"/>
              </w:rPr>
              <w:t>FFY 2024 Data</w:t>
            </w:r>
          </w:p>
        </w:tc>
        <w:tc>
          <w:tcPr>
            <w:tcW w:w="500" w:type="pct"/>
            <w:vAlign w:val="bottom"/>
          </w:tcPr>
          <w:p w14:paraId="6B7FB93F"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Status</w:t>
            </w:r>
          </w:p>
        </w:tc>
        <w:tc>
          <w:tcPr>
            <w:tcW w:w="498" w:type="pct"/>
            <w:vAlign w:val="bottom"/>
          </w:tcPr>
          <w:p w14:paraId="1DF29C0D"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Slippage</w:t>
            </w:r>
          </w:p>
        </w:tc>
      </w:tr>
      <w:tr w:rsidR="00ED172B" w:rsidRPr="00ED172B" w14:paraId="267474ED" w14:textId="77777777" w:rsidTr="00986B99">
        <w:trPr>
          <w:trHeight w:val="361"/>
        </w:trPr>
        <w:tc>
          <w:tcPr>
            <w:tcW w:w="1165" w:type="pct"/>
          </w:tcPr>
          <w:p w14:paraId="23486275" w14:textId="77777777" w:rsidR="000F1858" w:rsidRPr="00ED172B" w:rsidRDefault="000F1858" w:rsidP="000F1858">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00" w:type="pct"/>
            <w:vAlign w:val="center"/>
          </w:tcPr>
          <w:p w14:paraId="2AF5E0C5" w14:textId="77777777"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2,223</w:t>
            </w:r>
          </w:p>
        </w:tc>
        <w:tc>
          <w:tcPr>
            <w:tcW w:w="584" w:type="pct"/>
            <w:vAlign w:val="center"/>
          </w:tcPr>
          <w:p w14:paraId="35BCBD3C" w14:textId="77777777"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2,556</w:t>
            </w:r>
          </w:p>
        </w:tc>
        <w:tc>
          <w:tcPr>
            <w:tcW w:w="625" w:type="pct"/>
            <w:vAlign w:val="center"/>
          </w:tcPr>
          <w:p w14:paraId="24B46E35"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86.14%</w:t>
            </w:r>
          </w:p>
        </w:tc>
        <w:tc>
          <w:tcPr>
            <w:tcW w:w="543" w:type="pct"/>
            <w:vAlign w:val="center"/>
          </w:tcPr>
          <w:p w14:paraId="38F49EB4" w14:textId="77777777" w:rsidR="000F1858" w:rsidRPr="00ED172B" w:rsidRDefault="0054124F" w:rsidP="00027F39">
            <w:pPr>
              <w:jc w:val="center"/>
              <w:rPr>
                <w:color w:val="000000" w:themeColor="text1"/>
              </w:rPr>
            </w:pPr>
            <w:r w:rsidRPr="00ED172B">
              <w:rPr>
                <w:color w:val="000000" w:themeColor="text1"/>
              </w:rPr>
              <w:t>86.20%</w:t>
            </w:r>
          </w:p>
        </w:tc>
        <w:tc>
          <w:tcPr>
            <w:tcW w:w="584" w:type="pct"/>
            <w:vAlign w:val="center"/>
          </w:tcPr>
          <w:p w14:paraId="1B7922C1"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86.97%</w:t>
            </w:r>
          </w:p>
        </w:tc>
        <w:tc>
          <w:tcPr>
            <w:tcW w:w="500" w:type="pct"/>
            <w:vAlign w:val="center"/>
          </w:tcPr>
          <w:p w14:paraId="113704E8"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Met target</w:t>
            </w:r>
          </w:p>
        </w:tc>
        <w:tc>
          <w:tcPr>
            <w:tcW w:w="498" w:type="pct"/>
            <w:vAlign w:val="center"/>
          </w:tcPr>
          <w:p w14:paraId="06C3F401"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No Slippage</w:t>
            </w:r>
          </w:p>
        </w:tc>
      </w:tr>
      <w:tr w:rsidR="00ED172B" w:rsidRPr="00ED172B" w14:paraId="799535DC" w14:textId="77777777" w:rsidTr="00986B99">
        <w:trPr>
          <w:trHeight w:val="361"/>
        </w:trPr>
        <w:tc>
          <w:tcPr>
            <w:tcW w:w="1165" w:type="pct"/>
          </w:tcPr>
          <w:p w14:paraId="5CB6622A" w14:textId="77777777" w:rsidR="00A52D95" w:rsidRPr="00ED172B" w:rsidRDefault="00A52D95" w:rsidP="00A52D9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00" w:type="pct"/>
            <w:vAlign w:val="center"/>
          </w:tcPr>
          <w:p w14:paraId="5BE0DCB1" w14:textId="77777777"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1,180</w:t>
            </w:r>
          </w:p>
        </w:tc>
        <w:tc>
          <w:tcPr>
            <w:tcW w:w="584" w:type="pct"/>
            <w:vAlign w:val="center"/>
          </w:tcPr>
          <w:p w14:paraId="5C7F60AB" w14:textId="77777777"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2,880</w:t>
            </w:r>
          </w:p>
        </w:tc>
        <w:tc>
          <w:tcPr>
            <w:tcW w:w="625" w:type="pct"/>
            <w:vAlign w:val="center"/>
          </w:tcPr>
          <w:p w14:paraId="1DAC6F51"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40.01%</w:t>
            </w:r>
          </w:p>
        </w:tc>
        <w:tc>
          <w:tcPr>
            <w:tcW w:w="543" w:type="pct"/>
            <w:vAlign w:val="center"/>
          </w:tcPr>
          <w:p w14:paraId="7B373F2E" w14:textId="77777777" w:rsidR="00A52D95" w:rsidRPr="00ED172B" w:rsidRDefault="002332D6">
            <w:pPr>
              <w:jc w:val="center"/>
              <w:rPr>
                <w:color w:val="000000" w:themeColor="text1"/>
              </w:rPr>
            </w:pPr>
            <w:r w:rsidRPr="00ED172B">
              <w:rPr>
                <w:color w:val="000000" w:themeColor="text1"/>
              </w:rPr>
              <w:t>43.10%</w:t>
            </w:r>
          </w:p>
        </w:tc>
        <w:tc>
          <w:tcPr>
            <w:tcW w:w="584" w:type="pct"/>
            <w:vAlign w:val="center"/>
          </w:tcPr>
          <w:p w14:paraId="117FAFDD"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40.97%</w:t>
            </w:r>
          </w:p>
        </w:tc>
        <w:tc>
          <w:tcPr>
            <w:tcW w:w="500" w:type="pct"/>
            <w:vAlign w:val="center"/>
          </w:tcPr>
          <w:p w14:paraId="6A8A7757"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5D113E70"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No Slippage</w:t>
            </w:r>
          </w:p>
        </w:tc>
      </w:tr>
    </w:tbl>
    <w:p w14:paraId="6C403DB1" w14:textId="77777777" w:rsidR="001A4B29" w:rsidRPr="00ED172B" w:rsidRDefault="001A4B29">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3"/>
      </w:tblPr>
      <w:tblGrid>
        <w:gridCol w:w="7094"/>
        <w:gridCol w:w="1683"/>
        <w:gridCol w:w="2013"/>
      </w:tblGrid>
      <w:tr w:rsidR="008320B5" w:rsidRPr="00ED172B" w14:paraId="0E5B6D19" w14:textId="77777777" w:rsidTr="00A40EE1">
        <w:trPr>
          <w:trHeight w:val="361"/>
          <w:tblHeader/>
        </w:trPr>
        <w:tc>
          <w:tcPr>
            <w:tcW w:w="3287" w:type="pct"/>
            <w:vAlign w:val="bottom"/>
          </w:tcPr>
          <w:p w14:paraId="778BAA68" w14:textId="77777777" w:rsidR="008320B5" w:rsidRPr="00ED172B" w:rsidRDefault="008320B5" w:rsidP="008320B5">
            <w:pPr>
              <w:rPr>
                <w:rFonts w:cs="Arial"/>
                <w:color w:val="000000" w:themeColor="text1"/>
                <w:szCs w:val="16"/>
              </w:rPr>
            </w:pPr>
            <w:r>
              <w:rPr>
                <w:rFonts w:cs="Arial"/>
                <w:b/>
                <w:color w:val="000000" w:themeColor="text1"/>
                <w:szCs w:val="16"/>
              </w:rPr>
              <w:t xml:space="preserve">Outcome B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780" w:type="pct"/>
            <w:vAlign w:val="center"/>
          </w:tcPr>
          <w:p w14:paraId="44154267"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Number of Children</w:t>
            </w:r>
          </w:p>
        </w:tc>
        <w:tc>
          <w:tcPr>
            <w:tcW w:w="933" w:type="pct"/>
          </w:tcPr>
          <w:p w14:paraId="7EA15589"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Percentage of Total</w:t>
            </w:r>
          </w:p>
        </w:tc>
      </w:tr>
      <w:tr w:rsidR="008320B5" w:rsidRPr="00ED172B" w14:paraId="06F816C3" w14:textId="77777777" w:rsidTr="008320B5">
        <w:trPr>
          <w:trHeight w:val="361"/>
        </w:trPr>
        <w:tc>
          <w:tcPr>
            <w:tcW w:w="3287" w:type="pct"/>
            <w:vAlign w:val="center"/>
          </w:tcPr>
          <w:p w14:paraId="6475032A" w14:textId="77777777" w:rsidR="008320B5" w:rsidRPr="00ED172B" w:rsidRDefault="008320B5" w:rsidP="008320B5">
            <w:pPr>
              <w:rPr>
                <w:rFonts w:cs="Arial"/>
                <w:color w:val="000000" w:themeColor="text1"/>
                <w:szCs w:val="16"/>
              </w:rPr>
            </w:pPr>
            <w:r w:rsidRPr="00ED172B">
              <w:rPr>
                <w:rFonts w:cs="Arial"/>
                <w:color w:val="000000" w:themeColor="text1"/>
                <w:szCs w:val="16"/>
              </w:rPr>
              <w:t>a. Infants and toddlers who did not improve functioning</w:t>
            </w:r>
          </w:p>
        </w:tc>
        <w:tc>
          <w:tcPr>
            <w:tcW w:w="780" w:type="pct"/>
            <w:vAlign w:val="center"/>
          </w:tcPr>
          <w:p w14:paraId="78074D1A"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43</w:t>
            </w:r>
          </w:p>
        </w:tc>
        <w:tc>
          <w:tcPr>
            <w:tcW w:w="933" w:type="pct"/>
            <w:vAlign w:val="center"/>
          </w:tcPr>
          <w:p w14:paraId="4B25DF66"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1.49%</w:t>
            </w:r>
          </w:p>
        </w:tc>
      </w:tr>
      <w:tr w:rsidR="008320B5" w:rsidRPr="00ED172B" w14:paraId="146350FE" w14:textId="77777777" w:rsidTr="008320B5">
        <w:trPr>
          <w:trHeight w:val="361"/>
        </w:trPr>
        <w:tc>
          <w:tcPr>
            <w:tcW w:w="3287" w:type="pct"/>
            <w:vAlign w:val="center"/>
          </w:tcPr>
          <w:p w14:paraId="768DEDFC" w14:textId="77777777" w:rsidR="008320B5" w:rsidRPr="00ED172B" w:rsidRDefault="008320B5" w:rsidP="008320B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80" w:type="pct"/>
            <w:vAlign w:val="center"/>
          </w:tcPr>
          <w:p w14:paraId="3DEFD0C3"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895</w:t>
            </w:r>
          </w:p>
        </w:tc>
        <w:tc>
          <w:tcPr>
            <w:tcW w:w="933" w:type="pct"/>
            <w:vAlign w:val="center"/>
          </w:tcPr>
          <w:p w14:paraId="34289831"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31.08%</w:t>
            </w:r>
          </w:p>
        </w:tc>
      </w:tr>
      <w:tr w:rsidR="008320B5" w:rsidRPr="00ED172B" w14:paraId="26C9C131" w14:textId="77777777" w:rsidTr="008320B5">
        <w:trPr>
          <w:trHeight w:val="361"/>
        </w:trPr>
        <w:tc>
          <w:tcPr>
            <w:tcW w:w="3287" w:type="pct"/>
            <w:vAlign w:val="center"/>
          </w:tcPr>
          <w:p w14:paraId="4126D4CC" w14:textId="77777777" w:rsidR="008320B5" w:rsidRPr="00ED172B" w:rsidRDefault="008320B5" w:rsidP="008320B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80" w:type="pct"/>
            <w:vAlign w:val="center"/>
          </w:tcPr>
          <w:p w14:paraId="09BE7C9D"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930</w:t>
            </w:r>
          </w:p>
        </w:tc>
        <w:tc>
          <w:tcPr>
            <w:tcW w:w="933" w:type="pct"/>
            <w:vAlign w:val="center"/>
          </w:tcPr>
          <w:p w14:paraId="6BBF5917"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32.29%</w:t>
            </w:r>
          </w:p>
        </w:tc>
      </w:tr>
      <w:tr w:rsidR="008320B5" w:rsidRPr="00ED172B" w14:paraId="6EEBE17B" w14:textId="77777777" w:rsidTr="008320B5">
        <w:trPr>
          <w:trHeight w:val="361"/>
        </w:trPr>
        <w:tc>
          <w:tcPr>
            <w:tcW w:w="3287" w:type="pct"/>
            <w:vAlign w:val="center"/>
          </w:tcPr>
          <w:p w14:paraId="250535C4" w14:textId="77777777" w:rsidR="008320B5" w:rsidRPr="00ED172B" w:rsidRDefault="008320B5" w:rsidP="008320B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80" w:type="pct"/>
            <w:vAlign w:val="center"/>
          </w:tcPr>
          <w:p w14:paraId="53EC662F"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539</w:t>
            </w:r>
          </w:p>
        </w:tc>
        <w:tc>
          <w:tcPr>
            <w:tcW w:w="933" w:type="pct"/>
            <w:vAlign w:val="center"/>
          </w:tcPr>
          <w:p w14:paraId="2F190BF1"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18.72%</w:t>
            </w:r>
          </w:p>
        </w:tc>
      </w:tr>
      <w:tr w:rsidR="008320B5" w:rsidRPr="00ED172B" w14:paraId="32966448" w14:textId="77777777" w:rsidTr="008320B5">
        <w:trPr>
          <w:trHeight w:val="361"/>
        </w:trPr>
        <w:tc>
          <w:tcPr>
            <w:tcW w:w="3287" w:type="pct"/>
            <w:vAlign w:val="center"/>
          </w:tcPr>
          <w:p w14:paraId="6A363014" w14:textId="77777777" w:rsidR="008320B5" w:rsidRPr="00ED172B" w:rsidRDefault="008320B5" w:rsidP="008320B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80" w:type="pct"/>
            <w:vAlign w:val="center"/>
          </w:tcPr>
          <w:p w14:paraId="3BDF6DF8"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473</w:t>
            </w:r>
          </w:p>
        </w:tc>
        <w:tc>
          <w:tcPr>
            <w:tcW w:w="933" w:type="pct"/>
            <w:vAlign w:val="center"/>
          </w:tcPr>
          <w:p w14:paraId="058AA2DB"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16.42%</w:t>
            </w:r>
          </w:p>
        </w:tc>
      </w:tr>
    </w:tbl>
    <w:p w14:paraId="4E91E4E3" w14:textId="77777777" w:rsidR="001A4B29" w:rsidRPr="00ED172B" w:rsidRDefault="001A4B29" w:rsidP="00834FB7">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4"/>
      </w:tblPr>
      <w:tblGrid>
        <w:gridCol w:w="2425"/>
        <w:gridCol w:w="1170"/>
        <w:gridCol w:w="1260"/>
        <w:gridCol w:w="1350"/>
        <w:gridCol w:w="1440"/>
        <w:gridCol w:w="1260"/>
        <w:gridCol w:w="990"/>
        <w:gridCol w:w="895"/>
      </w:tblGrid>
      <w:tr w:rsidR="00ED172B" w:rsidRPr="00ED172B" w14:paraId="3BEF413C" w14:textId="77777777" w:rsidTr="00986B99">
        <w:trPr>
          <w:tblHeader/>
        </w:trPr>
        <w:tc>
          <w:tcPr>
            <w:tcW w:w="2425" w:type="dxa"/>
            <w:vAlign w:val="bottom"/>
          </w:tcPr>
          <w:p w14:paraId="4E06C449" w14:textId="77777777" w:rsidR="00037032" w:rsidRPr="00A40EE1" w:rsidRDefault="008320B5" w:rsidP="00B83404">
            <w:pPr>
              <w:rPr>
                <w:b/>
                <w:bCs/>
                <w:color w:val="000000" w:themeColor="text1"/>
              </w:rPr>
            </w:pPr>
            <w:r w:rsidRPr="00A40EE1">
              <w:rPr>
                <w:b/>
                <w:bCs/>
                <w:color w:val="000000" w:themeColor="text1"/>
              </w:rPr>
              <w:t>Outcome B</w:t>
            </w:r>
          </w:p>
        </w:tc>
        <w:tc>
          <w:tcPr>
            <w:tcW w:w="1170" w:type="dxa"/>
            <w:vAlign w:val="bottom"/>
          </w:tcPr>
          <w:p w14:paraId="74A50CF7" w14:textId="77777777" w:rsidR="00037032" w:rsidRPr="00ED172B" w:rsidRDefault="00037032" w:rsidP="00037032">
            <w:pPr>
              <w:keepNext/>
              <w:jc w:val="center"/>
              <w:rPr>
                <w:b/>
                <w:color w:val="000000" w:themeColor="text1"/>
                <w:szCs w:val="16"/>
              </w:rPr>
            </w:pPr>
            <w:r w:rsidRPr="00ED172B">
              <w:rPr>
                <w:b/>
                <w:color w:val="000000" w:themeColor="text1"/>
                <w:szCs w:val="16"/>
              </w:rPr>
              <w:t>Numerator</w:t>
            </w:r>
          </w:p>
        </w:tc>
        <w:tc>
          <w:tcPr>
            <w:tcW w:w="1260" w:type="dxa"/>
            <w:vAlign w:val="bottom"/>
          </w:tcPr>
          <w:p w14:paraId="7AEF67DF" w14:textId="77777777" w:rsidR="00037032" w:rsidRPr="00ED172B" w:rsidRDefault="00037032" w:rsidP="00037032">
            <w:pPr>
              <w:keepNext/>
              <w:jc w:val="center"/>
              <w:rPr>
                <w:b/>
                <w:color w:val="000000" w:themeColor="text1"/>
                <w:szCs w:val="16"/>
              </w:rPr>
            </w:pPr>
            <w:r w:rsidRPr="00ED172B">
              <w:rPr>
                <w:b/>
                <w:color w:val="000000" w:themeColor="text1"/>
                <w:szCs w:val="16"/>
              </w:rPr>
              <w:t>Denominator</w:t>
            </w:r>
          </w:p>
        </w:tc>
        <w:tc>
          <w:tcPr>
            <w:tcW w:w="1350" w:type="dxa"/>
            <w:vAlign w:val="bottom"/>
          </w:tcPr>
          <w:p w14:paraId="4D70D7DD" w14:textId="77777777" w:rsidR="00037032" w:rsidRPr="00ED172B" w:rsidRDefault="00CD74B5" w:rsidP="00037032">
            <w:pPr>
              <w:keepNext/>
              <w:jc w:val="center"/>
              <w:rPr>
                <w:b/>
                <w:color w:val="000000" w:themeColor="text1"/>
                <w:szCs w:val="16"/>
              </w:rPr>
            </w:pPr>
            <w:r>
              <w:rPr>
                <w:rFonts w:cs="Arial"/>
                <w:b/>
                <w:color w:val="000000" w:themeColor="text1"/>
                <w:szCs w:val="16"/>
              </w:rPr>
              <w:t>FFY 2023 Data</w:t>
            </w:r>
          </w:p>
        </w:tc>
        <w:tc>
          <w:tcPr>
            <w:tcW w:w="1440" w:type="dxa"/>
            <w:vAlign w:val="bottom"/>
          </w:tcPr>
          <w:p w14:paraId="7D160AE1" w14:textId="77777777" w:rsidR="00037032" w:rsidRPr="00ED172B" w:rsidRDefault="00F22D09" w:rsidP="00037032">
            <w:pPr>
              <w:keepNext/>
              <w:jc w:val="center"/>
              <w:rPr>
                <w:b/>
                <w:color w:val="000000" w:themeColor="text1"/>
                <w:szCs w:val="16"/>
              </w:rPr>
            </w:pPr>
            <w:r>
              <w:rPr>
                <w:rFonts w:cs="Arial"/>
                <w:b/>
                <w:color w:val="000000" w:themeColor="text1"/>
                <w:szCs w:val="16"/>
              </w:rPr>
              <w:t>FFY 2024 Target</w:t>
            </w:r>
          </w:p>
        </w:tc>
        <w:tc>
          <w:tcPr>
            <w:tcW w:w="1260" w:type="dxa"/>
            <w:vAlign w:val="bottom"/>
          </w:tcPr>
          <w:p w14:paraId="51AC5286" w14:textId="77777777" w:rsidR="00037032" w:rsidRPr="00ED172B" w:rsidRDefault="00F22D09" w:rsidP="00037032">
            <w:pPr>
              <w:keepNext/>
              <w:jc w:val="center"/>
              <w:rPr>
                <w:b/>
                <w:color w:val="000000" w:themeColor="text1"/>
                <w:szCs w:val="16"/>
              </w:rPr>
            </w:pPr>
            <w:r>
              <w:rPr>
                <w:rFonts w:cs="Arial"/>
                <w:b/>
                <w:color w:val="000000" w:themeColor="text1"/>
                <w:szCs w:val="16"/>
              </w:rPr>
              <w:t>FFY 2024 Data</w:t>
            </w:r>
          </w:p>
        </w:tc>
        <w:tc>
          <w:tcPr>
            <w:tcW w:w="990" w:type="dxa"/>
            <w:vAlign w:val="bottom"/>
          </w:tcPr>
          <w:p w14:paraId="5AE6B106" w14:textId="77777777" w:rsidR="00037032" w:rsidRPr="00ED172B" w:rsidRDefault="00037032" w:rsidP="00037032">
            <w:pPr>
              <w:keepNext/>
              <w:jc w:val="center"/>
              <w:rPr>
                <w:b/>
                <w:color w:val="000000" w:themeColor="text1"/>
                <w:szCs w:val="16"/>
              </w:rPr>
            </w:pPr>
            <w:r w:rsidRPr="00ED172B">
              <w:rPr>
                <w:b/>
                <w:color w:val="000000" w:themeColor="text1"/>
                <w:szCs w:val="16"/>
              </w:rPr>
              <w:t>Status</w:t>
            </w:r>
          </w:p>
        </w:tc>
        <w:tc>
          <w:tcPr>
            <w:tcW w:w="895" w:type="dxa"/>
            <w:vAlign w:val="bottom"/>
          </w:tcPr>
          <w:p w14:paraId="5F2224EB" w14:textId="77777777" w:rsidR="00037032" w:rsidRPr="00ED172B" w:rsidRDefault="00037032" w:rsidP="00037032">
            <w:pPr>
              <w:keepNext/>
              <w:jc w:val="center"/>
              <w:rPr>
                <w:b/>
                <w:color w:val="000000" w:themeColor="text1"/>
                <w:szCs w:val="16"/>
              </w:rPr>
            </w:pPr>
            <w:r w:rsidRPr="00ED172B">
              <w:rPr>
                <w:b/>
                <w:color w:val="000000" w:themeColor="text1"/>
                <w:szCs w:val="16"/>
              </w:rPr>
              <w:t>Slippage</w:t>
            </w:r>
          </w:p>
        </w:tc>
      </w:tr>
      <w:tr w:rsidR="00ED172B" w:rsidRPr="00ED172B" w14:paraId="5AEA60D9" w14:textId="77777777" w:rsidTr="00986B99">
        <w:tc>
          <w:tcPr>
            <w:tcW w:w="2425" w:type="dxa"/>
          </w:tcPr>
          <w:p w14:paraId="64A669EB" w14:textId="77777777" w:rsidR="0025243E" w:rsidRPr="00ED172B" w:rsidRDefault="0025243E" w:rsidP="0025243E">
            <w:pPr>
              <w:rPr>
                <w:color w:val="000000" w:themeColor="text1"/>
                <w:szCs w:val="16"/>
              </w:rPr>
            </w:pPr>
            <w:r w:rsidRPr="00ED172B">
              <w:rPr>
                <w:color w:val="000000" w:themeColor="text1"/>
                <w:szCs w:val="16"/>
              </w:rPr>
              <w:t xml:space="preserve">B1. Of those children who entered or exited the program below age expectations in Outcome B, the </w:t>
            </w:r>
            <w:proofErr w:type="gramStart"/>
            <w:r w:rsidRPr="00ED172B">
              <w:rPr>
                <w:color w:val="000000" w:themeColor="text1"/>
                <w:szCs w:val="16"/>
              </w:rPr>
              <w:t>percent who</w:t>
            </w:r>
            <w:proofErr w:type="gramEnd"/>
            <w:r w:rsidRPr="00ED172B">
              <w:rPr>
                <w:color w:val="000000" w:themeColor="text1"/>
                <w:szCs w:val="16"/>
              </w:rPr>
              <w:t xml:space="preserve"> substantially increased their rate of growth by the time they turned 3 years of age or exited the program</w:t>
            </w:r>
          </w:p>
        </w:tc>
        <w:tc>
          <w:tcPr>
            <w:tcW w:w="1170" w:type="dxa"/>
            <w:vAlign w:val="center"/>
          </w:tcPr>
          <w:p w14:paraId="5F3A5561"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1,469</w:t>
            </w:r>
          </w:p>
        </w:tc>
        <w:tc>
          <w:tcPr>
            <w:tcW w:w="1260" w:type="dxa"/>
            <w:vAlign w:val="center"/>
          </w:tcPr>
          <w:p w14:paraId="5BEA517D"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2,407</w:t>
            </w:r>
          </w:p>
        </w:tc>
        <w:tc>
          <w:tcPr>
            <w:tcW w:w="1350" w:type="dxa"/>
            <w:vAlign w:val="center"/>
          </w:tcPr>
          <w:p w14:paraId="47450DCA" w14:textId="77777777" w:rsidR="0025243E" w:rsidRPr="00ED172B" w:rsidRDefault="00860830" w:rsidP="0025243E">
            <w:pPr>
              <w:jc w:val="center"/>
              <w:rPr>
                <w:color w:val="000000" w:themeColor="text1"/>
                <w:szCs w:val="16"/>
              </w:rPr>
            </w:pPr>
            <w:r w:rsidRPr="00ED172B">
              <w:rPr>
                <w:rFonts w:cs="Arial"/>
                <w:color w:val="000000" w:themeColor="text1"/>
                <w:szCs w:val="16"/>
              </w:rPr>
              <w:t>63.29%</w:t>
            </w:r>
          </w:p>
        </w:tc>
        <w:tc>
          <w:tcPr>
            <w:tcW w:w="1440" w:type="dxa"/>
            <w:vAlign w:val="center"/>
          </w:tcPr>
          <w:p w14:paraId="3F2ECF02" w14:textId="77777777" w:rsidR="0025243E" w:rsidRPr="00ED172B" w:rsidRDefault="001E39E3" w:rsidP="001E39E3">
            <w:pPr>
              <w:jc w:val="center"/>
              <w:rPr>
                <w:color w:val="000000" w:themeColor="text1"/>
              </w:rPr>
            </w:pPr>
            <w:r w:rsidRPr="00ED172B">
              <w:rPr>
                <w:color w:val="000000" w:themeColor="text1"/>
              </w:rPr>
              <w:t>68.50%</w:t>
            </w:r>
          </w:p>
        </w:tc>
        <w:tc>
          <w:tcPr>
            <w:tcW w:w="1260" w:type="dxa"/>
            <w:vAlign w:val="center"/>
          </w:tcPr>
          <w:p w14:paraId="01C8444A" w14:textId="77777777" w:rsidR="0025243E" w:rsidRPr="00ED172B" w:rsidRDefault="00860830" w:rsidP="0025243E">
            <w:pPr>
              <w:jc w:val="center"/>
              <w:rPr>
                <w:color w:val="000000" w:themeColor="text1"/>
                <w:szCs w:val="16"/>
              </w:rPr>
            </w:pPr>
            <w:r w:rsidRPr="00ED172B">
              <w:rPr>
                <w:rFonts w:cs="Arial"/>
                <w:color w:val="000000" w:themeColor="text1"/>
                <w:szCs w:val="16"/>
              </w:rPr>
              <w:t>61.03%</w:t>
            </w:r>
          </w:p>
        </w:tc>
        <w:tc>
          <w:tcPr>
            <w:tcW w:w="990" w:type="dxa"/>
            <w:vAlign w:val="center"/>
          </w:tcPr>
          <w:p w14:paraId="7AF08613" w14:textId="77777777" w:rsidR="0025243E" w:rsidRPr="00ED172B" w:rsidRDefault="00860830" w:rsidP="0025243E">
            <w:pPr>
              <w:jc w:val="center"/>
              <w:rPr>
                <w:color w:val="000000" w:themeColor="text1"/>
                <w:szCs w:val="16"/>
              </w:rPr>
            </w:pPr>
            <w:r w:rsidRPr="00ED172B">
              <w:rPr>
                <w:rFonts w:cs="Arial"/>
                <w:color w:val="000000" w:themeColor="text1"/>
                <w:szCs w:val="16"/>
              </w:rPr>
              <w:t>Did not meet target</w:t>
            </w:r>
          </w:p>
        </w:tc>
        <w:tc>
          <w:tcPr>
            <w:tcW w:w="895" w:type="dxa"/>
            <w:vAlign w:val="center"/>
          </w:tcPr>
          <w:p w14:paraId="785473C6" w14:textId="77777777" w:rsidR="0025243E" w:rsidRPr="00ED172B" w:rsidRDefault="00860830" w:rsidP="0025243E">
            <w:pPr>
              <w:jc w:val="center"/>
              <w:rPr>
                <w:color w:val="000000" w:themeColor="text1"/>
                <w:szCs w:val="16"/>
              </w:rPr>
            </w:pPr>
            <w:r w:rsidRPr="00ED172B">
              <w:rPr>
                <w:rFonts w:cs="Arial"/>
                <w:color w:val="000000" w:themeColor="text1"/>
                <w:szCs w:val="16"/>
              </w:rPr>
              <w:t>Slippage</w:t>
            </w:r>
          </w:p>
        </w:tc>
      </w:tr>
      <w:tr w:rsidR="00ED172B" w:rsidRPr="00ED172B" w14:paraId="05F51E42" w14:textId="77777777" w:rsidTr="00986B99">
        <w:tc>
          <w:tcPr>
            <w:tcW w:w="2425" w:type="dxa"/>
          </w:tcPr>
          <w:p w14:paraId="6C9250A7" w14:textId="77777777" w:rsidR="0025243E" w:rsidRPr="00ED172B" w:rsidRDefault="0025243E" w:rsidP="0025243E">
            <w:pPr>
              <w:rPr>
                <w:color w:val="000000" w:themeColor="text1"/>
                <w:szCs w:val="16"/>
              </w:rPr>
            </w:pPr>
            <w:r w:rsidRPr="00ED172B">
              <w:rPr>
                <w:color w:val="000000" w:themeColor="text1"/>
                <w:szCs w:val="16"/>
              </w:rPr>
              <w:t>B2. The percent of infants and toddlers who were functioning within age expectations in Outcome B by the time they turned 3 years of age or exited the program</w:t>
            </w:r>
          </w:p>
        </w:tc>
        <w:tc>
          <w:tcPr>
            <w:tcW w:w="1170" w:type="dxa"/>
            <w:vAlign w:val="center"/>
          </w:tcPr>
          <w:p w14:paraId="442CFF1E"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1,012</w:t>
            </w:r>
          </w:p>
        </w:tc>
        <w:tc>
          <w:tcPr>
            <w:tcW w:w="1260" w:type="dxa"/>
            <w:vAlign w:val="center"/>
          </w:tcPr>
          <w:p w14:paraId="0D4403D5"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2,880</w:t>
            </w:r>
          </w:p>
        </w:tc>
        <w:tc>
          <w:tcPr>
            <w:tcW w:w="1350" w:type="dxa"/>
            <w:vAlign w:val="center"/>
          </w:tcPr>
          <w:p w14:paraId="0553C55E" w14:textId="77777777" w:rsidR="0025243E" w:rsidRPr="00ED172B" w:rsidRDefault="00860830" w:rsidP="0025243E">
            <w:pPr>
              <w:jc w:val="center"/>
              <w:rPr>
                <w:color w:val="000000" w:themeColor="text1"/>
                <w:szCs w:val="16"/>
              </w:rPr>
            </w:pPr>
            <w:r w:rsidRPr="00ED172B">
              <w:rPr>
                <w:rFonts w:cs="Arial"/>
                <w:color w:val="000000" w:themeColor="text1"/>
                <w:szCs w:val="16"/>
              </w:rPr>
              <w:t>31.68%</w:t>
            </w:r>
          </w:p>
        </w:tc>
        <w:tc>
          <w:tcPr>
            <w:tcW w:w="1440" w:type="dxa"/>
            <w:vAlign w:val="center"/>
          </w:tcPr>
          <w:p w14:paraId="79C76975" w14:textId="77777777" w:rsidR="0025243E" w:rsidRPr="00ED172B" w:rsidRDefault="001E39E3" w:rsidP="001E39E3">
            <w:pPr>
              <w:jc w:val="center"/>
              <w:rPr>
                <w:color w:val="000000" w:themeColor="text1"/>
              </w:rPr>
            </w:pPr>
            <w:r w:rsidRPr="00ED172B">
              <w:rPr>
                <w:color w:val="000000" w:themeColor="text1"/>
              </w:rPr>
              <w:t>36.80%</w:t>
            </w:r>
          </w:p>
        </w:tc>
        <w:tc>
          <w:tcPr>
            <w:tcW w:w="1260" w:type="dxa"/>
            <w:vAlign w:val="center"/>
          </w:tcPr>
          <w:p w14:paraId="7225A430" w14:textId="77777777" w:rsidR="0025243E" w:rsidRPr="00ED172B" w:rsidRDefault="00860830" w:rsidP="0025243E">
            <w:pPr>
              <w:jc w:val="center"/>
              <w:rPr>
                <w:color w:val="000000" w:themeColor="text1"/>
                <w:szCs w:val="16"/>
              </w:rPr>
            </w:pPr>
            <w:r w:rsidRPr="00ED172B">
              <w:rPr>
                <w:rFonts w:cs="Arial"/>
                <w:color w:val="000000" w:themeColor="text1"/>
                <w:szCs w:val="16"/>
              </w:rPr>
              <w:t>35.14%</w:t>
            </w:r>
          </w:p>
        </w:tc>
        <w:tc>
          <w:tcPr>
            <w:tcW w:w="990" w:type="dxa"/>
            <w:vAlign w:val="center"/>
          </w:tcPr>
          <w:p w14:paraId="2918BADA" w14:textId="77777777" w:rsidR="0025243E" w:rsidRPr="00ED172B" w:rsidRDefault="00860830" w:rsidP="0025243E">
            <w:pPr>
              <w:jc w:val="center"/>
              <w:rPr>
                <w:color w:val="000000" w:themeColor="text1"/>
                <w:szCs w:val="16"/>
              </w:rPr>
            </w:pPr>
            <w:r w:rsidRPr="00ED172B">
              <w:rPr>
                <w:rFonts w:cs="Arial"/>
                <w:color w:val="000000" w:themeColor="text1"/>
                <w:szCs w:val="16"/>
              </w:rPr>
              <w:t>Did not meet target</w:t>
            </w:r>
          </w:p>
        </w:tc>
        <w:tc>
          <w:tcPr>
            <w:tcW w:w="895" w:type="dxa"/>
            <w:vAlign w:val="center"/>
          </w:tcPr>
          <w:p w14:paraId="34C508F3" w14:textId="77777777" w:rsidR="0025243E" w:rsidRPr="00ED172B" w:rsidRDefault="00860830" w:rsidP="0025243E">
            <w:pPr>
              <w:jc w:val="center"/>
              <w:rPr>
                <w:color w:val="000000" w:themeColor="text1"/>
                <w:szCs w:val="16"/>
              </w:rPr>
            </w:pPr>
            <w:r w:rsidRPr="00ED172B">
              <w:rPr>
                <w:rFonts w:cs="Arial"/>
                <w:color w:val="000000" w:themeColor="text1"/>
                <w:szCs w:val="16"/>
              </w:rPr>
              <w:t>No Slippage</w:t>
            </w:r>
          </w:p>
        </w:tc>
      </w:tr>
    </w:tbl>
    <w:p w14:paraId="2796847F" w14:textId="77777777" w:rsidR="0025243E" w:rsidRPr="00ED172B" w:rsidRDefault="0025243E" w:rsidP="0025243E">
      <w:pPr>
        <w:rPr>
          <w:rFonts w:cs="Arial"/>
          <w:b/>
          <w:i/>
          <w:color w:val="000000" w:themeColor="text1"/>
          <w:szCs w:val="16"/>
        </w:rPr>
      </w:pPr>
      <w:r w:rsidRPr="00ED172B">
        <w:rPr>
          <w:rFonts w:cs="Arial"/>
          <w:b/>
          <w:color w:val="000000" w:themeColor="text1"/>
          <w:szCs w:val="16"/>
        </w:rPr>
        <w:t>Provide reasons for B1 slippage, if applicable</w:t>
      </w:r>
    </w:p>
    <w:p w14:paraId="5465D0A8" w14:textId="77777777" w:rsidR="0025243E" w:rsidRDefault="001E39E3" w:rsidP="001E39E3">
      <w:pPr>
        <w:rPr>
          <w:color w:val="000000" w:themeColor="text1"/>
        </w:rPr>
      </w:pPr>
      <w:r w:rsidRPr="00ED172B">
        <w:rPr>
          <w:color w:val="000000" w:themeColor="text1"/>
        </w:rPr>
        <w:t xml:space="preserve">Slippage occurred may be attributed to lack of tiered supports to special education staff and administrators connecting the assessment tool to child outcomes data and improvement activities; Additional factors include varied implementation of quality home visiting models, limited coaching capacity to </w:t>
      </w:r>
      <w:r w:rsidRPr="00ED172B">
        <w:rPr>
          <w:color w:val="000000" w:themeColor="text1"/>
        </w:rPr>
        <w:lastRenderedPageBreak/>
        <w:t xml:space="preserve">improve family or caregiver coaching, minimal improvement activities system-wide targeting cognitive, communication, and early literacy domains with this age group during routines and daily activities, and an increase in staff turnover and personnel shortages system-wide. </w:t>
      </w:r>
    </w:p>
    <w:p w14:paraId="610292AC" w14:textId="77777777" w:rsidR="001A4B29" w:rsidRPr="00ED172B" w:rsidRDefault="001A4B29">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5"/>
      </w:tblPr>
      <w:tblGrid>
        <w:gridCol w:w="7227"/>
        <w:gridCol w:w="1783"/>
        <w:gridCol w:w="1780"/>
      </w:tblGrid>
      <w:tr w:rsidR="00ED172B" w:rsidRPr="00ED172B" w14:paraId="1E561718" w14:textId="77777777" w:rsidTr="00986B99">
        <w:trPr>
          <w:trHeight w:val="361"/>
          <w:tblHeader/>
        </w:trPr>
        <w:tc>
          <w:tcPr>
            <w:tcW w:w="3349" w:type="pct"/>
          </w:tcPr>
          <w:p w14:paraId="3AC1C1ED" w14:textId="77777777" w:rsidR="001A4B29" w:rsidRPr="00ED172B" w:rsidRDefault="008320B5" w:rsidP="00834FB7">
            <w:pPr>
              <w:rPr>
                <w:color w:val="000000" w:themeColor="text1"/>
                <w:szCs w:val="16"/>
              </w:rPr>
            </w:pPr>
            <w:r>
              <w:rPr>
                <w:rFonts w:cs="Arial"/>
                <w:b/>
                <w:color w:val="000000" w:themeColor="text1"/>
                <w:szCs w:val="16"/>
              </w:rPr>
              <w:t xml:space="preserve">Outcome C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826" w:type="pct"/>
            <w:vAlign w:val="center"/>
          </w:tcPr>
          <w:p w14:paraId="36397B16" w14:textId="77777777" w:rsidR="001A4B29" w:rsidRPr="00ED172B" w:rsidRDefault="001A4B29" w:rsidP="00186420">
            <w:pPr>
              <w:jc w:val="center"/>
              <w:rPr>
                <w:b/>
                <w:color w:val="000000" w:themeColor="text1"/>
                <w:szCs w:val="16"/>
              </w:rPr>
            </w:pPr>
            <w:r w:rsidRPr="00ED172B">
              <w:rPr>
                <w:b/>
                <w:color w:val="000000" w:themeColor="text1"/>
                <w:szCs w:val="16"/>
              </w:rPr>
              <w:t>Number of Children</w:t>
            </w:r>
          </w:p>
        </w:tc>
        <w:tc>
          <w:tcPr>
            <w:tcW w:w="825" w:type="pct"/>
          </w:tcPr>
          <w:p w14:paraId="5633DA9A" w14:textId="77777777" w:rsidR="001A4B29" w:rsidRPr="00ED172B" w:rsidRDefault="001A4B29" w:rsidP="00186420">
            <w:pPr>
              <w:jc w:val="center"/>
              <w:rPr>
                <w:b/>
                <w:color w:val="000000" w:themeColor="text1"/>
                <w:szCs w:val="16"/>
              </w:rPr>
            </w:pPr>
            <w:r w:rsidRPr="00ED172B">
              <w:rPr>
                <w:b/>
                <w:color w:val="000000" w:themeColor="text1"/>
                <w:szCs w:val="16"/>
              </w:rPr>
              <w:t>Percentage of Total</w:t>
            </w:r>
          </w:p>
        </w:tc>
      </w:tr>
      <w:tr w:rsidR="00ED172B" w:rsidRPr="00ED172B" w14:paraId="402C89FE" w14:textId="77777777" w:rsidTr="00986B99">
        <w:trPr>
          <w:trHeight w:val="361"/>
        </w:trPr>
        <w:tc>
          <w:tcPr>
            <w:tcW w:w="3349" w:type="pct"/>
            <w:vAlign w:val="center"/>
          </w:tcPr>
          <w:p w14:paraId="67C0C2B1" w14:textId="77777777" w:rsidR="0025243E" w:rsidRPr="00ED172B" w:rsidRDefault="0025243E" w:rsidP="0025243E">
            <w:pPr>
              <w:rPr>
                <w:color w:val="000000" w:themeColor="text1"/>
                <w:szCs w:val="16"/>
              </w:rPr>
            </w:pPr>
            <w:r w:rsidRPr="00ED172B">
              <w:rPr>
                <w:color w:val="000000" w:themeColor="text1"/>
                <w:szCs w:val="16"/>
              </w:rPr>
              <w:t>a. Infants and toddlers who did not improve functioning</w:t>
            </w:r>
          </w:p>
        </w:tc>
        <w:tc>
          <w:tcPr>
            <w:tcW w:w="826" w:type="pct"/>
            <w:vAlign w:val="center"/>
          </w:tcPr>
          <w:p w14:paraId="68F9EB5F" w14:textId="77777777" w:rsidR="0025243E" w:rsidRPr="00ED172B" w:rsidRDefault="00860830" w:rsidP="00186420">
            <w:pPr>
              <w:jc w:val="center"/>
              <w:rPr>
                <w:color w:val="000000" w:themeColor="text1"/>
                <w:szCs w:val="16"/>
              </w:rPr>
            </w:pPr>
            <w:r w:rsidRPr="00ED172B">
              <w:rPr>
                <w:rFonts w:cs="Arial"/>
                <w:color w:val="000000" w:themeColor="text1"/>
                <w:szCs w:val="16"/>
              </w:rPr>
              <w:t>32</w:t>
            </w:r>
          </w:p>
        </w:tc>
        <w:tc>
          <w:tcPr>
            <w:tcW w:w="825" w:type="pct"/>
            <w:vAlign w:val="center"/>
          </w:tcPr>
          <w:p w14:paraId="56C78B01" w14:textId="77777777" w:rsidR="0025243E" w:rsidRPr="00ED172B" w:rsidRDefault="00860830" w:rsidP="00186420">
            <w:pPr>
              <w:jc w:val="center"/>
              <w:rPr>
                <w:color w:val="000000" w:themeColor="text1"/>
                <w:szCs w:val="16"/>
              </w:rPr>
            </w:pPr>
            <w:r w:rsidRPr="00ED172B">
              <w:rPr>
                <w:rFonts w:cs="Arial"/>
                <w:color w:val="000000" w:themeColor="text1"/>
                <w:szCs w:val="16"/>
              </w:rPr>
              <w:t>1.11%</w:t>
            </w:r>
          </w:p>
        </w:tc>
      </w:tr>
      <w:tr w:rsidR="00ED172B" w:rsidRPr="00ED172B" w14:paraId="06CF394A" w14:textId="77777777" w:rsidTr="00986B99">
        <w:trPr>
          <w:trHeight w:val="361"/>
        </w:trPr>
        <w:tc>
          <w:tcPr>
            <w:tcW w:w="3349" w:type="pct"/>
            <w:vAlign w:val="center"/>
          </w:tcPr>
          <w:p w14:paraId="07B6ACF1" w14:textId="77777777" w:rsidR="0025243E" w:rsidRPr="00ED172B" w:rsidRDefault="0025243E" w:rsidP="0025243E">
            <w:pPr>
              <w:rPr>
                <w:color w:val="000000" w:themeColor="text1"/>
                <w:szCs w:val="16"/>
              </w:rPr>
            </w:pPr>
            <w:r w:rsidRPr="00ED172B">
              <w:rPr>
                <w:color w:val="000000" w:themeColor="text1"/>
                <w:szCs w:val="16"/>
              </w:rPr>
              <w:t>b. Infants and toddlers who improved functioning but not sufficient to move nearer to functioning comparable to same-aged peers</w:t>
            </w:r>
          </w:p>
        </w:tc>
        <w:tc>
          <w:tcPr>
            <w:tcW w:w="826" w:type="pct"/>
            <w:vAlign w:val="center"/>
          </w:tcPr>
          <w:p w14:paraId="061560F6" w14:textId="77777777" w:rsidR="0025243E" w:rsidRPr="00ED172B" w:rsidRDefault="00860830" w:rsidP="00186420">
            <w:pPr>
              <w:jc w:val="center"/>
              <w:rPr>
                <w:color w:val="000000" w:themeColor="text1"/>
                <w:szCs w:val="16"/>
              </w:rPr>
            </w:pPr>
            <w:r w:rsidRPr="00ED172B">
              <w:rPr>
                <w:rFonts w:cs="Arial"/>
                <w:color w:val="000000" w:themeColor="text1"/>
                <w:szCs w:val="16"/>
              </w:rPr>
              <w:t>696</w:t>
            </w:r>
          </w:p>
        </w:tc>
        <w:tc>
          <w:tcPr>
            <w:tcW w:w="825" w:type="pct"/>
            <w:vAlign w:val="center"/>
          </w:tcPr>
          <w:p w14:paraId="7D3574D0" w14:textId="77777777" w:rsidR="0025243E" w:rsidRPr="00ED172B" w:rsidRDefault="00860830" w:rsidP="00186420">
            <w:pPr>
              <w:jc w:val="center"/>
              <w:rPr>
                <w:color w:val="000000" w:themeColor="text1"/>
                <w:szCs w:val="16"/>
              </w:rPr>
            </w:pPr>
            <w:r w:rsidRPr="00ED172B">
              <w:rPr>
                <w:rFonts w:cs="Arial"/>
                <w:color w:val="000000" w:themeColor="text1"/>
                <w:szCs w:val="16"/>
              </w:rPr>
              <w:t>24.17%</w:t>
            </w:r>
          </w:p>
        </w:tc>
      </w:tr>
      <w:tr w:rsidR="00ED172B" w:rsidRPr="00ED172B" w14:paraId="11FC3738" w14:textId="77777777" w:rsidTr="00986B99">
        <w:trPr>
          <w:trHeight w:val="395"/>
        </w:trPr>
        <w:tc>
          <w:tcPr>
            <w:tcW w:w="3349" w:type="pct"/>
            <w:vAlign w:val="center"/>
          </w:tcPr>
          <w:p w14:paraId="56D58ABF" w14:textId="77777777" w:rsidR="0025243E" w:rsidRPr="00ED172B" w:rsidRDefault="0025243E" w:rsidP="0025243E">
            <w:pPr>
              <w:rPr>
                <w:color w:val="000000" w:themeColor="text1"/>
                <w:szCs w:val="16"/>
              </w:rPr>
            </w:pPr>
            <w:r w:rsidRPr="00ED172B">
              <w:rPr>
                <w:color w:val="000000" w:themeColor="text1"/>
                <w:szCs w:val="16"/>
              </w:rPr>
              <w:t>c. Infants and toddlers who improved functioning to a level nearer to same-aged peers but did not reach it</w:t>
            </w:r>
          </w:p>
        </w:tc>
        <w:tc>
          <w:tcPr>
            <w:tcW w:w="826" w:type="pct"/>
            <w:vAlign w:val="center"/>
          </w:tcPr>
          <w:p w14:paraId="5938AA6F" w14:textId="77777777" w:rsidR="0025243E" w:rsidRPr="00ED172B" w:rsidRDefault="00860830" w:rsidP="00186420">
            <w:pPr>
              <w:jc w:val="center"/>
              <w:rPr>
                <w:color w:val="000000" w:themeColor="text1"/>
                <w:szCs w:val="16"/>
              </w:rPr>
            </w:pPr>
            <w:r w:rsidRPr="00ED172B">
              <w:rPr>
                <w:rFonts w:cs="Arial"/>
                <w:color w:val="000000" w:themeColor="text1"/>
                <w:szCs w:val="16"/>
              </w:rPr>
              <w:t>1,156</w:t>
            </w:r>
          </w:p>
        </w:tc>
        <w:tc>
          <w:tcPr>
            <w:tcW w:w="825" w:type="pct"/>
            <w:vAlign w:val="center"/>
          </w:tcPr>
          <w:p w14:paraId="6DEF577D" w14:textId="77777777" w:rsidR="0025243E" w:rsidRPr="00ED172B" w:rsidRDefault="00860830" w:rsidP="00186420">
            <w:pPr>
              <w:jc w:val="center"/>
              <w:rPr>
                <w:color w:val="000000" w:themeColor="text1"/>
                <w:szCs w:val="16"/>
              </w:rPr>
            </w:pPr>
            <w:r w:rsidRPr="00ED172B">
              <w:rPr>
                <w:rFonts w:cs="Arial"/>
                <w:color w:val="000000" w:themeColor="text1"/>
                <w:szCs w:val="16"/>
              </w:rPr>
              <w:t>40.14%</w:t>
            </w:r>
          </w:p>
        </w:tc>
      </w:tr>
      <w:tr w:rsidR="00ED172B" w:rsidRPr="00ED172B" w14:paraId="570FB057" w14:textId="77777777" w:rsidTr="00986B99">
        <w:trPr>
          <w:trHeight w:val="361"/>
        </w:trPr>
        <w:tc>
          <w:tcPr>
            <w:tcW w:w="3349" w:type="pct"/>
            <w:vAlign w:val="center"/>
          </w:tcPr>
          <w:p w14:paraId="13DF2CE6" w14:textId="77777777" w:rsidR="0025243E" w:rsidRPr="00ED172B" w:rsidRDefault="0025243E" w:rsidP="0025243E">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vAlign w:val="center"/>
          </w:tcPr>
          <w:p w14:paraId="73CA26F4"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712</w:t>
            </w:r>
          </w:p>
        </w:tc>
        <w:tc>
          <w:tcPr>
            <w:tcW w:w="825" w:type="pct"/>
            <w:vAlign w:val="center"/>
          </w:tcPr>
          <w:p w14:paraId="2D454FB5"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24.72%</w:t>
            </w:r>
          </w:p>
        </w:tc>
      </w:tr>
      <w:tr w:rsidR="00ED172B" w:rsidRPr="00ED172B" w14:paraId="6CFB6F3D" w14:textId="77777777" w:rsidTr="00986B99">
        <w:trPr>
          <w:trHeight w:val="361"/>
        </w:trPr>
        <w:tc>
          <w:tcPr>
            <w:tcW w:w="3349" w:type="pct"/>
            <w:vAlign w:val="center"/>
          </w:tcPr>
          <w:p w14:paraId="0FECCE6D" w14:textId="77777777" w:rsidR="0025243E" w:rsidRPr="00ED172B" w:rsidRDefault="0025243E" w:rsidP="0025243E">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vAlign w:val="center"/>
          </w:tcPr>
          <w:p w14:paraId="0AB7F6C1"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284</w:t>
            </w:r>
          </w:p>
        </w:tc>
        <w:tc>
          <w:tcPr>
            <w:tcW w:w="825" w:type="pct"/>
            <w:vAlign w:val="center"/>
          </w:tcPr>
          <w:p w14:paraId="4E8204B5"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9.86%</w:t>
            </w:r>
          </w:p>
        </w:tc>
      </w:tr>
    </w:tbl>
    <w:p w14:paraId="04E76F0D"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6"/>
      </w:tblPr>
      <w:tblGrid>
        <w:gridCol w:w="2425"/>
        <w:gridCol w:w="1170"/>
        <w:gridCol w:w="1260"/>
        <w:gridCol w:w="1350"/>
        <w:gridCol w:w="1350"/>
        <w:gridCol w:w="1260"/>
        <w:gridCol w:w="990"/>
        <w:gridCol w:w="985"/>
      </w:tblGrid>
      <w:tr w:rsidR="00ED172B" w:rsidRPr="00ED172B" w14:paraId="51770C2F" w14:textId="77777777" w:rsidTr="00986B99">
        <w:trPr>
          <w:tblHeader/>
        </w:trPr>
        <w:tc>
          <w:tcPr>
            <w:tcW w:w="2425" w:type="dxa"/>
            <w:vAlign w:val="bottom"/>
          </w:tcPr>
          <w:p w14:paraId="3D9BEAD0" w14:textId="77777777" w:rsidR="00037032" w:rsidRPr="00A40EE1" w:rsidRDefault="008320B5" w:rsidP="00B83404">
            <w:pPr>
              <w:rPr>
                <w:b/>
                <w:bCs/>
                <w:color w:val="000000" w:themeColor="text1"/>
              </w:rPr>
            </w:pPr>
            <w:r>
              <w:rPr>
                <w:b/>
                <w:bCs/>
                <w:color w:val="000000" w:themeColor="text1"/>
              </w:rPr>
              <w:t>Outcome C</w:t>
            </w:r>
          </w:p>
        </w:tc>
        <w:tc>
          <w:tcPr>
            <w:tcW w:w="1170" w:type="dxa"/>
            <w:vAlign w:val="bottom"/>
          </w:tcPr>
          <w:p w14:paraId="218C0408"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Numerator</w:t>
            </w:r>
          </w:p>
        </w:tc>
        <w:tc>
          <w:tcPr>
            <w:tcW w:w="1260" w:type="dxa"/>
            <w:vAlign w:val="bottom"/>
          </w:tcPr>
          <w:p w14:paraId="138371EA"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Denominator</w:t>
            </w:r>
          </w:p>
        </w:tc>
        <w:tc>
          <w:tcPr>
            <w:tcW w:w="1350" w:type="dxa"/>
            <w:vAlign w:val="bottom"/>
          </w:tcPr>
          <w:p w14:paraId="34B5CAAB" w14:textId="77777777" w:rsidR="00037032" w:rsidRPr="00ED172B" w:rsidRDefault="00CD74B5" w:rsidP="00037032">
            <w:pPr>
              <w:keepNext/>
              <w:jc w:val="center"/>
              <w:rPr>
                <w:rFonts w:cs="Arial"/>
                <w:b/>
                <w:color w:val="000000" w:themeColor="text1"/>
                <w:szCs w:val="16"/>
              </w:rPr>
            </w:pPr>
            <w:r>
              <w:rPr>
                <w:rFonts w:cs="Arial"/>
                <w:b/>
                <w:color w:val="000000" w:themeColor="text1"/>
                <w:szCs w:val="16"/>
              </w:rPr>
              <w:t>FFY 2023 Data</w:t>
            </w:r>
          </w:p>
        </w:tc>
        <w:tc>
          <w:tcPr>
            <w:tcW w:w="1350" w:type="dxa"/>
            <w:vAlign w:val="bottom"/>
          </w:tcPr>
          <w:p w14:paraId="3D2CBF7D" w14:textId="77777777" w:rsidR="00037032" w:rsidRPr="00ED172B" w:rsidRDefault="00F22D09" w:rsidP="00037032">
            <w:pPr>
              <w:keepNext/>
              <w:jc w:val="center"/>
              <w:rPr>
                <w:rFonts w:cs="Arial"/>
                <w:b/>
                <w:color w:val="000000" w:themeColor="text1"/>
                <w:szCs w:val="16"/>
              </w:rPr>
            </w:pPr>
            <w:r>
              <w:rPr>
                <w:rFonts w:cs="Arial"/>
                <w:b/>
                <w:color w:val="000000" w:themeColor="text1"/>
                <w:szCs w:val="16"/>
              </w:rPr>
              <w:t>FFY 2024 Target</w:t>
            </w:r>
          </w:p>
        </w:tc>
        <w:tc>
          <w:tcPr>
            <w:tcW w:w="1260" w:type="dxa"/>
            <w:vAlign w:val="bottom"/>
          </w:tcPr>
          <w:p w14:paraId="78BAEF2E" w14:textId="77777777" w:rsidR="00037032" w:rsidRPr="00ED172B" w:rsidRDefault="00F22D09" w:rsidP="00037032">
            <w:pPr>
              <w:keepNext/>
              <w:jc w:val="center"/>
              <w:rPr>
                <w:rFonts w:cs="Arial"/>
                <w:b/>
                <w:color w:val="000000" w:themeColor="text1"/>
                <w:szCs w:val="16"/>
              </w:rPr>
            </w:pPr>
            <w:r>
              <w:rPr>
                <w:rFonts w:cs="Arial"/>
                <w:b/>
                <w:color w:val="000000" w:themeColor="text1"/>
                <w:szCs w:val="16"/>
              </w:rPr>
              <w:t>FFY 2024 Data</w:t>
            </w:r>
          </w:p>
        </w:tc>
        <w:tc>
          <w:tcPr>
            <w:tcW w:w="990" w:type="dxa"/>
            <w:vAlign w:val="bottom"/>
          </w:tcPr>
          <w:p w14:paraId="3676B092"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Status</w:t>
            </w:r>
          </w:p>
        </w:tc>
        <w:tc>
          <w:tcPr>
            <w:tcW w:w="985" w:type="dxa"/>
            <w:vAlign w:val="bottom"/>
          </w:tcPr>
          <w:p w14:paraId="0260AA6F"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7DAD3D79" w14:textId="77777777" w:rsidTr="00986B99">
        <w:tc>
          <w:tcPr>
            <w:tcW w:w="2425" w:type="dxa"/>
          </w:tcPr>
          <w:p w14:paraId="5F1B5931" w14:textId="77777777" w:rsidR="008320B5" w:rsidRPr="00ED172B" w:rsidRDefault="0025243E" w:rsidP="0025243E">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1170" w:type="dxa"/>
            <w:vAlign w:val="center"/>
          </w:tcPr>
          <w:p w14:paraId="37398FC8"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1,868</w:t>
            </w:r>
          </w:p>
        </w:tc>
        <w:tc>
          <w:tcPr>
            <w:tcW w:w="1260" w:type="dxa"/>
            <w:vAlign w:val="center"/>
          </w:tcPr>
          <w:p w14:paraId="364DC379"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2,596</w:t>
            </w:r>
          </w:p>
        </w:tc>
        <w:tc>
          <w:tcPr>
            <w:tcW w:w="1350" w:type="dxa"/>
            <w:vAlign w:val="center"/>
          </w:tcPr>
          <w:p w14:paraId="6050CE4C"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71.74%</w:t>
            </w:r>
          </w:p>
        </w:tc>
        <w:tc>
          <w:tcPr>
            <w:tcW w:w="1350" w:type="dxa"/>
            <w:vAlign w:val="center"/>
          </w:tcPr>
          <w:p w14:paraId="1707358B" w14:textId="77777777" w:rsidR="0025243E" w:rsidRPr="00ED172B" w:rsidRDefault="005C14C2" w:rsidP="00027F39">
            <w:pPr>
              <w:jc w:val="center"/>
              <w:rPr>
                <w:color w:val="000000" w:themeColor="text1"/>
              </w:rPr>
            </w:pPr>
            <w:r w:rsidRPr="00ED172B">
              <w:rPr>
                <w:color w:val="000000" w:themeColor="text1"/>
              </w:rPr>
              <w:t>78.60%</w:t>
            </w:r>
          </w:p>
        </w:tc>
        <w:tc>
          <w:tcPr>
            <w:tcW w:w="1260" w:type="dxa"/>
            <w:vAlign w:val="center"/>
          </w:tcPr>
          <w:p w14:paraId="0A9DD99C"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71.96%</w:t>
            </w:r>
          </w:p>
        </w:tc>
        <w:tc>
          <w:tcPr>
            <w:tcW w:w="990" w:type="dxa"/>
            <w:vAlign w:val="center"/>
          </w:tcPr>
          <w:p w14:paraId="64B1ED6B"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vAlign w:val="center"/>
          </w:tcPr>
          <w:p w14:paraId="18EE011C"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No Slippage</w:t>
            </w:r>
          </w:p>
        </w:tc>
      </w:tr>
      <w:tr w:rsidR="00ED172B" w:rsidRPr="00ED172B" w14:paraId="56D59FE0" w14:textId="77777777" w:rsidTr="00986B99">
        <w:tc>
          <w:tcPr>
            <w:tcW w:w="2425" w:type="dxa"/>
          </w:tcPr>
          <w:p w14:paraId="7A1C54E6" w14:textId="77777777" w:rsidR="008320B5" w:rsidRPr="00ED172B" w:rsidRDefault="0025243E" w:rsidP="0025243E">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1170" w:type="dxa"/>
            <w:vAlign w:val="center"/>
          </w:tcPr>
          <w:p w14:paraId="2BF1E4D5"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996</w:t>
            </w:r>
          </w:p>
        </w:tc>
        <w:tc>
          <w:tcPr>
            <w:tcW w:w="1260" w:type="dxa"/>
            <w:vAlign w:val="center"/>
          </w:tcPr>
          <w:p w14:paraId="79E47ACB"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2,880</w:t>
            </w:r>
          </w:p>
        </w:tc>
        <w:tc>
          <w:tcPr>
            <w:tcW w:w="1350" w:type="dxa"/>
            <w:vAlign w:val="center"/>
          </w:tcPr>
          <w:p w14:paraId="4D47BF85"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33.32%</w:t>
            </w:r>
          </w:p>
        </w:tc>
        <w:tc>
          <w:tcPr>
            <w:tcW w:w="1350" w:type="dxa"/>
            <w:vAlign w:val="center"/>
          </w:tcPr>
          <w:p w14:paraId="548B423B" w14:textId="77777777" w:rsidR="0025243E" w:rsidRPr="00ED172B" w:rsidRDefault="005C14C2" w:rsidP="005C14C2">
            <w:pPr>
              <w:jc w:val="center"/>
              <w:rPr>
                <w:color w:val="000000" w:themeColor="text1"/>
              </w:rPr>
            </w:pPr>
            <w:r w:rsidRPr="00ED172B">
              <w:rPr>
                <w:color w:val="000000" w:themeColor="text1"/>
              </w:rPr>
              <w:t>41.40%</w:t>
            </w:r>
          </w:p>
        </w:tc>
        <w:tc>
          <w:tcPr>
            <w:tcW w:w="1260" w:type="dxa"/>
            <w:vAlign w:val="center"/>
          </w:tcPr>
          <w:p w14:paraId="7D78C75E"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34.58%</w:t>
            </w:r>
          </w:p>
        </w:tc>
        <w:tc>
          <w:tcPr>
            <w:tcW w:w="990" w:type="dxa"/>
            <w:vAlign w:val="center"/>
          </w:tcPr>
          <w:p w14:paraId="1D855D9B"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vAlign w:val="center"/>
          </w:tcPr>
          <w:p w14:paraId="2064D1E9"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No Slippage</w:t>
            </w:r>
          </w:p>
        </w:tc>
      </w:tr>
    </w:tbl>
    <w:p w14:paraId="5C63321C" w14:textId="77777777" w:rsidR="000E5D05" w:rsidRPr="00ED172B" w:rsidRDefault="000E5D05" w:rsidP="00986B99">
      <w:pPr>
        <w:rPr>
          <w:rFonts w:cs="Arial"/>
          <w:color w:val="000000" w:themeColor="text1"/>
          <w:szCs w:val="16"/>
        </w:rPr>
      </w:pPr>
    </w:p>
    <w:p w14:paraId="64863EED" w14:textId="77777777" w:rsidR="000E5D05" w:rsidRPr="000E5D05" w:rsidRDefault="000E5D05" w:rsidP="000E5D05">
      <w:pPr>
        <w:rPr>
          <w:b/>
          <w:color w:val="000000" w:themeColor="text1"/>
        </w:rPr>
      </w:pPr>
      <w:r w:rsidRPr="000E5D05" w:rsidDel="00F32724">
        <w:rPr>
          <w:b/>
          <w:color w:val="000000" w:themeColor="text1"/>
        </w:rPr>
        <w:t>FFY 2024 SPP/APR Data</w:t>
      </w:r>
    </w:p>
    <w:p w14:paraId="0D28F360" w14:textId="77777777" w:rsidR="000E5D05" w:rsidRPr="000E5D05" w:rsidRDefault="000E5D05" w:rsidP="000E5D05">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9175"/>
        <w:gridCol w:w="1615"/>
      </w:tblGrid>
      <w:tr w:rsidR="000E5D05" w:rsidRPr="000E5D05" w14:paraId="5045B922" w14:textId="77777777">
        <w:trPr>
          <w:tblHeader/>
        </w:trPr>
        <w:tc>
          <w:tcPr>
            <w:tcW w:w="9175" w:type="dxa"/>
          </w:tcPr>
          <w:p w14:paraId="770D6537" w14:textId="77777777" w:rsidR="000E5D05" w:rsidRPr="000E5D05" w:rsidRDefault="000E5D05">
            <w:pPr>
              <w:rPr>
                <w:rFonts w:cs="Arial"/>
                <w:b/>
                <w:bCs/>
                <w:color w:val="000000" w:themeColor="text1"/>
                <w:szCs w:val="16"/>
              </w:rPr>
            </w:pPr>
            <w:r w:rsidRPr="000E5D05">
              <w:rPr>
                <w:rFonts w:cs="Arial"/>
                <w:b/>
                <w:bCs/>
                <w:color w:val="000000" w:themeColor="text1"/>
                <w:szCs w:val="16"/>
              </w:rPr>
              <w:t>Question</w:t>
            </w:r>
          </w:p>
        </w:tc>
        <w:tc>
          <w:tcPr>
            <w:tcW w:w="1615" w:type="dxa"/>
          </w:tcPr>
          <w:p w14:paraId="57F0E9C9" w14:textId="77777777" w:rsidR="000E5D05" w:rsidRPr="000E5D05" w:rsidRDefault="000E5D05">
            <w:pPr>
              <w:jc w:val="center"/>
              <w:rPr>
                <w:rFonts w:cs="Arial"/>
                <w:b/>
                <w:bCs/>
                <w:color w:val="000000" w:themeColor="text1"/>
                <w:szCs w:val="16"/>
              </w:rPr>
            </w:pPr>
            <w:r w:rsidRPr="000E5D05">
              <w:rPr>
                <w:rFonts w:cs="Arial"/>
                <w:b/>
                <w:bCs/>
                <w:color w:val="000000" w:themeColor="text1"/>
                <w:szCs w:val="16"/>
              </w:rPr>
              <w:t>Number</w:t>
            </w:r>
          </w:p>
        </w:tc>
      </w:tr>
      <w:tr w:rsidR="000E5D05" w:rsidRPr="000E5D05" w14:paraId="67B33AB4" w14:textId="77777777">
        <w:tc>
          <w:tcPr>
            <w:tcW w:w="9175" w:type="dxa"/>
          </w:tcPr>
          <w:p w14:paraId="1DDC2386" w14:textId="77777777" w:rsidR="000E5D05" w:rsidRPr="000E5D05" w:rsidRDefault="000E5D05">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tcPr>
          <w:p w14:paraId="214B7AD0" w14:textId="77777777" w:rsidR="000E5D05" w:rsidRPr="000E5D05" w:rsidRDefault="000E5D05">
            <w:pPr>
              <w:jc w:val="center"/>
              <w:rPr>
                <w:rFonts w:cs="Arial"/>
                <w:color w:val="000000" w:themeColor="text1"/>
                <w:szCs w:val="16"/>
              </w:rPr>
            </w:pPr>
            <w:r w:rsidRPr="000E5D05">
              <w:rPr>
                <w:rFonts w:cs="Arial"/>
                <w:color w:val="000000" w:themeColor="text1"/>
                <w:szCs w:val="16"/>
              </w:rPr>
              <w:t>3,771</w:t>
            </w:r>
          </w:p>
        </w:tc>
      </w:tr>
      <w:tr w:rsidR="000E5D05" w:rsidRPr="000E5D05" w14:paraId="67AF6AF3" w14:textId="77777777">
        <w:tc>
          <w:tcPr>
            <w:tcW w:w="9175" w:type="dxa"/>
          </w:tcPr>
          <w:p w14:paraId="61DFED9F" w14:textId="77777777" w:rsidR="000E5D05" w:rsidRPr="000E5D05" w:rsidRDefault="000E5D05">
            <w:pPr>
              <w:rPr>
                <w:rFonts w:cs="Arial"/>
                <w:color w:val="000000" w:themeColor="text1"/>
                <w:szCs w:val="16"/>
              </w:rPr>
            </w:pPr>
            <w:r w:rsidRPr="000E5D05">
              <w:rPr>
                <w:rFonts w:cs="Arial"/>
                <w:color w:val="000000" w:themeColor="text1"/>
                <w:szCs w:val="16"/>
              </w:rPr>
              <w:t xml:space="preserve">The number of </w:t>
            </w:r>
            <w:proofErr w:type="gramStart"/>
            <w:r w:rsidRPr="000E5D05">
              <w:rPr>
                <w:rFonts w:cs="Arial"/>
                <w:color w:val="000000" w:themeColor="text1"/>
                <w:szCs w:val="16"/>
              </w:rPr>
              <w:t>those infants</w:t>
            </w:r>
            <w:proofErr w:type="gramEnd"/>
            <w:r w:rsidRPr="000E5D05">
              <w:rPr>
                <w:rFonts w:cs="Arial"/>
                <w:color w:val="000000" w:themeColor="text1"/>
                <w:szCs w:val="16"/>
              </w:rPr>
              <w:t xml:space="preserve"> and toddlers who did not receive early intervention services for at least six months before exiting the Part C program.</w:t>
            </w:r>
          </w:p>
        </w:tc>
        <w:tc>
          <w:tcPr>
            <w:tcW w:w="1615" w:type="dxa"/>
          </w:tcPr>
          <w:p w14:paraId="66ABCB9E" w14:textId="77777777" w:rsidR="000E5D05" w:rsidRPr="000E5D05" w:rsidRDefault="000E5D05">
            <w:pPr>
              <w:jc w:val="center"/>
              <w:rPr>
                <w:rFonts w:cs="Arial"/>
                <w:color w:val="000000" w:themeColor="text1"/>
                <w:szCs w:val="16"/>
              </w:rPr>
            </w:pPr>
            <w:r w:rsidRPr="000E5D05">
              <w:rPr>
                <w:rFonts w:cs="Arial"/>
                <w:color w:val="000000" w:themeColor="text1"/>
                <w:szCs w:val="16"/>
              </w:rPr>
              <w:t>1,134</w:t>
            </w:r>
          </w:p>
        </w:tc>
      </w:tr>
      <w:tr w:rsidR="000E5D05" w:rsidRPr="00ED172B" w14:paraId="5BD1C625" w14:textId="77777777">
        <w:tc>
          <w:tcPr>
            <w:tcW w:w="9175" w:type="dxa"/>
          </w:tcPr>
          <w:p w14:paraId="4FA6E476" w14:textId="77777777" w:rsidR="000E5D05" w:rsidRPr="000E5D05" w:rsidRDefault="000E5D05">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14:paraId="50976A31" w14:textId="77777777" w:rsidR="000E5D05" w:rsidRPr="006B424E" w:rsidRDefault="000E5D05">
            <w:pPr>
              <w:rPr>
                <w:b/>
                <w:color w:val="000000" w:themeColor="text1"/>
              </w:rPr>
            </w:pPr>
            <w:r w:rsidRPr="000E5D05">
              <w:rPr>
                <w:color w:val="000000" w:themeColor="text1"/>
              </w:rPr>
              <w:t>2,880</w:t>
            </w:r>
          </w:p>
        </w:tc>
      </w:tr>
    </w:tbl>
    <w:p w14:paraId="19AB6C4F" w14:textId="77777777"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017EBFBC" w14:textId="77777777" w:rsidTr="00A40EE1">
        <w:trPr>
          <w:tblHeader/>
        </w:trPr>
        <w:tc>
          <w:tcPr>
            <w:tcW w:w="3851" w:type="pct"/>
            <w:tcBorders>
              <w:top w:val="single" w:sz="4" w:space="0" w:color="auto"/>
              <w:left w:val="single" w:sz="4" w:space="0" w:color="auto"/>
            </w:tcBorders>
          </w:tcPr>
          <w:p w14:paraId="6066D7A2" w14:textId="77777777"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646B3FE2"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1AB36968" w14:textId="77777777" w:rsidTr="000D7858">
        <w:tc>
          <w:tcPr>
            <w:tcW w:w="3851" w:type="pct"/>
          </w:tcPr>
          <w:p w14:paraId="768E41B8"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4A7C396A" w14:textId="77777777" w:rsidR="00F20E73" w:rsidRPr="00ED172B" w:rsidRDefault="00860830" w:rsidP="004050E0">
            <w:pPr>
              <w:rPr>
                <w:rFonts w:cs="Arial"/>
                <w:color w:val="000000" w:themeColor="text1"/>
                <w:szCs w:val="16"/>
              </w:rPr>
            </w:pPr>
            <w:r w:rsidRPr="00ED172B">
              <w:rPr>
                <w:rFonts w:cs="Arial"/>
                <w:color w:val="000000" w:themeColor="text1"/>
                <w:szCs w:val="16"/>
              </w:rPr>
              <w:t>NO</w:t>
            </w:r>
          </w:p>
        </w:tc>
      </w:tr>
    </w:tbl>
    <w:p w14:paraId="6FDF82B6" w14:textId="77777777"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14:paraId="6CA66857" w14:textId="77777777" w:rsidR="002451A6" w:rsidRDefault="005C14C2" w:rsidP="005C14C2">
      <w:pPr>
        <w:rPr>
          <w:color w:val="000000" w:themeColor="text1"/>
        </w:rPr>
      </w:pPr>
      <w:r w:rsidRPr="00ED172B">
        <w:rPr>
          <w:color w:val="000000" w:themeColor="text1"/>
        </w:rPr>
        <w:t>NO</w:t>
      </w:r>
    </w:p>
    <w:p w14:paraId="46FDC4EC" w14:textId="77777777" w:rsidR="00F20E73" w:rsidRPr="00ED172B" w:rsidRDefault="00F20E73" w:rsidP="00F20E73">
      <w:pPr>
        <w:rPr>
          <w:rFonts w:cs="Arial"/>
          <w:b/>
          <w:color w:val="000000" w:themeColor="text1"/>
          <w:szCs w:val="16"/>
        </w:rPr>
      </w:pPr>
      <w:r w:rsidRPr="00ED172B">
        <w:rPr>
          <w:b/>
          <w:color w:val="000000" w:themeColor="text1"/>
        </w:rPr>
        <w:t>Provide the criteria for defining “comparable to same-aged peers.”</w:t>
      </w:r>
    </w:p>
    <w:p w14:paraId="10785A31" w14:textId="77777777" w:rsidR="00F20E73" w:rsidRDefault="00860830" w:rsidP="00F20E73">
      <w:pPr>
        <w:rPr>
          <w:rFonts w:cs="Arial"/>
          <w:color w:val="000000" w:themeColor="text1"/>
          <w:szCs w:val="16"/>
        </w:rPr>
      </w:pPr>
      <w:r w:rsidRPr="00ED172B">
        <w:rPr>
          <w:rFonts w:cs="Arial"/>
          <w:color w:val="000000" w:themeColor="text1"/>
          <w:szCs w:val="16"/>
        </w:rPr>
        <w:t>Beginning in 2008 for all children qualifying for early childhood special education services, all State EI/ECSE programs are required to enter the child Assessment, Evaluation, and Programming System (AEPS) data into the Early Childhood Web (</w:t>
      </w:r>
      <w:proofErr w:type="spellStart"/>
      <w:r w:rsidRPr="00ED172B">
        <w:rPr>
          <w:rFonts w:cs="Arial"/>
          <w:color w:val="000000" w:themeColor="text1"/>
          <w:szCs w:val="16"/>
        </w:rPr>
        <w:t>ecWeb</w:t>
      </w:r>
      <w:proofErr w:type="spellEnd"/>
      <w:r w:rsidRPr="00ED172B">
        <w:rPr>
          <w:rFonts w:cs="Arial"/>
          <w:color w:val="000000" w:themeColor="text1"/>
          <w:szCs w:val="16"/>
        </w:rPr>
        <w:t xml:space="preserve">) system, starting with all children qualifying for early childhood special education services in May of 2008. </w:t>
      </w:r>
    </w:p>
    <w:p w14:paraId="7428D613" w14:textId="77777777" w:rsidR="000575B2" w:rsidRDefault="00D6492D">
      <w:r>
        <w:rPr>
          <w:color w:val="000000"/>
        </w:rPr>
        <w:t xml:space="preserve"> </w:t>
      </w:r>
    </w:p>
    <w:p w14:paraId="5DA993A8" w14:textId="77777777" w:rsidR="000575B2" w:rsidRDefault="00D6492D">
      <w:r>
        <w:rPr>
          <w:color w:val="000000"/>
        </w:rPr>
        <w:t xml:space="preserve">Criteria for defining “comparable to same-aged peers": </w:t>
      </w:r>
    </w:p>
    <w:p w14:paraId="4D927E81" w14:textId="77777777" w:rsidR="000575B2" w:rsidRDefault="00D6492D">
      <w:r>
        <w:rPr>
          <w:color w:val="000000"/>
        </w:rPr>
        <w:t xml:space="preserve">In 2015, using a national AEPS data set from typically developing children, a review team considered 90%, 85%, and 80% percentile cut </w:t>
      </w:r>
      <w:proofErr w:type="gramStart"/>
      <w:r>
        <w:rPr>
          <w:color w:val="000000"/>
        </w:rPr>
        <w:t>offs</w:t>
      </w:r>
      <w:proofErr w:type="gramEnd"/>
      <w:r>
        <w:rPr>
          <w:color w:val="000000"/>
        </w:rPr>
        <w:t xml:space="preserve"> against the national data results to decide the cut off level that best reflected the State’s children in ECSE programs. The review team, State staff, EI/ECSE Contractors and EI/ECSE stakeholder groups were all asked to analyze the percentile cut offs and determine the </w:t>
      </w:r>
      <w:proofErr w:type="gramStart"/>
      <w:r>
        <w:rPr>
          <w:color w:val="000000"/>
        </w:rPr>
        <w:t>cut off</w:t>
      </w:r>
      <w:proofErr w:type="gramEnd"/>
      <w:r>
        <w:rPr>
          <w:color w:val="000000"/>
        </w:rPr>
        <w:t xml:space="preserve"> level that the State should use for reporting to the ECSE child outcomes. The consensus was to use the 80% cut off level. This most closely represents the children who are eligible for Early Childhood Special Education programs and receive services in Oregon. </w:t>
      </w:r>
    </w:p>
    <w:p w14:paraId="080BF8FA" w14:textId="77777777" w:rsidR="000575B2" w:rsidRDefault="00D6492D">
      <w:r>
        <w:rPr>
          <w:color w:val="000000"/>
        </w:rPr>
        <w:t xml:space="preserve"> </w:t>
      </w:r>
    </w:p>
    <w:p w14:paraId="4E5B47B1" w14:textId="77777777" w:rsidR="000575B2" w:rsidRDefault="00D6492D">
      <w:r>
        <w:rPr>
          <w:color w:val="000000"/>
        </w:rPr>
        <w:t xml:space="preserve">Child progress is measured using the following rubric: </w:t>
      </w:r>
    </w:p>
    <w:p w14:paraId="1EDA25F9" w14:textId="77777777" w:rsidR="000575B2" w:rsidRDefault="00D6492D">
      <w:r>
        <w:rPr>
          <w:color w:val="000000"/>
        </w:rPr>
        <w:t xml:space="preserve">If a child enters service with a score below the normal range and stays the same or regresses at the next test administration, the child is categorized as: (a) does not improve functioning. If the child makes progress and the ratio of how far below the normal level of development increases between test administrations, the child is categorized as: (b) improved functioning but not sufficient to move nearer to functioning comparable to same-aged peers. If </w:t>
      </w:r>
      <w:r>
        <w:rPr>
          <w:color w:val="000000"/>
        </w:rPr>
        <w:lastRenderedPageBreak/>
        <w:t xml:space="preserve">the child makes progress but the ratio of how far below the normal level of development decreases between test administrations, the child is categorized as: (c) improved functioning to a level nearer to the functioning of same-aged peers but did not reach it. If a child enters services with a score below the normal range and increases to reach or exceed the normal range at the next test administration, the child is categorized as: (d) improved functioning sufficient to reach a level comparable to same-aged peers. If a child enters with a score at or above the normal range and maintains their score at or above the normal range at the next test administration, the child is categorized as: (e) </w:t>
      </w:r>
      <w:proofErr w:type="gramStart"/>
      <w:r>
        <w:rPr>
          <w:color w:val="000000"/>
        </w:rPr>
        <w:t>maintains</w:t>
      </w:r>
      <w:proofErr w:type="gramEnd"/>
      <w:r>
        <w:rPr>
          <w:color w:val="000000"/>
        </w:rPr>
        <w:t xml:space="preserve"> functioning at or above same age peers.</w:t>
      </w:r>
    </w:p>
    <w:p w14:paraId="31EF7EAD"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4BDB75AF" w14:textId="77777777" w:rsidR="00F20E73" w:rsidRPr="00ED172B" w:rsidRDefault="00860830" w:rsidP="00F20E73">
      <w:pPr>
        <w:rPr>
          <w:rFonts w:cs="Arial"/>
          <w:color w:val="000000" w:themeColor="text1"/>
          <w:szCs w:val="16"/>
        </w:rPr>
      </w:pPr>
      <w:r w:rsidRPr="00ED172B">
        <w:rPr>
          <w:rFonts w:cs="Arial"/>
          <w:color w:val="000000" w:themeColor="text1"/>
          <w:szCs w:val="16"/>
        </w:rPr>
        <w:t>As of 2008, all EI/ECSE programs in the State are required to enter individual child assessment results from the Assessment, Evaluation, and Programming System (AEPS) into the Early Childhood Web (</w:t>
      </w:r>
      <w:proofErr w:type="spellStart"/>
      <w:r w:rsidRPr="00ED172B">
        <w:rPr>
          <w:rFonts w:cs="Arial"/>
          <w:color w:val="000000" w:themeColor="text1"/>
          <w:szCs w:val="16"/>
        </w:rPr>
        <w:t>ecWeb</w:t>
      </w:r>
      <w:proofErr w:type="spellEnd"/>
      <w:r w:rsidRPr="00ED172B">
        <w:rPr>
          <w:rFonts w:cs="Arial"/>
          <w:color w:val="000000" w:themeColor="text1"/>
          <w:szCs w:val="16"/>
        </w:rPr>
        <w:t xml:space="preserve">). The aggregate results are utilized for reporting on this indicator. </w:t>
      </w:r>
    </w:p>
    <w:p w14:paraId="3D3E9550" w14:textId="77777777" w:rsidR="003A3693" w:rsidRPr="00ED172B" w:rsidRDefault="003A3693" w:rsidP="006935F4">
      <w:pPr>
        <w:rPr>
          <w:b/>
          <w:color w:val="000000" w:themeColor="text1"/>
        </w:rPr>
      </w:pPr>
      <w:bookmarkStart w:id="15" w:name="_Toc382082362"/>
      <w:bookmarkStart w:id="16" w:name="_Toc392159270"/>
      <w:r w:rsidRPr="00ED172B">
        <w:rPr>
          <w:b/>
          <w:color w:val="000000" w:themeColor="text1"/>
        </w:rPr>
        <w:t>Provide additional information about this indicator (optional).</w:t>
      </w:r>
    </w:p>
    <w:p w14:paraId="24F2F6A1" w14:textId="77777777" w:rsidR="003A3693" w:rsidRPr="00ED172B" w:rsidRDefault="003A3693" w:rsidP="003A3693">
      <w:pPr>
        <w:rPr>
          <w:rFonts w:cs="Arial"/>
          <w:color w:val="000000" w:themeColor="text1"/>
          <w:szCs w:val="16"/>
        </w:rPr>
      </w:pPr>
    </w:p>
    <w:p w14:paraId="17EC4CCB" w14:textId="77777777" w:rsidR="00DC0682" w:rsidRPr="00A40EE1" w:rsidRDefault="000D0117" w:rsidP="005C3FFD">
      <w:pPr>
        <w:pStyle w:val="Heading2"/>
      </w:pPr>
      <w:r w:rsidRPr="00A40EE1">
        <w:t xml:space="preserve">3 - </w:t>
      </w:r>
      <w:r w:rsidR="00DC0682" w:rsidRPr="00A40EE1">
        <w:t>Prior FFY Required Actions</w:t>
      </w:r>
    </w:p>
    <w:p w14:paraId="5F4AB41A" w14:textId="77777777" w:rsidR="004C1CEE" w:rsidRPr="00ED172B" w:rsidRDefault="00291EA9" w:rsidP="00291EA9">
      <w:pPr>
        <w:rPr>
          <w:color w:val="000000" w:themeColor="text1"/>
        </w:rPr>
      </w:pPr>
      <w:r w:rsidRPr="00ED172B">
        <w:rPr>
          <w:color w:val="000000" w:themeColor="text1"/>
        </w:rPr>
        <w:t>None</w:t>
      </w:r>
    </w:p>
    <w:p w14:paraId="4FEC37AA" w14:textId="77777777" w:rsidR="004C1CEE" w:rsidRPr="00ED172B" w:rsidRDefault="004C1CEE" w:rsidP="00DC0682">
      <w:pPr>
        <w:rPr>
          <w:rFonts w:cs="Arial"/>
          <w:color w:val="000000" w:themeColor="text1"/>
          <w:szCs w:val="16"/>
        </w:rPr>
      </w:pPr>
    </w:p>
    <w:p w14:paraId="34205604" w14:textId="77777777" w:rsidR="004C1CEE" w:rsidRPr="00ED172B" w:rsidRDefault="004C1CEE" w:rsidP="00DC0682">
      <w:pPr>
        <w:rPr>
          <w:rFonts w:cs="Arial"/>
          <w:color w:val="000000" w:themeColor="text1"/>
          <w:szCs w:val="16"/>
        </w:rPr>
      </w:pPr>
    </w:p>
    <w:p w14:paraId="5790A873" w14:textId="77777777" w:rsidR="00DC0682" w:rsidRPr="00A40EE1" w:rsidRDefault="000D0117" w:rsidP="005C3FFD">
      <w:pPr>
        <w:pStyle w:val="Heading2"/>
      </w:pPr>
      <w:r w:rsidRPr="00A40EE1">
        <w:t xml:space="preserve">3 - </w:t>
      </w:r>
      <w:r w:rsidR="00DC0682" w:rsidRPr="00A40EE1">
        <w:t>OSEP Response</w:t>
      </w:r>
    </w:p>
    <w:p w14:paraId="639B2B2D" w14:textId="77777777" w:rsidR="00DC0682" w:rsidRPr="00ED172B" w:rsidRDefault="00DC0682" w:rsidP="005C14C2">
      <w:pPr>
        <w:rPr>
          <w:color w:val="000000" w:themeColor="text1"/>
        </w:rPr>
      </w:pPr>
    </w:p>
    <w:p w14:paraId="52D450A9" w14:textId="77777777" w:rsidR="00DC0682" w:rsidRPr="00A40EE1" w:rsidRDefault="000D0117" w:rsidP="005C3FFD">
      <w:pPr>
        <w:pStyle w:val="Heading2"/>
      </w:pPr>
      <w:r w:rsidRPr="00A40EE1">
        <w:t xml:space="preserve">3 - </w:t>
      </w:r>
      <w:r w:rsidR="00DC0682" w:rsidRPr="00A40EE1">
        <w:t>Required Actions</w:t>
      </w:r>
    </w:p>
    <w:p w14:paraId="36275224" w14:textId="77777777" w:rsidR="00DC0682" w:rsidRPr="00ED172B" w:rsidRDefault="00DC0682" w:rsidP="005C14C2">
      <w:pPr>
        <w:rPr>
          <w:color w:val="000000" w:themeColor="text1"/>
        </w:rPr>
      </w:pPr>
    </w:p>
    <w:p w14:paraId="1D86F464"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5D5A547A" w14:textId="7777777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5"/>
      <w:bookmarkEnd w:id="16"/>
      <w:r w:rsidR="001F545F" w:rsidRPr="00ED172B">
        <w:rPr>
          <w:color w:val="000000" w:themeColor="text1"/>
        </w:rPr>
        <w:t>4: Family Involvement</w:t>
      </w:r>
    </w:p>
    <w:p w14:paraId="6D67B657" w14:textId="77777777" w:rsidR="000C5918" w:rsidRPr="00ED172B" w:rsidRDefault="000C5918" w:rsidP="00186420">
      <w:pPr>
        <w:rPr>
          <w:color w:val="000000" w:themeColor="text1"/>
          <w:szCs w:val="20"/>
        </w:rPr>
      </w:pPr>
      <w:bookmarkStart w:id="17" w:name="_Toc392159271"/>
      <w:r w:rsidRPr="00ED172B">
        <w:rPr>
          <w:b/>
          <w:color w:val="000000" w:themeColor="text1"/>
          <w:sz w:val="20"/>
          <w:szCs w:val="20"/>
        </w:rPr>
        <w:t>Instructions and Measurement</w:t>
      </w:r>
    </w:p>
    <w:p w14:paraId="3ECB28A2"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 xml:space="preserve">Early Intervention Services </w:t>
      </w:r>
      <w:proofErr w:type="gramStart"/>
      <w:r w:rsidRPr="00ED172B">
        <w:rPr>
          <w:color w:val="000000" w:themeColor="text1"/>
        </w:rPr>
        <w:t>In</w:t>
      </w:r>
      <w:proofErr w:type="gramEnd"/>
      <w:r w:rsidRPr="00ED172B">
        <w:rPr>
          <w:color w:val="000000" w:themeColor="text1"/>
        </w:rPr>
        <w:t xml:space="preserve"> Natural Environments</w:t>
      </w:r>
    </w:p>
    <w:p w14:paraId="12E2A09A"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families participating in Part </w:t>
      </w:r>
      <w:proofErr w:type="gramStart"/>
      <w:r w:rsidRPr="00ED172B">
        <w:rPr>
          <w:color w:val="000000" w:themeColor="text1"/>
          <w:szCs w:val="16"/>
        </w:rPr>
        <w:t>C who</w:t>
      </w:r>
      <w:proofErr w:type="gramEnd"/>
      <w:r w:rsidRPr="00ED172B">
        <w:rPr>
          <w:color w:val="000000" w:themeColor="text1"/>
          <w:szCs w:val="16"/>
        </w:rPr>
        <w:t xml:space="preserve"> report that early intervention services have helped the family:</w:t>
      </w:r>
    </w:p>
    <w:p w14:paraId="1B37EDF1" w14:textId="77777777" w:rsidR="001F545F" w:rsidRPr="00ED172B" w:rsidRDefault="007F55E8" w:rsidP="00ED172B">
      <w:pPr>
        <w:ind w:firstLine="360"/>
        <w:rPr>
          <w:color w:val="000000" w:themeColor="text1"/>
          <w:szCs w:val="16"/>
        </w:rPr>
      </w:pPr>
      <w:r w:rsidRPr="00ED172B">
        <w:rPr>
          <w:color w:val="000000" w:themeColor="text1"/>
          <w:szCs w:val="16"/>
        </w:rPr>
        <w:t>A. Know their rights;</w:t>
      </w:r>
    </w:p>
    <w:p w14:paraId="4BB000A8" w14:textId="77777777"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3A15F929" w14:textId="77777777"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78046259"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5B3DE2F9" w14:textId="77777777" w:rsidR="00A9742C" w:rsidRPr="00ED172B" w:rsidRDefault="00A9742C">
      <w:pPr>
        <w:rPr>
          <w:b/>
          <w:color w:val="000000" w:themeColor="text1"/>
        </w:rPr>
      </w:pPr>
      <w:bookmarkStart w:id="18" w:name="_Toc392159272"/>
      <w:bookmarkEnd w:id="17"/>
      <w:r w:rsidRPr="00ED172B">
        <w:rPr>
          <w:b/>
          <w:color w:val="000000" w:themeColor="text1"/>
        </w:rPr>
        <w:t>Data Source</w:t>
      </w:r>
    </w:p>
    <w:p w14:paraId="703940FF" w14:textId="77777777"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5F7F6EF8" w14:textId="77777777" w:rsidR="00A9742C" w:rsidRPr="00ED172B" w:rsidRDefault="00A9742C">
      <w:pPr>
        <w:rPr>
          <w:b/>
          <w:color w:val="000000" w:themeColor="text1"/>
        </w:rPr>
      </w:pPr>
      <w:r w:rsidRPr="00ED172B">
        <w:rPr>
          <w:b/>
          <w:color w:val="000000" w:themeColor="text1"/>
        </w:rPr>
        <w:t>Measurement</w:t>
      </w:r>
    </w:p>
    <w:p w14:paraId="36D11582" w14:textId="7777777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0E32E7E8" w14:textId="77777777" w:rsidR="00A9742C" w:rsidRPr="00ED172B" w:rsidRDefault="007F55E8" w:rsidP="00ED172B">
      <w:pPr>
        <w:ind w:left="360"/>
        <w:rPr>
          <w:color w:val="000000" w:themeColor="text1"/>
          <w:szCs w:val="16"/>
        </w:rPr>
      </w:pPr>
      <w:r w:rsidRPr="00ED172B">
        <w:rPr>
          <w:color w:val="000000" w:themeColor="text1"/>
          <w:szCs w:val="16"/>
        </w:rPr>
        <w:t xml:space="preserve">B. Percent = </w:t>
      </w:r>
      <w:proofErr w:type="gramStart"/>
      <w:r w:rsidRPr="00ED172B">
        <w:rPr>
          <w:color w:val="000000" w:themeColor="text1"/>
          <w:szCs w:val="16"/>
        </w:rPr>
        <w:t xml:space="preserve">[(# </w:t>
      </w:r>
      <w:proofErr w:type="gramEnd"/>
      <w:r w:rsidRPr="00ED172B">
        <w:rPr>
          <w:color w:val="000000" w:themeColor="text1"/>
          <w:szCs w:val="16"/>
        </w:rPr>
        <w:t xml:space="preserve">of respondent families participating in Part C who report that early intervention services have helped the family effectively communicate their children’s needs) divided by </w:t>
      </w:r>
      <w:proofErr w:type="gramStart"/>
      <w:r w:rsidRPr="00ED172B">
        <w:rPr>
          <w:color w:val="000000" w:themeColor="text1"/>
          <w:szCs w:val="16"/>
        </w:rPr>
        <w:t xml:space="preserve">the (# </w:t>
      </w:r>
      <w:proofErr w:type="gramEnd"/>
      <w:r w:rsidRPr="00ED172B">
        <w:rPr>
          <w:color w:val="000000" w:themeColor="text1"/>
          <w:szCs w:val="16"/>
        </w:rPr>
        <w:t>of respondent families participating in Part C)] times 100.</w:t>
      </w:r>
    </w:p>
    <w:p w14:paraId="51F7744A" w14:textId="77777777" w:rsidR="00A9742C" w:rsidRPr="00ED172B" w:rsidRDefault="007F55E8" w:rsidP="00ED172B">
      <w:pPr>
        <w:ind w:left="360"/>
        <w:rPr>
          <w:color w:val="000000" w:themeColor="text1"/>
          <w:szCs w:val="16"/>
        </w:rPr>
      </w:pPr>
      <w:r w:rsidRPr="00ED172B">
        <w:rPr>
          <w:color w:val="000000" w:themeColor="text1"/>
          <w:szCs w:val="16"/>
        </w:rPr>
        <w:t xml:space="preserve">C. Percent = </w:t>
      </w:r>
      <w:proofErr w:type="gramStart"/>
      <w:r w:rsidRPr="00ED172B">
        <w:rPr>
          <w:color w:val="000000" w:themeColor="text1"/>
          <w:szCs w:val="16"/>
        </w:rPr>
        <w:t xml:space="preserve">[(# </w:t>
      </w:r>
      <w:proofErr w:type="gramEnd"/>
      <w:r w:rsidRPr="00ED172B">
        <w:rPr>
          <w:color w:val="000000" w:themeColor="text1"/>
          <w:szCs w:val="16"/>
        </w:rPr>
        <w:t xml:space="preserve">of respondent families participating in Part C who report that early intervention services have helped the family help their children develop and learn) divided by </w:t>
      </w:r>
      <w:proofErr w:type="gramStart"/>
      <w:r w:rsidRPr="00ED172B">
        <w:rPr>
          <w:color w:val="000000" w:themeColor="text1"/>
          <w:szCs w:val="16"/>
        </w:rPr>
        <w:t xml:space="preserve">the (# </w:t>
      </w:r>
      <w:proofErr w:type="gramEnd"/>
      <w:r w:rsidRPr="00ED172B">
        <w:rPr>
          <w:color w:val="000000" w:themeColor="text1"/>
          <w:szCs w:val="16"/>
        </w:rPr>
        <w:t>of respondent families participating in Part C)] times 100.</w:t>
      </w:r>
    </w:p>
    <w:p w14:paraId="1D351FE3" w14:textId="77777777" w:rsidR="00A9742C" w:rsidRPr="00ED172B" w:rsidRDefault="00A9742C">
      <w:pPr>
        <w:rPr>
          <w:b/>
          <w:color w:val="000000" w:themeColor="text1"/>
        </w:rPr>
      </w:pPr>
      <w:r w:rsidRPr="00ED172B">
        <w:rPr>
          <w:b/>
          <w:color w:val="000000" w:themeColor="text1"/>
        </w:rPr>
        <w:t>Instructions</w:t>
      </w:r>
    </w:p>
    <w:p w14:paraId="1A151B9D"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36D108D6"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0C4CD96E"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7B3E02B6"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14FAF156"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7A093566" w14:textId="77777777" w:rsidR="00AD10DA" w:rsidRPr="003D3ED1" w:rsidRDefault="00AD10DA" w:rsidP="00AD10DA">
      <w:pPr>
        <w:pStyle w:val="Subhed"/>
        <w:rPr>
          <w:rFonts w:cstheme="minorBidi"/>
          <w:b w:val="0"/>
        </w:rPr>
      </w:pPr>
      <w:r w:rsidRPr="003D3ED1">
        <w:rPr>
          <w:rFonts w:cstheme="minorBidi"/>
          <w:b w:val="0"/>
        </w:rPr>
        <w:t xml:space="preserve">States will be required to </w:t>
      </w:r>
      <w:bookmarkStart w:id="19" w:name="_Hlk78829878"/>
      <w:r w:rsidRPr="003D3ED1">
        <w:rPr>
          <w:rFonts w:cstheme="minorBidi"/>
          <w:b w:val="0"/>
        </w:rPr>
        <w:t>compare the current year’s response rate to the previous year(s) response rate(s)</w:t>
      </w:r>
      <w:r w:rsidR="00BF0C35">
        <w:rPr>
          <w:rFonts w:cstheme="minorBidi"/>
          <w:b w:val="0"/>
        </w:rPr>
        <w:t xml:space="preserve"> </w:t>
      </w:r>
      <w:r w:rsidRPr="003D3ED1">
        <w:rPr>
          <w:rFonts w:cstheme="minorBidi"/>
          <w:b w:val="0"/>
        </w:rPr>
        <w:t xml:space="preserve">and describe strategies that will be implemented which are expected to increase the response rate year </w:t>
      </w:r>
      <w:proofErr w:type="gramStart"/>
      <w:r w:rsidRPr="003D3ED1">
        <w:rPr>
          <w:rFonts w:cstheme="minorBidi"/>
          <w:b w:val="0"/>
        </w:rPr>
        <w:t>over</w:t>
      </w:r>
      <w:proofErr w:type="gramEnd"/>
      <w:r w:rsidRPr="003D3ED1">
        <w:rPr>
          <w:rFonts w:cstheme="minorBidi"/>
          <w:b w:val="0"/>
        </w:rPr>
        <w:t xml:space="preserve"> year, particularly for those groups that are underrepresented</w:t>
      </w:r>
      <w:bookmarkEnd w:id="19"/>
      <w:r w:rsidRPr="003D3ED1">
        <w:rPr>
          <w:rFonts w:cstheme="minorBidi"/>
          <w:b w:val="0"/>
        </w:rPr>
        <w:t>.</w:t>
      </w:r>
    </w:p>
    <w:p w14:paraId="4E527CFF" w14:textId="77777777"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4D920EB0" w14:textId="77777777"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0" w:name="_Hlk80187466"/>
      <w:r w:rsidR="00D45F98" w:rsidRPr="003D3ED1">
        <w:t>infants or toddlers for whom</w:t>
      </w:r>
      <w:bookmarkEnd w:id="20"/>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1" w:name="_Hlk80187529"/>
      <w:r w:rsidR="00D45F98" w:rsidRPr="003D3ED1">
        <w:t>receiving services</w:t>
      </w:r>
      <w:bookmarkEnd w:id="21"/>
      <w:r w:rsidRPr="00ED172B">
        <w:rPr>
          <w:color w:val="000000" w:themeColor="text1"/>
          <w:szCs w:val="16"/>
        </w:rPr>
        <w:t xml:space="preserve"> in the Part C program. </w:t>
      </w:r>
      <w:r w:rsidR="00D57298">
        <w:t xml:space="preserve">States should consider categories such as race/ethnicity, age of </w:t>
      </w:r>
      <w:proofErr w:type="gramStart"/>
      <w:r w:rsidR="00D57298">
        <w:t>infant</w:t>
      </w:r>
      <w:proofErr w:type="gramEnd"/>
      <w:r w:rsidR="00D57298">
        <w:t xml:space="preserve"> or </w:t>
      </w:r>
      <w:proofErr w:type="gramStart"/>
      <w:r w:rsidR="00D57298">
        <w:t>toddler</w:t>
      </w:r>
      <w:proofErr w:type="gramEnd"/>
      <w:r w:rsidR="00D57298">
        <w:t xml:space="preserve">, and geographic location in the State. </w:t>
      </w:r>
    </w:p>
    <w:p w14:paraId="774A5DC9" w14:textId="77777777"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r w:rsidR="000550D9">
        <w:t>.</w:t>
      </w:r>
    </w:p>
    <w:p w14:paraId="7AFCDEC7" w14:textId="77777777"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2" w:name="_Hlk80196581"/>
      <w:r w:rsidR="00D57F7D" w:rsidRPr="003D3ED1">
        <w:t>infants or toddlers for whom</w:t>
      </w:r>
      <w:bookmarkEnd w:id="22"/>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51FB74C0" w14:textId="77777777" w:rsidR="00DB61F6" w:rsidRPr="00E6031E" w:rsidRDefault="00AB026B" w:rsidP="00DB61F6">
      <w:pPr>
        <w:pStyle w:val="Subhed"/>
        <w:rPr>
          <w:rFonts w:cstheme="minorBidi"/>
          <w:b w:val="0"/>
        </w:rPr>
      </w:pPr>
      <w:r>
        <w:rPr>
          <w:rFonts w:cstheme="minorBidi"/>
          <w:b w:val="0"/>
        </w:rPr>
        <w:t>When reporting the extent to which the demographics of the infants or toddlers for whom families responded are representative of the demographics of infants and toddlers enrolled in the Part C program, States must include race/ethnicity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36BAB85A" w14:textId="77777777"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18"/>
    <w:p w14:paraId="343F1CED" w14:textId="77777777" w:rsidR="00ED272C" w:rsidRPr="00A40EE1" w:rsidRDefault="000D0117" w:rsidP="005C3FFD">
      <w:pPr>
        <w:pStyle w:val="Heading2"/>
      </w:pPr>
      <w:r w:rsidRPr="00A40EE1">
        <w:t xml:space="preserve">4 - </w:t>
      </w:r>
      <w:r w:rsidR="004D140B" w:rsidRPr="00A40EE1">
        <w:t>Indicator Data</w:t>
      </w:r>
    </w:p>
    <w:p w14:paraId="74458DD5" w14:textId="77777777" w:rsidR="001F545F" w:rsidRPr="00ED172B" w:rsidRDefault="001F545F">
      <w:pPr>
        <w:rPr>
          <w:b/>
          <w:color w:val="000000" w:themeColor="text1"/>
        </w:rPr>
      </w:pPr>
      <w:bookmarkStart w:id="23"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73B9A189" w14:textId="77777777" w:rsidTr="00A40EE1">
        <w:trPr>
          <w:trHeight w:val="350"/>
        </w:trPr>
        <w:tc>
          <w:tcPr>
            <w:tcW w:w="415" w:type="pct"/>
            <w:tcBorders>
              <w:top w:val="single" w:sz="4" w:space="0" w:color="auto"/>
              <w:left w:val="single" w:sz="4" w:space="0" w:color="auto"/>
              <w:bottom w:val="single" w:sz="4" w:space="0" w:color="auto"/>
              <w:right w:val="single" w:sz="4" w:space="0" w:color="auto"/>
            </w:tcBorders>
            <w:vAlign w:val="bottom"/>
          </w:tcPr>
          <w:p w14:paraId="2B5F0723" w14:textId="77777777"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vAlign w:val="bottom"/>
          </w:tcPr>
          <w:p w14:paraId="77A18CC6" w14:textId="77777777"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vAlign w:val="bottom"/>
          </w:tcPr>
          <w:p w14:paraId="0BA27794" w14:textId="77777777"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vAlign w:val="center"/>
          </w:tcPr>
          <w:p w14:paraId="72D20EC0"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vAlign w:val="center"/>
          </w:tcPr>
          <w:p w14:paraId="7F8CDF78"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vAlign w:val="center"/>
          </w:tcPr>
          <w:p w14:paraId="5A660B62"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2021</w:t>
            </w:r>
          </w:p>
        </w:tc>
        <w:tc>
          <w:tcPr>
            <w:tcW w:w="776" w:type="pct"/>
            <w:tcBorders>
              <w:top w:val="single" w:sz="4" w:space="0" w:color="auto"/>
              <w:left w:val="single" w:sz="4" w:space="0" w:color="auto"/>
              <w:bottom w:val="single" w:sz="4" w:space="0" w:color="auto"/>
              <w:right w:val="single" w:sz="4" w:space="0" w:color="auto"/>
            </w:tcBorders>
            <w:vAlign w:val="center"/>
          </w:tcPr>
          <w:p w14:paraId="17CF9422"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2022</w:t>
            </w:r>
          </w:p>
        </w:tc>
        <w:tc>
          <w:tcPr>
            <w:tcW w:w="775" w:type="pct"/>
            <w:tcBorders>
              <w:top w:val="single" w:sz="4" w:space="0" w:color="auto"/>
              <w:left w:val="single" w:sz="4" w:space="0" w:color="auto"/>
              <w:bottom w:val="single" w:sz="4" w:space="0" w:color="auto"/>
              <w:right w:val="single" w:sz="4" w:space="0" w:color="auto"/>
            </w:tcBorders>
            <w:vAlign w:val="center"/>
          </w:tcPr>
          <w:p w14:paraId="1172948D" w14:textId="77777777" w:rsidR="00013004" w:rsidRPr="00ED172B" w:rsidRDefault="006D43D3" w:rsidP="00013004">
            <w:pPr>
              <w:jc w:val="center"/>
              <w:rPr>
                <w:rFonts w:cs="Arial"/>
                <w:b/>
                <w:color w:val="000000" w:themeColor="text1"/>
                <w:szCs w:val="16"/>
              </w:rPr>
            </w:pPr>
            <w:r w:rsidRPr="00ED172B">
              <w:rPr>
                <w:rFonts w:cs="Arial"/>
                <w:b/>
                <w:color w:val="000000" w:themeColor="text1"/>
                <w:szCs w:val="16"/>
              </w:rPr>
              <w:t>2023</w:t>
            </w:r>
          </w:p>
        </w:tc>
      </w:tr>
      <w:tr w:rsidR="00ED172B" w:rsidRPr="00ED172B" w14:paraId="6B75F1FD" w14:textId="77777777" w:rsidTr="00A40EE1">
        <w:trPr>
          <w:trHeight w:val="70"/>
        </w:trPr>
        <w:tc>
          <w:tcPr>
            <w:tcW w:w="415" w:type="pct"/>
            <w:tcBorders>
              <w:top w:val="single" w:sz="4" w:space="0" w:color="auto"/>
              <w:left w:val="single" w:sz="4" w:space="0" w:color="auto"/>
              <w:right w:val="single" w:sz="4" w:space="0" w:color="auto"/>
            </w:tcBorders>
            <w:vAlign w:val="center"/>
          </w:tcPr>
          <w:p w14:paraId="33770D71"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tcPr>
          <w:p w14:paraId="794B6783" w14:textId="77777777" w:rsidR="00013004" w:rsidRPr="00ED172B" w:rsidRDefault="00291EA9" w:rsidP="00ED172B">
            <w:pPr>
              <w:jc w:val="center"/>
              <w:rPr>
                <w:color w:val="000000" w:themeColor="text1"/>
              </w:rPr>
            </w:pPr>
            <w:r w:rsidRPr="00ED172B">
              <w:rPr>
                <w:color w:val="000000" w:themeColor="text1"/>
              </w:rPr>
              <w:t>2014</w:t>
            </w:r>
          </w:p>
        </w:tc>
        <w:tc>
          <w:tcPr>
            <w:tcW w:w="374" w:type="pct"/>
            <w:tcBorders>
              <w:top w:val="single" w:sz="4" w:space="0" w:color="auto"/>
              <w:left w:val="single" w:sz="4" w:space="0" w:color="auto"/>
              <w:bottom w:val="single" w:sz="4" w:space="0" w:color="auto"/>
              <w:right w:val="single" w:sz="4" w:space="0" w:color="auto"/>
            </w:tcBorders>
            <w:hideMark/>
          </w:tcPr>
          <w:p w14:paraId="5CCF0705"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0D4D4388"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vAlign w:val="center"/>
          </w:tcPr>
          <w:p w14:paraId="68245D6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89.52%</w:t>
            </w:r>
          </w:p>
        </w:tc>
        <w:tc>
          <w:tcPr>
            <w:tcW w:w="776" w:type="pct"/>
            <w:tcBorders>
              <w:top w:val="single" w:sz="4" w:space="0" w:color="auto"/>
              <w:left w:val="single" w:sz="4" w:space="0" w:color="auto"/>
              <w:bottom w:val="single" w:sz="4" w:space="0" w:color="auto"/>
              <w:right w:val="single" w:sz="4" w:space="0" w:color="auto"/>
            </w:tcBorders>
            <w:vAlign w:val="center"/>
          </w:tcPr>
          <w:p w14:paraId="5620C7B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89.92%</w:t>
            </w:r>
          </w:p>
        </w:tc>
        <w:tc>
          <w:tcPr>
            <w:tcW w:w="776" w:type="pct"/>
            <w:tcBorders>
              <w:top w:val="single" w:sz="4" w:space="0" w:color="auto"/>
              <w:left w:val="single" w:sz="4" w:space="0" w:color="auto"/>
              <w:bottom w:val="single" w:sz="4" w:space="0" w:color="auto"/>
              <w:right w:val="single" w:sz="4" w:space="0" w:color="auto"/>
            </w:tcBorders>
            <w:vAlign w:val="center"/>
          </w:tcPr>
          <w:p w14:paraId="429B466C"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90.31%</w:t>
            </w:r>
          </w:p>
        </w:tc>
        <w:tc>
          <w:tcPr>
            <w:tcW w:w="775" w:type="pct"/>
            <w:tcBorders>
              <w:top w:val="single" w:sz="4" w:space="0" w:color="auto"/>
              <w:left w:val="single" w:sz="4" w:space="0" w:color="auto"/>
              <w:bottom w:val="single" w:sz="4" w:space="0" w:color="auto"/>
              <w:right w:val="single" w:sz="4" w:space="0" w:color="auto"/>
            </w:tcBorders>
            <w:vAlign w:val="center"/>
          </w:tcPr>
          <w:p w14:paraId="59E96FE1"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90.71%</w:t>
            </w:r>
          </w:p>
        </w:tc>
      </w:tr>
      <w:tr w:rsidR="00ED172B" w:rsidRPr="00ED172B" w14:paraId="3B3A432D" w14:textId="77777777" w:rsidTr="00A40EE1">
        <w:trPr>
          <w:trHeight w:val="85"/>
        </w:trPr>
        <w:tc>
          <w:tcPr>
            <w:tcW w:w="415" w:type="pct"/>
            <w:tcBorders>
              <w:left w:val="single" w:sz="4" w:space="0" w:color="auto"/>
              <w:right w:val="single" w:sz="4" w:space="0" w:color="auto"/>
            </w:tcBorders>
            <w:vAlign w:val="center"/>
          </w:tcPr>
          <w:p w14:paraId="26D15C4A" w14:textId="77777777" w:rsidR="00013004" w:rsidRPr="00ED172B" w:rsidRDefault="004B755C" w:rsidP="00D21F29">
            <w:pPr>
              <w:jc w:val="cente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tcPr>
          <w:p w14:paraId="48CE5395" w14:textId="77777777" w:rsidR="00013004" w:rsidRPr="00ED172B" w:rsidRDefault="00291EA9" w:rsidP="00ED172B">
            <w:pPr>
              <w:jc w:val="center"/>
              <w:rPr>
                <w:color w:val="000000" w:themeColor="text1"/>
              </w:rPr>
            </w:pPr>
            <w:r w:rsidRPr="00ED172B">
              <w:rPr>
                <w:color w:val="000000" w:themeColor="text1"/>
              </w:rPr>
              <w:t>89.63%</w:t>
            </w:r>
          </w:p>
        </w:tc>
        <w:tc>
          <w:tcPr>
            <w:tcW w:w="374" w:type="pct"/>
            <w:tcBorders>
              <w:top w:val="single" w:sz="4" w:space="0" w:color="auto"/>
              <w:left w:val="single" w:sz="4" w:space="0" w:color="auto"/>
              <w:bottom w:val="single" w:sz="4" w:space="0" w:color="auto"/>
              <w:right w:val="single" w:sz="4" w:space="0" w:color="auto"/>
            </w:tcBorders>
            <w:hideMark/>
          </w:tcPr>
          <w:p w14:paraId="2E6946A8"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17C87878"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89.44%</w:t>
            </w:r>
          </w:p>
        </w:tc>
        <w:tc>
          <w:tcPr>
            <w:tcW w:w="776" w:type="pct"/>
            <w:tcBorders>
              <w:top w:val="single" w:sz="4" w:space="0" w:color="auto"/>
              <w:left w:val="single" w:sz="4" w:space="0" w:color="auto"/>
              <w:bottom w:val="single" w:sz="4" w:space="0" w:color="auto"/>
              <w:right w:val="single" w:sz="4" w:space="0" w:color="auto"/>
            </w:tcBorders>
            <w:vAlign w:val="center"/>
          </w:tcPr>
          <w:p w14:paraId="00C25A7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90.63%</w:t>
            </w:r>
          </w:p>
        </w:tc>
        <w:tc>
          <w:tcPr>
            <w:tcW w:w="776" w:type="pct"/>
            <w:tcBorders>
              <w:top w:val="single" w:sz="4" w:space="0" w:color="auto"/>
              <w:left w:val="single" w:sz="4" w:space="0" w:color="auto"/>
              <w:bottom w:val="single" w:sz="4" w:space="0" w:color="auto"/>
              <w:right w:val="single" w:sz="4" w:space="0" w:color="auto"/>
            </w:tcBorders>
            <w:vAlign w:val="center"/>
          </w:tcPr>
          <w:p w14:paraId="3B15CDB7"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86.41%</w:t>
            </w:r>
          </w:p>
        </w:tc>
        <w:tc>
          <w:tcPr>
            <w:tcW w:w="776" w:type="pct"/>
            <w:tcBorders>
              <w:top w:val="single" w:sz="4" w:space="0" w:color="auto"/>
              <w:left w:val="single" w:sz="4" w:space="0" w:color="auto"/>
              <w:bottom w:val="single" w:sz="4" w:space="0" w:color="auto"/>
              <w:right w:val="single" w:sz="4" w:space="0" w:color="auto"/>
            </w:tcBorders>
            <w:vAlign w:val="center"/>
          </w:tcPr>
          <w:p w14:paraId="4E81C5B0"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91.26%</w:t>
            </w:r>
          </w:p>
        </w:tc>
        <w:tc>
          <w:tcPr>
            <w:tcW w:w="775" w:type="pct"/>
            <w:tcBorders>
              <w:top w:val="single" w:sz="4" w:space="0" w:color="auto"/>
              <w:left w:val="single" w:sz="4" w:space="0" w:color="auto"/>
              <w:bottom w:val="single" w:sz="4" w:space="0" w:color="auto"/>
              <w:right w:val="single" w:sz="4" w:space="0" w:color="auto"/>
            </w:tcBorders>
            <w:vAlign w:val="center"/>
          </w:tcPr>
          <w:p w14:paraId="6389DEEE"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91.19%</w:t>
            </w:r>
          </w:p>
        </w:tc>
      </w:tr>
      <w:tr w:rsidR="00ED172B" w:rsidRPr="00ED172B" w14:paraId="53BEE22F" w14:textId="77777777" w:rsidTr="00A40EE1">
        <w:trPr>
          <w:trHeight w:val="357"/>
        </w:trPr>
        <w:tc>
          <w:tcPr>
            <w:tcW w:w="415" w:type="pct"/>
            <w:tcBorders>
              <w:top w:val="single" w:sz="4" w:space="0" w:color="auto"/>
              <w:left w:val="single" w:sz="4" w:space="0" w:color="auto"/>
              <w:right w:val="single" w:sz="4" w:space="0" w:color="auto"/>
            </w:tcBorders>
            <w:vAlign w:val="center"/>
          </w:tcPr>
          <w:p w14:paraId="452FF2B5"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tcPr>
          <w:p w14:paraId="5B7EF008" w14:textId="77777777" w:rsidR="00013004" w:rsidRPr="00ED172B" w:rsidRDefault="00291EA9" w:rsidP="00ED172B">
            <w:pPr>
              <w:jc w:val="center"/>
              <w:rPr>
                <w:color w:val="000000" w:themeColor="text1"/>
              </w:rPr>
            </w:pPr>
            <w:r w:rsidRPr="00ED172B">
              <w:rPr>
                <w:color w:val="000000" w:themeColor="text1"/>
              </w:rPr>
              <w:t>2014</w:t>
            </w:r>
          </w:p>
        </w:tc>
        <w:tc>
          <w:tcPr>
            <w:tcW w:w="374" w:type="pct"/>
            <w:tcBorders>
              <w:top w:val="single" w:sz="4" w:space="0" w:color="auto"/>
              <w:left w:val="single" w:sz="4" w:space="0" w:color="auto"/>
              <w:bottom w:val="single" w:sz="4" w:space="0" w:color="auto"/>
              <w:right w:val="single" w:sz="4" w:space="0" w:color="auto"/>
            </w:tcBorders>
            <w:hideMark/>
          </w:tcPr>
          <w:p w14:paraId="2FCB3A6C"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228D2112"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91.00%</w:t>
            </w:r>
          </w:p>
        </w:tc>
        <w:tc>
          <w:tcPr>
            <w:tcW w:w="776" w:type="pct"/>
            <w:tcBorders>
              <w:top w:val="single" w:sz="4" w:space="0" w:color="auto"/>
              <w:left w:val="single" w:sz="4" w:space="0" w:color="auto"/>
              <w:bottom w:val="single" w:sz="4" w:space="0" w:color="auto"/>
              <w:right w:val="single" w:sz="4" w:space="0" w:color="auto"/>
            </w:tcBorders>
            <w:vAlign w:val="center"/>
          </w:tcPr>
          <w:p w14:paraId="1B3A6F3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91.29%</w:t>
            </w:r>
          </w:p>
        </w:tc>
        <w:tc>
          <w:tcPr>
            <w:tcW w:w="776" w:type="pct"/>
            <w:tcBorders>
              <w:top w:val="single" w:sz="4" w:space="0" w:color="auto"/>
              <w:left w:val="single" w:sz="4" w:space="0" w:color="auto"/>
              <w:bottom w:val="single" w:sz="4" w:space="0" w:color="auto"/>
              <w:right w:val="single" w:sz="4" w:space="0" w:color="auto"/>
            </w:tcBorders>
            <w:vAlign w:val="center"/>
          </w:tcPr>
          <w:p w14:paraId="2BC9ED0C"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91.63%</w:t>
            </w:r>
          </w:p>
        </w:tc>
        <w:tc>
          <w:tcPr>
            <w:tcW w:w="776" w:type="pct"/>
            <w:tcBorders>
              <w:top w:val="single" w:sz="4" w:space="0" w:color="auto"/>
              <w:left w:val="single" w:sz="4" w:space="0" w:color="auto"/>
              <w:bottom w:val="single" w:sz="4" w:space="0" w:color="auto"/>
              <w:right w:val="single" w:sz="4" w:space="0" w:color="auto"/>
            </w:tcBorders>
            <w:vAlign w:val="center"/>
          </w:tcPr>
          <w:p w14:paraId="7C97AB30"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91.97%</w:t>
            </w:r>
          </w:p>
        </w:tc>
        <w:tc>
          <w:tcPr>
            <w:tcW w:w="775" w:type="pct"/>
            <w:tcBorders>
              <w:top w:val="single" w:sz="4" w:space="0" w:color="auto"/>
              <w:left w:val="single" w:sz="4" w:space="0" w:color="auto"/>
              <w:bottom w:val="single" w:sz="4" w:space="0" w:color="auto"/>
              <w:right w:val="single" w:sz="4" w:space="0" w:color="auto"/>
            </w:tcBorders>
            <w:vAlign w:val="center"/>
          </w:tcPr>
          <w:p w14:paraId="618F5BBA"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92.32%</w:t>
            </w:r>
          </w:p>
        </w:tc>
      </w:tr>
      <w:tr w:rsidR="00ED172B" w:rsidRPr="00ED172B" w14:paraId="54E24B8F" w14:textId="77777777" w:rsidTr="00A40EE1">
        <w:trPr>
          <w:trHeight w:val="85"/>
        </w:trPr>
        <w:tc>
          <w:tcPr>
            <w:tcW w:w="415" w:type="pct"/>
            <w:tcBorders>
              <w:left w:val="single" w:sz="4" w:space="0" w:color="auto"/>
              <w:right w:val="single" w:sz="4" w:space="0" w:color="auto"/>
            </w:tcBorders>
            <w:vAlign w:val="center"/>
          </w:tcPr>
          <w:p w14:paraId="5CF80954" w14:textId="77777777" w:rsidR="00013004" w:rsidRPr="00ED172B" w:rsidRDefault="004B755C"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tcPr>
          <w:p w14:paraId="328AB6B4" w14:textId="77777777" w:rsidR="00013004" w:rsidRPr="00ED172B" w:rsidRDefault="00291EA9" w:rsidP="00ED172B">
            <w:pPr>
              <w:jc w:val="center"/>
              <w:rPr>
                <w:color w:val="000000" w:themeColor="text1"/>
              </w:rPr>
            </w:pPr>
            <w:r w:rsidRPr="00ED172B">
              <w:rPr>
                <w:color w:val="000000" w:themeColor="text1"/>
              </w:rPr>
              <w:t>89.50%</w:t>
            </w:r>
          </w:p>
        </w:tc>
        <w:tc>
          <w:tcPr>
            <w:tcW w:w="374" w:type="pct"/>
            <w:tcBorders>
              <w:top w:val="single" w:sz="4" w:space="0" w:color="auto"/>
              <w:left w:val="single" w:sz="4" w:space="0" w:color="auto"/>
              <w:bottom w:val="single" w:sz="4" w:space="0" w:color="auto"/>
              <w:right w:val="single" w:sz="4" w:space="0" w:color="auto"/>
            </w:tcBorders>
            <w:hideMark/>
          </w:tcPr>
          <w:p w14:paraId="0E8FF368"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4379925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91.30%</w:t>
            </w:r>
          </w:p>
        </w:tc>
        <w:tc>
          <w:tcPr>
            <w:tcW w:w="776" w:type="pct"/>
            <w:tcBorders>
              <w:top w:val="single" w:sz="4" w:space="0" w:color="auto"/>
              <w:left w:val="single" w:sz="4" w:space="0" w:color="auto"/>
              <w:bottom w:val="single" w:sz="4" w:space="0" w:color="auto"/>
              <w:right w:val="single" w:sz="4" w:space="0" w:color="auto"/>
            </w:tcBorders>
            <w:vAlign w:val="center"/>
          </w:tcPr>
          <w:p w14:paraId="29F08207"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93.75%</w:t>
            </w:r>
          </w:p>
        </w:tc>
        <w:tc>
          <w:tcPr>
            <w:tcW w:w="776" w:type="pct"/>
            <w:tcBorders>
              <w:top w:val="single" w:sz="4" w:space="0" w:color="auto"/>
              <w:left w:val="single" w:sz="4" w:space="0" w:color="auto"/>
              <w:bottom w:val="single" w:sz="4" w:space="0" w:color="auto"/>
              <w:right w:val="single" w:sz="4" w:space="0" w:color="auto"/>
            </w:tcBorders>
            <w:vAlign w:val="center"/>
          </w:tcPr>
          <w:p w14:paraId="0AB91FA3"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92.23%</w:t>
            </w:r>
          </w:p>
        </w:tc>
        <w:tc>
          <w:tcPr>
            <w:tcW w:w="776" w:type="pct"/>
            <w:tcBorders>
              <w:top w:val="single" w:sz="4" w:space="0" w:color="auto"/>
              <w:left w:val="single" w:sz="4" w:space="0" w:color="auto"/>
              <w:bottom w:val="single" w:sz="4" w:space="0" w:color="auto"/>
              <w:right w:val="single" w:sz="4" w:space="0" w:color="auto"/>
            </w:tcBorders>
            <w:vAlign w:val="center"/>
          </w:tcPr>
          <w:p w14:paraId="7AFF6290"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92.31%</w:t>
            </w:r>
          </w:p>
        </w:tc>
        <w:tc>
          <w:tcPr>
            <w:tcW w:w="775" w:type="pct"/>
            <w:tcBorders>
              <w:top w:val="single" w:sz="4" w:space="0" w:color="auto"/>
              <w:left w:val="single" w:sz="4" w:space="0" w:color="auto"/>
              <w:bottom w:val="single" w:sz="4" w:space="0" w:color="auto"/>
              <w:right w:val="single" w:sz="4" w:space="0" w:color="auto"/>
            </w:tcBorders>
            <w:vAlign w:val="center"/>
          </w:tcPr>
          <w:p w14:paraId="327530EA"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90.67%</w:t>
            </w:r>
          </w:p>
        </w:tc>
      </w:tr>
      <w:tr w:rsidR="00ED172B" w:rsidRPr="00ED172B" w14:paraId="4E8197A6" w14:textId="77777777" w:rsidTr="00A40EE1">
        <w:trPr>
          <w:trHeight w:val="357"/>
        </w:trPr>
        <w:tc>
          <w:tcPr>
            <w:tcW w:w="415" w:type="pct"/>
            <w:tcBorders>
              <w:top w:val="single" w:sz="4" w:space="0" w:color="auto"/>
              <w:left w:val="single" w:sz="4" w:space="0" w:color="auto"/>
              <w:right w:val="single" w:sz="4" w:space="0" w:color="auto"/>
            </w:tcBorders>
            <w:vAlign w:val="center"/>
          </w:tcPr>
          <w:p w14:paraId="0879A2E4"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tcPr>
          <w:p w14:paraId="3D6AB48F" w14:textId="77777777" w:rsidR="00013004" w:rsidRPr="00ED172B" w:rsidRDefault="00291EA9" w:rsidP="00ED172B">
            <w:pPr>
              <w:jc w:val="center"/>
              <w:rPr>
                <w:color w:val="000000" w:themeColor="text1"/>
              </w:rPr>
            </w:pPr>
            <w:r w:rsidRPr="00ED172B">
              <w:rPr>
                <w:color w:val="000000" w:themeColor="text1"/>
              </w:rPr>
              <w:t>2014</w:t>
            </w:r>
          </w:p>
        </w:tc>
        <w:tc>
          <w:tcPr>
            <w:tcW w:w="374" w:type="pct"/>
            <w:tcBorders>
              <w:top w:val="single" w:sz="4" w:space="0" w:color="auto"/>
              <w:left w:val="single" w:sz="4" w:space="0" w:color="auto"/>
              <w:bottom w:val="single" w:sz="4" w:space="0" w:color="auto"/>
              <w:right w:val="single" w:sz="4" w:space="0" w:color="auto"/>
            </w:tcBorders>
            <w:hideMark/>
          </w:tcPr>
          <w:p w14:paraId="419DA079"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57222995"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93.09%</w:t>
            </w:r>
          </w:p>
        </w:tc>
        <w:tc>
          <w:tcPr>
            <w:tcW w:w="776" w:type="pct"/>
            <w:tcBorders>
              <w:top w:val="single" w:sz="4" w:space="0" w:color="auto"/>
              <w:left w:val="single" w:sz="4" w:space="0" w:color="auto"/>
              <w:bottom w:val="single" w:sz="4" w:space="0" w:color="auto"/>
              <w:right w:val="single" w:sz="4" w:space="0" w:color="auto"/>
            </w:tcBorders>
            <w:vAlign w:val="center"/>
          </w:tcPr>
          <w:p w14:paraId="54A21AFC"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91.27%</w:t>
            </w:r>
          </w:p>
        </w:tc>
        <w:tc>
          <w:tcPr>
            <w:tcW w:w="776" w:type="pct"/>
            <w:tcBorders>
              <w:top w:val="single" w:sz="4" w:space="0" w:color="auto"/>
              <w:left w:val="single" w:sz="4" w:space="0" w:color="auto"/>
              <w:bottom w:val="single" w:sz="4" w:space="0" w:color="auto"/>
              <w:right w:val="single" w:sz="4" w:space="0" w:color="auto"/>
            </w:tcBorders>
            <w:vAlign w:val="center"/>
          </w:tcPr>
          <w:p w14:paraId="69F217ED"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91.72%</w:t>
            </w:r>
          </w:p>
        </w:tc>
        <w:tc>
          <w:tcPr>
            <w:tcW w:w="776" w:type="pct"/>
            <w:tcBorders>
              <w:top w:val="single" w:sz="4" w:space="0" w:color="auto"/>
              <w:left w:val="single" w:sz="4" w:space="0" w:color="auto"/>
              <w:bottom w:val="single" w:sz="4" w:space="0" w:color="auto"/>
              <w:right w:val="single" w:sz="4" w:space="0" w:color="auto"/>
            </w:tcBorders>
            <w:vAlign w:val="center"/>
          </w:tcPr>
          <w:p w14:paraId="078CCBE6"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92.16%</w:t>
            </w:r>
          </w:p>
        </w:tc>
        <w:tc>
          <w:tcPr>
            <w:tcW w:w="775" w:type="pct"/>
            <w:tcBorders>
              <w:top w:val="single" w:sz="4" w:space="0" w:color="auto"/>
              <w:left w:val="single" w:sz="4" w:space="0" w:color="auto"/>
              <w:bottom w:val="single" w:sz="4" w:space="0" w:color="auto"/>
              <w:right w:val="single" w:sz="4" w:space="0" w:color="auto"/>
            </w:tcBorders>
            <w:vAlign w:val="center"/>
          </w:tcPr>
          <w:p w14:paraId="3F76E024"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92.61%</w:t>
            </w:r>
          </w:p>
        </w:tc>
      </w:tr>
      <w:tr w:rsidR="00ED172B" w:rsidRPr="00ED172B" w14:paraId="3AD4FB75" w14:textId="77777777" w:rsidTr="00A40EE1">
        <w:trPr>
          <w:trHeight w:val="85"/>
        </w:trPr>
        <w:tc>
          <w:tcPr>
            <w:tcW w:w="415" w:type="pct"/>
            <w:tcBorders>
              <w:left w:val="single" w:sz="4" w:space="0" w:color="auto"/>
              <w:right w:val="single" w:sz="4" w:space="0" w:color="auto"/>
            </w:tcBorders>
            <w:vAlign w:val="center"/>
          </w:tcPr>
          <w:p w14:paraId="5CA39B96" w14:textId="77777777" w:rsidR="00013004" w:rsidRPr="00ED172B" w:rsidRDefault="004B755C"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tcPr>
          <w:p w14:paraId="0B94B2FF" w14:textId="77777777" w:rsidR="00013004" w:rsidRPr="00ED172B" w:rsidRDefault="00291EA9" w:rsidP="00ED172B">
            <w:pPr>
              <w:jc w:val="center"/>
              <w:rPr>
                <w:color w:val="000000" w:themeColor="text1"/>
              </w:rPr>
            </w:pPr>
            <w:r w:rsidRPr="00ED172B">
              <w:rPr>
                <w:color w:val="000000" w:themeColor="text1"/>
              </w:rPr>
              <w:t>92.09%</w:t>
            </w:r>
          </w:p>
        </w:tc>
        <w:tc>
          <w:tcPr>
            <w:tcW w:w="374" w:type="pct"/>
            <w:tcBorders>
              <w:top w:val="single" w:sz="4" w:space="0" w:color="auto"/>
              <w:left w:val="single" w:sz="4" w:space="0" w:color="auto"/>
              <w:bottom w:val="single" w:sz="4" w:space="0" w:color="auto"/>
              <w:right w:val="single" w:sz="4" w:space="0" w:color="auto"/>
            </w:tcBorders>
            <w:hideMark/>
          </w:tcPr>
          <w:p w14:paraId="62A38A85"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3705FEC3"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91.25%</w:t>
            </w:r>
          </w:p>
        </w:tc>
        <w:tc>
          <w:tcPr>
            <w:tcW w:w="776" w:type="pct"/>
            <w:tcBorders>
              <w:top w:val="single" w:sz="4" w:space="0" w:color="auto"/>
              <w:left w:val="single" w:sz="4" w:space="0" w:color="auto"/>
              <w:bottom w:val="single" w:sz="4" w:space="0" w:color="auto"/>
              <w:right w:val="single" w:sz="4" w:space="0" w:color="auto"/>
            </w:tcBorders>
            <w:vAlign w:val="center"/>
          </w:tcPr>
          <w:p w14:paraId="7C0B4EA3"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90.63%</w:t>
            </w:r>
          </w:p>
        </w:tc>
        <w:tc>
          <w:tcPr>
            <w:tcW w:w="776" w:type="pct"/>
            <w:tcBorders>
              <w:top w:val="single" w:sz="4" w:space="0" w:color="auto"/>
              <w:left w:val="single" w:sz="4" w:space="0" w:color="auto"/>
              <w:bottom w:val="single" w:sz="4" w:space="0" w:color="auto"/>
              <w:right w:val="single" w:sz="4" w:space="0" w:color="auto"/>
            </w:tcBorders>
            <w:vAlign w:val="center"/>
          </w:tcPr>
          <w:p w14:paraId="58D4AE36"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90.29%</w:t>
            </w:r>
          </w:p>
        </w:tc>
        <w:tc>
          <w:tcPr>
            <w:tcW w:w="776" w:type="pct"/>
            <w:tcBorders>
              <w:top w:val="single" w:sz="4" w:space="0" w:color="auto"/>
              <w:left w:val="single" w:sz="4" w:space="0" w:color="auto"/>
              <w:bottom w:val="single" w:sz="4" w:space="0" w:color="auto"/>
              <w:right w:val="single" w:sz="4" w:space="0" w:color="auto"/>
            </w:tcBorders>
            <w:vAlign w:val="center"/>
          </w:tcPr>
          <w:p w14:paraId="722C3624"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90.56%</w:t>
            </w:r>
          </w:p>
        </w:tc>
        <w:tc>
          <w:tcPr>
            <w:tcW w:w="775" w:type="pct"/>
            <w:tcBorders>
              <w:top w:val="single" w:sz="4" w:space="0" w:color="auto"/>
              <w:left w:val="single" w:sz="4" w:space="0" w:color="auto"/>
              <w:bottom w:val="single" w:sz="4" w:space="0" w:color="auto"/>
              <w:right w:val="single" w:sz="4" w:space="0" w:color="auto"/>
            </w:tcBorders>
            <w:vAlign w:val="center"/>
          </w:tcPr>
          <w:p w14:paraId="2525EBD4"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91.71%</w:t>
            </w:r>
          </w:p>
        </w:tc>
      </w:tr>
    </w:tbl>
    <w:p w14:paraId="17BF905F" w14:textId="77777777" w:rsidR="001F545F" w:rsidRPr="00ED172B" w:rsidRDefault="005918D1">
      <w:pPr>
        <w:rPr>
          <w:b/>
          <w:color w:val="000000" w:themeColor="text1"/>
        </w:rPr>
      </w:pPr>
      <w:r w:rsidRPr="00ED172B">
        <w:rPr>
          <w:b/>
          <w:color w:val="000000" w:themeColor="text1"/>
        </w:rPr>
        <w:lastRenderedPageBreak/>
        <w:t>Targets</w:t>
      </w:r>
    </w:p>
    <w:tbl>
      <w:tblPr>
        <w:tblW w:w="1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8"/>
        <w:gridCol w:w="1681"/>
        <w:gridCol w:w="1676"/>
      </w:tblGrid>
      <w:tr w:rsidR="00CF59E2" w:rsidRPr="00ED172B" w14:paraId="58096FD2" w14:textId="77777777" w:rsidTr="00811738">
        <w:trPr>
          <w:trHeight w:val="350"/>
        </w:trPr>
        <w:tc>
          <w:tcPr>
            <w:tcW w:w="890" w:type="pct"/>
            <w:tcBorders>
              <w:bottom w:val="single" w:sz="4" w:space="0" w:color="auto"/>
            </w:tcBorders>
            <w:vAlign w:val="bottom"/>
          </w:tcPr>
          <w:p w14:paraId="2B125053" w14:textId="77777777" w:rsidR="00CF59E2" w:rsidRPr="00ED172B" w:rsidRDefault="00CF59E2" w:rsidP="008654C9">
            <w:pPr>
              <w:jc w:val="center"/>
              <w:rPr>
                <w:rFonts w:cs="Arial"/>
                <w:b/>
                <w:color w:val="000000" w:themeColor="text1"/>
                <w:szCs w:val="16"/>
              </w:rPr>
            </w:pPr>
            <w:r w:rsidRPr="00ED172B">
              <w:rPr>
                <w:rFonts w:cs="Arial"/>
                <w:b/>
                <w:color w:val="000000" w:themeColor="text1"/>
                <w:szCs w:val="16"/>
              </w:rPr>
              <w:t>FFY</w:t>
            </w:r>
          </w:p>
        </w:tc>
        <w:tc>
          <w:tcPr>
            <w:tcW w:w="2058" w:type="pct"/>
            <w:vAlign w:val="center"/>
          </w:tcPr>
          <w:p w14:paraId="78A04263" w14:textId="77777777" w:rsidR="00CF59E2" w:rsidRPr="00ED172B" w:rsidRDefault="00CF59E2" w:rsidP="008654C9">
            <w:pPr>
              <w:jc w:val="center"/>
              <w:rPr>
                <w:rFonts w:cs="Arial"/>
                <w:b/>
                <w:color w:val="000000" w:themeColor="text1"/>
                <w:szCs w:val="16"/>
              </w:rPr>
            </w:pPr>
            <w:r w:rsidRPr="00ED172B">
              <w:rPr>
                <w:rFonts w:cs="Arial"/>
                <w:b/>
                <w:color w:val="000000" w:themeColor="text1"/>
                <w:szCs w:val="16"/>
              </w:rPr>
              <w:t>2024</w:t>
            </w:r>
          </w:p>
        </w:tc>
        <w:tc>
          <w:tcPr>
            <w:tcW w:w="2053" w:type="pct"/>
          </w:tcPr>
          <w:p w14:paraId="371FBFAF" w14:textId="77777777" w:rsidR="00CF59E2" w:rsidRPr="00ED172B" w:rsidRDefault="00CF59E2" w:rsidP="008654C9">
            <w:pPr>
              <w:jc w:val="center"/>
              <w:rPr>
                <w:rFonts w:cs="Arial"/>
                <w:b/>
                <w:color w:val="000000" w:themeColor="text1"/>
                <w:szCs w:val="16"/>
              </w:rPr>
            </w:pPr>
            <w:r>
              <w:rPr>
                <w:rFonts w:cs="Arial"/>
                <w:b/>
                <w:color w:val="000000" w:themeColor="text1"/>
                <w:szCs w:val="16"/>
              </w:rPr>
              <w:t>2025</w:t>
            </w:r>
          </w:p>
        </w:tc>
      </w:tr>
      <w:tr w:rsidR="00CF59E2" w:rsidRPr="00ED172B" w14:paraId="79AB78B5" w14:textId="77777777" w:rsidTr="00811738">
        <w:trPr>
          <w:trHeight w:val="357"/>
        </w:trPr>
        <w:tc>
          <w:tcPr>
            <w:tcW w:w="890" w:type="pct"/>
          </w:tcPr>
          <w:p w14:paraId="7D139D8F"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 A&gt;=</w:t>
            </w:r>
          </w:p>
        </w:tc>
        <w:tc>
          <w:tcPr>
            <w:tcW w:w="2058" w:type="pct"/>
            <w:vAlign w:val="center"/>
          </w:tcPr>
          <w:p w14:paraId="749061B8" w14:textId="77777777" w:rsidR="00CF59E2" w:rsidRPr="00ED172B" w:rsidRDefault="00CF59E2" w:rsidP="002F2336">
            <w:pPr>
              <w:jc w:val="center"/>
              <w:rPr>
                <w:color w:val="000000" w:themeColor="text1"/>
              </w:rPr>
            </w:pPr>
            <w:r w:rsidRPr="00ED172B">
              <w:rPr>
                <w:color w:val="000000" w:themeColor="text1"/>
              </w:rPr>
              <w:t>91.10%</w:t>
            </w:r>
          </w:p>
        </w:tc>
        <w:tc>
          <w:tcPr>
            <w:tcW w:w="2053" w:type="pct"/>
            <w:vAlign w:val="center"/>
          </w:tcPr>
          <w:p w14:paraId="6201C9E6" w14:textId="77777777" w:rsidR="00CF59E2" w:rsidRPr="00794BA1" w:rsidRDefault="00CF59E2" w:rsidP="002F2336">
            <w:pPr>
              <w:jc w:val="center"/>
              <w:rPr>
                <w:color w:val="000000" w:themeColor="text1"/>
              </w:rPr>
            </w:pPr>
            <w:r w:rsidRPr="00794BA1">
              <w:rPr>
                <w:color w:val="000000" w:themeColor="text1"/>
              </w:rPr>
              <w:t>91.50%</w:t>
            </w:r>
          </w:p>
        </w:tc>
      </w:tr>
      <w:tr w:rsidR="00CF59E2" w:rsidRPr="00ED172B" w14:paraId="37D9C928" w14:textId="77777777" w:rsidTr="00811738">
        <w:trPr>
          <w:trHeight w:val="357"/>
        </w:trPr>
        <w:tc>
          <w:tcPr>
            <w:tcW w:w="890" w:type="pct"/>
          </w:tcPr>
          <w:p w14:paraId="4242B722"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 B&gt;=</w:t>
            </w:r>
          </w:p>
        </w:tc>
        <w:tc>
          <w:tcPr>
            <w:tcW w:w="2058" w:type="pct"/>
            <w:vAlign w:val="center"/>
          </w:tcPr>
          <w:p w14:paraId="1478651A" w14:textId="77777777" w:rsidR="00CF59E2" w:rsidRPr="00ED172B" w:rsidRDefault="00CF59E2" w:rsidP="002F2336">
            <w:pPr>
              <w:jc w:val="center"/>
              <w:rPr>
                <w:color w:val="000000" w:themeColor="text1"/>
              </w:rPr>
            </w:pPr>
            <w:r w:rsidRPr="00ED172B">
              <w:rPr>
                <w:color w:val="000000" w:themeColor="text1"/>
              </w:rPr>
              <w:t>92.66%</w:t>
            </w:r>
          </w:p>
        </w:tc>
        <w:tc>
          <w:tcPr>
            <w:tcW w:w="2053" w:type="pct"/>
            <w:vAlign w:val="center"/>
          </w:tcPr>
          <w:p w14:paraId="69CB5070" w14:textId="77777777" w:rsidR="00CF59E2" w:rsidRPr="00794BA1" w:rsidRDefault="00CF59E2" w:rsidP="002F2336">
            <w:pPr>
              <w:jc w:val="center"/>
              <w:rPr>
                <w:color w:val="000000" w:themeColor="text1"/>
              </w:rPr>
            </w:pPr>
            <w:r w:rsidRPr="00794BA1">
              <w:rPr>
                <w:color w:val="000000" w:themeColor="text1"/>
              </w:rPr>
              <w:t>93.00%</w:t>
            </w:r>
          </w:p>
        </w:tc>
      </w:tr>
      <w:tr w:rsidR="00CF59E2" w:rsidRPr="00ED172B" w14:paraId="5E017159" w14:textId="77777777" w:rsidTr="00811738">
        <w:trPr>
          <w:trHeight w:val="357"/>
        </w:trPr>
        <w:tc>
          <w:tcPr>
            <w:tcW w:w="890" w:type="pct"/>
          </w:tcPr>
          <w:p w14:paraId="3906CFA9"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 C&gt;=</w:t>
            </w:r>
          </w:p>
        </w:tc>
        <w:tc>
          <w:tcPr>
            <w:tcW w:w="2058" w:type="pct"/>
            <w:vAlign w:val="center"/>
          </w:tcPr>
          <w:p w14:paraId="55594ED9" w14:textId="77777777" w:rsidR="00CF59E2" w:rsidRPr="00ED172B" w:rsidRDefault="00CF59E2" w:rsidP="002F2336">
            <w:pPr>
              <w:jc w:val="center"/>
              <w:rPr>
                <w:color w:val="000000" w:themeColor="text1"/>
              </w:rPr>
            </w:pPr>
            <w:r w:rsidRPr="00ED172B">
              <w:rPr>
                <w:color w:val="000000" w:themeColor="text1"/>
              </w:rPr>
              <w:t>93.05%</w:t>
            </w:r>
          </w:p>
        </w:tc>
        <w:tc>
          <w:tcPr>
            <w:tcW w:w="2053" w:type="pct"/>
            <w:vAlign w:val="center"/>
          </w:tcPr>
          <w:p w14:paraId="5E32CD79" w14:textId="77777777" w:rsidR="00CF59E2" w:rsidRPr="00794BA1" w:rsidRDefault="00CF59E2" w:rsidP="002F2336">
            <w:pPr>
              <w:jc w:val="center"/>
              <w:rPr>
                <w:color w:val="000000" w:themeColor="text1"/>
              </w:rPr>
            </w:pPr>
            <w:r w:rsidRPr="00794BA1">
              <w:rPr>
                <w:color w:val="000000" w:themeColor="text1"/>
              </w:rPr>
              <w:t>93.50%</w:t>
            </w:r>
          </w:p>
        </w:tc>
      </w:tr>
    </w:tbl>
    <w:bookmarkEnd w:id="23"/>
    <w:p w14:paraId="78664DBA" w14:textId="77777777" w:rsidR="00F80C9C" w:rsidRDefault="00F80C9C" w:rsidP="00B83404">
      <w:pPr>
        <w:rPr>
          <w:b/>
          <w:color w:val="000000" w:themeColor="text1"/>
        </w:rPr>
      </w:pPr>
      <w:r w:rsidRPr="00ED172B">
        <w:rPr>
          <w:b/>
          <w:color w:val="000000" w:themeColor="text1"/>
        </w:rPr>
        <w:t xml:space="preserve">Targets: Description of Stakeholder Input </w:t>
      </w:r>
    </w:p>
    <w:p w14:paraId="07C0D614" w14:textId="77777777" w:rsidR="00C57F17" w:rsidRDefault="00CF03E0" w:rsidP="00CF03E0">
      <w:pPr>
        <w:rPr>
          <w:color w:val="000000" w:themeColor="text1"/>
        </w:rPr>
      </w:pPr>
      <w:r w:rsidRPr="00ED172B">
        <w:rPr>
          <w:color w:val="000000" w:themeColor="text1"/>
        </w:rPr>
        <w:t xml:space="preserve">The State engages stakeholders through the State Interagency Coordinating Council (SICC), collaboration with the parent training and information center (FACT Oregon), public reporting, and targeted outreach efforts. These structures support stakeholder involvement in reviewing data, setting targets, shaping improvement strategies, and monitoring progress. The State has made focused efforts to broaden participation in the SICC and to strengthen connections with Local Interagency Coordinating Councils. The State also works to improve participation in the annual Parent Survey and to ensure feedback from families </w:t>
      </w:r>
      <w:proofErr w:type="gramStart"/>
      <w:r w:rsidRPr="00ED172B">
        <w:rPr>
          <w:color w:val="000000" w:themeColor="text1"/>
        </w:rPr>
        <w:t>informs</w:t>
      </w:r>
      <w:proofErr w:type="gramEnd"/>
      <w:r w:rsidRPr="00ED172B">
        <w:rPr>
          <w:color w:val="000000" w:themeColor="text1"/>
        </w:rPr>
        <w:t xml:space="preserve"> system improvement activities.</w:t>
      </w:r>
    </w:p>
    <w:p w14:paraId="0BE17A56" w14:textId="77777777" w:rsidR="006902F0" w:rsidRPr="00ED172B" w:rsidRDefault="006902F0" w:rsidP="00B83404">
      <w:pPr>
        <w:rPr>
          <w:color w:val="000000" w:themeColor="text1"/>
        </w:rPr>
      </w:pPr>
      <w:r w:rsidRPr="00ED172B">
        <w:rPr>
          <w:rFonts w:cs="Arial"/>
          <w:color w:val="000000" w:themeColor="text1"/>
          <w:szCs w:val="16"/>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w:t>
      </w:r>
      <w:proofErr w:type="gramStart"/>
      <w:r w:rsidRPr="00ED172B">
        <w:rPr>
          <w:rFonts w:cs="Arial"/>
          <w:color w:val="000000" w:themeColor="text1"/>
          <w:szCs w:val="16"/>
        </w:rPr>
        <w:t>supports</w:t>
      </w:r>
      <w:proofErr w:type="gramEnd"/>
      <w:r w:rsidRPr="00ED172B">
        <w:rPr>
          <w:rFonts w:cs="Arial"/>
          <w:color w:val="000000" w:themeColor="text1"/>
          <w:szCs w:val="16"/>
        </w:rPr>
        <w:t xml:space="preserve"> for children with disabilities. </w:t>
      </w:r>
    </w:p>
    <w:p w14:paraId="641EEA24" w14:textId="77777777" w:rsidR="000575B2" w:rsidRDefault="000575B2"/>
    <w:p w14:paraId="11094A10" w14:textId="77777777" w:rsidR="000575B2" w:rsidRDefault="00D6492D">
      <w:r>
        <w:rPr>
          <w:color w:val="000000"/>
        </w:rP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p>
    <w:p w14:paraId="2C6AF944" w14:textId="77777777" w:rsidR="000575B2" w:rsidRDefault="000575B2"/>
    <w:p w14:paraId="1EE97B0C" w14:textId="77777777" w:rsidR="000575B2" w:rsidRDefault="00D6492D">
      <w:r>
        <w:rPr>
          <w:color w:val="000000"/>
        </w:rPr>
        <w:t xml:space="preserve">The State has also implemented targeted strategies to improve parent response rates from families of color and those for whom English is not the first language in the annual Parent Survey. These efforts are aimed at ensuring that a wide range of voices are included in shaping the policies and practices that impact families and children with disabilities. </w:t>
      </w:r>
    </w:p>
    <w:p w14:paraId="7E2250ED" w14:textId="77777777" w:rsidR="000575B2" w:rsidRDefault="000575B2"/>
    <w:p w14:paraId="05877E93" w14:textId="77777777" w:rsidR="000575B2" w:rsidRDefault="00D6492D">
      <w:r>
        <w:rPr>
          <w:color w:val="000000"/>
        </w:rPr>
        <w:t xml:space="preserve">Additional data and input </w:t>
      </w:r>
      <w:proofErr w:type="gramStart"/>
      <w:r>
        <w:rPr>
          <w:color w:val="000000"/>
        </w:rPr>
        <w:t>has</w:t>
      </w:r>
      <w:proofErr w:type="gramEnd"/>
      <w:r>
        <w:rPr>
          <w:color w:val="000000"/>
        </w:rPr>
        <w:t xml:space="preserve">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3A0F853A" w14:textId="77777777" w:rsidR="007011EC" w:rsidRPr="00ED172B" w:rsidRDefault="007011EC" w:rsidP="00F80C9C">
      <w:pPr>
        <w:rPr>
          <w:rFonts w:cs="Arial"/>
          <w:color w:val="000000" w:themeColor="text1"/>
          <w:szCs w:val="16"/>
        </w:rPr>
      </w:pPr>
    </w:p>
    <w:p w14:paraId="0076C1EA" w14:textId="77777777" w:rsidR="004D140B"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9355"/>
        <w:gridCol w:w="1435"/>
      </w:tblGrid>
      <w:tr w:rsidR="00ED172B" w:rsidRPr="00ED172B" w14:paraId="68E7E441" w14:textId="77777777" w:rsidTr="00186420">
        <w:trPr>
          <w:trHeight w:val="20"/>
        </w:trPr>
        <w:tc>
          <w:tcPr>
            <w:tcW w:w="4335" w:type="pct"/>
            <w:vAlign w:val="center"/>
          </w:tcPr>
          <w:p w14:paraId="66F9D831" w14:textId="77777777" w:rsidR="00FB7AE9" w:rsidRPr="00ED172B" w:rsidRDefault="004E1A9D" w:rsidP="00FB7AE9">
            <w:pPr>
              <w:rPr>
                <w:rFonts w:cs="Arial"/>
                <w:color w:val="000000" w:themeColor="text1"/>
                <w:szCs w:val="16"/>
              </w:rPr>
            </w:pPr>
            <w:bookmarkStart w:id="24" w:name="_Toc392159275"/>
            <w:bookmarkStart w:id="25" w:name="_Toc382082367"/>
            <w:bookmarkStart w:id="26" w:name="_Toc392159276"/>
            <w:r w:rsidRPr="00ED172B">
              <w:rPr>
                <w:rFonts w:cs="Arial"/>
                <w:color w:val="000000" w:themeColor="text1"/>
                <w:szCs w:val="16"/>
              </w:rPr>
              <w:t>The number of families to whom surveys were distributed</w:t>
            </w:r>
          </w:p>
        </w:tc>
        <w:tc>
          <w:tcPr>
            <w:tcW w:w="665" w:type="pct"/>
            <w:vAlign w:val="center"/>
          </w:tcPr>
          <w:p w14:paraId="19E7B3C2" w14:textId="77777777" w:rsidR="00FB7AE9" w:rsidRPr="00ED172B" w:rsidRDefault="00860830" w:rsidP="00FB7AE9">
            <w:pPr>
              <w:jc w:val="center"/>
              <w:rPr>
                <w:rFonts w:cs="Arial"/>
                <w:color w:val="000000" w:themeColor="text1"/>
                <w:szCs w:val="16"/>
              </w:rPr>
            </w:pPr>
            <w:r w:rsidRPr="00ED172B">
              <w:rPr>
                <w:rFonts w:cs="Arial"/>
                <w:color w:val="000000" w:themeColor="text1"/>
                <w:szCs w:val="16"/>
              </w:rPr>
              <w:t>1,456</w:t>
            </w:r>
          </w:p>
        </w:tc>
      </w:tr>
      <w:tr w:rsidR="00ED172B" w:rsidRPr="00ED172B" w14:paraId="59A44B6D" w14:textId="77777777" w:rsidTr="00186420">
        <w:trPr>
          <w:trHeight w:val="20"/>
        </w:trPr>
        <w:tc>
          <w:tcPr>
            <w:tcW w:w="4335" w:type="pct"/>
            <w:vAlign w:val="center"/>
          </w:tcPr>
          <w:p w14:paraId="232C7618" w14:textId="77777777"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vAlign w:val="center"/>
          </w:tcPr>
          <w:p w14:paraId="7BBB4072" w14:textId="77777777" w:rsidR="004E1A9D" w:rsidRPr="00ED172B" w:rsidRDefault="00860830" w:rsidP="00014550">
            <w:pPr>
              <w:jc w:val="center"/>
              <w:rPr>
                <w:rFonts w:cs="Arial"/>
                <w:color w:val="000000" w:themeColor="text1"/>
                <w:szCs w:val="16"/>
              </w:rPr>
            </w:pPr>
            <w:r w:rsidRPr="00ED172B">
              <w:rPr>
                <w:rFonts w:cs="Arial"/>
                <w:color w:val="000000" w:themeColor="text1"/>
                <w:szCs w:val="16"/>
              </w:rPr>
              <w:t>247</w:t>
            </w:r>
          </w:p>
        </w:tc>
      </w:tr>
      <w:tr w:rsidR="001B1139" w:rsidRPr="00ED172B" w14:paraId="203C2601" w14:textId="77777777" w:rsidTr="00186420">
        <w:trPr>
          <w:trHeight w:val="20"/>
        </w:trPr>
        <w:tc>
          <w:tcPr>
            <w:tcW w:w="4335" w:type="pct"/>
            <w:vAlign w:val="center"/>
          </w:tcPr>
          <w:p w14:paraId="0EEE71BD" w14:textId="7777777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vAlign w:val="center"/>
          </w:tcPr>
          <w:p w14:paraId="6C8E0AAB" w14:textId="77777777" w:rsidR="001B1139" w:rsidRPr="00ED172B" w:rsidRDefault="001B1139">
            <w:pPr>
              <w:jc w:val="center"/>
              <w:rPr>
                <w:rFonts w:cs="Arial"/>
                <w:color w:val="000000" w:themeColor="text1"/>
                <w:szCs w:val="16"/>
              </w:rPr>
            </w:pPr>
            <w:r w:rsidRPr="00ED172B">
              <w:rPr>
                <w:rFonts w:cs="Arial"/>
                <w:color w:val="000000" w:themeColor="text1"/>
                <w:szCs w:val="16"/>
              </w:rPr>
              <w:t>16.96%</w:t>
            </w:r>
          </w:p>
        </w:tc>
      </w:tr>
      <w:tr w:rsidR="00ED172B" w:rsidRPr="00ED172B" w14:paraId="292C5C78" w14:textId="77777777" w:rsidTr="00186420">
        <w:trPr>
          <w:trHeight w:val="20"/>
        </w:trPr>
        <w:tc>
          <w:tcPr>
            <w:tcW w:w="4335" w:type="pct"/>
            <w:vAlign w:val="center"/>
          </w:tcPr>
          <w:p w14:paraId="3E8AACC9"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vAlign w:val="center"/>
          </w:tcPr>
          <w:p w14:paraId="69136C3D" w14:textId="77777777" w:rsidR="003020A9" w:rsidRPr="00ED172B" w:rsidRDefault="00860830">
            <w:pPr>
              <w:jc w:val="center"/>
              <w:rPr>
                <w:rFonts w:cs="Arial"/>
                <w:color w:val="000000" w:themeColor="text1"/>
                <w:szCs w:val="16"/>
              </w:rPr>
            </w:pPr>
            <w:r w:rsidRPr="00ED172B">
              <w:rPr>
                <w:rFonts w:cs="Arial"/>
                <w:color w:val="000000" w:themeColor="text1"/>
                <w:szCs w:val="16"/>
              </w:rPr>
              <w:t>221</w:t>
            </w:r>
          </w:p>
        </w:tc>
      </w:tr>
      <w:tr w:rsidR="00ED172B" w:rsidRPr="00ED172B" w14:paraId="6C7A7ADF" w14:textId="77777777" w:rsidTr="00186420">
        <w:trPr>
          <w:trHeight w:val="20"/>
        </w:trPr>
        <w:tc>
          <w:tcPr>
            <w:tcW w:w="4335" w:type="pct"/>
            <w:vAlign w:val="center"/>
          </w:tcPr>
          <w:p w14:paraId="25E4282F"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vAlign w:val="center"/>
          </w:tcPr>
          <w:p w14:paraId="3CE65C94" w14:textId="77777777" w:rsidR="003020A9" w:rsidRPr="00ED172B" w:rsidRDefault="00860830">
            <w:pPr>
              <w:jc w:val="center"/>
              <w:rPr>
                <w:rFonts w:cs="Arial"/>
                <w:color w:val="000000" w:themeColor="text1"/>
                <w:szCs w:val="16"/>
              </w:rPr>
            </w:pPr>
            <w:r w:rsidRPr="00ED172B">
              <w:rPr>
                <w:rFonts w:cs="Arial"/>
                <w:color w:val="000000" w:themeColor="text1"/>
                <w:szCs w:val="16"/>
              </w:rPr>
              <w:t>247</w:t>
            </w:r>
          </w:p>
        </w:tc>
      </w:tr>
      <w:tr w:rsidR="00ED172B" w:rsidRPr="00ED172B" w14:paraId="6B90D92A" w14:textId="77777777" w:rsidTr="00186420">
        <w:trPr>
          <w:trHeight w:val="20"/>
        </w:trPr>
        <w:tc>
          <w:tcPr>
            <w:tcW w:w="4335" w:type="pct"/>
            <w:vAlign w:val="center"/>
          </w:tcPr>
          <w:p w14:paraId="31C8A670"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vAlign w:val="center"/>
          </w:tcPr>
          <w:p w14:paraId="79A5E00A" w14:textId="77777777" w:rsidR="003020A9" w:rsidRPr="00ED172B" w:rsidRDefault="00860830">
            <w:pPr>
              <w:jc w:val="center"/>
              <w:rPr>
                <w:rFonts w:cs="Arial"/>
                <w:color w:val="000000" w:themeColor="text1"/>
                <w:szCs w:val="16"/>
              </w:rPr>
            </w:pPr>
            <w:r w:rsidRPr="00ED172B">
              <w:rPr>
                <w:rFonts w:cs="Arial"/>
                <w:color w:val="000000" w:themeColor="text1"/>
                <w:szCs w:val="16"/>
              </w:rPr>
              <w:t>227</w:t>
            </w:r>
          </w:p>
        </w:tc>
      </w:tr>
      <w:tr w:rsidR="00ED172B" w:rsidRPr="00ED172B" w14:paraId="5B4A9C62" w14:textId="77777777" w:rsidTr="00186420">
        <w:trPr>
          <w:trHeight w:val="20"/>
        </w:trPr>
        <w:tc>
          <w:tcPr>
            <w:tcW w:w="4335" w:type="pct"/>
            <w:vAlign w:val="center"/>
          </w:tcPr>
          <w:p w14:paraId="2EE81213"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vAlign w:val="center"/>
          </w:tcPr>
          <w:p w14:paraId="180A3973" w14:textId="77777777" w:rsidR="003020A9" w:rsidRPr="00ED172B" w:rsidRDefault="00860830">
            <w:pPr>
              <w:jc w:val="center"/>
              <w:rPr>
                <w:rFonts w:cs="Arial"/>
                <w:color w:val="000000" w:themeColor="text1"/>
                <w:szCs w:val="16"/>
              </w:rPr>
            </w:pPr>
            <w:r w:rsidRPr="00ED172B">
              <w:rPr>
                <w:rFonts w:cs="Arial"/>
                <w:color w:val="000000" w:themeColor="text1"/>
                <w:szCs w:val="16"/>
              </w:rPr>
              <w:t>247</w:t>
            </w:r>
          </w:p>
        </w:tc>
      </w:tr>
      <w:tr w:rsidR="00ED172B" w:rsidRPr="00ED172B" w14:paraId="023B5395" w14:textId="77777777" w:rsidTr="00186420">
        <w:trPr>
          <w:trHeight w:val="20"/>
        </w:trPr>
        <w:tc>
          <w:tcPr>
            <w:tcW w:w="4335" w:type="pct"/>
            <w:vAlign w:val="center"/>
          </w:tcPr>
          <w:p w14:paraId="585E50DD" w14:textId="77777777" w:rsidR="003020A9" w:rsidRPr="00ED172B" w:rsidRDefault="003020A9">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vAlign w:val="center"/>
          </w:tcPr>
          <w:p w14:paraId="35511264" w14:textId="77777777" w:rsidR="003020A9" w:rsidRPr="00ED172B" w:rsidRDefault="00860830">
            <w:pPr>
              <w:jc w:val="center"/>
              <w:rPr>
                <w:rFonts w:cs="Arial"/>
                <w:color w:val="000000" w:themeColor="text1"/>
                <w:szCs w:val="16"/>
              </w:rPr>
            </w:pPr>
            <w:r w:rsidRPr="00ED172B">
              <w:rPr>
                <w:rFonts w:cs="Arial"/>
                <w:color w:val="000000" w:themeColor="text1"/>
                <w:szCs w:val="16"/>
              </w:rPr>
              <w:t>222</w:t>
            </w:r>
          </w:p>
        </w:tc>
      </w:tr>
      <w:tr w:rsidR="003020A9" w:rsidRPr="00ED172B" w14:paraId="61D42960" w14:textId="77777777" w:rsidTr="00186420">
        <w:trPr>
          <w:trHeight w:val="20"/>
        </w:trPr>
        <w:tc>
          <w:tcPr>
            <w:tcW w:w="4335" w:type="pct"/>
            <w:vAlign w:val="center"/>
          </w:tcPr>
          <w:p w14:paraId="39023905"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vAlign w:val="center"/>
          </w:tcPr>
          <w:p w14:paraId="25525002" w14:textId="77777777" w:rsidR="003020A9" w:rsidRPr="00ED172B" w:rsidRDefault="00860830">
            <w:pPr>
              <w:jc w:val="center"/>
              <w:rPr>
                <w:rFonts w:cs="Arial"/>
                <w:color w:val="000000" w:themeColor="text1"/>
                <w:szCs w:val="16"/>
              </w:rPr>
            </w:pPr>
            <w:r w:rsidRPr="00ED172B">
              <w:rPr>
                <w:rFonts w:cs="Arial"/>
                <w:color w:val="000000" w:themeColor="text1"/>
                <w:szCs w:val="16"/>
              </w:rPr>
              <w:t>247</w:t>
            </w:r>
          </w:p>
        </w:tc>
      </w:tr>
    </w:tbl>
    <w:p w14:paraId="2344411C"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4A167133" w14:textId="77777777" w:rsidTr="00986B99">
        <w:trPr>
          <w:trHeight w:val="354"/>
          <w:tblHeader/>
        </w:trPr>
        <w:tc>
          <w:tcPr>
            <w:tcW w:w="2041" w:type="pct"/>
            <w:vAlign w:val="bottom"/>
          </w:tcPr>
          <w:p w14:paraId="0C82A4F8" w14:textId="77777777" w:rsidR="004B755C" w:rsidRPr="004B3BC6" w:rsidRDefault="00164FFE" w:rsidP="00A40EE1">
            <w:pPr>
              <w:rPr>
                <w:rFonts w:cs="Arial"/>
                <w:b/>
                <w:bCs/>
                <w:color w:val="000000" w:themeColor="text1"/>
                <w:szCs w:val="16"/>
              </w:rPr>
            </w:pPr>
            <w:r w:rsidRPr="004B3BC6">
              <w:rPr>
                <w:rFonts w:cs="Arial"/>
                <w:b/>
                <w:bCs/>
                <w:color w:val="000000" w:themeColor="text1"/>
                <w:szCs w:val="16"/>
              </w:rPr>
              <w:t>Measure</w:t>
            </w:r>
          </w:p>
        </w:tc>
        <w:tc>
          <w:tcPr>
            <w:tcW w:w="626" w:type="pct"/>
            <w:vAlign w:val="bottom"/>
          </w:tcPr>
          <w:p w14:paraId="0AFF70C0" w14:textId="77777777" w:rsidR="004B755C" w:rsidRPr="00ED172B" w:rsidRDefault="00CD74B5" w:rsidP="004B755C">
            <w:pPr>
              <w:jc w:val="center"/>
              <w:rPr>
                <w:rFonts w:cs="Arial"/>
                <w:b/>
                <w:color w:val="000000" w:themeColor="text1"/>
                <w:szCs w:val="16"/>
              </w:rPr>
            </w:pPr>
            <w:r>
              <w:rPr>
                <w:rFonts w:cs="Arial"/>
                <w:b/>
                <w:color w:val="000000" w:themeColor="text1"/>
                <w:szCs w:val="16"/>
              </w:rPr>
              <w:t>FFY 2023 Data</w:t>
            </w:r>
          </w:p>
        </w:tc>
        <w:tc>
          <w:tcPr>
            <w:tcW w:w="626" w:type="pct"/>
            <w:vAlign w:val="bottom"/>
          </w:tcPr>
          <w:p w14:paraId="04952123" w14:textId="77777777" w:rsidR="004B755C" w:rsidRPr="00ED172B" w:rsidRDefault="00F22D09" w:rsidP="004B755C">
            <w:pPr>
              <w:jc w:val="center"/>
              <w:rPr>
                <w:rFonts w:cs="Arial"/>
                <w:b/>
                <w:color w:val="000000" w:themeColor="text1"/>
                <w:szCs w:val="16"/>
              </w:rPr>
            </w:pPr>
            <w:r>
              <w:rPr>
                <w:rFonts w:cs="Arial"/>
                <w:b/>
                <w:color w:val="000000" w:themeColor="text1"/>
                <w:szCs w:val="16"/>
              </w:rPr>
              <w:t>FFY 2024 Target</w:t>
            </w:r>
          </w:p>
        </w:tc>
        <w:tc>
          <w:tcPr>
            <w:tcW w:w="667" w:type="pct"/>
            <w:vAlign w:val="bottom"/>
          </w:tcPr>
          <w:p w14:paraId="6824F5B5" w14:textId="77777777" w:rsidR="004B755C" w:rsidRPr="00ED172B" w:rsidRDefault="00F22D09" w:rsidP="004B755C">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6CF31138" w14:textId="77777777"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vAlign w:val="bottom"/>
          </w:tcPr>
          <w:p w14:paraId="43E883D6" w14:textId="7777777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6FA69282" w14:textId="77777777" w:rsidTr="00986B99">
        <w:trPr>
          <w:trHeight w:val="361"/>
        </w:trPr>
        <w:tc>
          <w:tcPr>
            <w:tcW w:w="2041" w:type="pct"/>
            <w:vAlign w:val="center"/>
          </w:tcPr>
          <w:p w14:paraId="5A017DCE" w14:textId="77777777" w:rsidR="00D20529" w:rsidRPr="00ED172B" w:rsidRDefault="00D20529" w:rsidP="00186420">
            <w:pPr>
              <w:rPr>
                <w:rFonts w:cs="Arial"/>
                <w:color w:val="000000" w:themeColor="text1"/>
                <w:szCs w:val="16"/>
              </w:rPr>
            </w:pPr>
            <w:r w:rsidRPr="00ED172B">
              <w:rPr>
                <w:rFonts w:cs="Arial"/>
                <w:color w:val="000000" w:themeColor="text1"/>
                <w:szCs w:val="16"/>
              </w:rPr>
              <w:t xml:space="preserve">A. Percent of families participating in Part </w:t>
            </w:r>
            <w:proofErr w:type="gramStart"/>
            <w:r w:rsidRPr="00ED172B">
              <w:rPr>
                <w:rFonts w:cs="Arial"/>
                <w:color w:val="000000" w:themeColor="text1"/>
                <w:szCs w:val="16"/>
              </w:rPr>
              <w:t>C who</w:t>
            </w:r>
            <w:proofErr w:type="gramEnd"/>
            <w:r w:rsidRPr="00ED172B">
              <w:rPr>
                <w:rFonts w:cs="Arial"/>
                <w:color w:val="000000" w:themeColor="text1"/>
                <w:szCs w:val="16"/>
              </w:rPr>
              <w:t xml:space="preserve"> report that early intervention services have helped the family know their rights (A1 divided by A2)</w:t>
            </w:r>
          </w:p>
        </w:tc>
        <w:tc>
          <w:tcPr>
            <w:tcW w:w="626" w:type="pct"/>
            <w:vAlign w:val="center"/>
          </w:tcPr>
          <w:p w14:paraId="06441E3B"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91.19%</w:t>
            </w:r>
          </w:p>
        </w:tc>
        <w:tc>
          <w:tcPr>
            <w:tcW w:w="626" w:type="pct"/>
            <w:vAlign w:val="center"/>
          </w:tcPr>
          <w:p w14:paraId="7E488177" w14:textId="77777777" w:rsidR="00D20529" w:rsidRPr="00ED172B" w:rsidRDefault="00291EA9" w:rsidP="00291EA9">
            <w:pPr>
              <w:jc w:val="center"/>
              <w:rPr>
                <w:color w:val="000000" w:themeColor="text1"/>
              </w:rPr>
            </w:pPr>
            <w:r w:rsidRPr="00ED172B">
              <w:rPr>
                <w:color w:val="000000" w:themeColor="text1"/>
              </w:rPr>
              <w:t>91.10%</w:t>
            </w:r>
          </w:p>
        </w:tc>
        <w:tc>
          <w:tcPr>
            <w:tcW w:w="667" w:type="pct"/>
            <w:vAlign w:val="center"/>
          </w:tcPr>
          <w:p w14:paraId="3E9BAFBC"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89.47%</w:t>
            </w:r>
          </w:p>
        </w:tc>
        <w:tc>
          <w:tcPr>
            <w:tcW w:w="542" w:type="pct"/>
            <w:vAlign w:val="center"/>
          </w:tcPr>
          <w:p w14:paraId="75B1A2B9"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3ABC94D5"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Slippage</w:t>
            </w:r>
          </w:p>
        </w:tc>
      </w:tr>
      <w:tr w:rsidR="00ED172B" w:rsidRPr="00ED172B" w14:paraId="559C692B" w14:textId="77777777" w:rsidTr="00986B99">
        <w:trPr>
          <w:trHeight w:val="361"/>
        </w:trPr>
        <w:tc>
          <w:tcPr>
            <w:tcW w:w="2041" w:type="pct"/>
            <w:vAlign w:val="center"/>
          </w:tcPr>
          <w:p w14:paraId="644F6AFA" w14:textId="77777777"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vAlign w:val="center"/>
          </w:tcPr>
          <w:p w14:paraId="55C7EC6F"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90.67%</w:t>
            </w:r>
          </w:p>
        </w:tc>
        <w:tc>
          <w:tcPr>
            <w:tcW w:w="626" w:type="pct"/>
            <w:vAlign w:val="center"/>
          </w:tcPr>
          <w:p w14:paraId="71C64293" w14:textId="77777777" w:rsidR="00D20529" w:rsidRPr="00ED172B" w:rsidRDefault="00291EA9" w:rsidP="00291EA9">
            <w:pPr>
              <w:jc w:val="center"/>
              <w:rPr>
                <w:color w:val="000000" w:themeColor="text1"/>
              </w:rPr>
            </w:pPr>
            <w:r w:rsidRPr="00ED172B">
              <w:rPr>
                <w:color w:val="000000" w:themeColor="text1"/>
              </w:rPr>
              <w:t>92.66%</w:t>
            </w:r>
          </w:p>
        </w:tc>
        <w:tc>
          <w:tcPr>
            <w:tcW w:w="667" w:type="pct"/>
            <w:vAlign w:val="center"/>
          </w:tcPr>
          <w:p w14:paraId="5DF502F4"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91.90%</w:t>
            </w:r>
          </w:p>
        </w:tc>
        <w:tc>
          <w:tcPr>
            <w:tcW w:w="542" w:type="pct"/>
            <w:vAlign w:val="center"/>
          </w:tcPr>
          <w:p w14:paraId="1B7F26BB"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77FD9079"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257D91E4" w14:textId="77777777" w:rsidTr="00986B99">
        <w:trPr>
          <w:trHeight w:val="361"/>
        </w:trPr>
        <w:tc>
          <w:tcPr>
            <w:tcW w:w="2041" w:type="pct"/>
            <w:vAlign w:val="center"/>
          </w:tcPr>
          <w:p w14:paraId="6C7B7028" w14:textId="77777777"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vAlign w:val="center"/>
          </w:tcPr>
          <w:p w14:paraId="568AB10E"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91.71%</w:t>
            </w:r>
          </w:p>
        </w:tc>
        <w:tc>
          <w:tcPr>
            <w:tcW w:w="626" w:type="pct"/>
            <w:vAlign w:val="center"/>
          </w:tcPr>
          <w:p w14:paraId="21B7501D" w14:textId="77777777" w:rsidR="00D20529" w:rsidRPr="00ED172B" w:rsidRDefault="00291EA9" w:rsidP="00291EA9">
            <w:pPr>
              <w:jc w:val="center"/>
              <w:rPr>
                <w:color w:val="000000" w:themeColor="text1"/>
              </w:rPr>
            </w:pPr>
            <w:r w:rsidRPr="00ED172B">
              <w:rPr>
                <w:color w:val="000000" w:themeColor="text1"/>
              </w:rPr>
              <w:t>93.05%</w:t>
            </w:r>
          </w:p>
        </w:tc>
        <w:tc>
          <w:tcPr>
            <w:tcW w:w="667" w:type="pct"/>
            <w:vAlign w:val="center"/>
          </w:tcPr>
          <w:p w14:paraId="10891CD7"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89.88%</w:t>
            </w:r>
          </w:p>
        </w:tc>
        <w:tc>
          <w:tcPr>
            <w:tcW w:w="542" w:type="pct"/>
            <w:vAlign w:val="center"/>
          </w:tcPr>
          <w:p w14:paraId="77240F56"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3D6D4F07"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Slippage</w:t>
            </w:r>
          </w:p>
        </w:tc>
      </w:tr>
    </w:tbl>
    <w:p w14:paraId="5D52A334" w14:textId="77777777" w:rsidR="00BD192E" w:rsidRPr="00ED172B" w:rsidRDefault="00BD192E" w:rsidP="00BD192E">
      <w:pPr>
        <w:rPr>
          <w:rFonts w:cs="Arial"/>
          <w:b/>
          <w:i/>
          <w:color w:val="000000" w:themeColor="text1"/>
          <w:szCs w:val="16"/>
        </w:rPr>
      </w:pPr>
      <w:r w:rsidRPr="00ED172B">
        <w:rPr>
          <w:rFonts w:cs="Arial"/>
          <w:b/>
          <w:color w:val="000000" w:themeColor="text1"/>
          <w:szCs w:val="16"/>
        </w:rPr>
        <w:lastRenderedPageBreak/>
        <w:t xml:space="preserve">Provide reasons for part A slippage, if applicable </w:t>
      </w:r>
    </w:p>
    <w:p w14:paraId="464BF7C1" w14:textId="77777777" w:rsidR="00BD192E" w:rsidRDefault="00BD192E" w:rsidP="00BD192E">
      <w:pPr>
        <w:rPr>
          <w:color w:val="000000" w:themeColor="text1"/>
        </w:rPr>
      </w:pPr>
      <w:r w:rsidRPr="00ED172B">
        <w:rPr>
          <w:color w:val="000000" w:themeColor="text1"/>
        </w:rPr>
        <w:t>Slippage may be due to the configuration of the counties selected this year as part of the sampling plan. The State does not survey each program every year. The State determined that the difference in the rates this year compared to last year could be due to different counties surveyed in the sampling plan.</w:t>
      </w:r>
    </w:p>
    <w:p w14:paraId="6B6C763C" w14:textId="77777777" w:rsidR="000575B2" w:rsidRDefault="00D6492D">
      <w:r>
        <w:rPr>
          <w:color w:val="000000"/>
        </w:rPr>
        <w:t xml:space="preserve">Given the decreases in scores, the State examined whether the decrease was specific to </w:t>
      </w:r>
      <w:proofErr w:type="gramStart"/>
      <w:r>
        <w:rPr>
          <w:color w:val="000000"/>
        </w:rPr>
        <w:t>particular counties</w:t>
      </w:r>
      <w:proofErr w:type="gramEnd"/>
      <w:r>
        <w:rPr>
          <w:color w:val="000000"/>
        </w:rPr>
        <w:t xml:space="preserve"> when they were last surveyed two years ago. The State created a spreadsheet to show which counties had the largest/smallest difference in their Indicator 4 rates, to determine whether any follow-up was warranted. In addition, each county receives a report of its results over time, so it can be observed whether its Indicator 4 rates have decreased/increased/stayed the same.</w:t>
      </w:r>
    </w:p>
    <w:p w14:paraId="3B00D4CF" w14:textId="77777777" w:rsidR="007F63D9" w:rsidRPr="00ED172B" w:rsidRDefault="00F77D8B" w:rsidP="007F63D9">
      <w:pPr>
        <w:rPr>
          <w:rFonts w:cs="Arial"/>
          <w:b/>
          <w:i/>
          <w:color w:val="000000" w:themeColor="text1"/>
          <w:szCs w:val="16"/>
        </w:rPr>
      </w:pPr>
      <w:r w:rsidRPr="00ED172B">
        <w:rPr>
          <w:rFonts w:cs="Arial"/>
          <w:b/>
          <w:color w:val="000000" w:themeColor="text1"/>
          <w:szCs w:val="16"/>
        </w:rPr>
        <w:t>Provide reasons for part C slippage, if applicable</w:t>
      </w:r>
    </w:p>
    <w:p w14:paraId="29F0CA2A" w14:textId="77777777" w:rsidR="007F63D9" w:rsidRDefault="00291EA9" w:rsidP="00291EA9">
      <w:pPr>
        <w:rPr>
          <w:color w:val="000000" w:themeColor="text1"/>
        </w:rPr>
      </w:pPr>
      <w:r w:rsidRPr="00ED172B">
        <w:rPr>
          <w:color w:val="000000" w:themeColor="text1"/>
        </w:rPr>
        <w:t xml:space="preserve">Slippage may be due to the configuration of the counties selected this year as part of the sampling plan. The State does not survey each program every year. The State determined that the difference in the rates this year compared to last year could be due to different counties surveyed in the sampling plan. </w:t>
      </w:r>
    </w:p>
    <w:p w14:paraId="1588733E" w14:textId="77777777" w:rsidR="000575B2" w:rsidRDefault="00D6492D">
      <w:r>
        <w:rPr>
          <w:color w:val="000000"/>
        </w:rPr>
        <w:t xml:space="preserve">Given the decreases in scores, the State examined whether the decrease was specific to </w:t>
      </w:r>
      <w:proofErr w:type="gramStart"/>
      <w:r>
        <w:rPr>
          <w:color w:val="000000"/>
        </w:rPr>
        <w:t>particular counties</w:t>
      </w:r>
      <w:proofErr w:type="gramEnd"/>
      <w:r>
        <w:rPr>
          <w:color w:val="000000"/>
        </w:rPr>
        <w:t xml:space="preserve"> when they were last surveyed two years ago. The State created a spreadsheet to show which counties had the largest/smallest difference in their Indicator 4 rates, to determine whether any follow-up was warranted. In addition, each county receives a report of its results over time, so it can be observed whether its Indicator 4 rates have decreased/increased/stayed the same.</w:t>
      </w:r>
    </w:p>
    <w:p w14:paraId="2EB9DE07" w14:textId="77777777"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0E46B854" w14:textId="77777777" w:rsidTr="00A40EE1">
        <w:trPr>
          <w:tblHeader/>
        </w:trPr>
        <w:tc>
          <w:tcPr>
            <w:tcW w:w="3960" w:type="pct"/>
            <w:tcBorders>
              <w:top w:val="single" w:sz="4" w:space="0" w:color="auto"/>
              <w:left w:val="single" w:sz="4" w:space="0" w:color="auto"/>
            </w:tcBorders>
          </w:tcPr>
          <w:p w14:paraId="2B87777B" w14:textId="77777777"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06FF615C"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1A19F8D6" w14:textId="77777777" w:rsidTr="00186420">
        <w:tc>
          <w:tcPr>
            <w:tcW w:w="3960" w:type="pct"/>
          </w:tcPr>
          <w:p w14:paraId="4A1A20F1"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676EA0C1" w14:textId="77777777"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4B904C8A" w14:textId="77777777" w:rsidTr="00186420">
        <w:tc>
          <w:tcPr>
            <w:tcW w:w="3960" w:type="pct"/>
          </w:tcPr>
          <w:p w14:paraId="716BF2B8" w14:textId="77777777" w:rsidR="00013004" w:rsidRPr="00ED172B" w:rsidRDefault="001C5219" w:rsidP="00781A26">
            <w:pPr>
              <w:rPr>
                <w:rFonts w:cs="Arial"/>
                <w:color w:val="000000" w:themeColor="text1"/>
                <w:szCs w:val="16"/>
              </w:rPr>
            </w:pPr>
            <w:r w:rsidRPr="00ED172B">
              <w:rPr>
                <w:rFonts w:cs="Arial"/>
                <w:color w:val="000000" w:themeColor="text1"/>
                <w:szCs w:val="16"/>
              </w:rPr>
              <w:t xml:space="preserve">If yes, has your previously approved sampling plan changed? </w:t>
            </w:r>
          </w:p>
        </w:tc>
        <w:tc>
          <w:tcPr>
            <w:tcW w:w="1040" w:type="pct"/>
          </w:tcPr>
          <w:p w14:paraId="554B79E6" w14:textId="77777777"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79D517C1" w14:textId="77777777" w:rsidR="00013004" w:rsidRPr="00ED172B" w:rsidRDefault="00013004" w:rsidP="00013004">
      <w:pPr>
        <w:rPr>
          <w:rFonts w:cs="Arial"/>
          <w:b/>
          <w:color w:val="000000" w:themeColor="text1"/>
          <w:szCs w:val="16"/>
        </w:rPr>
      </w:pPr>
      <w:r w:rsidRPr="00ED172B">
        <w:rPr>
          <w:rFonts w:cs="Arial"/>
          <w:b/>
          <w:color w:val="000000" w:themeColor="text1"/>
          <w:szCs w:val="16"/>
        </w:rPr>
        <w:t xml:space="preserve">Describe the sampling methodology outlining how the design will yield valid and reliable estimates. </w:t>
      </w:r>
    </w:p>
    <w:p w14:paraId="7EFD4E35" w14:textId="77777777" w:rsidR="00013004" w:rsidRDefault="00860830" w:rsidP="00013004">
      <w:pPr>
        <w:rPr>
          <w:rFonts w:cs="Arial"/>
          <w:color w:val="000000" w:themeColor="text1"/>
          <w:szCs w:val="16"/>
        </w:rPr>
      </w:pPr>
      <w:r w:rsidRPr="00ED172B">
        <w:rPr>
          <w:rFonts w:cs="Arial"/>
          <w:color w:val="000000" w:themeColor="text1"/>
          <w:szCs w:val="16"/>
        </w:rPr>
        <w:t xml:space="preserve">The sampling methodology is designed to choose a representative set of counties each year that is reflective of the State’s </w:t>
      </w:r>
      <w:proofErr w:type="gramStart"/>
      <w:r w:rsidRPr="00ED172B">
        <w:rPr>
          <w:rFonts w:cs="Arial"/>
          <w:color w:val="000000" w:themeColor="text1"/>
          <w:szCs w:val="16"/>
        </w:rPr>
        <w:t>population as a whole, with</w:t>
      </w:r>
      <w:proofErr w:type="gramEnd"/>
      <w:r w:rsidRPr="00ED172B">
        <w:rPr>
          <w:rFonts w:cs="Arial"/>
          <w:color w:val="000000" w:themeColor="text1"/>
          <w:szCs w:val="16"/>
        </w:rPr>
        <w:t xml:space="preserve"> counties following an every-other-year rotation. For counties that have more than 100 children with disabilities receiving services, a sample of children is selected for their </w:t>
      </w:r>
      <w:proofErr w:type="gramStart"/>
      <w:r w:rsidRPr="00ED172B">
        <w:rPr>
          <w:rFonts w:cs="Arial"/>
          <w:color w:val="000000" w:themeColor="text1"/>
          <w:szCs w:val="16"/>
        </w:rPr>
        <w:t>families  to</w:t>
      </w:r>
      <w:proofErr w:type="gramEnd"/>
      <w:r w:rsidRPr="00ED172B">
        <w:rPr>
          <w:rFonts w:cs="Arial"/>
          <w:color w:val="000000" w:themeColor="text1"/>
          <w:szCs w:val="16"/>
        </w:rPr>
        <w:t xml:space="preserve"> receive the survey. This sample is stratified by county, program, age, race/ethnicity, gender, primary disability, and language to ensure representativeness within each county.</w:t>
      </w:r>
    </w:p>
    <w:p w14:paraId="56AE3446"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2"/>
        <w:gridCol w:w="2268"/>
      </w:tblGrid>
      <w:tr w:rsidR="00ED172B" w:rsidRPr="00ED172B" w14:paraId="32CD3F05" w14:textId="77777777" w:rsidTr="002167E3">
        <w:trPr>
          <w:tblHeader/>
        </w:trPr>
        <w:tc>
          <w:tcPr>
            <w:tcW w:w="3949" w:type="pct"/>
            <w:tcBorders>
              <w:top w:val="single" w:sz="4" w:space="0" w:color="auto"/>
              <w:left w:val="single" w:sz="4" w:space="0" w:color="auto"/>
            </w:tcBorders>
          </w:tcPr>
          <w:p w14:paraId="7418465B" w14:textId="77777777"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1" w:type="pct"/>
            <w:tcBorders>
              <w:top w:val="single" w:sz="4" w:space="0" w:color="auto"/>
            </w:tcBorders>
          </w:tcPr>
          <w:p w14:paraId="62500499"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52EECE71" w14:textId="77777777" w:rsidTr="002167E3">
        <w:tc>
          <w:tcPr>
            <w:tcW w:w="3949" w:type="pct"/>
          </w:tcPr>
          <w:p w14:paraId="06F769B4" w14:textId="77777777"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1" w:type="pct"/>
          </w:tcPr>
          <w:p w14:paraId="5C9ECB6C" w14:textId="77777777"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65259D34" w14:textId="77777777" w:rsidTr="002167E3">
        <w:tc>
          <w:tcPr>
            <w:tcW w:w="3949" w:type="pct"/>
          </w:tcPr>
          <w:p w14:paraId="2E72A795"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1" w:type="pct"/>
          </w:tcPr>
          <w:p w14:paraId="7F93D37F" w14:textId="77777777"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6F0CCDA6" w14:textId="77777777" w:rsidR="00437F97" w:rsidRDefault="00437F97" w:rsidP="00437F97">
      <w:pPr>
        <w:rPr>
          <w:rFonts w:cs="Arial"/>
          <w:b/>
          <w:color w:val="000000" w:themeColor="text1"/>
          <w:szCs w:val="16"/>
        </w:rPr>
      </w:pPr>
    </w:p>
    <w:p w14:paraId="593A3983" w14:textId="77777777" w:rsidR="00BD192E" w:rsidRPr="00E310A4" w:rsidRDefault="00BD192E" w:rsidP="00BD192E">
      <w:pPr>
        <w:rPr>
          <w:rFonts w:cs="Arial"/>
          <w:b/>
          <w:bCs/>
          <w:szCs w:val="16"/>
        </w:rPr>
      </w:pPr>
      <w:r w:rsidRPr="00E310A4">
        <w:rPr>
          <w:rFonts w:cs="Arial"/>
          <w:b/>
          <w:bCs/>
          <w:szCs w:val="16"/>
        </w:rPr>
        <w:t>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05F37546" w14:textId="77777777" w:rsidTr="0055373D">
        <w:trPr>
          <w:trHeight w:val="350"/>
        </w:trPr>
        <w:tc>
          <w:tcPr>
            <w:tcW w:w="888" w:type="pct"/>
            <w:tcBorders>
              <w:bottom w:val="single" w:sz="4" w:space="0" w:color="auto"/>
            </w:tcBorders>
            <w:vAlign w:val="bottom"/>
          </w:tcPr>
          <w:p w14:paraId="29BD391F"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vAlign w:val="center"/>
          </w:tcPr>
          <w:p w14:paraId="5B452EA1"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2023</w:t>
            </w:r>
          </w:p>
        </w:tc>
        <w:tc>
          <w:tcPr>
            <w:tcW w:w="2056" w:type="pct"/>
          </w:tcPr>
          <w:p w14:paraId="081AC490" w14:textId="77777777" w:rsidR="00550FC1" w:rsidRPr="00ED172B" w:rsidRDefault="00550FC1" w:rsidP="00B073DB">
            <w:pPr>
              <w:jc w:val="center"/>
              <w:rPr>
                <w:rFonts w:cs="Arial"/>
                <w:b/>
                <w:color w:val="000000" w:themeColor="text1"/>
                <w:szCs w:val="16"/>
              </w:rPr>
            </w:pPr>
            <w:r>
              <w:rPr>
                <w:rFonts w:cs="Arial"/>
                <w:b/>
                <w:color w:val="000000" w:themeColor="text1"/>
                <w:szCs w:val="16"/>
              </w:rPr>
              <w:t>2024</w:t>
            </w:r>
          </w:p>
        </w:tc>
      </w:tr>
      <w:tr w:rsidR="00550FC1" w:rsidRPr="00794BA1" w14:paraId="00817383" w14:textId="77777777" w:rsidTr="0055373D">
        <w:trPr>
          <w:trHeight w:val="357"/>
        </w:trPr>
        <w:tc>
          <w:tcPr>
            <w:tcW w:w="888" w:type="pct"/>
          </w:tcPr>
          <w:p w14:paraId="67E6B14E" w14:textId="77777777" w:rsidR="00550FC1" w:rsidRPr="00ED172B" w:rsidRDefault="00550FC1" w:rsidP="00D21F29">
            <w:pPr>
              <w:jc w:val="center"/>
              <w:rPr>
                <w:rFonts w:cs="Arial"/>
                <w:color w:val="000000" w:themeColor="text1"/>
                <w:szCs w:val="16"/>
              </w:rPr>
            </w:pPr>
            <w:r>
              <w:rPr>
                <w:rFonts w:cs="Arial"/>
                <w:szCs w:val="16"/>
              </w:rPr>
              <w:t>Survey Response Rate</w:t>
            </w:r>
          </w:p>
        </w:tc>
        <w:tc>
          <w:tcPr>
            <w:tcW w:w="2056" w:type="pct"/>
            <w:vAlign w:val="center"/>
          </w:tcPr>
          <w:p w14:paraId="182CE3FE" w14:textId="77777777" w:rsidR="00550FC1" w:rsidRPr="00ED172B" w:rsidRDefault="00550FC1" w:rsidP="00B073DB">
            <w:pPr>
              <w:jc w:val="center"/>
              <w:rPr>
                <w:color w:val="000000" w:themeColor="text1"/>
              </w:rPr>
            </w:pPr>
            <w:r w:rsidRPr="00ED172B">
              <w:rPr>
                <w:color w:val="000000" w:themeColor="text1"/>
              </w:rPr>
              <w:t>15.23%</w:t>
            </w:r>
          </w:p>
        </w:tc>
        <w:tc>
          <w:tcPr>
            <w:tcW w:w="2056" w:type="pct"/>
            <w:vAlign w:val="center"/>
          </w:tcPr>
          <w:p w14:paraId="0D3334E8" w14:textId="77777777" w:rsidR="00550FC1" w:rsidRPr="00794BA1" w:rsidRDefault="00550FC1" w:rsidP="00B073DB">
            <w:pPr>
              <w:jc w:val="center"/>
              <w:rPr>
                <w:color w:val="000000" w:themeColor="text1"/>
              </w:rPr>
            </w:pPr>
            <w:r w:rsidRPr="00794BA1">
              <w:rPr>
                <w:color w:val="000000" w:themeColor="text1"/>
              </w:rPr>
              <w:t>16.96%</w:t>
            </w:r>
          </w:p>
        </w:tc>
      </w:tr>
    </w:tbl>
    <w:p w14:paraId="01392A28" w14:textId="77777777" w:rsidR="00BD192E" w:rsidRDefault="00BD192E" w:rsidP="00437F97">
      <w:pPr>
        <w:rPr>
          <w:rFonts w:cs="Arial"/>
          <w:b/>
          <w:color w:val="000000" w:themeColor="text1"/>
          <w:szCs w:val="16"/>
        </w:rPr>
      </w:pPr>
    </w:p>
    <w:p w14:paraId="0912F18A" w14:textId="77777777" w:rsidR="00437F97" w:rsidRPr="005E75A0" w:rsidRDefault="6D93630C" w:rsidP="7116EC8A">
      <w:pPr>
        <w:rPr>
          <w:rFonts w:cs="Arial"/>
          <w:b/>
          <w:bCs/>
          <w:color w:val="000000" w:themeColor="text1"/>
        </w:rPr>
      </w:pPr>
      <w:r w:rsidRPr="7116EC8A">
        <w:rPr>
          <w:rFonts w:cs="Arial"/>
          <w:b/>
          <w:bCs/>
          <w:color w:val="000000" w:themeColor="text1"/>
        </w:rPr>
        <w:t>Describe the metric used to determine representativeness (e.g., +/- 3% discrepancy in the proportion of responders compared to target group).</w:t>
      </w:r>
    </w:p>
    <w:p w14:paraId="36C8F22B" w14:textId="77777777" w:rsidR="00437F97" w:rsidRPr="00F85A5B" w:rsidRDefault="00437F97" w:rsidP="00437F97">
      <w:pPr>
        <w:rPr>
          <w:rFonts w:cs="Arial"/>
          <w:color w:val="000000" w:themeColor="text1"/>
          <w:szCs w:val="16"/>
        </w:rPr>
      </w:pPr>
      <w:r w:rsidRPr="00ED172B">
        <w:rPr>
          <w:rFonts w:cs="Arial"/>
          <w:color w:val="000000" w:themeColor="text1"/>
          <w:szCs w:val="16"/>
        </w:rPr>
        <w:t xml:space="preserve">+/- 3% discrepancy in the proportion of responders compared to the population of a given target group </w:t>
      </w:r>
    </w:p>
    <w:p w14:paraId="55FF1B35" w14:textId="77777777" w:rsidR="0084778F" w:rsidRDefault="0084778F" w:rsidP="00013004">
      <w:pPr>
        <w:rPr>
          <w:rFonts w:cs="Arial"/>
          <w:b/>
          <w:color w:val="000000" w:themeColor="text1"/>
          <w:szCs w:val="16"/>
        </w:rPr>
      </w:pPr>
    </w:p>
    <w:p w14:paraId="36C39AD8" w14:textId="77777777" w:rsidR="00437F97" w:rsidRPr="005E75A0" w:rsidRDefault="00437F97" w:rsidP="00437F97">
      <w:pPr>
        <w:rPr>
          <w:b/>
          <w:color w:val="000000" w:themeColor="text1"/>
        </w:rPr>
      </w:pPr>
      <w:r w:rsidRPr="005E75A0">
        <w:rPr>
          <w:rFonts w:cs="Arial"/>
          <w:b/>
          <w:color w:val="000000" w:themeColor="text1"/>
          <w:szCs w:val="16"/>
        </w:rPr>
        <w:t xml:space="preserve">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w:t>
      </w:r>
      <w:proofErr w:type="gramStart"/>
      <w:r w:rsidRPr="005E75A0">
        <w:rPr>
          <w:rFonts w:cs="Arial"/>
          <w:b/>
          <w:color w:val="000000" w:themeColor="text1"/>
          <w:szCs w:val="16"/>
        </w:rPr>
        <w:t>infant</w:t>
      </w:r>
      <w:proofErr w:type="gramEnd"/>
      <w:r w:rsidRPr="005E75A0">
        <w:rPr>
          <w:rFonts w:cs="Arial"/>
          <w:b/>
          <w:color w:val="000000" w:themeColor="text1"/>
          <w:szCs w:val="16"/>
        </w:rPr>
        <w:t xml:space="preserve"> or </w:t>
      </w:r>
      <w:proofErr w:type="gramStart"/>
      <w:r w:rsidRPr="005E75A0">
        <w:rPr>
          <w:rFonts w:cs="Arial"/>
          <w:b/>
          <w:color w:val="000000" w:themeColor="text1"/>
          <w:szCs w:val="16"/>
        </w:rPr>
        <w:t>toddler</w:t>
      </w:r>
      <w:proofErr w:type="gramEnd"/>
      <w:r w:rsidRPr="005E75A0">
        <w:rPr>
          <w:rFonts w:cs="Arial"/>
          <w:b/>
          <w:color w:val="000000" w:themeColor="text1"/>
          <w:szCs w:val="16"/>
        </w:rPr>
        <w:t>,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14:paraId="09181B1A" w14:textId="77777777" w:rsidR="00437F97" w:rsidRPr="00437F97" w:rsidRDefault="00437F97" w:rsidP="00437F97">
      <w:pPr>
        <w:rPr>
          <w:b/>
          <w:color w:val="000000" w:themeColor="text1"/>
        </w:rPr>
      </w:pPr>
      <w:r w:rsidRPr="00437F97">
        <w:rPr>
          <w:rFonts w:cs="Arial"/>
          <w:bCs/>
          <w:color w:val="000000" w:themeColor="text1"/>
          <w:szCs w:val="16"/>
        </w:rPr>
        <w:t>The State compared the representation by race/ethnicity and primary disability in the population to the representation among respondents, using a +/- 3% criterion to identify over- or under-representation.</w:t>
      </w:r>
    </w:p>
    <w:p w14:paraId="7CD4649F" w14:textId="77777777" w:rsidR="000575B2" w:rsidRDefault="000575B2"/>
    <w:p w14:paraId="7B252018" w14:textId="77777777" w:rsidR="000575B2" w:rsidRDefault="00D6492D">
      <w:r>
        <w:rPr>
          <w:color w:val="000000"/>
        </w:rPr>
        <w:t xml:space="preserve">Using this methodology, no differences were found by disability. All disability groups were within +/- 3% of the population. One difference was found by race/ethnicity. The population consists of 57% White students, whereas the respondents comprised 60% White students. </w:t>
      </w:r>
      <w:proofErr w:type="gramStart"/>
      <w:r>
        <w:rPr>
          <w:color w:val="000000"/>
        </w:rPr>
        <w:t>All of</w:t>
      </w:r>
      <w:proofErr w:type="gramEnd"/>
      <w:r>
        <w:rPr>
          <w:color w:val="000000"/>
        </w:rPr>
        <w:t xml:space="preserve"> the racial/ethnic categories were within +/- 3% of the population. Families from a wide range of counties across the State responded to the survey and results are weighted by county to ensure that the family survey results reflect the geographic distribution of families. Due to the differences in race/ethnicity, the State concludes that the results are not representative.</w:t>
      </w:r>
    </w:p>
    <w:p w14:paraId="5A4D2E21" w14:textId="77777777" w:rsidR="00437F97" w:rsidRPr="000762B0" w:rsidRDefault="00846C1E" w:rsidP="00437F97">
      <w:pPr>
        <w:pStyle w:val="Subhed"/>
        <w:rPr>
          <w:bCs/>
        </w:rPr>
      </w:pPr>
      <w:r w:rsidRPr="00ED172B">
        <w:rPr>
          <w:color w:val="000000" w:themeColor="text1"/>
        </w:rPr>
        <w:t>The demographics of the infants or toddlers for whom families responded are representative of the demographics of infants and toddlers enrolled in the Part C program. (</w:t>
      </w:r>
      <w:r w:rsidR="00437F97" w:rsidRPr="000762B0">
        <w:rPr>
          <w:bCs/>
        </w:rPr>
        <w:t>yes/no)</w:t>
      </w:r>
    </w:p>
    <w:p w14:paraId="5DEF9A1A" w14:textId="77777777" w:rsidR="00F5591B" w:rsidRDefault="00846C1E" w:rsidP="00437F97">
      <w:pPr>
        <w:pStyle w:val="Subhed"/>
        <w:rPr>
          <w:b w:val="0"/>
          <w:bCs/>
          <w:color w:val="000000" w:themeColor="text1"/>
        </w:rPr>
      </w:pPr>
      <w:r w:rsidRPr="00ED172B">
        <w:rPr>
          <w:color w:val="000000" w:themeColor="text1"/>
        </w:rPr>
        <w:t>NO</w:t>
      </w:r>
    </w:p>
    <w:p w14:paraId="4BF7C9C9" w14:textId="77777777" w:rsidR="00013004" w:rsidRPr="00ED172B" w:rsidRDefault="00B24CA0" w:rsidP="00013004">
      <w:pPr>
        <w:rPr>
          <w:rFonts w:cs="Arial"/>
          <w:b/>
          <w:color w:val="000000" w:themeColor="text1"/>
          <w:szCs w:val="16"/>
        </w:rPr>
      </w:pPr>
      <w:r w:rsidRPr="00ED172B">
        <w:rPr>
          <w:rFonts w:cs="Arial"/>
          <w:b/>
          <w:color w:val="000000" w:themeColor="text1"/>
          <w:szCs w:val="16"/>
        </w:rPr>
        <w:t xml:space="preserve">If </w:t>
      </w:r>
      <w:proofErr w:type="gramStart"/>
      <w:r w:rsidRPr="00ED172B">
        <w:rPr>
          <w:rFonts w:cs="Arial"/>
          <w:b/>
          <w:color w:val="000000" w:themeColor="text1"/>
          <w:szCs w:val="16"/>
        </w:rPr>
        <w:t>no</w:t>
      </w:r>
      <w:proofErr w:type="gramEnd"/>
      <w:r w:rsidRPr="00ED172B">
        <w:rPr>
          <w:rFonts w:cs="Arial"/>
          <w:b/>
          <w:color w:val="000000" w:themeColor="text1"/>
          <w:szCs w:val="16"/>
        </w:rPr>
        <w:t xml:space="preserve">, describe the strategies that the State will use to ensure that in the future the response data are representative of those demographics. </w:t>
      </w:r>
    </w:p>
    <w:p w14:paraId="7C0504E6" w14:textId="77777777" w:rsidR="00F5591B" w:rsidRDefault="00F5591B" w:rsidP="00F5591B">
      <w:pPr>
        <w:rPr>
          <w:rFonts w:cs="Arial"/>
          <w:color w:val="000000" w:themeColor="text1"/>
          <w:szCs w:val="16"/>
        </w:rPr>
      </w:pPr>
      <w:r w:rsidRPr="00ED172B">
        <w:rPr>
          <w:rFonts w:cs="Arial"/>
          <w:color w:val="000000" w:themeColor="text1"/>
          <w:szCs w:val="16"/>
        </w:rPr>
        <w:t xml:space="preserve">The State will be revising </w:t>
      </w:r>
      <w:proofErr w:type="spellStart"/>
      <w:proofErr w:type="gramStart"/>
      <w:r w:rsidRPr="00ED172B">
        <w:rPr>
          <w:rFonts w:cs="Arial"/>
          <w:color w:val="000000" w:themeColor="text1"/>
          <w:szCs w:val="16"/>
        </w:rPr>
        <w:t>it's</w:t>
      </w:r>
      <w:proofErr w:type="spellEnd"/>
      <w:proofErr w:type="gramEnd"/>
      <w:r w:rsidRPr="00ED172B">
        <w:rPr>
          <w:rFonts w:cs="Arial"/>
          <w:color w:val="000000" w:themeColor="text1"/>
          <w:szCs w:val="16"/>
        </w:rPr>
        <w:t xml:space="preserve"> outreach materials to be family-friendly and easy for programs to personalize. The outreach materials will continue to be translated into multiple languages. The State will also hold parent survey informational sessions in Spanish in collaboration with the Parent Training and Information Center (PTIC). The State will collaborate with local programs to send out reminders to families.</w:t>
      </w:r>
    </w:p>
    <w:p w14:paraId="6799E66F" w14:textId="77777777" w:rsidR="00DF2F4F" w:rsidRPr="00DF2F4F" w:rsidRDefault="00DF2F4F" w:rsidP="00DF2F4F">
      <w:pPr>
        <w:rPr>
          <w:rFonts w:cs="Arial"/>
          <w:b/>
          <w:bCs/>
          <w:color w:val="000000" w:themeColor="text1"/>
          <w:szCs w:val="16"/>
        </w:rPr>
      </w:pPr>
      <w:r w:rsidRPr="00DF2F4F">
        <w:rPr>
          <w:rFonts w:cs="Arial"/>
          <w:b/>
          <w:bCs/>
          <w:color w:val="000000" w:themeColor="text1"/>
          <w:szCs w:val="16"/>
        </w:rPr>
        <w:t xml:space="preserve">Describe strategies that will be implemented which are expected to increase the response rate year </w:t>
      </w:r>
      <w:proofErr w:type="gramStart"/>
      <w:r w:rsidRPr="00DF2F4F">
        <w:rPr>
          <w:rFonts w:cs="Arial"/>
          <w:b/>
          <w:bCs/>
          <w:color w:val="000000" w:themeColor="text1"/>
          <w:szCs w:val="16"/>
        </w:rPr>
        <w:t>over</w:t>
      </w:r>
      <w:proofErr w:type="gramEnd"/>
      <w:r w:rsidRPr="00DF2F4F">
        <w:rPr>
          <w:rFonts w:cs="Arial"/>
          <w:b/>
          <w:bCs/>
          <w:color w:val="000000" w:themeColor="text1"/>
          <w:szCs w:val="16"/>
        </w:rPr>
        <w:t xml:space="preserve"> year, particularly for those groups that are underrepresented.</w:t>
      </w:r>
    </w:p>
    <w:p w14:paraId="162A2C55" w14:textId="77777777" w:rsidR="00DF2F4F" w:rsidRDefault="00DF2F4F" w:rsidP="00DF2F4F">
      <w:pPr>
        <w:rPr>
          <w:rFonts w:cs="Arial"/>
          <w:b/>
          <w:color w:val="000000" w:themeColor="text1"/>
          <w:szCs w:val="16"/>
        </w:rPr>
      </w:pPr>
      <w:r w:rsidRPr="00ED172B">
        <w:rPr>
          <w:rFonts w:cs="Arial"/>
          <w:color w:val="000000" w:themeColor="text1"/>
          <w:szCs w:val="16"/>
        </w:rPr>
        <w:lastRenderedPageBreak/>
        <w:t xml:space="preserve">The State held a series of feedback sessions with families, community partners, program directors, and providers to gather feedback on the survey materials and </w:t>
      </w:r>
      <w:proofErr w:type="gramStart"/>
      <w:r w:rsidRPr="00ED172B">
        <w:rPr>
          <w:rFonts w:cs="Arial"/>
          <w:color w:val="000000" w:themeColor="text1"/>
          <w:szCs w:val="16"/>
        </w:rPr>
        <w:t>process</w:t>
      </w:r>
      <w:proofErr w:type="gramEnd"/>
      <w:r w:rsidRPr="00ED172B">
        <w:rPr>
          <w:rFonts w:cs="Arial"/>
          <w:color w:val="000000" w:themeColor="text1"/>
          <w:szCs w:val="16"/>
        </w:rPr>
        <w:t>. The goal was to determine ways to increase the response rate and ensure the results are representative. Based on feedback from those sessions, the State is making several changes, with an emphasis on updating outreach materials to be more family-friendly, culturally responsive, and easier for programs to personalize. Additional changes include modifying some survey questions, rewording the cover letter, providing clear information for families about the text message they will receive, and coordinating outreach efforts with the Parent Training and Information Center (PTIC).</w:t>
      </w:r>
    </w:p>
    <w:p w14:paraId="6AF383F4" w14:textId="77777777" w:rsidR="000575B2" w:rsidRDefault="00D6492D">
      <w:r>
        <w:rPr>
          <w:color w:val="000000"/>
        </w:rPr>
        <w:t xml:space="preserve"> Survey results show white children are overrepresented compared to population data. To address this and better reflect all children, the state will introduce more culturally responsive outreach materials. The materials, including flyers and social media graphics, will feature images of diverse children, use simplified language, and be translated into 13 languages. The State will partner with the PTIC to offer Spanish informational sessions and encourage programs to share survey information with families via trusted messengers. </w:t>
      </w:r>
    </w:p>
    <w:p w14:paraId="1B1A27FF" w14:textId="77777777" w:rsidR="003B21F7" w:rsidRPr="003B21F7" w:rsidRDefault="003B21F7" w:rsidP="003B21F7">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14:paraId="557D1AF5" w14:textId="77777777" w:rsidR="000F27DB" w:rsidRDefault="003B21F7" w:rsidP="000B4FD4">
      <w:pPr>
        <w:rPr>
          <w:rFonts w:cs="Arial"/>
          <w:b/>
          <w:color w:val="000000" w:themeColor="text1"/>
          <w:szCs w:val="16"/>
        </w:rPr>
      </w:pPr>
      <w:r w:rsidRPr="00ED172B">
        <w:rPr>
          <w:rFonts w:cs="Arial"/>
          <w:color w:val="000000" w:themeColor="text1"/>
          <w:szCs w:val="16"/>
        </w:rPr>
        <w:t xml:space="preserve">Nonresponse bias measures the differences in opinions between respondents and non-respondents in meaningful ways, such as the positivity of responses. A few factors can be examined to determine nonresponse bias. One is the overall response rate. The higher the response rate, the less likely nonresponse bias is to occur. The response rate is 16.96%, which is higher than last year’s response rate of 15.23%. However, it is possible that families who did not respond differ in some measurable way in their level of positivity from those who did. Therefore, the State examined nonresponse bias by comparing representativeness and survey response rates for earlier versus later responses. </w:t>
      </w:r>
    </w:p>
    <w:p w14:paraId="3B80011F" w14:textId="77777777" w:rsidR="000575B2" w:rsidRDefault="000575B2"/>
    <w:p w14:paraId="38B7CD1E" w14:textId="77777777" w:rsidR="000575B2" w:rsidRDefault="00D6492D">
      <w:r>
        <w:rPr>
          <w:color w:val="000000"/>
        </w:rPr>
        <w:t xml:space="preserve">When the representativeness of the responses was examined, no differences were found by disability; however, one difference was found by race/ethnicity. The three measure scores showed no differences by race/ethnicity. Despite results being weighted by county to ensure that the family survey results reflect the population of families in terms of geographic distribution, the lack of representativeness by race/ethnicity indicates possible nonresponse bias in the response rate. </w:t>
      </w:r>
    </w:p>
    <w:p w14:paraId="7E44BCFB" w14:textId="77777777" w:rsidR="000575B2" w:rsidRDefault="000575B2"/>
    <w:p w14:paraId="2E12D528" w14:textId="77777777" w:rsidR="000575B2" w:rsidRDefault="00D6492D">
      <w:r>
        <w:rPr>
          <w:color w:val="000000"/>
        </w:rPr>
        <w:t>The survey response rates for earlier versus later respondents were also examined. It is possible that respondents who do not immediately respond to the survey differ in some measurable way from those who do. Therefore, the responses of families who responded early in the process were compared with those who responded later. The results showed no statistically significant differences between families who responded earlier and families who responded later. However, due to the differences in response rates by race/ethnicity, the State concludes that nonresponse bias might be present.</w:t>
      </w:r>
    </w:p>
    <w:p w14:paraId="23882FA2" w14:textId="77777777" w:rsidR="000575B2" w:rsidRDefault="00D6492D">
      <w:r>
        <w:rPr>
          <w:color w:val="000000"/>
        </w:rPr>
        <w:t>Analysis of the survey results shows that white children are overrepresented compared to population data. The state is taking several steps to reduce potential bias arising from the lack of racial and ethnic representation. This includes updating outreach efforts to be more culturally responsive. Outreach materials, including flyers and social media graphics, have been updated to feature images of diverse children, use simplified language, and have been translated into 13 languages.  The State is encouraging programs to share survey information with families via trusted messengers. Additionally, the State is partnering with the Parent Training and Information Center to advertise the survey and do targeted outreach (e.g., Spanish informational sessions).</w:t>
      </w:r>
    </w:p>
    <w:bookmarkEnd w:id="24"/>
    <w:p w14:paraId="3A9813FF" w14:textId="7777777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7743F5AD" w14:textId="77777777" w:rsidR="003A3693" w:rsidRPr="00ED172B" w:rsidRDefault="003A3693" w:rsidP="003A3693">
      <w:pPr>
        <w:rPr>
          <w:rFonts w:cs="Arial"/>
          <w:color w:val="000000" w:themeColor="text1"/>
          <w:szCs w:val="16"/>
        </w:rPr>
      </w:pPr>
    </w:p>
    <w:p w14:paraId="0534D81A" w14:textId="77777777" w:rsidR="00DC0682" w:rsidRPr="00A40EE1" w:rsidRDefault="000D0117" w:rsidP="005C3FFD">
      <w:pPr>
        <w:pStyle w:val="Heading2"/>
      </w:pPr>
      <w:r w:rsidRPr="00A40EE1">
        <w:t xml:space="preserve">4 - </w:t>
      </w:r>
      <w:r w:rsidR="00DC0682" w:rsidRPr="00A40EE1">
        <w:t>Prior FFY Required Actions</w:t>
      </w:r>
    </w:p>
    <w:p w14:paraId="57530070" w14:textId="77777777" w:rsidR="004C1CEE" w:rsidRPr="00ED172B" w:rsidRDefault="00291EA9" w:rsidP="00027F39">
      <w:pPr>
        <w:rPr>
          <w:color w:val="000000" w:themeColor="text1"/>
        </w:rPr>
      </w:pPr>
      <w:r w:rsidRPr="00ED172B">
        <w:rPr>
          <w:color w:val="000000" w:themeColor="text1"/>
        </w:rPr>
        <w:t>None</w:t>
      </w:r>
    </w:p>
    <w:p w14:paraId="26449BDC" w14:textId="77777777" w:rsidR="004C1CEE" w:rsidRPr="00ED172B" w:rsidRDefault="004C1CEE" w:rsidP="00DC0682">
      <w:pPr>
        <w:rPr>
          <w:rFonts w:cs="Arial"/>
          <w:color w:val="000000" w:themeColor="text1"/>
          <w:szCs w:val="16"/>
        </w:rPr>
      </w:pPr>
    </w:p>
    <w:p w14:paraId="311C123A" w14:textId="77777777"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1CF4039A" w14:textId="77777777" w:rsidR="00DC0682" w:rsidRPr="00A40EE1" w:rsidRDefault="000D0117" w:rsidP="005C3FFD">
      <w:pPr>
        <w:pStyle w:val="Heading2"/>
      </w:pPr>
      <w:r w:rsidRPr="00A40EE1">
        <w:t xml:space="preserve">4 - </w:t>
      </w:r>
      <w:r w:rsidR="00DC0682" w:rsidRPr="00A40EE1">
        <w:t>OSEP Response</w:t>
      </w:r>
    </w:p>
    <w:p w14:paraId="583AFE31" w14:textId="77777777" w:rsidR="00DC0682" w:rsidRPr="00ED172B" w:rsidRDefault="00DC0682" w:rsidP="00027F39">
      <w:pPr>
        <w:rPr>
          <w:color w:val="000000" w:themeColor="text1"/>
        </w:rPr>
      </w:pPr>
    </w:p>
    <w:p w14:paraId="6A367012" w14:textId="77777777" w:rsidR="00DC0682" w:rsidRPr="00A40EE1" w:rsidRDefault="000D0117" w:rsidP="005C3FFD">
      <w:pPr>
        <w:pStyle w:val="Heading2"/>
      </w:pPr>
      <w:r w:rsidRPr="00A40EE1">
        <w:t xml:space="preserve">4 - </w:t>
      </w:r>
      <w:r w:rsidR="00DC0682" w:rsidRPr="00A40EE1">
        <w:t>Required Actions</w:t>
      </w:r>
    </w:p>
    <w:p w14:paraId="45764D50" w14:textId="77777777" w:rsidR="00DC0682" w:rsidRPr="00ED172B" w:rsidRDefault="00291EA9" w:rsidP="00027F39">
      <w:pPr>
        <w:rPr>
          <w:color w:val="000000" w:themeColor="text1"/>
        </w:rPr>
      </w:pPr>
      <w:r w:rsidRPr="00ED172B">
        <w:rPr>
          <w:color w:val="000000" w:themeColor="text1"/>
        </w:rPr>
        <w:t>In the FFY 2025 SPP/APR, the State must report whether its FFY 2025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r>
    </w:p>
    <w:p w14:paraId="6680C9AE" w14:textId="77777777" w:rsidR="003D02CD" w:rsidRPr="00ED172B" w:rsidRDefault="003D02CD" w:rsidP="008D619C">
      <w:pPr>
        <w:rPr>
          <w:color w:val="000000" w:themeColor="text1"/>
        </w:rPr>
        <w:sectPr w:rsidR="003D02CD" w:rsidRPr="00ED172B" w:rsidSect="00BF3AB4">
          <w:pgSz w:w="12240" w:h="15840"/>
          <w:pgMar w:top="720" w:right="720" w:bottom="720" w:left="720" w:header="720" w:footer="720" w:gutter="0"/>
          <w:cols w:space="720"/>
          <w:docGrid w:linePitch="360"/>
        </w:sectPr>
      </w:pPr>
    </w:p>
    <w:p w14:paraId="75C60D52" w14:textId="77777777" w:rsidR="00D03701" w:rsidRPr="00ED172B" w:rsidRDefault="00D03701" w:rsidP="0077063D">
      <w:pPr>
        <w:pStyle w:val="Heading1"/>
        <w:rPr>
          <w:color w:val="000000" w:themeColor="text1"/>
        </w:rPr>
      </w:pPr>
      <w:bookmarkStart w:id="27" w:name="_Toc384383330"/>
      <w:bookmarkStart w:id="28" w:name="_Toc392159282"/>
      <w:bookmarkStart w:id="29" w:name="_Toc382082372"/>
      <w:bookmarkEnd w:id="25"/>
      <w:bookmarkEnd w:id="26"/>
      <w:r w:rsidRPr="00ED172B">
        <w:rPr>
          <w:color w:val="000000" w:themeColor="text1"/>
        </w:rPr>
        <w:lastRenderedPageBreak/>
        <w:t xml:space="preserve">Indicator </w:t>
      </w:r>
      <w:bookmarkEnd w:id="27"/>
      <w:bookmarkEnd w:id="28"/>
      <w:r w:rsidR="00975A3C" w:rsidRPr="00ED172B">
        <w:rPr>
          <w:color w:val="000000" w:themeColor="text1"/>
        </w:rPr>
        <w:t>5: Child Find (Birth to One)</w:t>
      </w:r>
    </w:p>
    <w:p w14:paraId="49F9FF52" w14:textId="77777777" w:rsidR="000C5918" w:rsidRPr="00ED172B" w:rsidRDefault="000C5918" w:rsidP="00186420">
      <w:pPr>
        <w:rPr>
          <w:color w:val="000000" w:themeColor="text1"/>
          <w:szCs w:val="20"/>
        </w:rPr>
      </w:pPr>
      <w:bookmarkStart w:id="30" w:name="_Toc384383331"/>
      <w:bookmarkStart w:id="31" w:name="_Toc392159283"/>
      <w:r w:rsidRPr="00ED172B">
        <w:rPr>
          <w:b/>
          <w:color w:val="000000" w:themeColor="text1"/>
          <w:sz w:val="20"/>
          <w:szCs w:val="20"/>
        </w:rPr>
        <w:t>Instructions and Measurement</w:t>
      </w:r>
    </w:p>
    <w:p w14:paraId="16C4C26F"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1563E768" w14:textId="77777777"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with IFSPs</w:t>
      </w:r>
      <w:r w:rsidR="00E9116A">
        <w:rPr>
          <w:rFonts w:cs="Arial"/>
          <w:color w:val="000000" w:themeColor="text1"/>
          <w:szCs w:val="16"/>
        </w:rPr>
        <w:t xml:space="preserve">. </w:t>
      </w:r>
    </w:p>
    <w:p w14:paraId="34B13468" w14:textId="77777777"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0D345965" w14:textId="77777777" w:rsidR="005918D1" w:rsidRPr="00ED172B" w:rsidRDefault="005918D1">
      <w:pPr>
        <w:rPr>
          <w:b/>
          <w:color w:val="000000" w:themeColor="text1"/>
        </w:rPr>
      </w:pPr>
      <w:r w:rsidRPr="00ED172B">
        <w:rPr>
          <w:b/>
          <w:color w:val="000000" w:themeColor="text1"/>
        </w:rPr>
        <w:t>Data Source</w:t>
      </w:r>
    </w:p>
    <w:p w14:paraId="2C56227A" w14:textId="77777777" w:rsidR="00913F1E" w:rsidRPr="00F446DC" w:rsidRDefault="00913F1E" w:rsidP="00913F1E">
      <w:pPr>
        <w:rPr>
          <w:szCs w:val="16"/>
        </w:rPr>
      </w:pPr>
      <w:r w:rsidRPr="00ED3380">
        <w:rPr>
          <w:szCs w:val="16"/>
        </w:rPr>
        <w:t xml:space="preserve">Same data as used for reporting to the Department under section 618 of the IDEA, using the definitions in EDFacts file specification FS902 </w:t>
      </w:r>
      <w:r w:rsidRPr="0084279D">
        <w:rPr>
          <w:rFonts w:cs="Arial"/>
          <w:szCs w:val="16"/>
        </w:rPr>
        <w:t>and Census (for the denominator).</w:t>
      </w:r>
    </w:p>
    <w:p w14:paraId="7F75714B" w14:textId="77777777" w:rsidR="005918D1" w:rsidRPr="00ED172B" w:rsidRDefault="005918D1">
      <w:pPr>
        <w:rPr>
          <w:b/>
          <w:color w:val="000000" w:themeColor="text1"/>
        </w:rPr>
      </w:pPr>
      <w:r w:rsidRPr="00ED172B">
        <w:rPr>
          <w:b/>
          <w:color w:val="000000" w:themeColor="text1"/>
        </w:rPr>
        <w:t>Measurement</w:t>
      </w:r>
    </w:p>
    <w:p w14:paraId="57883551" w14:textId="77777777" w:rsidR="005918D1" w:rsidRPr="00ED172B" w:rsidRDefault="005918D1" w:rsidP="00815A6D">
      <w:pPr>
        <w:rPr>
          <w:rFonts w:cs="Arial"/>
          <w:color w:val="000000" w:themeColor="text1"/>
          <w:szCs w:val="16"/>
        </w:rPr>
      </w:pPr>
      <w:r w:rsidRPr="00ED172B">
        <w:rPr>
          <w:rFonts w:cs="Arial"/>
          <w:color w:val="000000" w:themeColor="text1"/>
          <w:szCs w:val="16"/>
        </w:rPr>
        <w:t xml:space="preserve">Percent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with IFSPs) divided by the (population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times 100.</w:t>
      </w:r>
    </w:p>
    <w:p w14:paraId="1F7253FF" w14:textId="77777777" w:rsidR="005918D1" w:rsidRPr="00ED172B" w:rsidRDefault="005918D1">
      <w:pPr>
        <w:rPr>
          <w:b/>
          <w:color w:val="000000" w:themeColor="text1"/>
        </w:rPr>
      </w:pPr>
      <w:r w:rsidRPr="00ED172B">
        <w:rPr>
          <w:b/>
          <w:color w:val="000000" w:themeColor="text1"/>
        </w:rPr>
        <w:t>Instructions</w:t>
      </w:r>
    </w:p>
    <w:p w14:paraId="000D22E0"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12FF988F" w14:textId="77777777" w:rsidR="005918D1" w:rsidRDefault="005918D1" w:rsidP="00815A6D">
      <w:pPr>
        <w:rPr>
          <w:rFonts w:cs="Arial"/>
          <w:color w:val="000000" w:themeColor="text1"/>
          <w:szCs w:val="16"/>
        </w:rPr>
      </w:pPr>
      <w:r w:rsidRPr="00ED172B">
        <w:rPr>
          <w:rFonts w:cs="Arial"/>
          <w:color w:val="000000" w:themeColor="text1"/>
          <w:szCs w:val="16"/>
        </w:rPr>
        <w:t>Describe the results of the calculations. The data reported in this indicator should be consistent with the State’s reported 618 data reported in Table 1. If not, explain why.</w:t>
      </w:r>
    </w:p>
    <w:p w14:paraId="728C6DBB" w14:textId="77777777" w:rsidR="000D4875" w:rsidRPr="003461DB" w:rsidRDefault="000D4875" w:rsidP="008E5722">
      <w:pPr>
        <w:rPr>
          <w:rFonts w:cs="Arial"/>
          <w:szCs w:val="16"/>
        </w:rPr>
      </w:pPr>
      <w:r w:rsidRPr="00FE01D6">
        <w:rPr>
          <w:rFonts w:cs="Arial"/>
          <w:szCs w:val="16"/>
        </w:rPr>
        <w:t xml:space="preserve">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If the State is required to report on the reasons for slippage, the State must include the results of its </w:t>
      </w:r>
      <w:proofErr w:type="gramStart"/>
      <w:r w:rsidRPr="00FE01D6">
        <w:rPr>
          <w:rFonts w:cs="Arial"/>
          <w:szCs w:val="16"/>
        </w:rPr>
        <w:t>analyses</w:t>
      </w:r>
      <w:proofErr w:type="gramEnd"/>
      <w:r w:rsidRPr="00FE01D6">
        <w:rPr>
          <w:rFonts w:cs="Arial"/>
          <w:szCs w:val="16"/>
        </w:rPr>
        <w:t>.</w:t>
      </w:r>
    </w:p>
    <w:bookmarkEnd w:id="30"/>
    <w:bookmarkEnd w:id="31"/>
    <w:p w14:paraId="105A86E2" w14:textId="77777777" w:rsidR="00D03701" w:rsidRPr="00A40EE1" w:rsidRDefault="000D0117" w:rsidP="005C3FFD">
      <w:pPr>
        <w:pStyle w:val="Heading2"/>
      </w:pPr>
      <w:r w:rsidRPr="00A40EE1">
        <w:t xml:space="preserve">5 - </w:t>
      </w:r>
      <w:r w:rsidR="00815A6D" w:rsidRPr="00A40EE1">
        <w:t>Indicator Data</w:t>
      </w:r>
    </w:p>
    <w:p w14:paraId="7BF53562" w14:textId="77777777" w:rsidR="0085799B" w:rsidRDefault="0085799B">
      <w:pPr>
        <w:rPr>
          <w:b/>
          <w:color w:val="000000" w:themeColor="text1"/>
        </w:rPr>
      </w:pPr>
      <w:bookmarkStart w:id="32" w:name="_Toc384383332"/>
      <w:bookmarkStart w:id="33" w:name="_Toc392159284"/>
      <w:r w:rsidRPr="00ED172B">
        <w:rPr>
          <w:b/>
          <w:color w:val="000000" w:themeColor="text1"/>
        </w:rPr>
        <w:t>Historical Data</w:t>
      </w:r>
    </w:p>
    <w:p w14:paraId="090DF408" w14:textId="77777777"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73BC2C45" w14:textId="77777777" w:rsidTr="00A40EE1">
        <w:trPr>
          <w:trHeight w:val="170"/>
          <w:tblHeader/>
        </w:trPr>
        <w:tc>
          <w:tcPr>
            <w:tcW w:w="2500" w:type="pct"/>
            <w:tcBorders>
              <w:bottom w:val="single" w:sz="4" w:space="0" w:color="auto"/>
            </w:tcBorders>
            <w:vAlign w:val="center"/>
          </w:tcPr>
          <w:p w14:paraId="77577B18" w14:textId="77777777"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vAlign w:val="center"/>
          </w:tcPr>
          <w:p w14:paraId="721A3DA7" w14:textId="77777777"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5707A2FC" w14:textId="77777777" w:rsidTr="00A40EE1">
        <w:trPr>
          <w:trHeight w:val="170"/>
        </w:trPr>
        <w:tc>
          <w:tcPr>
            <w:tcW w:w="2500" w:type="pct"/>
            <w:tcBorders>
              <w:bottom w:val="single" w:sz="4" w:space="0" w:color="auto"/>
            </w:tcBorders>
            <w:vAlign w:val="center"/>
          </w:tcPr>
          <w:p w14:paraId="14FB55F8" w14:textId="77777777" w:rsidR="00E30D86" w:rsidRPr="00ED172B" w:rsidRDefault="00E30D86" w:rsidP="00C15786">
            <w:pPr>
              <w:jc w:val="center"/>
              <w:rPr>
                <w:b/>
                <w:color w:val="000000" w:themeColor="text1"/>
              </w:rPr>
            </w:pPr>
            <w:r w:rsidRPr="00ED172B">
              <w:rPr>
                <w:color w:val="000000" w:themeColor="text1"/>
              </w:rPr>
              <w:t>2005</w:t>
            </w:r>
          </w:p>
        </w:tc>
        <w:tc>
          <w:tcPr>
            <w:tcW w:w="2500" w:type="pct"/>
            <w:tcBorders>
              <w:top w:val="single" w:sz="4" w:space="0" w:color="auto"/>
              <w:right w:val="single" w:sz="4" w:space="0" w:color="auto"/>
            </w:tcBorders>
            <w:vAlign w:val="center"/>
          </w:tcPr>
          <w:p w14:paraId="091DCB29" w14:textId="77777777" w:rsidR="00E30D86" w:rsidRPr="00ED172B" w:rsidRDefault="00E30D86" w:rsidP="00C15786">
            <w:pPr>
              <w:jc w:val="center"/>
              <w:rPr>
                <w:b/>
                <w:color w:val="000000" w:themeColor="text1"/>
              </w:rPr>
            </w:pPr>
            <w:r w:rsidRPr="00ED172B">
              <w:rPr>
                <w:color w:val="000000" w:themeColor="text1"/>
              </w:rPr>
              <w:t>0.75%</w:t>
            </w:r>
          </w:p>
        </w:tc>
      </w:tr>
    </w:tbl>
    <w:p w14:paraId="5B047523"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72CF41D5" w14:textId="77777777" w:rsidTr="00986B99">
        <w:trPr>
          <w:trHeight w:val="260"/>
        </w:trPr>
        <w:tc>
          <w:tcPr>
            <w:tcW w:w="415" w:type="pct"/>
            <w:tcBorders>
              <w:bottom w:val="single" w:sz="4" w:space="0" w:color="auto"/>
            </w:tcBorders>
          </w:tcPr>
          <w:p w14:paraId="550EA684"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vAlign w:val="center"/>
          </w:tcPr>
          <w:p w14:paraId="2E16F7E3" w14:textId="77777777" w:rsidR="0085799B" w:rsidRPr="00ED172B" w:rsidRDefault="002163F2" w:rsidP="00CD79C5">
            <w:pPr>
              <w:jc w:val="center"/>
              <w:rPr>
                <w:b/>
                <w:color w:val="000000" w:themeColor="text1"/>
                <w:szCs w:val="16"/>
              </w:rPr>
            </w:pPr>
            <w:r w:rsidRPr="00ED172B">
              <w:rPr>
                <w:rFonts w:cs="Arial"/>
                <w:b/>
                <w:color w:val="000000" w:themeColor="text1"/>
                <w:szCs w:val="16"/>
              </w:rPr>
              <w:t>2019</w:t>
            </w:r>
          </w:p>
        </w:tc>
        <w:tc>
          <w:tcPr>
            <w:tcW w:w="1026" w:type="pct"/>
            <w:vAlign w:val="center"/>
          </w:tcPr>
          <w:p w14:paraId="42308273" w14:textId="77777777" w:rsidR="0085799B"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vAlign w:val="center"/>
          </w:tcPr>
          <w:p w14:paraId="5A095E73" w14:textId="77777777" w:rsidR="0085799B" w:rsidRPr="00ED172B" w:rsidRDefault="002163F2" w:rsidP="00CD79C5">
            <w:pPr>
              <w:jc w:val="center"/>
              <w:rPr>
                <w:b/>
                <w:color w:val="000000" w:themeColor="text1"/>
                <w:szCs w:val="16"/>
              </w:rPr>
            </w:pPr>
            <w:r w:rsidRPr="00ED172B">
              <w:rPr>
                <w:rFonts w:cs="Arial"/>
                <w:b/>
                <w:color w:val="000000" w:themeColor="text1"/>
                <w:szCs w:val="16"/>
              </w:rPr>
              <w:t>2021</w:t>
            </w:r>
          </w:p>
        </w:tc>
        <w:tc>
          <w:tcPr>
            <w:tcW w:w="867" w:type="pct"/>
            <w:vAlign w:val="center"/>
          </w:tcPr>
          <w:p w14:paraId="34795877" w14:textId="77777777" w:rsidR="0085799B" w:rsidRPr="00ED172B" w:rsidRDefault="002163F2" w:rsidP="00CD79C5">
            <w:pPr>
              <w:jc w:val="center"/>
              <w:rPr>
                <w:b/>
                <w:color w:val="000000" w:themeColor="text1"/>
                <w:szCs w:val="16"/>
              </w:rPr>
            </w:pPr>
            <w:r w:rsidRPr="00ED172B">
              <w:rPr>
                <w:rFonts w:cs="Arial"/>
                <w:b/>
                <w:color w:val="000000" w:themeColor="text1"/>
                <w:szCs w:val="16"/>
              </w:rPr>
              <w:t>2022</w:t>
            </w:r>
          </w:p>
        </w:tc>
        <w:tc>
          <w:tcPr>
            <w:tcW w:w="866" w:type="pct"/>
            <w:vAlign w:val="center"/>
          </w:tcPr>
          <w:p w14:paraId="2E439C48" w14:textId="77777777" w:rsidR="0085799B"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613B70A7" w14:textId="77777777" w:rsidTr="00986B99">
        <w:trPr>
          <w:trHeight w:val="357"/>
        </w:trPr>
        <w:tc>
          <w:tcPr>
            <w:tcW w:w="415" w:type="pct"/>
          </w:tcPr>
          <w:p w14:paraId="141D73C1" w14:textId="77777777" w:rsidR="0085799B" w:rsidRPr="00ED172B" w:rsidRDefault="0085799B"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vAlign w:val="center"/>
          </w:tcPr>
          <w:p w14:paraId="48EE71D4" w14:textId="77777777" w:rsidR="0085799B" w:rsidRPr="00ED172B" w:rsidRDefault="00860830" w:rsidP="00CD79C5">
            <w:pPr>
              <w:jc w:val="center"/>
              <w:rPr>
                <w:color w:val="000000" w:themeColor="text1"/>
                <w:szCs w:val="16"/>
              </w:rPr>
            </w:pPr>
            <w:r w:rsidRPr="00ED172B">
              <w:rPr>
                <w:rFonts w:cs="Arial"/>
                <w:color w:val="000000" w:themeColor="text1"/>
                <w:szCs w:val="16"/>
              </w:rPr>
              <w:t>0.80%</w:t>
            </w:r>
          </w:p>
        </w:tc>
        <w:tc>
          <w:tcPr>
            <w:tcW w:w="1026" w:type="pct"/>
            <w:vAlign w:val="center"/>
          </w:tcPr>
          <w:p w14:paraId="7E91AD20" w14:textId="77777777" w:rsidR="0085799B" w:rsidRPr="00ED172B" w:rsidRDefault="00292265" w:rsidP="00CD79C5">
            <w:pPr>
              <w:jc w:val="center"/>
              <w:rPr>
                <w:color w:val="000000" w:themeColor="text1"/>
                <w:szCs w:val="16"/>
              </w:rPr>
            </w:pPr>
            <w:r w:rsidRPr="00ED172B">
              <w:rPr>
                <w:rFonts w:cs="Arial"/>
                <w:color w:val="000000" w:themeColor="text1"/>
                <w:szCs w:val="16"/>
              </w:rPr>
              <w:t>0.80%</w:t>
            </w:r>
          </w:p>
        </w:tc>
        <w:tc>
          <w:tcPr>
            <w:tcW w:w="867" w:type="pct"/>
            <w:vAlign w:val="center"/>
          </w:tcPr>
          <w:p w14:paraId="35ABA008" w14:textId="77777777" w:rsidR="0085799B" w:rsidRPr="00ED172B" w:rsidRDefault="00292265" w:rsidP="00CD79C5">
            <w:pPr>
              <w:jc w:val="center"/>
              <w:rPr>
                <w:color w:val="000000" w:themeColor="text1"/>
                <w:szCs w:val="16"/>
              </w:rPr>
            </w:pPr>
            <w:r w:rsidRPr="00ED172B">
              <w:rPr>
                <w:rFonts w:cs="Arial"/>
                <w:color w:val="000000" w:themeColor="text1"/>
                <w:szCs w:val="16"/>
              </w:rPr>
              <w:t>0.81%</w:t>
            </w:r>
          </w:p>
        </w:tc>
        <w:tc>
          <w:tcPr>
            <w:tcW w:w="867" w:type="pct"/>
            <w:vAlign w:val="center"/>
          </w:tcPr>
          <w:p w14:paraId="1427330B" w14:textId="77777777" w:rsidR="0085799B" w:rsidRPr="00ED172B" w:rsidRDefault="00292265" w:rsidP="00CD79C5">
            <w:pPr>
              <w:jc w:val="center"/>
              <w:rPr>
                <w:color w:val="000000" w:themeColor="text1"/>
                <w:szCs w:val="16"/>
              </w:rPr>
            </w:pPr>
            <w:r w:rsidRPr="00ED172B">
              <w:rPr>
                <w:rFonts w:cs="Arial"/>
                <w:color w:val="000000" w:themeColor="text1"/>
                <w:szCs w:val="16"/>
              </w:rPr>
              <w:t>0.81%</w:t>
            </w:r>
          </w:p>
        </w:tc>
        <w:tc>
          <w:tcPr>
            <w:tcW w:w="866" w:type="pct"/>
            <w:vAlign w:val="center"/>
          </w:tcPr>
          <w:p w14:paraId="3EDDE232" w14:textId="77777777" w:rsidR="0085799B" w:rsidRPr="00ED172B" w:rsidRDefault="00292265" w:rsidP="00CD79C5">
            <w:pPr>
              <w:jc w:val="center"/>
              <w:rPr>
                <w:color w:val="000000" w:themeColor="text1"/>
                <w:szCs w:val="16"/>
              </w:rPr>
            </w:pPr>
            <w:r w:rsidRPr="00ED172B">
              <w:rPr>
                <w:rFonts w:cs="Arial"/>
                <w:color w:val="000000" w:themeColor="text1"/>
                <w:szCs w:val="16"/>
              </w:rPr>
              <w:t>0.82%</w:t>
            </w:r>
          </w:p>
        </w:tc>
      </w:tr>
      <w:tr w:rsidR="00ED172B" w:rsidRPr="00ED172B" w14:paraId="7CAB17C2" w14:textId="77777777" w:rsidTr="00986B99">
        <w:trPr>
          <w:trHeight w:val="85"/>
        </w:trPr>
        <w:tc>
          <w:tcPr>
            <w:tcW w:w="415" w:type="pct"/>
          </w:tcPr>
          <w:p w14:paraId="405DA45D" w14:textId="77777777" w:rsidR="0085799B" w:rsidRPr="00ED172B" w:rsidRDefault="0085799B" w:rsidP="00D21F29">
            <w:pPr>
              <w:jc w:val="center"/>
              <w:rPr>
                <w:color w:val="000000" w:themeColor="text1"/>
                <w:szCs w:val="16"/>
              </w:rPr>
            </w:pPr>
            <w:r w:rsidRPr="00ED172B">
              <w:rPr>
                <w:color w:val="000000" w:themeColor="text1"/>
                <w:szCs w:val="16"/>
              </w:rPr>
              <w:t>Data</w:t>
            </w:r>
          </w:p>
        </w:tc>
        <w:tc>
          <w:tcPr>
            <w:tcW w:w="959" w:type="pct"/>
            <w:vAlign w:val="center"/>
          </w:tcPr>
          <w:p w14:paraId="63775AA0" w14:textId="77777777" w:rsidR="0085799B" w:rsidRPr="00ED172B" w:rsidRDefault="00860830" w:rsidP="00CD79C5">
            <w:pPr>
              <w:jc w:val="center"/>
              <w:rPr>
                <w:color w:val="000000" w:themeColor="text1"/>
                <w:szCs w:val="16"/>
              </w:rPr>
            </w:pPr>
            <w:r w:rsidRPr="00ED172B">
              <w:rPr>
                <w:rFonts w:cs="Arial"/>
                <w:color w:val="000000" w:themeColor="text1"/>
                <w:szCs w:val="16"/>
              </w:rPr>
              <w:t>1.04%</w:t>
            </w:r>
          </w:p>
        </w:tc>
        <w:tc>
          <w:tcPr>
            <w:tcW w:w="1026" w:type="pct"/>
            <w:vAlign w:val="center"/>
          </w:tcPr>
          <w:p w14:paraId="74DC99F8" w14:textId="77777777" w:rsidR="0085799B" w:rsidRPr="00ED172B" w:rsidRDefault="00860830" w:rsidP="00CD79C5">
            <w:pPr>
              <w:jc w:val="center"/>
              <w:rPr>
                <w:color w:val="000000" w:themeColor="text1"/>
                <w:szCs w:val="16"/>
              </w:rPr>
            </w:pPr>
            <w:r w:rsidRPr="00ED172B">
              <w:rPr>
                <w:rFonts w:cs="Arial"/>
                <w:color w:val="000000" w:themeColor="text1"/>
                <w:szCs w:val="16"/>
              </w:rPr>
              <w:t>0.78%</w:t>
            </w:r>
          </w:p>
        </w:tc>
        <w:tc>
          <w:tcPr>
            <w:tcW w:w="867" w:type="pct"/>
            <w:tcBorders>
              <w:bottom w:val="single" w:sz="4" w:space="0" w:color="auto"/>
            </w:tcBorders>
            <w:vAlign w:val="center"/>
          </w:tcPr>
          <w:p w14:paraId="4E0BA3DF" w14:textId="77777777" w:rsidR="0085799B" w:rsidRPr="00ED172B" w:rsidRDefault="00860830" w:rsidP="00CD79C5">
            <w:pPr>
              <w:jc w:val="center"/>
              <w:rPr>
                <w:color w:val="000000" w:themeColor="text1"/>
                <w:szCs w:val="16"/>
              </w:rPr>
            </w:pPr>
            <w:r w:rsidRPr="00ED172B">
              <w:rPr>
                <w:rFonts w:cs="Arial"/>
                <w:color w:val="000000" w:themeColor="text1"/>
                <w:szCs w:val="16"/>
              </w:rPr>
              <w:t>0.94%</w:t>
            </w:r>
          </w:p>
        </w:tc>
        <w:tc>
          <w:tcPr>
            <w:tcW w:w="867" w:type="pct"/>
            <w:tcBorders>
              <w:bottom w:val="single" w:sz="4" w:space="0" w:color="auto"/>
            </w:tcBorders>
            <w:vAlign w:val="center"/>
          </w:tcPr>
          <w:p w14:paraId="2F9A87B1" w14:textId="77777777" w:rsidR="0085799B" w:rsidRPr="00ED172B" w:rsidRDefault="00860830" w:rsidP="00CD79C5">
            <w:pPr>
              <w:jc w:val="center"/>
              <w:rPr>
                <w:color w:val="000000" w:themeColor="text1"/>
                <w:szCs w:val="16"/>
              </w:rPr>
            </w:pPr>
            <w:r w:rsidRPr="00ED172B">
              <w:rPr>
                <w:rFonts w:cs="Arial"/>
                <w:color w:val="000000" w:themeColor="text1"/>
                <w:szCs w:val="16"/>
              </w:rPr>
              <w:t>1.02%</w:t>
            </w:r>
          </w:p>
        </w:tc>
        <w:tc>
          <w:tcPr>
            <w:tcW w:w="866" w:type="pct"/>
            <w:tcBorders>
              <w:bottom w:val="single" w:sz="4" w:space="0" w:color="auto"/>
            </w:tcBorders>
            <w:vAlign w:val="center"/>
          </w:tcPr>
          <w:p w14:paraId="5654576F" w14:textId="77777777" w:rsidR="0085799B" w:rsidRPr="00ED172B" w:rsidRDefault="00860830" w:rsidP="00CD79C5">
            <w:pPr>
              <w:jc w:val="center"/>
              <w:rPr>
                <w:color w:val="000000" w:themeColor="text1"/>
                <w:szCs w:val="16"/>
              </w:rPr>
            </w:pPr>
            <w:r w:rsidRPr="00ED172B">
              <w:rPr>
                <w:rFonts w:cs="Arial"/>
                <w:color w:val="000000" w:themeColor="text1"/>
                <w:szCs w:val="16"/>
              </w:rPr>
              <w:t>0.96%</w:t>
            </w:r>
          </w:p>
        </w:tc>
      </w:tr>
    </w:tbl>
    <w:p w14:paraId="4ABB76E5" w14:textId="77777777" w:rsidR="0085799B" w:rsidRPr="00ED172B" w:rsidRDefault="0085799B">
      <w:pPr>
        <w:rPr>
          <w:b/>
          <w:color w:val="000000" w:themeColor="text1"/>
        </w:rPr>
      </w:pPr>
      <w:r w:rsidRPr="00ED172B">
        <w:rPr>
          <w:b/>
          <w:color w:val="000000" w:themeColor="text1"/>
        </w:rPr>
        <w:t>Targets</w:t>
      </w:r>
    </w:p>
    <w:tbl>
      <w:tblPr>
        <w:tblW w:w="2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8"/>
        <w:gridCol w:w="2206"/>
        <w:gridCol w:w="1549"/>
      </w:tblGrid>
      <w:tr w:rsidR="00CF59E2" w:rsidRPr="00ED172B" w14:paraId="1F19F68C" w14:textId="77777777" w:rsidTr="00811738">
        <w:trPr>
          <w:trHeight w:val="116"/>
        </w:trPr>
        <w:tc>
          <w:tcPr>
            <w:tcW w:w="964" w:type="pct"/>
            <w:tcBorders>
              <w:bottom w:val="single" w:sz="4" w:space="0" w:color="auto"/>
            </w:tcBorders>
          </w:tcPr>
          <w:p w14:paraId="14CD0E21"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2371" w:type="pct"/>
            <w:vAlign w:val="center"/>
          </w:tcPr>
          <w:p w14:paraId="19A3C0C9" w14:textId="7777777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1665" w:type="pct"/>
          </w:tcPr>
          <w:p w14:paraId="3A27ACB9" w14:textId="77777777"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10B551D6" w14:textId="77777777" w:rsidTr="00811738">
        <w:trPr>
          <w:trHeight w:val="47"/>
        </w:trPr>
        <w:tc>
          <w:tcPr>
            <w:tcW w:w="964" w:type="pct"/>
          </w:tcPr>
          <w:p w14:paraId="42141B52" w14:textId="77777777" w:rsidR="00CF59E2" w:rsidRPr="00ED172B" w:rsidRDefault="00CF59E2"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2371" w:type="pct"/>
            <w:vAlign w:val="center"/>
          </w:tcPr>
          <w:p w14:paraId="1868F70D" w14:textId="77777777" w:rsidR="00CF59E2" w:rsidRPr="00ED172B" w:rsidRDefault="00CF59E2" w:rsidP="006B2FE9">
            <w:pPr>
              <w:jc w:val="center"/>
              <w:rPr>
                <w:color w:val="000000" w:themeColor="text1"/>
              </w:rPr>
            </w:pPr>
            <w:r w:rsidRPr="00ED172B">
              <w:rPr>
                <w:color w:val="000000" w:themeColor="text1"/>
              </w:rPr>
              <w:t>0.82%</w:t>
            </w:r>
          </w:p>
        </w:tc>
        <w:tc>
          <w:tcPr>
            <w:tcW w:w="1665" w:type="pct"/>
          </w:tcPr>
          <w:p w14:paraId="0DDA7489" w14:textId="77777777" w:rsidR="00CF59E2" w:rsidRPr="00ED172B" w:rsidRDefault="00CF59E2" w:rsidP="006B2FE9">
            <w:pPr>
              <w:jc w:val="center"/>
              <w:rPr>
                <w:color w:val="000000" w:themeColor="text1"/>
              </w:rPr>
            </w:pPr>
            <w:r>
              <w:rPr>
                <w:rFonts w:cs="Arial"/>
                <w:color w:val="000000" w:themeColor="text1"/>
                <w:szCs w:val="16"/>
              </w:rPr>
              <w:t>0.83%</w:t>
            </w:r>
          </w:p>
        </w:tc>
      </w:tr>
    </w:tbl>
    <w:bookmarkEnd w:id="32"/>
    <w:bookmarkEnd w:id="33"/>
    <w:p w14:paraId="17113CB6" w14:textId="77777777" w:rsidR="00F80C9C" w:rsidRDefault="00F80C9C" w:rsidP="00F80C9C">
      <w:pPr>
        <w:pStyle w:val="Bold"/>
        <w:rPr>
          <w:color w:val="000000" w:themeColor="text1"/>
        </w:rPr>
      </w:pPr>
      <w:r w:rsidRPr="00ED172B">
        <w:rPr>
          <w:color w:val="000000" w:themeColor="text1"/>
        </w:rPr>
        <w:t xml:space="preserve">Targets: Description of Stakeholder Input </w:t>
      </w:r>
    </w:p>
    <w:p w14:paraId="0B52CDEA" w14:textId="77777777" w:rsidR="0053197E" w:rsidRDefault="00CF03E0" w:rsidP="00ED172B">
      <w:pPr>
        <w:rPr>
          <w:color w:val="000000" w:themeColor="text1"/>
        </w:rPr>
      </w:pPr>
      <w:r w:rsidRPr="00ED172B">
        <w:rPr>
          <w:color w:val="000000" w:themeColor="text1"/>
        </w:rPr>
        <w:t xml:space="preserve">The State engages stakeholders through the State Interagency Coordinating Council (SICC), collaboration with the parent training and information center (FACT Oregon), public reporting, and targeted outreach efforts. These structures support stakeholder involvement in reviewing data, setting targets, shaping improvement strategies, and monitoring progress. The State has made focused efforts to broaden participation in the SICC and to strengthen connections with Local Interagency Coordinating Councils. The State also works to improve participation in the annual Parent Survey and to ensure feedback from families </w:t>
      </w:r>
      <w:proofErr w:type="gramStart"/>
      <w:r w:rsidRPr="00ED172B">
        <w:rPr>
          <w:color w:val="000000" w:themeColor="text1"/>
        </w:rPr>
        <w:t>informs</w:t>
      </w:r>
      <w:proofErr w:type="gramEnd"/>
      <w:r w:rsidRPr="00ED172B">
        <w:rPr>
          <w:color w:val="000000" w:themeColor="text1"/>
        </w:rPr>
        <w:t xml:space="preserve"> system improvement activities.</w:t>
      </w:r>
    </w:p>
    <w:p w14:paraId="02B23B8A" w14:textId="77777777" w:rsidR="00A2772B" w:rsidRPr="00ED172B" w:rsidRDefault="00A2772B" w:rsidP="00F80C9C">
      <w:pPr>
        <w:pStyle w:val="Bold"/>
        <w:rPr>
          <w:b w:val="0"/>
          <w:color w:val="000000" w:themeColor="text1"/>
        </w:rPr>
      </w:pPr>
      <w:r w:rsidRPr="00ED172B">
        <w:rPr>
          <w:rFonts w:cs="Arial"/>
          <w:b w:val="0"/>
          <w:color w:val="000000" w:themeColor="text1"/>
          <w:szCs w:val="16"/>
        </w:rPr>
        <w:t xml:space="preserve">The state collaborates with the Oregon Pediatric Improvement Partnership (OPIP) to enhance coordination and outreach with medical providers, supporting Child Find efforts. Collaboration includes ongoing updates and promotion of the Universal Referral Form (URF) to streamline medical referrals to EI/ECSE. Additionally, the state sought input from OPIP and other medical and mental health experts, including the Oregon Infant Mental Health Association (ORIMHA), Early Hearing Detection and Intervention (EHDI), and partners within the Oregon Health Authority (OHA), to update the Diagnosed Physical and Mental Conditions in Early Intervention document for Oregon. </w:t>
      </w:r>
    </w:p>
    <w:p w14:paraId="0AA2D316" w14:textId="77777777" w:rsidR="000575B2" w:rsidRDefault="000575B2">
      <w:pPr>
        <w:pStyle w:val="Bold"/>
      </w:pPr>
    </w:p>
    <w:p w14:paraId="23889E15" w14:textId="77777777" w:rsidR="000575B2" w:rsidRDefault="00D6492D">
      <w:pPr>
        <w:pStyle w:val="Bold"/>
      </w:pPr>
      <w:r>
        <w:rPr>
          <w:b w:val="0"/>
          <w:color w:val="000000"/>
        </w:rPr>
        <w:t xml:space="preserve">The state coordinates a bi-monthly Community of Practice (COP) for Referral and Intake Coordinators to support Child Find efforts. During COP meetings, participants review current data on state and regional referral rates and provide feedback on Child Find processes. The COP also includes facilitated discussions with state partners in Child Find (e.g., child welfare, OPIP) to address barriers and solutions to the referral and intake process. Additionally, the state engages in quarterly reviews of Child Find referral data with EI/ECSE Directors. COP and EI/ECSE Director input is utilized to make updates to referral and intake practices.  </w:t>
      </w:r>
    </w:p>
    <w:p w14:paraId="4B2540BE" w14:textId="77777777" w:rsidR="000575B2" w:rsidRDefault="000575B2">
      <w:pPr>
        <w:pStyle w:val="Bold"/>
      </w:pPr>
    </w:p>
    <w:p w14:paraId="6F31A1A9" w14:textId="77777777" w:rsidR="000575B2" w:rsidRDefault="00D6492D">
      <w:pPr>
        <w:pStyle w:val="Bold"/>
      </w:pPr>
      <w:r>
        <w:rPr>
          <w:b w:val="0"/>
          <w:color w:val="000000"/>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w:t>
      </w:r>
      <w:proofErr w:type="gramStart"/>
      <w:r>
        <w:rPr>
          <w:b w:val="0"/>
          <w:color w:val="000000"/>
        </w:rPr>
        <w:t>supports</w:t>
      </w:r>
      <w:proofErr w:type="gramEnd"/>
      <w:r>
        <w:rPr>
          <w:b w:val="0"/>
          <w:color w:val="000000"/>
        </w:rPr>
        <w:t xml:space="preserve"> for children with disabilities.  </w:t>
      </w:r>
    </w:p>
    <w:p w14:paraId="5E13B073" w14:textId="77777777" w:rsidR="000575B2" w:rsidRDefault="00D6492D">
      <w:pPr>
        <w:pStyle w:val="Bold"/>
      </w:pPr>
      <w:r>
        <w:rPr>
          <w:b w:val="0"/>
          <w:color w:val="000000"/>
        </w:rPr>
        <w:t xml:space="preserve"> </w:t>
      </w:r>
    </w:p>
    <w:p w14:paraId="346526E3" w14:textId="77777777" w:rsidR="000575B2" w:rsidRDefault="00D6492D">
      <w:pPr>
        <w:pStyle w:val="Bold"/>
      </w:pPr>
      <w:r>
        <w:rPr>
          <w:b w:val="0"/>
          <w:color w:val="000000"/>
        </w:rP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w:t>
      </w:r>
      <w:r>
        <w:rPr>
          <w:b w:val="0"/>
          <w:color w:val="000000"/>
        </w:rPr>
        <w:lastRenderedPageBreak/>
        <w:t xml:space="preserve">better understand the composition of these councils and ensure that feedback from the group is effectively heard and incorporated into the decision-making process. </w:t>
      </w:r>
    </w:p>
    <w:p w14:paraId="279196A7"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29543942" w14:textId="77777777" w:rsidTr="00986B99">
        <w:trPr>
          <w:trHeight w:val="233"/>
          <w:tblHeader/>
        </w:trPr>
        <w:tc>
          <w:tcPr>
            <w:tcW w:w="1332" w:type="pct"/>
          </w:tcPr>
          <w:p w14:paraId="174D4363"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tcPr>
          <w:p w14:paraId="0A1EE1B8"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tcPr>
          <w:p w14:paraId="5DC5FE86"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tcPr>
          <w:p w14:paraId="0FC23ABE"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2D4F45CC" w14:textId="77777777" w:rsidTr="00986B99">
        <w:trPr>
          <w:trHeight w:val="380"/>
        </w:trPr>
        <w:tc>
          <w:tcPr>
            <w:tcW w:w="1332" w:type="pct"/>
          </w:tcPr>
          <w:p w14:paraId="1F254F3A" w14:textId="77777777" w:rsidR="000709B9" w:rsidRPr="00ED172B" w:rsidRDefault="00753E04" w:rsidP="000709B9">
            <w:pPr>
              <w:jc w:val="center"/>
              <w:rPr>
                <w:rFonts w:cs="Arial"/>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544" w:type="pct"/>
          </w:tcPr>
          <w:p w14:paraId="755D2B06" w14:textId="77777777" w:rsidR="000709B9" w:rsidRPr="00ED172B" w:rsidRDefault="00753E04" w:rsidP="000709B9">
            <w:pPr>
              <w:jc w:val="center"/>
              <w:rPr>
                <w:rFonts w:cs="Arial"/>
                <w:color w:val="000000" w:themeColor="text1"/>
                <w:szCs w:val="16"/>
              </w:rPr>
            </w:pPr>
            <w:r w:rsidRPr="00ED172B">
              <w:rPr>
                <w:rFonts w:cs="Arial"/>
                <w:color w:val="000000" w:themeColor="text1"/>
                <w:szCs w:val="16"/>
              </w:rPr>
              <w:t>07/30/2025</w:t>
            </w:r>
          </w:p>
        </w:tc>
        <w:tc>
          <w:tcPr>
            <w:tcW w:w="1334" w:type="pct"/>
          </w:tcPr>
          <w:p w14:paraId="124885E9" w14:textId="77777777" w:rsidR="000709B9" w:rsidRPr="00ED172B" w:rsidRDefault="000709B9" w:rsidP="000709B9">
            <w:pPr>
              <w:jc w:val="center"/>
              <w:rPr>
                <w:rFonts w:cs="Arial"/>
                <w:color w:val="000000" w:themeColor="text1"/>
                <w:szCs w:val="16"/>
              </w:rPr>
            </w:pPr>
            <w:r w:rsidRPr="00ED172B">
              <w:rPr>
                <w:rFonts w:cs="Arial"/>
                <w:color w:val="000000" w:themeColor="text1"/>
                <w:szCs w:val="16"/>
              </w:rPr>
              <w:t xml:space="preserve">Number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with IFSPs</w:t>
            </w:r>
          </w:p>
        </w:tc>
        <w:tc>
          <w:tcPr>
            <w:tcW w:w="791" w:type="pct"/>
          </w:tcPr>
          <w:p w14:paraId="0345F186" w14:textId="77777777" w:rsidR="000709B9" w:rsidRPr="00ED172B" w:rsidRDefault="00860830" w:rsidP="000709B9">
            <w:pPr>
              <w:jc w:val="center"/>
              <w:rPr>
                <w:rFonts w:cs="Arial"/>
                <w:color w:val="000000" w:themeColor="text1"/>
                <w:szCs w:val="16"/>
              </w:rPr>
            </w:pPr>
            <w:r w:rsidRPr="00ED172B">
              <w:rPr>
                <w:color w:val="000000" w:themeColor="text1"/>
                <w:szCs w:val="16"/>
              </w:rPr>
              <w:t>401</w:t>
            </w:r>
          </w:p>
        </w:tc>
      </w:tr>
      <w:tr w:rsidR="00ED172B" w:rsidRPr="00ED172B" w14:paraId="162D8536" w14:textId="77777777" w:rsidTr="00986B99">
        <w:trPr>
          <w:trHeight w:val="380"/>
        </w:trPr>
        <w:tc>
          <w:tcPr>
            <w:tcW w:w="1332" w:type="pct"/>
          </w:tcPr>
          <w:p w14:paraId="55356BB7" w14:textId="7777777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 xml:space="preserve">Annual State Resident Population Estimates for 6 Race Groups (5 Race Alone Groups and Two or More Races) by Age, Sex, and Hispanic Origin: April 1, </w:t>
            </w:r>
            <w:proofErr w:type="gramStart"/>
            <w:r w:rsidRPr="00ED172B">
              <w:rPr>
                <w:rFonts w:cs="Arial"/>
                <w:color w:val="000000" w:themeColor="text1"/>
                <w:szCs w:val="16"/>
                <w:shd w:val="clear" w:color="auto" w:fill="FFFFFF"/>
              </w:rPr>
              <w:t>2020</w:t>
            </w:r>
            <w:proofErr w:type="gramEnd"/>
            <w:r w:rsidRPr="00ED172B">
              <w:rPr>
                <w:rFonts w:cs="Arial"/>
                <w:color w:val="000000" w:themeColor="text1"/>
                <w:szCs w:val="16"/>
                <w:shd w:val="clear" w:color="auto" w:fill="FFFFFF"/>
              </w:rPr>
              <w:t xml:space="preserve"> to July 1, 2024</w:t>
            </w:r>
          </w:p>
        </w:tc>
        <w:tc>
          <w:tcPr>
            <w:tcW w:w="1544" w:type="pct"/>
          </w:tcPr>
          <w:p w14:paraId="7D723CB2" w14:textId="7777777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06/03/2025</w:t>
            </w:r>
          </w:p>
        </w:tc>
        <w:tc>
          <w:tcPr>
            <w:tcW w:w="1334" w:type="pct"/>
          </w:tcPr>
          <w:p w14:paraId="228F641D" w14:textId="77777777" w:rsidR="000709B9" w:rsidRPr="00ED172B" w:rsidRDefault="000709B9" w:rsidP="000709B9">
            <w:pPr>
              <w:jc w:val="center"/>
              <w:rPr>
                <w:rFonts w:cs="Arial"/>
                <w:color w:val="000000" w:themeColor="text1"/>
                <w:szCs w:val="16"/>
              </w:rPr>
            </w:pPr>
            <w:r w:rsidRPr="00ED172B">
              <w:rPr>
                <w:rFonts w:cs="Arial"/>
                <w:color w:val="000000" w:themeColor="text1"/>
                <w:szCs w:val="16"/>
              </w:rPr>
              <w:t xml:space="preserve">Population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w:t>
            </w:r>
          </w:p>
        </w:tc>
        <w:tc>
          <w:tcPr>
            <w:tcW w:w="791" w:type="pct"/>
          </w:tcPr>
          <w:p w14:paraId="7200724A" w14:textId="77777777" w:rsidR="000709B9" w:rsidRPr="00ED172B" w:rsidRDefault="00860830" w:rsidP="000709B9">
            <w:pPr>
              <w:jc w:val="center"/>
              <w:rPr>
                <w:rFonts w:cs="Arial"/>
                <w:color w:val="000000" w:themeColor="text1"/>
                <w:szCs w:val="16"/>
              </w:rPr>
            </w:pPr>
            <w:r w:rsidRPr="00ED172B">
              <w:rPr>
                <w:color w:val="000000" w:themeColor="text1"/>
                <w:szCs w:val="16"/>
              </w:rPr>
              <w:t>38,672</w:t>
            </w:r>
          </w:p>
        </w:tc>
      </w:tr>
    </w:tbl>
    <w:p w14:paraId="6B5C13B3" w14:textId="77777777" w:rsidR="005918D1"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248C866B" w14:textId="77777777" w:rsidTr="00986B99">
        <w:trPr>
          <w:trHeight w:val="359"/>
          <w:tblHeader/>
        </w:trPr>
        <w:tc>
          <w:tcPr>
            <w:tcW w:w="1209" w:type="pct"/>
            <w:vAlign w:val="bottom"/>
          </w:tcPr>
          <w:p w14:paraId="466CA4E0"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 xml:space="preserve">Number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1 with IFSPs</w:t>
            </w:r>
          </w:p>
        </w:tc>
        <w:tc>
          <w:tcPr>
            <w:tcW w:w="918" w:type="pct"/>
            <w:vAlign w:val="bottom"/>
          </w:tcPr>
          <w:p w14:paraId="50FE001D" w14:textId="77777777" w:rsidR="00967D30" w:rsidRPr="00ED172B" w:rsidRDefault="00967D30" w:rsidP="00967D30">
            <w:pPr>
              <w:jc w:val="center"/>
              <w:rPr>
                <w:rFonts w:cs="Arial"/>
                <w:color w:val="000000" w:themeColor="text1"/>
                <w:szCs w:val="16"/>
              </w:rPr>
            </w:pPr>
            <w:r w:rsidRPr="00ED172B">
              <w:rPr>
                <w:rFonts w:cs="Arial"/>
                <w:b/>
                <w:color w:val="000000" w:themeColor="text1"/>
                <w:szCs w:val="16"/>
              </w:rPr>
              <w:t xml:space="preserve">Population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1</w:t>
            </w:r>
          </w:p>
        </w:tc>
        <w:tc>
          <w:tcPr>
            <w:tcW w:w="668" w:type="pct"/>
            <w:vAlign w:val="bottom"/>
          </w:tcPr>
          <w:p w14:paraId="3B57311A" w14:textId="77777777" w:rsidR="00967D30" w:rsidRPr="00ED172B" w:rsidRDefault="00CD74B5" w:rsidP="00967D30">
            <w:pPr>
              <w:jc w:val="center"/>
              <w:rPr>
                <w:rFonts w:cs="Arial"/>
                <w:b/>
                <w:color w:val="000000" w:themeColor="text1"/>
                <w:szCs w:val="16"/>
              </w:rPr>
            </w:pPr>
            <w:r>
              <w:rPr>
                <w:rFonts w:cs="Arial"/>
                <w:b/>
                <w:color w:val="000000" w:themeColor="text1"/>
                <w:szCs w:val="16"/>
              </w:rPr>
              <w:t>FFY 2023 Data</w:t>
            </w:r>
          </w:p>
        </w:tc>
        <w:tc>
          <w:tcPr>
            <w:tcW w:w="625" w:type="pct"/>
            <w:vAlign w:val="bottom"/>
          </w:tcPr>
          <w:p w14:paraId="1B0380BF"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Target</w:t>
            </w:r>
          </w:p>
        </w:tc>
        <w:tc>
          <w:tcPr>
            <w:tcW w:w="542" w:type="pct"/>
            <w:vAlign w:val="bottom"/>
          </w:tcPr>
          <w:p w14:paraId="706EF21B"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6B4AE407"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vAlign w:val="bottom"/>
          </w:tcPr>
          <w:p w14:paraId="331AC1E0"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38C44BDE" w14:textId="77777777" w:rsidTr="00986B99">
        <w:trPr>
          <w:trHeight w:val="366"/>
        </w:trPr>
        <w:tc>
          <w:tcPr>
            <w:tcW w:w="1209" w:type="pct"/>
            <w:vAlign w:val="center"/>
          </w:tcPr>
          <w:p w14:paraId="3E0D7AC2" w14:textId="77777777" w:rsidR="00D3555C" w:rsidRPr="00ED172B" w:rsidRDefault="00860830" w:rsidP="00D3555C">
            <w:pPr>
              <w:jc w:val="center"/>
              <w:rPr>
                <w:rFonts w:cs="Arial"/>
                <w:color w:val="000000" w:themeColor="text1"/>
                <w:szCs w:val="16"/>
              </w:rPr>
            </w:pPr>
            <w:r w:rsidRPr="00ED172B">
              <w:rPr>
                <w:color w:val="000000" w:themeColor="text1"/>
                <w:szCs w:val="16"/>
              </w:rPr>
              <w:t>401</w:t>
            </w:r>
          </w:p>
        </w:tc>
        <w:tc>
          <w:tcPr>
            <w:tcW w:w="918" w:type="pct"/>
            <w:vAlign w:val="center"/>
          </w:tcPr>
          <w:p w14:paraId="262B2DAF" w14:textId="77777777" w:rsidR="00D3555C" w:rsidRPr="00ED172B" w:rsidRDefault="00860830" w:rsidP="00D3555C">
            <w:pPr>
              <w:jc w:val="center"/>
              <w:rPr>
                <w:rFonts w:cs="Arial"/>
                <w:color w:val="000000" w:themeColor="text1"/>
                <w:szCs w:val="16"/>
              </w:rPr>
            </w:pPr>
            <w:r w:rsidRPr="00ED172B">
              <w:rPr>
                <w:color w:val="000000" w:themeColor="text1"/>
                <w:szCs w:val="16"/>
              </w:rPr>
              <w:t>38,672</w:t>
            </w:r>
          </w:p>
        </w:tc>
        <w:tc>
          <w:tcPr>
            <w:tcW w:w="668" w:type="pct"/>
            <w:vAlign w:val="center"/>
          </w:tcPr>
          <w:p w14:paraId="618457CE" w14:textId="77777777" w:rsidR="00D3555C" w:rsidRPr="00ED172B" w:rsidRDefault="00860830" w:rsidP="00D3555C">
            <w:pPr>
              <w:jc w:val="center"/>
              <w:rPr>
                <w:rFonts w:cs="Arial"/>
                <w:color w:val="000000" w:themeColor="text1"/>
                <w:szCs w:val="16"/>
              </w:rPr>
            </w:pPr>
            <w:r w:rsidRPr="00ED172B">
              <w:rPr>
                <w:rFonts w:cs="Arial"/>
                <w:color w:val="000000" w:themeColor="text1"/>
                <w:szCs w:val="16"/>
              </w:rPr>
              <w:t>0.96%</w:t>
            </w:r>
          </w:p>
        </w:tc>
        <w:tc>
          <w:tcPr>
            <w:tcW w:w="625" w:type="pct"/>
            <w:vAlign w:val="center"/>
          </w:tcPr>
          <w:p w14:paraId="2D2973BF" w14:textId="77777777" w:rsidR="00D3555C" w:rsidRPr="00ED172B" w:rsidRDefault="00632DF6" w:rsidP="00632DF6">
            <w:pPr>
              <w:jc w:val="center"/>
              <w:rPr>
                <w:color w:val="000000" w:themeColor="text1"/>
              </w:rPr>
            </w:pPr>
            <w:r w:rsidRPr="00ED172B">
              <w:rPr>
                <w:color w:val="000000" w:themeColor="text1"/>
              </w:rPr>
              <w:t>0.82%</w:t>
            </w:r>
          </w:p>
        </w:tc>
        <w:tc>
          <w:tcPr>
            <w:tcW w:w="542" w:type="pct"/>
            <w:vAlign w:val="center"/>
          </w:tcPr>
          <w:p w14:paraId="2A4A2E2B" w14:textId="77777777" w:rsidR="00D3555C" w:rsidRPr="00ED172B" w:rsidRDefault="00860830" w:rsidP="00D3555C">
            <w:pPr>
              <w:jc w:val="center"/>
              <w:rPr>
                <w:rFonts w:cs="Arial"/>
                <w:color w:val="000000" w:themeColor="text1"/>
                <w:szCs w:val="16"/>
              </w:rPr>
            </w:pPr>
            <w:r w:rsidRPr="00ED172B">
              <w:rPr>
                <w:rFonts w:cs="Arial"/>
                <w:color w:val="000000" w:themeColor="text1"/>
                <w:szCs w:val="16"/>
              </w:rPr>
              <w:t>1.04%</w:t>
            </w:r>
          </w:p>
        </w:tc>
        <w:tc>
          <w:tcPr>
            <w:tcW w:w="542" w:type="pct"/>
            <w:vAlign w:val="center"/>
          </w:tcPr>
          <w:p w14:paraId="7ADA01E8" w14:textId="77777777" w:rsidR="00D3555C" w:rsidRPr="00ED172B" w:rsidRDefault="00632DF6" w:rsidP="00632DF6">
            <w:pPr>
              <w:jc w:val="center"/>
              <w:rPr>
                <w:color w:val="000000" w:themeColor="text1"/>
              </w:rPr>
            </w:pPr>
            <w:r w:rsidRPr="00ED172B">
              <w:rPr>
                <w:color w:val="000000" w:themeColor="text1"/>
              </w:rPr>
              <w:t>Met target</w:t>
            </w:r>
          </w:p>
        </w:tc>
        <w:tc>
          <w:tcPr>
            <w:tcW w:w="496" w:type="pct"/>
            <w:vAlign w:val="center"/>
          </w:tcPr>
          <w:p w14:paraId="18881CC4" w14:textId="77777777" w:rsidR="00D3555C" w:rsidRPr="00ED172B" w:rsidRDefault="00632DF6" w:rsidP="00632DF6">
            <w:pPr>
              <w:jc w:val="center"/>
              <w:rPr>
                <w:color w:val="000000" w:themeColor="text1"/>
              </w:rPr>
            </w:pPr>
            <w:r w:rsidRPr="00ED172B">
              <w:rPr>
                <w:color w:val="000000" w:themeColor="text1"/>
              </w:rPr>
              <w:t>No Slippage</w:t>
            </w:r>
          </w:p>
        </w:tc>
      </w:tr>
    </w:tbl>
    <w:p w14:paraId="5D9F541F" w14:textId="77777777" w:rsidR="000D4875" w:rsidRDefault="000D4875" w:rsidP="003A3693">
      <w:pPr>
        <w:rPr>
          <w:b/>
          <w:bCs/>
        </w:rPr>
      </w:pPr>
      <w:r w:rsidRPr="00977221">
        <w:rPr>
          <w:b/>
          <w:bCs/>
        </w:rPr>
        <w:t>Provide results of the root cause analysis of child find identification rates</w:t>
      </w:r>
    </w:p>
    <w:p w14:paraId="446B063F" w14:textId="77777777" w:rsidR="000D4875" w:rsidRPr="005900EB" w:rsidRDefault="000D4875" w:rsidP="003A3693">
      <w:pPr>
        <w:rPr>
          <w:rFonts w:cs="Arial"/>
          <w:color w:val="000000" w:themeColor="text1"/>
          <w:szCs w:val="16"/>
        </w:rPr>
      </w:pPr>
      <w:r w:rsidRPr="005900EB">
        <w:t>N/A</w:t>
      </w:r>
    </w:p>
    <w:p w14:paraId="58DB88AF" w14:textId="7777777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79178DB1" w14:textId="77777777" w:rsidR="003A3693" w:rsidRPr="00ED172B" w:rsidRDefault="003A3693" w:rsidP="00632DF6">
      <w:pPr>
        <w:rPr>
          <w:color w:val="000000" w:themeColor="text1"/>
        </w:rPr>
      </w:pPr>
    </w:p>
    <w:p w14:paraId="17A3C3A0" w14:textId="77777777" w:rsidR="00DC0682" w:rsidRPr="00A40EE1" w:rsidRDefault="000D0117" w:rsidP="005C3FFD">
      <w:pPr>
        <w:pStyle w:val="Heading2"/>
      </w:pPr>
      <w:r w:rsidRPr="00A40EE1">
        <w:t xml:space="preserve">5 - </w:t>
      </w:r>
      <w:r w:rsidR="00DC0682" w:rsidRPr="00A40EE1">
        <w:t>Prior FFY Required Actions</w:t>
      </w:r>
    </w:p>
    <w:p w14:paraId="0094A294" w14:textId="77777777" w:rsidR="00DC0682" w:rsidRPr="00ED172B" w:rsidRDefault="00632DF6" w:rsidP="00027F39">
      <w:pPr>
        <w:rPr>
          <w:color w:val="000000" w:themeColor="text1"/>
        </w:rPr>
      </w:pPr>
      <w:r w:rsidRPr="00ED172B">
        <w:rPr>
          <w:color w:val="000000" w:themeColor="text1"/>
        </w:rPr>
        <w:t>None</w:t>
      </w:r>
    </w:p>
    <w:p w14:paraId="612DA5E3" w14:textId="77777777" w:rsidR="00DC0682" w:rsidRPr="00A40EE1" w:rsidRDefault="000D0117" w:rsidP="005C3FFD">
      <w:pPr>
        <w:pStyle w:val="Heading2"/>
      </w:pPr>
      <w:r w:rsidRPr="00A40EE1">
        <w:t xml:space="preserve">5 - </w:t>
      </w:r>
      <w:r w:rsidR="00DC0682" w:rsidRPr="00A40EE1">
        <w:t>OSEP Response</w:t>
      </w:r>
    </w:p>
    <w:p w14:paraId="2F41D00E" w14:textId="77777777" w:rsidR="00DC0682" w:rsidRPr="00ED172B" w:rsidRDefault="00DC0682" w:rsidP="00027F39">
      <w:pPr>
        <w:rPr>
          <w:color w:val="000000" w:themeColor="text1"/>
        </w:rPr>
      </w:pPr>
    </w:p>
    <w:p w14:paraId="0AD77F2F" w14:textId="77777777" w:rsidR="00DC0682" w:rsidRPr="00A40EE1" w:rsidRDefault="000D0117" w:rsidP="005C3FFD">
      <w:pPr>
        <w:pStyle w:val="Heading2"/>
      </w:pPr>
      <w:r w:rsidRPr="00A40EE1">
        <w:t xml:space="preserve">5 - </w:t>
      </w:r>
      <w:r w:rsidR="00DC0682" w:rsidRPr="00A40EE1">
        <w:t>Required Actions</w:t>
      </w:r>
    </w:p>
    <w:p w14:paraId="0836D63D" w14:textId="77777777" w:rsidR="00DC0682" w:rsidRPr="00ED172B" w:rsidRDefault="00DC0682" w:rsidP="00027F39">
      <w:pPr>
        <w:rPr>
          <w:color w:val="000000" w:themeColor="text1"/>
        </w:rPr>
      </w:pPr>
    </w:p>
    <w:p w14:paraId="3AC5A36C" w14:textId="77777777" w:rsidR="00447F6D" w:rsidRPr="00ED172B" w:rsidRDefault="00447F6D" w:rsidP="00B83404">
      <w:pPr>
        <w:rPr>
          <w:color w:val="000000" w:themeColor="text1"/>
        </w:rPr>
        <w:sectPr w:rsidR="00447F6D" w:rsidRPr="00ED172B" w:rsidSect="00BF3AB4">
          <w:pgSz w:w="12240" w:h="15840"/>
          <w:pgMar w:top="720" w:right="720" w:bottom="720" w:left="720" w:header="576" w:footer="720" w:gutter="0"/>
          <w:cols w:space="720"/>
          <w:docGrid w:linePitch="360"/>
        </w:sectPr>
      </w:pPr>
    </w:p>
    <w:p w14:paraId="4B1B4817" w14:textId="77777777" w:rsidR="000C6015" w:rsidRPr="00ED172B" w:rsidRDefault="00D03701" w:rsidP="0077063D">
      <w:pPr>
        <w:pStyle w:val="Heading1"/>
        <w:rPr>
          <w:color w:val="000000" w:themeColor="text1"/>
        </w:rPr>
      </w:pPr>
      <w:bookmarkStart w:id="34" w:name="_Toc381956335"/>
      <w:bookmarkStart w:id="35" w:name="_Toc384383336"/>
      <w:bookmarkStart w:id="36" w:name="_Toc392159288"/>
      <w:r w:rsidRPr="00ED172B">
        <w:rPr>
          <w:color w:val="000000" w:themeColor="text1"/>
        </w:rPr>
        <w:lastRenderedPageBreak/>
        <w:t xml:space="preserve">Indicator </w:t>
      </w:r>
      <w:bookmarkEnd w:id="34"/>
      <w:bookmarkEnd w:id="35"/>
      <w:bookmarkEnd w:id="36"/>
      <w:r w:rsidR="000C6015" w:rsidRPr="00ED172B">
        <w:rPr>
          <w:color w:val="000000" w:themeColor="text1"/>
        </w:rPr>
        <w:t>6: Child Find (Birth to Three)</w:t>
      </w:r>
    </w:p>
    <w:p w14:paraId="70A97CBC"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31232518"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2C52D9AB"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w:t>
      </w:r>
      <w:proofErr w:type="gramStart"/>
      <w:r w:rsidRPr="00ED172B">
        <w:rPr>
          <w:color w:val="000000" w:themeColor="text1"/>
          <w:szCs w:val="16"/>
        </w:rPr>
        <w:t>toddlers</w:t>
      </w:r>
      <w:proofErr w:type="gramEnd"/>
      <w:r w:rsidRPr="00ED172B">
        <w:rPr>
          <w:color w:val="000000" w:themeColor="text1"/>
          <w:szCs w:val="16"/>
        </w:rPr>
        <w:t xml:space="preserve"> birth to 3 with IFSPs</w:t>
      </w:r>
      <w:r w:rsidR="00A863D5">
        <w:rPr>
          <w:color w:val="000000" w:themeColor="text1"/>
          <w:szCs w:val="16"/>
        </w:rPr>
        <w:t>.</w:t>
      </w:r>
    </w:p>
    <w:p w14:paraId="017547B2" w14:textId="77777777" w:rsidR="000C6015" w:rsidRPr="00ED172B" w:rsidRDefault="000C6015" w:rsidP="00B609A4">
      <w:pPr>
        <w:rPr>
          <w:color w:val="000000" w:themeColor="text1"/>
          <w:szCs w:val="16"/>
        </w:rPr>
      </w:pPr>
      <w:r w:rsidRPr="00ED172B">
        <w:rPr>
          <w:color w:val="000000" w:themeColor="text1"/>
          <w:szCs w:val="16"/>
        </w:rPr>
        <w:t>(20 U.S.C. 1416(a)(3)(B) and 1442)</w:t>
      </w:r>
    </w:p>
    <w:p w14:paraId="0B4C3196" w14:textId="77777777" w:rsidR="005918D1" w:rsidRPr="00ED172B" w:rsidRDefault="005918D1">
      <w:pPr>
        <w:rPr>
          <w:b/>
          <w:color w:val="000000" w:themeColor="text1"/>
        </w:rPr>
      </w:pPr>
      <w:r w:rsidRPr="00ED172B">
        <w:rPr>
          <w:b/>
          <w:color w:val="000000" w:themeColor="text1"/>
        </w:rPr>
        <w:t>Data Source</w:t>
      </w:r>
    </w:p>
    <w:p w14:paraId="05170AA2" w14:textId="77777777" w:rsidR="00E25050" w:rsidRPr="00F446DC" w:rsidRDefault="00E25050" w:rsidP="00E25050">
      <w:pPr>
        <w:rPr>
          <w:szCs w:val="16"/>
        </w:rPr>
      </w:pPr>
      <w:r w:rsidRPr="00ED3380">
        <w:rPr>
          <w:szCs w:val="16"/>
        </w:rPr>
        <w:t xml:space="preserve">Same data as used for reporting to the Department under section 618 of the IDEA, using the definitions in EDFacts file specification FS902 </w:t>
      </w:r>
      <w:r w:rsidRPr="0084279D">
        <w:rPr>
          <w:rFonts w:cs="Arial"/>
          <w:szCs w:val="16"/>
        </w:rPr>
        <w:t>and Census (for the denominator).</w:t>
      </w:r>
    </w:p>
    <w:p w14:paraId="5FFF9E3D" w14:textId="77777777" w:rsidR="005918D1" w:rsidRPr="00ED172B" w:rsidRDefault="005918D1">
      <w:pPr>
        <w:rPr>
          <w:b/>
          <w:color w:val="000000" w:themeColor="text1"/>
        </w:rPr>
      </w:pPr>
      <w:r w:rsidRPr="00ED172B">
        <w:rPr>
          <w:b/>
          <w:color w:val="000000" w:themeColor="text1"/>
        </w:rPr>
        <w:t>Measurement</w:t>
      </w:r>
    </w:p>
    <w:p w14:paraId="6C6660E3" w14:textId="77777777" w:rsidR="005918D1" w:rsidRPr="00ED172B" w:rsidRDefault="005918D1" w:rsidP="00B609A4">
      <w:pPr>
        <w:rPr>
          <w:color w:val="000000" w:themeColor="text1"/>
          <w:szCs w:val="16"/>
        </w:rPr>
      </w:pPr>
      <w:r w:rsidRPr="00ED172B">
        <w:rPr>
          <w:color w:val="000000" w:themeColor="text1"/>
          <w:szCs w:val="16"/>
        </w:rPr>
        <w:t xml:space="preserve">Percent = </w:t>
      </w:r>
      <w:proofErr w:type="gramStart"/>
      <w:r w:rsidRPr="00ED172B">
        <w:rPr>
          <w:color w:val="000000" w:themeColor="text1"/>
          <w:szCs w:val="16"/>
        </w:rPr>
        <w:t xml:space="preserve">[(# </w:t>
      </w:r>
      <w:proofErr w:type="gramEnd"/>
      <w:r w:rsidRPr="00ED172B">
        <w:rPr>
          <w:color w:val="000000" w:themeColor="text1"/>
          <w:szCs w:val="16"/>
        </w:rPr>
        <w:t xml:space="preserve">of infants and </w:t>
      </w:r>
      <w:proofErr w:type="gramStart"/>
      <w:r w:rsidRPr="00ED172B">
        <w:rPr>
          <w:color w:val="000000" w:themeColor="text1"/>
          <w:szCs w:val="16"/>
        </w:rPr>
        <w:t>toddlers</w:t>
      </w:r>
      <w:proofErr w:type="gramEnd"/>
      <w:r w:rsidRPr="00ED172B">
        <w:rPr>
          <w:color w:val="000000" w:themeColor="text1"/>
          <w:szCs w:val="16"/>
        </w:rPr>
        <w:t xml:space="preserve"> birth to 3 with IFSPs) divided by the (population of infants and </w:t>
      </w:r>
      <w:proofErr w:type="gramStart"/>
      <w:r w:rsidRPr="00ED172B">
        <w:rPr>
          <w:color w:val="000000" w:themeColor="text1"/>
          <w:szCs w:val="16"/>
        </w:rPr>
        <w:t>toddlers</w:t>
      </w:r>
      <w:proofErr w:type="gramEnd"/>
      <w:r w:rsidRPr="00ED172B">
        <w:rPr>
          <w:color w:val="000000" w:themeColor="text1"/>
          <w:szCs w:val="16"/>
        </w:rPr>
        <w:t xml:space="preserve"> birth to 3)] times 100.</w:t>
      </w:r>
    </w:p>
    <w:p w14:paraId="2E9FDB01" w14:textId="77777777" w:rsidR="005918D1" w:rsidRPr="00ED172B" w:rsidRDefault="005918D1">
      <w:pPr>
        <w:rPr>
          <w:b/>
          <w:color w:val="000000" w:themeColor="text1"/>
        </w:rPr>
      </w:pPr>
      <w:r w:rsidRPr="00ED172B">
        <w:rPr>
          <w:b/>
          <w:color w:val="000000" w:themeColor="text1"/>
        </w:rPr>
        <w:t>Instructions</w:t>
      </w:r>
    </w:p>
    <w:p w14:paraId="45A176A0"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5E50B9FB" w14:textId="77777777" w:rsidR="001C3D0E" w:rsidRDefault="001C3D0E" w:rsidP="00B609A4">
      <w:pPr>
        <w:rPr>
          <w:color w:val="000000" w:themeColor="text1"/>
          <w:szCs w:val="16"/>
        </w:rPr>
      </w:pPr>
      <w:r w:rsidRPr="00ED172B">
        <w:rPr>
          <w:color w:val="000000" w:themeColor="text1"/>
          <w:szCs w:val="16"/>
        </w:rPr>
        <w:t>Describe the results of the calculations. The data reported in this indicator should be consistent with the State’s reported 618 data reported in Table 1. If not, explain why.</w:t>
      </w:r>
    </w:p>
    <w:p w14:paraId="59FBB490" w14:textId="77777777" w:rsidR="003643D6" w:rsidRDefault="003643D6" w:rsidP="003643D6">
      <w:pPr>
        <w:rPr>
          <w:szCs w:val="16"/>
        </w:rPr>
      </w:pPr>
      <w:r w:rsidRPr="00FE01D6">
        <w:rPr>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If the State is required to report on the reasons for slippage, the State must include the results of its analysis.</w:t>
      </w:r>
    </w:p>
    <w:p w14:paraId="284AE51C" w14:textId="77777777" w:rsidR="000C6015" w:rsidRPr="00A40EE1" w:rsidRDefault="000D0117" w:rsidP="005C3FFD">
      <w:pPr>
        <w:pStyle w:val="Heading2"/>
      </w:pPr>
      <w:r w:rsidRPr="00A40EE1">
        <w:t xml:space="preserve">6 - </w:t>
      </w:r>
      <w:r w:rsidR="00B609A4" w:rsidRPr="00A40EE1">
        <w:t>Indicator Data</w:t>
      </w:r>
    </w:p>
    <w:p w14:paraId="5C44331E" w14:textId="77777777" w:rsidR="00C779B5" w:rsidRDefault="000F5FCD" w:rsidP="00C779B5">
      <w:r>
        <w:t>Historical Data</w:t>
      </w:r>
    </w:p>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2D4C69E5" w14:textId="77777777" w:rsidTr="00A40EE1">
        <w:trPr>
          <w:trHeight w:val="350"/>
          <w:tblHeader/>
        </w:trPr>
        <w:tc>
          <w:tcPr>
            <w:tcW w:w="2499" w:type="pct"/>
            <w:tcBorders>
              <w:bottom w:val="single" w:sz="4" w:space="0" w:color="auto"/>
            </w:tcBorders>
            <w:vAlign w:val="center"/>
          </w:tcPr>
          <w:p w14:paraId="3F69FED5" w14:textId="77777777"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vAlign w:val="center"/>
          </w:tcPr>
          <w:p w14:paraId="606211A9" w14:textId="77777777"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3FEB5927" w14:textId="77777777" w:rsidTr="00A40EE1">
        <w:trPr>
          <w:trHeight w:val="350"/>
        </w:trPr>
        <w:tc>
          <w:tcPr>
            <w:tcW w:w="2499" w:type="pct"/>
            <w:tcBorders>
              <w:bottom w:val="single" w:sz="4" w:space="0" w:color="auto"/>
            </w:tcBorders>
            <w:vAlign w:val="center"/>
          </w:tcPr>
          <w:p w14:paraId="67874670" w14:textId="77777777" w:rsidR="00CA65C9" w:rsidRPr="00ED172B" w:rsidRDefault="00CA65C9" w:rsidP="00C15786">
            <w:pPr>
              <w:jc w:val="center"/>
              <w:rPr>
                <w:b/>
                <w:color w:val="000000" w:themeColor="text1"/>
              </w:rPr>
            </w:pPr>
            <w:r w:rsidRPr="00ED172B">
              <w:rPr>
                <w:color w:val="000000" w:themeColor="text1"/>
              </w:rPr>
              <w:t>2005</w:t>
            </w:r>
          </w:p>
        </w:tc>
        <w:tc>
          <w:tcPr>
            <w:tcW w:w="2501" w:type="pct"/>
            <w:tcBorders>
              <w:top w:val="single" w:sz="4" w:space="0" w:color="auto"/>
              <w:right w:val="single" w:sz="4" w:space="0" w:color="auto"/>
            </w:tcBorders>
            <w:vAlign w:val="center"/>
          </w:tcPr>
          <w:p w14:paraId="4BA62522" w14:textId="77777777" w:rsidR="00CA65C9" w:rsidRPr="00ED172B" w:rsidRDefault="00CA65C9" w:rsidP="00C15786">
            <w:pPr>
              <w:jc w:val="center"/>
              <w:rPr>
                <w:b/>
                <w:color w:val="000000" w:themeColor="text1"/>
              </w:rPr>
            </w:pPr>
            <w:r w:rsidRPr="00ED172B">
              <w:rPr>
                <w:color w:val="000000" w:themeColor="text1"/>
              </w:rPr>
              <w:t>1.78%</w:t>
            </w:r>
          </w:p>
        </w:tc>
      </w:tr>
    </w:tbl>
    <w:p w14:paraId="42C7F1CD" w14:textId="77777777"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672E3554" w14:textId="77777777" w:rsidTr="00986B99">
        <w:trPr>
          <w:trHeight w:val="350"/>
        </w:trPr>
        <w:tc>
          <w:tcPr>
            <w:tcW w:w="415" w:type="pct"/>
            <w:tcBorders>
              <w:bottom w:val="single" w:sz="4" w:space="0" w:color="auto"/>
            </w:tcBorders>
          </w:tcPr>
          <w:p w14:paraId="0B942E00" w14:textId="77777777" w:rsidR="00EF4A30" w:rsidRPr="00ED172B" w:rsidRDefault="00EF4A30" w:rsidP="00186420">
            <w:pPr>
              <w:jc w:val="center"/>
              <w:rPr>
                <w:b/>
                <w:color w:val="000000" w:themeColor="text1"/>
                <w:szCs w:val="16"/>
              </w:rPr>
            </w:pPr>
            <w:bookmarkStart w:id="37" w:name="_Toc392159294"/>
            <w:r w:rsidRPr="00ED172B">
              <w:rPr>
                <w:b/>
                <w:color w:val="000000" w:themeColor="text1"/>
                <w:szCs w:val="16"/>
              </w:rPr>
              <w:t>FFY</w:t>
            </w:r>
          </w:p>
        </w:tc>
        <w:tc>
          <w:tcPr>
            <w:tcW w:w="959" w:type="pct"/>
            <w:vAlign w:val="center"/>
          </w:tcPr>
          <w:p w14:paraId="4EB57863" w14:textId="77777777" w:rsidR="00EF4A30" w:rsidRPr="00ED172B" w:rsidRDefault="002163F2" w:rsidP="00CD79C5">
            <w:pPr>
              <w:jc w:val="center"/>
              <w:rPr>
                <w:b/>
                <w:color w:val="000000" w:themeColor="text1"/>
                <w:szCs w:val="16"/>
              </w:rPr>
            </w:pPr>
            <w:r w:rsidRPr="00ED172B">
              <w:rPr>
                <w:rFonts w:cs="Arial"/>
                <w:b/>
                <w:color w:val="000000" w:themeColor="text1"/>
                <w:szCs w:val="16"/>
              </w:rPr>
              <w:t>2019</w:t>
            </w:r>
          </w:p>
        </w:tc>
        <w:tc>
          <w:tcPr>
            <w:tcW w:w="1026" w:type="pct"/>
            <w:vAlign w:val="center"/>
          </w:tcPr>
          <w:p w14:paraId="22D84542" w14:textId="77777777" w:rsidR="00EF4A30"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vAlign w:val="center"/>
          </w:tcPr>
          <w:p w14:paraId="5DE5BFE7" w14:textId="77777777" w:rsidR="00EF4A30" w:rsidRPr="00ED172B" w:rsidRDefault="002163F2" w:rsidP="00CD79C5">
            <w:pPr>
              <w:jc w:val="center"/>
              <w:rPr>
                <w:b/>
                <w:color w:val="000000" w:themeColor="text1"/>
                <w:szCs w:val="16"/>
              </w:rPr>
            </w:pPr>
            <w:r w:rsidRPr="00ED172B">
              <w:rPr>
                <w:rFonts w:cs="Arial"/>
                <w:b/>
                <w:color w:val="000000" w:themeColor="text1"/>
                <w:szCs w:val="16"/>
              </w:rPr>
              <w:t>2021</w:t>
            </w:r>
          </w:p>
        </w:tc>
        <w:tc>
          <w:tcPr>
            <w:tcW w:w="867" w:type="pct"/>
            <w:vAlign w:val="center"/>
          </w:tcPr>
          <w:p w14:paraId="51FFF355" w14:textId="77777777" w:rsidR="00EF4A30" w:rsidRPr="00ED172B" w:rsidRDefault="002163F2" w:rsidP="00CD79C5">
            <w:pPr>
              <w:jc w:val="center"/>
              <w:rPr>
                <w:b/>
                <w:color w:val="000000" w:themeColor="text1"/>
                <w:szCs w:val="16"/>
              </w:rPr>
            </w:pPr>
            <w:r w:rsidRPr="00ED172B">
              <w:rPr>
                <w:rFonts w:cs="Arial"/>
                <w:b/>
                <w:color w:val="000000" w:themeColor="text1"/>
                <w:szCs w:val="16"/>
              </w:rPr>
              <w:t>2022</w:t>
            </w:r>
          </w:p>
        </w:tc>
        <w:tc>
          <w:tcPr>
            <w:tcW w:w="866" w:type="pct"/>
            <w:vAlign w:val="center"/>
          </w:tcPr>
          <w:p w14:paraId="6326EBBA" w14:textId="77777777" w:rsidR="00EF4A30"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44043435" w14:textId="77777777" w:rsidTr="00986B99">
        <w:trPr>
          <w:trHeight w:val="357"/>
        </w:trPr>
        <w:tc>
          <w:tcPr>
            <w:tcW w:w="415" w:type="pct"/>
          </w:tcPr>
          <w:p w14:paraId="72C0D3E5" w14:textId="77777777" w:rsidR="00EF4A30" w:rsidRPr="00ED172B" w:rsidRDefault="00EF4A30"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vAlign w:val="center"/>
          </w:tcPr>
          <w:p w14:paraId="6A8DE61C" w14:textId="77777777" w:rsidR="00EF4A30" w:rsidRPr="00ED172B" w:rsidRDefault="00860830" w:rsidP="00CD79C5">
            <w:pPr>
              <w:jc w:val="center"/>
              <w:rPr>
                <w:color w:val="000000" w:themeColor="text1"/>
                <w:szCs w:val="16"/>
              </w:rPr>
            </w:pPr>
            <w:r w:rsidRPr="00ED172B">
              <w:rPr>
                <w:rFonts w:cs="Arial"/>
                <w:color w:val="000000" w:themeColor="text1"/>
                <w:szCs w:val="16"/>
              </w:rPr>
              <w:t>2.40%</w:t>
            </w:r>
          </w:p>
        </w:tc>
        <w:tc>
          <w:tcPr>
            <w:tcW w:w="1026" w:type="pct"/>
            <w:vAlign w:val="center"/>
          </w:tcPr>
          <w:p w14:paraId="60C1ABFE" w14:textId="77777777" w:rsidR="00EF4A30" w:rsidRPr="00ED172B" w:rsidRDefault="00860830" w:rsidP="00CD79C5">
            <w:pPr>
              <w:jc w:val="center"/>
              <w:rPr>
                <w:color w:val="000000" w:themeColor="text1"/>
                <w:szCs w:val="16"/>
              </w:rPr>
            </w:pPr>
            <w:r w:rsidRPr="00ED172B">
              <w:rPr>
                <w:rFonts w:cs="Arial"/>
                <w:color w:val="000000" w:themeColor="text1"/>
                <w:szCs w:val="16"/>
              </w:rPr>
              <w:t>2.40%</w:t>
            </w:r>
          </w:p>
        </w:tc>
        <w:tc>
          <w:tcPr>
            <w:tcW w:w="867" w:type="pct"/>
            <w:vAlign w:val="center"/>
          </w:tcPr>
          <w:p w14:paraId="00F017BA" w14:textId="77777777" w:rsidR="00EF4A30" w:rsidRPr="00ED172B" w:rsidRDefault="00860830" w:rsidP="00CD79C5">
            <w:pPr>
              <w:jc w:val="center"/>
              <w:rPr>
                <w:color w:val="000000" w:themeColor="text1"/>
                <w:szCs w:val="16"/>
              </w:rPr>
            </w:pPr>
            <w:r w:rsidRPr="00ED172B">
              <w:rPr>
                <w:rFonts w:cs="Arial"/>
                <w:color w:val="000000" w:themeColor="text1"/>
                <w:szCs w:val="16"/>
              </w:rPr>
              <w:t>2.50%</w:t>
            </w:r>
          </w:p>
        </w:tc>
        <w:tc>
          <w:tcPr>
            <w:tcW w:w="867" w:type="pct"/>
            <w:vAlign w:val="center"/>
          </w:tcPr>
          <w:p w14:paraId="15CAF5FE" w14:textId="77777777" w:rsidR="00EF4A30" w:rsidRPr="00ED172B" w:rsidRDefault="00860830" w:rsidP="00CD79C5">
            <w:pPr>
              <w:jc w:val="center"/>
              <w:rPr>
                <w:color w:val="000000" w:themeColor="text1"/>
                <w:szCs w:val="16"/>
              </w:rPr>
            </w:pPr>
            <w:r w:rsidRPr="00ED172B">
              <w:rPr>
                <w:rFonts w:cs="Arial"/>
                <w:color w:val="000000" w:themeColor="text1"/>
                <w:szCs w:val="16"/>
              </w:rPr>
              <w:t>2.50%</w:t>
            </w:r>
          </w:p>
        </w:tc>
        <w:tc>
          <w:tcPr>
            <w:tcW w:w="866" w:type="pct"/>
            <w:vAlign w:val="center"/>
          </w:tcPr>
          <w:p w14:paraId="264BC653" w14:textId="77777777" w:rsidR="00EF4A30" w:rsidRPr="00ED172B" w:rsidRDefault="00860830" w:rsidP="00CD79C5">
            <w:pPr>
              <w:jc w:val="center"/>
              <w:rPr>
                <w:color w:val="000000" w:themeColor="text1"/>
                <w:szCs w:val="16"/>
              </w:rPr>
            </w:pPr>
            <w:r w:rsidRPr="00ED172B">
              <w:rPr>
                <w:rFonts w:cs="Arial"/>
                <w:color w:val="000000" w:themeColor="text1"/>
                <w:szCs w:val="16"/>
              </w:rPr>
              <w:t>2.60%</w:t>
            </w:r>
          </w:p>
        </w:tc>
      </w:tr>
      <w:tr w:rsidR="00ED172B" w:rsidRPr="00ED172B" w14:paraId="430717E9" w14:textId="77777777" w:rsidTr="00986B99">
        <w:trPr>
          <w:trHeight w:val="85"/>
        </w:trPr>
        <w:tc>
          <w:tcPr>
            <w:tcW w:w="415" w:type="pct"/>
          </w:tcPr>
          <w:p w14:paraId="7053B379" w14:textId="77777777" w:rsidR="00EF4A30" w:rsidRPr="00ED172B" w:rsidRDefault="00EF4A30" w:rsidP="00D21F29">
            <w:pPr>
              <w:jc w:val="center"/>
              <w:rPr>
                <w:color w:val="000000" w:themeColor="text1"/>
                <w:szCs w:val="16"/>
              </w:rPr>
            </w:pPr>
            <w:r w:rsidRPr="00ED172B">
              <w:rPr>
                <w:color w:val="000000" w:themeColor="text1"/>
                <w:szCs w:val="16"/>
              </w:rPr>
              <w:t>Data</w:t>
            </w:r>
          </w:p>
        </w:tc>
        <w:tc>
          <w:tcPr>
            <w:tcW w:w="959" w:type="pct"/>
            <w:vAlign w:val="center"/>
          </w:tcPr>
          <w:p w14:paraId="561925C9" w14:textId="77777777" w:rsidR="00EF4A30" w:rsidRPr="00ED172B" w:rsidRDefault="00860830" w:rsidP="00CD79C5">
            <w:pPr>
              <w:jc w:val="center"/>
              <w:rPr>
                <w:color w:val="000000" w:themeColor="text1"/>
                <w:szCs w:val="16"/>
              </w:rPr>
            </w:pPr>
            <w:r w:rsidRPr="00ED172B">
              <w:rPr>
                <w:rFonts w:cs="Arial"/>
                <w:color w:val="000000" w:themeColor="text1"/>
                <w:szCs w:val="16"/>
              </w:rPr>
              <w:t>3.27%</w:t>
            </w:r>
          </w:p>
        </w:tc>
        <w:tc>
          <w:tcPr>
            <w:tcW w:w="1026" w:type="pct"/>
            <w:vAlign w:val="center"/>
          </w:tcPr>
          <w:p w14:paraId="1DCB818A" w14:textId="77777777" w:rsidR="00EF4A30" w:rsidRPr="00ED172B" w:rsidRDefault="00860830" w:rsidP="00CD79C5">
            <w:pPr>
              <w:jc w:val="center"/>
              <w:rPr>
                <w:color w:val="000000" w:themeColor="text1"/>
                <w:szCs w:val="16"/>
              </w:rPr>
            </w:pPr>
            <w:r w:rsidRPr="00ED172B">
              <w:rPr>
                <w:rFonts w:cs="Arial"/>
                <w:color w:val="000000" w:themeColor="text1"/>
                <w:szCs w:val="16"/>
              </w:rPr>
              <w:t>2.58%</w:t>
            </w:r>
          </w:p>
        </w:tc>
        <w:tc>
          <w:tcPr>
            <w:tcW w:w="867" w:type="pct"/>
            <w:tcBorders>
              <w:bottom w:val="single" w:sz="4" w:space="0" w:color="auto"/>
            </w:tcBorders>
            <w:vAlign w:val="center"/>
          </w:tcPr>
          <w:p w14:paraId="233545BB" w14:textId="77777777" w:rsidR="00EF4A30" w:rsidRPr="00ED172B" w:rsidRDefault="00860830" w:rsidP="00CD79C5">
            <w:pPr>
              <w:jc w:val="center"/>
              <w:rPr>
                <w:color w:val="000000" w:themeColor="text1"/>
                <w:szCs w:val="16"/>
              </w:rPr>
            </w:pPr>
            <w:r w:rsidRPr="00ED172B">
              <w:rPr>
                <w:rFonts w:cs="Arial"/>
                <w:color w:val="000000" w:themeColor="text1"/>
                <w:szCs w:val="16"/>
              </w:rPr>
              <w:t>3.00%</w:t>
            </w:r>
          </w:p>
        </w:tc>
        <w:tc>
          <w:tcPr>
            <w:tcW w:w="867" w:type="pct"/>
            <w:tcBorders>
              <w:bottom w:val="single" w:sz="4" w:space="0" w:color="auto"/>
            </w:tcBorders>
            <w:vAlign w:val="center"/>
          </w:tcPr>
          <w:p w14:paraId="4DC0CC0F" w14:textId="77777777" w:rsidR="00EF4A30" w:rsidRPr="00ED172B" w:rsidRDefault="00860830" w:rsidP="00CD79C5">
            <w:pPr>
              <w:jc w:val="center"/>
              <w:rPr>
                <w:color w:val="000000" w:themeColor="text1"/>
                <w:szCs w:val="16"/>
              </w:rPr>
            </w:pPr>
            <w:r w:rsidRPr="00ED172B">
              <w:rPr>
                <w:rFonts w:cs="Arial"/>
                <w:color w:val="000000" w:themeColor="text1"/>
                <w:szCs w:val="16"/>
              </w:rPr>
              <w:t>3.38%</w:t>
            </w:r>
          </w:p>
        </w:tc>
        <w:tc>
          <w:tcPr>
            <w:tcW w:w="866" w:type="pct"/>
            <w:tcBorders>
              <w:bottom w:val="single" w:sz="4" w:space="0" w:color="auto"/>
            </w:tcBorders>
            <w:vAlign w:val="center"/>
          </w:tcPr>
          <w:p w14:paraId="78612CF8" w14:textId="77777777" w:rsidR="00EF4A30" w:rsidRPr="00ED172B" w:rsidRDefault="00860830" w:rsidP="00CD79C5">
            <w:pPr>
              <w:jc w:val="center"/>
              <w:rPr>
                <w:color w:val="000000" w:themeColor="text1"/>
                <w:szCs w:val="16"/>
              </w:rPr>
            </w:pPr>
            <w:r w:rsidRPr="00ED172B">
              <w:rPr>
                <w:rFonts w:cs="Arial"/>
                <w:color w:val="000000" w:themeColor="text1"/>
                <w:szCs w:val="16"/>
              </w:rPr>
              <w:t>3.53%</w:t>
            </w:r>
          </w:p>
        </w:tc>
      </w:tr>
    </w:tbl>
    <w:p w14:paraId="022D1C31" w14:textId="77777777" w:rsidR="00EF4A30" w:rsidRPr="00ED172B" w:rsidRDefault="00EF4A30">
      <w:pPr>
        <w:rPr>
          <w:b/>
          <w:color w:val="000000" w:themeColor="text1"/>
        </w:rPr>
      </w:pPr>
      <w:r w:rsidRPr="00ED172B">
        <w:rPr>
          <w:b/>
          <w:color w:val="000000" w:themeColor="text1"/>
        </w:rPr>
        <w:t>Targets</w:t>
      </w:r>
    </w:p>
    <w:tbl>
      <w:tblPr>
        <w:tblW w:w="2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41"/>
        <w:gridCol w:w="1542"/>
        <w:gridCol w:w="1542"/>
      </w:tblGrid>
      <w:tr w:rsidR="00CF59E2" w:rsidRPr="00ED172B" w14:paraId="3C235AFE" w14:textId="77777777" w:rsidTr="00811738">
        <w:trPr>
          <w:trHeight w:val="277"/>
        </w:trPr>
        <w:tc>
          <w:tcPr>
            <w:tcW w:w="1665" w:type="pct"/>
            <w:tcBorders>
              <w:bottom w:val="single" w:sz="4" w:space="0" w:color="auto"/>
            </w:tcBorders>
          </w:tcPr>
          <w:p w14:paraId="179F2F69"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1667" w:type="pct"/>
            <w:vAlign w:val="center"/>
          </w:tcPr>
          <w:p w14:paraId="50EA9E0C" w14:textId="7777777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1667" w:type="pct"/>
          </w:tcPr>
          <w:p w14:paraId="53BE071A" w14:textId="77777777"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77C2EE94" w14:textId="77777777" w:rsidTr="00811738">
        <w:trPr>
          <w:trHeight w:val="283"/>
        </w:trPr>
        <w:tc>
          <w:tcPr>
            <w:tcW w:w="1665" w:type="pct"/>
          </w:tcPr>
          <w:p w14:paraId="3366A75A" w14:textId="77777777" w:rsidR="00CF59E2" w:rsidRPr="00ED172B" w:rsidRDefault="00CF59E2"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667" w:type="pct"/>
            <w:vAlign w:val="center"/>
          </w:tcPr>
          <w:p w14:paraId="042F02D0" w14:textId="77777777" w:rsidR="00CF59E2" w:rsidRPr="00ED172B" w:rsidRDefault="00CF59E2" w:rsidP="006B2FE9">
            <w:pPr>
              <w:jc w:val="center"/>
              <w:rPr>
                <w:color w:val="000000" w:themeColor="text1"/>
              </w:rPr>
            </w:pPr>
            <w:r w:rsidRPr="00ED172B">
              <w:rPr>
                <w:color w:val="000000" w:themeColor="text1"/>
              </w:rPr>
              <w:t>2.60%</w:t>
            </w:r>
          </w:p>
        </w:tc>
        <w:tc>
          <w:tcPr>
            <w:tcW w:w="1667" w:type="pct"/>
          </w:tcPr>
          <w:p w14:paraId="1A8B943F" w14:textId="77777777" w:rsidR="00CF59E2" w:rsidRPr="00811738" w:rsidRDefault="00CF59E2" w:rsidP="006B2FE9">
            <w:pPr>
              <w:jc w:val="center"/>
              <w:rPr>
                <w:strike/>
                <w:color w:val="000000" w:themeColor="text1"/>
              </w:rPr>
            </w:pPr>
            <w:r>
              <w:rPr>
                <w:rFonts w:cs="Arial"/>
                <w:color w:val="000000" w:themeColor="text1"/>
                <w:szCs w:val="16"/>
              </w:rPr>
              <w:t>2.70%</w:t>
            </w:r>
          </w:p>
        </w:tc>
      </w:tr>
    </w:tbl>
    <w:p w14:paraId="0C479EBA" w14:textId="77777777" w:rsidR="00F80C9C" w:rsidRDefault="00F80C9C" w:rsidP="00F80C9C">
      <w:pPr>
        <w:pStyle w:val="Bold"/>
        <w:rPr>
          <w:color w:val="000000" w:themeColor="text1"/>
        </w:rPr>
      </w:pPr>
      <w:r w:rsidRPr="00ED172B">
        <w:rPr>
          <w:color w:val="000000" w:themeColor="text1"/>
        </w:rPr>
        <w:t xml:space="preserve">Targets: Description of Stakeholder Input </w:t>
      </w:r>
    </w:p>
    <w:p w14:paraId="32A0FBE5" w14:textId="77777777" w:rsidR="00B91988" w:rsidRDefault="00CF03E0" w:rsidP="00ED172B">
      <w:pPr>
        <w:rPr>
          <w:color w:val="000000" w:themeColor="text1"/>
        </w:rPr>
      </w:pPr>
      <w:r w:rsidRPr="00ED172B">
        <w:rPr>
          <w:color w:val="000000" w:themeColor="text1"/>
        </w:rPr>
        <w:t xml:space="preserve">The State engages stakeholders through the State Interagency Coordinating Council (SICC), collaboration with the parent training and information center (FACT Oregon), public reporting, and targeted outreach efforts. These structures support stakeholder involvement in reviewing data, setting targets, shaping improvement strategies, and monitoring progress. The State has made focused efforts to broaden participation in the SICC and to strengthen connections with Local Interagency Coordinating Councils. The State also works to improve participation in the annual Parent Survey and to ensure feedback from families </w:t>
      </w:r>
      <w:proofErr w:type="gramStart"/>
      <w:r w:rsidRPr="00ED172B">
        <w:rPr>
          <w:color w:val="000000" w:themeColor="text1"/>
        </w:rPr>
        <w:t>informs</w:t>
      </w:r>
      <w:proofErr w:type="gramEnd"/>
      <w:r w:rsidRPr="00ED172B">
        <w:rPr>
          <w:color w:val="000000" w:themeColor="text1"/>
        </w:rPr>
        <w:t xml:space="preserve"> system improvement activities.</w:t>
      </w:r>
    </w:p>
    <w:p w14:paraId="64EC4E1D" w14:textId="77777777" w:rsidR="004A1179" w:rsidRPr="00ED172B" w:rsidRDefault="004A1179" w:rsidP="00F80C9C">
      <w:pPr>
        <w:pStyle w:val="Bold"/>
        <w:rPr>
          <w:b w:val="0"/>
          <w:color w:val="000000" w:themeColor="text1"/>
        </w:rPr>
      </w:pPr>
      <w:r w:rsidRPr="00ED172B">
        <w:rPr>
          <w:rFonts w:cs="Arial"/>
          <w:b w:val="0"/>
          <w:color w:val="000000" w:themeColor="text1"/>
          <w:szCs w:val="16"/>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w:t>
      </w:r>
      <w:proofErr w:type="gramStart"/>
      <w:r w:rsidRPr="00ED172B">
        <w:rPr>
          <w:rFonts w:cs="Arial"/>
          <w:b w:val="0"/>
          <w:color w:val="000000" w:themeColor="text1"/>
          <w:szCs w:val="16"/>
        </w:rPr>
        <w:t>supports</w:t>
      </w:r>
      <w:proofErr w:type="gramEnd"/>
      <w:r w:rsidRPr="00ED172B">
        <w:rPr>
          <w:rFonts w:cs="Arial"/>
          <w:b w:val="0"/>
          <w:color w:val="000000" w:themeColor="text1"/>
          <w:szCs w:val="16"/>
        </w:rPr>
        <w:t xml:space="preserve"> for children with disabilities.  </w:t>
      </w:r>
    </w:p>
    <w:p w14:paraId="587DAB24" w14:textId="77777777" w:rsidR="000575B2" w:rsidRDefault="00D6492D">
      <w:pPr>
        <w:pStyle w:val="Bold"/>
      </w:pPr>
      <w:r>
        <w:rPr>
          <w:b w:val="0"/>
          <w:color w:val="000000"/>
        </w:rPr>
        <w:t xml:space="preserve"> </w:t>
      </w:r>
    </w:p>
    <w:p w14:paraId="681B608A" w14:textId="77777777" w:rsidR="000575B2" w:rsidRDefault="00D6492D">
      <w:pPr>
        <w:pStyle w:val="Bold"/>
      </w:pPr>
      <w:r>
        <w:rPr>
          <w:b w:val="0"/>
          <w:color w:val="000000"/>
        </w:rP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p>
    <w:p w14:paraId="7D536D83" w14:textId="77777777" w:rsidR="000575B2" w:rsidRDefault="00D6492D">
      <w:pPr>
        <w:pStyle w:val="Bold"/>
      </w:pPr>
      <w:r>
        <w:rPr>
          <w:b w:val="0"/>
          <w:color w:val="000000"/>
        </w:rPr>
        <w:t xml:space="preserve"> </w:t>
      </w:r>
    </w:p>
    <w:p w14:paraId="049D4390" w14:textId="77777777" w:rsidR="000575B2" w:rsidRDefault="00D6492D">
      <w:pPr>
        <w:pStyle w:val="Bold"/>
      </w:pPr>
      <w:r>
        <w:rPr>
          <w:b w:val="0"/>
          <w:color w:val="000000"/>
        </w:rP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p>
    <w:p w14:paraId="2035A04A" w14:textId="77777777" w:rsidR="000575B2" w:rsidRDefault="00D6492D">
      <w:pPr>
        <w:pStyle w:val="Bold"/>
      </w:pPr>
      <w:r>
        <w:rPr>
          <w:b w:val="0"/>
          <w:color w:val="000000"/>
        </w:rPr>
        <w:t xml:space="preserve"> </w:t>
      </w:r>
    </w:p>
    <w:p w14:paraId="4452FA78" w14:textId="77777777" w:rsidR="000575B2" w:rsidRDefault="00D6492D">
      <w:pPr>
        <w:pStyle w:val="Bold"/>
      </w:pPr>
      <w:r>
        <w:rPr>
          <w:b w:val="0"/>
          <w:color w:val="000000"/>
        </w:rPr>
        <w:t xml:space="preserve">Additional data and input </w:t>
      </w:r>
      <w:proofErr w:type="gramStart"/>
      <w:r>
        <w:rPr>
          <w:b w:val="0"/>
          <w:color w:val="000000"/>
        </w:rPr>
        <w:t>has</w:t>
      </w:r>
      <w:proofErr w:type="gramEnd"/>
      <w:r>
        <w:rPr>
          <w:b w:val="0"/>
          <w:color w:val="000000"/>
        </w:rPr>
        <w:t xml:space="preserve">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3E5FA14A"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14D6767B" w14:textId="77777777" w:rsidTr="00986B99">
        <w:trPr>
          <w:trHeight w:val="372"/>
          <w:tblHeader/>
        </w:trPr>
        <w:tc>
          <w:tcPr>
            <w:tcW w:w="1457" w:type="pct"/>
          </w:tcPr>
          <w:p w14:paraId="75BB699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tcPr>
          <w:p w14:paraId="31CF0AFE"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tcPr>
          <w:p w14:paraId="6EE58837"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tcPr>
          <w:p w14:paraId="76A78CEE"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58325456" w14:textId="77777777" w:rsidTr="00986B99">
        <w:trPr>
          <w:trHeight w:val="380"/>
        </w:trPr>
        <w:tc>
          <w:tcPr>
            <w:tcW w:w="1457" w:type="pct"/>
            <w:vAlign w:val="center"/>
          </w:tcPr>
          <w:p w14:paraId="028C1571" w14:textId="77777777" w:rsidR="00B609A4" w:rsidRPr="00ED172B" w:rsidRDefault="00753E04" w:rsidP="00715B7C">
            <w:pPr>
              <w:jc w:val="center"/>
              <w:rPr>
                <w:rFonts w:cs="Arial"/>
                <w:color w:val="000000" w:themeColor="text1"/>
                <w:szCs w:val="16"/>
              </w:rPr>
            </w:pPr>
            <w:r w:rsidRPr="00ED172B">
              <w:rPr>
                <w:rFonts w:cs="Arial"/>
                <w:color w:val="000000" w:themeColor="text1"/>
                <w:szCs w:val="16"/>
              </w:rPr>
              <w:t xml:space="preserve">SY 2024-25 IDEA Part C Child Count - Infants and Toddlers with Disabilities </w:t>
            </w:r>
            <w:r w:rsidRPr="00ED172B">
              <w:rPr>
                <w:rFonts w:cs="Arial"/>
                <w:color w:val="000000" w:themeColor="text1"/>
                <w:szCs w:val="16"/>
              </w:rPr>
              <w:lastRenderedPageBreak/>
              <w:t>(EDFacts file spec FS902; Data group 5023)</w:t>
            </w:r>
          </w:p>
        </w:tc>
        <w:tc>
          <w:tcPr>
            <w:tcW w:w="1585" w:type="pct"/>
            <w:vAlign w:val="center"/>
          </w:tcPr>
          <w:p w14:paraId="531F51D6" w14:textId="77777777" w:rsidR="00B609A4" w:rsidRPr="00ED172B" w:rsidRDefault="00753E04" w:rsidP="00715B7C">
            <w:pPr>
              <w:jc w:val="center"/>
              <w:rPr>
                <w:rFonts w:cs="Arial"/>
                <w:color w:val="000000" w:themeColor="text1"/>
                <w:szCs w:val="16"/>
              </w:rPr>
            </w:pPr>
            <w:r w:rsidRPr="00ED172B">
              <w:rPr>
                <w:rFonts w:cs="Arial"/>
                <w:color w:val="000000" w:themeColor="text1"/>
                <w:szCs w:val="16"/>
              </w:rPr>
              <w:lastRenderedPageBreak/>
              <w:t>07/30/2025</w:t>
            </w:r>
          </w:p>
        </w:tc>
        <w:tc>
          <w:tcPr>
            <w:tcW w:w="1167" w:type="pct"/>
            <w:vAlign w:val="center"/>
          </w:tcPr>
          <w:p w14:paraId="73936B03" w14:textId="77777777" w:rsidR="00B609A4" w:rsidRPr="00ED172B" w:rsidRDefault="00B609A4" w:rsidP="00715B7C">
            <w:pPr>
              <w:jc w:val="center"/>
              <w:rPr>
                <w:rFonts w:cs="Arial"/>
                <w:color w:val="000000" w:themeColor="text1"/>
                <w:szCs w:val="16"/>
              </w:rPr>
            </w:pPr>
            <w:r w:rsidRPr="00ED172B">
              <w:rPr>
                <w:rFonts w:cs="Arial"/>
                <w:color w:val="000000" w:themeColor="text1"/>
                <w:szCs w:val="16"/>
              </w:rPr>
              <w:t xml:space="preserve">Number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3 with IFSPs</w:t>
            </w:r>
          </w:p>
        </w:tc>
        <w:tc>
          <w:tcPr>
            <w:tcW w:w="791" w:type="pct"/>
            <w:vAlign w:val="center"/>
          </w:tcPr>
          <w:p w14:paraId="797D54FD" w14:textId="77777777" w:rsidR="00B609A4" w:rsidRPr="00ED172B" w:rsidRDefault="00860830" w:rsidP="00715B7C">
            <w:pPr>
              <w:jc w:val="center"/>
              <w:rPr>
                <w:rFonts w:cs="Arial"/>
                <w:color w:val="000000" w:themeColor="text1"/>
                <w:szCs w:val="16"/>
              </w:rPr>
            </w:pPr>
            <w:r w:rsidRPr="00ED172B">
              <w:rPr>
                <w:color w:val="000000" w:themeColor="text1"/>
                <w:szCs w:val="16"/>
              </w:rPr>
              <w:t>3,915</w:t>
            </w:r>
          </w:p>
        </w:tc>
      </w:tr>
      <w:tr w:rsidR="00ED172B" w:rsidRPr="00ED172B" w14:paraId="7ED62167" w14:textId="77777777" w:rsidTr="00986B99">
        <w:trPr>
          <w:trHeight w:val="380"/>
        </w:trPr>
        <w:tc>
          <w:tcPr>
            <w:tcW w:w="1457" w:type="pct"/>
            <w:vAlign w:val="center"/>
          </w:tcPr>
          <w:p w14:paraId="1DDA4CC6" w14:textId="77777777"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 xml:space="preserve">Annual State Resident Population Estimates for 6 Race Groups (5 Race Alone Groups and Two or More Races) by Age, Sex, and Hispanic Origin: April 1, </w:t>
            </w:r>
            <w:proofErr w:type="gramStart"/>
            <w:r w:rsidRPr="00ED172B">
              <w:rPr>
                <w:rFonts w:cs="Arial"/>
                <w:color w:val="000000" w:themeColor="text1"/>
                <w:szCs w:val="16"/>
                <w:shd w:val="clear" w:color="auto" w:fill="FFFFFF"/>
              </w:rPr>
              <w:t>2020</w:t>
            </w:r>
            <w:proofErr w:type="gramEnd"/>
            <w:r w:rsidRPr="00ED172B">
              <w:rPr>
                <w:rFonts w:cs="Arial"/>
                <w:color w:val="000000" w:themeColor="text1"/>
                <w:szCs w:val="16"/>
                <w:shd w:val="clear" w:color="auto" w:fill="FFFFFF"/>
              </w:rPr>
              <w:t xml:space="preserve"> to July 1, 2024</w:t>
            </w:r>
          </w:p>
        </w:tc>
        <w:tc>
          <w:tcPr>
            <w:tcW w:w="1585" w:type="pct"/>
            <w:vAlign w:val="center"/>
          </w:tcPr>
          <w:p w14:paraId="5AC00020" w14:textId="77777777"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06/03/2025</w:t>
            </w:r>
          </w:p>
        </w:tc>
        <w:tc>
          <w:tcPr>
            <w:tcW w:w="1167" w:type="pct"/>
            <w:vAlign w:val="center"/>
          </w:tcPr>
          <w:p w14:paraId="12D1AE4F" w14:textId="77777777" w:rsidR="00B609A4" w:rsidRPr="00ED172B" w:rsidRDefault="00B609A4" w:rsidP="00715B7C">
            <w:pPr>
              <w:jc w:val="center"/>
              <w:rPr>
                <w:rFonts w:cs="Arial"/>
                <w:color w:val="000000" w:themeColor="text1"/>
                <w:szCs w:val="16"/>
              </w:rPr>
            </w:pPr>
            <w:r w:rsidRPr="00ED172B">
              <w:rPr>
                <w:rFonts w:cs="Arial"/>
                <w:color w:val="000000" w:themeColor="text1"/>
                <w:szCs w:val="16"/>
              </w:rPr>
              <w:t xml:space="preserve">Population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3</w:t>
            </w:r>
          </w:p>
        </w:tc>
        <w:tc>
          <w:tcPr>
            <w:tcW w:w="791" w:type="pct"/>
            <w:vAlign w:val="center"/>
          </w:tcPr>
          <w:p w14:paraId="1118C8A5" w14:textId="77777777" w:rsidR="00B609A4" w:rsidRPr="00ED172B" w:rsidRDefault="00860830" w:rsidP="00715B7C">
            <w:pPr>
              <w:jc w:val="center"/>
              <w:rPr>
                <w:rFonts w:cs="Arial"/>
                <w:color w:val="000000" w:themeColor="text1"/>
                <w:szCs w:val="16"/>
              </w:rPr>
            </w:pPr>
            <w:r w:rsidRPr="00ED172B">
              <w:rPr>
                <w:color w:val="000000" w:themeColor="text1"/>
                <w:szCs w:val="16"/>
              </w:rPr>
              <w:t>119,133</w:t>
            </w:r>
          </w:p>
        </w:tc>
      </w:tr>
    </w:tbl>
    <w:p w14:paraId="77CC66D9" w14:textId="77777777" w:rsidR="00B609A4"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3977E4C9" w14:textId="77777777" w:rsidTr="00986B99">
        <w:trPr>
          <w:trHeight w:val="359"/>
          <w:tblHeader/>
        </w:trPr>
        <w:tc>
          <w:tcPr>
            <w:tcW w:w="1126" w:type="pct"/>
            <w:vAlign w:val="bottom"/>
          </w:tcPr>
          <w:p w14:paraId="77928B8A"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 xml:space="preserve">Number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3 with IFSPs</w:t>
            </w:r>
          </w:p>
        </w:tc>
        <w:tc>
          <w:tcPr>
            <w:tcW w:w="959" w:type="pct"/>
            <w:vAlign w:val="bottom"/>
          </w:tcPr>
          <w:p w14:paraId="4C001EF3" w14:textId="77777777" w:rsidR="00967D30" w:rsidRPr="00ED172B" w:rsidRDefault="00967D30" w:rsidP="00967D30">
            <w:pPr>
              <w:jc w:val="center"/>
              <w:rPr>
                <w:rFonts w:cs="Arial"/>
                <w:color w:val="000000" w:themeColor="text1"/>
                <w:szCs w:val="16"/>
              </w:rPr>
            </w:pPr>
            <w:r w:rsidRPr="00ED172B">
              <w:rPr>
                <w:rFonts w:cs="Arial"/>
                <w:b/>
                <w:color w:val="000000" w:themeColor="text1"/>
                <w:szCs w:val="16"/>
              </w:rPr>
              <w:t xml:space="preserve">Population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3</w:t>
            </w:r>
          </w:p>
        </w:tc>
        <w:tc>
          <w:tcPr>
            <w:tcW w:w="625" w:type="pct"/>
            <w:vAlign w:val="bottom"/>
          </w:tcPr>
          <w:p w14:paraId="3BB026D2" w14:textId="77777777" w:rsidR="00967D30" w:rsidRPr="00ED172B" w:rsidRDefault="00CD74B5" w:rsidP="00967D30">
            <w:pPr>
              <w:jc w:val="center"/>
              <w:rPr>
                <w:rFonts w:cs="Arial"/>
                <w:b/>
                <w:color w:val="000000" w:themeColor="text1"/>
                <w:szCs w:val="16"/>
              </w:rPr>
            </w:pPr>
            <w:r>
              <w:rPr>
                <w:rFonts w:cs="Arial"/>
                <w:b/>
                <w:color w:val="000000" w:themeColor="text1"/>
                <w:szCs w:val="16"/>
              </w:rPr>
              <w:t>FFY 2023 Data</w:t>
            </w:r>
          </w:p>
        </w:tc>
        <w:tc>
          <w:tcPr>
            <w:tcW w:w="584" w:type="pct"/>
            <w:vAlign w:val="bottom"/>
          </w:tcPr>
          <w:p w14:paraId="6FCE1842"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Target</w:t>
            </w:r>
          </w:p>
        </w:tc>
        <w:tc>
          <w:tcPr>
            <w:tcW w:w="583" w:type="pct"/>
            <w:vAlign w:val="bottom"/>
          </w:tcPr>
          <w:p w14:paraId="5085913D"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Data</w:t>
            </w:r>
          </w:p>
        </w:tc>
        <w:tc>
          <w:tcPr>
            <w:tcW w:w="584" w:type="pct"/>
            <w:vAlign w:val="bottom"/>
          </w:tcPr>
          <w:p w14:paraId="2F21B557"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vAlign w:val="bottom"/>
          </w:tcPr>
          <w:p w14:paraId="3B369ED3"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53BDB8E3" w14:textId="77777777" w:rsidTr="00986B99">
        <w:trPr>
          <w:trHeight w:val="366"/>
        </w:trPr>
        <w:tc>
          <w:tcPr>
            <w:tcW w:w="1126" w:type="pct"/>
            <w:vAlign w:val="center"/>
          </w:tcPr>
          <w:p w14:paraId="4790CE95" w14:textId="77777777" w:rsidR="00897554" w:rsidRPr="00ED172B" w:rsidRDefault="00860830" w:rsidP="00897554">
            <w:pPr>
              <w:jc w:val="center"/>
              <w:rPr>
                <w:rFonts w:cs="Arial"/>
                <w:color w:val="000000" w:themeColor="text1"/>
                <w:szCs w:val="16"/>
              </w:rPr>
            </w:pPr>
            <w:r w:rsidRPr="00ED172B">
              <w:rPr>
                <w:color w:val="000000" w:themeColor="text1"/>
                <w:szCs w:val="16"/>
              </w:rPr>
              <w:t>3,915</w:t>
            </w:r>
          </w:p>
        </w:tc>
        <w:tc>
          <w:tcPr>
            <w:tcW w:w="959" w:type="pct"/>
            <w:vAlign w:val="center"/>
          </w:tcPr>
          <w:p w14:paraId="1952029F" w14:textId="77777777" w:rsidR="00897554" w:rsidRPr="00ED172B" w:rsidRDefault="00860830" w:rsidP="00897554">
            <w:pPr>
              <w:jc w:val="center"/>
              <w:rPr>
                <w:rFonts w:cs="Arial"/>
                <w:color w:val="000000" w:themeColor="text1"/>
                <w:szCs w:val="16"/>
              </w:rPr>
            </w:pPr>
            <w:r w:rsidRPr="00ED172B">
              <w:rPr>
                <w:color w:val="000000" w:themeColor="text1"/>
                <w:szCs w:val="16"/>
              </w:rPr>
              <w:t>119,133</w:t>
            </w:r>
          </w:p>
        </w:tc>
        <w:tc>
          <w:tcPr>
            <w:tcW w:w="625" w:type="pct"/>
            <w:vAlign w:val="center"/>
          </w:tcPr>
          <w:p w14:paraId="7A3B5517" w14:textId="77777777" w:rsidR="00897554" w:rsidRPr="00ED172B" w:rsidRDefault="00860830" w:rsidP="00897554">
            <w:pPr>
              <w:jc w:val="center"/>
              <w:rPr>
                <w:rFonts w:cs="Arial"/>
                <w:color w:val="000000" w:themeColor="text1"/>
                <w:szCs w:val="16"/>
              </w:rPr>
            </w:pPr>
            <w:r w:rsidRPr="00ED172B">
              <w:rPr>
                <w:rFonts w:cs="Arial"/>
                <w:color w:val="000000" w:themeColor="text1"/>
                <w:szCs w:val="16"/>
              </w:rPr>
              <w:t>3.53%</w:t>
            </w:r>
          </w:p>
        </w:tc>
        <w:tc>
          <w:tcPr>
            <w:tcW w:w="584" w:type="pct"/>
            <w:vAlign w:val="center"/>
          </w:tcPr>
          <w:p w14:paraId="513C508F" w14:textId="77777777" w:rsidR="00897554" w:rsidRPr="00ED172B" w:rsidRDefault="00632DF6" w:rsidP="00632DF6">
            <w:pPr>
              <w:jc w:val="center"/>
              <w:rPr>
                <w:color w:val="000000" w:themeColor="text1"/>
              </w:rPr>
            </w:pPr>
            <w:r w:rsidRPr="00ED172B">
              <w:rPr>
                <w:color w:val="000000" w:themeColor="text1"/>
              </w:rPr>
              <w:t>2.60%</w:t>
            </w:r>
          </w:p>
        </w:tc>
        <w:tc>
          <w:tcPr>
            <w:tcW w:w="583" w:type="pct"/>
            <w:vAlign w:val="center"/>
          </w:tcPr>
          <w:p w14:paraId="11EB6BDF" w14:textId="77777777" w:rsidR="00897554" w:rsidRPr="00ED172B" w:rsidRDefault="00860830" w:rsidP="00897554">
            <w:pPr>
              <w:jc w:val="center"/>
              <w:rPr>
                <w:rFonts w:cs="Arial"/>
                <w:color w:val="000000" w:themeColor="text1"/>
                <w:szCs w:val="16"/>
              </w:rPr>
            </w:pPr>
            <w:r w:rsidRPr="00ED172B">
              <w:rPr>
                <w:rFonts w:cs="Arial"/>
                <w:color w:val="000000" w:themeColor="text1"/>
                <w:szCs w:val="16"/>
              </w:rPr>
              <w:t>3.29%</w:t>
            </w:r>
          </w:p>
        </w:tc>
        <w:tc>
          <w:tcPr>
            <w:tcW w:w="584" w:type="pct"/>
            <w:vAlign w:val="center"/>
          </w:tcPr>
          <w:p w14:paraId="0F960F66" w14:textId="77777777" w:rsidR="00897554" w:rsidRPr="00ED172B" w:rsidRDefault="00E3423F" w:rsidP="00027F39">
            <w:pPr>
              <w:jc w:val="center"/>
              <w:rPr>
                <w:color w:val="000000" w:themeColor="text1"/>
              </w:rPr>
            </w:pPr>
            <w:r w:rsidRPr="00ED172B">
              <w:rPr>
                <w:color w:val="000000" w:themeColor="text1"/>
              </w:rPr>
              <w:t>Met target</w:t>
            </w:r>
          </w:p>
        </w:tc>
        <w:tc>
          <w:tcPr>
            <w:tcW w:w="539" w:type="pct"/>
            <w:vAlign w:val="center"/>
          </w:tcPr>
          <w:p w14:paraId="0AD9772D" w14:textId="77777777" w:rsidR="00897554" w:rsidRPr="00ED172B" w:rsidRDefault="00E3423F" w:rsidP="00027F39">
            <w:pPr>
              <w:jc w:val="center"/>
              <w:rPr>
                <w:color w:val="000000" w:themeColor="text1"/>
              </w:rPr>
            </w:pPr>
            <w:r w:rsidRPr="00ED172B">
              <w:rPr>
                <w:color w:val="000000" w:themeColor="text1"/>
              </w:rPr>
              <w:t>No Slippage</w:t>
            </w:r>
          </w:p>
        </w:tc>
      </w:tr>
    </w:tbl>
    <w:p w14:paraId="306AB781" w14:textId="77777777" w:rsidR="003643D6" w:rsidRPr="009B6E8C" w:rsidRDefault="003643D6" w:rsidP="009B6E8C">
      <w:pPr>
        <w:rPr>
          <w:b/>
          <w:bCs/>
        </w:rPr>
      </w:pPr>
      <w:r w:rsidRPr="009B6E8C">
        <w:rPr>
          <w:b/>
          <w:bCs/>
        </w:rPr>
        <w:t>Provide results of the root cause analysis of child find identification rates</w:t>
      </w:r>
    </w:p>
    <w:p w14:paraId="090E9DF1" w14:textId="77777777" w:rsidR="003643D6" w:rsidRPr="009B6E8C" w:rsidRDefault="003643D6" w:rsidP="003A3693">
      <w:pPr>
        <w:rPr>
          <w:rFonts w:cs="Arial"/>
          <w:bCs/>
          <w:color w:val="000000" w:themeColor="text1"/>
          <w:szCs w:val="16"/>
        </w:rPr>
      </w:pPr>
      <w:r>
        <w:rPr>
          <w:rFonts w:cs="Arial"/>
          <w:bCs/>
          <w:color w:val="000000" w:themeColor="text1"/>
          <w:szCs w:val="16"/>
        </w:rPr>
        <w:t xml:space="preserve">In reviewing child find efforts, it was determined that the following processes are in place and being utilized accordingly. </w:t>
      </w:r>
    </w:p>
    <w:p w14:paraId="10CDE45F" w14:textId="77777777" w:rsidR="000575B2" w:rsidRDefault="00D6492D">
      <w:r>
        <w:rPr>
          <w:color w:val="000000"/>
        </w:rPr>
        <w:t xml:space="preserve"> </w:t>
      </w:r>
    </w:p>
    <w:p w14:paraId="45BEBE5E" w14:textId="77777777" w:rsidR="000575B2" w:rsidRDefault="00D6492D">
      <w:r>
        <w:rPr>
          <w:color w:val="000000"/>
        </w:rPr>
        <w:t xml:space="preserve">The EI/ECSE contractor has joint responsibility with school districts to locate, identify, and evaluate all children birth up to age of eligibility for public school residing within its jurisdiction, suspected of being eligible for early intervention (EI) or early childhood special education (ECSE). This ongoing system applies to all children with disabilities, regardless of the severity of their disabilities, including children who are: </w:t>
      </w:r>
    </w:p>
    <w:p w14:paraId="4199FC48" w14:textId="77777777" w:rsidR="000575B2" w:rsidRDefault="00D6492D">
      <w:r>
        <w:rPr>
          <w:color w:val="000000"/>
        </w:rPr>
        <w:t xml:space="preserve"> </w:t>
      </w:r>
    </w:p>
    <w:p w14:paraId="4B7031B8" w14:textId="77777777" w:rsidR="000575B2" w:rsidRDefault="00D6492D">
      <w:r>
        <w:rPr>
          <w:color w:val="000000"/>
        </w:rPr>
        <w:t xml:space="preserve"> 1.</w:t>
      </w:r>
      <w:r>
        <w:rPr>
          <w:color w:val="000000"/>
        </w:rPr>
        <w:tab/>
        <w:t xml:space="preserve">Highly mobile children with disabilities (such as migrant children and children who are experiencing homelessness </w:t>
      </w:r>
    </w:p>
    <w:p w14:paraId="2A303856" w14:textId="77777777" w:rsidR="000575B2" w:rsidRDefault="00D6492D">
      <w:r>
        <w:rPr>
          <w:color w:val="000000"/>
        </w:rPr>
        <w:t xml:space="preserve"> 2.</w:t>
      </w:r>
      <w:r>
        <w:rPr>
          <w:color w:val="000000"/>
        </w:rPr>
        <w:tab/>
        <w:t xml:space="preserve">Children who are wards of the state </w:t>
      </w:r>
    </w:p>
    <w:p w14:paraId="16EE0294" w14:textId="77777777" w:rsidR="000575B2" w:rsidRDefault="00D6492D">
      <w:r>
        <w:rPr>
          <w:color w:val="000000"/>
        </w:rPr>
        <w:t xml:space="preserve"> 3.</w:t>
      </w:r>
      <w:r>
        <w:rPr>
          <w:color w:val="000000"/>
        </w:rPr>
        <w:tab/>
        <w:t xml:space="preserve">Preschool children who reside on reservations </w:t>
      </w:r>
    </w:p>
    <w:p w14:paraId="43E5983F" w14:textId="77777777" w:rsidR="000575B2" w:rsidRDefault="00D6492D">
      <w:r>
        <w:rPr>
          <w:color w:val="000000"/>
        </w:rPr>
        <w:t xml:space="preserve"> 4.</w:t>
      </w:r>
      <w:r>
        <w:rPr>
          <w:color w:val="000000"/>
        </w:rPr>
        <w:tab/>
        <w:t xml:space="preserve">Children below the age of compulsory school attendance who are not enrolled in a public or private program </w:t>
      </w:r>
    </w:p>
    <w:p w14:paraId="5A0E705E" w14:textId="77777777" w:rsidR="000575B2" w:rsidRDefault="00D6492D">
      <w:r>
        <w:rPr>
          <w:color w:val="000000"/>
        </w:rPr>
        <w:t xml:space="preserve"> 5.</w:t>
      </w:r>
      <w:r>
        <w:rPr>
          <w:color w:val="000000"/>
        </w:rPr>
        <w:tab/>
        <w:t xml:space="preserve">Attending private (religious or secular) preschool located within the boundaries of each EI/ECSE contractor area. </w:t>
      </w:r>
    </w:p>
    <w:p w14:paraId="76F9AAED" w14:textId="77777777" w:rsidR="000575B2" w:rsidRDefault="00D6492D">
      <w:r>
        <w:rPr>
          <w:color w:val="000000"/>
        </w:rPr>
        <w:t xml:space="preserve"> 6.</w:t>
      </w:r>
      <w:r>
        <w:rPr>
          <w:color w:val="000000"/>
        </w:rPr>
        <w:tab/>
        <w:t xml:space="preserve">Children under the age of three who </w:t>
      </w:r>
    </w:p>
    <w:p w14:paraId="631F2BB3" w14:textId="77777777" w:rsidR="000575B2" w:rsidRDefault="00D6492D">
      <w:r>
        <w:rPr>
          <w:color w:val="000000"/>
        </w:rPr>
        <w:t xml:space="preserve"> a. Are involved in a substantiated case of abuse or neglect; or </w:t>
      </w:r>
    </w:p>
    <w:p w14:paraId="3DDC578E" w14:textId="77777777" w:rsidR="000575B2" w:rsidRDefault="00D6492D">
      <w:r>
        <w:rPr>
          <w:color w:val="000000"/>
        </w:rPr>
        <w:t xml:space="preserve"> b. Are identified as affected by illegal substance abuse or withdrawal symptoms resulting from prenatal drug exposure. </w:t>
      </w:r>
    </w:p>
    <w:p w14:paraId="4917C125" w14:textId="77777777" w:rsidR="000575B2" w:rsidRDefault="00D6492D">
      <w:r>
        <w:rPr>
          <w:color w:val="000000"/>
        </w:rPr>
        <w:t xml:space="preserve"> </w:t>
      </w:r>
    </w:p>
    <w:p w14:paraId="2F598B20" w14:textId="77777777" w:rsidR="000575B2" w:rsidRDefault="00D6492D">
      <w:r>
        <w:rPr>
          <w:color w:val="000000"/>
        </w:rPr>
        <w:t xml:space="preserve">The joint EI/ECSE and school district responsibilities are: </w:t>
      </w:r>
    </w:p>
    <w:p w14:paraId="193B0692" w14:textId="77777777" w:rsidR="000575B2" w:rsidRDefault="00D6492D">
      <w:r>
        <w:rPr>
          <w:color w:val="000000"/>
        </w:rPr>
        <w:t xml:space="preserve"> </w:t>
      </w:r>
    </w:p>
    <w:p w14:paraId="0877CE82" w14:textId="77777777" w:rsidR="000575B2" w:rsidRDefault="00D6492D">
      <w:r>
        <w:rPr>
          <w:color w:val="000000"/>
        </w:rPr>
        <w:t>1. Conducting public awareness activities including announcements on television, radio, or newspaper; presentations at community meetings; and outreach to those who may not understand English, who may move frequently, or who may live in rural or isolated areas</w:t>
      </w:r>
    </w:p>
    <w:p w14:paraId="7739FEEE" w14:textId="77777777" w:rsidR="000575B2" w:rsidRDefault="00D6492D">
      <w:r>
        <w:rPr>
          <w:color w:val="000000"/>
        </w:rPr>
        <w:t>2. Disseminating materials to parents on the availability of EI/ECSE services including how to make a referral and how to obtain an eligibility evaluation for EI/ECSE services. This includes materials for reaching non-English speaking families</w:t>
      </w:r>
    </w:p>
    <w:p w14:paraId="06F5E906" w14:textId="77777777" w:rsidR="000575B2" w:rsidRDefault="00D6492D">
      <w:r>
        <w:rPr>
          <w:color w:val="000000"/>
        </w:rPr>
        <w:t xml:space="preserve">3. Developing communication links with various agencies that provide services to children who may be eligible for EI/ECSE within the community, including the dissemination of child find materials including but not limited to hospitals, clinics, public health agencies, pediatricians, pediatric nurses, Head Start, Early Head Start, Preschool Promise, Baby Promise, community preschools, child care providers and social service professionals involved in family or child services; and </w:t>
      </w:r>
    </w:p>
    <w:p w14:paraId="22F948B3" w14:textId="77777777" w:rsidR="000575B2" w:rsidRDefault="00D6492D">
      <w:r>
        <w:rPr>
          <w:color w:val="000000"/>
        </w:rPr>
        <w:t xml:space="preserve">4. Publishing notices, before any major child </w:t>
      </w:r>
      <w:proofErr w:type="gramStart"/>
      <w:r>
        <w:rPr>
          <w:color w:val="000000"/>
        </w:rPr>
        <w:t>find</w:t>
      </w:r>
      <w:proofErr w:type="gramEnd"/>
      <w:r>
        <w:rPr>
          <w:color w:val="000000"/>
        </w:rPr>
        <w:t xml:space="preserve"> activity, informing parents that confidentiality requirements apply to these activities. Circulation for this notice must be adequate to inform parents within the EI/ECSE </w:t>
      </w:r>
      <w:proofErr w:type="gramStart"/>
      <w:r>
        <w:rPr>
          <w:color w:val="000000"/>
        </w:rPr>
        <w:t>program’s</w:t>
      </w:r>
      <w:proofErr w:type="gramEnd"/>
      <w:r>
        <w:rPr>
          <w:color w:val="000000"/>
        </w:rPr>
        <w:t xml:space="preserve"> and district’s jurisdiction. </w:t>
      </w:r>
    </w:p>
    <w:p w14:paraId="5066B35F" w14:textId="77777777" w:rsidR="000575B2" w:rsidRDefault="00D6492D">
      <w:r>
        <w:rPr>
          <w:color w:val="000000"/>
        </w:rPr>
        <w:t xml:space="preserve"> </w:t>
      </w:r>
    </w:p>
    <w:p w14:paraId="0EFC3422" w14:textId="77777777" w:rsidR="000575B2" w:rsidRDefault="00D6492D">
      <w:r>
        <w:rPr>
          <w:color w:val="000000"/>
        </w:rPr>
        <w:t xml:space="preserve">Local school districts are responsible, financially and legally, for EI/ECSE eligibility evaluations. School districts may contract with the local EI/ECSE program or other entity for fulfilling these requirements. Evaluating children for EI/ECSE eligibility includes: </w:t>
      </w:r>
    </w:p>
    <w:p w14:paraId="7C68B00C" w14:textId="77777777" w:rsidR="000575B2" w:rsidRDefault="00D6492D">
      <w:r>
        <w:rPr>
          <w:color w:val="000000"/>
        </w:rPr>
        <w:t xml:space="preserve"> </w:t>
      </w:r>
    </w:p>
    <w:p w14:paraId="5736C94C" w14:textId="77777777" w:rsidR="000575B2" w:rsidRDefault="00D6492D">
      <w:r>
        <w:rPr>
          <w:color w:val="000000"/>
        </w:rPr>
        <w:t>1. Administering assessments, scoring tests, interpreting evaluation scores, conducting child observations, gathering developmental histories, conducting parent interviews and writing evaluation reports.</w:t>
      </w:r>
    </w:p>
    <w:p w14:paraId="6BD55C12" w14:textId="77777777" w:rsidR="000575B2" w:rsidRDefault="00D6492D">
      <w:r>
        <w:rPr>
          <w:color w:val="000000"/>
        </w:rPr>
        <w:t xml:space="preserve"> 2. Evaluating children </w:t>
      </w:r>
      <w:proofErr w:type="gramStart"/>
      <w:r>
        <w:rPr>
          <w:color w:val="000000"/>
        </w:rPr>
        <w:t>referred</w:t>
      </w:r>
      <w:proofErr w:type="gramEnd"/>
      <w:r>
        <w:rPr>
          <w:color w:val="000000"/>
        </w:rPr>
        <w:t xml:space="preserve"> for an EI eligibility evaluation within 45 calendar days (45 days from confirming valid referral to IFSP). </w:t>
      </w:r>
    </w:p>
    <w:p w14:paraId="733A1B38" w14:textId="77777777" w:rsidR="000575B2" w:rsidRDefault="00D6492D">
      <w:r>
        <w:rPr>
          <w:color w:val="000000"/>
        </w:rPr>
        <w:t xml:space="preserve"> 3. Evaluating children </w:t>
      </w:r>
      <w:proofErr w:type="gramStart"/>
      <w:r>
        <w:rPr>
          <w:color w:val="000000"/>
        </w:rPr>
        <w:t>referred</w:t>
      </w:r>
      <w:proofErr w:type="gramEnd"/>
      <w:r>
        <w:rPr>
          <w:color w:val="000000"/>
        </w:rPr>
        <w:t xml:space="preserve"> for an ECSE eligibility evaluation within 60 school days from parent consent for an evaluation. </w:t>
      </w:r>
    </w:p>
    <w:p w14:paraId="173316C7" w14:textId="77777777" w:rsidR="000575B2" w:rsidRDefault="00D6492D">
      <w:r>
        <w:rPr>
          <w:color w:val="000000"/>
        </w:rPr>
        <w:t xml:space="preserve"> 4. Conducting ECSE eligibility evaluations for children enrolled in EI and approaching their third birthday (OAR 581-015-2805). </w:t>
      </w:r>
    </w:p>
    <w:p w14:paraId="1DFD8545" w14:textId="77777777" w:rsidR="000575B2" w:rsidRDefault="00D6492D">
      <w:r>
        <w:rPr>
          <w:color w:val="000000"/>
        </w:rPr>
        <w:t xml:space="preserve"> </w:t>
      </w:r>
    </w:p>
    <w:p w14:paraId="21EE6BA7" w14:textId="77777777" w:rsidR="000575B2" w:rsidRDefault="00D6492D">
      <w:r>
        <w:rPr>
          <w:color w:val="000000"/>
        </w:rPr>
        <w:t xml:space="preserve">Local EI/ECSE programs are responsible for providing a referral and evaluation process in each county, including: </w:t>
      </w:r>
    </w:p>
    <w:p w14:paraId="52A4B95D" w14:textId="77777777" w:rsidR="000575B2" w:rsidRDefault="00D6492D">
      <w:r>
        <w:rPr>
          <w:color w:val="000000"/>
        </w:rPr>
        <w:t xml:space="preserve"> </w:t>
      </w:r>
    </w:p>
    <w:p w14:paraId="1467FA82" w14:textId="77777777" w:rsidR="000575B2" w:rsidRDefault="00D6492D">
      <w:r>
        <w:rPr>
          <w:color w:val="000000"/>
        </w:rPr>
        <w:t xml:space="preserve">1. Providing a year-round primary contact who receives referrals for children suspected of being eligible for EI/ECSE services. </w:t>
      </w:r>
    </w:p>
    <w:p w14:paraId="7401F8E8" w14:textId="77777777" w:rsidR="000575B2" w:rsidRDefault="00D6492D">
      <w:r>
        <w:rPr>
          <w:color w:val="000000"/>
        </w:rPr>
        <w:t xml:space="preserve">2. Assuring that all children </w:t>
      </w:r>
      <w:proofErr w:type="gramStart"/>
      <w:r>
        <w:rPr>
          <w:color w:val="000000"/>
        </w:rPr>
        <w:t>referred</w:t>
      </w:r>
      <w:proofErr w:type="gramEnd"/>
      <w:r>
        <w:rPr>
          <w:color w:val="000000"/>
        </w:rPr>
        <w:t xml:space="preserve"> as suspected of having a disability are referred to the child’s local school district (or agency contracted by the district) for EI/ECSE eligibility evaluations.  </w:t>
      </w:r>
    </w:p>
    <w:p w14:paraId="0AB6D884" w14:textId="77777777" w:rsidR="000575B2" w:rsidRDefault="00D6492D">
      <w:r>
        <w:rPr>
          <w:color w:val="000000"/>
        </w:rPr>
        <w:t xml:space="preserve">3. Assisting in local school districts’ responsibility for eligibility evaluations for EI services within 45 calendar days from referral and for ECSE within 60 school days of parent consent for evaluation, by helping form evaluation consortia through district contracts with ESD’s or other sources. </w:t>
      </w:r>
    </w:p>
    <w:p w14:paraId="239CF9BA" w14:textId="77777777" w:rsidR="000575B2" w:rsidRDefault="00D6492D">
      <w:r>
        <w:rPr>
          <w:color w:val="000000"/>
        </w:rPr>
        <w:t xml:space="preserve">4. Convening eligibility teams to determine eligibility for EI or ECSE services. </w:t>
      </w:r>
    </w:p>
    <w:p w14:paraId="582509C5" w14:textId="77777777" w:rsidR="000575B2" w:rsidRDefault="00D6492D">
      <w:r>
        <w:rPr>
          <w:color w:val="000000"/>
        </w:rPr>
        <w:t xml:space="preserve">5. Assuring eligibility determinations are conducted in compliance with applicable federal and State of Oregon statutes, regulations and guidelines. </w:t>
      </w:r>
    </w:p>
    <w:p w14:paraId="1FF4A30F" w14:textId="77777777" w:rsidR="000575B2" w:rsidRDefault="00D6492D">
      <w:r>
        <w:rPr>
          <w:color w:val="000000"/>
        </w:rPr>
        <w:t xml:space="preserve">6. Referring children who are eligible for EI/ECSE services to the county’s EI/ECSE program for the development of the Individual Family Service Plan (IFSP) and placement in appropriate services. </w:t>
      </w:r>
    </w:p>
    <w:p w14:paraId="07203DC9" w14:textId="77777777" w:rsidR="000575B2" w:rsidRDefault="00D6492D">
      <w:r>
        <w:rPr>
          <w:color w:val="000000"/>
        </w:rPr>
        <w:lastRenderedPageBreak/>
        <w:t xml:space="preserve">7. Assuring </w:t>
      </w:r>
      <w:proofErr w:type="gramStart"/>
      <w:r>
        <w:rPr>
          <w:color w:val="000000"/>
        </w:rPr>
        <w:t>child</w:t>
      </w:r>
      <w:proofErr w:type="gramEnd"/>
      <w:r>
        <w:rPr>
          <w:color w:val="000000"/>
        </w:rPr>
        <w:t xml:space="preserve"> find materials are disseminated to reach non-English speaking families and are available in locations frequented by families of young children. </w:t>
      </w:r>
    </w:p>
    <w:p w14:paraId="7AEEF87F" w14:textId="77777777" w:rsidR="000575B2" w:rsidRDefault="00D6492D">
      <w:r>
        <w:rPr>
          <w:color w:val="000000"/>
        </w:rPr>
        <w:t xml:space="preserve">8. Staff Awareness. A system in each school in the EI/ECSE area and school districts to ensure that: </w:t>
      </w:r>
    </w:p>
    <w:p w14:paraId="3CC00DFB" w14:textId="77777777" w:rsidR="000575B2" w:rsidRDefault="00D6492D">
      <w:r>
        <w:rPr>
          <w:color w:val="000000"/>
        </w:rPr>
        <w:t xml:space="preserve">-District and EI/ECSE staff are knowledgeable of the characteristics of disabilities and appropriate referral of children suspected of having disabilities; and </w:t>
      </w:r>
    </w:p>
    <w:p w14:paraId="2EE53B1D" w14:textId="77777777" w:rsidR="000575B2" w:rsidRDefault="00D6492D">
      <w:r>
        <w:rPr>
          <w:color w:val="000000"/>
        </w:rPr>
        <w:t xml:space="preserve">-Early intervention and early childhood special education referrals from parents, teachers, and others are directed to appropriate EI/ECSE staff. </w:t>
      </w:r>
    </w:p>
    <w:p w14:paraId="2B1994B7" w14:textId="77777777" w:rsidR="000575B2" w:rsidRDefault="00D6492D">
      <w:r>
        <w:rPr>
          <w:color w:val="000000"/>
        </w:rPr>
        <w:t xml:space="preserve">-Staff Awareness of Community Partners: The EI/ECSE contractor and school district provide information about and EI and ECSE services and the referral process to facilities in the EI/ECSE contractor area including child care centers, preschools, homeless shelters, group homes, hospitals, Head Start, Oregon Pre-Kindergarten, Preschool Promise, Migrant/Seasonal Head Start, Migrant education programs, Early Head Start, Even Start, Tribal Head Start and other facilities that serve children birth to five years old. </w:t>
      </w:r>
    </w:p>
    <w:p w14:paraId="0F6AE768" w14:textId="77777777" w:rsidR="000575B2" w:rsidRDefault="00D6492D">
      <w:r>
        <w:rPr>
          <w:color w:val="000000"/>
        </w:rPr>
        <w:t>9. Interagency Agreements with the Department of Human Services: The Oregon Department of Education and each EI/ECSE Contractor establish and maintain interagency agreements addressing the requirements “Child Abuse Prevention and Treatment Act” (CAPTA).</w:t>
      </w:r>
    </w:p>
    <w:p w14:paraId="133C39BB" w14:textId="7777777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087F7036" w14:textId="77777777" w:rsidR="003A3693" w:rsidRPr="00ED172B" w:rsidRDefault="003A3693" w:rsidP="003A3693">
      <w:pPr>
        <w:rPr>
          <w:rFonts w:cs="Arial"/>
          <w:color w:val="000000" w:themeColor="text1"/>
          <w:szCs w:val="16"/>
        </w:rPr>
      </w:pPr>
    </w:p>
    <w:p w14:paraId="1C0080B7" w14:textId="77777777" w:rsidR="00DC0682" w:rsidRPr="00A40EE1" w:rsidRDefault="000D0117" w:rsidP="005C3FFD">
      <w:pPr>
        <w:pStyle w:val="Heading2"/>
      </w:pPr>
      <w:r w:rsidRPr="00A40EE1">
        <w:t xml:space="preserve">6 - </w:t>
      </w:r>
      <w:r w:rsidR="00DC0682" w:rsidRPr="00A40EE1">
        <w:t>Prior FFY Required Actions</w:t>
      </w:r>
    </w:p>
    <w:p w14:paraId="5A56AFB1" w14:textId="77777777" w:rsidR="004C1CEE" w:rsidRPr="00ED172B" w:rsidRDefault="00632DF6" w:rsidP="00DC0682">
      <w:pPr>
        <w:rPr>
          <w:rFonts w:cs="Arial"/>
          <w:color w:val="000000" w:themeColor="text1"/>
          <w:szCs w:val="16"/>
        </w:rPr>
      </w:pPr>
      <w:r w:rsidRPr="00ED172B">
        <w:rPr>
          <w:color w:val="000000" w:themeColor="text1"/>
        </w:rPr>
        <w:t>None</w:t>
      </w:r>
    </w:p>
    <w:p w14:paraId="4A9EF084" w14:textId="77777777" w:rsidR="00DC0682" w:rsidRPr="00A40EE1" w:rsidRDefault="000D0117" w:rsidP="005C3FFD">
      <w:pPr>
        <w:pStyle w:val="Heading2"/>
      </w:pPr>
      <w:r w:rsidRPr="00A40EE1">
        <w:t xml:space="preserve">6 - </w:t>
      </w:r>
      <w:r w:rsidR="00DC0682" w:rsidRPr="00A40EE1">
        <w:t>OSEP Response</w:t>
      </w:r>
    </w:p>
    <w:p w14:paraId="4E7DE247" w14:textId="77777777" w:rsidR="00DC0682" w:rsidRPr="00ED172B" w:rsidRDefault="00DC0682" w:rsidP="00632DF6">
      <w:pPr>
        <w:rPr>
          <w:color w:val="000000" w:themeColor="text1"/>
        </w:rPr>
      </w:pPr>
    </w:p>
    <w:p w14:paraId="4E5E8DF7" w14:textId="77777777" w:rsidR="00DC0682" w:rsidRPr="00A40EE1" w:rsidRDefault="000D0117" w:rsidP="005C3FFD">
      <w:pPr>
        <w:pStyle w:val="Heading2"/>
      </w:pPr>
      <w:r w:rsidRPr="00A40EE1">
        <w:t xml:space="preserve">6 - </w:t>
      </w:r>
      <w:r w:rsidR="00DC0682" w:rsidRPr="00A40EE1">
        <w:t>Required Actions</w:t>
      </w:r>
    </w:p>
    <w:p w14:paraId="1C792435" w14:textId="77777777" w:rsidR="00DC0682" w:rsidRPr="00ED172B" w:rsidRDefault="00DC0682" w:rsidP="00027F39">
      <w:pPr>
        <w:rPr>
          <w:rFonts w:eastAsiaTheme="majorEastAsia" w:cstheme="majorBidi"/>
          <w:b/>
          <w:bCs/>
          <w:color w:val="000000" w:themeColor="text1"/>
          <w:sz w:val="22"/>
          <w:szCs w:val="28"/>
        </w:rPr>
      </w:pPr>
      <w:r w:rsidRPr="00ED172B">
        <w:rPr>
          <w:color w:val="000000" w:themeColor="text1"/>
        </w:rPr>
        <w:br w:type="page"/>
      </w:r>
    </w:p>
    <w:p w14:paraId="6E6ED92C" w14:textId="77777777" w:rsidR="00D21EAA" w:rsidRPr="00ED172B" w:rsidRDefault="00D21EAA" w:rsidP="0077063D">
      <w:pPr>
        <w:pStyle w:val="Heading1"/>
        <w:rPr>
          <w:color w:val="000000" w:themeColor="text1"/>
        </w:rPr>
      </w:pPr>
      <w:r w:rsidRPr="00ED172B">
        <w:rPr>
          <w:color w:val="000000" w:themeColor="text1"/>
        </w:rPr>
        <w:lastRenderedPageBreak/>
        <w:t xml:space="preserve">Indicator </w:t>
      </w:r>
      <w:bookmarkEnd w:id="13"/>
      <w:bookmarkEnd w:id="29"/>
      <w:bookmarkEnd w:id="37"/>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2D8E579C" w14:textId="77777777" w:rsidR="000C5918" w:rsidRPr="00ED172B" w:rsidRDefault="000C5918" w:rsidP="00186420">
      <w:pPr>
        <w:rPr>
          <w:color w:val="000000" w:themeColor="text1"/>
          <w:szCs w:val="20"/>
        </w:rPr>
      </w:pPr>
      <w:bookmarkStart w:id="38" w:name="_Toc392159295"/>
      <w:r w:rsidRPr="00ED172B">
        <w:rPr>
          <w:b/>
          <w:color w:val="000000" w:themeColor="text1"/>
          <w:sz w:val="20"/>
          <w:szCs w:val="20"/>
        </w:rPr>
        <w:t>Instructions and Measurement</w:t>
      </w:r>
    </w:p>
    <w:p w14:paraId="48C3C16E"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18E076EC"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763F0D07" w14:textId="77777777" w:rsidR="001C3D0E" w:rsidRPr="00ED172B" w:rsidRDefault="001C3D0E">
      <w:pPr>
        <w:rPr>
          <w:b/>
          <w:color w:val="000000" w:themeColor="text1"/>
        </w:rPr>
      </w:pPr>
      <w:r w:rsidRPr="00ED172B">
        <w:rPr>
          <w:b/>
          <w:color w:val="000000" w:themeColor="text1"/>
        </w:rPr>
        <w:t>Data Source</w:t>
      </w:r>
    </w:p>
    <w:p w14:paraId="6BE3C8D1" w14:textId="77777777"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1C9BDCC2" w14:textId="77777777" w:rsidR="001C3D0E" w:rsidRPr="00ED172B" w:rsidRDefault="001C3D0E">
      <w:pPr>
        <w:rPr>
          <w:b/>
          <w:color w:val="000000" w:themeColor="text1"/>
        </w:rPr>
      </w:pPr>
      <w:r w:rsidRPr="00ED172B">
        <w:rPr>
          <w:b/>
          <w:color w:val="000000" w:themeColor="text1"/>
        </w:rPr>
        <w:t>Measurement</w:t>
      </w:r>
    </w:p>
    <w:p w14:paraId="2270C86F" w14:textId="77777777" w:rsidR="001C3D0E" w:rsidRPr="00ED172B" w:rsidRDefault="001C3D0E" w:rsidP="00B609A4">
      <w:pPr>
        <w:rPr>
          <w:color w:val="000000" w:themeColor="text1"/>
          <w:szCs w:val="16"/>
        </w:rPr>
      </w:pPr>
      <w:r w:rsidRPr="00ED172B">
        <w:rPr>
          <w:color w:val="000000" w:themeColor="text1"/>
          <w:szCs w:val="16"/>
        </w:rPr>
        <w:t xml:space="preserve">Percent = </w:t>
      </w:r>
      <w:proofErr w:type="gramStart"/>
      <w:r w:rsidRPr="00ED172B">
        <w:rPr>
          <w:color w:val="000000" w:themeColor="text1"/>
          <w:szCs w:val="16"/>
        </w:rPr>
        <w:t xml:space="preserve">[(# </w:t>
      </w:r>
      <w:proofErr w:type="gramEnd"/>
      <w:r w:rsidRPr="00ED172B">
        <w:rPr>
          <w:color w:val="000000" w:themeColor="text1"/>
          <w:szCs w:val="16"/>
        </w:rPr>
        <w:t xml:space="preserve">of eligible infants and toddlers with IFSPs for whom an initial evaluation and initial assessment and an initial IFSP meeting were conducted within Part C’s 45-day timeline) divided by </w:t>
      </w:r>
      <w:proofErr w:type="gramStart"/>
      <w:r w:rsidRPr="00ED172B">
        <w:rPr>
          <w:color w:val="000000" w:themeColor="text1"/>
          <w:szCs w:val="16"/>
        </w:rPr>
        <w:t xml:space="preserve">the (# </w:t>
      </w:r>
      <w:proofErr w:type="gramEnd"/>
      <w:r w:rsidRPr="00ED172B">
        <w:rPr>
          <w:color w:val="000000" w:themeColor="text1"/>
          <w:szCs w:val="16"/>
        </w:rPr>
        <w:t>of eligible infants and toddlers evaluated and assessed for whom an initial IFSP meeting was required to be conducted)] times 100.</w:t>
      </w:r>
    </w:p>
    <w:p w14:paraId="5BC60883" w14:textId="77777777"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574180A6" w14:textId="77777777" w:rsidR="001C3D0E" w:rsidRPr="00ED172B" w:rsidRDefault="001C3D0E">
      <w:pPr>
        <w:rPr>
          <w:b/>
          <w:color w:val="000000" w:themeColor="text1"/>
        </w:rPr>
      </w:pPr>
      <w:r w:rsidRPr="00ED172B">
        <w:rPr>
          <w:b/>
          <w:color w:val="000000" w:themeColor="text1"/>
        </w:rPr>
        <w:t>Instructions</w:t>
      </w:r>
    </w:p>
    <w:p w14:paraId="06F15233" w14:textId="77777777" w:rsidR="001C3D0E" w:rsidRPr="0055373D" w:rsidRDefault="001C3D0E" w:rsidP="00B609A4">
      <w:pPr>
        <w:rPr>
          <w:i/>
          <w:iCs/>
          <w:color w:val="000000" w:themeColor="text1"/>
          <w:szCs w:val="16"/>
        </w:rPr>
      </w:pPr>
      <w:r w:rsidRPr="0055373D">
        <w:rPr>
          <w:i/>
          <w:iCs/>
          <w:color w:val="000000" w:themeColor="text1"/>
          <w:szCs w:val="16"/>
        </w:rPr>
        <w:t xml:space="preserve">If data </w:t>
      </w:r>
      <w:proofErr w:type="gramStart"/>
      <w:r w:rsidRPr="0055373D">
        <w:rPr>
          <w:i/>
          <w:iCs/>
          <w:color w:val="000000" w:themeColor="text1"/>
          <w:szCs w:val="16"/>
        </w:rPr>
        <w:t>are</w:t>
      </w:r>
      <w:proofErr w:type="gramEnd"/>
      <w:r w:rsidRPr="0055373D">
        <w:rPr>
          <w:i/>
          <w:iCs/>
          <w:color w:val="000000" w:themeColor="text1"/>
          <w:szCs w:val="16"/>
        </w:rPr>
        <w:t xml:space="preserve"> from State monitoring, describe the method used to select EIS programs for monitoring. If data are from a </w:t>
      </w:r>
      <w:proofErr w:type="gramStart"/>
      <w:r w:rsidRPr="0055373D">
        <w:rPr>
          <w:i/>
          <w:iCs/>
          <w:color w:val="000000" w:themeColor="text1"/>
          <w:szCs w:val="16"/>
        </w:rPr>
        <w:t>State</w:t>
      </w:r>
      <w:proofErr w:type="gramEnd"/>
      <w:r w:rsidRPr="0055373D">
        <w:rPr>
          <w:i/>
          <w:iCs/>
          <w:color w:val="000000" w:themeColor="text1"/>
          <w:szCs w:val="16"/>
        </w:rPr>
        <w:t xml:space="preserve"> database, describe the </w:t>
      </w:r>
      <w:proofErr w:type="gramStart"/>
      <w:r w:rsidRPr="0055373D">
        <w:rPr>
          <w:i/>
          <w:iCs/>
          <w:color w:val="000000" w:themeColor="text1"/>
          <w:szCs w:val="16"/>
        </w:rPr>
        <w:t>time period</w:t>
      </w:r>
      <w:proofErr w:type="gramEnd"/>
      <w:r w:rsidRPr="0055373D">
        <w:rPr>
          <w:i/>
          <w:iCs/>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72EB2599" w14:textId="77777777" w:rsidR="001C3D0E" w:rsidRPr="00ED172B" w:rsidRDefault="001C3D0E" w:rsidP="00B609A4">
      <w:pPr>
        <w:rPr>
          <w:color w:val="000000" w:themeColor="text1"/>
          <w:szCs w:val="16"/>
        </w:rPr>
      </w:pPr>
      <w:r w:rsidRPr="00ED172B">
        <w:rPr>
          <w:color w:val="000000" w:themeColor="text1"/>
          <w:szCs w:val="16"/>
        </w:rPr>
        <w:t>Targets must be 100%.</w:t>
      </w:r>
    </w:p>
    <w:p w14:paraId="420E4BD4" w14:textId="77777777" w:rsidR="001C3D0E" w:rsidRPr="00ED172B" w:rsidRDefault="001C3D0E" w:rsidP="00B609A4">
      <w:pPr>
        <w:rPr>
          <w:color w:val="000000" w:themeColor="text1"/>
          <w:szCs w:val="16"/>
        </w:rPr>
      </w:pPr>
      <w:r w:rsidRPr="00ED172B">
        <w:rPr>
          <w:color w:val="000000" w:themeColor="text1"/>
          <w:szCs w:val="16"/>
        </w:rPr>
        <w:t xml:space="preserve">Describe the results of the calculations and compare the results to the target. Describe the method used to collect </w:t>
      </w:r>
      <w:proofErr w:type="gramStart"/>
      <w:r w:rsidRPr="00ED172B">
        <w:rPr>
          <w:color w:val="000000" w:themeColor="text1"/>
          <w:szCs w:val="16"/>
        </w:rPr>
        <w:t>these</w:t>
      </w:r>
      <w:proofErr w:type="gramEnd"/>
      <w:r w:rsidRPr="00ED172B">
        <w:rPr>
          <w:color w:val="000000" w:themeColor="text1"/>
          <w:szCs w:val="16"/>
        </w:rPr>
        <w:t xml:space="preserve"> data and if data are from the State’s monitoring, describe the procedures used to collect these data. Provide actual numbers used in the calculation.</w:t>
      </w:r>
    </w:p>
    <w:p w14:paraId="397FD790" w14:textId="77777777" w:rsidR="001C3D0E" w:rsidRPr="00ED172B" w:rsidRDefault="001C3D0E" w:rsidP="00B609A4">
      <w:pPr>
        <w:rPr>
          <w:color w:val="000000" w:themeColor="text1"/>
          <w:szCs w:val="16"/>
        </w:rPr>
      </w:pPr>
      <w:r w:rsidRPr="00ED172B">
        <w:rPr>
          <w:color w:val="000000" w:themeColor="text1"/>
          <w:szCs w:val="16"/>
        </w:rPr>
        <w:t xml:space="preserve">States are not required to report in their calculation the number of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787D7717" w14:textId="77777777" w:rsidR="001C3D0E" w:rsidRPr="00ED172B" w:rsidRDefault="001C3D0E" w:rsidP="00B609A4">
      <w:pPr>
        <w:rPr>
          <w:color w:val="000000" w:themeColor="text1"/>
          <w:szCs w:val="16"/>
        </w:rPr>
      </w:pPr>
      <w:r w:rsidRPr="00ED172B">
        <w:rPr>
          <w:color w:val="000000" w:themeColor="text1"/>
          <w:szCs w:val="16"/>
        </w:rPr>
        <w:t>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04EAE03" w14:textId="77777777" w:rsidR="001C3D0E"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657657EB" w14:textId="77777777" w:rsidR="00C04685" w:rsidRPr="00D3011A" w:rsidRDefault="00C538B3" w:rsidP="00C04685">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0817C05F" w14:textId="77777777" w:rsidR="00C04685" w:rsidRPr="00ED172B" w:rsidRDefault="00C04685" w:rsidP="00B609A4">
      <w:pPr>
        <w:rPr>
          <w:color w:val="000000" w:themeColor="text1"/>
          <w:szCs w:val="16"/>
        </w:rPr>
      </w:pPr>
    </w:p>
    <w:bookmarkEnd w:id="38"/>
    <w:p w14:paraId="123BB0E4" w14:textId="77777777" w:rsidR="00805DD3" w:rsidRPr="00A40EE1" w:rsidRDefault="000D0117" w:rsidP="005C3FFD">
      <w:pPr>
        <w:pStyle w:val="Heading2"/>
      </w:pPr>
      <w:r w:rsidRPr="00A40EE1">
        <w:t xml:space="preserve">7 - </w:t>
      </w:r>
      <w:r w:rsidR="00B609A4" w:rsidRPr="00A40EE1">
        <w:t>Indicator Data</w:t>
      </w:r>
    </w:p>
    <w:p w14:paraId="16FDCD08" w14:textId="77777777" w:rsidR="00DC0682" w:rsidRDefault="00DC0682">
      <w:pPr>
        <w:rPr>
          <w:b/>
          <w:color w:val="000000" w:themeColor="text1"/>
        </w:rPr>
      </w:pPr>
      <w:bookmarkStart w:id="39" w:name="_Toc382082375"/>
      <w:bookmarkStart w:id="40" w:name="_Toc392159298"/>
      <w:r w:rsidRPr="00ED172B">
        <w:rPr>
          <w:b/>
          <w:color w:val="000000" w:themeColor="text1"/>
        </w:rPr>
        <w:t>Historical Data</w:t>
      </w:r>
    </w:p>
    <w:p w14:paraId="21AF7A35" w14:textId="77777777"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2899"/>
        <w:gridCol w:w="875"/>
      </w:tblGrid>
      <w:tr w:rsidR="00C25621" w:rsidRPr="00ED172B" w14:paraId="539CD11B" w14:textId="77777777" w:rsidTr="00A40EE1">
        <w:trPr>
          <w:trHeight w:val="350"/>
          <w:tblHeader/>
        </w:trPr>
        <w:tc>
          <w:tcPr>
            <w:tcW w:w="4285" w:type="pct"/>
            <w:tcBorders>
              <w:bottom w:val="single" w:sz="4" w:space="0" w:color="auto"/>
            </w:tcBorders>
            <w:vAlign w:val="center"/>
          </w:tcPr>
          <w:p w14:paraId="63F015F9" w14:textId="77777777" w:rsidR="00C25621" w:rsidRPr="00A40EE1" w:rsidRDefault="00C25621" w:rsidP="00C15786">
            <w:pPr>
              <w:jc w:val="center"/>
              <w:rPr>
                <w:b/>
                <w:bCs/>
                <w:color w:val="000000" w:themeColor="text1"/>
              </w:rPr>
            </w:pPr>
            <w:r>
              <w:rPr>
                <w:b/>
                <w:bCs/>
                <w:color w:val="000000" w:themeColor="text1"/>
              </w:rPr>
              <w:t>Baseline Year</w:t>
            </w:r>
          </w:p>
        </w:tc>
        <w:tc>
          <w:tcPr>
            <w:tcW w:w="715" w:type="pct"/>
            <w:vAlign w:val="center"/>
          </w:tcPr>
          <w:p w14:paraId="0C87DFAE" w14:textId="77777777"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3861B01D" w14:textId="77777777" w:rsidTr="00A40EE1">
        <w:trPr>
          <w:trHeight w:val="350"/>
        </w:trPr>
        <w:tc>
          <w:tcPr>
            <w:tcW w:w="4285" w:type="pct"/>
            <w:tcBorders>
              <w:bottom w:val="single" w:sz="4" w:space="0" w:color="auto"/>
            </w:tcBorders>
            <w:vAlign w:val="center"/>
          </w:tcPr>
          <w:p w14:paraId="420EC9CE" w14:textId="77777777" w:rsidR="00C25621" w:rsidRPr="00ED172B" w:rsidRDefault="00C25621" w:rsidP="00C15786">
            <w:pPr>
              <w:jc w:val="center"/>
              <w:rPr>
                <w:b/>
                <w:color w:val="000000" w:themeColor="text1"/>
              </w:rPr>
            </w:pPr>
            <w:r w:rsidRPr="00ED172B">
              <w:rPr>
                <w:color w:val="000000" w:themeColor="text1"/>
              </w:rPr>
              <w:t>2005</w:t>
            </w:r>
          </w:p>
        </w:tc>
        <w:tc>
          <w:tcPr>
            <w:tcW w:w="715" w:type="pct"/>
            <w:vAlign w:val="center"/>
          </w:tcPr>
          <w:p w14:paraId="4C60CB3D" w14:textId="77777777" w:rsidR="00C25621" w:rsidRPr="00ED172B" w:rsidRDefault="00C25621" w:rsidP="00C15786">
            <w:pPr>
              <w:jc w:val="center"/>
              <w:rPr>
                <w:color w:val="000000" w:themeColor="text1"/>
              </w:rPr>
            </w:pPr>
            <w:r w:rsidRPr="00ED172B">
              <w:rPr>
                <w:color w:val="000000" w:themeColor="text1"/>
              </w:rPr>
              <w:t>99.40%</w:t>
            </w:r>
          </w:p>
        </w:tc>
      </w:tr>
    </w:tbl>
    <w:p w14:paraId="16AE10EB"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705"/>
        <w:gridCol w:w="2018"/>
        <w:gridCol w:w="2018"/>
        <w:gridCol w:w="2018"/>
        <w:gridCol w:w="2018"/>
        <w:gridCol w:w="2013"/>
      </w:tblGrid>
      <w:tr w:rsidR="00ED172B" w:rsidRPr="00ED172B" w14:paraId="31903C33" w14:textId="77777777" w:rsidTr="00A40EE1">
        <w:trPr>
          <w:trHeight w:val="350"/>
        </w:trPr>
        <w:tc>
          <w:tcPr>
            <w:tcW w:w="327" w:type="pct"/>
            <w:tcBorders>
              <w:bottom w:val="single" w:sz="4" w:space="0" w:color="auto"/>
            </w:tcBorders>
          </w:tcPr>
          <w:p w14:paraId="2ECBCCAE"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vAlign w:val="center"/>
          </w:tcPr>
          <w:p w14:paraId="5B7809B9"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5" w:type="pct"/>
            <w:vAlign w:val="center"/>
          </w:tcPr>
          <w:p w14:paraId="2719E83B"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5" w:type="pct"/>
            <w:vAlign w:val="center"/>
          </w:tcPr>
          <w:p w14:paraId="27EEFA19"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5" w:type="pct"/>
            <w:vAlign w:val="center"/>
          </w:tcPr>
          <w:p w14:paraId="15FD62AF"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5" w:type="pct"/>
            <w:vAlign w:val="center"/>
          </w:tcPr>
          <w:p w14:paraId="34BF7FA2"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4F0F8D5B" w14:textId="77777777" w:rsidTr="00A40EE1">
        <w:trPr>
          <w:trHeight w:val="357"/>
        </w:trPr>
        <w:tc>
          <w:tcPr>
            <w:tcW w:w="327" w:type="pct"/>
          </w:tcPr>
          <w:p w14:paraId="05623BE9"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5" w:type="pct"/>
          </w:tcPr>
          <w:p w14:paraId="24A102C8"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4FF481C8"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7223A84D"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5CFC7939"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5CC3653C" w14:textId="77777777"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06BC3DF0" w14:textId="77777777" w:rsidTr="00A40EE1">
        <w:trPr>
          <w:trHeight w:val="85"/>
        </w:trPr>
        <w:tc>
          <w:tcPr>
            <w:tcW w:w="327" w:type="pct"/>
          </w:tcPr>
          <w:p w14:paraId="22AEBEBE"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5" w:type="pct"/>
            <w:vAlign w:val="center"/>
          </w:tcPr>
          <w:p w14:paraId="24D83AF8" w14:textId="77777777" w:rsidR="00DC0682" w:rsidRPr="00ED172B" w:rsidRDefault="00860830" w:rsidP="00CD79C5">
            <w:pPr>
              <w:jc w:val="center"/>
              <w:rPr>
                <w:color w:val="000000" w:themeColor="text1"/>
                <w:szCs w:val="16"/>
              </w:rPr>
            </w:pPr>
            <w:r w:rsidRPr="00ED172B">
              <w:rPr>
                <w:rFonts w:cs="Arial"/>
                <w:color w:val="000000" w:themeColor="text1"/>
                <w:szCs w:val="16"/>
              </w:rPr>
              <w:t>99.23%</w:t>
            </w:r>
          </w:p>
        </w:tc>
        <w:tc>
          <w:tcPr>
            <w:tcW w:w="935" w:type="pct"/>
            <w:tcBorders>
              <w:bottom w:val="single" w:sz="4" w:space="0" w:color="auto"/>
            </w:tcBorders>
            <w:vAlign w:val="center"/>
          </w:tcPr>
          <w:p w14:paraId="165AFB90" w14:textId="77777777" w:rsidR="00DC0682" w:rsidRPr="00ED172B" w:rsidRDefault="00860830" w:rsidP="00CD79C5">
            <w:pPr>
              <w:jc w:val="center"/>
              <w:rPr>
                <w:color w:val="000000" w:themeColor="text1"/>
                <w:szCs w:val="16"/>
              </w:rPr>
            </w:pPr>
            <w:r w:rsidRPr="00ED172B">
              <w:rPr>
                <w:rFonts w:cs="Arial"/>
                <w:color w:val="000000" w:themeColor="text1"/>
                <w:szCs w:val="16"/>
              </w:rPr>
              <w:t>96.67%</w:t>
            </w:r>
          </w:p>
        </w:tc>
        <w:tc>
          <w:tcPr>
            <w:tcW w:w="935" w:type="pct"/>
            <w:tcBorders>
              <w:bottom w:val="single" w:sz="4" w:space="0" w:color="auto"/>
            </w:tcBorders>
            <w:vAlign w:val="center"/>
          </w:tcPr>
          <w:p w14:paraId="3B717105" w14:textId="77777777" w:rsidR="00DC0682" w:rsidRPr="00ED172B" w:rsidRDefault="00860830" w:rsidP="00CD79C5">
            <w:pPr>
              <w:jc w:val="center"/>
              <w:rPr>
                <w:color w:val="000000" w:themeColor="text1"/>
                <w:szCs w:val="16"/>
              </w:rPr>
            </w:pPr>
            <w:r w:rsidRPr="00ED172B">
              <w:rPr>
                <w:rFonts w:cs="Arial"/>
                <w:color w:val="000000" w:themeColor="text1"/>
                <w:szCs w:val="16"/>
              </w:rPr>
              <w:t>96.25%</w:t>
            </w:r>
          </w:p>
        </w:tc>
        <w:tc>
          <w:tcPr>
            <w:tcW w:w="935" w:type="pct"/>
            <w:tcBorders>
              <w:bottom w:val="single" w:sz="4" w:space="0" w:color="auto"/>
            </w:tcBorders>
            <w:vAlign w:val="center"/>
          </w:tcPr>
          <w:p w14:paraId="0A099F04" w14:textId="77777777" w:rsidR="00DC0682" w:rsidRPr="00ED172B" w:rsidRDefault="00860830" w:rsidP="00CD79C5">
            <w:pPr>
              <w:jc w:val="center"/>
              <w:rPr>
                <w:color w:val="000000" w:themeColor="text1"/>
                <w:szCs w:val="16"/>
              </w:rPr>
            </w:pPr>
            <w:r w:rsidRPr="00ED172B">
              <w:rPr>
                <w:rFonts w:cs="Arial"/>
                <w:color w:val="000000" w:themeColor="text1"/>
                <w:szCs w:val="16"/>
              </w:rPr>
              <w:t>95.03%</w:t>
            </w:r>
          </w:p>
        </w:tc>
        <w:tc>
          <w:tcPr>
            <w:tcW w:w="935" w:type="pct"/>
            <w:tcBorders>
              <w:bottom w:val="single" w:sz="4" w:space="0" w:color="auto"/>
            </w:tcBorders>
            <w:vAlign w:val="center"/>
          </w:tcPr>
          <w:p w14:paraId="2E2619E5" w14:textId="77777777" w:rsidR="00DC0682" w:rsidRPr="00ED172B" w:rsidRDefault="00860830" w:rsidP="00CD79C5">
            <w:pPr>
              <w:jc w:val="center"/>
              <w:rPr>
                <w:color w:val="000000" w:themeColor="text1"/>
                <w:szCs w:val="16"/>
              </w:rPr>
            </w:pPr>
            <w:r w:rsidRPr="00ED172B">
              <w:rPr>
                <w:rFonts w:cs="Arial"/>
                <w:color w:val="000000" w:themeColor="text1"/>
                <w:szCs w:val="16"/>
              </w:rPr>
              <w:t>94.66%</w:t>
            </w:r>
          </w:p>
        </w:tc>
      </w:tr>
    </w:tbl>
    <w:p w14:paraId="7EA0C832" w14:textId="77777777" w:rsidR="00DC0682" w:rsidRPr="00ED172B" w:rsidRDefault="00DC0682">
      <w:pPr>
        <w:rPr>
          <w:b/>
          <w:color w:val="000000" w:themeColor="text1"/>
        </w:rPr>
      </w:pPr>
      <w:r w:rsidRPr="00ED172B">
        <w:rPr>
          <w:b/>
          <w:color w:val="000000" w:themeColor="text1"/>
        </w:rPr>
        <w:t>Targets</w:t>
      </w:r>
    </w:p>
    <w:tbl>
      <w:tblPr>
        <w:tblW w:w="2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679"/>
        <w:gridCol w:w="2475"/>
        <w:gridCol w:w="2653"/>
      </w:tblGrid>
      <w:tr w:rsidR="00CF59E2" w:rsidRPr="00ED172B" w14:paraId="693314CA" w14:textId="77777777" w:rsidTr="00811738">
        <w:trPr>
          <w:trHeight w:val="290"/>
        </w:trPr>
        <w:tc>
          <w:tcPr>
            <w:tcW w:w="585" w:type="pct"/>
            <w:tcBorders>
              <w:bottom w:val="single" w:sz="4" w:space="0" w:color="auto"/>
            </w:tcBorders>
          </w:tcPr>
          <w:p w14:paraId="792D2637"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2131" w:type="pct"/>
            <w:vAlign w:val="center"/>
          </w:tcPr>
          <w:p w14:paraId="541FF627" w14:textId="7777777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2284" w:type="pct"/>
          </w:tcPr>
          <w:p w14:paraId="69331ED7" w14:textId="77777777"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23D6FE55" w14:textId="77777777" w:rsidTr="00811738">
        <w:trPr>
          <w:trHeight w:val="296"/>
        </w:trPr>
        <w:tc>
          <w:tcPr>
            <w:tcW w:w="585" w:type="pct"/>
          </w:tcPr>
          <w:p w14:paraId="67B17ECB"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31" w:type="pct"/>
          </w:tcPr>
          <w:p w14:paraId="1F5A23CA" w14:textId="77777777" w:rsidR="00CF59E2" w:rsidRPr="00ED172B" w:rsidRDefault="00CF59E2" w:rsidP="006B2FE9">
            <w:pPr>
              <w:jc w:val="center"/>
              <w:rPr>
                <w:color w:val="000000" w:themeColor="text1"/>
              </w:rPr>
            </w:pPr>
            <w:r w:rsidRPr="00ED172B">
              <w:rPr>
                <w:color w:val="000000" w:themeColor="text1"/>
              </w:rPr>
              <w:t>100%</w:t>
            </w:r>
          </w:p>
        </w:tc>
        <w:tc>
          <w:tcPr>
            <w:tcW w:w="2284" w:type="pct"/>
          </w:tcPr>
          <w:p w14:paraId="601BC164" w14:textId="77777777" w:rsidR="00CF59E2" w:rsidRPr="00811738" w:rsidRDefault="00CF59E2" w:rsidP="006B2FE9">
            <w:pPr>
              <w:jc w:val="center"/>
              <w:rPr>
                <w:strike/>
                <w:color w:val="000000" w:themeColor="text1"/>
              </w:rPr>
            </w:pPr>
            <w:r>
              <w:rPr>
                <w:rFonts w:cs="Arial"/>
                <w:color w:val="000000" w:themeColor="text1"/>
                <w:szCs w:val="16"/>
              </w:rPr>
              <w:t>100%</w:t>
            </w:r>
          </w:p>
        </w:tc>
      </w:tr>
    </w:tbl>
    <w:p w14:paraId="09E7D707" w14:textId="77777777" w:rsidR="001C3D0E"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137B9B83" w14:textId="77777777" w:rsidTr="00986B99">
        <w:trPr>
          <w:trHeight w:val="354"/>
          <w:tblHeader/>
        </w:trPr>
        <w:tc>
          <w:tcPr>
            <w:tcW w:w="1165" w:type="pct"/>
            <w:vAlign w:val="bottom"/>
          </w:tcPr>
          <w:p w14:paraId="1E30DA59"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vAlign w:val="bottom"/>
          </w:tcPr>
          <w:p w14:paraId="533541A7"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vAlign w:val="bottom"/>
          </w:tcPr>
          <w:p w14:paraId="3D247BC9" w14:textId="77777777" w:rsidR="008872E7" w:rsidRPr="00ED172B" w:rsidRDefault="00CD74B5" w:rsidP="008872E7">
            <w:pPr>
              <w:jc w:val="center"/>
              <w:rPr>
                <w:b/>
                <w:color w:val="000000" w:themeColor="text1"/>
                <w:szCs w:val="16"/>
              </w:rPr>
            </w:pPr>
            <w:r>
              <w:rPr>
                <w:rFonts w:cs="Arial"/>
                <w:b/>
                <w:color w:val="000000" w:themeColor="text1"/>
                <w:szCs w:val="16"/>
              </w:rPr>
              <w:t>FFY 2023 Data</w:t>
            </w:r>
          </w:p>
        </w:tc>
        <w:tc>
          <w:tcPr>
            <w:tcW w:w="626" w:type="pct"/>
            <w:vAlign w:val="bottom"/>
          </w:tcPr>
          <w:p w14:paraId="3BAD98E0" w14:textId="77777777" w:rsidR="008872E7" w:rsidRPr="00ED172B" w:rsidRDefault="00F22D09" w:rsidP="008872E7">
            <w:pPr>
              <w:jc w:val="center"/>
              <w:rPr>
                <w:b/>
                <w:color w:val="000000" w:themeColor="text1"/>
                <w:szCs w:val="16"/>
              </w:rPr>
            </w:pPr>
            <w:r>
              <w:rPr>
                <w:rFonts w:cs="Arial"/>
                <w:b/>
                <w:color w:val="000000" w:themeColor="text1"/>
                <w:szCs w:val="16"/>
              </w:rPr>
              <w:t>FFY 2024 Target</w:t>
            </w:r>
          </w:p>
        </w:tc>
        <w:tc>
          <w:tcPr>
            <w:tcW w:w="584" w:type="pct"/>
            <w:vAlign w:val="bottom"/>
          </w:tcPr>
          <w:p w14:paraId="0DCE8E76" w14:textId="77777777" w:rsidR="008872E7" w:rsidRPr="00ED172B" w:rsidRDefault="00F22D09" w:rsidP="008872E7">
            <w:pPr>
              <w:jc w:val="center"/>
              <w:rPr>
                <w:b/>
                <w:color w:val="000000" w:themeColor="text1"/>
                <w:szCs w:val="16"/>
              </w:rPr>
            </w:pPr>
            <w:r>
              <w:rPr>
                <w:rFonts w:cs="Arial"/>
                <w:b/>
                <w:color w:val="000000" w:themeColor="text1"/>
                <w:szCs w:val="16"/>
              </w:rPr>
              <w:t>FFY 2024 Data</w:t>
            </w:r>
          </w:p>
        </w:tc>
        <w:tc>
          <w:tcPr>
            <w:tcW w:w="584" w:type="pct"/>
            <w:vAlign w:val="bottom"/>
          </w:tcPr>
          <w:p w14:paraId="483C0A7A" w14:textId="77777777"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vAlign w:val="bottom"/>
          </w:tcPr>
          <w:p w14:paraId="426ABA58" w14:textId="77777777"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314EB1BD" w14:textId="77777777" w:rsidTr="00986B99">
        <w:trPr>
          <w:trHeight w:val="287"/>
        </w:trPr>
        <w:tc>
          <w:tcPr>
            <w:tcW w:w="1165" w:type="pct"/>
            <w:vAlign w:val="center"/>
          </w:tcPr>
          <w:p w14:paraId="0809A664" w14:textId="77777777" w:rsidR="008872E7" w:rsidRPr="00ED172B" w:rsidRDefault="00860830" w:rsidP="008872E7">
            <w:pPr>
              <w:jc w:val="center"/>
              <w:rPr>
                <w:color w:val="000000" w:themeColor="text1"/>
                <w:szCs w:val="16"/>
              </w:rPr>
            </w:pPr>
            <w:r w:rsidRPr="00ED172B">
              <w:rPr>
                <w:color w:val="000000" w:themeColor="text1"/>
                <w:szCs w:val="16"/>
              </w:rPr>
              <w:t>2,861</w:t>
            </w:r>
          </w:p>
        </w:tc>
        <w:tc>
          <w:tcPr>
            <w:tcW w:w="876" w:type="pct"/>
            <w:vAlign w:val="center"/>
          </w:tcPr>
          <w:p w14:paraId="75410DD6" w14:textId="77777777" w:rsidR="008872E7" w:rsidRPr="00ED172B" w:rsidRDefault="00860830" w:rsidP="008872E7">
            <w:pPr>
              <w:jc w:val="center"/>
              <w:rPr>
                <w:color w:val="000000" w:themeColor="text1"/>
                <w:szCs w:val="16"/>
              </w:rPr>
            </w:pPr>
            <w:r w:rsidRPr="00ED172B">
              <w:rPr>
                <w:color w:val="000000" w:themeColor="text1"/>
                <w:szCs w:val="16"/>
              </w:rPr>
              <w:t>3,658</w:t>
            </w:r>
          </w:p>
        </w:tc>
        <w:tc>
          <w:tcPr>
            <w:tcW w:w="667" w:type="pct"/>
          </w:tcPr>
          <w:p w14:paraId="5BBCBDD5" w14:textId="77777777" w:rsidR="008872E7" w:rsidRPr="00ED172B" w:rsidRDefault="00860830" w:rsidP="008872E7">
            <w:pPr>
              <w:jc w:val="center"/>
              <w:rPr>
                <w:color w:val="000000" w:themeColor="text1"/>
                <w:szCs w:val="16"/>
              </w:rPr>
            </w:pPr>
            <w:r w:rsidRPr="00ED172B">
              <w:rPr>
                <w:rFonts w:cs="Arial"/>
                <w:color w:val="000000" w:themeColor="text1"/>
                <w:szCs w:val="16"/>
              </w:rPr>
              <w:t>94.66%</w:t>
            </w:r>
          </w:p>
        </w:tc>
        <w:tc>
          <w:tcPr>
            <w:tcW w:w="626" w:type="pct"/>
          </w:tcPr>
          <w:p w14:paraId="72CB6E37" w14:textId="77777777"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tcPr>
          <w:p w14:paraId="01502C05" w14:textId="77777777" w:rsidR="008872E7" w:rsidRPr="00ED172B" w:rsidRDefault="00860830" w:rsidP="008872E7">
            <w:pPr>
              <w:jc w:val="center"/>
              <w:rPr>
                <w:color w:val="000000" w:themeColor="text1"/>
                <w:szCs w:val="16"/>
              </w:rPr>
            </w:pPr>
            <w:r w:rsidRPr="00ED172B">
              <w:rPr>
                <w:rFonts w:cs="Arial"/>
                <w:color w:val="000000" w:themeColor="text1"/>
                <w:szCs w:val="16"/>
              </w:rPr>
              <w:t>97.81%</w:t>
            </w:r>
          </w:p>
        </w:tc>
        <w:tc>
          <w:tcPr>
            <w:tcW w:w="584" w:type="pct"/>
          </w:tcPr>
          <w:p w14:paraId="7BB56EFD" w14:textId="77777777" w:rsidR="008872E7" w:rsidRPr="00ED172B" w:rsidRDefault="00027F39" w:rsidP="00027F39">
            <w:pPr>
              <w:jc w:val="center"/>
              <w:rPr>
                <w:color w:val="000000" w:themeColor="text1"/>
              </w:rPr>
            </w:pPr>
            <w:r w:rsidRPr="00ED172B">
              <w:rPr>
                <w:color w:val="000000" w:themeColor="text1"/>
              </w:rPr>
              <w:t>Did not meet target</w:t>
            </w:r>
          </w:p>
        </w:tc>
        <w:tc>
          <w:tcPr>
            <w:tcW w:w="498" w:type="pct"/>
          </w:tcPr>
          <w:p w14:paraId="7A6FE26F" w14:textId="77777777" w:rsidR="008872E7" w:rsidRPr="00ED172B" w:rsidRDefault="00632DF6" w:rsidP="00027F39">
            <w:pPr>
              <w:jc w:val="center"/>
              <w:rPr>
                <w:color w:val="000000" w:themeColor="text1"/>
              </w:rPr>
            </w:pPr>
            <w:r w:rsidRPr="00ED172B">
              <w:rPr>
                <w:color w:val="000000" w:themeColor="text1"/>
              </w:rPr>
              <w:t>No Slippage</w:t>
            </w:r>
          </w:p>
        </w:tc>
      </w:tr>
    </w:tbl>
    <w:p w14:paraId="33056B6A" w14:textId="77777777" w:rsidR="00293B59" w:rsidRPr="00ED172B" w:rsidRDefault="00293B59" w:rsidP="00293B59">
      <w:pPr>
        <w:rPr>
          <w:color w:val="000000" w:themeColor="text1"/>
          <w:szCs w:val="16"/>
        </w:rPr>
      </w:pPr>
      <w:r w:rsidRPr="00ED172B">
        <w:rPr>
          <w:b/>
          <w:color w:val="000000" w:themeColor="text1"/>
          <w:szCs w:val="16"/>
        </w:rPr>
        <w:lastRenderedPageBreak/>
        <w:t>Number of documented delays attributable to exceptional family circumstances</w:t>
      </w:r>
    </w:p>
    <w:p w14:paraId="71F68D7B" w14:textId="77777777"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1A9EAEEF" w14:textId="77777777" w:rsidR="00293B59" w:rsidRDefault="00293B59" w:rsidP="00293B59">
      <w:pPr>
        <w:rPr>
          <w:color w:val="000000" w:themeColor="text1"/>
          <w:szCs w:val="16"/>
        </w:rPr>
      </w:pPr>
      <w:r w:rsidRPr="00ED172B">
        <w:rPr>
          <w:color w:val="000000" w:themeColor="text1"/>
          <w:szCs w:val="16"/>
        </w:rPr>
        <w:t>717</w:t>
      </w:r>
    </w:p>
    <w:p w14:paraId="54A9B50E" w14:textId="77777777" w:rsidR="003739C5" w:rsidRDefault="003739C5" w:rsidP="003739C5">
      <w:pPr>
        <w:rPr>
          <w:rFonts w:cs="Arial"/>
          <w:b/>
          <w:color w:val="000000" w:themeColor="text1"/>
          <w:szCs w:val="16"/>
        </w:rPr>
      </w:pPr>
      <w:r w:rsidRPr="003739C5">
        <w:rPr>
          <w:rFonts w:cs="Arial"/>
          <w:b/>
          <w:color w:val="000000" w:themeColor="text1"/>
          <w:szCs w:val="16"/>
        </w:rPr>
        <w:t>Provide reasons for delay, if applicable.</w:t>
      </w:r>
    </w:p>
    <w:p w14:paraId="0D93B6B3" w14:textId="77777777" w:rsidR="003739C5" w:rsidRPr="00ED172B" w:rsidRDefault="003739C5" w:rsidP="003739C5">
      <w:pPr>
        <w:rPr>
          <w:rFonts w:cs="Arial"/>
          <w:color w:val="000000" w:themeColor="text1"/>
          <w:szCs w:val="16"/>
        </w:rPr>
      </w:pPr>
      <w:r w:rsidRPr="00ED172B">
        <w:rPr>
          <w:color w:val="000000" w:themeColor="text1"/>
          <w:szCs w:val="16"/>
        </w:rPr>
        <w:t xml:space="preserve">For FFY 2024, a total of 797 incidents of delay of services occurred. The reasons for delay for 717 incidents were attributable to exceptional family circumstances and </w:t>
      </w:r>
      <w:proofErr w:type="gramStart"/>
      <w:r w:rsidRPr="00ED172B">
        <w:rPr>
          <w:color w:val="000000" w:themeColor="text1"/>
          <w:szCs w:val="16"/>
        </w:rPr>
        <w:t>have been</w:t>
      </w:r>
      <w:proofErr w:type="gramEnd"/>
      <w:r w:rsidRPr="00ED172B">
        <w:rPr>
          <w:color w:val="000000" w:themeColor="text1"/>
          <w:szCs w:val="16"/>
        </w:rPr>
        <w:t xml:space="preserve"> reported accordingly online. The reasons for the remaining 80 delays are listed below: </w:t>
      </w:r>
    </w:p>
    <w:p w14:paraId="76D4B7FB" w14:textId="77777777" w:rsidR="000575B2" w:rsidRDefault="000575B2"/>
    <w:p w14:paraId="59A318E9" w14:textId="77777777" w:rsidR="000575B2" w:rsidRDefault="00D6492D">
      <w:r>
        <w:rPr>
          <w:color w:val="000000"/>
        </w:rPr>
        <w:t xml:space="preserve"> </w:t>
      </w:r>
    </w:p>
    <w:p w14:paraId="60FF7EE1" w14:textId="77777777" w:rsidR="000575B2" w:rsidRDefault="00D6492D">
      <w:r>
        <w:rPr>
          <w:color w:val="000000"/>
        </w:rPr>
        <w:t xml:space="preserve">• 2 incidents due to staff communication problems </w:t>
      </w:r>
    </w:p>
    <w:p w14:paraId="44B36E95" w14:textId="77777777" w:rsidR="000575B2" w:rsidRDefault="00D6492D">
      <w:r>
        <w:rPr>
          <w:color w:val="000000"/>
        </w:rPr>
        <w:t xml:space="preserve">• 1 incident due to staff illness </w:t>
      </w:r>
    </w:p>
    <w:p w14:paraId="32A612BC" w14:textId="77777777" w:rsidR="000575B2" w:rsidRDefault="00D6492D">
      <w:r>
        <w:rPr>
          <w:color w:val="000000"/>
        </w:rPr>
        <w:t xml:space="preserve">• 5 incidents due to full evaluation schedule due to staff shortage </w:t>
      </w:r>
    </w:p>
    <w:p w14:paraId="28299083" w14:textId="77777777" w:rsidR="000575B2" w:rsidRDefault="00D6492D">
      <w:r>
        <w:rPr>
          <w:color w:val="000000"/>
        </w:rPr>
        <w:t xml:space="preserve">• 4 incidents due to data entry/clerical errors </w:t>
      </w:r>
    </w:p>
    <w:p w14:paraId="5D99BFBD" w14:textId="77777777" w:rsidR="000575B2" w:rsidRDefault="00D6492D">
      <w:r>
        <w:rPr>
          <w:color w:val="000000"/>
        </w:rPr>
        <w:t xml:space="preserve">• 14 incidents due to staff unavailability </w:t>
      </w:r>
    </w:p>
    <w:p w14:paraId="6E5DA0CE" w14:textId="77777777" w:rsidR="000575B2" w:rsidRDefault="00D6492D">
      <w:r>
        <w:rPr>
          <w:color w:val="000000"/>
        </w:rPr>
        <w:t xml:space="preserve">• 6 incidents due to program delay in contacting family due to staff shortage </w:t>
      </w:r>
    </w:p>
    <w:p w14:paraId="18EEF54D" w14:textId="77777777" w:rsidR="000575B2" w:rsidRDefault="00D6492D">
      <w:r>
        <w:rPr>
          <w:color w:val="000000"/>
        </w:rPr>
        <w:t xml:space="preserve">• 24 Provider delay in scheduling eligibility, evaluation, or IFSP </w:t>
      </w:r>
    </w:p>
    <w:p w14:paraId="22454532" w14:textId="77777777" w:rsidR="000575B2" w:rsidRDefault="00D6492D">
      <w:r>
        <w:rPr>
          <w:color w:val="000000"/>
        </w:rPr>
        <w:t>• 24 incidents due to delay from out of state or district providers</w:t>
      </w:r>
    </w:p>
    <w:p w14:paraId="567C47CF"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78DBB653" w14:textId="77777777" w:rsidR="000709B9" w:rsidRDefault="00860830" w:rsidP="00B83404">
      <w:pPr>
        <w:rPr>
          <w:color w:val="000000" w:themeColor="text1"/>
        </w:rPr>
      </w:pPr>
      <w:r w:rsidRPr="00ED172B">
        <w:rPr>
          <w:color w:val="000000" w:themeColor="text1"/>
        </w:rPr>
        <w:t>State database</w:t>
      </w:r>
    </w:p>
    <w:p w14:paraId="1FEE7E19" w14:textId="77777777" w:rsidR="00423BCE" w:rsidRPr="00ED172B" w:rsidRDefault="000709B9">
      <w:pPr>
        <w:rPr>
          <w:b/>
          <w:color w:val="000000" w:themeColor="text1"/>
        </w:rPr>
      </w:pPr>
      <w:r w:rsidRPr="00ED172B">
        <w:rPr>
          <w:b/>
          <w:color w:val="000000" w:themeColor="text1"/>
        </w:rPr>
        <w:t xml:space="preserve">Provide the </w:t>
      </w:r>
      <w:proofErr w:type="gramStart"/>
      <w:r w:rsidRPr="00ED172B">
        <w:rPr>
          <w:b/>
          <w:color w:val="000000" w:themeColor="text1"/>
        </w:rPr>
        <w:t>time period</w:t>
      </w:r>
      <w:proofErr w:type="gramEnd"/>
      <w:r w:rsidRPr="00ED172B">
        <w:rPr>
          <w:b/>
          <w:color w:val="000000" w:themeColor="text1"/>
        </w:rPr>
        <w:t xml:space="preserve"> in which the data were collected (e.g., September through December, fourth quarter, selection from the full reporting period). </w:t>
      </w:r>
    </w:p>
    <w:p w14:paraId="1B6846F2" w14:textId="77777777" w:rsidR="000709B9" w:rsidRPr="00ED172B" w:rsidRDefault="00860830" w:rsidP="000709B9">
      <w:pPr>
        <w:rPr>
          <w:color w:val="000000" w:themeColor="text1"/>
        </w:rPr>
      </w:pPr>
      <w:r w:rsidRPr="00ED172B">
        <w:rPr>
          <w:color w:val="000000" w:themeColor="text1"/>
        </w:rPr>
        <w:t>July 2024-June 2025</w:t>
      </w:r>
    </w:p>
    <w:p w14:paraId="0A767ECB" w14:textId="77777777" w:rsidR="000709B9" w:rsidRPr="00ED172B" w:rsidRDefault="000709B9">
      <w:pPr>
        <w:rPr>
          <w:b/>
          <w:color w:val="000000" w:themeColor="text1"/>
        </w:rPr>
      </w:pPr>
      <w:r w:rsidRPr="00ED172B">
        <w:rPr>
          <w:b/>
          <w:color w:val="000000" w:themeColor="text1"/>
        </w:rPr>
        <w:t xml:space="preserve">Describe how the data accurately </w:t>
      </w:r>
      <w:proofErr w:type="gramStart"/>
      <w:r w:rsidRPr="00ED172B">
        <w:rPr>
          <w:b/>
          <w:color w:val="000000" w:themeColor="text1"/>
        </w:rPr>
        <w:t>reflect</w:t>
      </w:r>
      <w:proofErr w:type="gramEnd"/>
      <w:r w:rsidRPr="00ED172B">
        <w:rPr>
          <w:b/>
          <w:color w:val="000000" w:themeColor="text1"/>
        </w:rPr>
        <w:t xml:space="preserve"> data for infants and toddlers with IFSPs for the full reporting period. </w:t>
      </w:r>
    </w:p>
    <w:p w14:paraId="7EEAF328" w14:textId="77777777" w:rsidR="000709B9" w:rsidRDefault="00860830" w:rsidP="000709B9">
      <w:pPr>
        <w:rPr>
          <w:rFonts w:cs="Arial"/>
          <w:color w:val="000000" w:themeColor="text1"/>
          <w:szCs w:val="16"/>
        </w:rPr>
      </w:pPr>
      <w:r w:rsidRPr="00ED172B">
        <w:rPr>
          <w:rFonts w:cs="Arial"/>
          <w:color w:val="000000" w:themeColor="text1"/>
          <w:szCs w:val="16"/>
        </w:rPr>
        <w:t xml:space="preserve">The data accurately reflects data for infants and toddlers with IFSPs for the full reporting period. The State calculated the percentage using aggregated data collected monthly from all EI/ECSE programs in the state. Each monthly data report represents all children in the EI referral process from the second day of the previous month to the first day of the current month. Programs submit data completion status of EI evaluations, eligibility, and initial IFSP meeting each month. Of those children, programs must document: (1) how many completed the process within 45 days of referral; (2) how many completed the process but not within 45 days of referral (these programs must submit a corrective action plan); (3) how many have not completed the process; and (4) how many discontinued the process and why. </w:t>
      </w:r>
    </w:p>
    <w:p w14:paraId="167F3554" w14:textId="77777777" w:rsidR="003A3693" w:rsidRPr="00ED172B" w:rsidRDefault="003A3693" w:rsidP="003A3693">
      <w:pPr>
        <w:rPr>
          <w:rFonts w:cs="Arial"/>
          <w:b/>
          <w:color w:val="000000" w:themeColor="text1"/>
          <w:szCs w:val="16"/>
        </w:rPr>
      </w:pPr>
      <w:bookmarkStart w:id="41" w:name="_Toc386209666"/>
      <w:bookmarkStart w:id="42" w:name="_Toc392159299"/>
      <w:bookmarkEnd w:id="39"/>
      <w:bookmarkEnd w:id="40"/>
      <w:r w:rsidRPr="00ED172B">
        <w:rPr>
          <w:rFonts w:cs="Arial"/>
          <w:b/>
          <w:color w:val="000000" w:themeColor="text1"/>
          <w:szCs w:val="16"/>
        </w:rPr>
        <w:t>Provide additional information about this indicator (optional).</w:t>
      </w:r>
    </w:p>
    <w:p w14:paraId="292D8B4B" w14:textId="77777777" w:rsidR="003A3693" w:rsidRPr="00ED172B" w:rsidRDefault="003A3693" w:rsidP="003A3693">
      <w:pPr>
        <w:rPr>
          <w:rFonts w:cs="Arial"/>
          <w:color w:val="000000" w:themeColor="text1"/>
          <w:szCs w:val="16"/>
        </w:rPr>
      </w:pPr>
    </w:p>
    <w:p w14:paraId="5345836D" w14:textId="77777777"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3C7CFBAB" w14:textId="77777777" w:rsidTr="00986B99">
        <w:trPr>
          <w:trHeight w:val="389"/>
          <w:tblHeader/>
        </w:trPr>
        <w:tc>
          <w:tcPr>
            <w:tcW w:w="1226" w:type="pct"/>
            <w:vAlign w:val="bottom"/>
          </w:tcPr>
          <w:p w14:paraId="2CCFDBDE"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vAlign w:val="bottom"/>
          </w:tcPr>
          <w:p w14:paraId="3D32A35F"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vAlign w:val="bottom"/>
          </w:tcPr>
          <w:p w14:paraId="5AB2578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vAlign w:val="bottom"/>
          </w:tcPr>
          <w:p w14:paraId="06D535C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7C32955" w14:textId="77777777" w:rsidTr="00986B99">
        <w:tc>
          <w:tcPr>
            <w:tcW w:w="1226" w:type="pct"/>
          </w:tcPr>
          <w:p w14:paraId="21CFA9F0"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202</w:t>
            </w:r>
          </w:p>
        </w:tc>
        <w:tc>
          <w:tcPr>
            <w:tcW w:w="1286" w:type="pct"/>
          </w:tcPr>
          <w:p w14:paraId="36B7155C"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202</w:t>
            </w:r>
          </w:p>
        </w:tc>
        <w:tc>
          <w:tcPr>
            <w:tcW w:w="1229" w:type="pct"/>
          </w:tcPr>
          <w:p w14:paraId="28BB349A"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tcPr>
          <w:p w14:paraId="30DDCB0B"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25156E88" w14:textId="77777777" w:rsidR="008203B4" w:rsidRPr="00ED172B" w:rsidRDefault="00CD74B5" w:rsidP="00B83404">
      <w:pPr>
        <w:rPr>
          <w:color w:val="000000" w:themeColor="text1"/>
        </w:rPr>
      </w:pPr>
      <w:r>
        <w:rPr>
          <w:b/>
          <w:color w:val="000000" w:themeColor="text1"/>
        </w:rPr>
        <w:t>FFY 2023 Findings of Noncompliance Verified as Corrected</w:t>
      </w:r>
    </w:p>
    <w:p w14:paraId="423E2A47" w14:textId="77777777"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the source of noncompliance is correctly implementing the </w:t>
      </w:r>
      <w:r w:rsidR="0031099B" w:rsidRPr="00ED172B">
        <w:rPr>
          <w:rFonts w:cs="Arial"/>
          <w:b/>
          <w:i/>
          <w:color w:val="000000" w:themeColor="text1"/>
          <w:szCs w:val="16"/>
        </w:rPr>
        <w:t>regulatory requirements</w:t>
      </w:r>
      <w:r w:rsidR="002959B0">
        <w:rPr>
          <w:rFonts w:cs="Arial"/>
          <w:b/>
          <w:i/>
          <w:color w:val="000000" w:themeColor="text1"/>
          <w:szCs w:val="16"/>
        </w:rPr>
        <w:t>.</w:t>
      </w:r>
    </w:p>
    <w:p w14:paraId="65E8BB95" w14:textId="77777777" w:rsidR="008203B4" w:rsidRPr="00ED172B" w:rsidRDefault="00860830" w:rsidP="008203B4">
      <w:pPr>
        <w:rPr>
          <w:rFonts w:cs="Arial"/>
          <w:color w:val="000000" w:themeColor="text1"/>
          <w:szCs w:val="16"/>
        </w:rPr>
      </w:pPr>
      <w:r w:rsidRPr="00ED172B">
        <w:rPr>
          <w:rFonts w:cs="Arial"/>
          <w:color w:val="000000" w:themeColor="text1"/>
          <w:szCs w:val="16"/>
        </w:rPr>
        <w:t xml:space="preserve">For FFY 2023, the State verified that EI/ECSE programs were correctly implementing the regulatory requirements by having the </w:t>
      </w:r>
      <w:proofErr w:type="gramStart"/>
      <w:r w:rsidRPr="00ED172B">
        <w:rPr>
          <w:rFonts w:cs="Arial"/>
          <w:color w:val="000000" w:themeColor="text1"/>
          <w:szCs w:val="16"/>
        </w:rPr>
        <w:t>programs continue to</w:t>
      </w:r>
      <w:proofErr w:type="gramEnd"/>
      <w:r w:rsidRPr="00ED172B">
        <w:rPr>
          <w:rFonts w:cs="Arial"/>
          <w:color w:val="000000" w:themeColor="text1"/>
          <w:szCs w:val="16"/>
        </w:rPr>
        <w:t xml:space="preserve"> submit monthly corrective action plans (CAPs) to the State for any child for whom the 45-day timeline was not met. Included in the CAP that programs submitted: 1) the number of days needed to complete the referral, eligibility and initial IFSP meeting; 2) the child’s initials and birth date; 3) the specific reasons for not meeting the 45-day timeline (parent delay or program delay); 4) the corrective actions based on an analysis of the problem(s); 5) the activities planned to address each problem identified and 6) request for ODE technical assistance if desired.  </w:t>
      </w:r>
    </w:p>
    <w:p w14:paraId="2C714282" w14:textId="77777777" w:rsidR="000575B2" w:rsidRDefault="00D6492D">
      <w:r>
        <w:rPr>
          <w:color w:val="000000"/>
        </w:rPr>
        <w:t xml:space="preserve"> </w:t>
      </w:r>
    </w:p>
    <w:p w14:paraId="101146FA" w14:textId="77777777" w:rsidR="000575B2" w:rsidRDefault="00D6492D">
      <w:r>
        <w:rPr>
          <w:color w:val="000000"/>
        </w:rPr>
        <w:t xml:space="preserve">The programs with noncompliance developed and implemented CAPs detailing solutions for 100% (202/202) correction of noncompliance for each individual case and submitted these to the State for review and approval. The CAPs included working with school districts to hire additional evaluators, staff training, hiring new intake coordinators, and implementing an automatic notification system to alert staff of pending timelines for scheduling. The State reviewed and approved all 202 individual CAPs submitted. An email was sent to each program stating ODE review and verification of each case of noncompliance.  </w:t>
      </w:r>
    </w:p>
    <w:p w14:paraId="01DC9ED2" w14:textId="77777777" w:rsidR="000575B2" w:rsidRDefault="00D6492D">
      <w:r>
        <w:rPr>
          <w:color w:val="000000"/>
        </w:rPr>
        <w:t xml:space="preserve"> </w:t>
      </w:r>
    </w:p>
    <w:p w14:paraId="07C58209" w14:textId="77777777" w:rsidR="000575B2" w:rsidRDefault="00D6492D">
      <w:r>
        <w:rPr>
          <w:color w:val="000000"/>
        </w:rPr>
        <w:t xml:space="preserve">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individual evaluations were also reviewed by the State </w:t>
      </w:r>
      <w:proofErr w:type="gramStart"/>
      <w:r>
        <w:rPr>
          <w:color w:val="000000"/>
        </w:rPr>
        <w:t>in</w:t>
      </w:r>
      <w:proofErr w:type="gramEnd"/>
      <w:r>
        <w:rPr>
          <w:color w:val="000000"/>
        </w:rPr>
        <w:t xml:space="preserve"> </w:t>
      </w:r>
      <w:proofErr w:type="spellStart"/>
      <w:r>
        <w:rPr>
          <w:color w:val="000000"/>
        </w:rPr>
        <w:t>ecWeb</w:t>
      </w:r>
      <w:proofErr w:type="spellEnd"/>
      <w:r>
        <w:rPr>
          <w:color w:val="000000"/>
        </w:rPr>
        <w:t xml:space="preserve">, the State IFSP database, and confirmed subsequent timely evaluations. </w:t>
      </w:r>
    </w:p>
    <w:p w14:paraId="3F1A3909" w14:textId="77777777"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each </w:t>
      </w:r>
      <w:r w:rsidR="0031099B" w:rsidRPr="00ED172B">
        <w:rPr>
          <w:rFonts w:cs="Arial"/>
          <w:b/>
          <w:i/>
          <w:color w:val="000000" w:themeColor="text1"/>
          <w:szCs w:val="16"/>
        </w:rPr>
        <w:t>individual case</w:t>
      </w:r>
      <w:r w:rsidRPr="00ED172B">
        <w:rPr>
          <w:rFonts w:cs="Arial"/>
          <w:b/>
          <w:color w:val="000000" w:themeColor="text1"/>
          <w:szCs w:val="16"/>
        </w:rPr>
        <w:t xml:space="preserve"> of noncompliance was corrected</w:t>
      </w:r>
      <w:r w:rsidR="002959B0">
        <w:rPr>
          <w:rFonts w:cs="Arial"/>
          <w:b/>
          <w:color w:val="000000" w:themeColor="text1"/>
          <w:szCs w:val="16"/>
        </w:rPr>
        <w:t>.</w:t>
      </w:r>
    </w:p>
    <w:p w14:paraId="6C0AEDB7" w14:textId="77777777" w:rsidR="008203B4" w:rsidRDefault="00860830" w:rsidP="008203B4">
      <w:pPr>
        <w:rPr>
          <w:rFonts w:cs="Arial"/>
          <w:color w:val="000000" w:themeColor="text1"/>
          <w:szCs w:val="16"/>
        </w:rPr>
      </w:pPr>
      <w:r w:rsidRPr="00ED172B">
        <w:rPr>
          <w:rFonts w:cs="Arial"/>
          <w:color w:val="000000" w:themeColor="text1"/>
          <w:szCs w:val="16"/>
        </w:rPr>
        <w:t xml:space="preserve">The State verified that 100% (202/202) of the individual incidents of noncompliance in FFY 2023 were corrected within one year. All programs with noncompliance conducted the initial evaluation, assessment, and IFSP meeting, although late, for each individual child for whom the 45-day timeline was not met based on a monthly State review and approved submitted individual Corrective Action Plans (CAPs) documenting each of the 202 cases of noncompliance were corrected to 100% (consistent with OSEP QA 23-01). </w:t>
      </w:r>
    </w:p>
    <w:p w14:paraId="7A4E8621" w14:textId="77777777" w:rsidR="000575B2" w:rsidRDefault="00D6492D">
      <w:r>
        <w:rPr>
          <w:color w:val="000000"/>
        </w:rPr>
        <w:t xml:space="preserve"> </w:t>
      </w:r>
    </w:p>
    <w:p w14:paraId="317C9B8C" w14:textId="77777777" w:rsidR="000575B2" w:rsidRDefault="00D6492D">
      <w:r>
        <w:rPr>
          <w:color w:val="000000"/>
        </w:rPr>
        <w:t xml:space="preserve">The programs with noncompliance developed and implemented individual CAPs detailing solutions for 100% (202/202) correction of noncompliance and submitted these to the State for review and approval. The CAPs included working with school districts to hire additional evaluators, staff training, hiring new intake coordinators, and implementing an automatic notification system to alert staff of pending timelines for scheduling. The State reviewed and approved all 202 CAPs submitted. An email was sent to each program stating ODE review and verification of each individual case of noncompliance.  </w:t>
      </w:r>
    </w:p>
    <w:p w14:paraId="14681192" w14:textId="77777777" w:rsidR="000575B2" w:rsidRDefault="00D6492D">
      <w:r>
        <w:rPr>
          <w:color w:val="000000"/>
        </w:rPr>
        <w:t xml:space="preserve"> </w:t>
      </w:r>
    </w:p>
    <w:p w14:paraId="7776BAFE" w14:textId="77777777" w:rsidR="000575B2" w:rsidRDefault="00D6492D">
      <w:r>
        <w:rPr>
          <w:color w:val="000000"/>
        </w:rPr>
        <w:lastRenderedPageBreak/>
        <w:t xml:space="preserve">The State verified as per OSEP QA 23-01 that all programs with past noncompliance were correctly implementing the regulatory requirements of 34 CFR §§303.310(a) and 303.342(a) based on updated monthly 45-day timeline data from each program. The State summarized continued new monthly CAP data for each program detailing no new cases over the 45-day timeline or only CAPs with parent delays. Subsequent evaluations were also reviewed by the State in </w:t>
      </w:r>
      <w:proofErr w:type="spellStart"/>
      <w:r>
        <w:rPr>
          <w:color w:val="000000"/>
        </w:rPr>
        <w:t>ecWeb</w:t>
      </w:r>
      <w:proofErr w:type="spellEnd"/>
      <w:r>
        <w:rPr>
          <w:color w:val="000000"/>
        </w:rPr>
        <w:t xml:space="preserve">, the State IFSP database, and confirmed subsequent timely evaluations. </w:t>
      </w:r>
    </w:p>
    <w:p w14:paraId="20F0A1E1"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4A7EF51A" w14:textId="77777777" w:rsidR="00416EBD" w:rsidRPr="00510A22" w:rsidRDefault="00416EBD" w:rsidP="00416EBD">
      <w:pPr>
        <w:rPr>
          <w:color w:val="00B0F0"/>
        </w:rPr>
      </w:pPr>
      <w:r w:rsidRPr="00EE69F5">
        <w:t>N/A</w:t>
      </w:r>
    </w:p>
    <w:p w14:paraId="038DC16A" w14:textId="77777777" w:rsidR="008203B4" w:rsidRPr="00ED172B" w:rsidRDefault="008203B4"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3968802F" w14:textId="77777777" w:rsidTr="00986B99">
        <w:trPr>
          <w:tblHeader/>
        </w:trPr>
        <w:tc>
          <w:tcPr>
            <w:tcW w:w="899" w:type="pct"/>
            <w:vAlign w:val="bottom"/>
          </w:tcPr>
          <w:p w14:paraId="7041A040"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vAlign w:val="bottom"/>
          </w:tcPr>
          <w:p w14:paraId="20AD9F8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94" w:type="pct"/>
            <w:vAlign w:val="bottom"/>
          </w:tcPr>
          <w:p w14:paraId="3FCEB81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vAlign w:val="bottom"/>
          </w:tcPr>
          <w:p w14:paraId="787847D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C47823E" w14:textId="77777777" w:rsidTr="00986B99">
        <w:tc>
          <w:tcPr>
            <w:tcW w:w="899" w:type="pct"/>
          </w:tcPr>
          <w:p w14:paraId="790A61C3" w14:textId="77777777" w:rsidR="008203B4" w:rsidRPr="00ED172B" w:rsidRDefault="008203B4" w:rsidP="00D21F29">
            <w:pPr>
              <w:jc w:val="center"/>
              <w:rPr>
                <w:rFonts w:cs="Arial"/>
                <w:color w:val="000000" w:themeColor="text1"/>
                <w:szCs w:val="16"/>
              </w:rPr>
            </w:pPr>
          </w:p>
        </w:tc>
        <w:tc>
          <w:tcPr>
            <w:tcW w:w="1399" w:type="pct"/>
          </w:tcPr>
          <w:p w14:paraId="1E557C1D" w14:textId="77777777" w:rsidR="008203B4" w:rsidRPr="00ED172B" w:rsidRDefault="008203B4" w:rsidP="00CD79C5">
            <w:pPr>
              <w:jc w:val="center"/>
              <w:rPr>
                <w:rFonts w:cs="Arial"/>
                <w:noProof/>
                <w:color w:val="000000" w:themeColor="text1"/>
                <w:szCs w:val="16"/>
              </w:rPr>
            </w:pPr>
          </w:p>
        </w:tc>
        <w:tc>
          <w:tcPr>
            <w:tcW w:w="1394" w:type="pct"/>
          </w:tcPr>
          <w:p w14:paraId="50872B31" w14:textId="77777777" w:rsidR="008203B4" w:rsidRPr="00ED172B" w:rsidRDefault="008203B4" w:rsidP="00CD79C5">
            <w:pPr>
              <w:jc w:val="center"/>
              <w:rPr>
                <w:rFonts w:cs="Arial"/>
                <w:noProof/>
                <w:color w:val="000000" w:themeColor="text1"/>
                <w:szCs w:val="16"/>
              </w:rPr>
            </w:pPr>
          </w:p>
        </w:tc>
        <w:tc>
          <w:tcPr>
            <w:tcW w:w="1307" w:type="pct"/>
          </w:tcPr>
          <w:p w14:paraId="6C90DBA7" w14:textId="77777777" w:rsidR="008203B4" w:rsidRPr="00ED172B" w:rsidRDefault="008203B4" w:rsidP="00CD79C5">
            <w:pPr>
              <w:jc w:val="center"/>
              <w:rPr>
                <w:rFonts w:cs="Arial"/>
                <w:noProof/>
                <w:color w:val="000000" w:themeColor="text1"/>
                <w:szCs w:val="16"/>
              </w:rPr>
            </w:pPr>
          </w:p>
        </w:tc>
      </w:tr>
      <w:tr w:rsidR="00ED172B" w:rsidRPr="00ED172B" w14:paraId="383BD656" w14:textId="77777777" w:rsidTr="00986B99">
        <w:tc>
          <w:tcPr>
            <w:tcW w:w="899" w:type="pct"/>
          </w:tcPr>
          <w:p w14:paraId="2E5C3FA5" w14:textId="77777777" w:rsidR="008203B4" w:rsidRPr="00ED172B" w:rsidRDefault="008203B4" w:rsidP="00D21F29">
            <w:pPr>
              <w:jc w:val="center"/>
              <w:rPr>
                <w:rFonts w:cs="Arial"/>
                <w:color w:val="000000" w:themeColor="text1"/>
                <w:szCs w:val="16"/>
              </w:rPr>
            </w:pPr>
          </w:p>
        </w:tc>
        <w:tc>
          <w:tcPr>
            <w:tcW w:w="1399" w:type="pct"/>
          </w:tcPr>
          <w:p w14:paraId="24025C7C" w14:textId="77777777" w:rsidR="008203B4" w:rsidRPr="00ED172B" w:rsidRDefault="008203B4" w:rsidP="00CD79C5">
            <w:pPr>
              <w:jc w:val="center"/>
              <w:rPr>
                <w:rFonts w:cs="Arial"/>
                <w:noProof/>
                <w:color w:val="000000" w:themeColor="text1"/>
                <w:szCs w:val="16"/>
              </w:rPr>
            </w:pPr>
          </w:p>
        </w:tc>
        <w:tc>
          <w:tcPr>
            <w:tcW w:w="1394" w:type="pct"/>
          </w:tcPr>
          <w:p w14:paraId="09A2B5BA" w14:textId="77777777" w:rsidR="008203B4" w:rsidRPr="00ED172B" w:rsidRDefault="008203B4" w:rsidP="00CD79C5">
            <w:pPr>
              <w:jc w:val="center"/>
              <w:rPr>
                <w:rFonts w:cs="Arial"/>
                <w:noProof/>
                <w:color w:val="000000" w:themeColor="text1"/>
                <w:szCs w:val="16"/>
              </w:rPr>
            </w:pPr>
          </w:p>
        </w:tc>
        <w:tc>
          <w:tcPr>
            <w:tcW w:w="1307" w:type="pct"/>
          </w:tcPr>
          <w:p w14:paraId="42224848" w14:textId="77777777" w:rsidR="008203B4" w:rsidRPr="00ED172B" w:rsidRDefault="008203B4" w:rsidP="00CD79C5">
            <w:pPr>
              <w:jc w:val="center"/>
              <w:rPr>
                <w:rFonts w:cs="Arial"/>
                <w:noProof/>
                <w:color w:val="000000" w:themeColor="text1"/>
                <w:szCs w:val="16"/>
              </w:rPr>
            </w:pPr>
          </w:p>
        </w:tc>
      </w:tr>
      <w:tr w:rsidR="00ED172B" w:rsidRPr="00ED172B" w14:paraId="43F9252B" w14:textId="77777777" w:rsidTr="00986B99">
        <w:tc>
          <w:tcPr>
            <w:tcW w:w="899" w:type="pct"/>
          </w:tcPr>
          <w:p w14:paraId="6A9A7576" w14:textId="77777777" w:rsidR="008203B4" w:rsidRPr="00ED172B" w:rsidRDefault="008203B4" w:rsidP="00D21F29">
            <w:pPr>
              <w:jc w:val="center"/>
              <w:rPr>
                <w:rFonts w:cs="Arial"/>
                <w:color w:val="000000" w:themeColor="text1"/>
                <w:szCs w:val="16"/>
              </w:rPr>
            </w:pPr>
          </w:p>
        </w:tc>
        <w:tc>
          <w:tcPr>
            <w:tcW w:w="1399" w:type="pct"/>
          </w:tcPr>
          <w:p w14:paraId="42991000" w14:textId="77777777" w:rsidR="008203B4" w:rsidRPr="00ED172B" w:rsidRDefault="008203B4" w:rsidP="00CD79C5">
            <w:pPr>
              <w:jc w:val="center"/>
              <w:rPr>
                <w:rFonts w:cs="Arial"/>
                <w:noProof/>
                <w:color w:val="000000" w:themeColor="text1"/>
                <w:szCs w:val="16"/>
              </w:rPr>
            </w:pPr>
          </w:p>
        </w:tc>
        <w:tc>
          <w:tcPr>
            <w:tcW w:w="1394" w:type="pct"/>
          </w:tcPr>
          <w:p w14:paraId="0507AB91" w14:textId="77777777" w:rsidR="008203B4" w:rsidRPr="00ED172B" w:rsidRDefault="008203B4" w:rsidP="00CD79C5">
            <w:pPr>
              <w:jc w:val="center"/>
              <w:rPr>
                <w:rFonts w:cs="Arial"/>
                <w:noProof/>
                <w:color w:val="000000" w:themeColor="text1"/>
                <w:szCs w:val="16"/>
              </w:rPr>
            </w:pPr>
          </w:p>
        </w:tc>
        <w:tc>
          <w:tcPr>
            <w:tcW w:w="1307" w:type="pct"/>
          </w:tcPr>
          <w:p w14:paraId="124D8BCE" w14:textId="77777777" w:rsidR="008203B4" w:rsidRPr="00ED172B" w:rsidRDefault="008203B4" w:rsidP="00CD79C5">
            <w:pPr>
              <w:jc w:val="center"/>
              <w:rPr>
                <w:rFonts w:cs="Arial"/>
                <w:noProof/>
                <w:color w:val="000000" w:themeColor="text1"/>
                <w:szCs w:val="16"/>
              </w:rPr>
            </w:pPr>
          </w:p>
        </w:tc>
      </w:tr>
      <w:tr w:rsidR="00DE328D" w:rsidRPr="00ED172B" w14:paraId="39E2FE46" w14:textId="77777777" w:rsidTr="00986B99">
        <w:tc>
          <w:tcPr>
            <w:tcW w:w="899" w:type="pct"/>
          </w:tcPr>
          <w:p w14:paraId="4813B976" w14:textId="77777777" w:rsidR="00DE328D" w:rsidRPr="00ED172B" w:rsidRDefault="00DE328D" w:rsidP="00D21F29">
            <w:pPr>
              <w:jc w:val="center"/>
              <w:rPr>
                <w:rFonts w:cs="Arial"/>
                <w:color w:val="000000" w:themeColor="text1"/>
                <w:szCs w:val="16"/>
              </w:rPr>
            </w:pPr>
          </w:p>
        </w:tc>
        <w:tc>
          <w:tcPr>
            <w:tcW w:w="1399" w:type="pct"/>
          </w:tcPr>
          <w:p w14:paraId="37BED1B7" w14:textId="77777777" w:rsidR="00DE328D" w:rsidRPr="00ED172B" w:rsidRDefault="00DE328D" w:rsidP="00DE328D">
            <w:pPr>
              <w:jc w:val="center"/>
              <w:rPr>
                <w:rFonts w:cs="Arial"/>
                <w:color w:val="000000" w:themeColor="text1"/>
                <w:szCs w:val="16"/>
              </w:rPr>
            </w:pPr>
          </w:p>
        </w:tc>
        <w:tc>
          <w:tcPr>
            <w:tcW w:w="1394" w:type="pct"/>
          </w:tcPr>
          <w:p w14:paraId="2E8017E6" w14:textId="77777777" w:rsidR="00DE328D" w:rsidRPr="00ED172B" w:rsidRDefault="00DE328D" w:rsidP="00DE328D">
            <w:pPr>
              <w:jc w:val="center"/>
              <w:rPr>
                <w:rFonts w:cs="Arial"/>
                <w:color w:val="000000" w:themeColor="text1"/>
                <w:szCs w:val="16"/>
              </w:rPr>
            </w:pPr>
          </w:p>
        </w:tc>
        <w:tc>
          <w:tcPr>
            <w:tcW w:w="1307" w:type="pct"/>
          </w:tcPr>
          <w:p w14:paraId="032191CC" w14:textId="77777777" w:rsidR="00DE328D" w:rsidRPr="00ED172B" w:rsidRDefault="00DE328D" w:rsidP="00DE328D">
            <w:pPr>
              <w:jc w:val="center"/>
              <w:rPr>
                <w:rFonts w:cs="Arial"/>
                <w:color w:val="000000" w:themeColor="text1"/>
                <w:szCs w:val="16"/>
              </w:rPr>
            </w:pPr>
          </w:p>
        </w:tc>
      </w:tr>
      <w:tr w:rsidR="00DE328D" w:rsidRPr="00ED172B" w14:paraId="29688566" w14:textId="77777777" w:rsidTr="00986B99">
        <w:tc>
          <w:tcPr>
            <w:tcW w:w="899" w:type="pct"/>
          </w:tcPr>
          <w:p w14:paraId="5441A1FE" w14:textId="77777777" w:rsidR="00DE328D" w:rsidRPr="00ED172B" w:rsidRDefault="00DE328D" w:rsidP="00D21F29">
            <w:pPr>
              <w:jc w:val="center"/>
              <w:rPr>
                <w:rFonts w:cs="Arial"/>
                <w:color w:val="000000" w:themeColor="text1"/>
                <w:szCs w:val="16"/>
              </w:rPr>
            </w:pPr>
          </w:p>
        </w:tc>
        <w:tc>
          <w:tcPr>
            <w:tcW w:w="1399" w:type="pct"/>
          </w:tcPr>
          <w:p w14:paraId="74F06097" w14:textId="77777777" w:rsidR="00DE328D" w:rsidRPr="00ED172B" w:rsidRDefault="00DE328D" w:rsidP="00DE328D">
            <w:pPr>
              <w:jc w:val="center"/>
              <w:rPr>
                <w:rFonts w:cs="Arial"/>
                <w:color w:val="000000" w:themeColor="text1"/>
                <w:szCs w:val="16"/>
              </w:rPr>
            </w:pPr>
          </w:p>
        </w:tc>
        <w:tc>
          <w:tcPr>
            <w:tcW w:w="1394" w:type="pct"/>
          </w:tcPr>
          <w:p w14:paraId="44B68075" w14:textId="77777777" w:rsidR="00DE328D" w:rsidRPr="00ED172B" w:rsidRDefault="00DE328D" w:rsidP="00DE328D">
            <w:pPr>
              <w:jc w:val="center"/>
              <w:rPr>
                <w:rFonts w:cs="Arial"/>
                <w:color w:val="000000" w:themeColor="text1"/>
                <w:szCs w:val="16"/>
              </w:rPr>
            </w:pPr>
          </w:p>
        </w:tc>
        <w:tc>
          <w:tcPr>
            <w:tcW w:w="1307" w:type="pct"/>
          </w:tcPr>
          <w:p w14:paraId="286AEF3B" w14:textId="77777777" w:rsidR="00DE328D" w:rsidRPr="00ED172B" w:rsidRDefault="00DE328D" w:rsidP="00DE328D">
            <w:pPr>
              <w:jc w:val="center"/>
              <w:rPr>
                <w:rFonts w:cs="Arial"/>
                <w:color w:val="000000" w:themeColor="text1"/>
                <w:szCs w:val="16"/>
              </w:rPr>
            </w:pPr>
          </w:p>
        </w:tc>
      </w:tr>
    </w:tbl>
    <w:p w14:paraId="29D2612A" w14:textId="77777777" w:rsidR="00DE328D" w:rsidRPr="00ED172B" w:rsidRDefault="00DE328D">
      <w:pPr>
        <w:rPr>
          <w:color w:val="000000" w:themeColor="text1"/>
        </w:rPr>
      </w:pPr>
    </w:p>
    <w:p w14:paraId="06E64A33" w14:textId="77777777" w:rsidR="008203B4" w:rsidRPr="00A40EE1" w:rsidRDefault="000D0117" w:rsidP="005C3FFD">
      <w:pPr>
        <w:pStyle w:val="Heading2"/>
      </w:pPr>
      <w:r w:rsidRPr="00A40EE1">
        <w:t xml:space="preserve">7 - </w:t>
      </w:r>
      <w:r w:rsidR="008203B4" w:rsidRPr="00A40EE1">
        <w:t>Prior FFY Required Actions</w:t>
      </w:r>
    </w:p>
    <w:p w14:paraId="4BB93402" w14:textId="77777777" w:rsidR="004C1CEE" w:rsidRPr="00ED172B" w:rsidRDefault="00320806" w:rsidP="003977D8">
      <w:pPr>
        <w:rPr>
          <w:rFonts w:cs="Arial"/>
          <w:i/>
          <w:color w:val="000000" w:themeColor="text1"/>
          <w:szCs w:val="16"/>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ED172B">
        <w:rPr>
          <w:color w:val="000000" w:themeColor="text1"/>
        </w:rPr>
        <w:t>reflect</w:t>
      </w:r>
      <w:proofErr w:type="gramEnd"/>
      <w:r w:rsidRPr="00ED172B">
        <w:rPr>
          <w:color w:val="000000" w:themeColor="text1"/>
        </w:rPr>
        <w:t xml:space="preserve">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1B0D1462" w14:textId="77777777" w:rsidR="008203B4" w:rsidRPr="00ED172B" w:rsidRDefault="008203B4" w:rsidP="00B83404">
      <w:pPr>
        <w:rPr>
          <w:color w:val="000000" w:themeColor="text1"/>
        </w:rPr>
      </w:pPr>
      <w:r w:rsidRPr="00ED172B">
        <w:rPr>
          <w:b/>
          <w:color w:val="000000" w:themeColor="text1"/>
        </w:rPr>
        <w:t>Response to actions required in FFY 2023 SPP/APR</w:t>
      </w:r>
    </w:p>
    <w:p w14:paraId="5FD3BD68" w14:textId="77777777" w:rsidR="004C1CEE" w:rsidRPr="00ED172B" w:rsidRDefault="004C1CEE" w:rsidP="00027F39">
      <w:pPr>
        <w:rPr>
          <w:color w:val="000000" w:themeColor="text1"/>
        </w:rPr>
      </w:pPr>
    </w:p>
    <w:p w14:paraId="59161566" w14:textId="77777777" w:rsidR="008203B4" w:rsidRPr="00A40EE1" w:rsidRDefault="000D0117" w:rsidP="005C3FFD">
      <w:pPr>
        <w:pStyle w:val="Heading2"/>
      </w:pPr>
      <w:r w:rsidRPr="00A40EE1">
        <w:t xml:space="preserve">7 - </w:t>
      </w:r>
      <w:r w:rsidR="008203B4" w:rsidRPr="00A40EE1">
        <w:t>OSEP Response</w:t>
      </w:r>
    </w:p>
    <w:p w14:paraId="3F3FC2FF" w14:textId="77777777" w:rsidR="008203B4" w:rsidRPr="00ED172B" w:rsidRDefault="008203B4" w:rsidP="00320806">
      <w:pPr>
        <w:rPr>
          <w:color w:val="000000" w:themeColor="text1"/>
        </w:rPr>
      </w:pPr>
    </w:p>
    <w:p w14:paraId="0C287B6B" w14:textId="77777777" w:rsidR="008203B4" w:rsidRPr="00A40EE1" w:rsidRDefault="000D0117" w:rsidP="005C3FFD">
      <w:pPr>
        <w:pStyle w:val="Heading2"/>
      </w:pPr>
      <w:r w:rsidRPr="00A40EE1">
        <w:t xml:space="preserve">7 - </w:t>
      </w:r>
      <w:r w:rsidR="008203B4" w:rsidRPr="00A40EE1">
        <w:t>Required Actions</w:t>
      </w:r>
    </w:p>
    <w:p w14:paraId="081375FE" w14:textId="77777777" w:rsidR="008203B4" w:rsidRPr="00ED172B" w:rsidRDefault="00320806" w:rsidP="00320806">
      <w:pPr>
        <w:rPr>
          <w:color w:val="000000" w:themeColor="text1"/>
        </w:rPr>
      </w:pPr>
      <w:r w:rsidRPr="00ED172B">
        <w:rPr>
          <w:color w:val="000000" w:themeColor="text1"/>
        </w:rPr>
        <w:t xml:space="preserve">Because the State reported less than 100% compliance for FFY 2024, the State must report on the status of correction of noncompliance identified in FFY 2024 for this indicator. When reporting on the correction of noncompliance, the State must report, in the FFY 2025 SPP/APR, that it has verified that each EIS program or provider with noncompliance identified in FFY 2024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2025 SPP/APR, the State must describe the specific actions that were taken to verify the correction. If the State did not identify any findings of noncompliance in FFY 2024, although its FFY 2024 data reflect less than 100% compliance, provide an explanation of why the State did not identify any findings of noncompliance in FFY 2024.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6DA234A3"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02CA473B" w14:textId="77777777" w:rsidR="00260ED7" w:rsidRPr="00ED172B" w:rsidRDefault="00260ED7" w:rsidP="0077063D">
      <w:pPr>
        <w:pStyle w:val="Heading1"/>
        <w:rPr>
          <w:color w:val="000000" w:themeColor="text1"/>
        </w:rPr>
      </w:pPr>
      <w:r w:rsidRPr="00ED172B">
        <w:rPr>
          <w:color w:val="000000" w:themeColor="text1"/>
        </w:rPr>
        <w:lastRenderedPageBreak/>
        <w:t>Indicator 8A: Early Childhood Transition</w:t>
      </w:r>
      <w:bookmarkEnd w:id="41"/>
    </w:p>
    <w:p w14:paraId="251B5935" w14:textId="77777777" w:rsidR="00F51610" w:rsidRPr="00ED172B" w:rsidRDefault="00F51610" w:rsidP="00186420">
      <w:pPr>
        <w:rPr>
          <w:color w:val="000000" w:themeColor="text1"/>
          <w:szCs w:val="20"/>
        </w:rPr>
      </w:pPr>
      <w:bookmarkStart w:id="43" w:name="_Toc386209667"/>
      <w:r w:rsidRPr="00ED172B">
        <w:rPr>
          <w:b/>
          <w:color w:val="000000" w:themeColor="text1"/>
          <w:sz w:val="20"/>
          <w:szCs w:val="20"/>
        </w:rPr>
        <w:t>Instructions and Measurement</w:t>
      </w:r>
    </w:p>
    <w:p w14:paraId="253A17A1" w14:textId="77777777"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4" w:name="_Hlk25310256"/>
      <w:r w:rsidR="00616172" w:rsidRPr="00ED172B">
        <w:rPr>
          <w:color w:val="000000" w:themeColor="text1"/>
          <w:szCs w:val="16"/>
        </w:rPr>
        <w:t>Effective Transition</w:t>
      </w:r>
      <w:bookmarkEnd w:id="44"/>
    </w:p>
    <w:p w14:paraId="40A95002"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The percentage of toddlers with disabilities </w:t>
      </w:r>
      <w:proofErr w:type="gramStart"/>
      <w:r w:rsidRPr="00ED172B">
        <w:rPr>
          <w:color w:val="000000" w:themeColor="text1"/>
          <w:szCs w:val="16"/>
        </w:rPr>
        <w:t>exiting</w:t>
      </w:r>
      <w:proofErr w:type="gramEnd"/>
      <w:r w:rsidRPr="00ED172B">
        <w:rPr>
          <w:color w:val="000000" w:themeColor="text1"/>
          <w:szCs w:val="16"/>
        </w:rPr>
        <w:t xml:space="preserve"> Part C with timely transition planning for whom the Lead Agency has:</w:t>
      </w:r>
    </w:p>
    <w:p w14:paraId="3A6F325F" w14:textId="77777777" w:rsidR="00260ED7"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56EC3197" w14:textId="77777777"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3E3747D8" w14:textId="77777777" w:rsidR="00260ED7" w:rsidRPr="00ED172B" w:rsidRDefault="007F55E8" w:rsidP="00ED172B">
      <w:pPr>
        <w:ind w:left="360"/>
        <w:rPr>
          <w:color w:val="000000" w:themeColor="text1"/>
          <w:szCs w:val="16"/>
        </w:rPr>
      </w:pPr>
      <w:r w:rsidRPr="00ED172B">
        <w:rPr>
          <w:color w:val="000000" w:themeColor="text1"/>
          <w:szCs w:val="16"/>
        </w:rPr>
        <w:t xml:space="preserve">C. Conducted the transition conference held with the approval of the </w:t>
      </w:r>
      <w:proofErr w:type="gramStart"/>
      <w:r w:rsidRPr="00ED172B">
        <w:rPr>
          <w:color w:val="000000" w:themeColor="text1"/>
          <w:szCs w:val="16"/>
        </w:rPr>
        <w:t>family</w:t>
      </w:r>
      <w:proofErr w:type="gramEnd"/>
      <w:r w:rsidRPr="00ED172B">
        <w:rPr>
          <w:color w:val="000000" w:themeColor="text1"/>
          <w:szCs w:val="16"/>
        </w:rPr>
        <w:t xml:space="preserve"> at least 90 days, and at the discretion of all parties, not more than nine months, prior to the toddler’s third birthday for toddlers potentially eligible for Part B preschool services.</w:t>
      </w:r>
    </w:p>
    <w:p w14:paraId="69CC0913"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53851569" w14:textId="77777777" w:rsidR="00AD77EF" w:rsidRPr="00ED172B" w:rsidRDefault="00AD77EF">
      <w:pPr>
        <w:rPr>
          <w:b/>
          <w:color w:val="000000" w:themeColor="text1"/>
        </w:rPr>
      </w:pPr>
      <w:r w:rsidRPr="00ED172B">
        <w:rPr>
          <w:b/>
          <w:color w:val="000000" w:themeColor="text1"/>
        </w:rPr>
        <w:t>Data Source</w:t>
      </w:r>
    </w:p>
    <w:p w14:paraId="3393527C" w14:textId="77777777"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35D023C2" w14:textId="77777777" w:rsidR="00AD77EF" w:rsidRPr="00ED172B" w:rsidRDefault="00AD77EF">
      <w:pPr>
        <w:rPr>
          <w:b/>
          <w:color w:val="000000" w:themeColor="text1"/>
        </w:rPr>
      </w:pPr>
      <w:r w:rsidRPr="00ED172B">
        <w:rPr>
          <w:b/>
          <w:color w:val="000000" w:themeColor="text1"/>
        </w:rPr>
        <w:t>Measurement</w:t>
      </w:r>
    </w:p>
    <w:p w14:paraId="0CF8929C" w14:textId="77777777" w:rsidR="00AD77EF"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371D28F0" w14:textId="77777777"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74B856DA" w14:textId="77777777"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5EE8D6F7" w14:textId="77777777"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258B9F9E" w14:textId="77777777" w:rsidR="00AD77EF" w:rsidRPr="00ED172B" w:rsidRDefault="00AD77EF">
      <w:pPr>
        <w:rPr>
          <w:b/>
          <w:color w:val="000000" w:themeColor="text1"/>
        </w:rPr>
      </w:pPr>
      <w:r w:rsidRPr="00ED172B">
        <w:rPr>
          <w:b/>
          <w:color w:val="000000" w:themeColor="text1"/>
        </w:rPr>
        <w:t>Instructions</w:t>
      </w:r>
    </w:p>
    <w:p w14:paraId="78773AB9"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1114D29B"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66E04079" w14:textId="77777777" w:rsidR="00AD77EF" w:rsidRPr="00ED172B" w:rsidRDefault="00AD77EF" w:rsidP="008E7B96">
      <w:pPr>
        <w:rPr>
          <w:color w:val="000000" w:themeColor="text1"/>
          <w:szCs w:val="16"/>
        </w:rPr>
      </w:pPr>
      <w:r w:rsidRPr="00ED172B">
        <w:rPr>
          <w:color w:val="000000" w:themeColor="text1"/>
          <w:szCs w:val="16"/>
        </w:rPr>
        <w:t xml:space="preserve">Indicators 8A and 8C: If data </w:t>
      </w:r>
      <w:proofErr w:type="gramStart"/>
      <w:r w:rsidRPr="00ED172B">
        <w:rPr>
          <w:color w:val="000000" w:themeColor="text1"/>
          <w:szCs w:val="16"/>
        </w:rPr>
        <w:t>are</w:t>
      </w:r>
      <w:proofErr w:type="gramEnd"/>
      <w:r w:rsidRPr="00ED172B">
        <w:rPr>
          <w:color w:val="000000" w:themeColor="text1"/>
          <w:szCs w:val="16"/>
        </w:rPr>
        <w:t xml:space="preserv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w:t>
      </w:r>
      <w:proofErr w:type="gramStart"/>
      <w:r w:rsidRPr="00ED172B">
        <w:rPr>
          <w:color w:val="000000" w:themeColor="text1"/>
          <w:szCs w:val="16"/>
        </w:rPr>
        <w:t>time period</w:t>
      </w:r>
      <w:proofErr w:type="gramEnd"/>
      <w:r w:rsidRPr="00ED172B">
        <w:rPr>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44165CB1" w14:textId="77777777" w:rsidR="00AD77EF" w:rsidRDefault="00AD77EF" w:rsidP="008E7B96">
      <w:pPr>
        <w:rPr>
          <w:color w:val="000000" w:themeColor="text1"/>
          <w:szCs w:val="16"/>
        </w:rPr>
      </w:pPr>
      <w:r w:rsidRPr="00ED172B">
        <w:rPr>
          <w:color w:val="000000" w:themeColor="text1"/>
          <w:szCs w:val="16"/>
        </w:rPr>
        <w:t xml:space="preserve">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28EEBA02" w14:textId="77777777" w:rsidR="00955129" w:rsidRPr="00EC51AB" w:rsidRDefault="00955129" w:rsidP="008E7B96">
      <w:pPr>
        <w:rPr>
          <w:szCs w:val="16"/>
        </w:rPr>
      </w:pPr>
      <w:r w:rsidRPr="00EC51AB">
        <w:rPr>
          <w:szCs w:val="16"/>
        </w:rPr>
        <w:t xml:space="preserve">Indicator 8A: The measurement is intended to capture those children </w:t>
      </w:r>
      <w:proofErr w:type="gramStart"/>
      <w:r w:rsidRPr="00EC51AB">
        <w:rPr>
          <w:szCs w:val="16"/>
        </w:rPr>
        <w:t>exiting</w:t>
      </w:r>
      <w:proofErr w:type="gramEnd"/>
      <w:r w:rsidRPr="00EC51AB">
        <w:rPr>
          <w:szCs w:val="16"/>
        </w:rPr>
        <w:t xml:space="preserve">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6962B20B" w14:textId="77777777"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0A554F9A" w14:textId="77777777"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05DB873D" w14:textId="77777777" w:rsidR="00AD77EF" w:rsidRPr="00ED172B" w:rsidRDefault="00AD77EF" w:rsidP="008E7B96">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51DFDCCA" w14:textId="77777777" w:rsidR="00AD77EF" w:rsidRPr="00ED172B" w:rsidRDefault="00AD77EF" w:rsidP="008E7B96">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42622FA" w14:textId="77777777" w:rsidR="00A639B7"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16189263" w14:textId="77777777" w:rsidR="00294186" w:rsidRPr="00EC51AB" w:rsidRDefault="00C538B3" w:rsidP="008E7B96">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47B490F8" w14:textId="77777777" w:rsidR="00D30AF1" w:rsidRPr="00A40EE1" w:rsidRDefault="000D0117" w:rsidP="007B0787">
      <w:pPr>
        <w:pStyle w:val="Heading2"/>
      </w:pPr>
      <w:bookmarkStart w:id="45" w:name="_Toc386209669"/>
      <w:bookmarkEnd w:id="43"/>
      <w:r w:rsidRPr="00A40EE1">
        <w:t xml:space="preserve">8A - </w:t>
      </w:r>
      <w:r w:rsidR="00D30AF1" w:rsidRPr="00A40EE1">
        <w:t>Indicator</w:t>
      </w:r>
      <w:r w:rsidR="000C5918" w:rsidRPr="00A40EE1">
        <w:t xml:space="preserve"> Data</w:t>
      </w:r>
    </w:p>
    <w:bookmarkEnd w:id="45"/>
    <w:p w14:paraId="752A4BFD" w14:textId="77777777"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2990"/>
        <w:gridCol w:w="875"/>
      </w:tblGrid>
      <w:tr w:rsidR="00C25621" w:rsidRPr="00ED172B" w14:paraId="35F761DA" w14:textId="77777777" w:rsidTr="00A40EE1">
        <w:trPr>
          <w:trHeight w:val="350"/>
          <w:tblHeader/>
        </w:trPr>
        <w:tc>
          <w:tcPr>
            <w:tcW w:w="4185" w:type="pct"/>
            <w:tcBorders>
              <w:bottom w:val="single" w:sz="4" w:space="0" w:color="auto"/>
            </w:tcBorders>
            <w:vAlign w:val="center"/>
          </w:tcPr>
          <w:p w14:paraId="72B21734"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vAlign w:val="center"/>
          </w:tcPr>
          <w:p w14:paraId="35310E1E"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1D072A7E" w14:textId="77777777" w:rsidTr="00A40EE1">
        <w:trPr>
          <w:trHeight w:val="350"/>
        </w:trPr>
        <w:tc>
          <w:tcPr>
            <w:tcW w:w="4185" w:type="pct"/>
            <w:tcBorders>
              <w:bottom w:val="single" w:sz="4" w:space="0" w:color="auto"/>
            </w:tcBorders>
            <w:vAlign w:val="center"/>
          </w:tcPr>
          <w:p w14:paraId="6E71B093" w14:textId="77777777" w:rsidR="00C25621" w:rsidRPr="00ED172B" w:rsidRDefault="00C25621" w:rsidP="00C15786">
            <w:pPr>
              <w:jc w:val="center"/>
              <w:rPr>
                <w:b/>
                <w:color w:val="000000" w:themeColor="text1"/>
              </w:rPr>
            </w:pPr>
            <w:r w:rsidRPr="00ED172B">
              <w:rPr>
                <w:color w:val="000000" w:themeColor="text1"/>
              </w:rPr>
              <w:t>2005</w:t>
            </w:r>
          </w:p>
        </w:tc>
        <w:tc>
          <w:tcPr>
            <w:tcW w:w="815" w:type="pct"/>
            <w:vAlign w:val="center"/>
          </w:tcPr>
          <w:p w14:paraId="1A8FE314" w14:textId="77777777" w:rsidR="00C25621" w:rsidRPr="00ED172B" w:rsidRDefault="00C25621" w:rsidP="00C15786">
            <w:pPr>
              <w:jc w:val="center"/>
              <w:rPr>
                <w:color w:val="000000" w:themeColor="text1"/>
              </w:rPr>
            </w:pPr>
            <w:r w:rsidRPr="00ED172B">
              <w:rPr>
                <w:color w:val="000000" w:themeColor="text1"/>
              </w:rPr>
              <w:t>94.00%</w:t>
            </w:r>
          </w:p>
        </w:tc>
      </w:tr>
    </w:tbl>
    <w:p w14:paraId="36F5EE67"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684"/>
        <w:gridCol w:w="2022"/>
        <w:gridCol w:w="2022"/>
        <w:gridCol w:w="2022"/>
        <w:gridCol w:w="2022"/>
        <w:gridCol w:w="2018"/>
      </w:tblGrid>
      <w:tr w:rsidR="00ED172B" w:rsidRPr="00ED172B" w14:paraId="36BF9F19" w14:textId="77777777" w:rsidTr="00A40EE1">
        <w:trPr>
          <w:trHeight w:val="350"/>
        </w:trPr>
        <w:tc>
          <w:tcPr>
            <w:tcW w:w="317" w:type="pct"/>
            <w:tcBorders>
              <w:bottom w:val="single" w:sz="4" w:space="0" w:color="auto"/>
            </w:tcBorders>
          </w:tcPr>
          <w:p w14:paraId="13C7BBF7"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70829E56"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5E013E81"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70C7BF0A"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39F8DD37"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1B4B671E"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4AED8FB7" w14:textId="77777777" w:rsidTr="00A40EE1">
        <w:trPr>
          <w:trHeight w:val="357"/>
        </w:trPr>
        <w:tc>
          <w:tcPr>
            <w:tcW w:w="317" w:type="pct"/>
          </w:tcPr>
          <w:p w14:paraId="70475A92"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7C6A80BB"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1CD98324"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5F88C3A2"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1CC6099A"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746B1410" w14:textId="77777777"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126B2399" w14:textId="77777777" w:rsidTr="00A40EE1">
        <w:trPr>
          <w:trHeight w:val="85"/>
        </w:trPr>
        <w:tc>
          <w:tcPr>
            <w:tcW w:w="317" w:type="pct"/>
          </w:tcPr>
          <w:p w14:paraId="16AF3A85"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5B64CE64" w14:textId="77777777" w:rsidR="00DC0682" w:rsidRPr="00ED172B" w:rsidRDefault="00860830" w:rsidP="00CD79C5">
            <w:pPr>
              <w:jc w:val="center"/>
              <w:rPr>
                <w:color w:val="000000" w:themeColor="text1"/>
                <w:szCs w:val="16"/>
              </w:rPr>
            </w:pPr>
            <w:r w:rsidRPr="00ED172B">
              <w:rPr>
                <w:rFonts w:cs="Arial"/>
                <w:color w:val="000000" w:themeColor="text1"/>
                <w:szCs w:val="16"/>
              </w:rPr>
              <w:t>88.24%</w:t>
            </w:r>
          </w:p>
        </w:tc>
        <w:tc>
          <w:tcPr>
            <w:tcW w:w="937" w:type="pct"/>
            <w:tcBorders>
              <w:bottom w:val="single" w:sz="4" w:space="0" w:color="auto"/>
            </w:tcBorders>
            <w:vAlign w:val="center"/>
          </w:tcPr>
          <w:p w14:paraId="454EB682" w14:textId="77777777" w:rsidR="00DC0682" w:rsidRPr="00ED172B" w:rsidRDefault="00860830" w:rsidP="00CD79C5">
            <w:pPr>
              <w:jc w:val="center"/>
              <w:rPr>
                <w:color w:val="000000" w:themeColor="text1"/>
                <w:szCs w:val="16"/>
              </w:rPr>
            </w:pPr>
            <w:r w:rsidRPr="00ED172B">
              <w:rPr>
                <w:rFonts w:cs="Arial"/>
                <w:color w:val="000000" w:themeColor="text1"/>
                <w:szCs w:val="16"/>
              </w:rPr>
              <w:t>92.31%</w:t>
            </w:r>
          </w:p>
        </w:tc>
        <w:tc>
          <w:tcPr>
            <w:tcW w:w="937" w:type="pct"/>
            <w:tcBorders>
              <w:bottom w:val="single" w:sz="4" w:space="0" w:color="auto"/>
            </w:tcBorders>
            <w:vAlign w:val="center"/>
          </w:tcPr>
          <w:p w14:paraId="77BC6D71" w14:textId="77777777" w:rsidR="00DC0682" w:rsidRPr="00ED172B" w:rsidRDefault="00860830" w:rsidP="00CD79C5">
            <w:pPr>
              <w:jc w:val="center"/>
              <w:rPr>
                <w:color w:val="000000" w:themeColor="text1"/>
                <w:szCs w:val="16"/>
              </w:rPr>
            </w:pPr>
            <w:r w:rsidRPr="00ED172B">
              <w:rPr>
                <w:rFonts w:cs="Arial"/>
                <w:color w:val="000000" w:themeColor="text1"/>
                <w:szCs w:val="16"/>
              </w:rPr>
              <w:t>87.50%</w:t>
            </w:r>
          </w:p>
        </w:tc>
        <w:tc>
          <w:tcPr>
            <w:tcW w:w="937" w:type="pct"/>
            <w:tcBorders>
              <w:bottom w:val="single" w:sz="4" w:space="0" w:color="auto"/>
            </w:tcBorders>
            <w:vAlign w:val="center"/>
          </w:tcPr>
          <w:p w14:paraId="12BF8E8D" w14:textId="77777777" w:rsidR="00DC0682" w:rsidRPr="00ED172B" w:rsidRDefault="00860830" w:rsidP="00CD79C5">
            <w:pPr>
              <w:jc w:val="center"/>
              <w:rPr>
                <w:color w:val="000000" w:themeColor="text1"/>
                <w:szCs w:val="16"/>
              </w:rPr>
            </w:pPr>
            <w:r w:rsidRPr="00ED172B">
              <w:rPr>
                <w:rFonts w:cs="Arial"/>
                <w:color w:val="000000" w:themeColor="text1"/>
                <w:szCs w:val="16"/>
              </w:rPr>
              <w:t>93.29%</w:t>
            </w:r>
          </w:p>
        </w:tc>
        <w:tc>
          <w:tcPr>
            <w:tcW w:w="937" w:type="pct"/>
            <w:tcBorders>
              <w:bottom w:val="single" w:sz="4" w:space="0" w:color="auto"/>
            </w:tcBorders>
            <w:vAlign w:val="center"/>
          </w:tcPr>
          <w:p w14:paraId="59CC6C7F" w14:textId="77777777" w:rsidR="00DC0682" w:rsidRPr="00ED172B" w:rsidRDefault="00860830" w:rsidP="00CD79C5">
            <w:pPr>
              <w:jc w:val="center"/>
              <w:rPr>
                <w:color w:val="000000" w:themeColor="text1"/>
                <w:szCs w:val="16"/>
              </w:rPr>
            </w:pPr>
            <w:r w:rsidRPr="00ED172B">
              <w:rPr>
                <w:rFonts w:cs="Arial"/>
                <w:color w:val="000000" w:themeColor="text1"/>
                <w:szCs w:val="16"/>
              </w:rPr>
              <w:t>93.29%</w:t>
            </w:r>
          </w:p>
        </w:tc>
      </w:tr>
    </w:tbl>
    <w:p w14:paraId="334167CB" w14:textId="77777777" w:rsidR="008A4FF2" w:rsidRPr="00ED172B" w:rsidRDefault="008A4FF2">
      <w:pPr>
        <w:rPr>
          <w:b/>
          <w:color w:val="000000" w:themeColor="text1"/>
        </w:rPr>
      </w:pPr>
    </w:p>
    <w:p w14:paraId="6F37ADF6" w14:textId="77777777" w:rsidR="00DC0682" w:rsidRPr="00ED172B" w:rsidRDefault="00DC0682">
      <w:pPr>
        <w:rPr>
          <w:b/>
          <w:color w:val="000000" w:themeColor="text1"/>
        </w:rPr>
      </w:pPr>
      <w:r w:rsidRPr="00ED172B">
        <w:rPr>
          <w:b/>
          <w:color w:val="000000" w:themeColor="text1"/>
        </w:rPr>
        <w:t>Targets</w:t>
      </w:r>
    </w:p>
    <w:tbl>
      <w:tblPr>
        <w:tblW w:w="2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679"/>
        <w:gridCol w:w="2582"/>
        <w:gridCol w:w="2760"/>
      </w:tblGrid>
      <w:tr w:rsidR="00CF59E2" w:rsidRPr="00ED172B" w14:paraId="48E0CB22" w14:textId="77777777" w:rsidTr="00811738">
        <w:trPr>
          <w:trHeight w:val="259"/>
        </w:trPr>
        <w:tc>
          <w:tcPr>
            <w:tcW w:w="564" w:type="pct"/>
            <w:tcBorders>
              <w:bottom w:val="single" w:sz="4" w:space="0" w:color="auto"/>
            </w:tcBorders>
          </w:tcPr>
          <w:p w14:paraId="4619A0B1" w14:textId="77777777" w:rsidR="00CF59E2" w:rsidRPr="00ED172B" w:rsidRDefault="00CF59E2" w:rsidP="00B268B5">
            <w:pPr>
              <w:jc w:val="center"/>
              <w:rPr>
                <w:b/>
                <w:color w:val="000000" w:themeColor="text1"/>
                <w:szCs w:val="16"/>
              </w:rPr>
            </w:pPr>
            <w:r w:rsidRPr="00ED172B">
              <w:rPr>
                <w:b/>
                <w:color w:val="000000" w:themeColor="text1"/>
                <w:szCs w:val="16"/>
              </w:rPr>
              <w:t>FFY</w:t>
            </w:r>
          </w:p>
        </w:tc>
        <w:tc>
          <w:tcPr>
            <w:tcW w:w="2144" w:type="pct"/>
            <w:vAlign w:val="center"/>
          </w:tcPr>
          <w:p w14:paraId="6036768C" w14:textId="77777777" w:rsidR="00CF59E2" w:rsidRPr="00ED172B" w:rsidRDefault="00CF59E2" w:rsidP="00B268B5">
            <w:pPr>
              <w:jc w:val="center"/>
              <w:rPr>
                <w:b/>
                <w:color w:val="000000" w:themeColor="text1"/>
                <w:szCs w:val="16"/>
              </w:rPr>
            </w:pPr>
            <w:r w:rsidRPr="00ED172B">
              <w:rPr>
                <w:rFonts w:cs="Arial"/>
                <w:b/>
                <w:color w:val="000000" w:themeColor="text1"/>
                <w:szCs w:val="16"/>
              </w:rPr>
              <w:t>2024</w:t>
            </w:r>
          </w:p>
        </w:tc>
        <w:tc>
          <w:tcPr>
            <w:tcW w:w="2292" w:type="pct"/>
          </w:tcPr>
          <w:p w14:paraId="246EC74E" w14:textId="77777777" w:rsidR="00CF59E2" w:rsidRPr="00ED172B" w:rsidRDefault="00CF59E2" w:rsidP="00B268B5">
            <w:pPr>
              <w:jc w:val="center"/>
              <w:rPr>
                <w:rFonts w:cs="Arial"/>
                <w:b/>
                <w:color w:val="000000" w:themeColor="text1"/>
                <w:szCs w:val="16"/>
              </w:rPr>
            </w:pPr>
            <w:r>
              <w:rPr>
                <w:rFonts w:cs="Arial"/>
                <w:b/>
                <w:color w:val="000000" w:themeColor="text1"/>
                <w:szCs w:val="16"/>
              </w:rPr>
              <w:t>2025</w:t>
            </w:r>
          </w:p>
        </w:tc>
      </w:tr>
      <w:tr w:rsidR="00CF59E2" w:rsidRPr="00ED172B" w14:paraId="119997DD" w14:textId="77777777" w:rsidTr="00811738">
        <w:trPr>
          <w:trHeight w:val="264"/>
        </w:trPr>
        <w:tc>
          <w:tcPr>
            <w:tcW w:w="564" w:type="pct"/>
          </w:tcPr>
          <w:p w14:paraId="72DDC259"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4" w:type="pct"/>
          </w:tcPr>
          <w:p w14:paraId="4075B8DB" w14:textId="77777777" w:rsidR="00CF59E2" w:rsidRPr="00ED172B" w:rsidRDefault="00CF59E2" w:rsidP="00B268B5">
            <w:pPr>
              <w:jc w:val="center"/>
              <w:rPr>
                <w:color w:val="000000" w:themeColor="text1"/>
                <w:szCs w:val="16"/>
              </w:rPr>
            </w:pPr>
            <w:r w:rsidRPr="00ED172B">
              <w:rPr>
                <w:color w:val="000000" w:themeColor="text1"/>
                <w:szCs w:val="16"/>
              </w:rPr>
              <w:t>100%</w:t>
            </w:r>
          </w:p>
        </w:tc>
        <w:tc>
          <w:tcPr>
            <w:tcW w:w="2292" w:type="pct"/>
          </w:tcPr>
          <w:p w14:paraId="7F419261" w14:textId="77777777" w:rsidR="00CF59E2" w:rsidRPr="00ED172B" w:rsidRDefault="00CF59E2" w:rsidP="00B268B5">
            <w:pPr>
              <w:jc w:val="center"/>
              <w:rPr>
                <w:color w:val="000000" w:themeColor="text1"/>
                <w:szCs w:val="16"/>
              </w:rPr>
            </w:pPr>
            <w:r>
              <w:rPr>
                <w:rFonts w:cs="Arial"/>
                <w:color w:val="000000" w:themeColor="text1"/>
                <w:szCs w:val="16"/>
              </w:rPr>
              <w:t>100%</w:t>
            </w:r>
          </w:p>
        </w:tc>
      </w:tr>
    </w:tbl>
    <w:p w14:paraId="4C63C03E" w14:textId="77777777" w:rsidR="00955129" w:rsidRDefault="00955129">
      <w:pPr>
        <w:rPr>
          <w:b/>
          <w:color w:val="000000" w:themeColor="text1"/>
        </w:rPr>
      </w:pPr>
    </w:p>
    <w:p w14:paraId="29D2E4E3" w14:textId="77777777" w:rsidR="008E7B96" w:rsidRPr="00ED172B" w:rsidRDefault="00F22D09">
      <w:pPr>
        <w:rPr>
          <w:b/>
          <w:color w:val="000000" w:themeColor="text1"/>
        </w:rPr>
      </w:pPr>
      <w:r>
        <w:rPr>
          <w:b/>
          <w:color w:val="000000" w:themeColor="text1"/>
        </w:rPr>
        <w:t>FFY 2024 SPP/APR Data</w:t>
      </w:r>
    </w:p>
    <w:p w14:paraId="1AA3B48E" w14:textId="77777777" w:rsidR="00E440C8" w:rsidRPr="00EC51AB" w:rsidRDefault="00E440C8">
      <w:pPr>
        <w:rPr>
          <w:rFonts w:cs="Arial"/>
          <w:bCs/>
          <w:color w:val="000000" w:themeColor="text1"/>
          <w:szCs w:val="16"/>
        </w:rPr>
      </w:pPr>
      <w:r w:rsidRPr="00EC51AB">
        <w:rPr>
          <w:rFonts w:cs="Arial"/>
          <w:bCs/>
          <w:color w:val="000000" w:themeColor="text1"/>
          <w:szCs w:val="16"/>
        </w:rPr>
        <w:t xml:space="preserve">Data </w:t>
      </w:r>
      <w:proofErr w:type="gramStart"/>
      <w:r w:rsidRPr="00EC51AB">
        <w:rPr>
          <w:rFonts w:cs="Arial"/>
          <w:bCs/>
          <w:color w:val="000000" w:themeColor="text1"/>
          <w:szCs w:val="16"/>
        </w:rPr>
        <w:t>include</w:t>
      </w:r>
      <w:proofErr w:type="gramEnd"/>
      <w:r w:rsidRPr="00EC51AB">
        <w:rPr>
          <w:rFonts w:cs="Arial"/>
          <w:bCs/>
          <w:color w:val="000000" w:themeColor="text1"/>
          <w:szCs w:val="16"/>
        </w:rPr>
        <w:t xml:space="preserve"> only those toddlers with disabilities exiting Part C at age 3 for whom the Lead Agency was required to develop an IFSP with transition steps and </w:t>
      </w:r>
      <w:proofErr w:type="gramStart"/>
      <w:r w:rsidRPr="00EC51AB">
        <w:rPr>
          <w:rFonts w:cs="Arial"/>
          <w:bCs/>
          <w:color w:val="000000" w:themeColor="text1"/>
          <w:szCs w:val="16"/>
        </w:rPr>
        <w:t>services</w:t>
      </w:r>
      <w:proofErr w:type="gramEnd"/>
      <w:r w:rsidRPr="00EC51AB">
        <w:rPr>
          <w:rFonts w:cs="Arial"/>
          <w:bCs/>
          <w:color w:val="000000" w:themeColor="text1"/>
          <w:szCs w:val="16"/>
        </w:rPr>
        <w:t xml:space="preserve"> at least 90 days, and at the discretion of all parties, not more than nine months, prior to the toddler’s third birthday. (yes/no)</w:t>
      </w:r>
    </w:p>
    <w:p w14:paraId="15526822" w14:textId="77777777" w:rsidR="001F1489" w:rsidRDefault="001F1489">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578C6AD7" w14:textId="77777777" w:rsidTr="00986B99">
        <w:trPr>
          <w:trHeight w:val="359"/>
          <w:tblHeader/>
        </w:trPr>
        <w:tc>
          <w:tcPr>
            <w:tcW w:w="1292" w:type="pct"/>
            <w:vAlign w:val="bottom"/>
          </w:tcPr>
          <w:p w14:paraId="15718AD7" w14:textId="77777777"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vAlign w:val="bottom"/>
          </w:tcPr>
          <w:p w14:paraId="3FE80D35" w14:textId="77777777"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vAlign w:val="bottom"/>
          </w:tcPr>
          <w:p w14:paraId="444F7F73" w14:textId="77777777" w:rsidR="00F939F8" w:rsidRPr="00ED172B" w:rsidRDefault="00CD74B5" w:rsidP="00F939F8">
            <w:pPr>
              <w:jc w:val="center"/>
              <w:rPr>
                <w:rFonts w:cs="Arial"/>
                <w:b/>
                <w:color w:val="000000" w:themeColor="text1"/>
                <w:szCs w:val="16"/>
              </w:rPr>
            </w:pPr>
            <w:r>
              <w:rPr>
                <w:rFonts w:cs="Arial"/>
                <w:b/>
                <w:color w:val="000000" w:themeColor="text1"/>
                <w:szCs w:val="16"/>
              </w:rPr>
              <w:t>FFY 2023 Data</w:t>
            </w:r>
          </w:p>
        </w:tc>
        <w:tc>
          <w:tcPr>
            <w:tcW w:w="542" w:type="pct"/>
            <w:vAlign w:val="bottom"/>
          </w:tcPr>
          <w:p w14:paraId="38D92669" w14:textId="77777777" w:rsidR="00F939F8" w:rsidRPr="00ED172B" w:rsidRDefault="00F22D09" w:rsidP="00F939F8">
            <w:pPr>
              <w:jc w:val="center"/>
              <w:rPr>
                <w:rFonts w:cs="Arial"/>
                <w:b/>
                <w:color w:val="000000" w:themeColor="text1"/>
                <w:szCs w:val="16"/>
              </w:rPr>
            </w:pPr>
            <w:r>
              <w:rPr>
                <w:rFonts w:cs="Arial"/>
                <w:b/>
                <w:color w:val="000000" w:themeColor="text1"/>
                <w:szCs w:val="16"/>
              </w:rPr>
              <w:t>FFY 2024 Target</w:t>
            </w:r>
          </w:p>
        </w:tc>
        <w:tc>
          <w:tcPr>
            <w:tcW w:w="584" w:type="pct"/>
            <w:vAlign w:val="bottom"/>
          </w:tcPr>
          <w:p w14:paraId="7DA3567E" w14:textId="77777777" w:rsidR="00F939F8" w:rsidRPr="00ED172B" w:rsidRDefault="00F22D09" w:rsidP="00F939F8">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7E3A237E" w14:textId="77777777"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vAlign w:val="bottom"/>
          </w:tcPr>
          <w:p w14:paraId="1770A591" w14:textId="77777777"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1712DC9E" w14:textId="77777777" w:rsidTr="00986B99">
        <w:trPr>
          <w:trHeight w:val="366"/>
        </w:trPr>
        <w:tc>
          <w:tcPr>
            <w:tcW w:w="1292" w:type="pct"/>
            <w:vAlign w:val="center"/>
          </w:tcPr>
          <w:p w14:paraId="40EB98AA"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138</w:t>
            </w:r>
          </w:p>
        </w:tc>
        <w:tc>
          <w:tcPr>
            <w:tcW w:w="875" w:type="pct"/>
            <w:vAlign w:val="center"/>
          </w:tcPr>
          <w:p w14:paraId="294C9471"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152</w:t>
            </w:r>
          </w:p>
        </w:tc>
        <w:tc>
          <w:tcPr>
            <w:tcW w:w="625" w:type="pct"/>
          </w:tcPr>
          <w:p w14:paraId="79E76EFD"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93.29%</w:t>
            </w:r>
          </w:p>
        </w:tc>
        <w:tc>
          <w:tcPr>
            <w:tcW w:w="542" w:type="pct"/>
          </w:tcPr>
          <w:p w14:paraId="3E99EC1A" w14:textId="77777777"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tcPr>
          <w:p w14:paraId="32037597"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92.11%</w:t>
            </w:r>
          </w:p>
        </w:tc>
        <w:tc>
          <w:tcPr>
            <w:tcW w:w="542" w:type="pct"/>
          </w:tcPr>
          <w:p w14:paraId="49C2FB05" w14:textId="77777777" w:rsidR="00F939F8" w:rsidRPr="00ED172B" w:rsidRDefault="00320806" w:rsidP="00320806">
            <w:pPr>
              <w:jc w:val="center"/>
              <w:rPr>
                <w:color w:val="000000" w:themeColor="text1"/>
              </w:rPr>
            </w:pPr>
            <w:r w:rsidRPr="00ED172B">
              <w:rPr>
                <w:color w:val="000000" w:themeColor="text1"/>
              </w:rPr>
              <w:t>Did not meet target</w:t>
            </w:r>
          </w:p>
        </w:tc>
        <w:tc>
          <w:tcPr>
            <w:tcW w:w="539" w:type="pct"/>
          </w:tcPr>
          <w:p w14:paraId="5824CE80" w14:textId="77777777" w:rsidR="00F939F8" w:rsidRPr="00ED172B" w:rsidRDefault="00320806" w:rsidP="00320806">
            <w:pPr>
              <w:jc w:val="center"/>
              <w:rPr>
                <w:color w:val="000000" w:themeColor="text1"/>
              </w:rPr>
            </w:pPr>
            <w:r w:rsidRPr="00ED172B">
              <w:rPr>
                <w:color w:val="000000" w:themeColor="text1"/>
              </w:rPr>
              <w:t>Slippage</w:t>
            </w:r>
          </w:p>
        </w:tc>
      </w:tr>
    </w:tbl>
    <w:p w14:paraId="49A66440" w14:textId="77777777" w:rsidR="005A1CA1" w:rsidRPr="00ED172B" w:rsidRDefault="00F77D8B" w:rsidP="005A1CA1">
      <w:pPr>
        <w:rPr>
          <w:rFonts w:cs="Arial"/>
          <w:b/>
          <w:color w:val="000000" w:themeColor="text1"/>
          <w:szCs w:val="16"/>
        </w:rPr>
      </w:pPr>
      <w:r w:rsidRPr="00ED172B">
        <w:rPr>
          <w:rFonts w:cs="Arial"/>
          <w:b/>
          <w:color w:val="000000" w:themeColor="text1"/>
          <w:szCs w:val="16"/>
        </w:rPr>
        <w:t xml:space="preserve">Provide reasons for slippage, if applicable </w:t>
      </w:r>
    </w:p>
    <w:p w14:paraId="0F60D6B3" w14:textId="77777777" w:rsidR="005A1CA1" w:rsidRPr="00ED172B" w:rsidRDefault="00320806" w:rsidP="00320806">
      <w:pPr>
        <w:rPr>
          <w:color w:val="000000" w:themeColor="text1"/>
        </w:rPr>
      </w:pPr>
      <w:r w:rsidRPr="00ED172B">
        <w:rPr>
          <w:color w:val="000000" w:themeColor="text1"/>
        </w:rPr>
        <w:t>The programs reported this was due to insufficient training and staffing issues as described below.</w:t>
      </w:r>
    </w:p>
    <w:p w14:paraId="111956A4" w14:textId="77777777" w:rsidR="008901AF" w:rsidRPr="00ED172B"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r w:rsidRPr="00ED172B">
        <w:rPr>
          <w:rFonts w:cs="Arial"/>
          <w:color w:val="000000" w:themeColor="text1"/>
          <w:szCs w:val="16"/>
        </w:rPr>
        <w:br/>
      </w:r>
      <w:r w:rsidRPr="00EC51AB">
        <w:rPr>
          <w:rFonts w:cs="Arial"/>
          <w:bCs/>
          <w:color w:val="000000" w:themeColor="text1"/>
          <w:szCs w:val="16"/>
        </w:rPr>
        <w:t>This number will be added to the “Number of children exiting Part C who have an IFSP with transition steps and services” field to calculate the numerator for this indicator.</w:t>
      </w:r>
    </w:p>
    <w:p w14:paraId="141D7B3E" w14:textId="77777777" w:rsidR="008901AF" w:rsidRDefault="008901AF" w:rsidP="005A1CA1">
      <w:pPr>
        <w:rPr>
          <w:rFonts w:cs="Arial"/>
          <w:color w:val="000000" w:themeColor="text1"/>
          <w:szCs w:val="16"/>
        </w:rPr>
      </w:pPr>
      <w:r w:rsidRPr="00ED172B">
        <w:rPr>
          <w:rFonts w:cs="Arial"/>
          <w:color w:val="000000" w:themeColor="text1"/>
          <w:szCs w:val="16"/>
        </w:rPr>
        <w:t>2</w:t>
      </w:r>
    </w:p>
    <w:p w14:paraId="4A0DACB3"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09A72B31" w14:textId="77777777" w:rsidR="00C3454D" w:rsidRPr="00ED172B" w:rsidRDefault="00C3454D" w:rsidP="00C3454D">
      <w:pPr>
        <w:rPr>
          <w:rFonts w:cs="Arial"/>
          <w:color w:val="000000" w:themeColor="text1"/>
          <w:szCs w:val="16"/>
        </w:rPr>
      </w:pPr>
      <w:r w:rsidRPr="00ED172B">
        <w:rPr>
          <w:color w:val="000000" w:themeColor="text1"/>
          <w:szCs w:val="16"/>
        </w:rPr>
        <w:t xml:space="preserve">The reasons were as follows: </w:t>
      </w:r>
    </w:p>
    <w:p w14:paraId="6D30BA4F" w14:textId="77777777" w:rsidR="000575B2" w:rsidRDefault="000575B2"/>
    <w:p w14:paraId="01685BCB" w14:textId="77777777" w:rsidR="000575B2" w:rsidRDefault="00D6492D">
      <w:r>
        <w:rPr>
          <w:color w:val="000000"/>
        </w:rPr>
        <w:t xml:space="preserve">Six incidents in which transition services were added more than nine months prior to the child’s third birthday. Program staff reported that this was due to insufficient staff training. </w:t>
      </w:r>
    </w:p>
    <w:p w14:paraId="1B962E39" w14:textId="77777777" w:rsidR="000575B2" w:rsidRDefault="000575B2"/>
    <w:p w14:paraId="6B781261" w14:textId="77777777" w:rsidR="000575B2" w:rsidRDefault="00D6492D">
      <w:r>
        <w:rPr>
          <w:color w:val="000000"/>
        </w:rPr>
        <w:t xml:space="preserve">Two incidents in which transition services were added fewer than 90 days before the child’s third birthday. Program staff reported that this was due to staffing issues. </w:t>
      </w:r>
    </w:p>
    <w:p w14:paraId="7865F820" w14:textId="77777777" w:rsidR="000575B2" w:rsidRDefault="000575B2"/>
    <w:p w14:paraId="7AECE6F9" w14:textId="77777777" w:rsidR="000575B2" w:rsidRDefault="00D6492D">
      <w:r>
        <w:rPr>
          <w:color w:val="000000"/>
        </w:rPr>
        <w:t xml:space="preserve">Four incidents in which no documentation was available to verify that transition conferences occurred. Program staff reported that these omissions resulted from insufficient training on documentation requirements. </w:t>
      </w:r>
    </w:p>
    <w:p w14:paraId="6D65C854"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74C331AD" w14:textId="77777777" w:rsidR="000709B9" w:rsidRDefault="00860830" w:rsidP="00B83404">
      <w:pPr>
        <w:rPr>
          <w:color w:val="000000" w:themeColor="text1"/>
        </w:rPr>
      </w:pPr>
      <w:r w:rsidRPr="00ED172B">
        <w:rPr>
          <w:color w:val="000000" w:themeColor="text1"/>
        </w:rPr>
        <w:t>State monitoring</w:t>
      </w:r>
    </w:p>
    <w:p w14:paraId="7F55C117" w14:textId="77777777" w:rsidR="000709B9" w:rsidRPr="00ED172B" w:rsidRDefault="000709B9" w:rsidP="00B83404">
      <w:pPr>
        <w:rPr>
          <w:b/>
          <w:i/>
          <w:color w:val="000000" w:themeColor="text1"/>
        </w:rPr>
      </w:pPr>
      <w:r w:rsidRPr="00ED172B">
        <w:rPr>
          <w:b/>
          <w:color w:val="000000" w:themeColor="text1"/>
        </w:rPr>
        <w:t xml:space="preserve">Describe the method used to select EIS programs for monitoring. </w:t>
      </w:r>
    </w:p>
    <w:p w14:paraId="17DD8A51" w14:textId="77777777" w:rsidR="000709B9" w:rsidRDefault="00860830" w:rsidP="000709B9">
      <w:pPr>
        <w:rPr>
          <w:color w:val="000000" w:themeColor="text1"/>
        </w:rPr>
      </w:pPr>
      <w:r w:rsidRPr="00ED172B">
        <w:rPr>
          <w:color w:val="000000" w:themeColor="text1"/>
        </w:rPr>
        <w:t xml:space="preserve">The Oregon Department of Education (ODE) uses the System Performance Review and Improvement (SPR&amp;I) process to select Early Intervention (EI) programs for annual monitoring. All programs receiving IDEA Part C funds participate in this statewide accountability system, which focuses on procedural compliance and performance on key federal and state indicators. </w:t>
      </w:r>
    </w:p>
    <w:p w14:paraId="290FFBC0" w14:textId="77777777" w:rsidR="000575B2" w:rsidRDefault="000575B2"/>
    <w:p w14:paraId="6539C2AC" w14:textId="77777777" w:rsidR="000575B2" w:rsidRDefault="00D6492D">
      <w:r>
        <w:rPr>
          <w:color w:val="000000"/>
        </w:rPr>
        <w:t xml:space="preserve">Each year, programs conduct a review of individual child records based on a number set by the State. Files are divided evenly between Early Intervention and Transition from Early Intervention and are selected to reflect the program’s population by race/ethnicity, disability, and gender using data from the most recent December 1 child count. </w:t>
      </w:r>
    </w:p>
    <w:p w14:paraId="73EE3D16" w14:textId="77777777" w:rsidR="000575B2" w:rsidRDefault="000575B2"/>
    <w:p w14:paraId="15AA77D2" w14:textId="77777777" w:rsidR="000575B2" w:rsidRDefault="00D6492D">
      <w:r>
        <w:rPr>
          <w:color w:val="000000"/>
        </w:rPr>
        <w:t xml:space="preserve">Programs enter compliance data into the SPR&amp;I database, including timely transition planning and reasons for not meeting the required timeline. ODE reviews these data to evaluate compliance, verify correction of noncompliance, and identify areas for improvement. Through the SPR&amp;I process, ODE and local programs work together to use data for continuous improvement and ensure timely, high-quality transition services for children and families. </w:t>
      </w:r>
    </w:p>
    <w:p w14:paraId="47C36C76" w14:textId="77777777" w:rsidR="003A3693" w:rsidRPr="00ED172B" w:rsidRDefault="003A3693" w:rsidP="00950382">
      <w:pPr>
        <w:rPr>
          <w:b/>
          <w:color w:val="000000" w:themeColor="text1"/>
        </w:rPr>
      </w:pPr>
      <w:r w:rsidRPr="00ED172B">
        <w:rPr>
          <w:b/>
          <w:color w:val="000000" w:themeColor="text1"/>
        </w:rPr>
        <w:t>Provide additional information about this indicator (optional).</w:t>
      </w:r>
    </w:p>
    <w:p w14:paraId="2F24B50C" w14:textId="77777777" w:rsidR="003A3693" w:rsidRPr="00ED172B" w:rsidRDefault="003A3693" w:rsidP="003A3693">
      <w:pPr>
        <w:rPr>
          <w:rFonts w:cs="Arial"/>
          <w:color w:val="000000" w:themeColor="text1"/>
          <w:szCs w:val="16"/>
        </w:rPr>
      </w:pPr>
    </w:p>
    <w:p w14:paraId="2E426075" w14:textId="77777777" w:rsidR="00E61C4B" w:rsidRPr="00510A22" w:rsidRDefault="00E61C4B" w:rsidP="00E61C4B">
      <w:pPr>
        <w:rPr>
          <w:color w:val="00B0F0"/>
        </w:rPr>
      </w:pPr>
      <w:r w:rsidRPr="00510A22">
        <w:rPr>
          <w:color w:val="00B0F0"/>
        </w:rPr>
        <w:t xml:space="preserve"> </w:t>
      </w:r>
    </w:p>
    <w:p w14:paraId="437B2CD7" w14:textId="77777777"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APFFYNCFINDINGS"/>
      </w:tblPr>
      <w:tblGrid>
        <w:gridCol w:w="2610"/>
        <w:gridCol w:w="2741"/>
        <w:gridCol w:w="2618"/>
        <w:gridCol w:w="2821"/>
      </w:tblGrid>
      <w:tr w:rsidR="00ED172B" w:rsidRPr="00ED172B" w14:paraId="205BFE54" w14:textId="77777777" w:rsidTr="00986B99">
        <w:trPr>
          <w:trHeight w:val="389"/>
          <w:tblHeader/>
        </w:trPr>
        <w:tc>
          <w:tcPr>
            <w:tcW w:w="1210" w:type="pct"/>
            <w:vAlign w:val="bottom"/>
          </w:tcPr>
          <w:p w14:paraId="677400C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vAlign w:val="bottom"/>
          </w:tcPr>
          <w:p w14:paraId="684DE55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vAlign w:val="bottom"/>
          </w:tcPr>
          <w:p w14:paraId="0F645D2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vAlign w:val="bottom"/>
          </w:tcPr>
          <w:p w14:paraId="18556DA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3DA402A" w14:textId="77777777" w:rsidTr="00986B99">
        <w:tc>
          <w:tcPr>
            <w:tcW w:w="1210" w:type="pct"/>
          </w:tcPr>
          <w:p w14:paraId="04389684"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10</w:t>
            </w:r>
          </w:p>
        </w:tc>
        <w:tc>
          <w:tcPr>
            <w:tcW w:w="1270" w:type="pct"/>
          </w:tcPr>
          <w:p w14:paraId="09F2E9B3"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10</w:t>
            </w:r>
          </w:p>
        </w:tc>
        <w:tc>
          <w:tcPr>
            <w:tcW w:w="1213" w:type="pct"/>
          </w:tcPr>
          <w:p w14:paraId="46FC1DCB"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tcPr>
          <w:p w14:paraId="510FBD33" w14:textId="77777777" w:rsidR="008203B4" w:rsidRPr="00ED172B" w:rsidRDefault="00860830" w:rsidP="00EC51AB">
            <w:pPr>
              <w:jc w:val="center"/>
              <w:rPr>
                <w:rFonts w:cs="Arial"/>
                <w:color w:val="000000" w:themeColor="text1"/>
                <w:szCs w:val="16"/>
              </w:rPr>
            </w:pPr>
            <w:r w:rsidRPr="00ED172B">
              <w:rPr>
                <w:rFonts w:cs="Arial"/>
                <w:color w:val="000000" w:themeColor="text1"/>
                <w:szCs w:val="16"/>
              </w:rPr>
              <w:t>0</w:t>
            </w:r>
          </w:p>
        </w:tc>
      </w:tr>
    </w:tbl>
    <w:p w14:paraId="46DC8803" w14:textId="77777777" w:rsidR="008203B4" w:rsidRPr="00ED172B" w:rsidRDefault="00CD74B5" w:rsidP="00B83404">
      <w:pPr>
        <w:rPr>
          <w:color w:val="000000" w:themeColor="text1"/>
        </w:rPr>
      </w:pPr>
      <w:r>
        <w:rPr>
          <w:b/>
          <w:color w:val="000000" w:themeColor="text1"/>
        </w:rPr>
        <w:t>FFY 2023 Findings of Noncompliance Verified as Corrected</w:t>
      </w:r>
    </w:p>
    <w:p w14:paraId="155AC57E" w14:textId="77777777" w:rsidR="008203B4" w:rsidRPr="00ED172B" w:rsidRDefault="008203B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5657238D" w14:textId="77777777" w:rsidR="008203B4" w:rsidRPr="00ED172B" w:rsidRDefault="00860830">
      <w:pPr>
        <w:rPr>
          <w:color w:val="000000" w:themeColor="text1"/>
        </w:rPr>
      </w:pPr>
      <w:r w:rsidRPr="00ED172B">
        <w:rPr>
          <w:color w:val="000000" w:themeColor="text1"/>
        </w:rPr>
        <w:lastRenderedPageBreak/>
        <w:t xml:space="preserve">In FFY 2023, 93.29% (139 of 149) of Early Intervention (EI) child records reviewed for transition demonstrated that transition steps and services were developed at least 90 calendar days—and, at the discretion of the parties, up to nine months—before the child’s third birthday to support a smooth transition to preschool or other appropriate community services. </w:t>
      </w:r>
    </w:p>
    <w:p w14:paraId="67FBBB93" w14:textId="77777777" w:rsidR="000575B2" w:rsidRDefault="000575B2"/>
    <w:p w14:paraId="3F57F10F" w14:textId="77777777" w:rsidR="000575B2" w:rsidRDefault="00D6492D">
      <w:r>
        <w:rPr>
          <w:color w:val="000000"/>
        </w:rPr>
        <w:t xml:space="preserve">Of the 35 EI programs statewide, seven programs were issued findings of noncompliance, representing a total of ten child-specific instances of noncompliance. </w:t>
      </w:r>
    </w:p>
    <w:p w14:paraId="2BC7B38D" w14:textId="77777777" w:rsidR="000575B2" w:rsidRDefault="000575B2"/>
    <w:p w14:paraId="273FFFAA" w14:textId="77777777" w:rsidR="000575B2" w:rsidRDefault="00D6492D">
      <w:r>
        <w:rPr>
          <w:color w:val="000000"/>
        </w:rPr>
        <w:t xml:space="preserve">To verify that each program corrected the noncompliance and was correctly implementing the regulatory requirements, the State conducted subsequent file reviews using </w:t>
      </w:r>
      <w:proofErr w:type="spellStart"/>
      <w:r>
        <w:rPr>
          <w:color w:val="000000"/>
        </w:rPr>
        <w:t>ecWeb</w:t>
      </w:r>
      <w:proofErr w:type="spellEnd"/>
      <w:r>
        <w:rPr>
          <w:color w:val="000000"/>
        </w:rPr>
        <w:t xml:space="preserve">, Oregon’s statewide EI/ECSE data system. The State reviewed additional child records from each of the seven programs, selecting files dated after the completion of corrective actions for all children exiting Part C, to ensure that timely transition steps and services were provided in accordance with federal and state requirements. </w:t>
      </w:r>
    </w:p>
    <w:p w14:paraId="5D3FF59F" w14:textId="77777777" w:rsidR="000575B2" w:rsidRDefault="000575B2"/>
    <w:p w14:paraId="79BEBEEF" w14:textId="77777777" w:rsidR="000575B2" w:rsidRDefault="00D6492D">
      <w:r>
        <w:rPr>
          <w:color w:val="000000"/>
        </w:rPr>
        <w:t xml:space="preserve">Through this review of subsequent data, the State verified that each of the seven EI programs achieved 100% compliance within one year of identification and is now correctly implementing the regulatory requirements for timely transition planning and service provision. </w:t>
      </w:r>
    </w:p>
    <w:p w14:paraId="25AFBF6D" w14:textId="77777777" w:rsidR="008203B4" w:rsidRPr="00ED172B" w:rsidRDefault="008203B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624F81F3" w14:textId="77777777" w:rsidR="008203B4" w:rsidRDefault="00860830">
      <w:pPr>
        <w:rPr>
          <w:color w:val="000000" w:themeColor="text1"/>
        </w:rPr>
      </w:pPr>
      <w:r w:rsidRPr="00ED172B">
        <w:rPr>
          <w:color w:val="000000" w:themeColor="text1"/>
        </w:rPr>
        <w:t xml:space="preserve">The state completed a comprehensive verification process to ensure correction of all identified individual instances of noncompliance. The following steps were completed for correcting each case of noncompliance: </w:t>
      </w:r>
    </w:p>
    <w:p w14:paraId="1F3940D0" w14:textId="77777777" w:rsidR="000575B2" w:rsidRDefault="000575B2"/>
    <w:p w14:paraId="727836DD" w14:textId="77777777" w:rsidR="000575B2" w:rsidRDefault="00D6492D">
      <w:r>
        <w:rPr>
          <w:color w:val="000000"/>
        </w:rPr>
        <w:t xml:space="preserve">The EI program submitted documentation of the correction of noncompliance for each of the ten </w:t>
      </w:r>
      <w:proofErr w:type="gramStart"/>
      <w:r>
        <w:rPr>
          <w:color w:val="000000"/>
        </w:rPr>
        <w:t>individual</w:t>
      </w:r>
      <w:proofErr w:type="gramEnd"/>
      <w:r>
        <w:rPr>
          <w:color w:val="000000"/>
        </w:rPr>
        <w:t xml:space="preserve"> noncompliant IFSPs through online submission in SPR&amp;I, Oregon’s electronic monitoring system. </w:t>
      </w:r>
    </w:p>
    <w:p w14:paraId="08DDAB2F" w14:textId="77777777" w:rsidR="000575B2" w:rsidRDefault="000575B2"/>
    <w:p w14:paraId="3AFCD6F5" w14:textId="77777777" w:rsidR="000575B2" w:rsidRDefault="00D6492D">
      <w:r>
        <w:rPr>
          <w:color w:val="000000"/>
        </w:rPr>
        <w:t xml:space="preserve">The state reviewed the ten individual child records in </w:t>
      </w:r>
      <w:proofErr w:type="spellStart"/>
      <w:r>
        <w:rPr>
          <w:color w:val="000000"/>
        </w:rPr>
        <w:t>ecWeb</w:t>
      </w:r>
      <w:proofErr w:type="spellEnd"/>
      <w:r>
        <w:rPr>
          <w:color w:val="000000"/>
        </w:rPr>
        <w:t xml:space="preserve">, Oregon’s statewide EI data system, to see if transition plans were provided, although untimely, or the child was no longer in the program’s jurisdiction. </w:t>
      </w:r>
    </w:p>
    <w:p w14:paraId="10CF4747" w14:textId="77777777" w:rsidR="000575B2" w:rsidRDefault="000575B2"/>
    <w:p w14:paraId="7AEE3333" w14:textId="77777777" w:rsidR="000575B2" w:rsidRDefault="00D6492D">
      <w:r>
        <w:rPr>
          <w:color w:val="000000"/>
        </w:rPr>
        <w:t xml:space="preserve">For FFY 2023, 100% (10 of 10) incidents of noncompliance, identified across seven regional sites, were corrected within one year. Each program with identified noncompliance developed an IFSP that included transition plans with steps and services for each child, unless the child was no longer within the jurisdiction of the EI program. </w:t>
      </w:r>
    </w:p>
    <w:p w14:paraId="1F2F2583"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6EBEE156" w14:textId="77777777" w:rsidR="00416EBD" w:rsidRDefault="00416EBD" w:rsidP="00416EBD">
      <w:pPr>
        <w:rPr>
          <w:color w:val="00B0F0"/>
        </w:rPr>
      </w:pPr>
    </w:p>
    <w:p w14:paraId="2BD79CC6" w14:textId="77777777" w:rsidR="008203B4" w:rsidRPr="00ED172B" w:rsidRDefault="008203B4" w:rsidP="00416EBD">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7EFA16DD" w14:textId="77777777" w:rsidTr="00986B99">
        <w:trPr>
          <w:tblHeader/>
        </w:trPr>
        <w:tc>
          <w:tcPr>
            <w:tcW w:w="929" w:type="pct"/>
            <w:vAlign w:val="bottom"/>
          </w:tcPr>
          <w:p w14:paraId="09A62D9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vAlign w:val="bottom"/>
          </w:tcPr>
          <w:p w14:paraId="472F2B7B"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83" w:type="pct"/>
            <w:vAlign w:val="bottom"/>
          </w:tcPr>
          <w:p w14:paraId="77A3E7AB"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vAlign w:val="bottom"/>
          </w:tcPr>
          <w:p w14:paraId="65FB911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48C7FBA" w14:textId="77777777" w:rsidTr="00986B99">
        <w:tc>
          <w:tcPr>
            <w:tcW w:w="929" w:type="pct"/>
          </w:tcPr>
          <w:p w14:paraId="5B4C119F" w14:textId="77777777" w:rsidR="008203B4" w:rsidRPr="00ED172B" w:rsidRDefault="008203B4" w:rsidP="00D21F29">
            <w:pPr>
              <w:jc w:val="center"/>
              <w:rPr>
                <w:rFonts w:cs="Arial"/>
                <w:color w:val="000000" w:themeColor="text1"/>
                <w:szCs w:val="16"/>
              </w:rPr>
            </w:pPr>
          </w:p>
        </w:tc>
        <w:tc>
          <w:tcPr>
            <w:tcW w:w="1388" w:type="pct"/>
          </w:tcPr>
          <w:p w14:paraId="104CEBFD" w14:textId="77777777" w:rsidR="008203B4" w:rsidRPr="00ED172B" w:rsidRDefault="008203B4" w:rsidP="00CD79C5">
            <w:pPr>
              <w:jc w:val="center"/>
              <w:rPr>
                <w:rFonts w:cs="Arial"/>
                <w:noProof/>
                <w:color w:val="000000" w:themeColor="text1"/>
                <w:szCs w:val="16"/>
              </w:rPr>
            </w:pPr>
          </w:p>
        </w:tc>
        <w:tc>
          <w:tcPr>
            <w:tcW w:w="1383" w:type="pct"/>
          </w:tcPr>
          <w:p w14:paraId="7205F99C" w14:textId="77777777" w:rsidR="008203B4" w:rsidRPr="00ED172B" w:rsidRDefault="008203B4" w:rsidP="00CD79C5">
            <w:pPr>
              <w:jc w:val="center"/>
              <w:rPr>
                <w:rFonts w:cs="Arial"/>
                <w:noProof/>
                <w:color w:val="000000" w:themeColor="text1"/>
                <w:szCs w:val="16"/>
              </w:rPr>
            </w:pPr>
          </w:p>
        </w:tc>
        <w:tc>
          <w:tcPr>
            <w:tcW w:w="1300" w:type="pct"/>
          </w:tcPr>
          <w:p w14:paraId="6A45D86B" w14:textId="77777777" w:rsidR="008203B4" w:rsidRPr="00ED172B" w:rsidRDefault="008203B4" w:rsidP="00CD79C5">
            <w:pPr>
              <w:jc w:val="center"/>
              <w:rPr>
                <w:rFonts w:cs="Arial"/>
                <w:noProof/>
                <w:color w:val="000000" w:themeColor="text1"/>
                <w:szCs w:val="16"/>
              </w:rPr>
            </w:pPr>
          </w:p>
        </w:tc>
      </w:tr>
      <w:tr w:rsidR="00ED172B" w:rsidRPr="00ED172B" w14:paraId="77391D2B" w14:textId="77777777" w:rsidTr="00986B99">
        <w:tc>
          <w:tcPr>
            <w:tcW w:w="929" w:type="pct"/>
          </w:tcPr>
          <w:p w14:paraId="6D0CC9E6" w14:textId="77777777" w:rsidR="008203B4" w:rsidRPr="00ED172B" w:rsidRDefault="008203B4" w:rsidP="00D21F29">
            <w:pPr>
              <w:jc w:val="center"/>
              <w:rPr>
                <w:rFonts w:cs="Arial"/>
                <w:color w:val="000000" w:themeColor="text1"/>
                <w:szCs w:val="16"/>
              </w:rPr>
            </w:pPr>
          </w:p>
        </w:tc>
        <w:tc>
          <w:tcPr>
            <w:tcW w:w="1388" w:type="pct"/>
          </w:tcPr>
          <w:p w14:paraId="1EAA79C3" w14:textId="77777777" w:rsidR="008203B4" w:rsidRPr="00ED172B" w:rsidRDefault="008203B4" w:rsidP="00CD79C5">
            <w:pPr>
              <w:jc w:val="center"/>
              <w:rPr>
                <w:rFonts w:cs="Arial"/>
                <w:noProof/>
                <w:color w:val="000000" w:themeColor="text1"/>
                <w:szCs w:val="16"/>
              </w:rPr>
            </w:pPr>
          </w:p>
        </w:tc>
        <w:tc>
          <w:tcPr>
            <w:tcW w:w="1383" w:type="pct"/>
          </w:tcPr>
          <w:p w14:paraId="0D0DF566" w14:textId="77777777" w:rsidR="008203B4" w:rsidRPr="00ED172B" w:rsidRDefault="008203B4" w:rsidP="00CD79C5">
            <w:pPr>
              <w:jc w:val="center"/>
              <w:rPr>
                <w:rFonts w:cs="Arial"/>
                <w:noProof/>
                <w:color w:val="000000" w:themeColor="text1"/>
                <w:szCs w:val="16"/>
              </w:rPr>
            </w:pPr>
          </w:p>
        </w:tc>
        <w:tc>
          <w:tcPr>
            <w:tcW w:w="1300" w:type="pct"/>
          </w:tcPr>
          <w:p w14:paraId="6B8C0F70" w14:textId="77777777" w:rsidR="008203B4" w:rsidRPr="00ED172B" w:rsidRDefault="008203B4" w:rsidP="00CD79C5">
            <w:pPr>
              <w:jc w:val="center"/>
              <w:rPr>
                <w:rFonts w:cs="Arial"/>
                <w:noProof/>
                <w:color w:val="000000" w:themeColor="text1"/>
                <w:szCs w:val="16"/>
              </w:rPr>
            </w:pPr>
          </w:p>
        </w:tc>
      </w:tr>
      <w:tr w:rsidR="00ED172B" w:rsidRPr="00ED172B" w14:paraId="7471D703" w14:textId="77777777" w:rsidTr="00986B99">
        <w:tc>
          <w:tcPr>
            <w:tcW w:w="929" w:type="pct"/>
          </w:tcPr>
          <w:p w14:paraId="6520E099" w14:textId="77777777" w:rsidR="008203B4" w:rsidRPr="00ED172B" w:rsidRDefault="008203B4" w:rsidP="00D21F29">
            <w:pPr>
              <w:jc w:val="center"/>
              <w:rPr>
                <w:rFonts w:cs="Arial"/>
                <w:color w:val="000000" w:themeColor="text1"/>
                <w:szCs w:val="16"/>
              </w:rPr>
            </w:pPr>
          </w:p>
        </w:tc>
        <w:tc>
          <w:tcPr>
            <w:tcW w:w="1388" w:type="pct"/>
          </w:tcPr>
          <w:p w14:paraId="39552FAA" w14:textId="77777777" w:rsidR="008203B4" w:rsidRPr="00ED172B" w:rsidRDefault="008203B4" w:rsidP="00CD79C5">
            <w:pPr>
              <w:jc w:val="center"/>
              <w:rPr>
                <w:rFonts w:cs="Arial"/>
                <w:noProof/>
                <w:color w:val="000000" w:themeColor="text1"/>
                <w:szCs w:val="16"/>
              </w:rPr>
            </w:pPr>
          </w:p>
        </w:tc>
        <w:tc>
          <w:tcPr>
            <w:tcW w:w="1383" w:type="pct"/>
          </w:tcPr>
          <w:p w14:paraId="14125DAF" w14:textId="77777777" w:rsidR="008203B4" w:rsidRPr="00ED172B" w:rsidRDefault="008203B4" w:rsidP="00CD79C5">
            <w:pPr>
              <w:jc w:val="center"/>
              <w:rPr>
                <w:rFonts w:cs="Arial"/>
                <w:noProof/>
                <w:color w:val="000000" w:themeColor="text1"/>
                <w:szCs w:val="16"/>
              </w:rPr>
            </w:pPr>
          </w:p>
        </w:tc>
        <w:tc>
          <w:tcPr>
            <w:tcW w:w="1300" w:type="pct"/>
          </w:tcPr>
          <w:p w14:paraId="1FA0BCA5" w14:textId="77777777" w:rsidR="008203B4" w:rsidRPr="00ED172B" w:rsidRDefault="008203B4" w:rsidP="00CD79C5">
            <w:pPr>
              <w:jc w:val="center"/>
              <w:rPr>
                <w:rFonts w:cs="Arial"/>
                <w:noProof/>
                <w:color w:val="000000" w:themeColor="text1"/>
                <w:szCs w:val="16"/>
              </w:rPr>
            </w:pPr>
          </w:p>
        </w:tc>
      </w:tr>
      <w:tr w:rsidR="003567DA" w:rsidRPr="00ED172B" w14:paraId="199EBD50" w14:textId="77777777" w:rsidTr="00986B99">
        <w:tc>
          <w:tcPr>
            <w:tcW w:w="929" w:type="pct"/>
          </w:tcPr>
          <w:p w14:paraId="4E527C75" w14:textId="77777777" w:rsidR="003567DA" w:rsidRPr="00ED172B" w:rsidRDefault="003567DA" w:rsidP="00D21F29">
            <w:pPr>
              <w:jc w:val="center"/>
              <w:rPr>
                <w:rFonts w:cs="Arial"/>
                <w:color w:val="000000" w:themeColor="text1"/>
                <w:szCs w:val="16"/>
              </w:rPr>
            </w:pPr>
          </w:p>
        </w:tc>
        <w:tc>
          <w:tcPr>
            <w:tcW w:w="1388" w:type="pct"/>
          </w:tcPr>
          <w:p w14:paraId="4D7D83C6" w14:textId="77777777" w:rsidR="003567DA" w:rsidRPr="00ED172B" w:rsidRDefault="003567DA" w:rsidP="003567DA">
            <w:pPr>
              <w:jc w:val="center"/>
              <w:rPr>
                <w:rFonts w:cs="Arial"/>
                <w:color w:val="000000" w:themeColor="text1"/>
                <w:szCs w:val="16"/>
              </w:rPr>
            </w:pPr>
          </w:p>
        </w:tc>
        <w:tc>
          <w:tcPr>
            <w:tcW w:w="1383" w:type="pct"/>
          </w:tcPr>
          <w:p w14:paraId="633512A7" w14:textId="77777777" w:rsidR="003567DA" w:rsidRPr="00ED172B" w:rsidRDefault="003567DA" w:rsidP="003567DA">
            <w:pPr>
              <w:jc w:val="center"/>
              <w:rPr>
                <w:rFonts w:cs="Arial"/>
                <w:color w:val="000000" w:themeColor="text1"/>
                <w:szCs w:val="16"/>
              </w:rPr>
            </w:pPr>
          </w:p>
        </w:tc>
        <w:tc>
          <w:tcPr>
            <w:tcW w:w="1300" w:type="pct"/>
          </w:tcPr>
          <w:p w14:paraId="061974B3" w14:textId="77777777" w:rsidR="003567DA" w:rsidRPr="00ED172B" w:rsidRDefault="003567DA" w:rsidP="003567DA">
            <w:pPr>
              <w:jc w:val="center"/>
              <w:rPr>
                <w:rFonts w:cs="Arial"/>
                <w:color w:val="000000" w:themeColor="text1"/>
                <w:szCs w:val="16"/>
              </w:rPr>
            </w:pPr>
          </w:p>
        </w:tc>
      </w:tr>
      <w:tr w:rsidR="003567DA" w:rsidRPr="00ED172B" w14:paraId="3B6B03D1" w14:textId="77777777" w:rsidTr="00986B99">
        <w:tc>
          <w:tcPr>
            <w:tcW w:w="929" w:type="pct"/>
          </w:tcPr>
          <w:p w14:paraId="79D16812" w14:textId="77777777" w:rsidR="003567DA" w:rsidRPr="00ED172B" w:rsidRDefault="003567DA" w:rsidP="00D21F29">
            <w:pPr>
              <w:jc w:val="center"/>
              <w:rPr>
                <w:rFonts w:cs="Arial"/>
                <w:color w:val="000000" w:themeColor="text1"/>
                <w:szCs w:val="16"/>
              </w:rPr>
            </w:pPr>
          </w:p>
        </w:tc>
        <w:tc>
          <w:tcPr>
            <w:tcW w:w="1388" w:type="pct"/>
          </w:tcPr>
          <w:p w14:paraId="71927BB6" w14:textId="77777777" w:rsidR="003567DA" w:rsidRPr="00ED172B" w:rsidRDefault="003567DA" w:rsidP="003567DA">
            <w:pPr>
              <w:jc w:val="center"/>
              <w:rPr>
                <w:rFonts w:cs="Arial"/>
                <w:color w:val="000000" w:themeColor="text1"/>
                <w:szCs w:val="16"/>
              </w:rPr>
            </w:pPr>
          </w:p>
        </w:tc>
        <w:tc>
          <w:tcPr>
            <w:tcW w:w="1383" w:type="pct"/>
          </w:tcPr>
          <w:p w14:paraId="1BA0FB04" w14:textId="77777777" w:rsidR="003567DA" w:rsidRPr="00ED172B" w:rsidRDefault="003567DA" w:rsidP="003567DA">
            <w:pPr>
              <w:jc w:val="center"/>
              <w:rPr>
                <w:rFonts w:cs="Arial"/>
                <w:color w:val="000000" w:themeColor="text1"/>
                <w:szCs w:val="16"/>
              </w:rPr>
            </w:pPr>
          </w:p>
        </w:tc>
        <w:tc>
          <w:tcPr>
            <w:tcW w:w="1300" w:type="pct"/>
          </w:tcPr>
          <w:p w14:paraId="09CA92B6" w14:textId="77777777" w:rsidR="003567DA" w:rsidRPr="00ED172B" w:rsidRDefault="003567DA" w:rsidP="003567DA">
            <w:pPr>
              <w:jc w:val="center"/>
              <w:rPr>
                <w:rFonts w:cs="Arial"/>
                <w:color w:val="000000" w:themeColor="text1"/>
                <w:szCs w:val="16"/>
              </w:rPr>
            </w:pPr>
          </w:p>
        </w:tc>
      </w:tr>
    </w:tbl>
    <w:p w14:paraId="137E4F81" w14:textId="77777777" w:rsidR="008203B4" w:rsidRPr="00A40EE1" w:rsidRDefault="000D0117" w:rsidP="007B0787">
      <w:pPr>
        <w:pStyle w:val="Heading2"/>
      </w:pPr>
      <w:r w:rsidRPr="00A40EE1">
        <w:t xml:space="preserve">8A - </w:t>
      </w:r>
      <w:r w:rsidR="008203B4" w:rsidRPr="00A40EE1">
        <w:t>Prior FFY Required Actions</w:t>
      </w:r>
    </w:p>
    <w:p w14:paraId="6FBCD4E3" w14:textId="77777777" w:rsidR="004C1CEE" w:rsidRPr="00ED172B" w:rsidRDefault="00320806" w:rsidP="008203B4">
      <w:pPr>
        <w:rPr>
          <w:rFonts w:cs="Arial"/>
          <w:color w:val="000000" w:themeColor="text1"/>
          <w:szCs w:val="16"/>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ED172B">
        <w:rPr>
          <w:color w:val="000000" w:themeColor="text1"/>
        </w:rPr>
        <w:t>reflect</w:t>
      </w:r>
      <w:proofErr w:type="gramEnd"/>
      <w:r w:rsidRPr="00ED172B">
        <w:rPr>
          <w:color w:val="000000" w:themeColor="text1"/>
        </w:rPr>
        <w:t xml:space="preserve">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3A3FFE2E" w14:textId="77777777" w:rsidR="008203B4" w:rsidRPr="00ED172B" w:rsidRDefault="008203B4"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4406EBF9" w14:textId="77777777" w:rsidR="004C1CEE" w:rsidRPr="00ED172B" w:rsidRDefault="00320806" w:rsidP="00027F39">
      <w:pPr>
        <w:rPr>
          <w:color w:val="000000" w:themeColor="text1"/>
        </w:rPr>
      </w:pPr>
      <w:r w:rsidRPr="00ED172B">
        <w:rPr>
          <w:color w:val="000000" w:themeColor="text1"/>
        </w:rPr>
        <w:t xml:space="preserve">In FFY 2023, 93.29% (139 of 149) of Early Intervention (EI) child records reviewed for transition demonstrated that transition steps and services were developed at least 90 calendar days—and, at the discretion of the parties, up to nine months—before the child’s third birthday to support a smooth transition to preschool or other appropriate community services. </w:t>
      </w:r>
    </w:p>
    <w:p w14:paraId="58979150" w14:textId="77777777" w:rsidR="000575B2" w:rsidRDefault="000575B2"/>
    <w:p w14:paraId="49AE8C71" w14:textId="77777777" w:rsidR="000575B2" w:rsidRDefault="00D6492D">
      <w:r>
        <w:rPr>
          <w:color w:val="000000"/>
        </w:rPr>
        <w:t xml:space="preserve">Of the 35 EI programs statewide, seven programs were issued findings of noncompliance, representing a total of ten child-specific instances of noncompliance. </w:t>
      </w:r>
    </w:p>
    <w:p w14:paraId="484EB7D9" w14:textId="77777777" w:rsidR="000575B2" w:rsidRDefault="000575B2"/>
    <w:p w14:paraId="0EEFCFC9" w14:textId="77777777" w:rsidR="000575B2" w:rsidRDefault="00D6492D">
      <w:r>
        <w:rPr>
          <w:color w:val="000000"/>
        </w:rPr>
        <w:t xml:space="preserve">To verify that each program corrected the noncompliance and was correctly implementing the regulatory requirements, the State conducted subsequent file reviews using </w:t>
      </w:r>
      <w:proofErr w:type="spellStart"/>
      <w:r>
        <w:rPr>
          <w:color w:val="000000"/>
        </w:rPr>
        <w:t>ecWeb</w:t>
      </w:r>
      <w:proofErr w:type="spellEnd"/>
      <w:r>
        <w:rPr>
          <w:color w:val="000000"/>
        </w:rPr>
        <w:t xml:space="preserve">, Oregon’s statewide EI/ECSE data system. The State reviewed additional child records from each of the seven programs, </w:t>
      </w:r>
      <w:r>
        <w:rPr>
          <w:color w:val="000000"/>
        </w:rPr>
        <w:lastRenderedPageBreak/>
        <w:t xml:space="preserve">selecting files dated after the completion of corrective actions for all children exiting Part C, to ensure that timely transition steps and services were provided in accordance with federal and state requirements. </w:t>
      </w:r>
    </w:p>
    <w:p w14:paraId="2102FE3B" w14:textId="77777777" w:rsidR="000575B2" w:rsidRDefault="000575B2"/>
    <w:p w14:paraId="0ADFD75B" w14:textId="77777777" w:rsidR="000575B2" w:rsidRDefault="00D6492D">
      <w:r>
        <w:rPr>
          <w:color w:val="000000"/>
        </w:rPr>
        <w:t xml:space="preserve">Through this review of subsequent data, the State verified that each of the seven EI programs achieved 100% compliance within one year of identification and is now correctly implementing the regulatory requirements for timely transition planning and service provision. </w:t>
      </w:r>
    </w:p>
    <w:p w14:paraId="48558132" w14:textId="77777777" w:rsidR="000575B2" w:rsidRDefault="000575B2"/>
    <w:p w14:paraId="134A2B6A" w14:textId="77777777" w:rsidR="000575B2" w:rsidRDefault="00D6492D">
      <w:r>
        <w:rPr>
          <w:color w:val="000000"/>
        </w:rPr>
        <w:t xml:space="preserve">The state completed a comprehensive verification process to ensure correction of all identified individual instances of noncompliance. The following steps were completed for correcting each case of noncompliance: </w:t>
      </w:r>
    </w:p>
    <w:p w14:paraId="1F704997" w14:textId="77777777" w:rsidR="000575B2" w:rsidRDefault="000575B2"/>
    <w:p w14:paraId="31C3F5A8" w14:textId="77777777" w:rsidR="000575B2" w:rsidRDefault="00D6492D">
      <w:r>
        <w:rPr>
          <w:color w:val="000000"/>
        </w:rPr>
        <w:t xml:space="preserve">The EI program submitted documentation of the correction of noncompliance for each of the ten </w:t>
      </w:r>
      <w:proofErr w:type="gramStart"/>
      <w:r>
        <w:rPr>
          <w:color w:val="000000"/>
        </w:rPr>
        <w:t>individual</w:t>
      </w:r>
      <w:proofErr w:type="gramEnd"/>
      <w:r>
        <w:rPr>
          <w:color w:val="000000"/>
        </w:rPr>
        <w:t xml:space="preserve"> noncompliant IFSPs through online submission in SPR&amp;I, Oregon’s electronic monitoring system. </w:t>
      </w:r>
    </w:p>
    <w:p w14:paraId="45B3F2AA" w14:textId="77777777" w:rsidR="000575B2" w:rsidRDefault="000575B2"/>
    <w:p w14:paraId="23714C49" w14:textId="77777777" w:rsidR="000575B2" w:rsidRDefault="00D6492D">
      <w:r>
        <w:rPr>
          <w:color w:val="000000"/>
        </w:rPr>
        <w:t xml:space="preserve">The state reviewed the ten individual child records in </w:t>
      </w:r>
      <w:proofErr w:type="spellStart"/>
      <w:r>
        <w:rPr>
          <w:color w:val="000000"/>
        </w:rPr>
        <w:t>ecWeb</w:t>
      </w:r>
      <w:proofErr w:type="spellEnd"/>
      <w:r>
        <w:rPr>
          <w:color w:val="000000"/>
        </w:rPr>
        <w:t xml:space="preserve">, Oregon’s statewide EI data system, to see if transition plans were provided, although untimely, or the child was no longer in the program’s jurisdiction. </w:t>
      </w:r>
    </w:p>
    <w:p w14:paraId="4C884EE8" w14:textId="77777777" w:rsidR="000575B2" w:rsidRDefault="000575B2"/>
    <w:p w14:paraId="2447F193" w14:textId="77777777" w:rsidR="000575B2" w:rsidRDefault="00D6492D">
      <w:r>
        <w:rPr>
          <w:color w:val="000000"/>
        </w:rPr>
        <w:t xml:space="preserve">For FFY 2023, 100% (10 of 10) incidents of noncompliance, identified across seven regional sites, were corrected within one year. Each program with identified noncompliance developed an IFSP that included transition plans with steps and services for each child, unless the child was no longer within the jurisdiction of the EI program. </w:t>
      </w:r>
    </w:p>
    <w:p w14:paraId="770B5F54" w14:textId="77777777" w:rsidR="008203B4" w:rsidRPr="00A40EE1" w:rsidRDefault="000D0117" w:rsidP="007B0787">
      <w:pPr>
        <w:pStyle w:val="Heading2"/>
      </w:pPr>
      <w:r w:rsidRPr="00A40EE1">
        <w:t xml:space="preserve">8A - </w:t>
      </w:r>
      <w:r w:rsidR="008203B4" w:rsidRPr="00A40EE1">
        <w:t>OSEP Response</w:t>
      </w:r>
    </w:p>
    <w:p w14:paraId="0A550BEF" w14:textId="77777777" w:rsidR="008203B4" w:rsidRPr="00ED172B" w:rsidRDefault="008203B4" w:rsidP="00320806">
      <w:pPr>
        <w:rPr>
          <w:color w:val="000000" w:themeColor="text1"/>
        </w:rPr>
      </w:pPr>
    </w:p>
    <w:p w14:paraId="7BB79162" w14:textId="77777777" w:rsidR="008203B4" w:rsidRPr="00A40EE1" w:rsidRDefault="000D0117" w:rsidP="007B0787">
      <w:pPr>
        <w:pStyle w:val="Heading2"/>
      </w:pPr>
      <w:r w:rsidRPr="00A40EE1">
        <w:t xml:space="preserve">8A - </w:t>
      </w:r>
      <w:r w:rsidR="008203B4" w:rsidRPr="00A40EE1">
        <w:t>Required Actions</w:t>
      </w:r>
    </w:p>
    <w:p w14:paraId="4C515A55" w14:textId="77777777" w:rsidR="008203B4" w:rsidRPr="00ED172B" w:rsidRDefault="00320806" w:rsidP="00320806">
      <w:pPr>
        <w:rPr>
          <w:color w:val="000000" w:themeColor="text1"/>
        </w:rPr>
      </w:pPr>
      <w:r w:rsidRPr="00ED172B">
        <w:rPr>
          <w:color w:val="000000" w:themeColor="text1"/>
        </w:rPr>
        <w:t xml:space="preserve">Because the State reported less than 100% compliance for FFY 2024, the State must report on the status of correction of noncompliance identified in FFY 2024 for this indicator. When reporting on the correction of noncompliance, the State must report, in the FFY 2025 SPP/APR, that it has verified that each EIS program or provider with noncompliance identified in FFY 2024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2025 SPP/APR, the State must describe the specific actions that were taken to verify the correction. If the State did not identify any findings of noncompliance in FFY 2024, although its FFY 2024 data reflect less than 100% compliance, provide an explanation of why the State did not identify any findings of noncompliance in FFY 2024.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680340EC"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5FDE99F7" w14:textId="77777777" w:rsidR="00D77E41" w:rsidRPr="00ED172B" w:rsidRDefault="00D77E41" w:rsidP="00D77E41">
      <w:pPr>
        <w:pStyle w:val="Heading1"/>
        <w:rPr>
          <w:color w:val="000000" w:themeColor="text1"/>
        </w:rPr>
      </w:pPr>
      <w:r w:rsidRPr="00ED172B">
        <w:rPr>
          <w:color w:val="000000" w:themeColor="text1"/>
        </w:rPr>
        <w:lastRenderedPageBreak/>
        <w:t>Indicator 8B: Early Childhood Transition</w:t>
      </w:r>
    </w:p>
    <w:p w14:paraId="79C578B6"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27B4D21C" w14:textId="77777777"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5EED368A"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The percentage of toddlers with disabilities </w:t>
      </w:r>
      <w:proofErr w:type="gramStart"/>
      <w:r w:rsidRPr="00ED172B">
        <w:rPr>
          <w:color w:val="000000" w:themeColor="text1"/>
          <w:szCs w:val="16"/>
        </w:rPr>
        <w:t>exiting</w:t>
      </w:r>
      <w:proofErr w:type="gramEnd"/>
      <w:r w:rsidRPr="00ED172B">
        <w:rPr>
          <w:color w:val="000000" w:themeColor="text1"/>
          <w:szCs w:val="16"/>
        </w:rPr>
        <w:t xml:space="preserve"> Part C with timely transition planning for whom the Lead Agency has:</w:t>
      </w:r>
    </w:p>
    <w:p w14:paraId="4D523914" w14:textId="7777777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66649226" w14:textId="77777777"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3B47AC7F" w14:textId="77777777" w:rsidR="00D77E41" w:rsidRPr="00ED172B" w:rsidRDefault="007F55E8" w:rsidP="00ED172B">
      <w:pPr>
        <w:ind w:left="360"/>
        <w:rPr>
          <w:color w:val="000000" w:themeColor="text1"/>
          <w:szCs w:val="16"/>
        </w:rPr>
      </w:pPr>
      <w:r w:rsidRPr="00ED172B">
        <w:rPr>
          <w:color w:val="000000" w:themeColor="text1"/>
          <w:szCs w:val="16"/>
        </w:rPr>
        <w:t xml:space="preserve">C. Conducted the transition conference held with the approval of the </w:t>
      </w:r>
      <w:proofErr w:type="gramStart"/>
      <w:r w:rsidRPr="00ED172B">
        <w:rPr>
          <w:color w:val="000000" w:themeColor="text1"/>
          <w:szCs w:val="16"/>
        </w:rPr>
        <w:t>family</w:t>
      </w:r>
      <w:proofErr w:type="gramEnd"/>
      <w:r w:rsidRPr="00ED172B">
        <w:rPr>
          <w:color w:val="000000" w:themeColor="text1"/>
          <w:szCs w:val="16"/>
        </w:rPr>
        <w:t xml:space="preserve"> at least 90 days, and at the discretion of all parties, not more than nine months, prior to the toddler’s third birthday for toddlers potentially eligible for Part B preschool services.</w:t>
      </w:r>
    </w:p>
    <w:p w14:paraId="47B1652B"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7B830513" w14:textId="77777777" w:rsidR="00D77E41" w:rsidRPr="00ED172B" w:rsidRDefault="00D77E41">
      <w:pPr>
        <w:rPr>
          <w:b/>
          <w:color w:val="000000" w:themeColor="text1"/>
        </w:rPr>
      </w:pPr>
      <w:r w:rsidRPr="00ED172B">
        <w:rPr>
          <w:b/>
          <w:color w:val="000000" w:themeColor="text1"/>
        </w:rPr>
        <w:t>Data Source</w:t>
      </w:r>
    </w:p>
    <w:p w14:paraId="6C669DAA"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37BB7506" w14:textId="77777777" w:rsidR="00D77E41" w:rsidRPr="00ED172B" w:rsidRDefault="00D77E41">
      <w:pPr>
        <w:rPr>
          <w:b/>
          <w:color w:val="000000" w:themeColor="text1"/>
        </w:rPr>
      </w:pPr>
      <w:r w:rsidRPr="00ED172B">
        <w:rPr>
          <w:b/>
          <w:color w:val="000000" w:themeColor="text1"/>
        </w:rPr>
        <w:t>Measurement</w:t>
      </w:r>
    </w:p>
    <w:p w14:paraId="2D85412C" w14:textId="77777777"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6C21EE3A" w14:textId="77777777"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CBD1E94" w14:textId="77777777"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2E4B092E"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0FABF577" w14:textId="77777777" w:rsidR="00D77E41" w:rsidRPr="00ED172B" w:rsidRDefault="00D77E41">
      <w:pPr>
        <w:rPr>
          <w:b/>
          <w:color w:val="000000" w:themeColor="text1"/>
        </w:rPr>
      </w:pPr>
      <w:r w:rsidRPr="00ED172B">
        <w:rPr>
          <w:b/>
          <w:color w:val="000000" w:themeColor="text1"/>
        </w:rPr>
        <w:t>Instructions</w:t>
      </w:r>
    </w:p>
    <w:p w14:paraId="52F4A235"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0DFFAC24"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247B8F3C" w14:textId="77777777" w:rsidR="00D77E41" w:rsidRPr="00ED172B" w:rsidRDefault="00D77E41" w:rsidP="00D77E41">
      <w:pPr>
        <w:rPr>
          <w:color w:val="000000" w:themeColor="text1"/>
          <w:szCs w:val="16"/>
        </w:rPr>
      </w:pPr>
      <w:r w:rsidRPr="00ED172B">
        <w:rPr>
          <w:color w:val="000000" w:themeColor="text1"/>
          <w:szCs w:val="16"/>
        </w:rPr>
        <w:t xml:space="preserve">Indicators 8A and 8C: If data </w:t>
      </w:r>
      <w:proofErr w:type="gramStart"/>
      <w:r w:rsidRPr="00ED172B">
        <w:rPr>
          <w:color w:val="000000" w:themeColor="text1"/>
          <w:szCs w:val="16"/>
        </w:rPr>
        <w:t>are</w:t>
      </w:r>
      <w:proofErr w:type="gramEnd"/>
      <w:r w:rsidRPr="00ED172B">
        <w:rPr>
          <w:color w:val="000000" w:themeColor="text1"/>
          <w:szCs w:val="16"/>
        </w:rPr>
        <w:t xml:space="preserv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w:t>
      </w:r>
      <w:proofErr w:type="gramStart"/>
      <w:r w:rsidRPr="00ED172B">
        <w:rPr>
          <w:color w:val="000000" w:themeColor="text1"/>
          <w:szCs w:val="16"/>
        </w:rPr>
        <w:t>time period</w:t>
      </w:r>
      <w:proofErr w:type="gramEnd"/>
      <w:r w:rsidRPr="00ED172B">
        <w:rPr>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3332C671" w14:textId="77777777" w:rsidR="00D77E41" w:rsidRDefault="00D77E41" w:rsidP="00D77E41">
      <w:pPr>
        <w:rPr>
          <w:color w:val="000000" w:themeColor="text1"/>
          <w:szCs w:val="16"/>
        </w:rPr>
      </w:pPr>
      <w:r w:rsidRPr="00ED172B">
        <w:rPr>
          <w:color w:val="000000" w:themeColor="text1"/>
          <w:szCs w:val="16"/>
        </w:rPr>
        <w:t xml:space="preserve">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3DF3A821" w14:textId="77777777" w:rsidR="00955129" w:rsidRPr="00EC51AB" w:rsidRDefault="00955129" w:rsidP="00D77E41">
      <w:pPr>
        <w:rPr>
          <w:szCs w:val="16"/>
        </w:rPr>
      </w:pPr>
      <w:r w:rsidRPr="00EC51AB">
        <w:rPr>
          <w:szCs w:val="16"/>
        </w:rPr>
        <w:t xml:space="preserve">Indicator 8A: The measurement is intended to capture those children </w:t>
      </w:r>
      <w:proofErr w:type="gramStart"/>
      <w:r w:rsidRPr="00EC51AB">
        <w:rPr>
          <w:szCs w:val="16"/>
        </w:rPr>
        <w:t>exiting</w:t>
      </w:r>
      <w:proofErr w:type="gramEnd"/>
      <w:r w:rsidRPr="00EC51AB">
        <w:rPr>
          <w:szCs w:val="16"/>
        </w:rPr>
        <w:t xml:space="preserve"> at age 3 for whom an IFSP must be developed with transition steps and services within the required timeline consistent with 34 CFR </w:t>
      </w:r>
      <w:r w:rsidR="0060440D" w:rsidRPr="00ED172B">
        <w:rPr>
          <w:color w:val="000000" w:themeColor="text1"/>
          <w:szCs w:val="16"/>
        </w:rPr>
        <w:t>§</w:t>
      </w:r>
      <w:r w:rsidRPr="00EC51AB">
        <w:rPr>
          <w:szCs w:val="16"/>
        </w:rPr>
        <w:t>303.209(d) and, as such, only children between 2 years 3 months and 2 years 9 months should be included in the denominator.</w:t>
      </w:r>
    </w:p>
    <w:p w14:paraId="4785D3FA"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7421FD6D"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5704361B"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579C9F38"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2E951963" w14:textId="77777777"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28FBAFFA" w14:textId="77777777" w:rsidR="00C1243C" w:rsidRPr="00EC51AB" w:rsidRDefault="00C538B3" w:rsidP="00D77E41">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5A9AC876" w14:textId="77777777" w:rsidR="00D77E41" w:rsidRPr="00A40EE1" w:rsidRDefault="000D0117" w:rsidP="007B0787">
      <w:pPr>
        <w:pStyle w:val="Heading2"/>
      </w:pPr>
      <w:r w:rsidRPr="00A40EE1">
        <w:t xml:space="preserve">8B - </w:t>
      </w:r>
      <w:r w:rsidR="00D77E41" w:rsidRPr="00A40EE1">
        <w:t>Indicator Data</w:t>
      </w:r>
    </w:p>
    <w:p w14:paraId="7F092B02" w14:textId="7777777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2899"/>
        <w:gridCol w:w="875"/>
      </w:tblGrid>
      <w:tr w:rsidR="00C25621" w:rsidRPr="00ED172B" w14:paraId="25F58778" w14:textId="77777777" w:rsidTr="00A40EE1">
        <w:trPr>
          <w:trHeight w:val="350"/>
          <w:tblHeader/>
        </w:trPr>
        <w:tc>
          <w:tcPr>
            <w:tcW w:w="4285" w:type="pct"/>
            <w:tcBorders>
              <w:bottom w:val="single" w:sz="4" w:space="0" w:color="auto"/>
            </w:tcBorders>
            <w:vAlign w:val="center"/>
          </w:tcPr>
          <w:p w14:paraId="1DC3EB42"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vAlign w:val="center"/>
          </w:tcPr>
          <w:p w14:paraId="0024FC73"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1A956418" w14:textId="77777777" w:rsidTr="00A40EE1">
        <w:trPr>
          <w:trHeight w:val="350"/>
        </w:trPr>
        <w:tc>
          <w:tcPr>
            <w:tcW w:w="4285" w:type="pct"/>
            <w:tcBorders>
              <w:bottom w:val="single" w:sz="4" w:space="0" w:color="auto"/>
            </w:tcBorders>
            <w:vAlign w:val="center"/>
          </w:tcPr>
          <w:p w14:paraId="575AC935" w14:textId="77777777" w:rsidR="000378F3" w:rsidRPr="00ED172B" w:rsidRDefault="000378F3" w:rsidP="000378F3">
            <w:pPr>
              <w:jc w:val="center"/>
              <w:rPr>
                <w:b/>
                <w:color w:val="000000" w:themeColor="text1"/>
              </w:rPr>
            </w:pPr>
            <w:r w:rsidRPr="00ED172B">
              <w:rPr>
                <w:color w:val="000000" w:themeColor="text1"/>
              </w:rPr>
              <w:t>2005</w:t>
            </w:r>
          </w:p>
        </w:tc>
        <w:tc>
          <w:tcPr>
            <w:tcW w:w="715" w:type="pct"/>
            <w:vAlign w:val="center"/>
          </w:tcPr>
          <w:p w14:paraId="50E5CA79" w14:textId="77777777" w:rsidR="000378F3" w:rsidRPr="00ED172B" w:rsidRDefault="000378F3" w:rsidP="000378F3">
            <w:pPr>
              <w:jc w:val="center"/>
              <w:rPr>
                <w:color w:val="000000" w:themeColor="text1"/>
              </w:rPr>
            </w:pPr>
            <w:r w:rsidRPr="00ED172B">
              <w:rPr>
                <w:color w:val="000000" w:themeColor="text1"/>
              </w:rPr>
              <w:t>100.00%</w:t>
            </w:r>
          </w:p>
        </w:tc>
      </w:tr>
    </w:tbl>
    <w:p w14:paraId="702DA1EA"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684"/>
        <w:gridCol w:w="2022"/>
        <w:gridCol w:w="2022"/>
        <w:gridCol w:w="2022"/>
        <w:gridCol w:w="2022"/>
        <w:gridCol w:w="2018"/>
      </w:tblGrid>
      <w:tr w:rsidR="00ED172B" w:rsidRPr="00ED172B" w14:paraId="2C01D4EB" w14:textId="77777777" w:rsidTr="00A40EE1">
        <w:trPr>
          <w:trHeight w:val="350"/>
        </w:trPr>
        <w:tc>
          <w:tcPr>
            <w:tcW w:w="317" w:type="pct"/>
            <w:tcBorders>
              <w:bottom w:val="single" w:sz="4" w:space="0" w:color="auto"/>
            </w:tcBorders>
          </w:tcPr>
          <w:p w14:paraId="21A98CDD"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008DC1B2"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594C811C"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6701F8E5"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51B659CF"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5BA03443"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3E8B09FF" w14:textId="77777777" w:rsidTr="00A40EE1">
        <w:trPr>
          <w:trHeight w:val="357"/>
        </w:trPr>
        <w:tc>
          <w:tcPr>
            <w:tcW w:w="317" w:type="pct"/>
          </w:tcPr>
          <w:p w14:paraId="5D520865"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2F190068"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6D3156F7"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18E242FC"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3B307DC3"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4E556EDE" w14:textId="77777777"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2439B4CC" w14:textId="77777777" w:rsidTr="00A40EE1">
        <w:trPr>
          <w:trHeight w:val="85"/>
        </w:trPr>
        <w:tc>
          <w:tcPr>
            <w:tcW w:w="317" w:type="pct"/>
          </w:tcPr>
          <w:p w14:paraId="770B632F"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0AE90354"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28316DBB"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0B4B6BF7"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67798BB7"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3CF1D308"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54D9B63F" w14:textId="77777777" w:rsidR="008A4FF2" w:rsidRPr="00ED172B" w:rsidRDefault="008A4FF2">
      <w:pPr>
        <w:rPr>
          <w:b/>
          <w:color w:val="000000" w:themeColor="text1"/>
        </w:rPr>
      </w:pPr>
    </w:p>
    <w:p w14:paraId="3F317B4F" w14:textId="77777777" w:rsidR="008A4FF2" w:rsidRPr="00ED172B" w:rsidRDefault="008A4FF2">
      <w:pPr>
        <w:rPr>
          <w:b/>
          <w:color w:val="000000" w:themeColor="text1"/>
        </w:rPr>
      </w:pPr>
    </w:p>
    <w:p w14:paraId="6854592B" w14:textId="77777777" w:rsidR="00DC0682" w:rsidRPr="00ED172B" w:rsidRDefault="00DC0682">
      <w:pPr>
        <w:rPr>
          <w:b/>
          <w:color w:val="000000" w:themeColor="text1"/>
        </w:rPr>
      </w:pPr>
      <w:r w:rsidRPr="00ED172B">
        <w:rPr>
          <w:b/>
          <w:color w:val="000000" w:themeColor="text1"/>
        </w:rPr>
        <w:t>Targets</w:t>
      </w:r>
    </w:p>
    <w:tbl>
      <w:tblPr>
        <w:tblW w:w="2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679"/>
        <w:gridCol w:w="2582"/>
        <w:gridCol w:w="2760"/>
      </w:tblGrid>
      <w:tr w:rsidR="00CF59E2" w:rsidRPr="00ED172B" w14:paraId="327F5200" w14:textId="77777777" w:rsidTr="00811738">
        <w:trPr>
          <w:trHeight w:val="265"/>
        </w:trPr>
        <w:tc>
          <w:tcPr>
            <w:tcW w:w="564" w:type="pct"/>
            <w:tcBorders>
              <w:bottom w:val="single" w:sz="4" w:space="0" w:color="auto"/>
            </w:tcBorders>
          </w:tcPr>
          <w:p w14:paraId="06EDADCD" w14:textId="77777777" w:rsidR="00CF59E2" w:rsidRPr="00ED172B" w:rsidRDefault="00CF59E2" w:rsidP="00A74C59">
            <w:pPr>
              <w:jc w:val="center"/>
              <w:rPr>
                <w:b/>
                <w:color w:val="000000" w:themeColor="text1"/>
                <w:szCs w:val="16"/>
              </w:rPr>
            </w:pPr>
            <w:r w:rsidRPr="00ED172B">
              <w:rPr>
                <w:b/>
                <w:color w:val="000000" w:themeColor="text1"/>
                <w:szCs w:val="16"/>
              </w:rPr>
              <w:t>FFY</w:t>
            </w:r>
          </w:p>
        </w:tc>
        <w:tc>
          <w:tcPr>
            <w:tcW w:w="2144" w:type="pct"/>
            <w:vAlign w:val="center"/>
          </w:tcPr>
          <w:p w14:paraId="67314984" w14:textId="77777777" w:rsidR="00CF59E2" w:rsidRPr="00ED172B" w:rsidRDefault="00CF59E2" w:rsidP="00A74C59">
            <w:pPr>
              <w:jc w:val="center"/>
              <w:rPr>
                <w:b/>
                <w:color w:val="000000" w:themeColor="text1"/>
                <w:szCs w:val="16"/>
              </w:rPr>
            </w:pPr>
            <w:r w:rsidRPr="00ED172B">
              <w:rPr>
                <w:rFonts w:cs="Arial"/>
                <w:b/>
                <w:color w:val="000000" w:themeColor="text1"/>
                <w:szCs w:val="16"/>
              </w:rPr>
              <w:t>2024</w:t>
            </w:r>
          </w:p>
        </w:tc>
        <w:tc>
          <w:tcPr>
            <w:tcW w:w="2292" w:type="pct"/>
          </w:tcPr>
          <w:p w14:paraId="68DE480F" w14:textId="77777777" w:rsidR="00CF59E2" w:rsidRPr="00ED172B" w:rsidRDefault="00CF59E2" w:rsidP="00A74C59">
            <w:pPr>
              <w:jc w:val="center"/>
              <w:rPr>
                <w:rFonts w:cs="Arial"/>
                <w:b/>
                <w:color w:val="000000" w:themeColor="text1"/>
                <w:szCs w:val="16"/>
              </w:rPr>
            </w:pPr>
            <w:r>
              <w:rPr>
                <w:rFonts w:cs="Arial"/>
                <w:b/>
                <w:color w:val="000000" w:themeColor="text1"/>
                <w:szCs w:val="16"/>
              </w:rPr>
              <w:t>2025</w:t>
            </w:r>
          </w:p>
        </w:tc>
      </w:tr>
      <w:tr w:rsidR="00CF59E2" w:rsidRPr="00ED172B" w14:paraId="11D8FD67" w14:textId="77777777" w:rsidTr="00811738">
        <w:trPr>
          <w:trHeight w:val="270"/>
        </w:trPr>
        <w:tc>
          <w:tcPr>
            <w:tcW w:w="564" w:type="pct"/>
          </w:tcPr>
          <w:p w14:paraId="597988B7"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4" w:type="pct"/>
          </w:tcPr>
          <w:p w14:paraId="267EAF98" w14:textId="77777777" w:rsidR="00CF59E2" w:rsidRPr="00ED172B" w:rsidRDefault="00CF59E2" w:rsidP="00A74C59">
            <w:pPr>
              <w:jc w:val="center"/>
              <w:rPr>
                <w:color w:val="000000" w:themeColor="text1"/>
                <w:szCs w:val="16"/>
              </w:rPr>
            </w:pPr>
            <w:r w:rsidRPr="00ED172B">
              <w:rPr>
                <w:color w:val="000000" w:themeColor="text1"/>
                <w:szCs w:val="16"/>
              </w:rPr>
              <w:t>100%</w:t>
            </w:r>
          </w:p>
        </w:tc>
        <w:tc>
          <w:tcPr>
            <w:tcW w:w="2292" w:type="pct"/>
          </w:tcPr>
          <w:p w14:paraId="65232F43" w14:textId="77777777" w:rsidR="00CF59E2" w:rsidRPr="00ED172B" w:rsidRDefault="00CF59E2" w:rsidP="00A74C59">
            <w:pPr>
              <w:jc w:val="center"/>
              <w:rPr>
                <w:color w:val="000000" w:themeColor="text1"/>
                <w:szCs w:val="16"/>
              </w:rPr>
            </w:pPr>
            <w:r>
              <w:rPr>
                <w:rFonts w:cs="Arial"/>
                <w:color w:val="000000" w:themeColor="text1"/>
                <w:szCs w:val="16"/>
              </w:rPr>
              <w:t>100%</w:t>
            </w:r>
          </w:p>
        </w:tc>
      </w:tr>
    </w:tbl>
    <w:p w14:paraId="4C7E06A6" w14:textId="77777777" w:rsidR="008E7B96" w:rsidRPr="00ED172B" w:rsidRDefault="00F22D09">
      <w:pPr>
        <w:rPr>
          <w:b/>
          <w:color w:val="000000" w:themeColor="text1"/>
        </w:rPr>
      </w:pPr>
      <w:r>
        <w:rPr>
          <w:b/>
          <w:color w:val="000000" w:themeColor="text1"/>
        </w:rPr>
        <w:t>FFY 2024 SPP/APR Data</w:t>
      </w:r>
    </w:p>
    <w:p w14:paraId="19D1EAEB" w14:textId="77777777"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252E0055" w14:textId="77777777" w:rsidR="000A170A" w:rsidRDefault="000A170A" w:rsidP="00F939F8">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34F4773D" w14:textId="77777777" w:rsidTr="00986B99">
        <w:trPr>
          <w:tblHeader/>
        </w:trPr>
        <w:tc>
          <w:tcPr>
            <w:tcW w:w="1376" w:type="pct"/>
            <w:vAlign w:val="bottom"/>
          </w:tcPr>
          <w:p w14:paraId="70CF70E0" w14:textId="77777777"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vAlign w:val="bottom"/>
          </w:tcPr>
          <w:p w14:paraId="612A43D3" w14:textId="77777777"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vAlign w:val="bottom"/>
          </w:tcPr>
          <w:p w14:paraId="2D78D8A2" w14:textId="77777777" w:rsidR="00F939F8" w:rsidRPr="00ED172B" w:rsidRDefault="00CD74B5" w:rsidP="00F939F8">
            <w:pPr>
              <w:jc w:val="center"/>
              <w:rPr>
                <w:b/>
                <w:color w:val="000000" w:themeColor="text1"/>
                <w:szCs w:val="16"/>
              </w:rPr>
            </w:pPr>
            <w:r>
              <w:rPr>
                <w:rFonts w:cs="Arial"/>
                <w:b/>
                <w:color w:val="000000" w:themeColor="text1"/>
                <w:szCs w:val="16"/>
              </w:rPr>
              <w:t>FFY 2023 Data</w:t>
            </w:r>
          </w:p>
        </w:tc>
        <w:tc>
          <w:tcPr>
            <w:tcW w:w="625" w:type="pct"/>
            <w:vAlign w:val="bottom"/>
          </w:tcPr>
          <w:p w14:paraId="101B96AC" w14:textId="77777777" w:rsidR="00F939F8" w:rsidRPr="00ED172B" w:rsidRDefault="00F22D09" w:rsidP="00F939F8">
            <w:pPr>
              <w:jc w:val="center"/>
              <w:rPr>
                <w:b/>
                <w:color w:val="000000" w:themeColor="text1"/>
                <w:szCs w:val="16"/>
              </w:rPr>
            </w:pPr>
            <w:r>
              <w:rPr>
                <w:rFonts w:cs="Arial"/>
                <w:b/>
                <w:color w:val="000000" w:themeColor="text1"/>
                <w:szCs w:val="16"/>
              </w:rPr>
              <w:t>FFY 2024 Target</w:t>
            </w:r>
          </w:p>
        </w:tc>
        <w:tc>
          <w:tcPr>
            <w:tcW w:w="542" w:type="pct"/>
            <w:vAlign w:val="bottom"/>
          </w:tcPr>
          <w:p w14:paraId="0D6FF378" w14:textId="77777777" w:rsidR="00F939F8" w:rsidRPr="00ED172B" w:rsidRDefault="00F22D09" w:rsidP="00F939F8">
            <w:pPr>
              <w:jc w:val="center"/>
              <w:rPr>
                <w:b/>
                <w:color w:val="000000" w:themeColor="text1"/>
                <w:szCs w:val="16"/>
              </w:rPr>
            </w:pPr>
            <w:r>
              <w:rPr>
                <w:rFonts w:cs="Arial"/>
                <w:b/>
                <w:color w:val="000000" w:themeColor="text1"/>
                <w:szCs w:val="16"/>
              </w:rPr>
              <w:t>FFY 2024 Data</w:t>
            </w:r>
          </w:p>
        </w:tc>
        <w:tc>
          <w:tcPr>
            <w:tcW w:w="542" w:type="pct"/>
            <w:vAlign w:val="bottom"/>
          </w:tcPr>
          <w:p w14:paraId="1ADBF1CD" w14:textId="77777777"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vAlign w:val="bottom"/>
          </w:tcPr>
          <w:p w14:paraId="02D80996" w14:textId="77777777"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06DE3C7F" w14:textId="77777777" w:rsidTr="00986B99">
        <w:tc>
          <w:tcPr>
            <w:tcW w:w="1376" w:type="pct"/>
            <w:vAlign w:val="center"/>
          </w:tcPr>
          <w:p w14:paraId="218F3E66" w14:textId="77777777" w:rsidR="00F939F8" w:rsidRPr="00ED172B" w:rsidRDefault="00860830" w:rsidP="00F939F8">
            <w:pPr>
              <w:jc w:val="center"/>
              <w:rPr>
                <w:color w:val="000000" w:themeColor="text1"/>
                <w:szCs w:val="16"/>
              </w:rPr>
            </w:pPr>
            <w:r w:rsidRPr="00ED172B">
              <w:rPr>
                <w:color w:val="000000" w:themeColor="text1"/>
                <w:szCs w:val="16"/>
              </w:rPr>
              <w:t>152</w:t>
            </w:r>
          </w:p>
        </w:tc>
        <w:tc>
          <w:tcPr>
            <w:tcW w:w="750" w:type="pct"/>
            <w:vAlign w:val="center"/>
          </w:tcPr>
          <w:p w14:paraId="0F59945E" w14:textId="77777777" w:rsidR="00F939F8" w:rsidRPr="00ED172B" w:rsidRDefault="00860830" w:rsidP="00F939F8">
            <w:pPr>
              <w:jc w:val="center"/>
              <w:rPr>
                <w:color w:val="000000" w:themeColor="text1"/>
                <w:szCs w:val="16"/>
              </w:rPr>
            </w:pPr>
            <w:r w:rsidRPr="00ED172B">
              <w:rPr>
                <w:color w:val="000000" w:themeColor="text1"/>
                <w:szCs w:val="16"/>
              </w:rPr>
              <w:t>152</w:t>
            </w:r>
          </w:p>
        </w:tc>
        <w:tc>
          <w:tcPr>
            <w:tcW w:w="626" w:type="pct"/>
          </w:tcPr>
          <w:p w14:paraId="7A9D8E4C" w14:textId="77777777"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625" w:type="pct"/>
          </w:tcPr>
          <w:p w14:paraId="0968E3A3" w14:textId="77777777"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tcPr>
          <w:p w14:paraId="17F19898" w14:textId="77777777" w:rsidR="00F939F8" w:rsidRPr="00ED172B" w:rsidRDefault="00860830" w:rsidP="00F939F8">
            <w:pPr>
              <w:jc w:val="center"/>
              <w:rPr>
                <w:color w:val="000000" w:themeColor="text1"/>
                <w:szCs w:val="16"/>
              </w:rPr>
            </w:pPr>
            <w:r w:rsidRPr="00ED172B">
              <w:rPr>
                <w:rFonts w:cs="Arial"/>
                <w:color w:val="000000" w:themeColor="text1"/>
                <w:szCs w:val="16"/>
              </w:rPr>
              <w:t>100.00%</w:t>
            </w:r>
          </w:p>
        </w:tc>
        <w:tc>
          <w:tcPr>
            <w:tcW w:w="542" w:type="pct"/>
          </w:tcPr>
          <w:p w14:paraId="2A77B16C" w14:textId="77777777" w:rsidR="00F939F8" w:rsidRPr="00ED172B" w:rsidRDefault="00320806" w:rsidP="00320806">
            <w:pPr>
              <w:jc w:val="center"/>
              <w:rPr>
                <w:color w:val="000000" w:themeColor="text1"/>
              </w:rPr>
            </w:pPr>
            <w:r w:rsidRPr="00ED172B">
              <w:rPr>
                <w:color w:val="000000" w:themeColor="text1"/>
              </w:rPr>
              <w:t>Met target</w:t>
            </w:r>
          </w:p>
        </w:tc>
        <w:tc>
          <w:tcPr>
            <w:tcW w:w="539" w:type="pct"/>
          </w:tcPr>
          <w:p w14:paraId="4CDE4A89" w14:textId="77777777" w:rsidR="00F939F8" w:rsidRPr="00ED172B" w:rsidRDefault="00320806" w:rsidP="00320806">
            <w:pPr>
              <w:jc w:val="center"/>
              <w:rPr>
                <w:color w:val="000000" w:themeColor="text1"/>
              </w:rPr>
            </w:pPr>
            <w:r w:rsidRPr="00ED172B">
              <w:rPr>
                <w:color w:val="000000" w:themeColor="text1"/>
              </w:rPr>
              <w:t>No Slippage</w:t>
            </w:r>
          </w:p>
        </w:tc>
      </w:tr>
    </w:tbl>
    <w:p w14:paraId="16C375A2"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638482BE" w14:textId="77777777"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6D98AA62" w14:textId="77777777" w:rsidR="00C1714A" w:rsidRDefault="00C1714A" w:rsidP="00C1714A">
      <w:pPr>
        <w:rPr>
          <w:color w:val="000000" w:themeColor="text1"/>
          <w:szCs w:val="16"/>
        </w:rPr>
      </w:pPr>
      <w:r w:rsidRPr="00ED172B">
        <w:rPr>
          <w:color w:val="000000" w:themeColor="text1"/>
          <w:szCs w:val="16"/>
        </w:rPr>
        <w:t>0</w:t>
      </w:r>
    </w:p>
    <w:p w14:paraId="14CD5901"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24DC4851" w14:textId="77777777" w:rsidR="001F3FD2" w:rsidRPr="00ED172B" w:rsidRDefault="001F3FD2" w:rsidP="001F3FD2">
      <w:pPr>
        <w:rPr>
          <w:rFonts w:cs="Arial"/>
          <w:color w:val="000000" w:themeColor="text1"/>
          <w:szCs w:val="16"/>
        </w:rPr>
      </w:pPr>
    </w:p>
    <w:p w14:paraId="31CF13CF" w14:textId="77777777" w:rsidR="001F3FD2" w:rsidRPr="00ED172B" w:rsidRDefault="001F3FD2" w:rsidP="00C1714A">
      <w:pPr>
        <w:rPr>
          <w:rFonts w:cs="Arial"/>
          <w:color w:val="000000" w:themeColor="text1"/>
          <w:szCs w:val="16"/>
        </w:rPr>
      </w:pPr>
    </w:p>
    <w:p w14:paraId="7037B181" w14:textId="77777777"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23A1A2BE" w14:textId="77777777" w:rsidR="003C1AB9" w:rsidRPr="00ED172B" w:rsidRDefault="00860830" w:rsidP="003C1AB9">
      <w:pPr>
        <w:rPr>
          <w:color w:val="000000" w:themeColor="text1"/>
          <w:szCs w:val="16"/>
        </w:rPr>
      </w:pPr>
      <w:r w:rsidRPr="00ED172B">
        <w:rPr>
          <w:color w:val="000000" w:themeColor="text1"/>
          <w:szCs w:val="16"/>
        </w:rPr>
        <w:t xml:space="preserve">The data collection is completed through our state’s file review process. All EI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Early Intervention and Early Intervention Transition. Files are selected to match the individual race/ethnicity, disability, and gender distribution for each EI program based on the December child count. Individual child procedural compliance data is collected by programs and submitted to the State electronically through the SPR&amp;I database. The State works collaboratively with programs on comprehensive data collection, analysis, performance reporting, improvement planning, implementation, and reporting of progress. The SPR&amp;I system provides the State with the mechanism for review of district/program policies, procedures, and systems to ensure the requirements set forth in 34 CFR §303.700-708 are met.  </w:t>
      </w:r>
    </w:p>
    <w:p w14:paraId="0AED16B0" w14:textId="77777777" w:rsidR="000575B2" w:rsidRDefault="00D6492D">
      <w:r>
        <w:rPr>
          <w:color w:val="000000"/>
        </w:rPr>
        <w:t xml:space="preserve"> </w:t>
      </w:r>
    </w:p>
    <w:p w14:paraId="448C123D" w14:textId="77777777" w:rsidR="000575B2" w:rsidRDefault="00D6492D">
      <w:r>
        <w:rPr>
          <w:color w:val="000000"/>
        </w:rPr>
        <w:t xml:space="preserve">The SEA and LEA are notified monthly via </w:t>
      </w:r>
      <w:proofErr w:type="spellStart"/>
      <w:r>
        <w:rPr>
          <w:color w:val="000000"/>
        </w:rPr>
        <w:t>ecWeb</w:t>
      </w:r>
      <w:proofErr w:type="spellEnd"/>
      <w:r>
        <w:rPr>
          <w:color w:val="000000"/>
        </w:rPr>
        <w:t xml:space="preserve"> (the statewide EI/ECSE special education database) of all children transitioning from early intervention to early childhood special education. On the first day of every month, </w:t>
      </w:r>
      <w:proofErr w:type="gramStart"/>
      <w:r>
        <w:rPr>
          <w:color w:val="000000"/>
        </w:rPr>
        <w:t>in</w:t>
      </w:r>
      <w:proofErr w:type="gramEnd"/>
      <w:r>
        <w:rPr>
          <w:color w:val="000000"/>
        </w:rPr>
        <w:t xml:space="preserve"> </w:t>
      </w:r>
      <w:proofErr w:type="spellStart"/>
      <w:r>
        <w:rPr>
          <w:color w:val="000000"/>
        </w:rPr>
        <w:t>ecWeb</w:t>
      </w:r>
      <w:proofErr w:type="spellEnd"/>
      <w:r>
        <w:rPr>
          <w:color w:val="000000"/>
        </w:rPr>
        <w:t xml:space="preserve">, an SEA/LEA Transition Notification report is generated and distributed to the SEA/LEA. These data comprise a list of all the EI children in Oregon who are currently in the process of transitioning to ECSE services. </w:t>
      </w:r>
    </w:p>
    <w:p w14:paraId="4CA47FC2" w14:textId="77777777"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5DC607E5" w14:textId="77777777" w:rsidR="00C476A6" w:rsidRDefault="00C476A6" w:rsidP="003C1AB9">
      <w:pPr>
        <w:rPr>
          <w:color w:val="000000" w:themeColor="text1"/>
          <w:szCs w:val="16"/>
        </w:rPr>
      </w:pPr>
      <w:r w:rsidRPr="00ED172B">
        <w:rPr>
          <w:color w:val="000000" w:themeColor="text1"/>
          <w:szCs w:val="16"/>
        </w:rPr>
        <w:t>NO</w:t>
      </w:r>
    </w:p>
    <w:p w14:paraId="1129D4E7"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0CD96D4D" w14:textId="77777777" w:rsidR="000709B9" w:rsidRDefault="00860830" w:rsidP="00B83404">
      <w:pPr>
        <w:rPr>
          <w:color w:val="000000" w:themeColor="text1"/>
        </w:rPr>
      </w:pPr>
      <w:r w:rsidRPr="00ED172B">
        <w:rPr>
          <w:color w:val="000000" w:themeColor="text1"/>
        </w:rPr>
        <w:t>State monitoring</w:t>
      </w:r>
    </w:p>
    <w:p w14:paraId="0C42CC1D" w14:textId="77777777" w:rsidR="000709B9" w:rsidRPr="00ED172B" w:rsidRDefault="000709B9" w:rsidP="00B83404">
      <w:pPr>
        <w:rPr>
          <w:b/>
          <w:i/>
          <w:color w:val="000000" w:themeColor="text1"/>
        </w:rPr>
      </w:pPr>
      <w:r w:rsidRPr="00ED172B">
        <w:rPr>
          <w:b/>
          <w:color w:val="000000" w:themeColor="text1"/>
        </w:rPr>
        <w:t xml:space="preserve">Describe the method used to select EIS programs for monitoring. </w:t>
      </w:r>
    </w:p>
    <w:p w14:paraId="799D1D4B" w14:textId="77777777" w:rsidR="000709B9" w:rsidRDefault="00860830" w:rsidP="000709B9">
      <w:pPr>
        <w:rPr>
          <w:color w:val="000000" w:themeColor="text1"/>
        </w:rPr>
      </w:pPr>
      <w:r w:rsidRPr="00ED172B">
        <w:rPr>
          <w:color w:val="000000" w:themeColor="text1"/>
        </w:rPr>
        <w:t xml:space="preserve">The Oregon Department of Education (ODE) uses the System Performance Review and Improvement (SPR&amp;I) process to select Early Intervention (EI) programs for annual monitoring. All programs receiving IDEA Part C funds participate in this statewide accountability system, which focuses on procedural compliance and performance on key federal and state indicators. </w:t>
      </w:r>
    </w:p>
    <w:p w14:paraId="1B79BF42" w14:textId="77777777" w:rsidR="000575B2" w:rsidRDefault="000575B2"/>
    <w:p w14:paraId="28AB07F1" w14:textId="77777777" w:rsidR="000575B2" w:rsidRDefault="00D6492D">
      <w:r>
        <w:rPr>
          <w:color w:val="000000"/>
        </w:rPr>
        <w:t xml:space="preserve">Each year, programs conduct a review of individual child records based on a number set by the State. Files are divided evenly between Early Intervention and Transition from Early Intervention and are selected to reflect the program’s population by race/ethnicity, disability, and gender using data from the most recent December 1 child count. </w:t>
      </w:r>
    </w:p>
    <w:p w14:paraId="445C6E89" w14:textId="77777777" w:rsidR="000575B2" w:rsidRDefault="000575B2"/>
    <w:p w14:paraId="29094A46" w14:textId="77777777" w:rsidR="000575B2" w:rsidRDefault="00D6492D">
      <w:r>
        <w:rPr>
          <w:color w:val="000000"/>
        </w:rPr>
        <w:t xml:space="preserve">Programs enter compliance data into the SPR&amp;I database, including timely SEA/LEA transition notifications and reasons for not meeting the required timeline. ODE reviews these data to evaluate compliance, verify correction of noncompliance, and identify areas for improvement. Through the SPR&amp;I process, ODE and local programs work together to use data for continuous improvement and ensure timely, high-quality transition services for children and families. </w:t>
      </w:r>
    </w:p>
    <w:p w14:paraId="6473245D" w14:textId="77777777" w:rsidR="003A3693" w:rsidRPr="00ED172B" w:rsidRDefault="003A3693" w:rsidP="00950382">
      <w:pPr>
        <w:rPr>
          <w:b/>
          <w:color w:val="000000" w:themeColor="text1"/>
        </w:rPr>
      </w:pPr>
      <w:r w:rsidRPr="00ED172B">
        <w:rPr>
          <w:b/>
          <w:color w:val="000000" w:themeColor="text1"/>
        </w:rPr>
        <w:t>Provide additional information about this indicator (optional).</w:t>
      </w:r>
    </w:p>
    <w:p w14:paraId="3046E1D2" w14:textId="77777777" w:rsidR="003A3693" w:rsidRPr="00ED172B" w:rsidRDefault="003A3693" w:rsidP="003A3693">
      <w:pPr>
        <w:rPr>
          <w:rFonts w:cs="Arial"/>
          <w:color w:val="000000" w:themeColor="text1"/>
          <w:szCs w:val="16"/>
        </w:rPr>
      </w:pPr>
    </w:p>
    <w:p w14:paraId="2A520D8E" w14:textId="77777777"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BPFFYNCFINDINGS"/>
      </w:tblPr>
      <w:tblGrid>
        <w:gridCol w:w="2610"/>
        <w:gridCol w:w="2741"/>
        <w:gridCol w:w="2618"/>
        <w:gridCol w:w="2821"/>
      </w:tblGrid>
      <w:tr w:rsidR="00ED172B" w:rsidRPr="00ED172B" w14:paraId="077AB586" w14:textId="77777777" w:rsidTr="00986B99">
        <w:trPr>
          <w:tblHeader/>
        </w:trPr>
        <w:tc>
          <w:tcPr>
            <w:tcW w:w="1210" w:type="pct"/>
            <w:vAlign w:val="bottom"/>
          </w:tcPr>
          <w:p w14:paraId="28DED96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lastRenderedPageBreak/>
              <w:t>Findings of Noncompliance Identified</w:t>
            </w:r>
          </w:p>
        </w:tc>
        <w:tc>
          <w:tcPr>
            <w:tcW w:w="1270" w:type="pct"/>
            <w:vAlign w:val="bottom"/>
          </w:tcPr>
          <w:p w14:paraId="08461B1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vAlign w:val="bottom"/>
          </w:tcPr>
          <w:p w14:paraId="0489BAFE"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vAlign w:val="bottom"/>
          </w:tcPr>
          <w:p w14:paraId="32D744E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7809853D" w14:textId="77777777" w:rsidTr="00986B99">
        <w:tc>
          <w:tcPr>
            <w:tcW w:w="1210" w:type="pct"/>
          </w:tcPr>
          <w:p w14:paraId="09928F3A"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70" w:type="pct"/>
          </w:tcPr>
          <w:p w14:paraId="568D6ABA"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3" w:type="pct"/>
          </w:tcPr>
          <w:p w14:paraId="0A44466D"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tcPr>
          <w:p w14:paraId="784E89CD" w14:textId="77777777" w:rsidR="008203B4" w:rsidRPr="00ED172B" w:rsidRDefault="00860830" w:rsidP="00EC51AB">
            <w:pPr>
              <w:jc w:val="center"/>
              <w:rPr>
                <w:rFonts w:cs="Arial"/>
                <w:color w:val="000000" w:themeColor="text1"/>
                <w:szCs w:val="16"/>
              </w:rPr>
            </w:pPr>
            <w:r w:rsidRPr="00ED172B">
              <w:rPr>
                <w:rFonts w:cs="Arial"/>
                <w:color w:val="000000" w:themeColor="text1"/>
                <w:szCs w:val="16"/>
              </w:rPr>
              <w:t>0</w:t>
            </w:r>
          </w:p>
        </w:tc>
      </w:tr>
    </w:tbl>
    <w:p w14:paraId="20497A76"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3DEBB9BD" w14:textId="77777777" w:rsidR="00416EBD" w:rsidRPr="00EE69F5" w:rsidRDefault="00416EBD" w:rsidP="00416EBD"/>
    <w:p w14:paraId="17415C55" w14:textId="77777777" w:rsidR="008203B4" w:rsidRPr="00ED172B" w:rsidRDefault="008203B4"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BPPFFYNCFINDINGS"/>
      </w:tblPr>
      <w:tblGrid>
        <w:gridCol w:w="2005"/>
        <w:gridCol w:w="3185"/>
        <w:gridCol w:w="2857"/>
        <w:gridCol w:w="2743"/>
      </w:tblGrid>
      <w:tr w:rsidR="00ED172B" w:rsidRPr="00ED172B" w14:paraId="29ED2FF6" w14:textId="77777777" w:rsidTr="00986B99">
        <w:trPr>
          <w:tblHeader/>
        </w:trPr>
        <w:tc>
          <w:tcPr>
            <w:tcW w:w="929" w:type="pct"/>
            <w:vAlign w:val="bottom"/>
          </w:tcPr>
          <w:p w14:paraId="417FE61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vAlign w:val="bottom"/>
          </w:tcPr>
          <w:p w14:paraId="62AB0FEB"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24" w:type="pct"/>
            <w:vAlign w:val="bottom"/>
          </w:tcPr>
          <w:p w14:paraId="578E851C"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vAlign w:val="bottom"/>
          </w:tcPr>
          <w:p w14:paraId="11955BBE"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92F8AA7" w14:textId="77777777" w:rsidTr="00986B99">
        <w:tc>
          <w:tcPr>
            <w:tcW w:w="929" w:type="pct"/>
          </w:tcPr>
          <w:p w14:paraId="0B55C317" w14:textId="77777777" w:rsidR="008203B4" w:rsidRPr="00ED172B" w:rsidRDefault="008203B4" w:rsidP="00D21F29">
            <w:pPr>
              <w:jc w:val="center"/>
              <w:rPr>
                <w:rFonts w:cs="Arial"/>
                <w:color w:val="000000" w:themeColor="text1"/>
                <w:szCs w:val="16"/>
              </w:rPr>
            </w:pPr>
          </w:p>
        </w:tc>
        <w:tc>
          <w:tcPr>
            <w:tcW w:w="1476" w:type="pct"/>
          </w:tcPr>
          <w:p w14:paraId="742A1135" w14:textId="77777777" w:rsidR="008203B4" w:rsidRPr="00ED172B" w:rsidRDefault="008203B4" w:rsidP="00CD79C5">
            <w:pPr>
              <w:jc w:val="center"/>
              <w:rPr>
                <w:rFonts w:cs="Arial"/>
                <w:noProof/>
                <w:color w:val="000000" w:themeColor="text1"/>
                <w:szCs w:val="16"/>
              </w:rPr>
            </w:pPr>
          </w:p>
        </w:tc>
        <w:tc>
          <w:tcPr>
            <w:tcW w:w="1324" w:type="pct"/>
          </w:tcPr>
          <w:p w14:paraId="0CE325E1" w14:textId="77777777" w:rsidR="008203B4" w:rsidRPr="00ED172B" w:rsidRDefault="008203B4" w:rsidP="00CD79C5">
            <w:pPr>
              <w:jc w:val="center"/>
              <w:rPr>
                <w:rFonts w:cs="Arial"/>
                <w:noProof/>
                <w:color w:val="000000" w:themeColor="text1"/>
                <w:szCs w:val="16"/>
              </w:rPr>
            </w:pPr>
          </w:p>
        </w:tc>
        <w:tc>
          <w:tcPr>
            <w:tcW w:w="1271" w:type="pct"/>
          </w:tcPr>
          <w:p w14:paraId="0130D387" w14:textId="77777777" w:rsidR="008203B4" w:rsidRPr="00ED172B" w:rsidRDefault="008203B4" w:rsidP="00CD79C5">
            <w:pPr>
              <w:jc w:val="center"/>
              <w:rPr>
                <w:rFonts w:cs="Arial"/>
                <w:noProof/>
                <w:color w:val="000000" w:themeColor="text1"/>
                <w:szCs w:val="16"/>
              </w:rPr>
            </w:pPr>
          </w:p>
        </w:tc>
      </w:tr>
      <w:tr w:rsidR="00ED172B" w:rsidRPr="00ED172B" w14:paraId="6C4D16B8" w14:textId="77777777" w:rsidTr="00986B99">
        <w:tc>
          <w:tcPr>
            <w:tcW w:w="929" w:type="pct"/>
          </w:tcPr>
          <w:p w14:paraId="3FE713BE" w14:textId="77777777" w:rsidR="008203B4" w:rsidRPr="00ED172B" w:rsidRDefault="008203B4" w:rsidP="00D21F29">
            <w:pPr>
              <w:jc w:val="center"/>
              <w:rPr>
                <w:rFonts w:cs="Arial"/>
                <w:color w:val="000000" w:themeColor="text1"/>
                <w:szCs w:val="16"/>
              </w:rPr>
            </w:pPr>
          </w:p>
        </w:tc>
        <w:tc>
          <w:tcPr>
            <w:tcW w:w="1476" w:type="pct"/>
          </w:tcPr>
          <w:p w14:paraId="1EED349F" w14:textId="77777777" w:rsidR="008203B4" w:rsidRPr="00ED172B" w:rsidRDefault="008203B4" w:rsidP="00CD79C5">
            <w:pPr>
              <w:jc w:val="center"/>
              <w:rPr>
                <w:rFonts w:cs="Arial"/>
                <w:noProof/>
                <w:color w:val="000000" w:themeColor="text1"/>
                <w:szCs w:val="16"/>
              </w:rPr>
            </w:pPr>
          </w:p>
        </w:tc>
        <w:tc>
          <w:tcPr>
            <w:tcW w:w="1324" w:type="pct"/>
          </w:tcPr>
          <w:p w14:paraId="0D086E03" w14:textId="77777777" w:rsidR="008203B4" w:rsidRPr="00ED172B" w:rsidRDefault="008203B4" w:rsidP="00CD79C5">
            <w:pPr>
              <w:jc w:val="center"/>
              <w:rPr>
                <w:rFonts w:cs="Arial"/>
                <w:noProof/>
                <w:color w:val="000000" w:themeColor="text1"/>
                <w:szCs w:val="16"/>
              </w:rPr>
            </w:pPr>
          </w:p>
        </w:tc>
        <w:tc>
          <w:tcPr>
            <w:tcW w:w="1271" w:type="pct"/>
          </w:tcPr>
          <w:p w14:paraId="1771300D" w14:textId="77777777" w:rsidR="008203B4" w:rsidRPr="00ED172B" w:rsidRDefault="008203B4" w:rsidP="00CD79C5">
            <w:pPr>
              <w:jc w:val="center"/>
              <w:rPr>
                <w:rFonts w:cs="Arial"/>
                <w:noProof/>
                <w:color w:val="000000" w:themeColor="text1"/>
                <w:szCs w:val="16"/>
              </w:rPr>
            </w:pPr>
          </w:p>
        </w:tc>
      </w:tr>
      <w:tr w:rsidR="00ED172B" w:rsidRPr="00ED172B" w14:paraId="44C91AD8" w14:textId="77777777" w:rsidTr="00986B99">
        <w:tc>
          <w:tcPr>
            <w:tcW w:w="929" w:type="pct"/>
          </w:tcPr>
          <w:p w14:paraId="646D934B" w14:textId="77777777" w:rsidR="008203B4" w:rsidRPr="00ED172B" w:rsidRDefault="008203B4" w:rsidP="00D21F29">
            <w:pPr>
              <w:jc w:val="center"/>
              <w:rPr>
                <w:rFonts w:cs="Arial"/>
                <w:color w:val="000000" w:themeColor="text1"/>
                <w:szCs w:val="16"/>
              </w:rPr>
            </w:pPr>
          </w:p>
        </w:tc>
        <w:tc>
          <w:tcPr>
            <w:tcW w:w="1476" w:type="pct"/>
          </w:tcPr>
          <w:p w14:paraId="5AB8873A" w14:textId="77777777" w:rsidR="008203B4" w:rsidRPr="00ED172B" w:rsidRDefault="008203B4" w:rsidP="00CD79C5">
            <w:pPr>
              <w:jc w:val="center"/>
              <w:rPr>
                <w:rFonts w:cs="Arial"/>
                <w:noProof/>
                <w:color w:val="000000" w:themeColor="text1"/>
                <w:szCs w:val="16"/>
              </w:rPr>
            </w:pPr>
          </w:p>
        </w:tc>
        <w:tc>
          <w:tcPr>
            <w:tcW w:w="1324" w:type="pct"/>
          </w:tcPr>
          <w:p w14:paraId="742893E2" w14:textId="77777777" w:rsidR="008203B4" w:rsidRPr="00ED172B" w:rsidRDefault="008203B4" w:rsidP="00CD79C5">
            <w:pPr>
              <w:jc w:val="center"/>
              <w:rPr>
                <w:rFonts w:cs="Arial"/>
                <w:noProof/>
                <w:color w:val="000000" w:themeColor="text1"/>
                <w:szCs w:val="16"/>
              </w:rPr>
            </w:pPr>
          </w:p>
        </w:tc>
        <w:tc>
          <w:tcPr>
            <w:tcW w:w="1271" w:type="pct"/>
          </w:tcPr>
          <w:p w14:paraId="53BE40CF" w14:textId="77777777" w:rsidR="008203B4" w:rsidRPr="00ED172B" w:rsidRDefault="008203B4" w:rsidP="00CD79C5">
            <w:pPr>
              <w:jc w:val="center"/>
              <w:rPr>
                <w:rFonts w:cs="Arial"/>
                <w:noProof/>
                <w:color w:val="000000" w:themeColor="text1"/>
                <w:szCs w:val="16"/>
              </w:rPr>
            </w:pPr>
          </w:p>
        </w:tc>
      </w:tr>
      <w:tr w:rsidR="00422BEE" w:rsidRPr="00ED172B" w14:paraId="790CD064" w14:textId="77777777" w:rsidTr="00986B99">
        <w:tc>
          <w:tcPr>
            <w:tcW w:w="929" w:type="pct"/>
          </w:tcPr>
          <w:p w14:paraId="72179B8B" w14:textId="77777777" w:rsidR="00422BEE" w:rsidRPr="00ED172B" w:rsidRDefault="00422BEE" w:rsidP="00D21F29">
            <w:pPr>
              <w:jc w:val="center"/>
              <w:rPr>
                <w:rFonts w:cs="Arial"/>
                <w:color w:val="000000" w:themeColor="text1"/>
                <w:szCs w:val="16"/>
              </w:rPr>
            </w:pPr>
          </w:p>
        </w:tc>
        <w:tc>
          <w:tcPr>
            <w:tcW w:w="1476" w:type="pct"/>
          </w:tcPr>
          <w:p w14:paraId="0EB723DA" w14:textId="77777777" w:rsidR="00422BEE" w:rsidRPr="00ED172B" w:rsidRDefault="00422BEE" w:rsidP="00422BEE">
            <w:pPr>
              <w:jc w:val="center"/>
              <w:rPr>
                <w:rFonts w:cs="Arial"/>
                <w:color w:val="000000" w:themeColor="text1"/>
                <w:szCs w:val="16"/>
              </w:rPr>
            </w:pPr>
          </w:p>
        </w:tc>
        <w:tc>
          <w:tcPr>
            <w:tcW w:w="1324" w:type="pct"/>
          </w:tcPr>
          <w:p w14:paraId="22E71B84" w14:textId="77777777" w:rsidR="00422BEE" w:rsidRPr="00ED172B" w:rsidRDefault="00422BEE" w:rsidP="00422BEE">
            <w:pPr>
              <w:jc w:val="center"/>
              <w:rPr>
                <w:rFonts w:cs="Arial"/>
                <w:color w:val="000000" w:themeColor="text1"/>
                <w:szCs w:val="16"/>
              </w:rPr>
            </w:pPr>
          </w:p>
        </w:tc>
        <w:tc>
          <w:tcPr>
            <w:tcW w:w="1271" w:type="pct"/>
          </w:tcPr>
          <w:p w14:paraId="17176F12" w14:textId="77777777" w:rsidR="00422BEE" w:rsidRPr="00ED172B" w:rsidRDefault="00422BEE" w:rsidP="00422BEE">
            <w:pPr>
              <w:jc w:val="center"/>
              <w:rPr>
                <w:rFonts w:cs="Arial"/>
                <w:color w:val="000000" w:themeColor="text1"/>
                <w:szCs w:val="16"/>
              </w:rPr>
            </w:pPr>
          </w:p>
        </w:tc>
      </w:tr>
      <w:tr w:rsidR="00422BEE" w:rsidRPr="00ED172B" w14:paraId="3C3AC2D0" w14:textId="77777777" w:rsidTr="00986B99">
        <w:tc>
          <w:tcPr>
            <w:tcW w:w="929" w:type="pct"/>
          </w:tcPr>
          <w:p w14:paraId="7BA377C6" w14:textId="77777777" w:rsidR="00422BEE" w:rsidRPr="00ED172B" w:rsidRDefault="00422BEE" w:rsidP="00D21F29">
            <w:pPr>
              <w:jc w:val="center"/>
              <w:rPr>
                <w:rFonts w:cs="Arial"/>
                <w:color w:val="000000" w:themeColor="text1"/>
                <w:szCs w:val="16"/>
              </w:rPr>
            </w:pPr>
          </w:p>
        </w:tc>
        <w:tc>
          <w:tcPr>
            <w:tcW w:w="1476" w:type="pct"/>
          </w:tcPr>
          <w:p w14:paraId="4936D30D" w14:textId="77777777" w:rsidR="00422BEE" w:rsidRPr="00ED172B" w:rsidRDefault="00422BEE" w:rsidP="00422BEE">
            <w:pPr>
              <w:jc w:val="center"/>
              <w:rPr>
                <w:rFonts w:cs="Arial"/>
                <w:color w:val="000000" w:themeColor="text1"/>
                <w:szCs w:val="16"/>
              </w:rPr>
            </w:pPr>
          </w:p>
        </w:tc>
        <w:tc>
          <w:tcPr>
            <w:tcW w:w="1324" w:type="pct"/>
          </w:tcPr>
          <w:p w14:paraId="574B77C2" w14:textId="77777777" w:rsidR="00422BEE" w:rsidRPr="00ED172B" w:rsidRDefault="00422BEE" w:rsidP="00422BEE">
            <w:pPr>
              <w:jc w:val="center"/>
              <w:rPr>
                <w:rFonts w:cs="Arial"/>
                <w:color w:val="000000" w:themeColor="text1"/>
                <w:szCs w:val="16"/>
              </w:rPr>
            </w:pPr>
          </w:p>
        </w:tc>
        <w:tc>
          <w:tcPr>
            <w:tcW w:w="1271" w:type="pct"/>
          </w:tcPr>
          <w:p w14:paraId="053E25BF" w14:textId="77777777" w:rsidR="00422BEE" w:rsidRPr="00ED172B" w:rsidRDefault="00422BEE" w:rsidP="00422BEE">
            <w:pPr>
              <w:jc w:val="center"/>
              <w:rPr>
                <w:rFonts w:cs="Arial"/>
                <w:color w:val="000000" w:themeColor="text1"/>
                <w:szCs w:val="16"/>
              </w:rPr>
            </w:pPr>
          </w:p>
        </w:tc>
      </w:tr>
    </w:tbl>
    <w:p w14:paraId="355088C5" w14:textId="77777777" w:rsidR="008203B4" w:rsidRPr="00A40EE1" w:rsidRDefault="000D0117" w:rsidP="007B0787">
      <w:pPr>
        <w:pStyle w:val="Heading2"/>
      </w:pPr>
      <w:r w:rsidRPr="00A40EE1">
        <w:t xml:space="preserve">8B - </w:t>
      </w:r>
      <w:r w:rsidR="008203B4" w:rsidRPr="00A40EE1">
        <w:t>Prior FFY Required Actions</w:t>
      </w:r>
    </w:p>
    <w:p w14:paraId="6D9BB3EC" w14:textId="77777777" w:rsidR="004C1CEE" w:rsidRPr="00ED172B" w:rsidRDefault="00320806" w:rsidP="008203B4">
      <w:pPr>
        <w:rPr>
          <w:rFonts w:cs="Arial"/>
          <w:color w:val="000000" w:themeColor="text1"/>
          <w:szCs w:val="16"/>
        </w:rPr>
      </w:pPr>
      <w:r w:rsidRPr="00ED172B">
        <w:rPr>
          <w:color w:val="000000" w:themeColor="text1"/>
        </w:rPr>
        <w:t>None</w:t>
      </w:r>
    </w:p>
    <w:p w14:paraId="09525415" w14:textId="77777777" w:rsidR="008203B4" w:rsidRPr="00A40EE1" w:rsidRDefault="000D0117" w:rsidP="007B0787">
      <w:pPr>
        <w:pStyle w:val="Heading2"/>
      </w:pPr>
      <w:r w:rsidRPr="00A40EE1">
        <w:t xml:space="preserve">8B - </w:t>
      </w:r>
      <w:r w:rsidR="008203B4" w:rsidRPr="00A40EE1">
        <w:t>OSEP Response</w:t>
      </w:r>
    </w:p>
    <w:p w14:paraId="36705A1C" w14:textId="77777777" w:rsidR="008203B4" w:rsidRPr="00ED172B" w:rsidRDefault="008203B4" w:rsidP="00320806">
      <w:pPr>
        <w:rPr>
          <w:color w:val="000000" w:themeColor="text1"/>
        </w:rPr>
      </w:pPr>
    </w:p>
    <w:p w14:paraId="0F3DABA8" w14:textId="77777777" w:rsidR="008203B4" w:rsidRPr="00A40EE1" w:rsidRDefault="000D0117" w:rsidP="007B0787">
      <w:pPr>
        <w:pStyle w:val="Heading2"/>
      </w:pPr>
      <w:r w:rsidRPr="00A40EE1">
        <w:t xml:space="preserve">8B - </w:t>
      </w:r>
      <w:r w:rsidR="008203B4" w:rsidRPr="00A40EE1">
        <w:t>Required Actions</w:t>
      </w:r>
    </w:p>
    <w:p w14:paraId="4BEF0A72" w14:textId="77777777" w:rsidR="00D77E41" w:rsidRPr="00ED172B" w:rsidRDefault="00D77E41" w:rsidP="00811738">
      <w:pPr>
        <w:rPr>
          <w:rFonts w:eastAsiaTheme="majorEastAsia" w:cstheme="majorBidi"/>
          <w:b/>
          <w:bCs/>
          <w:color w:val="000000" w:themeColor="text1"/>
          <w:sz w:val="20"/>
          <w:szCs w:val="26"/>
        </w:rPr>
      </w:pPr>
      <w:r w:rsidRPr="00ED172B">
        <w:rPr>
          <w:color w:val="000000" w:themeColor="text1"/>
        </w:rPr>
        <w:br w:type="page"/>
      </w:r>
    </w:p>
    <w:p w14:paraId="2C709D05" w14:textId="77777777" w:rsidR="00D77E41" w:rsidRPr="00ED172B" w:rsidRDefault="00D77E41" w:rsidP="00D77E41">
      <w:pPr>
        <w:pStyle w:val="Heading1"/>
        <w:rPr>
          <w:color w:val="000000" w:themeColor="text1"/>
        </w:rPr>
      </w:pPr>
      <w:r w:rsidRPr="00ED172B">
        <w:rPr>
          <w:color w:val="000000" w:themeColor="text1"/>
        </w:rPr>
        <w:lastRenderedPageBreak/>
        <w:t>Indicator 8C: Early Childhood Transition</w:t>
      </w:r>
    </w:p>
    <w:p w14:paraId="774487FA"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1B2186BF" w14:textId="77777777"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03B09DA"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The percentage of toddlers with disabilities </w:t>
      </w:r>
      <w:proofErr w:type="gramStart"/>
      <w:r w:rsidRPr="00ED172B">
        <w:rPr>
          <w:color w:val="000000" w:themeColor="text1"/>
          <w:szCs w:val="16"/>
        </w:rPr>
        <w:t>exiting</w:t>
      </w:r>
      <w:proofErr w:type="gramEnd"/>
      <w:r w:rsidRPr="00ED172B">
        <w:rPr>
          <w:color w:val="000000" w:themeColor="text1"/>
          <w:szCs w:val="16"/>
        </w:rPr>
        <w:t xml:space="preserve"> Part C with timely transition planning for whom the Lead Agency has:</w:t>
      </w:r>
    </w:p>
    <w:p w14:paraId="23F5E071" w14:textId="7777777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2AB0066D" w14:textId="77777777"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3DF33FFE" w14:textId="77777777" w:rsidR="00D77E41" w:rsidRPr="00ED172B" w:rsidRDefault="007F55E8" w:rsidP="00ED172B">
      <w:pPr>
        <w:ind w:left="360"/>
        <w:rPr>
          <w:color w:val="000000" w:themeColor="text1"/>
          <w:szCs w:val="16"/>
        </w:rPr>
      </w:pPr>
      <w:r w:rsidRPr="00ED172B">
        <w:rPr>
          <w:color w:val="000000" w:themeColor="text1"/>
          <w:szCs w:val="16"/>
        </w:rPr>
        <w:t xml:space="preserve">C. Conducted the transition conference held with the approval of the </w:t>
      </w:r>
      <w:proofErr w:type="gramStart"/>
      <w:r w:rsidRPr="00ED172B">
        <w:rPr>
          <w:color w:val="000000" w:themeColor="text1"/>
          <w:szCs w:val="16"/>
        </w:rPr>
        <w:t>family</w:t>
      </w:r>
      <w:proofErr w:type="gramEnd"/>
      <w:r w:rsidRPr="00ED172B">
        <w:rPr>
          <w:color w:val="000000" w:themeColor="text1"/>
          <w:szCs w:val="16"/>
        </w:rPr>
        <w:t xml:space="preserve"> at least 90 days, and at the discretion of all parties, not more than nine months, prior to the toddler’s third birthday for toddlers potentially eligible for Part B preschool services.</w:t>
      </w:r>
    </w:p>
    <w:p w14:paraId="37EAB62F"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425C0AC8" w14:textId="77777777" w:rsidR="00D77E41" w:rsidRPr="00ED172B" w:rsidRDefault="00D77E41">
      <w:pPr>
        <w:rPr>
          <w:b/>
          <w:color w:val="000000" w:themeColor="text1"/>
        </w:rPr>
      </w:pPr>
      <w:r w:rsidRPr="00ED172B">
        <w:rPr>
          <w:b/>
          <w:color w:val="000000" w:themeColor="text1"/>
        </w:rPr>
        <w:t>Data Source</w:t>
      </w:r>
    </w:p>
    <w:p w14:paraId="60166F19"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57B1071E" w14:textId="77777777" w:rsidR="00D77E41" w:rsidRPr="00ED172B" w:rsidRDefault="00D77E41">
      <w:pPr>
        <w:rPr>
          <w:b/>
          <w:color w:val="000000" w:themeColor="text1"/>
        </w:rPr>
      </w:pPr>
      <w:r w:rsidRPr="00ED172B">
        <w:rPr>
          <w:b/>
          <w:color w:val="000000" w:themeColor="text1"/>
        </w:rPr>
        <w:t>Measurement</w:t>
      </w:r>
    </w:p>
    <w:p w14:paraId="3D6AFF76" w14:textId="77777777"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4CD72B7B" w14:textId="77777777"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75ABF0D0" w14:textId="77777777"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60424150"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68D08DAD" w14:textId="77777777" w:rsidR="00D77E41" w:rsidRPr="00ED172B" w:rsidRDefault="00D77E41">
      <w:pPr>
        <w:rPr>
          <w:b/>
          <w:color w:val="000000" w:themeColor="text1"/>
        </w:rPr>
      </w:pPr>
      <w:r w:rsidRPr="00ED172B">
        <w:rPr>
          <w:b/>
          <w:color w:val="000000" w:themeColor="text1"/>
        </w:rPr>
        <w:t>Instructions</w:t>
      </w:r>
    </w:p>
    <w:p w14:paraId="23D80A1B"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320862A2"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06BCBCDE" w14:textId="77777777" w:rsidR="00D77E41" w:rsidRPr="00ED172B" w:rsidRDefault="00D77E41" w:rsidP="00D77E41">
      <w:pPr>
        <w:rPr>
          <w:color w:val="000000" w:themeColor="text1"/>
          <w:szCs w:val="16"/>
        </w:rPr>
      </w:pPr>
      <w:r w:rsidRPr="00ED172B">
        <w:rPr>
          <w:color w:val="000000" w:themeColor="text1"/>
          <w:szCs w:val="16"/>
        </w:rPr>
        <w:t xml:space="preserve">Indicators 8A and 8C: If data </w:t>
      </w:r>
      <w:proofErr w:type="gramStart"/>
      <w:r w:rsidRPr="00ED172B">
        <w:rPr>
          <w:color w:val="000000" w:themeColor="text1"/>
          <w:szCs w:val="16"/>
        </w:rPr>
        <w:t>are</w:t>
      </w:r>
      <w:proofErr w:type="gramEnd"/>
      <w:r w:rsidRPr="00ED172B">
        <w:rPr>
          <w:color w:val="000000" w:themeColor="text1"/>
          <w:szCs w:val="16"/>
        </w:rPr>
        <w:t xml:space="preserv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w:t>
      </w:r>
      <w:proofErr w:type="gramStart"/>
      <w:r w:rsidRPr="00ED172B">
        <w:rPr>
          <w:color w:val="000000" w:themeColor="text1"/>
          <w:szCs w:val="16"/>
        </w:rPr>
        <w:t>time period</w:t>
      </w:r>
      <w:proofErr w:type="gramEnd"/>
      <w:r w:rsidRPr="00ED172B">
        <w:rPr>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11A6463A" w14:textId="77777777" w:rsidR="00D77E41" w:rsidRDefault="00D77E41" w:rsidP="00D77E41">
      <w:pPr>
        <w:rPr>
          <w:color w:val="000000" w:themeColor="text1"/>
          <w:szCs w:val="16"/>
        </w:rPr>
      </w:pPr>
      <w:r w:rsidRPr="00ED172B">
        <w:rPr>
          <w:color w:val="000000" w:themeColor="text1"/>
          <w:szCs w:val="16"/>
        </w:rPr>
        <w:t xml:space="preserve">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32E0CDAD" w14:textId="77777777" w:rsidR="0060440D" w:rsidRPr="00EC51AB" w:rsidRDefault="0060440D" w:rsidP="00D77E41">
      <w:pPr>
        <w:rPr>
          <w:szCs w:val="16"/>
        </w:rPr>
      </w:pPr>
      <w:r w:rsidRPr="00EC51AB">
        <w:rPr>
          <w:szCs w:val="16"/>
        </w:rPr>
        <w:t xml:space="preserve">Indicator 8A: The measurement is intended to capture those children </w:t>
      </w:r>
      <w:proofErr w:type="gramStart"/>
      <w:r w:rsidRPr="00EC51AB">
        <w:rPr>
          <w:szCs w:val="16"/>
        </w:rPr>
        <w:t>exiting</w:t>
      </w:r>
      <w:proofErr w:type="gramEnd"/>
      <w:r w:rsidRPr="00EC51AB">
        <w:rPr>
          <w:szCs w:val="16"/>
        </w:rPr>
        <w:t xml:space="preserve">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753F3EEF"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165E55E8"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3C125B28"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273FD803"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574EB3B2" w14:textId="77777777"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01508DE2" w14:textId="77777777" w:rsidR="00C1243C" w:rsidRPr="00EC51AB" w:rsidRDefault="00C538B3" w:rsidP="00D77E41">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0A5FBEE4" w14:textId="77777777" w:rsidR="00D77E41" w:rsidRPr="00A40EE1" w:rsidRDefault="000D0117" w:rsidP="007B0787">
      <w:pPr>
        <w:pStyle w:val="Heading2"/>
      </w:pPr>
      <w:r w:rsidRPr="00A40EE1">
        <w:t xml:space="preserve">8C - </w:t>
      </w:r>
      <w:r w:rsidR="00D77E41" w:rsidRPr="00A40EE1">
        <w:t>Indicator Data</w:t>
      </w:r>
    </w:p>
    <w:p w14:paraId="162AF59E" w14:textId="7777777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2899"/>
        <w:gridCol w:w="875"/>
      </w:tblGrid>
      <w:tr w:rsidR="00C25621" w:rsidRPr="00ED172B" w14:paraId="34BF7E2E" w14:textId="77777777" w:rsidTr="00A40EE1">
        <w:trPr>
          <w:trHeight w:val="350"/>
          <w:tblHeader/>
        </w:trPr>
        <w:tc>
          <w:tcPr>
            <w:tcW w:w="4285" w:type="pct"/>
            <w:tcBorders>
              <w:bottom w:val="single" w:sz="4" w:space="0" w:color="auto"/>
            </w:tcBorders>
            <w:vAlign w:val="center"/>
          </w:tcPr>
          <w:p w14:paraId="091D63A3"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vAlign w:val="center"/>
          </w:tcPr>
          <w:p w14:paraId="47842D02"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24366AA1" w14:textId="77777777" w:rsidTr="00A40EE1">
        <w:trPr>
          <w:trHeight w:val="350"/>
        </w:trPr>
        <w:tc>
          <w:tcPr>
            <w:tcW w:w="4285" w:type="pct"/>
            <w:tcBorders>
              <w:bottom w:val="single" w:sz="4" w:space="0" w:color="auto"/>
            </w:tcBorders>
            <w:vAlign w:val="center"/>
          </w:tcPr>
          <w:p w14:paraId="315881C7" w14:textId="77777777" w:rsidR="000378F3" w:rsidRPr="00ED172B" w:rsidRDefault="000378F3" w:rsidP="000378F3">
            <w:pPr>
              <w:jc w:val="center"/>
              <w:rPr>
                <w:b/>
                <w:color w:val="000000" w:themeColor="text1"/>
              </w:rPr>
            </w:pPr>
            <w:r w:rsidRPr="00ED172B">
              <w:rPr>
                <w:color w:val="000000" w:themeColor="text1"/>
              </w:rPr>
              <w:t>2005</w:t>
            </w:r>
          </w:p>
        </w:tc>
        <w:tc>
          <w:tcPr>
            <w:tcW w:w="715" w:type="pct"/>
            <w:vAlign w:val="center"/>
          </w:tcPr>
          <w:p w14:paraId="2B778BAE" w14:textId="77777777" w:rsidR="000378F3" w:rsidRPr="00ED172B" w:rsidRDefault="000378F3" w:rsidP="000378F3">
            <w:pPr>
              <w:jc w:val="center"/>
              <w:rPr>
                <w:color w:val="000000" w:themeColor="text1"/>
              </w:rPr>
            </w:pPr>
            <w:r w:rsidRPr="00ED172B">
              <w:rPr>
                <w:color w:val="000000" w:themeColor="text1"/>
              </w:rPr>
              <w:t>87.00%</w:t>
            </w:r>
          </w:p>
        </w:tc>
      </w:tr>
    </w:tbl>
    <w:p w14:paraId="56A562DA"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684"/>
        <w:gridCol w:w="2022"/>
        <w:gridCol w:w="2022"/>
        <w:gridCol w:w="2022"/>
        <w:gridCol w:w="2022"/>
        <w:gridCol w:w="2018"/>
      </w:tblGrid>
      <w:tr w:rsidR="00ED172B" w:rsidRPr="00ED172B" w14:paraId="740FA270" w14:textId="77777777" w:rsidTr="00A40EE1">
        <w:trPr>
          <w:trHeight w:val="350"/>
        </w:trPr>
        <w:tc>
          <w:tcPr>
            <w:tcW w:w="317" w:type="pct"/>
            <w:tcBorders>
              <w:bottom w:val="single" w:sz="4" w:space="0" w:color="auto"/>
            </w:tcBorders>
          </w:tcPr>
          <w:p w14:paraId="21CE2029"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7BB48C00"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586BC44D"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395691D1"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4924E295"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271537EF"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6F1C71A3" w14:textId="77777777" w:rsidTr="00A40EE1">
        <w:trPr>
          <w:trHeight w:val="357"/>
        </w:trPr>
        <w:tc>
          <w:tcPr>
            <w:tcW w:w="317" w:type="pct"/>
          </w:tcPr>
          <w:p w14:paraId="16D7A1FE"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696E5820"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4937AF12"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78443182"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6B2C3E9C"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1B6AE694" w14:textId="77777777"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3D5B92D8" w14:textId="77777777" w:rsidTr="00A40EE1">
        <w:trPr>
          <w:trHeight w:val="85"/>
        </w:trPr>
        <w:tc>
          <w:tcPr>
            <w:tcW w:w="317" w:type="pct"/>
          </w:tcPr>
          <w:p w14:paraId="31406B0F"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0F57E735" w14:textId="77777777" w:rsidR="00DC0682" w:rsidRPr="00ED172B" w:rsidRDefault="00860830" w:rsidP="00CD79C5">
            <w:pPr>
              <w:jc w:val="center"/>
              <w:rPr>
                <w:color w:val="000000" w:themeColor="text1"/>
                <w:szCs w:val="16"/>
              </w:rPr>
            </w:pPr>
            <w:r w:rsidRPr="00ED172B">
              <w:rPr>
                <w:rFonts w:cs="Arial"/>
                <w:color w:val="000000" w:themeColor="text1"/>
                <w:szCs w:val="16"/>
              </w:rPr>
              <w:t>92.16%</w:t>
            </w:r>
          </w:p>
        </w:tc>
        <w:tc>
          <w:tcPr>
            <w:tcW w:w="937" w:type="pct"/>
            <w:tcBorders>
              <w:bottom w:val="single" w:sz="4" w:space="0" w:color="auto"/>
            </w:tcBorders>
            <w:vAlign w:val="center"/>
          </w:tcPr>
          <w:p w14:paraId="3A4D9E0B" w14:textId="77777777" w:rsidR="00DC0682" w:rsidRPr="00ED172B" w:rsidRDefault="00860830" w:rsidP="00CD79C5">
            <w:pPr>
              <w:jc w:val="center"/>
              <w:rPr>
                <w:color w:val="000000" w:themeColor="text1"/>
                <w:szCs w:val="16"/>
              </w:rPr>
            </w:pPr>
            <w:r w:rsidRPr="00ED172B">
              <w:rPr>
                <w:rFonts w:cs="Arial"/>
                <w:color w:val="000000" w:themeColor="text1"/>
                <w:szCs w:val="16"/>
              </w:rPr>
              <w:t>92.31%</w:t>
            </w:r>
          </w:p>
        </w:tc>
        <w:tc>
          <w:tcPr>
            <w:tcW w:w="937" w:type="pct"/>
            <w:tcBorders>
              <w:bottom w:val="single" w:sz="4" w:space="0" w:color="auto"/>
            </w:tcBorders>
            <w:vAlign w:val="center"/>
          </w:tcPr>
          <w:p w14:paraId="4EB4D1E7" w14:textId="77777777" w:rsidR="00DC0682" w:rsidRPr="00ED172B" w:rsidRDefault="00860830" w:rsidP="00CD79C5">
            <w:pPr>
              <w:jc w:val="center"/>
              <w:rPr>
                <w:color w:val="000000" w:themeColor="text1"/>
                <w:szCs w:val="16"/>
              </w:rPr>
            </w:pPr>
            <w:r w:rsidRPr="00ED172B">
              <w:rPr>
                <w:rFonts w:cs="Arial"/>
                <w:color w:val="000000" w:themeColor="text1"/>
                <w:szCs w:val="16"/>
              </w:rPr>
              <w:t>92.36%</w:t>
            </w:r>
          </w:p>
        </w:tc>
        <w:tc>
          <w:tcPr>
            <w:tcW w:w="937" w:type="pct"/>
            <w:tcBorders>
              <w:bottom w:val="single" w:sz="4" w:space="0" w:color="auto"/>
            </w:tcBorders>
            <w:vAlign w:val="center"/>
          </w:tcPr>
          <w:p w14:paraId="09E576D1" w14:textId="77777777" w:rsidR="00DC0682" w:rsidRPr="00ED172B" w:rsidRDefault="00860830" w:rsidP="00CD79C5">
            <w:pPr>
              <w:jc w:val="center"/>
              <w:rPr>
                <w:color w:val="000000" w:themeColor="text1"/>
                <w:szCs w:val="16"/>
              </w:rPr>
            </w:pPr>
            <w:r w:rsidRPr="00ED172B">
              <w:rPr>
                <w:rFonts w:cs="Arial"/>
                <w:color w:val="000000" w:themeColor="text1"/>
                <w:szCs w:val="16"/>
              </w:rPr>
              <w:t>92.62%</w:t>
            </w:r>
          </w:p>
        </w:tc>
        <w:tc>
          <w:tcPr>
            <w:tcW w:w="937" w:type="pct"/>
            <w:tcBorders>
              <w:bottom w:val="single" w:sz="4" w:space="0" w:color="auto"/>
            </w:tcBorders>
            <w:vAlign w:val="center"/>
          </w:tcPr>
          <w:p w14:paraId="430BF8FB" w14:textId="77777777" w:rsidR="00DC0682" w:rsidRPr="00ED172B" w:rsidRDefault="00860830" w:rsidP="00CD79C5">
            <w:pPr>
              <w:jc w:val="center"/>
              <w:rPr>
                <w:color w:val="000000" w:themeColor="text1"/>
                <w:szCs w:val="16"/>
              </w:rPr>
            </w:pPr>
            <w:r w:rsidRPr="00ED172B">
              <w:rPr>
                <w:rFonts w:cs="Arial"/>
                <w:color w:val="000000" w:themeColor="text1"/>
                <w:szCs w:val="16"/>
              </w:rPr>
              <w:t>91.84%</w:t>
            </w:r>
          </w:p>
        </w:tc>
      </w:tr>
    </w:tbl>
    <w:p w14:paraId="7D1D4441" w14:textId="77777777" w:rsidR="008A4FF2" w:rsidRPr="00ED172B" w:rsidRDefault="008A4FF2">
      <w:pPr>
        <w:rPr>
          <w:b/>
          <w:color w:val="000000" w:themeColor="text1"/>
        </w:rPr>
      </w:pPr>
    </w:p>
    <w:p w14:paraId="66D05F02" w14:textId="77777777" w:rsidR="008A4FF2" w:rsidRPr="00ED172B" w:rsidRDefault="008A4FF2">
      <w:pPr>
        <w:rPr>
          <w:b/>
          <w:color w:val="000000" w:themeColor="text1"/>
        </w:rPr>
      </w:pPr>
    </w:p>
    <w:p w14:paraId="62D9B10E" w14:textId="77777777" w:rsidR="00DC0682" w:rsidRPr="00ED172B" w:rsidRDefault="00DC0682">
      <w:pPr>
        <w:rPr>
          <w:b/>
          <w:color w:val="000000" w:themeColor="text1"/>
        </w:rPr>
      </w:pPr>
      <w:r w:rsidRPr="00ED172B">
        <w:rPr>
          <w:b/>
          <w:color w:val="000000" w:themeColor="text1"/>
        </w:rPr>
        <w:t>Targets</w:t>
      </w:r>
    </w:p>
    <w:tbl>
      <w:tblPr>
        <w:tblW w:w="2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679"/>
        <w:gridCol w:w="2590"/>
        <w:gridCol w:w="2769"/>
      </w:tblGrid>
      <w:tr w:rsidR="00CF59E2" w:rsidRPr="00ED172B" w14:paraId="10B535FB" w14:textId="77777777" w:rsidTr="00811738">
        <w:trPr>
          <w:trHeight w:val="328"/>
        </w:trPr>
        <w:tc>
          <w:tcPr>
            <w:tcW w:w="562" w:type="pct"/>
            <w:tcBorders>
              <w:bottom w:val="single" w:sz="4" w:space="0" w:color="auto"/>
            </w:tcBorders>
          </w:tcPr>
          <w:p w14:paraId="546A646A" w14:textId="77777777" w:rsidR="00CF59E2" w:rsidRPr="00ED172B" w:rsidRDefault="00CF59E2" w:rsidP="00A74C59">
            <w:pPr>
              <w:jc w:val="center"/>
              <w:rPr>
                <w:b/>
                <w:color w:val="000000" w:themeColor="text1"/>
                <w:szCs w:val="16"/>
              </w:rPr>
            </w:pPr>
            <w:r w:rsidRPr="00ED172B">
              <w:rPr>
                <w:b/>
                <w:color w:val="000000" w:themeColor="text1"/>
                <w:szCs w:val="16"/>
              </w:rPr>
              <w:t>FFY</w:t>
            </w:r>
          </w:p>
        </w:tc>
        <w:tc>
          <w:tcPr>
            <w:tcW w:w="2145" w:type="pct"/>
            <w:vAlign w:val="center"/>
          </w:tcPr>
          <w:p w14:paraId="109B19CB" w14:textId="77777777" w:rsidR="00CF59E2" w:rsidRPr="00ED172B" w:rsidRDefault="00CF59E2" w:rsidP="00A74C59">
            <w:pPr>
              <w:jc w:val="center"/>
              <w:rPr>
                <w:b/>
                <w:color w:val="000000" w:themeColor="text1"/>
                <w:szCs w:val="16"/>
              </w:rPr>
            </w:pPr>
            <w:r w:rsidRPr="00ED172B">
              <w:rPr>
                <w:rFonts w:cs="Arial"/>
                <w:b/>
                <w:color w:val="000000" w:themeColor="text1"/>
                <w:szCs w:val="16"/>
              </w:rPr>
              <w:t>2024</w:t>
            </w:r>
          </w:p>
        </w:tc>
        <w:tc>
          <w:tcPr>
            <w:tcW w:w="2293" w:type="pct"/>
          </w:tcPr>
          <w:p w14:paraId="293927B6" w14:textId="77777777" w:rsidR="00CF59E2" w:rsidRPr="00ED172B" w:rsidRDefault="00CF59E2" w:rsidP="00A74C59">
            <w:pPr>
              <w:jc w:val="center"/>
              <w:rPr>
                <w:rFonts w:cs="Arial"/>
                <w:b/>
                <w:color w:val="000000" w:themeColor="text1"/>
                <w:szCs w:val="16"/>
              </w:rPr>
            </w:pPr>
            <w:r>
              <w:rPr>
                <w:rFonts w:cs="Arial"/>
                <w:b/>
                <w:color w:val="000000" w:themeColor="text1"/>
                <w:szCs w:val="16"/>
              </w:rPr>
              <w:t>2025</w:t>
            </w:r>
          </w:p>
        </w:tc>
      </w:tr>
      <w:tr w:rsidR="00CF59E2" w:rsidRPr="00ED172B" w14:paraId="46B38466" w14:textId="77777777" w:rsidTr="00811738">
        <w:trPr>
          <w:trHeight w:val="334"/>
        </w:trPr>
        <w:tc>
          <w:tcPr>
            <w:tcW w:w="562" w:type="pct"/>
          </w:tcPr>
          <w:p w14:paraId="12E48EE4"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5" w:type="pct"/>
          </w:tcPr>
          <w:p w14:paraId="654A76D9" w14:textId="77777777" w:rsidR="00CF59E2" w:rsidRPr="00ED172B" w:rsidRDefault="00CF59E2" w:rsidP="00A74C59">
            <w:pPr>
              <w:jc w:val="center"/>
              <w:rPr>
                <w:color w:val="000000" w:themeColor="text1"/>
                <w:szCs w:val="16"/>
              </w:rPr>
            </w:pPr>
            <w:r w:rsidRPr="00ED172B">
              <w:rPr>
                <w:color w:val="000000" w:themeColor="text1"/>
                <w:szCs w:val="16"/>
              </w:rPr>
              <w:t>100%</w:t>
            </w:r>
          </w:p>
        </w:tc>
        <w:tc>
          <w:tcPr>
            <w:tcW w:w="2293" w:type="pct"/>
          </w:tcPr>
          <w:p w14:paraId="74BE619C" w14:textId="77777777" w:rsidR="00CF59E2" w:rsidRPr="00ED172B" w:rsidRDefault="00CF59E2" w:rsidP="00A74C59">
            <w:pPr>
              <w:jc w:val="center"/>
              <w:rPr>
                <w:color w:val="000000" w:themeColor="text1"/>
                <w:szCs w:val="16"/>
              </w:rPr>
            </w:pPr>
            <w:r>
              <w:rPr>
                <w:rFonts w:cs="Arial"/>
                <w:color w:val="000000" w:themeColor="text1"/>
                <w:szCs w:val="16"/>
              </w:rPr>
              <w:t>100%</w:t>
            </w:r>
          </w:p>
        </w:tc>
      </w:tr>
    </w:tbl>
    <w:p w14:paraId="6FEB1817" w14:textId="77777777" w:rsidR="003C1AB9" w:rsidRPr="00ED172B" w:rsidRDefault="00F22D09">
      <w:pPr>
        <w:rPr>
          <w:b/>
          <w:color w:val="000000" w:themeColor="text1"/>
        </w:rPr>
      </w:pPr>
      <w:r>
        <w:rPr>
          <w:b/>
          <w:color w:val="000000" w:themeColor="text1"/>
        </w:rPr>
        <w:t>FFY 2024 SPP/APR Data</w:t>
      </w:r>
    </w:p>
    <w:p w14:paraId="29081ECC" w14:textId="77777777" w:rsidR="00D3572A" w:rsidRPr="00ED172B" w:rsidRDefault="00D3572A">
      <w:pPr>
        <w:rPr>
          <w:b/>
          <w:color w:val="000000" w:themeColor="text1"/>
          <w:szCs w:val="16"/>
        </w:rPr>
      </w:pPr>
      <w:r w:rsidRPr="00ED172B">
        <w:rPr>
          <w:b/>
          <w:color w:val="000000" w:themeColor="text1"/>
          <w:szCs w:val="16"/>
        </w:rPr>
        <w:t>Data reflect only those toddlers for whom the Lead Agency was required to conduct the transition conference, held with the approval of the family, at least 90 days, and at the discretion of all parties, not more than nine months, prior to the toddler’s third birthday for toddlers potentially eligible for Part B preschool services (yes/no)</w:t>
      </w:r>
    </w:p>
    <w:p w14:paraId="37923613" w14:textId="77777777"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2218AC5D" w14:textId="77777777" w:rsidTr="00986B99">
        <w:trPr>
          <w:trHeight w:val="359"/>
          <w:tblHeader/>
        </w:trPr>
        <w:tc>
          <w:tcPr>
            <w:tcW w:w="1459" w:type="pct"/>
            <w:vAlign w:val="bottom"/>
          </w:tcPr>
          <w:p w14:paraId="7F31590E" w14:textId="77777777"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vAlign w:val="bottom"/>
          </w:tcPr>
          <w:p w14:paraId="23326C58" w14:textId="77777777"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vAlign w:val="bottom"/>
          </w:tcPr>
          <w:p w14:paraId="607321FE" w14:textId="77777777" w:rsidR="00781A26" w:rsidRPr="00ED172B" w:rsidRDefault="00CD74B5" w:rsidP="00781A26">
            <w:pPr>
              <w:jc w:val="center"/>
              <w:rPr>
                <w:b/>
                <w:color w:val="000000" w:themeColor="text1"/>
                <w:szCs w:val="16"/>
              </w:rPr>
            </w:pPr>
            <w:r>
              <w:rPr>
                <w:rFonts w:cs="Arial"/>
                <w:b/>
                <w:color w:val="000000" w:themeColor="text1"/>
                <w:szCs w:val="16"/>
              </w:rPr>
              <w:t>FFY 2023 Data</w:t>
            </w:r>
          </w:p>
        </w:tc>
        <w:tc>
          <w:tcPr>
            <w:tcW w:w="542" w:type="pct"/>
            <w:vAlign w:val="bottom"/>
          </w:tcPr>
          <w:p w14:paraId="3BEBE5B0" w14:textId="77777777" w:rsidR="00781A26" w:rsidRPr="00ED172B" w:rsidRDefault="00F22D09" w:rsidP="00781A26">
            <w:pPr>
              <w:jc w:val="center"/>
              <w:rPr>
                <w:b/>
                <w:color w:val="000000" w:themeColor="text1"/>
                <w:szCs w:val="16"/>
              </w:rPr>
            </w:pPr>
            <w:r>
              <w:rPr>
                <w:rFonts w:cs="Arial"/>
                <w:b/>
                <w:color w:val="000000" w:themeColor="text1"/>
                <w:szCs w:val="16"/>
              </w:rPr>
              <w:t>FFY 2024 Target</w:t>
            </w:r>
          </w:p>
        </w:tc>
        <w:tc>
          <w:tcPr>
            <w:tcW w:w="542" w:type="pct"/>
            <w:vAlign w:val="bottom"/>
          </w:tcPr>
          <w:p w14:paraId="63D777AA" w14:textId="77777777" w:rsidR="00781A26" w:rsidRPr="00ED172B" w:rsidRDefault="00F22D09" w:rsidP="00781A26">
            <w:pPr>
              <w:jc w:val="center"/>
              <w:rPr>
                <w:b/>
                <w:color w:val="000000" w:themeColor="text1"/>
                <w:szCs w:val="16"/>
              </w:rPr>
            </w:pPr>
            <w:r>
              <w:rPr>
                <w:rFonts w:cs="Arial"/>
                <w:b/>
                <w:color w:val="000000" w:themeColor="text1"/>
                <w:szCs w:val="16"/>
              </w:rPr>
              <w:t>FFY 2024 Data</w:t>
            </w:r>
          </w:p>
        </w:tc>
        <w:tc>
          <w:tcPr>
            <w:tcW w:w="542" w:type="pct"/>
            <w:vAlign w:val="bottom"/>
          </w:tcPr>
          <w:p w14:paraId="5C168FB8"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vAlign w:val="bottom"/>
          </w:tcPr>
          <w:p w14:paraId="68947350"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611939AE" w14:textId="77777777" w:rsidTr="00986B99">
        <w:trPr>
          <w:trHeight w:val="366"/>
        </w:trPr>
        <w:tc>
          <w:tcPr>
            <w:tcW w:w="1459" w:type="pct"/>
            <w:vAlign w:val="center"/>
          </w:tcPr>
          <w:p w14:paraId="27993FA2" w14:textId="77777777" w:rsidR="00781A26" w:rsidRPr="00ED172B" w:rsidRDefault="00860830" w:rsidP="00781A26">
            <w:pPr>
              <w:jc w:val="center"/>
              <w:rPr>
                <w:color w:val="000000" w:themeColor="text1"/>
                <w:szCs w:val="16"/>
              </w:rPr>
            </w:pPr>
            <w:r w:rsidRPr="00ED172B">
              <w:rPr>
                <w:color w:val="000000" w:themeColor="text1"/>
                <w:szCs w:val="16"/>
              </w:rPr>
              <w:t>137</w:t>
            </w:r>
          </w:p>
        </w:tc>
        <w:tc>
          <w:tcPr>
            <w:tcW w:w="751" w:type="pct"/>
            <w:vAlign w:val="center"/>
          </w:tcPr>
          <w:p w14:paraId="3D2AE725" w14:textId="77777777" w:rsidR="00781A26" w:rsidRPr="00ED172B" w:rsidRDefault="00860830" w:rsidP="00781A26">
            <w:pPr>
              <w:jc w:val="center"/>
              <w:rPr>
                <w:color w:val="000000" w:themeColor="text1"/>
                <w:szCs w:val="16"/>
              </w:rPr>
            </w:pPr>
            <w:r w:rsidRPr="00ED172B">
              <w:rPr>
                <w:color w:val="000000" w:themeColor="text1"/>
                <w:szCs w:val="16"/>
              </w:rPr>
              <w:t>152</w:t>
            </w:r>
          </w:p>
        </w:tc>
        <w:tc>
          <w:tcPr>
            <w:tcW w:w="625" w:type="pct"/>
          </w:tcPr>
          <w:p w14:paraId="31F2403F" w14:textId="77777777" w:rsidR="00781A26" w:rsidRPr="00ED172B" w:rsidRDefault="00860830" w:rsidP="00781A26">
            <w:pPr>
              <w:jc w:val="center"/>
              <w:rPr>
                <w:color w:val="000000" w:themeColor="text1"/>
                <w:szCs w:val="16"/>
              </w:rPr>
            </w:pPr>
            <w:r w:rsidRPr="00ED172B">
              <w:rPr>
                <w:rFonts w:cs="Arial"/>
                <w:color w:val="000000" w:themeColor="text1"/>
                <w:szCs w:val="16"/>
              </w:rPr>
              <w:t>91.84%</w:t>
            </w:r>
          </w:p>
        </w:tc>
        <w:tc>
          <w:tcPr>
            <w:tcW w:w="542" w:type="pct"/>
          </w:tcPr>
          <w:p w14:paraId="35978781" w14:textId="77777777"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tcPr>
          <w:p w14:paraId="113638CE" w14:textId="77777777" w:rsidR="00781A26" w:rsidRPr="00ED172B" w:rsidRDefault="00860830" w:rsidP="00781A26">
            <w:pPr>
              <w:jc w:val="center"/>
              <w:rPr>
                <w:color w:val="000000" w:themeColor="text1"/>
                <w:szCs w:val="16"/>
              </w:rPr>
            </w:pPr>
            <w:r w:rsidRPr="00ED172B">
              <w:rPr>
                <w:rFonts w:cs="Arial"/>
                <w:color w:val="000000" w:themeColor="text1"/>
                <w:szCs w:val="16"/>
              </w:rPr>
              <w:t>91.45%</w:t>
            </w:r>
          </w:p>
        </w:tc>
        <w:tc>
          <w:tcPr>
            <w:tcW w:w="542" w:type="pct"/>
          </w:tcPr>
          <w:p w14:paraId="682E019D" w14:textId="77777777" w:rsidR="00781A26" w:rsidRPr="00ED172B" w:rsidRDefault="00320806" w:rsidP="00027F39">
            <w:pPr>
              <w:jc w:val="center"/>
              <w:rPr>
                <w:color w:val="000000" w:themeColor="text1"/>
              </w:rPr>
            </w:pPr>
            <w:r w:rsidRPr="00ED172B">
              <w:rPr>
                <w:color w:val="000000" w:themeColor="text1"/>
              </w:rPr>
              <w:t>Did not meet target</w:t>
            </w:r>
          </w:p>
        </w:tc>
        <w:tc>
          <w:tcPr>
            <w:tcW w:w="539" w:type="pct"/>
          </w:tcPr>
          <w:p w14:paraId="4800C884" w14:textId="77777777" w:rsidR="00781A26" w:rsidRPr="00ED172B" w:rsidRDefault="00320806" w:rsidP="00027F39">
            <w:pPr>
              <w:jc w:val="center"/>
              <w:rPr>
                <w:color w:val="000000" w:themeColor="text1"/>
              </w:rPr>
            </w:pPr>
            <w:r w:rsidRPr="00ED172B">
              <w:rPr>
                <w:color w:val="000000" w:themeColor="text1"/>
              </w:rPr>
              <w:t>No Slippage</w:t>
            </w:r>
          </w:p>
        </w:tc>
      </w:tr>
    </w:tbl>
    <w:p w14:paraId="1FC6BE3A"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267C6DC5"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0E8BE8F9" w14:textId="77777777" w:rsidR="00EC3746" w:rsidRPr="00ED172B" w:rsidRDefault="00EC3746" w:rsidP="00EC3746">
      <w:pPr>
        <w:rPr>
          <w:color w:val="000000" w:themeColor="text1"/>
          <w:szCs w:val="16"/>
        </w:rPr>
      </w:pPr>
      <w:r w:rsidRPr="00ED172B">
        <w:rPr>
          <w:color w:val="000000" w:themeColor="text1"/>
          <w:szCs w:val="16"/>
        </w:rPr>
        <w:t>0</w:t>
      </w:r>
    </w:p>
    <w:p w14:paraId="28755A19" w14:textId="77777777"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390E290E" w14:textId="77777777" w:rsidR="00EC3746" w:rsidRPr="00ED172B" w:rsidRDefault="00EC3746" w:rsidP="00EC3746">
      <w:pPr>
        <w:rPr>
          <w:b/>
          <w:color w:val="000000" w:themeColor="text1"/>
          <w:szCs w:val="16"/>
        </w:rPr>
      </w:pPr>
      <w:r w:rsidRPr="00ED172B">
        <w:rPr>
          <w:b/>
          <w:color w:val="000000" w:themeColor="text1"/>
          <w:szCs w:val="16"/>
        </w:rPr>
        <w:t xml:space="preserve">This number will be added to the "Number of toddlers with disabilities exiting Part </w:t>
      </w:r>
      <w:proofErr w:type="gramStart"/>
      <w:r w:rsidRPr="00ED172B">
        <w:rPr>
          <w:b/>
          <w:color w:val="000000" w:themeColor="text1"/>
          <w:szCs w:val="16"/>
        </w:rPr>
        <w:t>C where</w:t>
      </w:r>
      <w:proofErr w:type="gramEnd"/>
      <w:r w:rsidRPr="00ED172B">
        <w:rPr>
          <w:b/>
          <w:color w:val="000000" w:themeColor="text1"/>
          <w:szCs w:val="16"/>
        </w:rPr>
        <w:t xml:space="preserve"> the transition conference </w:t>
      </w:r>
      <w:proofErr w:type="gramStart"/>
      <w:r w:rsidRPr="00ED172B">
        <w:rPr>
          <w:b/>
          <w:color w:val="000000" w:themeColor="text1"/>
          <w:szCs w:val="16"/>
        </w:rPr>
        <w:t>occurred</w:t>
      </w:r>
      <w:proofErr w:type="gramEnd"/>
      <w:r w:rsidRPr="00ED172B">
        <w:rPr>
          <w:b/>
          <w:color w:val="000000" w:themeColor="text1"/>
          <w:szCs w:val="16"/>
        </w:rPr>
        <w:t xml:space="preserve"> at least 90 days, and at the discretion of all parties not more than nine months prior to the toddler’s third birthday for toddlers potentially eligible for Part B" field to calculate the numerator for this indicator.</w:t>
      </w:r>
    </w:p>
    <w:p w14:paraId="6F49CBDC" w14:textId="77777777" w:rsidR="00EC3746" w:rsidRDefault="00EC3746" w:rsidP="005A1CA1">
      <w:pPr>
        <w:rPr>
          <w:color w:val="000000" w:themeColor="text1"/>
        </w:rPr>
      </w:pPr>
      <w:r w:rsidRPr="00ED172B">
        <w:rPr>
          <w:color w:val="000000" w:themeColor="text1"/>
        </w:rPr>
        <w:t>2</w:t>
      </w:r>
    </w:p>
    <w:p w14:paraId="7D1EA596"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1BC376A3" w14:textId="77777777" w:rsidR="00A32D79" w:rsidRPr="00ED172B" w:rsidRDefault="00A32D79" w:rsidP="00A32D79">
      <w:pPr>
        <w:rPr>
          <w:rFonts w:cs="Arial"/>
          <w:color w:val="000000" w:themeColor="text1"/>
          <w:szCs w:val="16"/>
        </w:rPr>
      </w:pPr>
      <w:r w:rsidRPr="00ED172B">
        <w:rPr>
          <w:color w:val="000000" w:themeColor="text1"/>
          <w:szCs w:val="16"/>
        </w:rPr>
        <w:t xml:space="preserve">The reasons for delay were as follows: </w:t>
      </w:r>
    </w:p>
    <w:p w14:paraId="34AB0A88" w14:textId="77777777" w:rsidR="000575B2" w:rsidRDefault="000575B2"/>
    <w:p w14:paraId="20BFC98B" w14:textId="77777777" w:rsidR="000575B2" w:rsidRDefault="00D6492D">
      <w:r>
        <w:rPr>
          <w:color w:val="000000"/>
        </w:rPr>
        <w:t xml:space="preserve"> 8 incidents of adding transition services more than nine months before the child’s third birthday. Program staff reported that this was due to insufficient staff training. </w:t>
      </w:r>
    </w:p>
    <w:p w14:paraId="78A38D91" w14:textId="77777777" w:rsidR="000575B2" w:rsidRDefault="00D6492D">
      <w:r>
        <w:rPr>
          <w:color w:val="000000"/>
        </w:rPr>
        <w:t xml:space="preserve"> 1 incident of adding transition services less than 90 days before the child’s third birthday. Program staff reported that this was due to staffing issues </w:t>
      </w:r>
    </w:p>
    <w:p w14:paraId="357AFD18" w14:textId="77777777" w:rsidR="000575B2" w:rsidRDefault="00D6492D">
      <w:r>
        <w:rPr>
          <w:color w:val="000000"/>
        </w:rPr>
        <w:t xml:space="preserve"> 4 incidents where no documentation was provided by the program for transition steps. Program staff reported that these omissions resulted from insufficient training on documentation requirements. </w:t>
      </w:r>
    </w:p>
    <w:p w14:paraId="4A4C60A7"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6F24C5D3" w14:textId="77777777" w:rsidR="00781A26" w:rsidRDefault="00781A26" w:rsidP="00B83404">
      <w:pPr>
        <w:rPr>
          <w:color w:val="000000" w:themeColor="text1"/>
        </w:rPr>
      </w:pPr>
      <w:r w:rsidRPr="00ED172B">
        <w:rPr>
          <w:color w:val="000000" w:themeColor="text1"/>
        </w:rPr>
        <w:t>State monitoring</w:t>
      </w:r>
    </w:p>
    <w:p w14:paraId="70C623B7" w14:textId="77777777" w:rsidR="00781A26" w:rsidRPr="00ED172B" w:rsidRDefault="00781A26" w:rsidP="00B83404">
      <w:pPr>
        <w:rPr>
          <w:b/>
          <w:color w:val="000000" w:themeColor="text1"/>
        </w:rPr>
      </w:pPr>
      <w:r w:rsidRPr="00ED172B">
        <w:rPr>
          <w:b/>
          <w:color w:val="000000" w:themeColor="text1"/>
        </w:rPr>
        <w:t xml:space="preserve">Describe the method used to select EIS programs for monitoring. </w:t>
      </w:r>
    </w:p>
    <w:p w14:paraId="7C550B41" w14:textId="77777777" w:rsidR="00781A26" w:rsidRDefault="00860830" w:rsidP="00781A26">
      <w:pPr>
        <w:rPr>
          <w:color w:val="000000" w:themeColor="text1"/>
        </w:rPr>
      </w:pPr>
      <w:r w:rsidRPr="00ED172B">
        <w:rPr>
          <w:color w:val="000000" w:themeColor="text1"/>
        </w:rPr>
        <w:t xml:space="preserve">The Oregon Department of Education (ODE) uses the System Performance Review and Improvement (SPR&amp;I) process to select Early Intervention (EI) programs for annual monitoring. All programs receiving IDEA Part C funds participate in this statewide accountability system, which focuses on procedural compliance and performance on key federal and state indicators. </w:t>
      </w:r>
    </w:p>
    <w:p w14:paraId="659DAC7B" w14:textId="77777777" w:rsidR="000575B2" w:rsidRDefault="000575B2"/>
    <w:p w14:paraId="6CEECBDD" w14:textId="77777777" w:rsidR="000575B2" w:rsidRDefault="00D6492D">
      <w:r>
        <w:rPr>
          <w:color w:val="000000"/>
        </w:rPr>
        <w:t xml:space="preserve">Each year, programs conduct a review of individual child records based on a number set by the State. Files are divided evenly between Early Intervention and Transition from Early Intervention and are selected to reflect the program’s population by race/ethnicity, disability, and gender using data from the most recent December 1 child count. </w:t>
      </w:r>
    </w:p>
    <w:p w14:paraId="200FCDAE" w14:textId="77777777" w:rsidR="000575B2" w:rsidRDefault="000575B2"/>
    <w:p w14:paraId="1952515F" w14:textId="77777777" w:rsidR="000575B2" w:rsidRDefault="00D6492D">
      <w:r>
        <w:rPr>
          <w:color w:val="000000"/>
        </w:rPr>
        <w:t xml:space="preserve">Programs enter compliance data into the SPR&amp;I database, including timely transition conferences and reasons for not meeting the required timeline. ODE reviews these data to evaluate compliance, verify correction of noncompliance, and identify areas for improvement. Through the SPR&amp;I process, ODE and local programs work together to use data for continuous improvement and ensure timely, high-quality transition services for children and families. </w:t>
      </w:r>
    </w:p>
    <w:p w14:paraId="06087618" w14:textId="77777777" w:rsidR="003A3693" w:rsidRPr="00ED172B" w:rsidRDefault="003A3693" w:rsidP="00950382">
      <w:pPr>
        <w:rPr>
          <w:b/>
          <w:color w:val="000000" w:themeColor="text1"/>
        </w:rPr>
      </w:pPr>
      <w:r w:rsidRPr="00ED172B">
        <w:rPr>
          <w:b/>
          <w:color w:val="000000" w:themeColor="text1"/>
        </w:rPr>
        <w:t>Provide additional information about this indicator (optional).</w:t>
      </w:r>
    </w:p>
    <w:p w14:paraId="0DA71C43" w14:textId="77777777" w:rsidR="003A3693" w:rsidRPr="00ED172B" w:rsidRDefault="003A3693" w:rsidP="003A3693">
      <w:pPr>
        <w:rPr>
          <w:rFonts w:cs="Arial"/>
          <w:color w:val="000000" w:themeColor="text1"/>
          <w:szCs w:val="16"/>
        </w:rPr>
      </w:pPr>
    </w:p>
    <w:p w14:paraId="5EF3E9E4" w14:textId="77777777" w:rsidR="00E06C1E" w:rsidRPr="00ED172B" w:rsidRDefault="00E06C1E"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2A580A46" w14:textId="77777777" w:rsidTr="00986B99">
        <w:trPr>
          <w:trHeight w:val="389"/>
          <w:tblHeader/>
        </w:trPr>
        <w:tc>
          <w:tcPr>
            <w:tcW w:w="1209" w:type="pct"/>
            <w:vAlign w:val="bottom"/>
          </w:tcPr>
          <w:p w14:paraId="4E60A87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lastRenderedPageBreak/>
              <w:t>Findings of Noncompliance Identified</w:t>
            </w:r>
          </w:p>
        </w:tc>
        <w:tc>
          <w:tcPr>
            <w:tcW w:w="1268" w:type="pct"/>
            <w:vAlign w:val="bottom"/>
          </w:tcPr>
          <w:p w14:paraId="6D2BD8DC"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vAlign w:val="bottom"/>
          </w:tcPr>
          <w:p w14:paraId="462B64E3"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vAlign w:val="bottom"/>
          </w:tcPr>
          <w:p w14:paraId="09CA20C6"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32FFADB9" w14:textId="77777777" w:rsidTr="00986B99">
        <w:tc>
          <w:tcPr>
            <w:tcW w:w="1209" w:type="pct"/>
          </w:tcPr>
          <w:p w14:paraId="0E8ED7B4" w14:textId="77777777" w:rsidR="00E06C1E" w:rsidRPr="00ED172B" w:rsidRDefault="00860830" w:rsidP="00ED172B">
            <w:pPr>
              <w:jc w:val="center"/>
              <w:rPr>
                <w:rFonts w:cs="Arial"/>
                <w:color w:val="000000" w:themeColor="text1"/>
                <w:szCs w:val="16"/>
              </w:rPr>
            </w:pPr>
            <w:r w:rsidRPr="00ED172B">
              <w:rPr>
                <w:rFonts w:cs="Arial"/>
                <w:color w:val="000000" w:themeColor="text1"/>
                <w:szCs w:val="16"/>
              </w:rPr>
              <w:t>12</w:t>
            </w:r>
          </w:p>
        </w:tc>
        <w:tc>
          <w:tcPr>
            <w:tcW w:w="1268" w:type="pct"/>
          </w:tcPr>
          <w:p w14:paraId="18F5D7AE" w14:textId="77777777" w:rsidR="00E06C1E" w:rsidRPr="00ED172B" w:rsidRDefault="00860830" w:rsidP="00ED172B">
            <w:pPr>
              <w:jc w:val="center"/>
              <w:rPr>
                <w:rFonts w:cs="Arial"/>
                <w:color w:val="000000" w:themeColor="text1"/>
                <w:szCs w:val="16"/>
              </w:rPr>
            </w:pPr>
            <w:r w:rsidRPr="00ED172B">
              <w:rPr>
                <w:rFonts w:cs="Arial"/>
                <w:color w:val="000000" w:themeColor="text1"/>
                <w:szCs w:val="16"/>
              </w:rPr>
              <w:t>12</w:t>
            </w:r>
          </w:p>
        </w:tc>
        <w:tc>
          <w:tcPr>
            <w:tcW w:w="1211" w:type="pct"/>
          </w:tcPr>
          <w:p w14:paraId="2A5FE609" w14:textId="77777777" w:rsidR="00E06C1E" w:rsidRPr="00ED172B" w:rsidRDefault="00860830" w:rsidP="00B17243">
            <w:pPr>
              <w:jc w:val="center"/>
              <w:rPr>
                <w:rFonts w:cs="Arial"/>
                <w:color w:val="000000" w:themeColor="text1"/>
                <w:szCs w:val="16"/>
              </w:rPr>
            </w:pPr>
            <w:r w:rsidRPr="00ED172B">
              <w:rPr>
                <w:rFonts w:cs="Arial"/>
                <w:color w:val="000000" w:themeColor="text1"/>
                <w:szCs w:val="16"/>
              </w:rPr>
              <w:t>0</w:t>
            </w:r>
          </w:p>
        </w:tc>
        <w:tc>
          <w:tcPr>
            <w:tcW w:w="1312" w:type="pct"/>
          </w:tcPr>
          <w:p w14:paraId="3C08A71C" w14:textId="77777777" w:rsidR="00E06C1E"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15B84FCD" w14:textId="77777777" w:rsidR="00E06C1E" w:rsidRPr="00ED172B" w:rsidRDefault="00CD74B5" w:rsidP="00B83404">
      <w:pPr>
        <w:rPr>
          <w:color w:val="000000" w:themeColor="text1"/>
        </w:rPr>
      </w:pPr>
      <w:r>
        <w:rPr>
          <w:b/>
          <w:color w:val="000000" w:themeColor="text1"/>
        </w:rPr>
        <w:t>FFY 2023 Findings of Noncompliance Verified as Corrected</w:t>
      </w:r>
    </w:p>
    <w:p w14:paraId="5ADA2AC9" w14:textId="77777777" w:rsidR="00E06C1E" w:rsidRPr="00ED172B" w:rsidRDefault="00E06C1E">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7EA84D83" w14:textId="77777777" w:rsidR="00E06C1E" w:rsidRPr="00ED172B" w:rsidRDefault="00860830">
      <w:pPr>
        <w:rPr>
          <w:color w:val="000000" w:themeColor="text1"/>
        </w:rPr>
      </w:pPr>
      <w:r w:rsidRPr="00ED172B">
        <w:rPr>
          <w:color w:val="000000" w:themeColor="text1"/>
        </w:rPr>
        <w:t xml:space="preserve">Of the 35 EI programs in the state, seven had findings of noncompliance. A total of twelve instances of child-specific noncompliance were identified across the seven EI programs. </w:t>
      </w:r>
    </w:p>
    <w:p w14:paraId="19B29B65" w14:textId="77777777" w:rsidR="000575B2" w:rsidRDefault="000575B2"/>
    <w:p w14:paraId="74002E75" w14:textId="77777777" w:rsidR="000575B2" w:rsidRDefault="00D6492D">
      <w:r>
        <w:rPr>
          <w:color w:val="000000"/>
        </w:rPr>
        <w:t xml:space="preserve">To verify that each program corrected the noncompliance and was correctly implementing the regulatory requirements, the State conducted subsequent file reviews using </w:t>
      </w:r>
      <w:proofErr w:type="spellStart"/>
      <w:r>
        <w:rPr>
          <w:color w:val="000000"/>
        </w:rPr>
        <w:t>ecWeb</w:t>
      </w:r>
      <w:proofErr w:type="spellEnd"/>
      <w:r>
        <w:rPr>
          <w:color w:val="000000"/>
        </w:rPr>
        <w:t xml:space="preserve">, Oregon’s statewide EI/ECSE data system. The State reviewed additional child records from each of the seven programs, selecting files dated after the completion of corrective actions for all children exiting Part C, to ensure that timely transition conferences were provided in accordance with federal and state requirements. </w:t>
      </w:r>
    </w:p>
    <w:p w14:paraId="46032442" w14:textId="77777777" w:rsidR="000575B2" w:rsidRDefault="000575B2"/>
    <w:p w14:paraId="0192C53B" w14:textId="77777777" w:rsidR="000575B2" w:rsidRDefault="00D6492D">
      <w:r>
        <w:rPr>
          <w:color w:val="000000"/>
        </w:rPr>
        <w:t xml:space="preserve">Through this review of subsequent data, the state verified that each of the seven EI programs achieved 100% compliance within one year and are correctly implementing the regulatory requirements for timely transition conferences. </w:t>
      </w:r>
    </w:p>
    <w:p w14:paraId="76A52652" w14:textId="77777777" w:rsidR="00E06C1E" w:rsidRPr="00ED172B" w:rsidRDefault="00E06C1E">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38BC1958" w14:textId="77777777" w:rsidR="00E06C1E" w:rsidRDefault="00860830">
      <w:pPr>
        <w:rPr>
          <w:color w:val="000000" w:themeColor="text1"/>
        </w:rPr>
      </w:pPr>
      <w:r w:rsidRPr="00ED172B">
        <w:rPr>
          <w:color w:val="000000" w:themeColor="text1"/>
        </w:rPr>
        <w:t xml:space="preserve">The state completed a comprehensive verification process to ensure correction of all identified individual instances of noncompliance. The following steps were completed for correcting each case of noncompliance: </w:t>
      </w:r>
    </w:p>
    <w:p w14:paraId="2325063C" w14:textId="77777777" w:rsidR="000575B2" w:rsidRDefault="000575B2"/>
    <w:p w14:paraId="5E6CE74A" w14:textId="77777777" w:rsidR="000575B2" w:rsidRDefault="00D6492D">
      <w:r>
        <w:rPr>
          <w:color w:val="000000"/>
        </w:rPr>
        <w:t xml:space="preserve">     - The EI program submitted documentation of the correction of noncompliance for each of the twelve </w:t>
      </w:r>
      <w:proofErr w:type="gramStart"/>
      <w:r>
        <w:rPr>
          <w:color w:val="000000"/>
        </w:rPr>
        <w:t>individual</w:t>
      </w:r>
      <w:proofErr w:type="gramEnd"/>
      <w:r>
        <w:rPr>
          <w:color w:val="000000"/>
        </w:rPr>
        <w:t xml:space="preserve"> noncompliant IFSPs through online submission in SPR&amp;I, Oregon’s electronic monitoring system. </w:t>
      </w:r>
    </w:p>
    <w:p w14:paraId="12F1E444" w14:textId="77777777" w:rsidR="000575B2" w:rsidRDefault="000575B2"/>
    <w:p w14:paraId="64CECB22" w14:textId="77777777" w:rsidR="000575B2" w:rsidRDefault="00D6492D">
      <w:r>
        <w:rPr>
          <w:color w:val="000000"/>
        </w:rPr>
        <w:t xml:space="preserve">     - The state reviewed the twelve individual child records in </w:t>
      </w:r>
      <w:proofErr w:type="spellStart"/>
      <w:r>
        <w:rPr>
          <w:color w:val="000000"/>
        </w:rPr>
        <w:t>ecWeb</w:t>
      </w:r>
      <w:proofErr w:type="spellEnd"/>
      <w:r>
        <w:rPr>
          <w:color w:val="000000"/>
        </w:rPr>
        <w:t xml:space="preserve">, Oregon’s statewide EI data system, to see if transition conferences were provided, although untimely, or the child was no longer in the program’s jurisdiction. </w:t>
      </w:r>
    </w:p>
    <w:p w14:paraId="6C53CDA9" w14:textId="77777777" w:rsidR="000575B2" w:rsidRDefault="000575B2"/>
    <w:p w14:paraId="6605C554" w14:textId="77777777" w:rsidR="000575B2" w:rsidRDefault="00D6492D">
      <w:r>
        <w:rPr>
          <w:color w:val="000000"/>
        </w:rPr>
        <w:t xml:space="preserve">For FFY 2023, 100% (12 of 12) incidents of noncompliance, identified across [Ex eight] regional sites, were corrected within one year. Each program with identified noncompliance developed an IFSP that included transition conferences for each child, unless the child was no longer within the jurisdiction of the EI program. </w:t>
      </w:r>
    </w:p>
    <w:p w14:paraId="067007F4"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12EDC65A" w14:textId="77777777" w:rsidR="00416EBD" w:rsidRPr="00EE69F5" w:rsidRDefault="00416EBD" w:rsidP="00416EBD">
      <w:r w:rsidRPr="00EE69F5">
        <w:t>N/A</w:t>
      </w:r>
    </w:p>
    <w:p w14:paraId="46DF32B4" w14:textId="77777777" w:rsidR="00E06C1E" w:rsidRPr="00ED172B" w:rsidRDefault="00E06C1E"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6DB53A24" w14:textId="77777777" w:rsidTr="00986B99">
        <w:trPr>
          <w:tblHeader/>
        </w:trPr>
        <w:tc>
          <w:tcPr>
            <w:tcW w:w="954" w:type="pct"/>
            <w:vAlign w:val="bottom"/>
          </w:tcPr>
          <w:p w14:paraId="7BA8EC3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vAlign w:val="bottom"/>
          </w:tcPr>
          <w:p w14:paraId="1A7B0F77"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85" w:type="pct"/>
            <w:vAlign w:val="bottom"/>
          </w:tcPr>
          <w:p w14:paraId="7E0D0A17"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vAlign w:val="bottom"/>
          </w:tcPr>
          <w:p w14:paraId="5549079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D5485C8" w14:textId="77777777" w:rsidTr="00986B99">
        <w:tc>
          <w:tcPr>
            <w:tcW w:w="954" w:type="pct"/>
          </w:tcPr>
          <w:p w14:paraId="5C8474CE" w14:textId="77777777" w:rsidR="00E06C1E" w:rsidRPr="00ED172B" w:rsidRDefault="00E06C1E" w:rsidP="00D21F29">
            <w:pPr>
              <w:jc w:val="center"/>
              <w:rPr>
                <w:rFonts w:cs="Arial"/>
                <w:color w:val="000000" w:themeColor="text1"/>
                <w:szCs w:val="16"/>
              </w:rPr>
            </w:pPr>
          </w:p>
        </w:tc>
        <w:tc>
          <w:tcPr>
            <w:tcW w:w="1369" w:type="pct"/>
          </w:tcPr>
          <w:p w14:paraId="6081FB3E" w14:textId="77777777" w:rsidR="00E06C1E" w:rsidRPr="00ED172B" w:rsidRDefault="00E06C1E" w:rsidP="00CD79C5">
            <w:pPr>
              <w:jc w:val="center"/>
              <w:rPr>
                <w:rFonts w:cs="Arial"/>
                <w:noProof/>
                <w:color w:val="000000" w:themeColor="text1"/>
                <w:szCs w:val="16"/>
              </w:rPr>
            </w:pPr>
          </w:p>
        </w:tc>
        <w:tc>
          <w:tcPr>
            <w:tcW w:w="1385" w:type="pct"/>
          </w:tcPr>
          <w:p w14:paraId="759075C0" w14:textId="77777777" w:rsidR="00E06C1E" w:rsidRPr="00ED172B" w:rsidRDefault="00E06C1E" w:rsidP="00CD79C5">
            <w:pPr>
              <w:jc w:val="center"/>
              <w:rPr>
                <w:rFonts w:cs="Arial"/>
                <w:noProof/>
                <w:color w:val="000000" w:themeColor="text1"/>
                <w:szCs w:val="16"/>
              </w:rPr>
            </w:pPr>
          </w:p>
        </w:tc>
        <w:tc>
          <w:tcPr>
            <w:tcW w:w="1292" w:type="pct"/>
          </w:tcPr>
          <w:p w14:paraId="42024D19" w14:textId="77777777" w:rsidR="00E06C1E" w:rsidRPr="00ED172B" w:rsidRDefault="00E06C1E" w:rsidP="00CD79C5">
            <w:pPr>
              <w:jc w:val="center"/>
              <w:rPr>
                <w:rFonts w:cs="Arial"/>
                <w:noProof/>
                <w:color w:val="000000" w:themeColor="text1"/>
                <w:szCs w:val="16"/>
              </w:rPr>
            </w:pPr>
          </w:p>
        </w:tc>
      </w:tr>
      <w:tr w:rsidR="00ED172B" w:rsidRPr="00ED172B" w14:paraId="798205A4" w14:textId="77777777" w:rsidTr="00986B99">
        <w:tc>
          <w:tcPr>
            <w:tcW w:w="954" w:type="pct"/>
          </w:tcPr>
          <w:p w14:paraId="5E9D315B" w14:textId="77777777" w:rsidR="00E06C1E" w:rsidRPr="00ED172B" w:rsidRDefault="00E06C1E" w:rsidP="00D21F29">
            <w:pPr>
              <w:jc w:val="center"/>
              <w:rPr>
                <w:rFonts w:cs="Arial"/>
                <w:color w:val="000000" w:themeColor="text1"/>
                <w:szCs w:val="16"/>
              </w:rPr>
            </w:pPr>
          </w:p>
        </w:tc>
        <w:tc>
          <w:tcPr>
            <w:tcW w:w="1369" w:type="pct"/>
          </w:tcPr>
          <w:p w14:paraId="4F7B58E2" w14:textId="77777777" w:rsidR="00E06C1E" w:rsidRPr="00ED172B" w:rsidRDefault="00E06C1E" w:rsidP="00CD79C5">
            <w:pPr>
              <w:jc w:val="center"/>
              <w:rPr>
                <w:rFonts w:cs="Arial"/>
                <w:noProof/>
                <w:color w:val="000000" w:themeColor="text1"/>
                <w:szCs w:val="16"/>
              </w:rPr>
            </w:pPr>
          </w:p>
        </w:tc>
        <w:tc>
          <w:tcPr>
            <w:tcW w:w="1385" w:type="pct"/>
          </w:tcPr>
          <w:p w14:paraId="4A0DB45C" w14:textId="77777777" w:rsidR="00E06C1E" w:rsidRPr="00ED172B" w:rsidRDefault="00E06C1E" w:rsidP="00CD79C5">
            <w:pPr>
              <w:jc w:val="center"/>
              <w:rPr>
                <w:rFonts w:cs="Arial"/>
                <w:noProof/>
                <w:color w:val="000000" w:themeColor="text1"/>
                <w:szCs w:val="16"/>
              </w:rPr>
            </w:pPr>
          </w:p>
        </w:tc>
        <w:tc>
          <w:tcPr>
            <w:tcW w:w="1292" w:type="pct"/>
          </w:tcPr>
          <w:p w14:paraId="0ACD1A99" w14:textId="77777777" w:rsidR="00E06C1E" w:rsidRPr="00ED172B" w:rsidRDefault="00E06C1E" w:rsidP="00CD79C5">
            <w:pPr>
              <w:jc w:val="center"/>
              <w:rPr>
                <w:rFonts w:cs="Arial"/>
                <w:noProof/>
                <w:color w:val="000000" w:themeColor="text1"/>
                <w:szCs w:val="16"/>
              </w:rPr>
            </w:pPr>
          </w:p>
        </w:tc>
      </w:tr>
      <w:tr w:rsidR="00ED172B" w:rsidRPr="00ED172B" w14:paraId="07C425EB" w14:textId="77777777" w:rsidTr="00986B99">
        <w:tc>
          <w:tcPr>
            <w:tcW w:w="954" w:type="pct"/>
          </w:tcPr>
          <w:p w14:paraId="0C1F6F46" w14:textId="77777777" w:rsidR="00E06C1E" w:rsidRPr="00ED172B" w:rsidRDefault="00E06C1E" w:rsidP="00D21F29">
            <w:pPr>
              <w:jc w:val="center"/>
              <w:rPr>
                <w:rFonts w:cs="Arial"/>
                <w:color w:val="000000" w:themeColor="text1"/>
                <w:szCs w:val="16"/>
              </w:rPr>
            </w:pPr>
          </w:p>
        </w:tc>
        <w:tc>
          <w:tcPr>
            <w:tcW w:w="1369" w:type="pct"/>
          </w:tcPr>
          <w:p w14:paraId="2CFC8C4D" w14:textId="77777777" w:rsidR="00E06C1E" w:rsidRPr="00ED172B" w:rsidRDefault="00E06C1E" w:rsidP="00CD79C5">
            <w:pPr>
              <w:jc w:val="center"/>
              <w:rPr>
                <w:rFonts w:cs="Arial"/>
                <w:noProof/>
                <w:color w:val="000000" w:themeColor="text1"/>
                <w:szCs w:val="16"/>
              </w:rPr>
            </w:pPr>
          </w:p>
        </w:tc>
        <w:tc>
          <w:tcPr>
            <w:tcW w:w="1385" w:type="pct"/>
          </w:tcPr>
          <w:p w14:paraId="6F9F1E77" w14:textId="77777777" w:rsidR="00E06C1E" w:rsidRPr="00ED172B" w:rsidRDefault="00E06C1E" w:rsidP="00CD79C5">
            <w:pPr>
              <w:jc w:val="center"/>
              <w:rPr>
                <w:rFonts w:cs="Arial"/>
                <w:noProof/>
                <w:color w:val="000000" w:themeColor="text1"/>
                <w:szCs w:val="16"/>
              </w:rPr>
            </w:pPr>
          </w:p>
        </w:tc>
        <w:tc>
          <w:tcPr>
            <w:tcW w:w="1292" w:type="pct"/>
          </w:tcPr>
          <w:p w14:paraId="4660B9C9" w14:textId="77777777" w:rsidR="00E06C1E" w:rsidRPr="00ED172B" w:rsidRDefault="00E06C1E" w:rsidP="00CD79C5">
            <w:pPr>
              <w:jc w:val="center"/>
              <w:rPr>
                <w:rFonts w:cs="Arial"/>
                <w:noProof/>
                <w:color w:val="000000" w:themeColor="text1"/>
                <w:szCs w:val="16"/>
              </w:rPr>
            </w:pPr>
          </w:p>
        </w:tc>
      </w:tr>
      <w:tr w:rsidR="00422BEE" w:rsidRPr="00ED172B" w14:paraId="2CD845AC" w14:textId="77777777" w:rsidTr="00986B99">
        <w:tc>
          <w:tcPr>
            <w:tcW w:w="954" w:type="pct"/>
          </w:tcPr>
          <w:p w14:paraId="0AEF704E" w14:textId="77777777" w:rsidR="00422BEE" w:rsidRPr="00ED172B" w:rsidRDefault="00422BEE" w:rsidP="00D21F29">
            <w:pPr>
              <w:jc w:val="center"/>
              <w:rPr>
                <w:rFonts w:cs="Arial"/>
                <w:color w:val="000000" w:themeColor="text1"/>
                <w:szCs w:val="16"/>
              </w:rPr>
            </w:pPr>
          </w:p>
        </w:tc>
        <w:tc>
          <w:tcPr>
            <w:tcW w:w="1369" w:type="pct"/>
          </w:tcPr>
          <w:p w14:paraId="1EB42233" w14:textId="77777777" w:rsidR="00422BEE" w:rsidRPr="00ED172B" w:rsidRDefault="00422BEE" w:rsidP="00422BEE">
            <w:pPr>
              <w:jc w:val="center"/>
              <w:rPr>
                <w:rFonts w:cs="Arial"/>
                <w:color w:val="000000" w:themeColor="text1"/>
                <w:szCs w:val="16"/>
              </w:rPr>
            </w:pPr>
          </w:p>
        </w:tc>
        <w:tc>
          <w:tcPr>
            <w:tcW w:w="1385" w:type="pct"/>
          </w:tcPr>
          <w:p w14:paraId="7F90CB66" w14:textId="77777777" w:rsidR="00422BEE" w:rsidRPr="00ED172B" w:rsidRDefault="00422BEE" w:rsidP="00422BEE">
            <w:pPr>
              <w:jc w:val="center"/>
              <w:rPr>
                <w:rFonts w:cs="Arial"/>
                <w:color w:val="000000" w:themeColor="text1"/>
                <w:szCs w:val="16"/>
              </w:rPr>
            </w:pPr>
          </w:p>
        </w:tc>
        <w:tc>
          <w:tcPr>
            <w:tcW w:w="1292" w:type="pct"/>
          </w:tcPr>
          <w:p w14:paraId="70D81631" w14:textId="77777777" w:rsidR="00422BEE" w:rsidRPr="00ED172B" w:rsidRDefault="00422BEE" w:rsidP="00422BEE">
            <w:pPr>
              <w:jc w:val="center"/>
              <w:rPr>
                <w:rFonts w:cs="Arial"/>
                <w:color w:val="000000" w:themeColor="text1"/>
                <w:szCs w:val="16"/>
              </w:rPr>
            </w:pPr>
          </w:p>
        </w:tc>
      </w:tr>
      <w:tr w:rsidR="00422BEE" w:rsidRPr="00ED172B" w14:paraId="56062DB2" w14:textId="77777777" w:rsidTr="00986B99">
        <w:tc>
          <w:tcPr>
            <w:tcW w:w="954" w:type="pct"/>
          </w:tcPr>
          <w:p w14:paraId="7FF5924D" w14:textId="77777777" w:rsidR="00422BEE" w:rsidRPr="00ED172B" w:rsidRDefault="00422BEE" w:rsidP="00D21F29">
            <w:pPr>
              <w:jc w:val="center"/>
              <w:rPr>
                <w:rFonts w:cs="Arial"/>
                <w:color w:val="000000" w:themeColor="text1"/>
                <w:szCs w:val="16"/>
              </w:rPr>
            </w:pPr>
          </w:p>
        </w:tc>
        <w:tc>
          <w:tcPr>
            <w:tcW w:w="1369" w:type="pct"/>
          </w:tcPr>
          <w:p w14:paraId="0AFA845E" w14:textId="77777777" w:rsidR="00422BEE" w:rsidRPr="00ED172B" w:rsidRDefault="00422BEE" w:rsidP="00422BEE">
            <w:pPr>
              <w:jc w:val="center"/>
              <w:rPr>
                <w:rFonts w:cs="Arial"/>
                <w:color w:val="000000" w:themeColor="text1"/>
                <w:szCs w:val="16"/>
              </w:rPr>
            </w:pPr>
          </w:p>
        </w:tc>
        <w:tc>
          <w:tcPr>
            <w:tcW w:w="1385" w:type="pct"/>
          </w:tcPr>
          <w:p w14:paraId="47B4CF4F" w14:textId="77777777" w:rsidR="00422BEE" w:rsidRPr="00ED172B" w:rsidRDefault="00422BEE" w:rsidP="00422BEE">
            <w:pPr>
              <w:jc w:val="center"/>
              <w:rPr>
                <w:rFonts w:cs="Arial"/>
                <w:color w:val="000000" w:themeColor="text1"/>
                <w:szCs w:val="16"/>
              </w:rPr>
            </w:pPr>
          </w:p>
        </w:tc>
        <w:tc>
          <w:tcPr>
            <w:tcW w:w="1292" w:type="pct"/>
          </w:tcPr>
          <w:p w14:paraId="7E81D646" w14:textId="77777777" w:rsidR="00422BEE" w:rsidRPr="00ED172B" w:rsidRDefault="00422BEE" w:rsidP="00422BEE">
            <w:pPr>
              <w:jc w:val="center"/>
              <w:rPr>
                <w:rFonts w:cs="Arial"/>
                <w:color w:val="000000" w:themeColor="text1"/>
                <w:szCs w:val="16"/>
              </w:rPr>
            </w:pPr>
          </w:p>
        </w:tc>
      </w:tr>
    </w:tbl>
    <w:p w14:paraId="4613DFA7" w14:textId="77777777" w:rsidR="00E06C1E" w:rsidRPr="00ED172B" w:rsidRDefault="00E06C1E">
      <w:pPr>
        <w:rPr>
          <w:color w:val="000000" w:themeColor="text1"/>
        </w:rPr>
      </w:pPr>
    </w:p>
    <w:p w14:paraId="0377E948" w14:textId="77777777" w:rsidR="00E06C1E" w:rsidRPr="00A40EE1" w:rsidRDefault="000D0117" w:rsidP="007B0787">
      <w:pPr>
        <w:pStyle w:val="Heading2"/>
      </w:pPr>
      <w:r w:rsidRPr="00A40EE1">
        <w:t xml:space="preserve">8C - </w:t>
      </w:r>
      <w:r w:rsidR="00E06C1E" w:rsidRPr="00A40EE1">
        <w:t>Prior FFY Required Actions</w:t>
      </w:r>
    </w:p>
    <w:p w14:paraId="2A3D19F1" w14:textId="77777777" w:rsidR="00720D77" w:rsidRPr="00ED172B" w:rsidRDefault="00320806" w:rsidP="00E06C1E">
      <w:pPr>
        <w:rPr>
          <w:rFonts w:cs="Arial"/>
          <w:color w:val="000000" w:themeColor="text1"/>
          <w:szCs w:val="16"/>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ED172B">
        <w:rPr>
          <w:color w:val="000000" w:themeColor="text1"/>
        </w:rPr>
        <w:t>reflect</w:t>
      </w:r>
      <w:proofErr w:type="gramEnd"/>
      <w:r w:rsidRPr="00ED172B">
        <w:rPr>
          <w:color w:val="000000" w:themeColor="text1"/>
        </w:rPr>
        <w:t xml:space="preserve">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05190187" w14:textId="77777777" w:rsidR="00E06C1E" w:rsidRPr="00ED172B" w:rsidRDefault="00E06C1E"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2B5C5CC1" w14:textId="77777777" w:rsidR="00720D77" w:rsidRPr="00ED172B" w:rsidRDefault="00027F39" w:rsidP="00027F39">
      <w:pPr>
        <w:rPr>
          <w:color w:val="000000" w:themeColor="text1"/>
        </w:rPr>
      </w:pPr>
      <w:r w:rsidRPr="00ED172B">
        <w:rPr>
          <w:color w:val="000000" w:themeColor="text1"/>
        </w:rPr>
        <w:t xml:space="preserve">Of the 35 EI programs in the state, seven had findings of noncompliance. A total of twelve instances of child-specific noncompliance were identified across the seven EI programs. </w:t>
      </w:r>
    </w:p>
    <w:p w14:paraId="115F213F" w14:textId="77777777" w:rsidR="000575B2" w:rsidRDefault="000575B2"/>
    <w:p w14:paraId="098B2C28" w14:textId="77777777" w:rsidR="000575B2" w:rsidRDefault="00D6492D">
      <w:r>
        <w:rPr>
          <w:color w:val="000000"/>
        </w:rPr>
        <w:t xml:space="preserve">To verify that each program corrected the noncompliance and was correctly implementing the regulatory requirements, the State conducted subsequent file reviews using </w:t>
      </w:r>
      <w:proofErr w:type="spellStart"/>
      <w:r>
        <w:rPr>
          <w:color w:val="000000"/>
        </w:rPr>
        <w:t>ecWeb</w:t>
      </w:r>
      <w:proofErr w:type="spellEnd"/>
      <w:r>
        <w:rPr>
          <w:color w:val="000000"/>
        </w:rPr>
        <w:t xml:space="preserve">, Oregon’s statewide EI/ECSE data system. The State reviewed additional child records from each of the seven programs, </w:t>
      </w:r>
      <w:r>
        <w:rPr>
          <w:color w:val="000000"/>
        </w:rPr>
        <w:lastRenderedPageBreak/>
        <w:t xml:space="preserve">selecting files dated after the completion of corrective actions for all children exiting Part C, to ensure that timely transition conferences were provided in accordance with federal and state requirements. </w:t>
      </w:r>
    </w:p>
    <w:p w14:paraId="3B29ABD6" w14:textId="77777777" w:rsidR="000575B2" w:rsidRDefault="000575B2"/>
    <w:p w14:paraId="48B1F826" w14:textId="77777777" w:rsidR="000575B2" w:rsidRDefault="00D6492D">
      <w:r>
        <w:rPr>
          <w:color w:val="000000"/>
        </w:rPr>
        <w:t xml:space="preserve">Through this review of subsequent data, the state verified that each of the seven EI programs achieved 100% compliance within one year and are correctly implementing the regulatory requirements for timely transition conferences. </w:t>
      </w:r>
    </w:p>
    <w:p w14:paraId="6E89A79D" w14:textId="77777777" w:rsidR="000575B2" w:rsidRDefault="000575B2"/>
    <w:p w14:paraId="31F01BC3" w14:textId="77777777" w:rsidR="000575B2" w:rsidRDefault="00D6492D">
      <w:r>
        <w:rPr>
          <w:color w:val="000000"/>
        </w:rPr>
        <w:t xml:space="preserve">The state completed a comprehensive verification process to ensure correction of all identified individual instances of noncompliance. The following steps were completed for correcting each case of noncompliance: </w:t>
      </w:r>
    </w:p>
    <w:p w14:paraId="6365C6B4" w14:textId="77777777" w:rsidR="000575B2" w:rsidRDefault="000575B2"/>
    <w:p w14:paraId="5284D070" w14:textId="77777777" w:rsidR="000575B2" w:rsidRDefault="00D6492D">
      <w:r>
        <w:rPr>
          <w:color w:val="000000"/>
        </w:rPr>
        <w:t xml:space="preserve">     - The EI program submitted documentation of the correction of noncompliance for each of the twelve </w:t>
      </w:r>
      <w:proofErr w:type="gramStart"/>
      <w:r>
        <w:rPr>
          <w:color w:val="000000"/>
        </w:rPr>
        <w:t>individual</w:t>
      </w:r>
      <w:proofErr w:type="gramEnd"/>
      <w:r>
        <w:rPr>
          <w:color w:val="000000"/>
        </w:rPr>
        <w:t xml:space="preserve"> noncompliant IFSPs through online submission in SPR&amp;I, Oregon’s electronic monitoring system. </w:t>
      </w:r>
    </w:p>
    <w:p w14:paraId="4C3D4BDA" w14:textId="77777777" w:rsidR="000575B2" w:rsidRDefault="000575B2"/>
    <w:p w14:paraId="6693CB00" w14:textId="77777777" w:rsidR="000575B2" w:rsidRDefault="00D6492D">
      <w:r>
        <w:rPr>
          <w:color w:val="000000"/>
        </w:rPr>
        <w:t xml:space="preserve">     - The state reviewed the twelve individual child records in </w:t>
      </w:r>
      <w:proofErr w:type="spellStart"/>
      <w:r>
        <w:rPr>
          <w:color w:val="000000"/>
        </w:rPr>
        <w:t>ecWeb</w:t>
      </w:r>
      <w:proofErr w:type="spellEnd"/>
      <w:r>
        <w:rPr>
          <w:color w:val="000000"/>
        </w:rPr>
        <w:t xml:space="preserve">, Oregon’s statewide EI data system, to see if transition conferences were provided, although untimely, or the child was no longer in the program’s jurisdiction. </w:t>
      </w:r>
    </w:p>
    <w:p w14:paraId="4EDFB2EA" w14:textId="77777777" w:rsidR="000575B2" w:rsidRDefault="000575B2"/>
    <w:p w14:paraId="76DF94C5" w14:textId="77777777" w:rsidR="000575B2" w:rsidRDefault="00D6492D">
      <w:r>
        <w:rPr>
          <w:color w:val="000000"/>
        </w:rPr>
        <w:t xml:space="preserve">For FFY 2023, 100% (12 of 12) incidents of noncompliance, identified across [Ex eight] regional sites, were corrected within one year. Each program with identified noncompliance developed an IFSP that included transition conferences for each child, unless the child was no longer within the jurisdiction of the EI program. </w:t>
      </w:r>
    </w:p>
    <w:p w14:paraId="7A5B3AA1" w14:textId="77777777" w:rsidR="00E06C1E" w:rsidRPr="00A40EE1" w:rsidRDefault="000D0117" w:rsidP="007B0787">
      <w:pPr>
        <w:pStyle w:val="Heading2"/>
      </w:pPr>
      <w:r w:rsidRPr="00A40EE1">
        <w:t xml:space="preserve">8C - </w:t>
      </w:r>
      <w:r w:rsidR="00E06C1E" w:rsidRPr="00A40EE1">
        <w:t>OSEP Response</w:t>
      </w:r>
    </w:p>
    <w:p w14:paraId="18E53671" w14:textId="77777777" w:rsidR="00E06C1E" w:rsidRPr="00ED172B" w:rsidRDefault="00E06C1E" w:rsidP="00320806">
      <w:pPr>
        <w:rPr>
          <w:color w:val="000000" w:themeColor="text1"/>
        </w:rPr>
      </w:pPr>
    </w:p>
    <w:p w14:paraId="2C663B95" w14:textId="77777777" w:rsidR="00E06C1E" w:rsidRPr="00A40EE1" w:rsidRDefault="000D0117" w:rsidP="007B0787">
      <w:pPr>
        <w:pStyle w:val="Heading2"/>
      </w:pPr>
      <w:r w:rsidRPr="00A40EE1">
        <w:t xml:space="preserve">8C - </w:t>
      </w:r>
      <w:r w:rsidR="00E06C1E" w:rsidRPr="00A40EE1">
        <w:t>Required Actions</w:t>
      </w:r>
    </w:p>
    <w:p w14:paraId="69089540" w14:textId="77777777" w:rsidR="00E06C1E" w:rsidRPr="00ED172B" w:rsidRDefault="00320806" w:rsidP="00320806">
      <w:pPr>
        <w:rPr>
          <w:color w:val="000000" w:themeColor="text1"/>
        </w:rPr>
      </w:pPr>
      <w:r w:rsidRPr="00ED172B">
        <w:rPr>
          <w:color w:val="000000" w:themeColor="text1"/>
        </w:rPr>
        <w:t xml:space="preserve">Because the State reported less than 100% compliance for FFY 2024, the State must report on the status of correction of noncompliance identified in FFY 2024 for this indicator. When reporting on the correction of noncompliance, the State must report, in the FFY 2025 SPP/APR, that it has verified that each EIS program or provider with noncompliance identified in FFY 2024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2025 SPP/APR, the State must describe the specific actions that were taken to verify the correction. If the State did not identify any findings of noncompliance in FFY 2024, although its FFY 2024 data reflect less than 100% compliance, provide an explanation of why the State did not identify any findings of noncompliance in FFY 2024.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09529517"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BF3AB4">
          <w:pgSz w:w="12240" w:h="15840"/>
          <w:pgMar w:top="720" w:right="720" w:bottom="720" w:left="720" w:header="720" w:footer="463" w:gutter="0"/>
          <w:cols w:space="720"/>
          <w:docGrid w:linePitch="360"/>
        </w:sectPr>
      </w:pPr>
    </w:p>
    <w:p w14:paraId="402E48DB" w14:textId="77777777" w:rsidR="00B3462E" w:rsidRPr="00ED172B" w:rsidRDefault="00B3462E" w:rsidP="0077063D">
      <w:pPr>
        <w:pStyle w:val="Heading1"/>
        <w:rPr>
          <w:color w:val="000000" w:themeColor="text1"/>
        </w:rPr>
      </w:pPr>
      <w:bookmarkStart w:id="46" w:name="_Toc382082390"/>
      <w:bookmarkStart w:id="47" w:name="_Toc392159339"/>
      <w:bookmarkEnd w:id="42"/>
      <w:r w:rsidRPr="00ED172B">
        <w:rPr>
          <w:color w:val="000000" w:themeColor="text1"/>
        </w:rPr>
        <w:lastRenderedPageBreak/>
        <w:t>Indicator 9: Resolution Sessions</w:t>
      </w:r>
      <w:bookmarkEnd w:id="46"/>
      <w:bookmarkEnd w:id="47"/>
    </w:p>
    <w:p w14:paraId="4AADC78F" w14:textId="77777777" w:rsidR="00F51610" w:rsidRPr="00ED172B" w:rsidRDefault="00F51610" w:rsidP="00186420">
      <w:pPr>
        <w:rPr>
          <w:color w:val="000000" w:themeColor="text1"/>
          <w:szCs w:val="20"/>
        </w:rPr>
      </w:pPr>
      <w:bookmarkStart w:id="48" w:name="_Toc381786822"/>
      <w:bookmarkStart w:id="49" w:name="_Toc382731911"/>
      <w:bookmarkStart w:id="50" w:name="_Toc382731912"/>
      <w:bookmarkStart w:id="51" w:name="_Toc392159340"/>
      <w:bookmarkEnd w:id="48"/>
      <w:bookmarkEnd w:id="49"/>
      <w:r w:rsidRPr="00ED172B">
        <w:rPr>
          <w:b/>
          <w:color w:val="000000" w:themeColor="text1"/>
          <w:sz w:val="20"/>
          <w:szCs w:val="20"/>
        </w:rPr>
        <w:t>Instructions and Measurement</w:t>
      </w:r>
    </w:p>
    <w:p w14:paraId="07CD962A"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75067B3B"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14B28C8F" w14:textId="77777777" w:rsidR="00FE403B" w:rsidRPr="00ED172B" w:rsidRDefault="00FE403B">
      <w:pPr>
        <w:rPr>
          <w:b/>
          <w:color w:val="000000" w:themeColor="text1"/>
        </w:rPr>
      </w:pPr>
      <w:r w:rsidRPr="00ED172B">
        <w:rPr>
          <w:b/>
          <w:color w:val="000000" w:themeColor="text1"/>
        </w:rPr>
        <w:t>Data Source</w:t>
      </w:r>
    </w:p>
    <w:p w14:paraId="20C702D2" w14:textId="77777777" w:rsidR="005916DB" w:rsidRPr="00F446DC" w:rsidRDefault="005916DB" w:rsidP="005916DB">
      <w:pPr>
        <w:rPr>
          <w:szCs w:val="16"/>
        </w:rPr>
      </w:pPr>
      <w:r w:rsidRPr="00ED3380">
        <w:rPr>
          <w:szCs w:val="16"/>
        </w:rPr>
        <w:t>Same data as used for reporting to the Department under section 618 of the IDEA, using the definitions in EDFacts file specification FS908</w:t>
      </w:r>
      <w:r w:rsidRPr="0084279D">
        <w:rPr>
          <w:rFonts w:cs="Arial"/>
          <w:szCs w:val="16"/>
        </w:rPr>
        <w:t>.</w:t>
      </w:r>
    </w:p>
    <w:p w14:paraId="0DC406F6" w14:textId="77777777" w:rsidR="00FE403B" w:rsidRPr="00ED172B" w:rsidRDefault="00FE403B">
      <w:pPr>
        <w:rPr>
          <w:b/>
          <w:color w:val="000000" w:themeColor="text1"/>
        </w:rPr>
      </w:pPr>
      <w:r w:rsidRPr="00ED172B">
        <w:rPr>
          <w:b/>
          <w:color w:val="000000" w:themeColor="text1"/>
        </w:rPr>
        <w:t>Measurement</w:t>
      </w:r>
    </w:p>
    <w:p w14:paraId="344BC896" w14:textId="77777777" w:rsidR="00F90BF8" w:rsidRPr="00ED172B" w:rsidRDefault="00F90BF8" w:rsidP="00715B7C">
      <w:pPr>
        <w:rPr>
          <w:color w:val="000000" w:themeColor="text1"/>
          <w:szCs w:val="16"/>
        </w:rPr>
      </w:pPr>
      <w:r w:rsidRPr="00ED172B">
        <w:rPr>
          <w:color w:val="000000" w:themeColor="text1"/>
          <w:szCs w:val="16"/>
        </w:rPr>
        <w:t>Percent = (3.1(a) divided by 3.1) times 100.</w:t>
      </w:r>
    </w:p>
    <w:p w14:paraId="5A5AE554" w14:textId="77777777" w:rsidR="00FE403B" w:rsidRPr="00ED172B" w:rsidRDefault="00FE403B">
      <w:pPr>
        <w:rPr>
          <w:b/>
          <w:color w:val="000000" w:themeColor="text1"/>
        </w:rPr>
      </w:pPr>
      <w:r w:rsidRPr="00ED172B">
        <w:rPr>
          <w:b/>
          <w:color w:val="000000" w:themeColor="text1"/>
        </w:rPr>
        <w:t>Instructions</w:t>
      </w:r>
    </w:p>
    <w:p w14:paraId="6C1CA240"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2189702E" w14:textId="77777777"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30A1632A"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3A65FC8D" w14:textId="77777777"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resolution sessions is less than 10. In a reporting period when the number of resolution sessions reaches 10 or greater, the State must develop baselines and targets and report them in the corresponding SPP/APR.</w:t>
      </w:r>
    </w:p>
    <w:p w14:paraId="75969332" w14:textId="77777777"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2C99ED89"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283A6ABA"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0"/>
    <w:bookmarkEnd w:id="51"/>
    <w:p w14:paraId="641D1FC2" w14:textId="77777777" w:rsidR="007F0CEC" w:rsidRPr="00A40EE1" w:rsidRDefault="000D0117" w:rsidP="007B0787">
      <w:pPr>
        <w:pStyle w:val="Heading2"/>
      </w:pPr>
      <w:r w:rsidRPr="00A40EE1">
        <w:t xml:space="preserve">9 - </w:t>
      </w:r>
      <w:r w:rsidR="00715B7C" w:rsidRPr="00A40EE1">
        <w:t>Indicator Data</w:t>
      </w:r>
    </w:p>
    <w:p w14:paraId="4C584C8A" w14:textId="77777777" w:rsidR="00524F62" w:rsidRPr="00ED172B" w:rsidRDefault="00524F62" w:rsidP="00524F62">
      <w:pPr>
        <w:rPr>
          <w:b/>
          <w:color w:val="000000" w:themeColor="text1"/>
        </w:rPr>
      </w:pPr>
      <w:r w:rsidRPr="00ED172B">
        <w:rPr>
          <w:b/>
          <w:color w:val="000000" w:themeColor="text1"/>
        </w:rPr>
        <w:t>Not Applicable</w:t>
      </w:r>
    </w:p>
    <w:p w14:paraId="727D15A8" w14:textId="77777777"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43B4D1D5" w14:textId="77777777" w:rsidR="00D12606" w:rsidRPr="00ED172B" w:rsidRDefault="00860830" w:rsidP="00B83404">
      <w:pPr>
        <w:rPr>
          <w:color w:val="000000" w:themeColor="text1"/>
        </w:rPr>
      </w:pPr>
      <w:r w:rsidRPr="00ED172B">
        <w:rPr>
          <w:color w:val="000000" w:themeColor="text1"/>
        </w:rPr>
        <w:t>NO</w:t>
      </w:r>
    </w:p>
    <w:p w14:paraId="0AE29F57" w14:textId="77777777" w:rsidR="00781A26" w:rsidRPr="00ED172B" w:rsidRDefault="00D12606" w:rsidP="00B83404">
      <w:pPr>
        <w:rPr>
          <w:b/>
          <w:color w:val="000000" w:themeColor="text1"/>
        </w:rPr>
      </w:pPr>
      <w:r w:rsidRPr="00ED172B">
        <w:rPr>
          <w:rFonts w:cs="Arial"/>
          <w:b/>
          <w:color w:val="000000" w:themeColor="text1"/>
          <w:szCs w:val="16"/>
        </w:rPr>
        <w:t>Select yes to use target ranges.</w:t>
      </w:r>
      <w:r w:rsidR="00781A26" w:rsidRPr="00ED172B">
        <w:rPr>
          <w:b/>
          <w:color w:val="000000" w:themeColor="text1"/>
        </w:rPr>
        <w:t xml:space="preserve"> </w:t>
      </w:r>
    </w:p>
    <w:p w14:paraId="3307809B" w14:textId="77777777" w:rsidR="00D12606" w:rsidRPr="00ED172B" w:rsidRDefault="00D12606" w:rsidP="00B83404">
      <w:pPr>
        <w:rPr>
          <w:color w:val="000000" w:themeColor="text1"/>
        </w:rPr>
      </w:pPr>
      <w:r w:rsidRPr="00ED172B">
        <w:rPr>
          <w:rFonts w:cs="Arial"/>
          <w:color w:val="000000" w:themeColor="text1"/>
          <w:szCs w:val="16"/>
        </w:rPr>
        <w:t>Target Range not used</w:t>
      </w:r>
    </w:p>
    <w:p w14:paraId="41DD9665" w14:textId="77777777" w:rsidR="00DC16A4" w:rsidRPr="00ED172B" w:rsidRDefault="00C93FA8">
      <w:pPr>
        <w:rPr>
          <w:b/>
          <w:color w:val="000000" w:themeColor="text1"/>
        </w:rPr>
      </w:pPr>
      <w:bookmarkStart w:id="52" w:name="_Toc382731913"/>
      <w:bookmarkStart w:id="53" w:name="_Toc392159341"/>
      <w:r w:rsidRPr="00ED172B">
        <w:rPr>
          <w:b/>
          <w:color w:val="000000" w:themeColor="text1"/>
        </w:rPr>
        <w:t xml:space="preserve">Select yes if the data reported in this indicator </w:t>
      </w:r>
      <w:proofErr w:type="gramStart"/>
      <w:r w:rsidRPr="00ED172B">
        <w:rPr>
          <w:b/>
          <w:color w:val="000000" w:themeColor="text1"/>
        </w:rPr>
        <w:t>are</w:t>
      </w:r>
      <w:proofErr w:type="gramEnd"/>
      <w:r w:rsidRPr="00ED172B">
        <w:rPr>
          <w:b/>
          <w:color w:val="000000" w:themeColor="text1"/>
        </w:rPr>
        <w:t xml:space="preserve"> not the same as the State’s data reported under Section 618 of the IDEA.</w:t>
      </w:r>
    </w:p>
    <w:p w14:paraId="6CDF8398" w14:textId="77777777" w:rsidR="00C93FA8" w:rsidRDefault="00C93FA8">
      <w:pPr>
        <w:rPr>
          <w:color w:val="000000" w:themeColor="text1"/>
        </w:rPr>
      </w:pPr>
      <w:r w:rsidRPr="00ED172B">
        <w:rPr>
          <w:color w:val="000000" w:themeColor="text1"/>
        </w:rPr>
        <w:t>NO</w:t>
      </w:r>
    </w:p>
    <w:p w14:paraId="55C8556E" w14:textId="77777777"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PREPOPDATA"/>
      </w:tblPr>
      <w:tblGrid>
        <w:gridCol w:w="3235"/>
        <w:gridCol w:w="3332"/>
        <w:gridCol w:w="2695"/>
        <w:gridCol w:w="1528"/>
      </w:tblGrid>
      <w:tr w:rsidR="00ED172B" w:rsidRPr="00ED172B" w14:paraId="1F09B58B" w14:textId="77777777" w:rsidTr="00986B99">
        <w:trPr>
          <w:trHeight w:val="372"/>
          <w:tblHeader/>
        </w:trPr>
        <w:tc>
          <w:tcPr>
            <w:tcW w:w="1499" w:type="pct"/>
          </w:tcPr>
          <w:p w14:paraId="01823681"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Source</w:t>
            </w:r>
          </w:p>
        </w:tc>
        <w:tc>
          <w:tcPr>
            <w:tcW w:w="1544" w:type="pct"/>
          </w:tcPr>
          <w:p w14:paraId="7B71A8A9"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Date</w:t>
            </w:r>
          </w:p>
        </w:tc>
        <w:tc>
          <w:tcPr>
            <w:tcW w:w="1249" w:type="pct"/>
          </w:tcPr>
          <w:p w14:paraId="52604545"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Description</w:t>
            </w:r>
          </w:p>
        </w:tc>
        <w:tc>
          <w:tcPr>
            <w:tcW w:w="708" w:type="pct"/>
          </w:tcPr>
          <w:p w14:paraId="524E4068"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4AECF4D0" w14:textId="77777777" w:rsidTr="00986B99">
        <w:trPr>
          <w:trHeight w:val="380"/>
        </w:trPr>
        <w:tc>
          <w:tcPr>
            <w:tcW w:w="1499" w:type="pct"/>
          </w:tcPr>
          <w:p w14:paraId="52864E37" w14:textId="77777777" w:rsidR="00715B7C" w:rsidRPr="00ED172B" w:rsidRDefault="00DE6DA4" w:rsidP="00715B7C">
            <w:pPr>
              <w:rPr>
                <w:rFonts w:cs="Arial"/>
                <w:color w:val="000000" w:themeColor="text1"/>
                <w:szCs w:val="16"/>
              </w:rPr>
            </w:pPr>
            <w:r w:rsidRPr="00ED172B">
              <w:rPr>
                <w:rFonts w:cs="Arial"/>
                <w:color w:val="000000" w:themeColor="text1"/>
                <w:szCs w:val="16"/>
              </w:rPr>
              <w:t>SY 2024-25 IDEA Part C Dispute Resolution - Due Process Complaints (EDFacts file spec FS908; Data group 5031)</w:t>
            </w:r>
          </w:p>
        </w:tc>
        <w:tc>
          <w:tcPr>
            <w:tcW w:w="1544" w:type="pct"/>
          </w:tcPr>
          <w:p w14:paraId="05738114" w14:textId="77777777" w:rsidR="00715B7C" w:rsidRPr="00ED172B" w:rsidRDefault="00DE6DA4" w:rsidP="00D21F29">
            <w:pPr>
              <w:jc w:val="center"/>
              <w:rPr>
                <w:rFonts w:cs="Arial"/>
                <w:color w:val="000000" w:themeColor="text1"/>
                <w:szCs w:val="16"/>
              </w:rPr>
            </w:pPr>
            <w:r w:rsidRPr="00ED172B">
              <w:rPr>
                <w:rFonts w:cs="Arial"/>
                <w:color w:val="000000" w:themeColor="text1"/>
                <w:szCs w:val="16"/>
              </w:rPr>
              <w:t>11/19/2025</w:t>
            </w:r>
          </w:p>
        </w:tc>
        <w:tc>
          <w:tcPr>
            <w:tcW w:w="1249" w:type="pct"/>
          </w:tcPr>
          <w:p w14:paraId="3B2BA1BA" w14:textId="77777777" w:rsidR="00715B7C" w:rsidRPr="00ED172B" w:rsidRDefault="00715B7C" w:rsidP="00AC2D23">
            <w:pPr>
              <w:rPr>
                <w:rFonts w:cs="Arial"/>
                <w:color w:val="000000" w:themeColor="text1"/>
                <w:szCs w:val="16"/>
              </w:rPr>
            </w:pPr>
            <w:r w:rsidRPr="00ED172B">
              <w:rPr>
                <w:rFonts w:cs="Arial"/>
                <w:color w:val="000000" w:themeColor="text1"/>
                <w:szCs w:val="16"/>
              </w:rPr>
              <w:t>3.1 Number of resolution sessions</w:t>
            </w:r>
          </w:p>
        </w:tc>
        <w:tc>
          <w:tcPr>
            <w:tcW w:w="708" w:type="pct"/>
          </w:tcPr>
          <w:p w14:paraId="13E81EA9" w14:textId="77777777" w:rsidR="00715B7C" w:rsidRPr="00ED172B" w:rsidRDefault="00860830" w:rsidP="00D21F29">
            <w:pPr>
              <w:jc w:val="center"/>
              <w:rPr>
                <w:rFonts w:cs="Arial"/>
                <w:color w:val="000000" w:themeColor="text1"/>
                <w:szCs w:val="16"/>
              </w:rPr>
            </w:pPr>
            <w:r w:rsidRPr="00ED172B">
              <w:rPr>
                <w:rFonts w:cs="Arial"/>
                <w:color w:val="000000" w:themeColor="text1"/>
                <w:szCs w:val="16"/>
              </w:rPr>
              <w:t>0</w:t>
            </w:r>
          </w:p>
        </w:tc>
      </w:tr>
      <w:tr w:rsidR="00ED172B" w:rsidRPr="00ED172B" w14:paraId="3FD72194" w14:textId="77777777" w:rsidTr="00986B99">
        <w:trPr>
          <w:trHeight w:val="380"/>
        </w:trPr>
        <w:tc>
          <w:tcPr>
            <w:tcW w:w="1499" w:type="pct"/>
          </w:tcPr>
          <w:p w14:paraId="7F78AAF9" w14:textId="77777777" w:rsidR="00781A26" w:rsidRPr="00ED172B" w:rsidRDefault="00DE6DA4" w:rsidP="00781A26">
            <w:pPr>
              <w:rPr>
                <w:rFonts w:cs="Arial"/>
                <w:color w:val="000000" w:themeColor="text1"/>
                <w:szCs w:val="16"/>
              </w:rPr>
            </w:pPr>
            <w:r w:rsidRPr="00ED172B">
              <w:rPr>
                <w:rFonts w:cs="Arial"/>
                <w:color w:val="000000" w:themeColor="text1"/>
                <w:szCs w:val="16"/>
              </w:rPr>
              <w:t>SY 2024-25 IDEA Part C Dispute Resolution - Due Process Complaints (EDFacts file spec FS908; Data group 5031)</w:t>
            </w:r>
          </w:p>
        </w:tc>
        <w:tc>
          <w:tcPr>
            <w:tcW w:w="1544" w:type="pct"/>
          </w:tcPr>
          <w:p w14:paraId="53440360" w14:textId="77777777" w:rsidR="00781A26" w:rsidRPr="00ED172B" w:rsidRDefault="00DE6DA4" w:rsidP="00D21F29">
            <w:pPr>
              <w:jc w:val="center"/>
              <w:rPr>
                <w:rFonts w:cs="Arial"/>
                <w:color w:val="000000" w:themeColor="text1"/>
                <w:szCs w:val="16"/>
              </w:rPr>
            </w:pPr>
            <w:r w:rsidRPr="00ED172B">
              <w:rPr>
                <w:rFonts w:cs="Arial"/>
                <w:color w:val="000000" w:themeColor="text1"/>
                <w:szCs w:val="16"/>
              </w:rPr>
              <w:t>11/19/2025</w:t>
            </w:r>
          </w:p>
        </w:tc>
        <w:tc>
          <w:tcPr>
            <w:tcW w:w="1249" w:type="pct"/>
          </w:tcPr>
          <w:p w14:paraId="73424985" w14:textId="77777777" w:rsidR="00781A26" w:rsidRPr="00ED172B" w:rsidRDefault="00781A26" w:rsidP="00AC2D23">
            <w:pPr>
              <w:rPr>
                <w:rFonts w:cs="Arial"/>
                <w:color w:val="000000" w:themeColor="text1"/>
                <w:szCs w:val="16"/>
              </w:rPr>
            </w:pPr>
            <w:r w:rsidRPr="00ED172B">
              <w:rPr>
                <w:rFonts w:cs="Arial"/>
                <w:color w:val="000000" w:themeColor="text1"/>
                <w:szCs w:val="16"/>
              </w:rPr>
              <w:t>3.1(a) Number resolution sessions resolved through settlement agreements</w:t>
            </w:r>
          </w:p>
        </w:tc>
        <w:tc>
          <w:tcPr>
            <w:tcW w:w="708" w:type="pct"/>
          </w:tcPr>
          <w:p w14:paraId="510B76BD" w14:textId="77777777" w:rsidR="00781A26"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3B2FFA57" w14:textId="77777777" w:rsidR="004761C7" w:rsidRDefault="00F80C9C" w:rsidP="00B83404">
      <w:pPr>
        <w:rPr>
          <w:b/>
          <w:color w:val="000000" w:themeColor="text1"/>
        </w:rPr>
      </w:pPr>
      <w:r w:rsidRPr="00ED172B">
        <w:rPr>
          <w:b/>
          <w:color w:val="000000" w:themeColor="text1"/>
        </w:rPr>
        <w:t>Targets: Description of Stakeholder Input</w:t>
      </w:r>
    </w:p>
    <w:p w14:paraId="3AA3B1B3" w14:textId="77777777" w:rsidR="004761C7" w:rsidRDefault="00CF03E0" w:rsidP="00CF03E0">
      <w:pPr>
        <w:rPr>
          <w:color w:val="000000" w:themeColor="text1"/>
        </w:rPr>
      </w:pPr>
      <w:r w:rsidRPr="00ED172B">
        <w:rPr>
          <w:color w:val="000000" w:themeColor="text1"/>
        </w:rPr>
        <w:t xml:space="preserve">The State engages stakeholders through the State Interagency Coordinating Council (SICC), collaboration with the parent training and information center (FACT Oregon), public reporting, and targeted outreach efforts. These structures support stakeholder involvement in reviewing data, setting targets, shaping improvement strategies, and monitoring progress. The State has made focused efforts to broaden participation in the SICC and to strengthen connections with Local Interagency Coordinating Councils. The State also works to improve participation in the annual Parent Survey and to ensure feedback from families </w:t>
      </w:r>
      <w:proofErr w:type="gramStart"/>
      <w:r w:rsidRPr="00ED172B">
        <w:rPr>
          <w:color w:val="000000" w:themeColor="text1"/>
        </w:rPr>
        <w:t>informs</w:t>
      </w:r>
      <w:proofErr w:type="gramEnd"/>
      <w:r w:rsidRPr="00ED172B">
        <w:rPr>
          <w:color w:val="000000" w:themeColor="text1"/>
        </w:rPr>
        <w:t xml:space="preserve"> system improvement activities.</w:t>
      </w:r>
    </w:p>
    <w:p w14:paraId="34E4EE8E" w14:textId="77777777" w:rsidR="00F80C9C" w:rsidRPr="00ED172B" w:rsidRDefault="004761C7" w:rsidP="00B83404">
      <w:pPr>
        <w:rPr>
          <w:color w:val="000000" w:themeColor="text1"/>
        </w:rPr>
      </w:pPr>
      <w:r w:rsidRPr="00ED172B">
        <w:rPr>
          <w:rFonts w:cs="Arial"/>
          <w:color w:val="000000" w:themeColor="text1"/>
          <w:szCs w:val="16"/>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w:t>
      </w:r>
      <w:proofErr w:type="gramStart"/>
      <w:r w:rsidRPr="00ED172B">
        <w:rPr>
          <w:rFonts w:cs="Arial"/>
          <w:color w:val="000000" w:themeColor="text1"/>
          <w:szCs w:val="16"/>
        </w:rPr>
        <w:t>supports</w:t>
      </w:r>
      <w:proofErr w:type="gramEnd"/>
      <w:r w:rsidRPr="00ED172B">
        <w:rPr>
          <w:rFonts w:cs="Arial"/>
          <w:color w:val="000000" w:themeColor="text1"/>
          <w:szCs w:val="16"/>
        </w:rPr>
        <w:t xml:space="preserve"> for children with disabilities.  </w:t>
      </w:r>
    </w:p>
    <w:p w14:paraId="4DA07ED9" w14:textId="77777777" w:rsidR="000575B2" w:rsidRDefault="00D6492D">
      <w:r>
        <w:rPr>
          <w:color w:val="000000"/>
        </w:rPr>
        <w:t xml:space="preserve"> </w:t>
      </w:r>
    </w:p>
    <w:p w14:paraId="212F2CB1" w14:textId="77777777" w:rsidR="000575B2" w:rsidRDefault="00D6492D">
      <w:r>
        <w:rPr>
          <w:color w:val="000000"/>
        </w:rP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p>
    <w:p w14:paraId="29D23E52" w14:textId="77777777" w:rsidR="000575B2" w:rsidRDefault="00D6492D">
      <w:r>
        <w:rPr>
          <w:color w:val="000000"/>
        </w:rPr>
        <w:t xml:space="preserve"> </w:t>
      </w:r>
    </w:p>
    <w:p w14:paraId="01AD963A" w14:textId="77777777" w:rsidR="000575B2" w:rsidRDefault="00D6492D">
      <w:r>
        <w:rPr>
          <w:color w:val="000000"/>
        </w:rP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p>
    <w:p w14:paraId="7B68D8A7" w14:textId="77777777" w:rsidR="000575B2" w:rsidRDefault="00D6492D">
      <w:r>
        <w:rPr>
          <w:color w:val="000000"/>
        </w:rPr>
        <w:t xml:space="preserve"> </w:t>
      </w:r>
    </w:p>
    <w:p w14:paraId="004C779C" w14:textId="77777777" w:rsidR="000575B2" w:rsidRDefault="00D6492D">
      <w:r>
        <w:rPr>
          <w:color w:val="000000"/>
        </w:rPr>
        <w:t xml:space="preserve">Additional data and input </w:t>
      </w:r>
      <w:proofErr w:type="gramStart"/>
      <w:r>
        <w:rPr>
          <w:color w:val="000000"/>
        </w:rPr>
        <w:t>was</w:t>
      </w:r>
      <w:proofErr w:type="gramEnd"/>
      <w:r>
        <w:rPr>
          <w:color w:val="000000"/>
        </w:rPr>
        <w:t xml:space="preserve">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1095464F" w14:textId="77777777" w:rsidR="0097671A" w:rsidRDefault="0097671A" w:rsidP="00B83404">
      <w:pPr>
        <w:rPr>
          <w:b/>
          <w:color w:val="000000" w:themeColor="text1"/>
        </w:rPr>
      </w:pPr>
      <w:r w:rsidRPr="00ED172B">
        <w:rPr>
          <w:b/>
          <w:color w:val="000000" w:themeColor="text1"/>
        </w:rPr>
        <w:t>Historical Data</w:t>
      </w:r>
    </w:p>
    <w:p w14:paraId="49B705BD" w14:textId="77777777" w:rsidR="000378F3" w:rsidRDefault="000378F3" w:rsidP="00B83404">
      <w:pPr>
        <w:rPr>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BASELINEDATA"/>
      </w:tblPr>
      <w:tblGrid>
        <w:gridCol w:w="2899"/>
        <w:gridCol w:w="875"/>
      </w:tblGrid>
      <w:tr w:rsidR="000378F3" w:rsidRPr="00ED172B" w14:paraId="4FED79AE" w14:textId="77777777" w:rsidTr="00A40EE1">
        <w:trPr>
          <w:trHeight w:val="350"/>
          <w:tblHeader/>
        </w:trPr>
        <w:tc>
          <w:tcPr>
            <w:tcW w:w="4285" w:type="pct"/>
            <w:tcBorders>
              <w:bottom w:val="single" w:sz="4" w:space="0" w:color="auto"/>
            </w:tcBorders>
            <w:vAlign w:val="center"/>
          </w:tcPr>
          <w:p w14:paraId="0D63FEFC" w14:textId="77777777" w:rsidR="000378F3" w:rsidRPr="001071FD" w:rsidRDefault="000378F3" w:rsidP="00C15786">
            <w:pPr>
              <w:jc w:val="center"/>
              <w:rPr>
                <w:b/>
                <w:bCs/>
                <w:color w:val="000000" w:themeColor="text1"/>
              </w:rPr>
            </w:pPr>
            <w:r>
              <w:rPr>
                <w:b/>
                <w:bCs/>
                <w:color w:val="000000" w:themeColor="text1"/>
              </w:rPr>
              <w:lastRenderedPageBreak/>
              <w:t>Baseline Year</w:t>
            </w:r>
          </w:p>
        </w:tc>
        <w:tc>
          <w:tcPr>
            <w:tcW w:w="715" w:type="pct"/>
            <w:vAlign w:val="center"/>
          </w:tcPr>
          <w:p w14:paraId="5039AEA3"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15A383C1" w14:textId="77777777" w:rsidTr="00A40EE1">
        <w:trPr>
          <w:trHeight w:val="350"/>
        </w:trPr>
        <w:tc>
          <w:tcPr>
            <w:tcW w:w="4285" w:type="pct"/>
            <w:tcBorders>
              <w:bottom w:val="single" w:sz="4" w:space="0" w:color="auto"/>
            </w:tcBorders>
          </w:tcPr>
          <w:p w14:paraId="6461F993" w14:textId="77777777" w:rsidR="000378F3" w:rsidRPr="00ED172B" w:rsidRDefault="000378F3" w:rsidP="000378F3">
            <w:pPr>
              <w:jc w:val="center"/>
              <w:rPr>
                <w:b/>
                <w:color w:val="000000" w:themeColor="text1"/>
              </w:rPr>
            </w:pPr>
          </w:p>
        </w:tc>
        <w:tc>
          <w:tcPr>
            <w:tcW w:w="715" w:type="pct"/>
            <w:vAlign w:val="center"/>
          </w:tcPr>
          <w:p w14:paraId="1DB075CA" w14:textId="77777777" w:rsidR="000378F3" w:rsidRPr="00ED172B" w:rsidRDefault="000378F3" w:rsidP="000378F3">
            <w:pPr>
              <w:jc w:val="center"/>
              <w:rPr>
                <w:color w:val="000000" w:themeColor="text1"/>
              </w:rPr>
            </w:pPr>
          </w:p>
        </w:tc>
      </w:tr>
    </w:tbl>
    <w:p w14:paraId="3D022D86" w14:textId="77777777" w:rsidR="000378F3" w:rsidRPr="00ED172B" w:rsidRDefault="000378F3" w:rsidP="00B83404">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HISTDATA"/>
      </w:tblPr>
      <w:tblGrid>
        <w:gridCol w:w="1345"/>
        <w:gridCol w:w="1889"/>
        <w:gridCol w:w="1889"/>
        <w:gridCol w:w="1889"/>
        <w:gridCol w:w="1889"/>
        <w:gridCol w:w="1889"/>
      </w:tblGrid>
      <w:tr w:rsidR="00ED172B" w:rsidRPr="00ED172B" w14:paraId="0D60950B" w14:textId="77777777" w:rsidTr="00986B99">
        <w:trPr>
          <w:trHeight w:val="350"/>
        </w:trPr>
        <w:tc>
          <w:tcPr>
            <w:tcW w:w="623" w:type="pct"/>
            <w:tcBorders>
              <w:bottom w:val="single" w:sz="4" w:space="0" w:color="auto"/>
            </w:tcBorders>
          </w:tcPr>
          <w:p w14:paraId="1799402E" w14:textId="77777777" w:rsidR="0097671A" w:rsidRPr="00ED172B" w:rsidRDefault="0097671A" w:rsidP="00186420">
            <w:pPr>
              <w:jc w:val="center"/>
              <w:rPr>
                <w:rFonts w:cs="Arial"/>
                <w:b/>
                <w:color w:val="000000" w:themeColor="text1"/>
                <w:szCs w:val="16"/>
              </w:rPr>
            </w:pPr>
            <w:r w:rsidRPr="00ED172B">
              <w:rPr>
                <w:rFonts w:cs="Arial"/>
                <w:b/>
                <w:color w:val="000000" w:themeColor="text1"/>
                <w:szCs w:val="16"/>
              </w:rPr>
              <w:t>FFY</w:t>
            </w:r>
          </w:p>
        </w:tc>
        <w:tc>
          <w:tcPr>
            <w:tcW w:w="875" w:type="pct"/>
          </w:tcPr>
          <w:p w14:paraId="6D3FD7A9"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tcPr>
          <w:p w14:paraId="45415C04"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vAlign w:val="center"/>
          </w:tcPr>
          <w:p w14:paraId="7773D566"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vAlign w:val="center"/>
          </w:tcPr>
          <w:p w14:paraId="31CEA2FD"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2022</w:t>
            </w:r>
          </w:p>
        </w:tc>
        <w:tc>
          <w:tcPr>
            <w:tcW w:w="875" w:type="pct"/>
            <w:vAlign w:val="center"/>
          </w:tcPr>
          <w:p w14:paraId="5F4FA457" w14:textId="77777777" w:rsidR="0097671A" w:rsidRPr="00ED172B" w:rsidRDefault="006D43D3" w:rsidP="00CD79C5">
            <w:pPr>
              <w:jc w:val="center"/>
              <w:rPr>
                <w:rFonts w:cs="Arial"/>
                <w:b/>
                <w:color w:val="000000" w:themeColor="text1"/>
                <w:szCs w:val="16"/>
              </w:rPr>
            </w:pPr>
            <w:r w:rsidRPr="00ED172B">
              <w:rPr>
                <w:rFonts w:cs="Arial"/>
                <w:b/>
                <w:color w:val="000000" w:themeColor="text1"/>
                <w:szCs w:val="16"/>
              </w:rPr>
              <w:t>2023</w:t>
            </w:r>
          </w:p>
        </w:tc>
      </w:tr>
      <w:tr w:rsidR="00ED172B" w:rsidRPr="00ED172B" w14:paraId="03E8D855" w14:textId="77777777" w:rsidTr="00986B99">
        <w:trPr>
          <w:trHeight w:val="357"/>
        </w:trPr>
        <w:tc>
          <w:tcPr>
            <w:tcW w:w="623" w:type="pct"/>
          </w:tcPr>
          <w:p w14:paraId="4D428F00"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Target&gt;=</w:t>
            </w:r>
          </w:p>
        </w:tc>
        <w:tc>
          <w:tcPr>
            <w:tcW w:w="875" w:type="pct"/>
          </w:tcPr>
          <w:p w14:paraId="0D74E232" w14:textId="77777777" w:rsidR="0097671A" w:rsidRPr="00ED172B" w:rsidRDefault="0097671A" w:rsidP="00186420">
            <w:pPr>
              <w:jc w:val="center"/>
              <w:rPr>
                <w:rFonts w:cs="Arial"/>
                <w:color w:val="000000" w:themeColor="text1"/>
                <w:szCs w:val="16"/>
              </w:rPr>
            </w:pPr>
          </w:p>
        </w:tc>
        <w:tc>
          <w:tcPr>
            <w:tcW w:w="875" w:type="pct"/>
          </w:tcPr>
          <w:p w14:paraId="581660EB" w14:textId="77777777" w:rsidR="0097671A" w:rsidRPr="00ED172B" w:rsidRDefault="0097671A" w:rsidP="00186420">
            <w:pPr>
              <w:jc w:val="center"/>
              <w:rPr>
                <w:rFonts w:cs="Arial"/>
                <w:color w:val="000000" w:themeColor="text1"/>
                <w:szCs w:val="16"/>
              </w:rPr>
            </w:pPr>
          </w:p>
        </w:tc>
        <w:tc>
          <w:tcPr>
            <w:tcW w:w="875" w:type="pct"/>
            <w:vAlign w:val="center"/>
          </w:tcPr>
          <w:p w14:paraId="6D90FF85" w14:textId="77777777" w:rsidR="0097671A" w:rsidRPr="00ED172B" w:rsidRDefault="0097671A" w:rsidP="00186420">
            <w:pPr>
              <w:jc w:val="center"/>
              <w:rPr>
                <w:rFonts w:cs="Arial"/>
                <w:color w:val="000000" w:themeColor="text1"/>
                <w:szCs w:val="16"/>
              </w:rPr>
            </w:pPr>
          </w:p>
        </w:tc>
        <w:tc>
          <w:tcPr>
            <w:tcW w:w="875" w:type="pct"/>
            <w:vAlign w:val="center"/>
          </w:tcPr>
          <w:p w14:paraId="6EA77D96" w14:textId="77777777" w:rsidR="0097671A" w:rsidRPr="00ED172B" w:rsidRDefault="0097671A" w:rsidP="00186420">
            <w:pPr>
              <w:jc w:val="center"/>
              <w:rPr>
                <w:rFonts w:cs="Arial"/>
                <w:color w:val="000000" w:themeColor="text1"/>
                <w:szCs w:val="16"/>
              </w:rPr>
            </w:pPr>
          </w:p>
        </w:tc>
        <w:tc>
          <w:tcPr>
            <w:tcW w:w="875" w:type="pct"/>
            <w:vAlign w:val="center"/>
          </w:tcPr>
          <w:p w14:paraId="2A89CF77" w14:textId="77777777" w:rsidR="0097671A" w:rsidRPr="00ED172B" w:rsidRDefault="0097671A" w:rsidP="00186420">
            <w:pPr>
              <w:jc w:val="center"/>
              <w:rPr>
                <w:rFonts w:cs="Arial"/>
                <w:color w:val="000000" w:themeColor="text1"/>
                <w:szCs w:val="16"/>
              </w:rPr>
            </w:pPr>
          </w:p>
        </w:tc>
      </w:tr>
      <w:tr w:rsidR="00ED172B" w:rsidRPr="00ED172B" w14:paraId="56D876F4" w14:textId="77777777" w:rsidTr="00986B99">
        <w:trPr>
          <w:trHeight w:val="85"/>
        </w:trPr>
        <w:tc>
          <w:tcPr>
            <w:tcW w:w="623" w:type="pct"/>
          </w:tcPr>
          <w:p w14:paraId="16BFEF07"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Data</w:t>
            </w:r>
          </w:p>
        </w:tc>
        <w:tc>
          <w:tcPr>
            <w:tcW w:w="875" w:type="pct"/>
          </w:tcPr>
          <w:p w14:paraId="5C419138" w14:textId="77777777" w:rsidR="0097671A" w:rsidRPr="00ED172B" w:rsidRDefault="0097671A" w:rsidP="00186420">
            <w:pPr>
              <w:jc w:val="center"/>
              <w:rPr>
                <w:rFonts w:cs="Arial"/>
                <w:color w:val="000000" w:themeColor="text1"/>
                <w:szCs w:val="16"/>
              </w:rPr>
            </w:pPr>
          </w:p>
        </w:tc>
        <w:tc>
          <w:tcPr>
            <w:tcW w:w="875" w:type="pct"/>
          </w:tcPr>
          <w:p w14:paraId="5A6CFB97" w14:textId="77777777" w:rsidR="0097671A" w:rsidRPr="00ED172B" w:rsidRDefault="0097671A" w:rsidP="00186420">
            <w:pPr>
              <w:jc w:val="center"/>
              <w:rPr>
                <w:rFonts w:cs="Arial"/>
                <w:color w:val="000000" w:themeColor="text1"/>
                <w:szCs w:val="16"/>
              </w:rPr>
            </w:pPr>
          </w:p>
        </w:tc>
        <w:tc>
          <w:tcPr>
            <w:tcW w:w="875" w:type="pct"/>
            <w:tcBorders>
              <w:bottom w:val="single" w:sz="4" w:space="0" w:color="auto"/>
            </w:tcBorders>
            <w:vAlign w:val="center"/>
          </w:tcPr>
          <w:p w14:paraId="21FCBF6D" w14:textId="77777777" w:rsidR="0097671A" w:rsidRPr="00ED172B" w:rsidRDefault="0097671A" w:rsidP="00186420">
            <w:pPr>
              <w:jc w:val="center"/>
              <w:rPr>
                <w:rFonts w:cs="Arial"/>
                <w:color w:val="000000" w:themeColor="text1"/>
                <w:szCs w:val="16"/>
              </w:rPr>
            </w:pPr>
          </w:p>
        </w:tc>
        <w:tc>
          <w:tcPr>
            <w:tcW w:w="875" w:type="pct"/>
            <w:tcBorders>
              <w:bottom w:val="single" w:sz="4" w:space="0" w:color="auto"/>
            </w:tcBorders>
            <w:vAlign w:val="center"/>
          </w:tcPr>
          <w:p w14:paraId="78487DD4" w14:textId="77777777" w:rsidR="0097671A" w:rsidRPr="00ED172B" w:rsidRDefault="0097671A" w:rsidP="00186420">
            <w:pPr>
              <w:jc w:val="center"/>
              <w:rPr>
                <w:rFonts w:cs="Arial"/>
                <w:color w:val="000000" w:themeColor="text1"/>
                <w:szCs w:val="16"/>
              </w:rPr>
            </w:pPr>
          </w:p>
        </w:tc>
        <w:tc>
          <w:tcPr>
            <w:tcW w:w="875" w:type="pct"/>
            <w:tcBorders>
              <w:bottom w:val="single" w:sz="4" w:space="0" w:color="auto"/>
            </w:tcBorders>
            <w:vAlign w:val="center"/>
          </w:tcPr>
          <w:p w14:paraId="101027ED" w14:textId="77777777" w:rsidR="0097671A" w:rsidRPr="00ED172B" w:rsidRDefault="0097671A" w:rsidP="00186420">
            <w:pPr>
              <w:jc w:val="center"/>
              <w:rPr>
                <w:rFonts w:cs="Arial"/>
                <w:color w:val="000000" w:themeColor="text1"/>
                <w:szCs w:val="16"/>
              </w:rPr>
            </w:pPr>
          </w:p>
        </w:tc>
      </w:tr>
    </w:tbl>
    <w:p w14:paraId="49584FE6" w14:textId="77777777" w:rsidR="004559B9" w:rsidRDefault="004559B9" w:rsidP="00B83404">
      <w:pPr>
        <w:rPr>
          <w:rFonts w:cs="Arial"/>
          <w:color w:val="000000" w:themeColor="text1"/>
          <w:szCs w:val="16"/>
        </w:rPr>
      </w:pPr>
    </w:p>
    <w:p w14:paraId="5BFDFB8D" w14:textId="77777777" w:rsidR="0097671A" w:rsidRPr="00ED172B" w:rsidRDefault="0097671A" w:rsidP="00B83404">
      <w:pPr>
        <w:rPr>
          <w:color w:val="000000" w:themeColor="text1"/>
        </w:rPr>
      </w:pPr>
      <w:r w:rsidRPr="00ED172B">
        <w:rPr>
          <w:b/>
          <w:color w:val="000000" w:themeColor="text1"/>
        </w:rPr>
        <w:t>Targets</w:t>
      </w:r>
    </w:p>
    <w:tbl>
      <w:tblPr>
        <w:tblW w:w="2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TARGETS"/>
      </w:tblPr>
      <w:tblGrid>
        <w:gridCol w:w="866"/>
        <w:gridCol w:w="2476"/>
        <w:gridCol w:w="2653"/>
      </w:tblGrid>
      <w:tr w:rsidR="00CF59E2" w:rsidRPr="00ED172B" w14:paraId="1777429E" w14:textId="77777777" w:rsidTr="00811738">
        <w:trPr>
          <w:trHeight w:val="306"/>
        </w:trPr>
        <w:tc>
          <w:tcPr>
            <w:tcW w:w="722" w:type="pct"/>
            <w:tcBorders>
              <w:bottom w:val="single" w:sz="4" w:space="0" w:color="auto"/>
            </w:tcBorders>
            <w:vAlign w:val="center"/>
          </w:tcPr>
          <w:p w14:paraId="39A837A0" w14:textId="77777777" w:rsidR="00CF59E2" w:rsidRPr="00ED172B" w:rsidRDefault="00CF59E2" w:rsidP="00C375EA">
            <w:pPr>
              <w:jc w:val="center"/>
              <w:rPr>
                <w:b/>
                <w:color w:val="000000" w:themeColor="text1"/>
              </w:rPr>
            </w:pPr>
            <w:r w:rsidRPr="00ED172B">
              <w:rPr>
                <w:b/>
                <w:color w:val="000000" w:themeColor="text1"/>
              </w:rPr>
              <w:t>FFY</w:t>
            </w:r>
          </w:p>
        </w:tc>
        <w:tc>
          <w:tcPr>
            <w:tcW w:w="2065" w:type="pct"/>
            <w:vAlign w:val="center"/>
          </w:tcPr>
          <w:p w14:paraId="056AC215" w14:textId="77777777" w:rsidR="00CF59E2" w:rsidRPr="00ED172B" w:rsidRDefault="00CF59E2" w:rsidP="00C375EA">
            <w:pPr>
              <w:jc w:val="center"/>
              <w:rPr>
                <w:b/>
                <w:color w:val="000000" w:themeColor="text1"/>
              </w:rPr>
            </w:pPr>
            <w:r w:rsidRPr="00ED172B">
              <w:rPr>
                <w:b/>
                <w:color w:val="000000" w:themeColor="text1"/>
              </w:rPr>
              <w:t>2024</w:t>
            </w:r>
          </w:p>
        </w:tc>
        <w:tc>
          <w:tcPr>
            <w:tcW w:w="2213" w:type="pct"/>
          </w:tcPr>
          <w:p w14:paraId="6BA441A5" w14:textId="77777777" w:rsidR="00CF59E2" w:rsidRPr="00ED172B" w:rsidRDefault="00CF59E2" w:rsidP="00C375EA">
            <w:pPr>
              <w:jc w:val="center"/>
              <w:rPr>
                <w:b/>
                <w:color w:val="000000" w:themeColor="text1"/>
              </w:rPr>
            </w:pPr>
            <w:r>
              <w:rPr>
                <w:rFonts w:cs="Arial"/>
                <w:b/>
                <w:color w:val="000000" w:themeColor="text1"/>
                <w:szCs w:val="16"/>
              </w:rPr>
              <w:t>2025</w:t>
            </w:r>
          </w:p>
        </w:tc>
      </w:tr>
      <w:tr w:rsidR="00CF59E2" w:rsidRPr="00ED172B" w14:paraId="27182401" w14:textId="77777777" w:rsidTr="00811738">
        <w:trPr>
          <w:trHeight w:val="312"/>
        </w:trPr>
        <w:tc>
          <w:tcPr>
            <w:tcW w:w="722" w:type="pct"/>
          </w:tcPr>
          <w:p w14:paraId="55435B9F"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Target&gt;=</w:t>
            </w:r>
          </w:p>
        </w:tc>
        <w:tc>
          <w:tcPr>
            <w:tcW w:w="2065" w:type="pct"/>
            <w:vAlign w:val="center"/>
          </w:tcPr>
          <w:p w14:paraId="141ED3C2" w14:textId="77777777" w:rsidR="00CF59E2" w:rsidRPr="00ED172B" w:rsidRDefault="00CF59E2" w:rsidP="00C375EA">
            <w:pPr>
              <w:jc w:val="center"/>
              <w:rPr>
                <w:color w:val="000000" w:themeColor="text1"/>
              </w:rPr>
            </w:pPr>
          </w:p>
        </w:tc>
        <w:tc>
          <w:tcPr>
            <w:tcW w:w="2213" w:type="pct"/>
          </w:tcPr>
          <w:p w14:paraId="7DAE69A7" w14:textId="77777777" w:rsidR="00CF59E2" w:rsidRPr="00ED172B" w:rsidRDefault="00CF59E2" w:rsidP="00C375EA">
            <w:pPr>
              <w:jc w:val="center"/>
              <w:rPr>
                <w:color w:val="000000" w:themeColor="text1"/>
              </w:rPr>
            </w:pPr>
          </w:p>
        </w:tc>
      </w:tr>
    </w:tbl>
    <w:p w14:paraId="642A0969" w14:textId="77777777" w:rsidR="008A4FF2" w:rsidRPr="00ED172B" w:rsidRDefault="008A4FF2" w:rsidP="00B83404">
      <w:pPr>
        <w:rPr>
          <w:color w:val="000000" w:themeColor="text1"/>
        </w:rPr>
      </w:pPr>
    </w:p>
    <w:p w14:paraId="3BB7F330" w14:textId="77777777" w:rsidR="0097671A" w:rsidRPr="00ED172B" w:rsidRDefault="00F22D09" w:rsidP="00B83404">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FFYAPRDATA"/>
      </w:tblPr>
      <w:tblGrid>
        <w:gridCol w:w="3144"/>
        <w:gridCol w:w="1802"/>
        <w:gridCol w:w="1439"/>
        <w:gridCol w:w="1349"/>
        <w:gridCol w:w="1172"/>
        <w:gridCol w:w="902"/>
        <w:gridCol w:w="982"/>
      </w:tblGrid>
      <w:tr w:rsidR="00ED172B" w:rsidRPr="00ED172B" w14:paraId="00420D9D" w14:textId="77777777" w:rsidTr="00986B99">
        <w:trPr>
          <w:trHeight w:val="354"/>
          <w:tblHeader/>
        </w:trPr>
        <w:tc>
          <w:tcPr>
            <w:tcW w:w="1457" w:type="pct"/>
            <w:vAlign w:val="bottom"/>
          </w:tcPr>
          <w:p w14:paraId="1AF93D73"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3.1(a) Number resolutions sessions resolved through settlement agreements</w:t>
            </w:r>
          </w:p>
        </w:tc>
        <w:tc>
          <w:tcPr>
            <w:tcW w:w="835" w:type="pct"/>
            <w:vAlign w:val="bottom"/>
          </w:tcPr>
          <w:p w14:paraId="66B7236A"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 Number of resolutions sessions</w:t>
            </w:r>
          </w:p>
        </w:tc>
        <w:tc>
          <w:tcPr>
            <w:tcW w:w="667" w:type="pct"/>
            <w:vAlign w:val="bottom"/>
          </w:tcPr>
          <w:p w14:paraId="1AD69405" w14:textId="77777777" w:rsidR="0097671A" w:rsidRPr="00ED172B" w:rsidRDefault="00CD74B5" w:rsidP="00CD79C5">
            <w:pPr>
              <w:jc w:val="center"/>
              <w:rPr>
                <w:rFonts w:cs="Arial"/>
                <w:b/>
                <w:color w:val="000000" w:themeColor="text1"/>
                <w:szCs w:val="16"/>
              </w:rPr>
            </w:pPr>
            <w:r>
              <w:rPr>
                <w:rFonts w:cs="Arial"/>
                <w:b/>
                <w:color w:val="000000" w:themeColor="text1"/>
                <w:szCs w:val="16"/>
              </w:rPr>
              <w:t>FFY 2023 Data</w:t>
            </w:r>
          </w:p>
        </w:tc>
        <w:tc>
          <w:tcPr>
            <w:tcW w:w="625" w:type="pct"/>
            <w:vAlign w:val="bottom"/>
          </w:tcPr>
          <w:p w14:paraId="34F9369E" w14:textId="77777777" w:rsidR="0097671A" w:rsidRPr="00ED172B" w:rsidRDefault="00F22D09" w:rsidP="00CD79C5">
            <w:pPr>
              <w:jc w:val="center"/>
              <w:rPr>
                <w:rFonts w:cs="Arial"/>
                <w:b/>
                <w:color w:val="000000" w:themeColor="text1"/>
                <w:szCs w:val="16"/>
              </w:rPr>
            </w:pPr>
            <w:r>
              <w:rPr>
                <w:rFonts w:cs="Arial"/>
                <w:b/>
                <w:color w:val="000000" w:themeColor="text1"/>
                <w:szCs w:val="16"/>
              </w:rPr>
              <w:t>FFY 2024 Target</w:t>
            </w:r>
          </w:p>
        </w:tc>
        <w:tc>
          <w:tcPr>
            <w:tcW w:w="543" w:type="pct"/>
            <w:vAlign w:val="bottom"/>
          </w:tcPr>
          <w:p w14:paraId="57B12B15" w14:textId="77777777" w:rsidR="0097671A" w:rsidRPr="00ED172B" w:rsidRDefault="00F22D09" w:rsidP="00CD79C5">
            <w:pPr>
              <w:jc w:val="center"/>
              <w:rPr>
                <w:rFonts w:cs="Arial"/>
                <w:b/>
                <w:color w:val="000000" w:themeColor="text1"/>
                <w:szCs w:val="16"/>
              </w:rPr>
            </w:pPr>
            <w:r>
              <w:rPr>
                <w:rFonts w:cs="Arial"/>
                <w:b/>
                <w:color w:val="000000" w:themeColor="text1"/>
                <w:szCs w:val="16"/>
              </w:rPr>
              <w:t>FFY 2024 Data</w:t>
            </w:r>
          </w:p>
        </w:tc>
        <w:tc>
          <w:tcPr>
            <w:tcW w:w="418" w:type="pct"/>
            <w:vAlign w:val="bottom"/>
          </w:tcPr>
          <w:p w14:paraId="42CE9CBF"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Status</w:t>
            </w:r>
          </w:p>
        </w:tc>
        <w:tc>
          <w:tcPr>
            <w:tcW w:w="455" w:type="pct"/>
            <w:vAlign w:val="bottom"/>
          </w:tcPr>
          <w:p w14:paraId="0B60163E"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38C7D52F" w14:textId="77777777" w:rsidTr="00986B99">
        <w:trPr>
          <w:trHeight w:val="361"/>
        </w:trPr>
        <w:tc>
          <w:tcPr>
            <w:tcW w:w="1457" w:type="pct"/>
            <w:vAlign w:val="center"/>
          </w:tcPr>
          <w:p w14:paraId="0110DF49" w14:textId="77777777"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835" w:type="pct"/>
            <w:vAlign w:val="center"/>
          </w:tcPr>
          <w:p w14:paraId="7F529D2D" w14:textId="77777777"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667" w:type="pct"/>
            <w:vAlign w:val="center"/>
          </w:tcPr>
          <w:p w14:paraId="1F64D5A0" w14:textId="77777777" w:rsidR="0097671A" w:rsidRPr="00ED172B" w:rsidRDefault="0097671A" w:rsidP="00B83404">
            <w:pPr>
              <w:jc w:val="center"/>
              <w:rPr>
                <w:rFonts w:cs="Arial"/>
                <w:color w:val="000000" w:themeColor="text1"/>
                <w:szCs w:val="16"/>
              </w:rPr>
            </w:pPr>
          </w:p>
        </w:tc>
        <w:tc>
          <w:tcPr>
            <w:tcW w:w="625" w:type="pct"/>
            <w:vAlign w:val="center"/>
          </w:tcPr>
          <w:p w14:paraId="7A64272D" w14:textId="77777777" w:rsidR="0097671A" w:rsidRPr="00ED172B" w:rsidRDefault="0097671A" w:rsidP="00320806">
            <w:pPr>
              <w:jc w:val="center"/>
              <w:rPr>
                <w:color w:val="000000" w:themeColor="text1"/>
              </w:rPr>
            </w:pPr>
          </w:p>
        </w:tc>
        <w:tc>
          <w:tcPr>
            <w:tcW w:w="543" w:type="pct"/>
            <w:vAlign w:val="center"/>
          </w:tcPr>
          <w:p w14:paraId="6F3FD132" w14:textId="77777777" w:rsidR="0097671A" w:rsidRPr="00ED172B" w:rsidRDefault="0097671A" w:rsidP="00B83404">
            <w:pPr>
              <w:jc w:val="center"/>
              <w:rPr>
                <w:rFonts w:cs="Arial"/>
                <w:color w:val="000000" w:themeColor="text1"/>
                <w:szCs w:val="16"/>
              </w:rPr>
            </w:pPr>
          </w:p>
        </w:tc>
        <w:tc>
          <w:tcPr>
            <w:tcW w:w="418" w:type="pct"/>
            <w:vAlign w:val="center"/>
          </w:tcPr>
          <w:p w14:paraId="7E496212" w14:textId="77777777" w:rsidR="0097671A" w:rsidRPr="00ED172B" w:rsidRDefault="00320806" w:rsidP="00320806">
            <w:pPr>
              <w:jc w:val="center"/>
              <w:rPr>
                <w:color w:val="000000" w:themeColor="text1"/>
              </w:rPr>
            </w:pPr>
            <w:r w:rsidRPr="00ED172B">
              <w:rPr>
                <w:color w:val="000000" w:themeColor="text1"/>
              </w:rPr>
              <w:t>N/A</w:t>
            </w:r>
          </w:p>
        </w:tc>
        <w:tc>
          <w:tcPr>
            <w:tcW w:w="455" w:type="pct"/>
            <w:vAlign w:val="center"/>
          </w:tcPr>
          <w:p w14:paraId="604456EE" w14:textId="77777777" w:rsidR="0097671A" w:rsidRPr="00ED172B" w:rsidRDefault="00320806" w:rsidP="00320806">
            <w:pPr>
              <w:jc w:val="center"/>
              <w:rPr>
                <w:color w:val="000000" w:themeColor="text1"/>
              </w:rPr>
            </w:pPr>
            <w:r w:rsidRPr="00ED172B">
              <w:rPr>
                <w:color w:val="000000" w:themeColor="text1"/>
              </w:rPr>
              <w:t>N/A</w:t>
            </w:r>
          </w:p>
        </w:tc>
      </w:tr>
    </w:tbl>
    <w:p w14:paraId="654A350D" w14:textId="77777777" w:rsidR="0097671A" w:rsidRPr="00ED172B" w:rsidRDefault="0097671A" w:rsidP="0097671A">
      <w:pPr>
        <w:rPr>
          <w:rFonts w:cs="Arial"/>
          <w:b/>
          <w:color w:val="000000" w:themeColor="text1"/>
          <w:szCs w:val="16"/>
        </w:rPr>
      </w:pPr>
      <w:r w:rsidRPr="00ED172B">
        <w:rPr>
          <w:rFonts w:cs="Arial"/>
          <w:b/>
          <w:color w:val="000000" w:themeColor="text1"/>
          <w:szCs w:val="16"/>
        </w:rPr>
        <w:t>Provide additional information about this indicator (optional)</w:t>
      </w:r>
    </w:p>
    <w:p w14:paraId="6AE230C7" w14:textId="77777777" w:rsidR="0097671A" w:rsidRPr="00ED172B" w:rsidRDefault="0097671A" w:rsidP="0097671A">
      <w:pPr>
        <w:rPr>
          <w:rFonts w:cs="Arial"/>
          <w:color w:val="000000" w:themeColor="text1"/>
          <w:szCs w:val="16"/>
        </w:rPr>
      </w:pPr>
    </w:p>
    <w:p w14:paraId="02762235" w14:textId="77777777" w:rsidR="009D5CE3" w:rsidRPr="00ED172B" w:rsidRDefault="009D5CE3" w:rsidP="0097671A">
      <w:pPr>
        <w:rPr>
          <w:rFonts w:cs="Arial"/>
          <w:color w:val="000000" w:themeColor="text1"/>
          <w:szCs w:val="16"/>
        </w:rPr>
      </w:pPr>
    </w:p>
    <w:p w14:paraId="090AEB8D" w14:textId="77777777" w:rsidR="00DC0682" w:rsidRPr="00A40EE1" w:rsidRDefault="000D0117" w:rsidP="007B0787">
      <w:pPr>
        <w:pStyle w:val="Heading2"/>
      </w:pPr>
      <w:bookmarkStart w:id="54" w:name="_Toc381786825"/>
      <w:bookmarkStart w:id="55" w:name="_Toc382731915"/>
      <w:bookmarkStart w:id="56" w:name="_Toc392159343"/>
      <w:bookmarkEnd w:id="52"/>
      <w:bookmarkEnd w:id="53"/>
      <w:r w:rsidRPr="00A40EE1">
        <w:t xml:space="preserve">9 - </w:t>
      </w:r>
      <w:r w:rsidR="00DC0682" w:rsidRPr="00A40EE1">
        <w:t>Prior FFY Required Actions</w:t>
      </w:r>
    </w:p>
    <w:p w14:paraId="02FB3EB8" w14:textId="77777777" w:rsidR="00720D77" w:rsidRPr="00ED172B" w:rsidRDefault="00320806" w:rsidP="00DC0682">
      <w:pPr>
        <w:rPr>
          <w:rFonts w:cs="Arial"/>
          <w:color w:val="000000" w:themeColor="text1"/>
          <w:szCs w:val="16"/>
        </w:rPr>
      </w:pPr>
      <w:r w:rsidRPr="00ED172B">
        <w:rPr>
          <w:color w:val="000000" w:themeColor="text1"/>
        </w:rPr>
        <w:t>None</w:t>
      </w:r>
    </w:p>
    <w:p w14:paraId="7BA1CFAE" w14:textId="77777777" w:rsidR="00DC0682" w:rsidRPr="00A40EE1" w:rsidRDefault="000D0117" w:rsidP="007B0787">
      <w:pPr>
        <w:pStyle w:val="Heading2"/>
      </w:pPr>
      <w:r w:rsidRPr="00A40EE1">
        <w:t xml:space="preserve">9 - </w:t>
      </w:r>
      <w:r w:rsidR="00DC0682" w:rsidRPr="00A40EE1">
        <w:t>OSEP Response</w:t>
      </w:r>
    </w:p>
    <w:p w14:paraId="09A935AA" w14:textId="77777777" w:rsidR="00DC0682" w:rsidRPr="00ED172B" w:rsidRDefault="00320806" w:rsidP="00320806">
      <w:pPr>
        <w:rPr>
          <w:color w:val="000000" w:themeColor="text1"/>
        </w:rPr>
      </w:pPr>
      <w:r w:rsidRPr="00ED172B">
        <w:rPr>
          <w:color w:val="000000" w:themeColor="text1"/>
        </w:rPr>
        <w:t>The State reported fewer than ten resolution sessions held in FFY 2024. The State is not required to provide targets until any fiscal year in which ten or more resolution sessions were held.</w:t>
      </w:r>
    </w:p>
    <w:p w14:paraId="3B7C6A30" w14:textId="77777777" w:rsidR="00DC0682" w:rsidRPr="00A40EE1" w:rsidRDefault="000D0117" w:rsidP="007B0787">
      <w:pPr>
        <w:pStyle w:val="Heading2"/>
      </w:pPr>
      <w:r w:rsidRPr="00A40EE1">
        <w:t xml:space="preserve">9 - </w:t>
      </w:r>
      <w:r w:rsidR="00DC0682" w:rsidRPr="00A40EE1">
        <w:t>Required Actions</w:t>
      </w:r>
    </w:p>
    <w:p w14:paraId="2F028C74" w14:textId="77777777" w:rsidR="00DC0682" w:rsidRPr="00ED172B" w:rsidRDefault="00DC0682" w:rsidP="00320806">
      <w:pPr>
        <w:rPr>
          <w:color w:val="000000" w:themeColor="text1"/>
        </w:rPr>
      </w:pPr>
    </w:p>
    <w:p w14:paraId="0FD30FE4" w14:textId="77777777" w:rsidR="00B87A9B" w:rsidRDefault="00B87A9B">
      <w:pPr>
        <w:spacing w:before="0" w:after="200" w:line="276" w:lineRule="auto"/>
        <w:rPr>
          <w:rFonts w:eastAsiaTheme="majorEastAsia" w:cstheme="majorBidi"/>
          <w:b/>
          <w:bCs/>
          <w:color w:val="000000" w:themeColor="text1"/>
          <w:sz w:val="22"/>
          <w:szCs w:val="28"/>
        </w:rPr>
      </w:pPr>
      <w:bookmarkStart w:id="57" w:name="_Hlk109646703"/>
      <w:r>
        <w:rPr>
          <w:color w:val="000000" w:themeColor="text1"/>
        </w:rPr>
        <w:br w:type="page"/>
      </w:r>
    </w:p>
    <w:p w14:paraId="2F1557D3" w14:textId="77777777" w:rsidR="007F0CEC" w:rsidRPr="00ED172B" w:rsidRDefault="007F0CEC" w:rsidP="0077063D">
      <w:pPr>
        <w:pStyle w:val="Heading1"/>
        <w:rPr>
          <w:color w:val="000000" w:themeColor="text1"/>
        </w:rPr>
      </w:pPr>
      <w:r w:rsidRPr="00ED172B">
        <w:rPr>
          <w:color w:val="000000" w:themeColor="text1"/>
        </w:rPr>
        <w:lastRenderedPageBreak/>
        <w:t>Indicator 10: Mediation</w:t>
      </w:r>
      <w:bookmarkEnd w:id="54"/>
      <w:bookmarkEnd w:id="55"/>
      <w:bookmarkEnd w:id="56"/>
    </w:p>
    <w:p w14:paraId="60D703C1" w14:textId="77777777" w:rsidR="00F51610" w:rsidRPr="00ED172B" w:rsidRDefault="00F51610" w:rsidP="00186420">
      <w:pPr>
        <w:rPr>
          <w:color w:val="000000" w:themeColor="text1"/>
          <w:szCs w:val="20"/>
        </w:rPr>
      </w:pPr>
      <w:bookmarkStart w:id="58" w:name="_Toc382731916"/>
      <w:bookmarkStart w:id="59" w:name="_Toc392159344"/>
      <w:r w:rsidRPr="00ED172B">
        <w:rPr>
          <w:b/>
          <w:color w:val="000000" w:themeColor="text1"/>
          <w:sz w:val="20"/>
          <w:szCs w:val="20"/>
        </w:rPr>
        <w:t>Instructions and Measurement</w:t>
      </w:r>
    </w:p>
    <w:p w14:paraId="33B7F59B"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335603C4"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05DB427C" w14:textId="77777777" w:rsidR="00F90BF8" w:rsidRPr="00ED172B" w:rsidRDefault="00F90BF8">
      <w:pPr>
        <w:rPr>
          <w:b/>
          <w:color w:val="000000" w:themeColor="text1"/>
        </w:rPr>
      </w:pPr>
      <w:r w:rsidRPr="00ED172B">
        <w:rPr>
          <w:b/>
          <w:color w:val="000000" w:themeColor="text1"/>
        </w:rPr>
        <w:t>Data Source</w:t>
      </w:r>
    </w:p>
    <w:p w14:paraId="47923F13" w14:textId="77777777" w:rsidR="006F4546" w:rsidRPr="00F446DC" w:rsidRDefault="006F4546" w:rsidP="006F4546">
      <w:pPr>
        <w:rPr>
          <w:szCs w:val="16"/>
        </w:rPr>
      </w:pPr>
      <w:r w:rsidRPr="00ED3380">
        <w:rPr>
          <w:szCs w:val="16"/>
        </w:rPr>
        <w:t>Same data as used for reporting to the Department under section 618 of the IDEA, using the definitions in EDFacts file specification FS907</w:t>
      </w:r>
      <w:r w:rsidRPr="0084279D">
        <w:rPr>
          <w:rFonts w:cs="Arial"/>
          <w:szCs w:val="16"/>
        </w:rPr>
        <w:t>.</w:t>
      </w:r>
    </w:p>
    <w:p w14:paraId="508AA64D" w14:textId="77777777" w:rsidR="00F90BF8" w:rsidRPr="00ED172B" w:rsidRDefault="00F90BF8">
      <w:pPr>
        <w:rPr>
          <w:b/>
          <w:color w:val="000000" w:themeColor="text1"/>
        </w:rPr>
      </w:pPr>
      <w:r w:rsidRPr="00ED172B">
        <w:rPr>
          <w:b/>
          <w:color w:val="000000" w:themeColor="text1"/>
        </w:rPr>
        <w:t>Measurement</w:t>
      </w:r>
    </w:p>
    <w:p w14:paraId="721AAF1D" w14:textId="77777777" w:rsidR="00F90BF8" w:rsidRPr="00ED172B" w:rsidRDefault="00F90BF8" w:rsidP="00715B7C">
      <w:pPr>
        <w:rPr>
          <w:color w:val="000000" w:themeColor="text1"/>
          <w:szCs w:val="16"/>
        </w:rPr>
      </w:pPr>
      <w:r w:rsidRPr="00ED172B">
        <w:rPr>
          <w:color w:val="000000" w:themeColor="text1"/>
          <w:szCs w:val="16"/>
        </w:rPr>
        <w:t>Percent = [(2.1(a)(</w:t>
      </w:r>
      <w:proofErr w:type="spellStart"/>
      <w:r w:rsidRPr="00ED172B">
        <w:rPr>
          <w:color w:val="000000" w:themeColor="text1"/>
          <w:szCs w:val="16"/>
        </w:rPr>
        <w:t>i</w:t>
      </w:r>
      <w:proofErr w:type="spellEnd"/>
      <w:r w:rsidRPr="00ED172B">
        <w:rPr>
          <w:color w:val="000000" w:themeColor="text1"/>
          <w:szCs w:val="16"/>
        </w:rPr>
        <w:t>) + 2.1(b)(</w:t>
      </w:r>
      <w:proofErr w:type="spellStart"/>
      <w:r w:rsidRPr="00ED172B">
        <w:rPr>
          <w:color w:val="000000" w:themeColor="text1"/>
          <w:szCs w:val="16"/>
        </w:rPr>
        <w:t>i</w:t>
      </w:r>
      <w:proofErr w:type="spellEnd"/>
      <w:r w:rsidRPr="00ED172B">
        <w:rPr>
          <w:color w:val="000000" w:themeColor="text1"/>
          <w:szCs w:val="16"/>
        </w:rPr>
        <w:t>)) divided by 2.1] times 100.</w:t>
      </w:r>
    </w:p>
    <w:p w14:paraId="04BCCEE5" w14:textId="77777777" w:rsidR="00F90BF8" w:rsidRPr="00ED172B" w:rsidRDefault="00F90BF8">
      <w:pPr>
        <w:rPr>
          <w:b/>
          <w:color w:val="000000" w:themeColor="text1"/>
        </w:rPr>
      </w:pPr>
      <w:r w:rsidRPr="00ED172B">
        <w:rPr>
          <w:b/>
          <w:color w:val="000000" w:themeColor="text1"/>
        </w:rPr>
        <w:t>Instructions</w:t>
      </w:r>
    </w:p>
    <w:p w14:paraId="5A59D545"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4357AD1B"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1598B403" w14:textId="77777777"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mediations is less than 10. In a reporting period when the number of mediations reaches 10 or greater, the State must develop baseline and report them in the corresponding SPP/APR.</w:t>
      </w:r>
    </w:p>
    <w:p w14:paraId="1E3E8A58" w14:textId="77777777" w:rsidR="00F90BF8" w:rsidRPr="00ED172B" w:rsidRDefault="00CD071F" w:rsidP="00715B7C">
      <w:pPr>
        <w:rPr>
          <w:color w:val="000000" w:themeColor="text1"/>
          <w:szCs w:val="16"/>
        </w:rPr>
      </w:pPr>
      <w:r w:rsidRPr="004E39D8">
        <w:rPr>
          <w:szCs w:val="16"/>
        </w:rPr>
        <w:t xml:space="preserve">The consensus among mediation practitioners is that 75-85% is a reasonable rate of </w:t>
      </w:r>
      <w:proofErr w:type="gramStart"/>
      <w:r w:rsidRPr="004E39D8">
        <w:rPr>
          <w:szCs w:val="16"/>
        </w:rPr>
        <w:t>mediations</w:t>
      </w:r>
      <w:proofErr w:type="gramEnd"/>
      <w:r w:rsidRPr="004E39D8">
        <w:rPr>
          <w:szCs w:val="16"/>
        </w:rPr>
        <w:t xml:space="preserve"> that </w:t>
      </w:r>
      <w:proofErr w:type="gramStart"/>
      <w:r w:rsidRPr="004E39D8">
        <w:rPr>
          <w:szCs w:val="16"/>
        </w:rPr>
        <w:t>result</w:t>
      </w:r>
      <w:proofErr w:type="gramEnd"/>
      <w:r w:rsidRPr="004E39D8">
        <w:rPr>
          <w:szCs w:val="16"/>
        </w:rPr>
        <w:t xml:space="preserve">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604E0EBC"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2D98280D"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7"/>
    <w:p w14:paraId="414547D3" w14:textId="77777777" w:rsidR="00715B7C" w:rsidRPr="00A40EE1" w:rsidRDefault="000D0117" w:rsidP="007B0787">
      <w:pPr>
        <w:pStyle w:val="Heading2"/>
      </w:pPr>
      <w:r w:rsidRPr="00A40EE1">
        <w:t xml:space="preserve">10 - </w:t>
      </w:r>
      <w:r w:rsidR="00715B7C" w:rsidRPr="00A40EE1">
        <w:t>Indicator Data</w:t>
      </w:r>
    </w:p>
    <w:p w14:paraId="19E13FF9" w14:textId="77777777" w:rsidR="00631022" w:rsidRPr="00ED172B" w:rsidRDefault="00631022" w:rsidP="00631022">
      <w:pPr>
        <w:rPr>
          <w:rFonts w:cs="Arial"/>
          <w:b/>
          <w:color w:val="000000" w:themeColor="text1"/>
          <w:szCs w:val="16"/>
        </w:rPr>
      </w:pPr>
      <w:r w:rsidRPr="00ED172B">
        <w:rPr>
          <w:rFonts w:cs="Arial"/>
          <w:b/>
          <w:color w:val="000000" w:themeColor="text1"/>
          <w:szCs w:val="16"/>
        </w:rPr>
        <w:t xml:space="preserve">Select </w:t>
      </w:r>
      <w:proofErr w:type="gramStart"/>
      <w:r w:rsidRPr="00ED172B">
        <w:rPr>
          <w:rFonts w:cs="Arial"/>
          <w:b/>
          <w:color w:val="000000" w:themeColor="text1"/>
          <w:szCs w:val="16"/>
        </w:rPr>
        <w:t>yes</w:t>
      </w:r>
      <w:proofErr w:type="gramEnd"/>
      <w:r w:rsidRPr="00ED172B">
        <w:rPr>
          <w:rFonts w:cs="Arial"/>
          <w:b/>
          <w:color w:val="000000" w:themeColor="text1"/>
          <w:szCs w:val="16"/>
        </w:rPr>
        <w:t xml:space="preserve"> to use target ranges</w:t>
      </w:r>
    </w:p>
    <w:p w14:paraId="715FF085" w14:textId="77777777" w:rsidR="00631022" w:rsidRPr="00ED172B" w:rsidRDefault="00631022" w:rsidP="00186420">
      <w:pPr>
        <w:rPr>
          <w:color w:val="000000" w:themeColor="text1"/>
        </w:rPr>
      </w:pPr>
      <w:r w:rsidRPr="00ED172B">
        <w:rPr>
          <w:rFonts w:cs="Arial"/>
          <w:color w:val="000000" w:themeColor="text1"/>
          <w:szCs w:val="16"/>
        </w:rPr>
        <w:t>Target Range not used</w:t>
      </w:r>
    </w:p>
    <w:p w14:paraId="089B1FF2" w14:textId="77777777" w:rsidR="00DC16A4" w:rsidRPr="00ED172B" w:rsidRDefault="00631022">
      <w:pPr>
        <w:rPr>
          <w:b/>
          <w:color w:val="000000" w:themeColor="text1"/>
        </w:rPr>
      </w:pPr>
      <w:r w:rsidRPr="00ED172B">
        <w:rPr>
          <w:b/>
          <w:color w:val="000000" w:themeColor="text1"/>
        </w:rPr>
        <w:t xml:space="preserve">Select yes if the data reported in this indicator </w:t>
      </w:r>
      <w:proofErr w:type="gramStart"/>
      <w:r w:rsidRPr="00ED172B">
        <w:rPr>
          <w:b/>
          <w:color w:val="000000" w:themeColor="text1"/>
        </w:rPr>
        <w:t>are</w:t>
      </w:r>
      <w:proofErr w:type="gramEnd"/>
      <w:r w:rsidRPr="00ED172B">
        <w:rPr>
          <w:b/>
          <w:color w:val="000000" w:themeColor="text1"/>
        </w:rPr>
        <w:t xml:space="preserve"> not the same as the State’s data reported under Section 618 of the IDEA. </w:t>
      </w:r>
    </w:p>
    <w:p w14:paraId="422543AE" w14:textId="77777777" w:rsidR="00631022" w:rsidRDefault="00631022">
      <w:pPr>
        <w:rPr>
          <w:color w:val="000000" w:themeColor="text1"/>
        </w:rPr>
      </w:pPr>
      <w:r w:rsidRPr="00ED172B">
        <w:rPr>
          <w:color w:val="000000" w:themeColor="text1"/>
        </w:rPr>
        <w:t>NO</w:t>
      </w:r>
    </w:p>
    <w:p w14:paraId="2AA24FF7" w14:textId="77777777"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04E80F2B" w14:textId="77777777" w:rsidTr="00986B99">
        <w:trPr>
          <w:trHeight w:val="296"/>
          <w:tblHeader/>
        </w:trPr>
        <w:tc>
          <w:tcPr>
            <w:tcW w:w="1519" w:type="pct"/>
          </w:tcPr>
          <w:p w14:paraId="2FE283D5"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tcPr>
          <w:p w14:paraId="1FE858B3"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tcPr>
          <w:p w14:paraId="2F9F8818"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tcPr>
          <w:p w14:paraId="1634DBFC"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6B65D325" w14:textId="77777777" w:rsidTr="00986B99">
        <w:trPr>
          <w:trHeight w:val="380"/>
        </w:trPr>
        <w:tc>
          <w:tcPr>
            <w:tcW w:w="1519" w:type="pct"/>
          </w:tcPr>
          <w:p w14:paraId="559A9613" w14:textId="77777777"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(EDFacts file spec FS907; Data group 5030)</w:t>
            </w:r>
          </w:p>
        </w:tc>
        <w:tc>
          <w:tcPr>
            <w:tcW w:w="1565" w:type="pct"/>
          </w:tcPr>
          <w:p w14:paraId="267C2C3F" w14:textId="7777777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04BA4275"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tcPr>
          <w:p w14:paraId="7894469C" w14:textId="77777777" w:rsidR="00781A26" w:rsidRPr="00ED172B" w:rsidRDefault="00027F39" w:rsidP="00ED172B">
            <w:pPr>
              <w:jc w:val="center"/>
              <w:rPr>
                <w:color w:val="000000" w:themeColor="text1"/>
              </w:rPr>
            </w:pPr>
            <w:r w:rsidRPr="00ED172B">
              <w:rPr>
                <w:color w:val="000000" w:themeColor="text1"/>
              </w:rPr>
              <w:t>0</w:t>
            </w:r>
          </w:p>
        </w:tc>
      </w:tr>
      <w:tr w:rsidR="00ED172B" w:rsidRPr="00ED172B" w14:paraId="2CDA3040" w14:textId="77777777" w:rsidTr="00986B99">
        <w:trPr>
          <w:trHeight w:val="380"/>
        </w:trPr>
        <w:tc>
          <w:tcPr>
            <w:tcW w:w="1519" w:type="pct"/>
          </w:tcPr>
          <w:p w14:paraId="3C6211AD" w14:textId="77777777"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(EDFacts file spec FS907; Data group 5030)</w:t>
            </w:r>
          </w:p>
        </w:tc>
        <w:tc>
          <w:tcPr>
            <w:tcW w:w="1565" w:type="pct"/>
          </w:tcPr>
          <w:p w14:paraId="194CEE98" w14:textId="7777777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376A0168"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tcPr>
          <w:p w14:paraId="78C4B17E" w14:textId="77777777" w:rsidR="00781A26" w:rsidRPr="00ED172B" w:rsidRDefault="00027F39" w:rsidP="00ED172B">
            <w:pPr>
              <w:jc w:val="center"/>
              <w:rPr>
                <w:color w:val="000000" w:themeColor="text1"/>
              </w:rPr>
            </w:pPr>
            <w:r w:rsidRPr="00ED172B">
              <w:rPr>
                <w:color w:val="000000" w:themeColor="text1"/>
              </w:rPr>
              <w:t>0</w:t>
            </w:r>
          </w:p>
        </w:tc>
      </w:tr>
      <w:tr w:rsidR="00ED172B" w:rsidRPr="00ED172B" w14:paraId="548F7BDC" w14:textId="77777777" w:rsidTr="00986B99">
        <w:trPr>
          <w:trHeight w:val="380"/>
        </w:trPr>
        <w:tc>
          <w:tcPr>
            <w:tcW w:w="1519" w:type="pct"/>
          </w:tcPr>
          <w:p w14:paraId="4979DC4B" w14:textId="77777777"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(EDFacts file spec FS907; Data group 5030)</w:t>
            </w:r>
          </w:p>
        </w:tc>
        <w:tc>
          <w:tcPr>
            <w:tcW w:w="1565" w:type="pct"/>
          </w:tcPr>
          <w:p w14:paraId="6305094D" w14:textId="7777777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5342C9EE"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tcPr>
          <w:p w14:paraId="44498C13" w14:textId="77777777" w:rsidR="00781A26" w:rsidRPr="00ED172B" w:rsidRDefault="00027F39" w:rsidP="00ED172B">
            <w:pPr>
              <w:jc w:val="center"/>
              <w:rPr>
                <w:color w:val="000000" w:themeColor="text1"/>
              </w:rPr>
            </w:pPr>
            <w:r w:rsidRPr="00ED172B">
              <w:rPr>
                <w:color w:val="000000" w:themeColor="text1"/>
              </w:rPr>
              <w:t>0</w:t>
            </w:r>
          </w:p>
        </w:tc>
      </w:tr>
    </w:tbl>
    <w:p w14:paraId="1F8F814A" w14:textId="77777777" w:rsidR="00822D9C" w:rsidRDefault="00287B52" w:rsidP="00287B52">
      <w:pPr>
        <w:pStyle w:val="Bold"/>
        <w:rPr>
          <w:color w:val="000000" w:themeColor="text1"/>
        </w:rPr>
      </w:pPr>
      <w:r w:rsidRPr="00ED172B">
        <w:rPr>
          <w:color w:val="000000" w:themeColor="text1"/>
        </w:rPr>
        <w:t>Targets: Description of Stakeholder Input</w:t>
      </w:r>
    </w:p>
    <w:p w14:paraId="5F5FA99B" w14:textId="77777777" w:rsidR="00E44DFC" w:rsidRDefault="00CF03E0" w:rsidP="00ED172B">
      <w:pPr>
        <w:rPr>
          <w:color w:val="000000" w:themeColor="text1"/>
        </w:rPr>
      </w:pPr>
      <w:r w:rsidRPr="00ED172B">
        <w:rPr>
          <w:color w:val="000000" w:themeColor="text1"/>
        </w:rPr>
        <w:t xml:space="preserve">The State engages stakeholders through the State Interagency Coordinating Council (SICC), collaboration with the parent training and information center (FACT Oregon), public reporting, and targeted outreach efforts. These structures support stakeholder involvement in reviewing data, setting targets, shaping improvement strategies, and monitoring progress. The State has made focused efforts to broaden participation in the SICC and to strengthen connections with Local Interagency Coordinating Councils. The State also works to improve participation in the annual Parent Survey and to ensure feedback from families </w:t>
      </w:r>
      <w:proofErr w:type="gramStart"/>
      <w:r w:rsidRPr="00ED172B">
        <w:rPr>
          <w:color w:val="000000" w:themeColor="text1"/>
        </w:rPr>
        <w:t>informs</w:t>
      </w:r>
      <w:proofErr w:type="gramEnd"/>
      <w:r w:rsidRPr="00ED172B">
        <w:rPr>
          <w:color w:val="000000" w:themeColor="text1"/>
        </w:rPr>
        <w:t xml:space="preserve"> system improvement activities.</w:t>
      </w:r>
    </w:p>
    <w:p w14:paraId="73FA8236" w14:textId="77777777" w:rsidR="00287B52" w:rsidRPr="00ED172B" w:rsidRDefault="00E44DFC" w:rsidP="00287B52">
      <w:pPr>
        <w:pStyle w:val="Bold"/>
        <w:rPr>
          <w:b w:val="0"/>
          <w:color w:val="000000" w:themeColor="text1"/>
        </w:rPr>
      </w:pPr>
      <w:r w:rsidRPr="00ED172B">
        <w:rPr>
          <w:rFonts w:cs="Arial"/>
          <w:b w:val="0"/>
          <w:color w:val="000000" w:themeColor="text1"/>
          <w:szCs w:val="16"/>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works to empower parents from a variety of backgrounds to engage in activities that enhance the quality of services and </w:t>
      </w:r>
      <w:proofErr w:type="gramStart"/>
      <w:r w:rsidRPr="00ED172B">
        <w:rPr>
          <w:rFonts w:cs="Arial"/>
          <w:b w:val="0"/>
          <w:color w:val="000000" w:themeColor="text1"/>
          <w:szCs w:val="16"/>
        </w:rPr>
        <w:t>supports</w:t>
      </w:r>
      <w:proofErr w:type="gramEnd"/>
      <w:r w:rsidRPr="00ED172B">
        <w:rPr>
          <w:rFonts w:cs="Arial"/>
          <w:b w:val="0"/>
          <w:color w:val="000000" w:themeColor="text1"/>
          <w:szCs w:val="16"/>
        </w:rPr>
        <w:t xml:space="preserve"> for children with disabilities.  </w:t>
      </w:r>
    </w:p>
    <w:p w14:paraId="6C6248D3" w14:textId="77777777" w:rsidR="000575B2" w:rsidRDefault="00D6492D">
      <w:pPr>
        <w:pStyle w:val="Bold"/>
      </w:pPr>
      <w:r>
        <w:rPr>
          <w:b w:val="0"/>
          <w:color w:val="000000"/>
        </w:rPr>
        <w:t xml:space="preserve"> </w:t>
      </w:r>
    </w:p>
    <w:p w14:paraId="1190C68F" w14:textId="77777777" w:rsidR="000575B2" w:rsidRDefault="00D6492D">
      <w:pPr>
        <w:pStyle w:val="Bold"/>
      </w:pPr>
      <w:r>
        <w:rPr>
          <w:b w:val="0"/>
          <w:color w:val="000000"/>
        </w:rP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p>
    <w:p w14:paraId="7A1E11D2" w14:textId="77777777" w:rsidR="000575B2" w:rsidRDefault="00D6492D">
      <w:pPr>
        <w:pStyle w:val="Bold"/>
      </w:pPr>
      <w:r>
        <w:rPr>
          <w:b w:val="0"/>
          <w:color w:val="000000"/>
        </w:rPr>
        <w:t xml:space="preserve"> </w:t>
      </w:r>
    </w:p>
    <w:p w14:paraId="6E9E9621" w14:textId="77777777" w:rsidR="000575B2" w:rsidRDefault="00D6492D">
      <w:pPr>
        <w:pStyle w:val="Bold"/>
      </w:pPr>
      <w:r>
        <w:rPr>
          <w:b w:val="0"/>
          <w:color w:val="000000"/>
        </w:rP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p>
    <w:p w14:paraId="54F25F1B" w14:textId="77777777" w:rsidR="000575B2" w:rsidRDefault="00D6492D">
      <w:pPr>
        <w:pStyle w:val="Bold"/>
      </w:pPr>
      <w:r>
        <w:rPr>
          <w:b w:val="0"/>
          <w:color w:val="000000"/>
        </w:rPr>
        <w:t xml:space="preserve"> </w:t>
      </w:r>
    </w:p>
    <w:p w14:paraId="71377708" w14:textId="77777777" w:rsidR="000575B2" w:rsidRDefault="00D6492D">
      <w:pPr>
        <w:pStyle w:val="Bold"/>
      </w:pPr>
      <w:r>
        <w:rPr>
          <w:b w:val="0"/>
          <w:color w:val="000000"/>
        </w:rPr>
        <w:t xml:space="preserve">Additional data and input </w:t>
      </w:r>
      <w:proofErr w:type="gramStart"/>
      <w:r>
        <w:rPr>
          <w:b w:val="0"/>
          <w:color w:val="000000"/>
        </w:rPr>
        <w:t>has</w:t>
      </w:r>
      <w:proofErr w:type="gramEnd"/>
      <w:r>
        <w:rPr>
          <w:b w:val="0"/>
          <w:color w:val="000000"/>
        </w:rPr>
        <w:t xml:space="preserve">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77DE6125" w14:textId="77777777" w:rsidR="00715B7C" w:rsidRDefault="00423A30" w:rsidP="00287B52">
      <w:pPr>
        <w:rPr>
          <w:rFonts w:cs="Arial"/>
          <w:b/>
          <w:color w:val="000000" w:themeColor="text1"/>
          <w:szCs w:val="16"/>
        </w:rPr>
      </w:pPr>
      <w:r w:rsidRPr="00ED172B">
        <w:rPr>
          <w:rFonts w:cs="Arial"/>
          <w:b/>
          <w:color w:val="000000" w:themeColor="text1"/>
          <w:szCs w:val="16"/>
        </w:rPr>
        <w:t>Historical Data</w:t>
      </w:r>
    </w:p>
    <w:p w14:paraId="2941B05E" w14:textId="77777777"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2811"/>
        <w:gridCol w:w="875"/>
      </w:tblGrid>
      <w:tr w:rsidR="000378F3" w:rsidRPr="00ED172B" w14:paraId="66E6F704" w14:textId="77777777" w:rsidTr="00A40EE1">
        <w:trPr>
          <w:trHeight w:val="350"/>
          <w:tblHeader/>
        </w:trPr>
        <w:tc>
          <w:tcPr>
            <w:tcW w:w="4389" w:type="pct"/>
            <w:tcBorders>
              <w:bottom w:val="single" w:sz="4" w:space="0" w:color="auto"/>
            </w:tcBorders>
            <w:vAlign w:val="center"/>
          </w:tcPr>
          <w:p w14:paraId="5817DD97"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vAlign w:val="center"/>
          </w:tcPr>
          <w:p w14:paraId="269CC2B9"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6221C138" w14:textId="77777777" w:rsidTr="00A40EE1">
        <w:trPr>
          <w:trHeight w:val="350"/>
        </w:trPr>
        <w:tc>
          <w:tcPr>
            <w:tcW w:w="4389" w:type="pct"/>
            <w:tcBorders>
              <w:bottom w:val="single" w:sz="4" w:space="0" w:color="auto"/>
            </w:tcBorders>
          </w:tcPr>
          <w:p w14:paraId="459F3D0E" w14:textId="77777777" w:rsidR="000378F3" w:rsidRPr="00ED172B" w:rsidRDefault="000378F3" w:rsidP="000378F3">
            <w:pPr>
              <w:jc w:val="center"/>
              <w:rPr>
                <w:b/>
                <w:color w:val="000000" w:themeColor="text1"/>
              </w:rPr>
            </w:pPr>
            <w:r w:rsidRPr="00ED172B">
              <w:rPr>
                <w:color w:val="000000" w:themeColor="text1"/>
              </w:rPr>
              <w:t>2005</w:t>
            </w:r>
          </w:p>
        </w:tc>
        <w:tc>
          <w:tcPr>
            <w:tcW w:w="611" w:type="pct"/>
            <w:vAlign w:val="center"/>
          </w:tcPr>
          <w:p w14:paraId="08F60B72" w14:textId="77777777" w:rsidR="000378F3" w:rsidRPr="00ED172B" w:rsidRDefault="000378F3" w:rsidP="000378F3">
            <w:pPr>
              <w:jc w:val="center"/>
              <w:rPr>
                <w:color w:val="000000" w:themeColor="text1"/>
              </w:rPr>
            </w:pPr>
          </w:p>
        </w:tc>
      </w:tr>
    </w:tbl>
    <w:p w14:paraId="43FE7303"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4E82974A" w14:textId="77777777" w:rsidTr="00986B99">
        <w:trPr>
          <w:trHeight w:val="350"/>
        </w:trPr>
        <w:tc>
          <w:tcPr>
            <w:tcW w:w="623" w:type="pct"/>
            <w:tcBorders>
              <w:bottom w:val="single" w:sz="4" w:space="0" w:color="auto"/>
            </w:tcBorders>
          </w:tcPr>
          <w:p w14:paraId="138F02A0"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tcPr>
          <w:p w14:paraId="70646101"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tcPr>
          <w:p w14:paraId="55EA5BFF"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vAlign w:val="center"/>
          </w:tcPr>
          <w:p w14:paraId="1AD83090"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vAlign w:val="center"/>
          </w:tcPr>
          <w:p w14:paraId="72CBBF81"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2022</w:t>
            </w:r>
          </w:p>
        </w:tc>
        <w:tc>
          <w:tcPr>
            <w:tcW w:w="875" w:type="pct"/>
            <w:vAlign w:val="center"/>
          </w:tcPr>
          <w:p w14:paraId="0D7EA4BD" w14:textId="77777777" w:rsidR="00965010" w:rsidRPr="00ED172B" w:rsidRDefault="006D43D3" w:rsidP="00CD79C5">
            <w:pPr>
              <w:jc w:val="center"/>
              <w:rPr>
                <w:rFonts w:cs="Arial"/>
                <w:b/>
                <w:color w:val="000000" w:themeColor="text1"/>
                <w:szCs w:val="16"/>
              </w:rPr>
            </w:pPr>
            <w:r w:rsidRPr="00ED172B">
              <w:rPr>
                <w:rFonts w:cs="Arial"/>
                <w:b/>
                <w:color w:val="000000" w:themeColor="text1"/>
                <w:szCs w:val="16"/>
              </w:rPr>
              <w:t>2023</w:t>
            </w:r>
          </w:p>
        </w:tc>
      </w:tr>
      <w:tr w:rsidR="00ED172B" w:rsidRPr="00ED172B" w14:paraId="14E82274" w14:textId="77777777" w:rsidTr="00986B99">
        <w:trPr>
          <w:trHeight w:val="357"/>
        </w:trPr>
        <w:tc>
          <w:tcPr>
            <w:tcW w:w="623" w:type="pct"/>
          </w:tcPr>
          <w:p w14:paraId="02F2C74E"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Target&gt;=</w:t>
            </w:r>
          </w:p>
        </w:tc>
        <w:tc>
          <w:tcPr>
            <w:tcW w:w="875" w:type="pct"/>
          </w:tcPr>
          <w:p w14:paraId="36D4B183" w14:textId="77777777" w:rsidR="00965010" w:rsidRPr="00ED172B" w:rsidRDefault="00965010" w:rsidP="00186420">
            <w:pPr>
              <w:jc w:val="center"/>
              <w:rPr>
                <w:rFonts w:cs="Arial"/>
                <w:color w:val="000000" w:themeColor="text1"/>
                <w:szCs w:val="16"/>
              </w:rPr>
            </w:pPr>
          </w:p>
        </w:tc>
        <w:tc>
          <w:tcPr>
            <w:tcW w:w="875" w:type="pct"/>
          </w:tcPr>
          <w:p w14:paraId="18AAAE95" w14:textId="77777777" w:rsidR="00965010" w:rsidRPr="00ED172B" w:rsidRDefault="00965010" w:rsidP="00186420">
            <w:pPr>
              <w:jc w:val="center"/>
              <w:rPr>
                <w:rFonts w:cs="Arial"/>
                <w:color w:val="000000" w:themeColor="text1"/>
                <w:szCs w:val="16"/>
              </w:rPr>
            </w:pPr>
          </w:p>
        </w:tc>
        <w:tc>
          <w:tcPr>
            <w:tcW w:w="875" w:type="pct"/>
            <w:vAlign w:val="center"/>
          </w:tcPr>
          <w:p w14:paraId="66F85940" w14:textId="77777777" w:rsidR="00965010" w:rsidRPr="00ED172B" w:rsidRDefault="00965010" w:rsidP="00186420">
            <w:pPr>
              <w:jc w:val="center"/>
              <w:rPr>
                <w:rFonts w:cs="Arial"/>
                <w:color w:val="000000" w:themeColor="text1"/>
                <w:szCs w:val="16"/>
              </w:rPr>
            </w:pPr>
          </w:p>
        </w:tc>
        <w:tc>
          <w:tcPr>
            <w:tcW w:w="875" w:type="pct"/>
            <w:vAlign w:val="center"/>
          </w:tcPr>
          <w:p w14:paraId="6084E542" w14:textId="77777777" w:rsidR="00965010" w:rsidRPr="00ED172B" w:rsidRDefault="00965010" w:rsidP="00186420">
            <w:pPr>
              <w:jc w:val="center"/>
              <w:rPr>
                <w:rFonts w:cs="Arial"/>
                <w:color w:val="000000" w:themeColor="text1"/>
                <w:szCs w:val="16"/>
              </w:rPr>
            </w:pPr>
          </w:p>
        </w:tc>
        <w:tc>
          <w:tcPr>
            <w:tcW w:w="875" w:type="pct"/>
            <w:vAlign w:val="center"/>
          </w:tcPr>
          <w:p w14:paraId="655BFC3A" w14:textId="77777777" w:rsidR="00965010" w:rsidRPr="00ED172B" w:rsidRDefault="00965010" w:rsidP="00186420">
            <w:pPr>
              <w:jc w:val="center"/>
              <w:rPr>
                <w:rFonts w:cs="Arial"/>
                <w:color w:val="000000" w:themeColor="text1"/>
                <w:szCs w:val="16"/>
              </w:rPr>
            </w:pPr>
          </w:p>
        </w:tc>
      </w:tr>
      <w:tr w:rsidR="00ED172B" w:rsidRPr="00ED172B" w14:paraId="1CF9FBC1" w14:textId="77777777" w:rsidTr="00986B99">
        <w:trPr>
          <w:trHeight w:val="85"/>
        </w:trPr>
        <w:tc>
          <w:tcPr>
            <w:tcW w:w="623" w:type="pct"/>
          </w:tcPr>
          <w:p w14:paraId="287E6667"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Data</w:t>
            </w:r>
          </w:p>
        </w:tc>
        <w:tc>
          <w:tcPr>
            <w:tcW w:w="875" w:type="pct"/>
          </w:tcPr>
          <w:p w14:paraId="142B41FB" w14:textId="77777777" w:rsidR="00965010" w:rsidRPr="00ED172B" w:rsidRDefault="00965010" w:rsidP="00186420">
            <w:pPr>
              <w:jc w:val="center"/>
              <w:rPr>
                <w:rFonts w:cs="Arial"/>
                <w:color w:val="000000" w:themeColor="text1"/>
                <w:szCs w:val="16"/>
              </w:rPr>
            </w:pPr>
          </w:p>
        </w:tc>
        <w:tc>
          <w:tcPr>
            <w:tcW w:w="875" w:type="pct"/>
          </w:tcPr>
          <w:p w14:paraId="5A8EF560" w14:textId="77777777" w:rsidR="00965010" w:rsidRPr="00ED172B" w:rsidRDefault="00965010" w:rsidP="00186420">
            <w:pPr>
              <w:jc w:val="center"/>
              <w:rPr>
                <w:rFonts w:cs="Arial"/>
                <w:color w:val="000000" w:themeColor="text1"/>
                <w:szCs w:val="16"/>
              </w:rPr>
            </w:pPr>
          </w:p>
        </w:tc>
        <w:tc>
          <w:tcPr>
            <w:tcW w:w="875" w:type="pct"/>
            <w:tcBorders>
              <w:bottom w:val="single" w:sz="4" w:space="0" w:color="auto"/>
            </w:tcBorders>
            <w:vAlign w:val="center"/>
          </w:tcPr>
          <w:p w14:paraId="396850BF" w14:textId="77777777" w:rsidR="00965010" w:rsidRPr="00ED172B" w:rsidRDefault="00860830" w:rsidP="00186420">
            <w:pPr>
              <w:jc w:val="center"/>
              <w:rPr>
                <w:rFonts w:cs="Arial"/>
                <w:color w:val="000000" w:themeColor="text1"/>
                <w:szCs w:val="16"/>
              </w:rPr>
            </w:pPr>
            <w:r w:rsidRPr="00ED172B">
              <w:rPr>
                <w:rFonts w:cs="Arial"/>
                <w:color w:val="000000" w:themeColor="text1"/>
                <w:szCs w:val="16"/>
              </w:rPr>
              <w:t>78.26%</w:t>
            </w:r>
          </w:p>
        </w:tc>
        <w:tc>
          <w:tcPr>
            <w:tcW w:w="875" w:type="pct"/>
            <w:tcBorders>
              <w:bottom w:val="single" w:sz="4" w:space="0" w:color="auto"/>
            </w:tcBorders>
            <w:vAlign w:val="center"/>
          </w:tcPr>
          <w:p w14:paraId="71EE864D" w14:textId="77777777" w:rsidR="00965010" w:rsidRPr="00ED172B" w:rsidRDefault="00965010" w:rsidP="00186420">
            <w:pPr>
              <w:jc w:val="center"/>
              <w:rPr>
                <w:rFonts w:cs="Arial"/>
                <w:color w:val="000000" w:themeColor="text1"/>
                <w:szCs w:val="16"/>
              </w:rPr>
            </w:pPr>
          </w:p>
        </w:tc>
        <w:tc>
          <w:tcPr>
            <w:tcW w:w="875" w:type="pct"/>
            <w:tcBorders>
              <w:bottom w:val="single" w:sz="4" w:space="0" w:color="auto"/>
            </w:tcBorders>
            <w:vAlign w:val="center"/>
          </w:tcPr>
          <w:p w14:paraId="66A32CC9" w14:textId="77777777" w:rsidR="00965010" w:rsidRPr="00ED172B" w:rsidRDefault="00965010" w:rsidP="00186420">
            <w:pPr>
              <w:jc w:val="center"/>
              <w:rPr>
                <w:rFonts w:cs="Arial"/>
                <w:color w:val="000000" w:themeColor="text1"/>
                <w:szCs w:val="16"/>
              </w:rPr>
            </w:pPr>
          </w:p>
        </w:tc>
      </w:tr>
    </w:tbl>
    <w:p w14:paraId="3D3BE1B2" w14:textId="77777777" w:rsidR="00720D77" w:rsidRPr="00ED172B" w:rsidRDefault="00720D77" w:rsidP="00720D77">
      <w:pPr>
        <w:pStyle w:val="Italic"/>
        <w:rPr>
          <w:rFonts w:cs="Arial"/>
          <w:i w:val="0"/>
          <w:color w:val="000000" w:themeColor="text1"/>
          <w:szCs w:val="16"/>
        </w:rPr>
      </w:pPr>
    </w:p>
    <w:p w14:paraId="3D4E478D" w14:textId="77777777" w:rsidR="00965010" w:rsidRPr="00ED172B" w:rsidRDefault="00965010" w:rsidP="00B83404">
      <w:pPr>
        <w:rPr>
          <w:color w:val="000000" w:themeColor="text1"/>
        </w:rPr>
      </w:pPr>
      <w:r w:rsidRPr="00ED172B">
        <w:rPr>
          <w:b/>
          <w:color w:val="000000" w:themeColor="text1"/>
        </w:rPr>
        <w:t>Targets</w:t>
      </w:r>
    </w:p>
    <w:tbl>
      <w:tblPr>
        <w:tblW w:w="2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866"/>
        <w:gridCol w:w="2476"/>
        <w:gridCol w:w="2653"/>
      </w:tblGrid>
      <w:tr w:rsidR="00CF59E2" w:rsidRPr="00ED172B" w14:paraId="58F29FCF" w14:textId="77777777" w:rsidTr="00811738">
        <w:trPr>
          <w:trHeight w:val="360"/>
        </w:trPr>
        <w:tc>
          <w:tcPr>
            <w:tcW w:w="722" w:type="pct"/>
            <w:tcBorders>
              <w:bottom w:val="single" w:sz="4" w:space="0" w:color="auto"/>
            </w:tcBorders>
          </w:tcPr>
          <w:p w14:paraId="7F1BB68C" w14:textId="77777777" w:rsidR="00CF59E2" w:rsidRPr="00ED172B" w:rsidRDefault="00CF59E2" w:rsidP="00C375EA">
            <w:pPr>
              <w:jc w:val="center"/>
              <w:rPr>
                <w:b/>
                <w:color w:val="000000" w:themeColor="text1"/>
              </w:rPr>
            </w:pPr>
            <w:r w:rsidRPr="00ED172B">
              <w:rPr>
                <w:b/>
                <w:color w:val="000000" w:themeColor="text1"/>
              </w:rPr>
              <w:t>FFY</w:t>
            </w:r>
          </w:p>
        </w:tc>
        <w:tc>
          <w:tcPr>
            <w:tcW w:w="2065" w:type="pct"/>
            <w:vAlign w:val="center"/>
          </w:tcPr>
          <w:p w14:paraId="65372041" w14:textId="77777777" w:rsidR="00CF59E2" w:rsidRPr="00ED172B" w:rsidRDefault="00CF59E2" w:rsidP="00C375EA">
            <w:pPr>
              <w:jc w:val="center"/>
              <w:rPr>
                <w:b/>
                <w:color w:val="000000" w:themeColor="text1"/>
              </w:rPr>
            </w:pPr>
            <w:r w:rsidRPr="00ED172B">
              <w:rPr>
                <w:b/>
                <w:color w:val="000000" w:themeColor="text1"/>
              </w:rPr>
              <w:t>2024</w:t>
            </w:r>
          </w:p>
        </w:tc>
        <w:tc>
          <w:tcPr>
            <w:tcW w:w="2213" w:type="pct"/>
          </w:tcPr>
          <w:p w14:paraId="0EDD4026" w14:textId="77777777" w:rsidR="00CF59E2" w:rsidRPr="00ED172B" w:rsidRDefault="00CF59E2" w:rsidP="00C375EA">
            <w:pPr>
              <w:jc w:val="center"/>
              <w:rPr>
                <w:b/>
                <w:color w:val="000000" w:themeColor="text1"/>
              </w:rPr>
            </w:pPr>
            <w:r>
              <w:rPr>
                <w:rFonts w:cs="Arial"/>
                <w:b/>
                <w:color w:val="000000" w:themeColor="text1"/>
                <w:szCs w:val="16"/>
              </w:rPr>
              <w:t>2025</w:t>
            </w:r>
          </w:p>
        </w:tc>
      </w:tr>
      <w:tr w:rsidR="00CF59E2" w:rsidRPr="00ED172B" w14:paraId="080FCC8C" w14:textId="77777777" w:rsidTr="00811738">
        <w:trPr>
          <w:trHeight w:val="367"/>
        </w:trPr>
        <w:tc>
          <w:tcPr>
            <w:tcW w:w="722" w:type="pct"/>
          </w:tcPr>
          <w:p w14:paraId="6EE9B644"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Target&gt;=</w:t>
            </w:r>
          </w:p>
        </w:tc>
        <w:tc>
          <w:tcPr>
            <w:tcW w:w="2065" w:type="pct"/>
            <w:vAlign w:val="center"/>
          </w:tcPr>
          <w:p w14:paraId="17024864" w14:textId="77777777" w:rsidR="00CF59E2" w:rsidRPr="00ED172B" w:rsidRDefault="00CF59E2" w:rsidP="00C375EA">
            <w:pPr>
              <w:jc w:val="center"/>
              <w:rPr>
                <w:color w:val="000000" w:themeColor="text1"/>
              </w:rPr>
            </w:pPr>
          </w:p>
        </w:tc>
        <w:tc>
          <w:tcPr>
            <w:tcW w:w="2213" w:type="pct"/>
          </w:tcPr>
          <w:p w14:paraId="4D9FD734" w14:textId="77777777" w:rsidR="00CF59E2" w:rsidRPr="00ED172B" w:rsidRDefault="00CF59E2" w:rsidP="00C375EA">
            <w:pPr>
              <w:jc w:val="center"/>
              <w:rPr>
                <w:color w:val="000000" w:themeColor="text1"/>
              </w:rPr>
            </w:pPr>
          </w:p>
        </w:tc>
      </w:tr>
    </w:tbl>
    <w:p w14:paraId="6126C47D" w14:textId="77777777" w:rsidR="0065724F" w:rsidRPr="00ED172B" w:rsidRDefault="0065724F">
      <w:pPr>
        <w:rPr>
          <w:b/>
          <w:color w:val="000000" w:themeColor="text1"/>
        </w:rPr>
      </w:pPr>
    </w:p>
    <w:p w14:paraId="274CE101" w14:textId="77777777" w:rsidR="00715B7C"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2059"/>
        <w:gridCol w:w="2133"/>
        <w:gridCol w:w="1419"/>
        <w:gridCol w:w="750"/>
        <w:gridCol w:w="885"/>
        <w:gridCol w:w="1019"/>
        <w:gridCol w:w="1282"/>
        <w:gridCol w:w="1243"/>
      </w:tblGrid>
      <w:tr w:rsidR="00ED172B" w:rsidRPr="00ED172B" w14:paraId="3306CBA2" w14:textId="77777777" w:rsidTr="00986B99">
        <w:trPr>
          <w:tblHeader/>
        </w:trPr>
        <w:tc>
          <w:tcPr>
            <w:tcW w:w="0" w:type="auto"/>
          </w:tcPr>
          <w:p w14:paraId="4B60A4ED"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vAlign w:val="bottom"/>
          </w:tcPr>
          <w:p w14:paraId="55A3EF77"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vAlign w:val="bottom"/>
          </w:tcPr>
          <w:p w14:paraId="0D267A21"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vAlign w:val="bottom"/>
          </w:tcPr>
          <w:p w14:paraId="18280BEC" w14:textId="77777777" w:rsidR="003F7F2F" w:rsidRPr="00ED172B" w:rsidRDefault="00CD74B5" w:rsidP="00CD79C5">
            <w:pPr>
              <w:jc w:val="center"/>
              <w:rPr>
                <w:rFonts w:cs="Arial"/>
                <w:b/>
                <w:color w:val="000000" w:themeColor="text1"/>
                <w:szCs w:val="16"/>
              </w:rPr>
            </w:pPr>
            <w:r>
              <w:rPr>
                <w:rFonts w:cs="Arial"/>
                <w:b/>
                <w:color w:val="000000" w:themeColor="text1"/>
                <w:szCs w:val="16"/>
              </w:rPr>
              <w:t>FFY 2023 Data</w:t>
            </w:r>
          </w:p>
        </w:tc>
        <w:tc>
          <w:tcPr>
            <w:tcW w:w="0" w:type="auto"/>
            <w:vAlign w:val="bottom"/>
          </w:tcPr>
          <w:p w14:paraId="535E1E98" w14:textId="77777777" w:rsidR="003F7F2F" w:rsidRPr="00ED172B" w:rsidRDefault="00F22D09" w:rsidP="00CD79C5">
            <w:pPr>
              <w:jc w:val="center"/>
              <w:rPr>
                <w:rFonts w:cs="Arial"/>
                <w:b/>
                <w:color w:val="000000" w:themeColor="text1"/>
                <w:szCs w:val="16"/>
              </w:rPr>
            </w:pPr>
            <w:r>
              <w:rPr>
                <w:rFonts w:cs="Arial"/>
                <w:b/>
                <w:color w:val="000000" w:themeColor="text1"/>
                <w:szCs w:val="16"/>
              </w:rPr>
              <w:t>FFY 2024 Target</w:t>
            </w:r>
          </w:p>
        </w:tc>
        <w:tc>
          <w:tcPr>
            <w:tcW w:w="472" w:type="pct"/>
            <w:vAlign w:val="bottom"/>
          </w:tcPr>
          <w:p w14:paraId="5CC8A075" w14:textId="77777777" w:rsidR="003F7F2F" w:rsidRPr="00ED172B" w:rsidRDefault="00F22D09" w:rsidP="00CD79C5">
            <w:pPr>
              <w:jc w:val="center"/>
              <w:rPr>
                <w:rFonts w:cs="Arial"/>
                <w:b/>
                <w:color w:val="000000" w:themeColor="text1"/>
                <w:szCs w:val="16"/>
              </w:rPr>
            </w:pPr>
            <w:r>
              <w:rPr>
                <w:rFonts w:cs="Arial"/>
                <w:b/>
                <w:color w:val="000000" w:themeColor="text1"/>
                <w:szCs w:val="16"/>
              </w:rPr>
              <w:t>FFY 2024 Data</w:t>
            </w:r>
          </w:p>
        </w:tc>
        <w:tc>
          <w:tcPr>
            <w:tcW w:w="594" w:type="pct"/>
            <w:vAlign w:val="bottom"/>
          </w:tcPr>
          <w:p w14:paraId="17C09048"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vAlign w:val="bottom"/>
          </w:tcPr>
          <w:p w14:paraId="516BE396"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539376E9" w14:textId="77777777" w:rsidTr="00986B99">
        <w:tc>
          <w:tcPr>
            <w:tcW w:w="0" w:type="auto"/>
          </w:tcPr>
          <w:p w14:paraId="26BECD09" w14:textId="77777777" w:rsidR="003F7F2F" w:rsidRPr="00ED172B" w:rsidRDefault="00320806" w:rsidP="00320806">
            <w:pPr>
              <w:jc w:val="center"/>
              <w:rPr>
                <w:color w:val="000000" w:themeColor="text1"/>
              </w:rPr>
            </w:pPr>
            <w:r w:rsidRPr="00ED172B">
              <w:rPr>
                <w:color w:val="000000" w:themeColor="text1"/>
              </w:rPr>
              <w:t>0</w:t>
            </w:r>
          </w:p>
        </w:tc>
        <w:tc>
          <w:tcPr>
            <w:tcW w:w="0" w:type="auto"/>
          </w:tcPr>
          <w:p w14:paraId="00CC9B2E" w14:textId="77777777" w:rsidR="003F7F2F" w:rsidRPr="00ED172B" w:rsidRDefault="00320806" w:rsidP="00320806">
            <w:pPr>
              <w:jc w:val="center"/>
              <w:rPr>
                <w:color w:val="000000" w:themeColor="text1"/>
              </w:rPr>
            </w:pPr>
            <w:r w:rsidRPr="00ED172B">
              <w:rPr>
                <w:color w:val="000000" w:themeColor="text1"/>
              </w:rPr>
              <w:t>0</w:t>
            </w:r>
          </w:p>
        </w:tc>
        <w:tc>
          <w:tcPr>
            <w:tcW w:w="0" w:type="auto"/>
            <w:vAlign w:val="center"/>
          </w:tcPr>
          <w:p w14:paraId="4469DD12" w14:textId="77777777" w:rsidR="003F7F2F" w:rsidRPr="00ED172B" w:rsidRDefault="00320806" w:rsidP="00320806">
            <w:pPr>
              <w:jc w:val="center"/>
              <w:rPr>
                <w:color w:val="000000" w:themeColor="text1"/>
              </w:rPr>
            </w:pPr>
            <w:r w:rsidRPr="00ED172B">
              <w:rPr>
                <w:color w:val="000000" w:themeColor="text1"/>
              </w:rPr>
              <w:t>0</w:t>
            </w:r>
          </w:p>
        </w:tc>
        <w:tc>
          <w:tcPr>
            <w:tcW w:w="0" w:type="auto"/>
          </w:tcPr>
          <w:p w14:paraId="2C52DF92" w14:textId="77777777" w:rsidR="003F7F2F" w:rsidRPr="00ED172B" w:rsidRDefault="003F7F2F" w:rsidP="00320806">
            <w:pPr>
              <w:jc w:val="center"/>
              <w:rPr>
                <w:color w:val="000000" w:themeColor="text1"/>
              </w:rPr>
            </w:pPr>
          </w:p>
        </w:tc>
        <w:tc>
          <w:tcPr>
            <w:tcW w:w="0" w:type="auto"/>
          </w:tcPr>
          <w:p w14:paraId="0257B5CA" w14:textId="77777777" w:rsidR="003F7F2F" w:rsidRPr="00ED172B" w:rsidRDefault="003F7F2F" w:rsidP="00320806">
            <w:pPr>
              <w:jc w:val="center"/>
              <w:rPr>
                <w:color w:val="000000" w:themeColor="text1"/>
              </w:rPr>
            </w:pPr>
          </w:p>
        </w:tc>
        <w:tc>
          <w:tcPr>
            <w:tcW w:w="472" w:type="pct"/>
          </w:tcPr>
          <w:p w14:paraId="79E5C060" w14:textId="77777777" w:rsidR="003F7F2F" w:rsidRPr="00ED172B" w:rsidRDefault="003F7F2F" w:rsidP="00320806">
            <w:pPr>
              <w:jc w:val="center"/>
              <w:rPr>
                <w:color w:val="000000" w:themeColor="text1"/>
              </w:rPr>
            </w:pPr>
          </w:p>
        </w:tc>
        <w:tc>
          <w:tcPr>
            <w:tcW w:w="594" w:type="pct"/>
          </w:tcPr>
          <w:p w14:paraId="7E121357" w14:textId="77777777" w:rsidR="003F7F2F" w:rsidRPr="00ED172B" w:rsidRDefault="00320806" w:rsidP="00320806">
            <w:pPr>
              <w:jc w:val="center"/>
              <w:rPr>
                <w:color w:val="000000" w:themeColor="text1"/>
              </w:rPr>
            </w:pPr>
            <w:r w:rsidRPr="00ED172B">
              <w:rPr>
                <w:color w:val="000000" w:themeColor="text1"/>
              </w:rPr>
              <w:t>N/A</w:t>
            </w:r>
          </w:p>
        </w:tc>
        <w:tc>
          <w:tcPr>
            <w:tcW w:w="576" w:type="pct"/>
          </w:tcPr>
          <w:p w14:paraId="167CFA1A" w14:textId="77777777" w:rsidR="003F7F2F" w:rsidRPr="00ED172B" w:rsidRDefault="00320806" w:rsidP="00320806">
            <w:pPr>
              <w:jc w:val="center"/>
              <w:rPr>
                <w:color w:val="000000" w:themeColor="text1"/>
              </w:rPr>
            </w:pPr>
            <w:r w:rsidRPr="00ED172B">
              <w:rPr>
                <w:color w:val="000000" w:themeColor="text1"/>
              </w:rPr>
              <w:t>N/A</w:t>
            </w:r>
          </w:p>
        </w:tc>
      </w:tr>
    </w:tbl>
    <w:bookmarkEnd w:id="58"/>
    <w:bookmarkEnd w:id="59"/>
    <w:p w14:paraId="5B459CB6"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1899EAAE" w14:textId="77777777" w:rsidR="00EA0143" w:rsidRPr="00ED172B" w:rsidRDefault="00EA0143" w:rsidP="00EA0143">
      <w:pPr>
        <w:rPr>
          <w:rFonts w:cs="Arial"/>
          <w:color w:val="000000" w:themeColor="text1"/>
          <w:szCs w:val="16"/>
        </w:rPr>
      </w:pPr>
    </w:p>
    <w:p w14:paraId="63CCD2A6" w14:textId="77777777" w:rsidR="00DC0682" w:rsidRPr="00A40EE1" w:rsidRDefault="000D0117" w:rsidP="007B0787">
      <w:pPr>
        <w:pStyle w:val="Heading2"/>
      </w:pPr>
      <w:bookmarkStart w:id="60" w:name="_Hlk79570511"/>
      <w:r w:rsidRPr="00A40EE1">
        <w:t xml:space="preserve">10 - </w:t>
      </w:r>
      <w:r w:rsidR="00DC0682" w:rsidRPr="00A40EE1">
        <w:t>Prior FFY Required Actions</w:t>
      </w:r>
      <w:bookmarkEnd w:id="60"/>
    </w:p>
    <w:p w14:paraId="43BA2869" w14:textId="77777777" w:rsidR="00905F26" w:rsidRPr="00ED172B" w:rsidRDefault="00320806" w:rsidP="00320806">
      <w:pPr>
        <w:rPr>
          <w:color w:val="000000" w:themeColor="text1"/>
        </w:rPr>
      </w:pPr>
      <w:r w:rsidRPr="00ED172B">
        <w:rPr>
          <w:color w:val="000000" w:themeColor="text1"/>
        </w:rPr>
        <w:t>None</w:t>
      </w:r>
    </w:p>
    <w:p w14:paraId="57AD1285" w14:textId="77777777" w:rsidR="00DC0682" w:rsidRPr="00A40EE1" w:rsidRDefault="000D0117" w:rsidP="007B0787">
      <w:pPr>
        <w:pStyle w:val="Heading2"/>
      </w:pPr>
      <w:r w:rsidRPr="00A40EE1">
        <w:t xml:space="preserve">10 - </w:t>
      </w:r>
      <w:r w:rsidR="00DC0682" w:rsidRPr="00A40EE1">
        <w:t>OSEP Response</w:t>
      </w:r>
    </w:p>
    <w:p w14:paraId="25AC5202" w14:textId="77777777" w:rsidR="00DC0682" w:rsidRPr="00ED172B" w:rsidRDefault="00320806" w:rsidP="00320806">
      <w:pPr>
        <w:rPr>
          <w:color w:val="000000" w:themeColor="text1"/>
        </w:rPr>
      </w:pPr>
      <w:r w:rsidRPr="00ED172B">
        <w:rPr>
          <w:color w:val="000000" w:themeColor="text1"/>
        </w:rPr>
        <w:t>The State reported fewer than ten mediations held in FFY 2024. The State is not required to provide targets until any fiscal year in which ten or more mediations were held.</w:t>
      </w:r>
    </w:p>
    <w:p w14:paraId="5ED2DA76" w14:textId="77777777" w:rsidR="00DC0682" w:rsidRPr="00A40EE1" w:rsidRDefault="000D0117" w:rsidP="007B0787">
      <w:pPr>
        <w:pStyle w:val="Heading2"/>
      </w:pPr>
      <w:r w:rsidRPr="00A40EE1">
        <w:t xml:space="preserve">10 - </w:t>
      </w:r>
      <w:r w:rsidR="00DC0682" w:rsidRPr="00A40EE1">
        <w:t>Required Actions</w:t>
      </w:r>
    </w:p>
    <w:p w14:paraId="5A13C27F" w14:textId="77777777" w:rsidR="00DC0682" w:rsidRPr="00ED172B" w:rsidRDefault="00DC0682" w:rsidP="00320806">
      <w:pPr>
        <w:rPr>
          <w:color w:val="000000" w:themeColor="text1"/>
        </w:rPr>
      </w:pPr>
    </w:p>
    <w:p w14:paraId="431975FA" w14:textId="77777777" w:rsidR="00DD311B" w:rsidRPr="00ED172B" w:rsidRDefault="00DD311B">
      <w:pPr>
        <w:spacing w:before="0" w:after="200" w:line="276" w:lineRule="auto"/>
        <w:rPr>
          <w:color w:val="000000" w:themeColor="text1"/>
        </w:rPr>
      </w:pPr>
      <w:r w:rsidRPr="00ED172B">
        <w:rPr>
          <w:color w:val="000000" w:themeColor="text1"/>
        </w:rPr>
        <w:br w:type="page"/>
      </w:r>
    </w:p>
    <w:p w14:paraId="42CFCA9E" w14:textId="77777777" w:rsidR="00621DEC" w:rsidRPr="00ED172B" w:rsidRDefault="00621DEC" w:rsidP="00621DEC">
      <w:pPr>
        <w:pStyle w:val="Heading1"/>
        <w:rPr>
          <w:color w:val="000000" w:themeColor="text1"/>
        </w:rPr>
      </w:pPr>
      <w:bookmarkStart w:id="61" w:name="_Hlk109646734"/>
      <w:bookmarkStart w:id="62" w:name="_Toc392159348"/>
      <w:r w:rsidRPr="00ED172B">
        <w:rPr>
          <w:color w:val="000000" w:themeColor="text1"/>
        </w:rPr>
        <w:lastRenderedPageBreak/>
        <w:t>Indicator 11: State Systemic Improvement Plan</w:t>
      </w:r>
    </w:p>
    <w:p w14:paraId="389CDE39"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75060DD7"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044DE8D8" w14:textId="77777777"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3BEA6423" w14:textId="77777777" w:rsidR="00621DEC" w:rsidRPr="00ED172B" w:rsidRDefault="00621DEC" w:rsidP="00621DEC">
      <w:pPr>
        <w:rPr>
          <w:b/>
          <w:color w:val="000000" w:themeColor="text1"/>
        </w:rPr>
      </w:pPr>
      <w:r w:rsidRPr="00ED172B">
        <w:rPr>
          <w:b/>
          <w:color w:val="000000" w:themeColor="text1"/>
        </w:rPr>
        <w:t>Measurement</w:t>
      </w:r>
    </w:p>
    <w:p w14:paraId="2A105900" w14:textId="77777777" w:rsidR="009E3024" w:rsidRDefault="0010664F" w:rsidP="009E3024">
      <w:r w:rsidRPr="00811738">
        <w:rPr>
          <w:b/>
          <w:bCs/>
        </w:rPr>
        <w:t>Results Indicator:</w:t>
      </w:r>
      <w:r>
        <w:t xml:space="preserve"> </w:t>
      </w:r>
      <w:r w:rsidR="009E3024">
        <w:t>The State’s SPP/APR includes an SSIP that is a comprehensive, ambitious, yet achievable multi-year plan for improving results for infants and toddlers with disabilities and their families. The SSIP includes each of the components described below.</w:t>
      </w:r>
    </w:p>
    <w:p w14:paraId="50331703" w14:textId="77777777" w:rsidR="00621DEC" w:rsidRPr="00ED172B" w:rsidRDefault="00621DEC" w:rsidP="00621DEC">
      <w:pPr>
        <w:rPr>
          <w:b/>
          <w:color w:val="000000" w:themeColor="text1"/>
        </w:rPr>
      </w:pPr>
      <w:r w:rsidRPr="00ED172B">
        <w:rPr>
          <w:b/>
          <w:color w:val="000000" w:themeColor="text1"/>
        </w:rPr>
        <w:t>Instructions</w:t>
      </w:r>
    </w:p>
    <w:p w14:paraId="5306A8E7" w14:textId="77777777" w:rsidR="00CE7219" w:rsidRPr="00D77E41" w:rsidRDefault="00CE7219" w:rsidP="00CE7219">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14:paraId="418A8574" w14:textId="77777777" w:rsidR="00CE7219" w:rsidRPr="00D77E41" w:rsidRDefault="00CE7219" w:rsidP="00CE721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14:paraId="7A2E7D51" w14:textId="77777777" w:rsidR="00CE7219" w:rsidRPr="00D77E41" w:rsidRDefault="00CE7219" w:rsidP="00CE7219">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the State must provide updated data for that specific FFY (expressed as percentages</w:t>
      </w:r>
      <w:r w:rsidR="00763F1C" w:rsidRPr="00D77E41">
        <w:t>),</w:t>
      </w:r>
      <w:r w:rsidRPr="00D77E41">
        <w:t xml:space="preserve">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14:paraId="648A85E2"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313F19E0"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5CD079FE" w14:textId="77777777" w:rsidR="009E3024" w:rsidRPr="00C76255" w:rsidRDefault="009E3024" w:rsidP="009E3024">
      <w:pPr>
        <w:pStyle w:val="Subhed"/>
        <w:rPr>
          <w:b w:val="0"/>
        </w:rPr>
      </w:pPr>
      <w:r w:rsidRPr="00C76255">
        <w:rPr>
          <w:i/>
        </w:rPr>
        <w:t>Phase I: Analysis</w:t>
      </w:r>
      <w:r w:rsidR="00FA283D">
        <w:rPr>
          <w:b w:val="0"/>
        </w:rPr>
        <w:t>:</w:t>
      </w:r>
    </w:p>
    <w:p w14:paraId="44E4FA63" w14:textId="77777777" w:rsidR="009E3024" w:rsidRPr="00D77E41" w:rsidRDefault="00FB141D" w:rsidP="00F85A5B">
      <w:pPr>
        <w:ind w:left="360"/>
      </w:pPr>
      <w:r>
        <w:t xml:space="preserve">- </w:t>
      </w:r>
      <w:r w:rsidR="009E3024" w:rsidRPr="00D77E41">
        <w:t>Data Analysis;</w:t>
      </w:r>
    </w:p>
    <w:p w14:paraId="1F667E22" w14:textId="77777777" w:rsidR="009E3024" w:rsidRPr="00D77E41" w:rsidRDefault="00FB141D" w:rsidP="00F85A5B">
      <w:pPr>
        <w:ind w:left="360"/>
      </w:pPr>
      <w:r>
        <w:t xml:space="preserve">- </w:t>
      </w:r>
      <w:r w:rsidR="009E3024" w:rsidRPr="00D77E41">
        <w:t>Analysis of State Infrastructure to Support Improvement and Build Capacity;</w:t>
      </w:r>
    </w:p>
    <w:p w14:paraId="3A01B3D8" w14:textId="77777777" w:rsidR="009E3024" w:rsidRPr="00D77E41" w:rsidRDefault="00FB141D" w:rsidP="00F85A5B">
      <w:pPr>
        <w:ind w:left="360"/>
      </w:pPr>
      <w:r>
        <w:t xml:space="preserve">- </w:t>
      </w:r>
      <w:r w:rsidR="009E3024" w:rsidRPr="00D77E41">
        <w:t>State-identified Measurable Result(s) for Infants and Toddlers with Disabilities and their Families;</w:t>
      </w:r>
    </w:p>
    <w:p w14:paraId="6E5D48F9" w14:textId="77777777" w:rsidR="009E3024" w:rsidRPr="00D77E41" w:rsidRDefault="00FB141D" w:rsidP="00F85A5B">
      <w:pPr>
        <w:ind w:left="360"/>
      </w:pPr>
      <w:r>
        <w:t xml:space="preserve">- </w:t>
      </w:r>
      <w:r w:rsidR="009E3024" w:rsidRPr="00D77E41">
        <w:t>Selection of Coherent Improvement Strategies; and</w:t>
      </w:r>
    </w:p>
    <w:p w14:paraId="0BC55AB1" w14:textId="77777777" w:rsidR="009E3024" w:rsidRPr="00D77E41" w:rsidRDefault="00FB141D" w:rsidP="00F85A5B">
      <w:pPr>
        <w:ind w:left="360"/>
      </w:pPr>
      <w:r>
        <w:t xml:space="preserve">- </w:t>
      </w:r>
      <w:r w:rsidR="009E3024" w:rsidRPr="00D77E41">
        <w:t>Theory of Action.</w:t>
      </w:r>
    </w:p>
    <w:p w14:paraId="2D34F0E0" w14:textId="77777777"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63097A2B" w14:textId="77777777" w:rsidR="009E3024" w:rsidRPr="00D77E41" w:rsidRDefault="00C334F4" w:rsidP="0055373D">
      <w:pPr>
        <w:ind w:left="360"/>
      </w:pPr>
      <w:r>
        <w:t xml:space="preserve">- </w:t>
      </w:r>
      <w:r w:rsidR="009E3024" w:rsidRPr="00D77E41">
        <w:t>Infrastructure Development;</w:t>
      </w:r>
    </w:p>
    <w:p w14:paraId="7DA0B7AE" w14:textId="77777777" w:rsidR="009E3024" w:rsidRPr="00D77E41" w:rsidRDefault="00C334F4" w:rsidP="0055373D">
      <w:pPr>
        <w:ind w:left="360"/>
      </w:pPr>
      <w:r>
        <w:t xml:space="preserve">- </w:t>
      </w:r>
      <w:r w:rsidR="009E3024" w:rsidRPr="00D77E41">
        <w:t>Support for EIS Program and/or EIS Provider Implementation of Evidence-Based Practices; and</w:t>
      </w:r>
    </w:p>
    <w:p w14:paraId="19B39C47" w14:textId="77777777" w:rsidR="009E3024" w:rsidRPr="00D77E41" w:rsidRDefault="00C334F4" w:rsidP="0055373D">
      <w:pPr>
        <w:ind w:left="360"/>
      </w:pPr>
      <w:r>
        <w:t xml:space="preserve">- </w:t>
      </w:r>
      <w:r w:rsidR="009E3024" w:rsidRPr="00D77E41">
        <w:t>Evaluation.</w:t>
      </w:r>
    </w:p>
    <w:p w14:paraId="1A7F1242" w14:textId="77777777"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17EC25E0" w14:textId="77777777" w:rsidR="009E3024" w:rsidRPr="00D77E41" w:rsidRDefault="00FB141D" w:rsidP="00F85A5B">
      <w:pPr>
        <w:ind w:left="360"/>
      </w:pPr>
      <w:r>
        <w:t xml:space="preserve">- </w:t>
      </w:r>
      <w:r w:rsidR="009E3024" w:rsidRPr="00D77E41">
        <w:t>Results of Ongoing Evaluation and Revisions to the SSIP.</w:t>
      </w:r>
    </w:p>
    <w:p w14:paraId="5975C92E" w14:textId="77777777" w:rsidR="009E3024" w:rsidRPr="00C76255" w:rsidRDefault="009E3024" w:rsidP="009E3024">
      <w:pPr>
        <w:rPr>
          <w:b/>
        </w:rPr>
      </w:pPr>
      <w:r w:rsidRPr="00C76255">
        <w:rPr>
          <w:b/>
        </w:rPr>
        <w:t>Specific Content of Each Phase of the SSIP</w:t>
      </w:r>
    </w:p>
    <w:p w14:paraId="16B3DC81" w14:textId="77777777" w:rsidR="009E3024" w:rsidRPr="00D77E41" w:rsidRDefault="009E3024" w:rsidP="009E3024">
      <w:r w:rsidRPr="00D77E41">
        <w:t>Refer to FFY 2013-2015 Measurement Table for detailed requirements of Phase I and Phase II SSIP submissions.</w:t>
      </w:r>
    </w:p>
    <w:p w14:paraId="0D1EFED5"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7922ED2B" w14:textId="77777777" w:rsidR="009E3024" w:rsidRPr="00C76255" w:rsidRDefault="009E3024" w:rsidP="009E3024">
      <w:pPr>
        <w:rPr>
          <w:b/>
          <w:i/>
        </w:rPr>
      </w:pPr>
      <w:r w:rsidRPr="00C76255">
        <w:rPr>
          <w:b/>
          <w:i/>
        </w:rPr>
        <w:t>Phase III: Implementation and Evaluation</w:t>
      </w:r>
    </w:p>
    <w:p w14:paraId="4BF188E0"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w:t>
      </w:r>
      <w:proofErr w:type="spellStart"/>
      <w:r w:rsidRPr="00D77E41">
        <w:t>SiMR</w:t>
      </w:r>
      <w:proofErr w:type="spellEnd"/>
      <w:r w:rsidRPr="00D77E41">
        <w:t xml:space="preserve">);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w:t>
      </w:r>
      <w:proofErr w:type="gramStart"/>
      <w:r w:rsidRPr="00D77E41">
        <w:t>support</w:t>
      </w:r>
      <w:proofErr w:type="gramEnd"/>
      <w:r w:rsidRPr="00D77E41">
        <w:t xml:space="preserve"> this decision.</w:t>
      </w:r>
    </w:p>
    <w:p w14:paraId="0C1CD5C4" w14:textId="77777777" w:rsidR="009E3024" w:rsidRPr="00D77E41" w:rsidRDefault="009E3024" w:rsidP="009E3024">
      <w:pPr>
        <w:tabs>
          <w:tab w:val="left" w:pos="270"/>
          <w:tab w:val="left" w:pos="630"/>
        </w:tabs>
      </w:pPr>
      <w:r w:rsidRPr="00D77E41">
        <w:t>A</w:t>
      </w:r>
      <w:proofErr w:type="gramStart"/>
      <w:r>
        <w:t>.</w:t>
      </w:r>
      <w:r w:rsidRPr="00D77E41">
        <w:t xml:space="preserve"> </w:t>
      </w:r>
      <w:r>
        <w:tab/>
      </w:r>
      <w:r w:rsidRPr="00D77E41">
        <w:t>Data</w:t>
      </w:r>
      <w:proofErr w:type="gramEnd"/>
      <w:r w:rsidRPr="00D77E41">
        <w:t xml:space="preserve"> Analysis</w:t>
      </w:r>
    </w:p>
    <w:p w14:paraId="49417241" w14:textId="77777777" w:rsidR="009E3024" w:rsidRPr="00D77E41" w:rsidRDefault="009E3024" w:rsidP="009E3024">
      <w:r w:rsidRPr="00D77E41">
        <w:t xml:space="preserve">As required in the Instructions for the Indicator/Measurement, in its FFYs </w:t>
      </w:r>
      <w:r w:rsidR="00483791">
        <w:t>202</w:t>
      </w:r>
      <w:r w:rsidR="007137B3">
        <w:t>0</w:t>
      </w:r>
      <w:r w:rsidR="00483791" w:rsidRPr="00D77E4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w:t>
      </w:r>
      <w:proofErr w:type="spellStart"/>
      <w:r w:rsidRPr="00D77E41">
        <w:t>SiMR</w:t>
      </w:r>
      <w:proofErr w:type="spellEnd"/>
      <w:r w:rsidRPr="00D77E41">
        <w:t xml:space="preserve">. The State must report on whether the State met its target. In addition, the State may report on any additional data (e.g., progress monitoring data) that </w:t>
      </w:r>
      <w:proofErr w:type="gramStart"/>
      <w:r w:rsidRPr="00D77E41">
        <w:t>were</w:t>
      </w:r>
      <w:proofErr w:type="gramEnd"/>
      <w:r w:rsidRPr="00D77E41">
        <w:t xml:space="preserve"> collected and analyzed that would suggest progress toward the </w:t>
      </w:r>
      <w:proofErr w:type="spellStart"/>
      <w:r w:rsidRPr="00D77E41">
        <w:t>SiMR</w:t>
      </w:r>
      <w:proofErr w:type="spellEnd"/>
      <w:r w:rsidRPr="00D77E41">
        <w:t xml:space="preserve">. States using a subset of the population from the indicator (e.g., a sample, cohort model) should describe how data are collected and analyzed for the </w:t>
      </w:r>
      <w:proofErr w:type="spellStart"/>
      <w:r w:rsidRPr="00D77E41">
        <w:t>SiMR</w:t>
      </w:r>
      <w:proofErr w:type="spellEnd"/>
      <w:r w:rsidRPr="00D77E41">
        <w:t xml:space="preserve"> if that was not described in Phase I or Phase II of the SSIP.</w:t>
      </w:r>
    </w:p>
    <w:p w14:paraId="6EC90E56" w14:textId="77777777" w:rsidR="009E3024" w:rsidRPr="00D77E41" w:rsidRDefault="009E3024" w:rsidP="009E3024">
      <w:pPr>
        <w:tabs>
          <w:tab w:val="left" w:pos="360"/>
        </w:tabs>
      </w:pPr>
      <w:r w:rsidRPr="00D77E41">
        <w:t>B</w:t>
      </w:r>
      <w:proofErr w:type="gramStart"/>
      <w:r>
        <w:t>.</w:t>
      </w:r>
      <w:r w:rsidRPr="00D77E41">
        <w:t xml:space="preserve"> </w:t>
      </w:r>
      <w:r>
        <w:tab/>
      </w:r>
      <w:r w:rsidRPr="00D77E41">
        <w:t>Phase</w:t>
      </w:r>
      <w:proofErr w:type="gramEnd"/>
      <w:r w:rsidRPr="00D77E41">
        <w:t xml:space="preserve"> III Implementation, Analysis and Evaluation</w:t>
      </w:r>
    </w:p>
    <w:p w14:paraId="3237FA92" w14:textId="77777777" w:rsidR="009E3024" w:rsidRPr="00D77E41" w:rsidRDefault="009E3024" w:rsidP="009E3024">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rsidR="000550D9">
        <w:t>3</w:t>
      </w:r>
      <w:r w:rsidRPr="00D77E41">
        <w:t xml:space="preserve">, </w:t>
      </w:r>
      <w:r w:rsidR="00A54A87">
        <w:t>2025</w:t>
      </w:r>
      <w:r w:rsidRPr="00D77E41">
        <w:t xml:space="preserve">).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w:t>
      </w:r>
      <w:proofErr w:type="gramStart"/>
      <w:r w:rsidRPr="00D77E41">
        <w:t>support</w:t>
      </w:r>
      <w:proofErr w:type="gramEnd"/>
      <w:r w:rsidRPr="00D77E41">
        <w:t xml:space="preserve"> this decision.</w:t>
      </w:r>
    </w:p>
    <w:p w14:paraId="28947A4C" w14:textId="77777777"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D77E41">
        <w:t>SiMR</w:t>
      </w:r>
      <w:proofErr w:type="spellEnd"/>
      <w:r w:rsidRPr="00D77E41">
        <w:t xml:space="preserve">;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A54A87">
        <w:t>2024</w:t>
      </w:r>
      <w:r w:rsidR="00BC6E1E" w:rsidRPr="00D77E41">
        <w:t xml:space="preserve"> </w:t>
      </w:r>
      <w:r w:rsidRPr="00D77E41">
        <w:t xml:space="preserve">APR, report on anticipated outcomes to be obtained during FFY </w:t>
      </w:r>
      <w:r w:rsidR="00A54A87">
        <w:t>2025</w:t>
      </w:r>
      <w:r w:rsidRPr="00D77E41">
        <w:t xml:space="preserve">, i.e., July 1, </w:t>
      </w:r>
      <w:r w:rsidR="00A54A87">
        <w:t>2025</w:t>
      </w:r>
      <w:r w:rsidRPr="00D77E41">
        <w:t xml:space="preserve">-June 30, </w:t>
      </w:r>
      <w:r w:rsidR="00A54A87">
        <w:t>2026</w:t>
      </w:r>
      <w:r w:rsidRPr="00D77E41">
        <w:t>).</w:t>
      </w:r>
    </w:p>
    <w:p w14:paraId="6324857B" w14:textId="77777777" w:rsidR="009E3024" w:rsidRPr="00D77E41" w:rsidRDefault="009E3024" w:rsidP="009E3024">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D77E41">
        <w:t>SiMR</w:t>
      </w:r>
      <w:proofErr w:type="spellEnd"/>
      <w:r w:rsidRPr="00D77E41">
        <w:t xml:space="preserve"> by changing program/district policies, procedures, and/or practices, teacher/provider practices </w:t>
      </w:r>
      <w:bookmarkStart w:id="63" w:name="_Hlk109647955"/>
      <w:r w:rsidRPr="00D77E41">
        <w:t>(</w:t>
      </w:r>
      <w:r w:rsidR="00F37E58" w:rsidRPr="00D21F29">
        <w:rPr>
          <w:i/>
          <w:iCs/>
        </w:rPr>
        <w:t>e.</w:t>
      </w:r>
      <w:r w:rsidR="00B04149" w:rsidRPr="00D21F29">
        <w:rPr>
          <w:i/>
          <w:iCs/>
        </w:rPr>
        <w:t>g.</w:t>
      </w:r>
      <w:r w:rsidRPr="00D21F29">
        <w:rPr>
          <w:i/>
          <w:iCs/>
        </w:rPr>
        <w:t>,</w:t>
      </w:r>
      <w:r w:rsidRPr="00D77E41">
        <w:t xml:space="preserve"> behaviors), parent/caregiver outcomes, </w:t>
      </w:r>
      <w:r w:rsidRPr="00D77E41">
        <w:lastRenderedPageBreak/>
        <w:t>and/or child outcomes. Describe any additional data (</w:t>
      </w:r>
      <w:r w:rsidR="00B04149" w:rsidRPr="00D21F2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3"/>
    </w:p>
    <w:p w14:paraId="0B21B1A7" w14:textId="77777777" w:rsidR="009E3024" w:rsidRPr="00D77E41" w:rsidRDefault="009E3024" w:rsidP="009E3024">
      <w:pPr>
        <w:tabs>
          <w:tab w:val="left" w:pos="270"/>
        </w:tabs>
      </w:pPr>
      <w:r w:rsidRPr="00D77E41">
        <w:t>C</w:t>
      </w:r>
      <w:proofErr w:type="gramStart"/>
      <w:r>
        <w:t xml:space="preserve">. </w:t>
      </w:r>
      <w:r>
        <w:tab/>
      </w:r>
      <w:r w:rsidRPr="00D77E41">
        <w:t>Stakeholder</w:t>
      </w:r>
      <w:proofErr w:type="gramEnd"/>
      <w:r w:rsidRPr="00D77E41">
        <w:t xml:space="preserve"> Engagement</w:t>
      </w:r>
    </w:p>
    <w:p w14:paraId="26A911B6"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3F1935E1" w14:textId="77777777" w:rsidR="009E3024" w:rsidRPr="00D77E41" w:rsidRDefault="009E3024" w:rsidP="009E3024">
      <w:r w:rsidRPr="00D77E41">
        <w:t>Additional Implementation Activities</w:t>
      </w:r>
    </w:p>
    <w:p w14:paraId="4534CC82" w14:textId="77777777" w:rsidR="009E3024" w:rsidRDefault="009E3024" w:rsidP="009E3024">
      <w:r w:rsidRPr="00D77E41">
        <w:t xml:space="preserve">The State should identify any activities not already described that it intends to implement in the next fiscal year (e.g., for the </w:t>
      </w:r>
      <w:r>
        <w:t xml:space="preserve">FFY </w:t>
      </w:r>
      <w:r w:rsidR="00A54A87">
        <w:t>2024</w:t>
      </w:r>
      <w:r w:rsidR="00B7212B" w:rsidRPr="00D77E41">
        <w:t xml:space="preserve"> </w:t>
      </w:r>
      <w:r w:rsidRPr="00D77E41">
        <w:t xml:space="preserve">APR, report on activities it intends to implement in FFY </w:t>
      </w:r>
      <w:r w:rsidR="00A54A87">
        <w:t>2025</w:t>
      </w:r>
      <w:r w:rsidRPr="00D77E41">
        <w:t xml:space="preserve">, i.e., July 1, </w:t>
      </w:r>
      <w:r w:rsidR="00A54A87">
        <w:t>2025</w:t>
      </w:r>
      <w:r w:rsidRPr="00D77E41">
        <w:t xml:space="preserve">-June 30, </w:t>
      </w:r>
      <w:r w:rsidR="00A54A87">
        <w:t>2026</w:t>
      </w:r>
      <w:r w:rsidRPr="00D77E41">
        <w:t xml:space="preserve">) including a timeline, anticipated data collection and measures, and expected outcomes that are related to the </w:t>
      </w:r>
      <w:proofErr w:type="spellStart"/>
      <w:r w:rsidRPr="00D77E41">
        <w:t>SiMR</w:t>
      </w:r>
      <w:proofErr w:type="spellEnd"/>
      <w:r w:rsidRPr="00D77E41">
        <w:t>. The State should describe any newly identified barriers and include steps to address these barriers.</w:t>
      </w:r>
    </w:p>
    <w:bookmarkEnd w:id="61"/>
    <w:p w14:paraId="159673EA" w14:textId="77777777" w:rsidR="00F5460E" w:rsidRDefault="00F5460E" w:rsidP="00F5460E">
      <w:pPr>
        <w:pStyle w:val="Heading2"/>
      </w:pPr>
      <w:r w:rsidRPr="00A40EE1">
        <w:t>1</w:t>
      </w:r>
      <w:r>
        <w:t>1</w:t>
      </w:r>
      <w:r w:rsidRPr="00A40EE1">
        <w:t xml:space="preserve"> - </w:t>
      </w:r>
      <w:r w:rsidRPr="000A364E">
        <w:t>Indicator Data</w:t>
      </w:r>
    </w:p>
    <w:p w14:paraId="47E9A5EF" w14:textId="77777777" w:rsidR="00741E58" w:rsidRPr="00F85A5B" w:rsidRDefault="00741E58" w:rsidP="00741E58">
      <w:pPr>
        <w:rPr>
          <w:b/>
          <w:bCs/>
        </w:rPr>
      </w:pPr>
      <w:r w:rsidRPr="00F85A5B">
        <w:rPr>
          <w:b/>
          <w:bCs/>
        </w:rPr>
        <w:t>Section A: Data Analysis</w:t>
      </w:r>
    </w:p>
    <w:p w14:paraId="698F9811" w14:textId="77777777" w:rsidR="00F5460E" w:rsidRDefault="00741E58" w:rsidP="00741E58">
      <w:pPr>
        <w:rPr>
          <w:b/>
          <w:bCs/>
        </w:rPr>
      </w:pPr>
      <w:r w:rsidRPr="00F85A5B">
        <w:rPr>
          <w:b/>
          <w:bCs/>
        </w:rPr>
        <w:t>What is the State-identified Measurable Result (</w:t>
      </w:r>
      <w:proofErr w:type="spellStart"/>
      <w:r w:rsidRPr="00F85A5B">
        <w:rPr>
          <w:b/>
          <w:bCs/>
        </w:rPr>
        <w:t>SiMR</w:t>
      </w:r>
      <w:proofErr w:type="spellEnd"/>
      <w:r w:rsidRPr="00F85A5B">
        <w:rPr>
          <w:b/>
          <w:bCs/>
        </w:rPr>
        <w:t>)?</w:t>
      </w:r>
    </w:p>
    <w:p w14:paraId="44C9A0A3" w14:textId="77777777" w:rsidR="008517CB" w:rsidRPr="00F85A5B" w:rsidRDefault="008517CB" w:rsidP="00741E58">
      <w:pPr>
        <w:rPr>
          <w:color w:val="000000" w:themeColor="text1"/>
        </w:rPr>
      </w:pPr>
      <w:r w:rsidRPr="00ED172B">
        <w:rPr>
          <w:color w:val="000000" w:themeColor="text1"/>
        </w:rPr>
        <w:t>The State Identified Measurable Result (</w:t>
      </w:r>
      <w:proofErr w:type="spellStart"/>
      <w:r w:rsidRPr="00ED172B">
        <w:rPr>
          <w:color w:val="000000" w:themeColor="text1"/>
        </w:rPr>
        <w:t>SiMR</w:t>
      </w:r>
      <w:proofErr w:type="spellEnd"/>
      <w:r w:rsidRPr="00ED172B">
        <w:rPr>
          <w:color w:val="000000" w:themeColor="text1"/>
        </w:rPr>
        <w:t xml:space="preserve">) for infants, toddlers, and preschool children with disabilities and their families is to increase the rate of growth in social-emotional and approaches to learning skills for children with disabilities, birth through age five.  The </w:t>
      </w:r>
      <w:proofErr w:type="spellStart"/>
      <w:r w:rsidRPr="00ED172B">
        <w:rPr>
          <w:color w:val="000000" w:themeColor="text1"/>
        </w:rPr>
        <w:t>SiMR</w:t>
      </w:r>
      <w:proofErr w:type="spellEnd"/>
      <w:r w:rsidRPr="00ED172B">
        <w:rPr>
          <w:color w:val="000000" w:themeColor="text1"/>
        </w:rPr>
        <w:t xml:space="preserve"> will be measured by using the child outcome data for both C3 and B7, Outcomes A, B, C, Summary statement 1. </w:t>
      </w:r>
    </w:p>
    <w:p w14:paraId="06246C9A" w14:textId="77777777" w:rsidR="008517CB" w:rsidRDefault="008517CB" w:rsidP="008517CB">
      <w:pPr>
        <w:rPr>
          <w:b/>
          <w:bCs/>
        </w:rPr>
      </w:pPr>
      <w:r w:rsidRPr="008517CB">
        <w:rPr>
          <w:b/>
          <w:bCs/>
        </w:rPr>
        <w:t xml:space="preserve">Has the </w:t>
      </w:r>
      <w:proofErr w:type="spellStart"/>
      <w:r w:rsidRPr="008517CB">
        <w:rPr>
          <w:b/>
          <w:bCs/>
        </w:rPr>
        <w:t>SiMR</w:t>
      </w:r>
      <w:proofErr w:type="spellEnd"/>
      <w:r w:rsidRPr="008517CB">
        <w:rPr>
          <w:b/>
          <w:bCs/>
        </w:rPr>
        <w:t xml:space="preserve"> changed since the last SSIP submission? (yes/no)</w:t>
      </w:r>
    </w:p>
    <w:p w14:paraId="3E670C30" w14:textId="77777777" w:rsidR="001C46CD" w:rsidRPr="000123EB" w:rsidRDefault="001C46CD" w:rsidP="008517CB">
      <w:r w:rsidRPr="000123EB">
        <w:t>NO</w:t>
      </w:r>
    </w:p>
    <w:p w14:paraId="124B68C7" w14:textId="77777777" w:rsidR="00E46F5E" w:rsidRDefault="00E46F5E" w:rsidP="008517CB">
      <w:pPr>
        <w:rPr>
          <w:b/>
          <w:bCs/>
        </w:rPr>
      </w:pPr>
    </w:p>
    <w:p w14:paraId="71FF5DE0" w14:textId="77777777" w:rsidR="008517CB" w:rsidRDefault="008517CB" w:rsidP="008517CB">
      <w:pPr>
        <w:rPr>
          <w:b/>
          <w:bCs/>
        </w:rPr>
      </w:pPr>
      <w:bookmarkStart w:id="64" w:name="_Hlk109646818"/>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bookmarkEnd w:id="64"/>
    <w:p w14:paraId="6CC1546E" w14:textId="77777777" w:rsidR="00E46F5E" w:rsidRPr="000123EB" w:rsidRDefault="00E46F5E" w:rsidP="008517CB">
      <w:pPr>
        <w:rPr>
          <w:color w:val="000000" w:themeColor="text1"/>
        </w:rPr>
      </w:pPr>
      <w:r w:rsidRPr="000123EB">
        <w:rPr>
          <w:color w:val="000000" w:themeColor="text1"/>
        </w:rPr>
        <w:t>NO</w:t>
      </w:r>
    </w:p>
    <w:p w14:paraId="4FD0FC1E" w14:textId="77777777" w:rsidR="00E46F5E" w:rsidRPr="008517CB" w:rsidRDefault="00E46F5E" w:rsidP="008517CB">
      <w:pPr>
        <w:rPr>
          <w:b/>
          <w:bCs/>
        </w:rPr>
      </w:pPr>
    </w:p>
    <w:p w14:paraId="1F64E3FE" w14:textId="77777777" w:rsidR="00A5616C" w:rsidRDefault="00A5616C" w:rsidP="00A5616C">
      <w:pPr>
        <w:rPr>
          <w:b/>
          <w:bCs/>
        </w:rPr>
      </w:pPr>
      <w:bookmarkStart w:id="65" w:name="_Hlk109646832"/>
      <w:r w:rsidRPr="00A5616C">
        <w:rPr>
          <w:b/>
          <w:bCs/>
        </w:rPr>
        <w:t>Is the State’s theory of action new or revised since the previous submission? (yes/no)</w:t>
      </w:r>
    </w:p>
    <w:bookmarkEnd w:id="65"/>
    <w:p w14:paraId="7C8B399F" w14:textId="77777777" w:rsidR="00A5616C" w:rsidRPr="000123EB" w:rsidRDefault="00A5616C" w:rsidP="00A5616C">
      <w:r w:rsidRPr="000123EB">
        <w:t>YES</w:t>
      </w:r>
    </w:p>
    <w:p w14:paraId="042E8B5E" w14:textId="77777777" w:rsidR="00A5616C" w:rsidRPr="00A5616C" w:rsidRDefault="00ED2071" w:rsidP="00A5616C">
      <w:pPr>
        <w:rPr>
          <w:b/>
          <w:bCs/>
        </w:rPr>
      </w:pPr>
      <w:bookmarkStart w:id="66" w:name="_Hlk109646837"/>
      <w:r>
        <w:rPr>
          <w:b/>
          <w:bCs/>
        </w:rPr>
        <w:t>Please provide a description of the changes and updates to the theory of action.</w:t>
      </w:r>
    </w:p>
    <w:bookmarkEnd w:id="66"/>
    <w:p w14:paraId="08A53958" w14:textId="77777777" w:rsidR="00A5616C" w:rsidRDefault="00A5616C" w:rsidP="00A5616C">
      <w:r w:rsidRPr="005137B6">
        <w:t xml:space="preserve">The current theory of action was revised to reflect changes in the systemic approach and for clarity and conciseness.  </w:t>
      </w:r>
    </w:p>
    <w:p w14:paraId="45958E2E" w14:textId="77777777" w:rsidR="00305E79" w:rsidRPr="00305E79" w:rsidRDefault="00305E79" w:rsidP="00305E79">
      <w:pPr>
        <w:rPr>
          <w:rFonts w:cs="Arial"/>
          <w:b/>
          <w:bCs/>
          <w:szCs w:val="16"/>
        </w:rPr>
      </w:pPr>
      <w:r w:rsidRPr="0055373D">
        <w:rPr>
          <w:rFonts w:cs="Arial"/>
          <w:b/>
          <w:bCs/>
          <w:szCs w:val="16"/>
        </w:rPr>
        <w:t>Please provide a link to the current theory of action.</w:t>
      </w:r>
    </w:p>
    <w:p w14:paraId="157C50CE" w14:textId="77777777" w:rsidR="00305E79" w:rsidRPr="00F85A5B" w:rsidRDefault="00305E79" w:rsidP="00305E79">
      <w:r w:rsidRPr="00FD59F0">
        <w:t xml:space="preserve">The theory of action is posted here: https://www.oregon.gov/ode/reports-and-data/SpEdReports/Documents/2020%20APR-SPP/FY20%20Part%20C%20TOA.pdf.   </w:t>
      </w:r>
    </w:p>
    <w:p w14:paraId="5D34BD5C" w14:textId="77777777" w:rsidR="006A3544" w:rsidRDefault="006A3544" w:rsidP="008517CB">
      <w:pPr>
        <w:rPr>
          <w:b/>
          <w:bCs/>
        </w:rPr>
      </w:pPr>
    </w:p>
    <w:p w14:paraId="4B515A0C" w14:textId="77777777" w:rsidR="00A3455E" w:rsidRDefault="00A3455E" w:rsidP="00A3455E">
      <w:pPr>
        <w:pStyle w:val="Subhed"/>
      </w:pPr>
      <w:bookmarkStart w:id="67" w:name="_Hlk109646858"/>
      <w:r w:rsidRPr="000315F0">
        <w:t xml:space="preserve">Progress toward the </w:t>
      </w:r>
      <w:proofErr w:type="spellStart"/>
      <w:r w:rsidRPr="000315F0">
        <w:t>SiMR</w:t>
      </w:r>
      <w:proofErr w:type="spellEnd"/>
    </w:p>
    <w:p w14:paraId="0AF86038" w14:textId="77777777"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14:paraId="7590005C" w14:textId="77777777" w:rsidR="00A3455E" w:rsidRDefault="00A3455E" w:rsidP="00741E58">
      <w:pPr>
        <w:rPr>
          <w:b/>
          <w:bCs/>
        </w:rPr>
      </w:pPr>
      <w:r w:rsidRPr="00A3455E">
        <w:rPr>
          <w:b/>
          <w:bCs/>
        </w:rPr>
        <w:t>Select yes if the State uses two targets for measurement. (yes/no)</w:t>
      </w:r>
    </w:p>
    <w:bookmarkEnd w:id="67"/>
    <w:p w14:paraId="306AB638" w14:textId="77777777" w:rsidR="00C00467" w:rsidRPr="000123EB" w:rsidRDefault="00935B33" w:rsidP="00741E58">
      <w:r w:rsidRPr="000123EB">
        <w:t>YES</w:t>
      </w:r>
    </w:p>
    <w:p w14:paraId="08DD524C" w14:textId="77777777" w:rsidR="00DA5777" w:rsidRDefault="00DA5777" w:rsidP="00DA5777">
      <w:pPr>
        <w:rPr>
          <w:rFonts w:cs="Arial"/>
          <w:b/>
          <w:color w:val="000000" w:themeColor="text1"/>
          <w:szCs w:val="16"/>
        </w:rPr>
      </w:pPr>
      <w:r w:rsidRPr="00ED172B">
        <w:rPr>
          <w:rFonts w:cs="Arial"/>
          <w:b/>
          <w:color w:val="000000" w:themeColor="text1"/>
          <w:szCs w:val="16"/>
        </w:rPr>
        <w:t>Historical Data</w:t>
      </w:r>
    </w:p>
    <w:p w14:paraId="2DAAD9D2" w14:textId="77777777" w:rsidR="00DA5777" w:rsidRDefault="00DA5777" w:rsidP="00741E58"/>
    <w:tbl>
      <w:tblPr>
        <w:tblW w:w="2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11MTBASELINEDATA"/>
      </w:tblPr>
      <w:tblGrid>
        <w:gridCol w:w="1524"/>
        <w:gridCol w:w="2161"/>
        <w:gridCol w:w="2161"/>
      </w:tblGrid>
      <w:tr w:rsidR="00650588" w:rsidRPr="005C29F8" w14:paraId="643450F0" w14:textId="77777777" w:rsidTr="000F1FED">
        <w:trPr>
          <w:trHeight w:val="350"/>
          <w:tblHeader/>
        </w:trPr>
        <w:tc>
          <w:tcPr>
            <w:tcW w:w="1303" w:type="pct"/>
            <w:tcBorders>
              <w:top w:val="single" w:sz="4" w:space="0" w:color="auto"/>
              <w:left w:val="single" w:sz="4" w:space="0" w:color="auto"/>
              <w:bottom w:val="single" w:sz="4" w:space="0" w:color="auto"/>
              <w:right w:val="single" w:sz="4" w:space="0" w:color="auto"/>
            </w:tcBorders>
          </w:tcPr>
          <w:p w14:paraId="0E730736" w14:textId="77777777" w:rsidR="00650588" w:rsidRPr="005C29F8" w:rsidRDefault="00650588" w:rsidP="001B7654">
            <w:pPr>
              <w:spacing w:line="276" w:lineRule="auto"/>
              <w:jc w:val="center"/>
              <w:rPr>
                <w:rFonts w:cs="Arial"/>
                <w:b/>
                <w:color w:val="000000" w:themeColor="text1"/>
                <w:szCs w:val="16"/>
              </w:rPr>
            </w:pPr>
            <w:r>
              <w:rPr>
                <w:rFonts w:cs="Arial"/>
                <w:b/>
                <w:color w:val="000000" w:themeColor="text1"/>
                <w:szCs w:val="16"/>
              </w:rPr>
              <w:t>Part</w:t>
            </w:r>
          </w:p>
        </w:tc>
        <w:tc>
          <w:tcPr>
            <w:tcW w:w="1848" w:type="pct"/>
            <w:tcBorders>
              <w:top w:val="single" w:sz="4" w:space="0" w:color="auto"/>
              <w:left w:val="single" w:sz="4" w:space="0" w:color="auto"/>
              <w:bottom w:val="single" w:sz="4" w:space="0" w:color="auto"/>
              <w:right w:val="single" w:sz="4" w:space="0" w:color="auto"/>
            </w:tcBorders>
          </w:tcPr>
          <w:p w14:paraId="6DE865C0" w14:textId="77777777" w:rsidR="00650588" w:rsidRPr="005C29F8" w:rsidRDefault="00650588" w:rsidP="001B7654">
            <w:pPr>
              <w:spacing w:line="276" w:lineRule="auto"/>
              <w:jc w:val="center"/>
              <w:rPr>
                <w:rFonts w:cs="Arial"/>
                <w:b/>
                <w:color w:val="000000" w:themeColor="text1"/>
                <w:szCs w:val="16"/>
              </w:rPr>
            </w:pPr>
            <w:r w:rsidRPr="005C29F8">
              <w:rPr>
                <w:rFonts w:cs="Arial"/>
                <w:b/>
                <w:color w:val="000000" w:themeColor="text1"/>
                <w:szCs w:val="16"/>
              </w:rPr>
              <w:t>Baseline Year</w:t>
            </w:r>
          </w:p>
        </w:tc>
        <w:tc>
          <w:tcPr>
            <w:tcW w:w="1848" w:type="pct"/>
            <w:tcBorders>
              <w:top w:val="single" w:sz="4" w:space="0" w:color="auto"/>
              <w:left w:val="single" w:sz="4" w:space="0" w:color="auto"/>
              <w:bottom w:val="single" w:sz="4" w:space="0" w:color="auto"/>
              <w:right w:val="single" w:sz="4" w:space="0" w:color="auto"/>
            </w:tcBorders>
          </w:tcPr>
          <w:p w14:paraId="07946D5E" w14:textId="77777777" w:rsidR="00650588" w:rsidRPr="005C29F8" w:rsidRDefault="00650588" w:rsidP="001B7654">
            <w:pPr>
              <w:spacing w:line="276" w:lineRule="auto"/>
              <w:jc w:val="center"/>
              <w:rPr>
                <w:rFonts w:cs="Arial"/>
                <w:b/>
                <w:color w:val="000000" w:themeColor="text1"/>
                <w:szCs w:val="16"/>
              </w:rPr>
            </w:pPr>
            <w:r>
              <w:rPr>
                <w:rFonts w:cs="Arial"/>
                <w:b/>
                <w:color w:val="000000" w:themeColor="text1"/>
                <w:szCs w:val="16"/>
              </w:rPr>
              <w:t>Baseline Data</w:t>
            </w:r>
          </w:p>
        </w:tc>
      </w:tr>
      <w:tr w:rsidR="00650588" w:rsidRPr="005C29F8" w14:paraId="0A80A83E" w14:textId="77777777" w:rsidTr="00FE08AC">
        <w:trPr>
          <w:trHeight w:val="70"/>
        </w:trPr>
        <w:tc>
          <w:tcPr>
            <w:tcW w:w="1303" w:type="pct"/>
            <w:tcBorders>
              <w:top w:val="single" w:sz="4" w:space="0" w:color="auto"/>
              <w:left w:val="single" w:sz="4" w:space="0" w:color="auto"/>
              <w:right w:val="single" w:sz="4" w:space="0" w:color="auto"/>
            </w:tcBorders>
            <w:vAlign w:val="center"/>
          </w:tcPr>
          <w:p w14:paraId="46120451" w14:textId="77777777" w:rsidR="00650588" w:rsidRPr="005C29F8" w:rsidRDefault="00650588" w:rsidP="001B7654">
            <w:pPr>
              <w:spacing w:line="276" w:lineRule="auto"/>
              <w:jc w:val="center"/>
              <w:rPr>
                <w:rFonts w:cs="Arial"/>
                <w:color w:val="000000" w:themeColor="text1"/>
                <w:szCs w:val="16"/>
              </w:rPr>
            </w:pPr>
            <w:r w:rsidRPr="005C29F8">
              <w:rPr>
                <w:rFonts w:cs="Arial"/>
                <w:color w:val="000000" w:themeColor="text1"/>
                <w:szCs w:val="16"/>
              </w:rPr>
              <w:t>A</w:t>
            </w:r>
          </w:p>
        </w:tc>
        <w:tc>
          <w:tcPr>
            <w:tcW w:w="1848" w:type="pct"/>
            <w:tcBorders>
              <w:top w:val="single" w:sz="4" w:space="0" w:color="auto"/>
              <w:left w:val="single" w:sz="4" w:space="0" w:color="auto"/>
              <w:right w:val="single" w:sz="4" w:space="0" w:color="auto"/>
            </w:tcBorders>
            <w:vAlign w:val="center"/>
          </w:tcPr>
          <w:p w14:paraId="3C3C7E4E" w14:textId="77777777" w:rsidR="00650588" w:rsidRPr="005C29F8" w:rsidRDefault="00650588" w:rsidP="001B7654">
            <w:pPr>
              <w:jc w:val="center"/>
              <w:rPr>
                <w:rFonts w:cs="Arial"/>
                <w:color w:val="000000" w:themeColor="text1"/>
                <w:szCs w:val="16"/>
              </w:rPr>
            </w:pPr>
            <w:r w:rsidRPr="005C29F8">
              <w:rPr>
                <w:rFonts w:cs="Arial"/>
                <w:color w:val="000000" w:themeColor="text1"/>
                <w:szCs w:val="16"/>
              </w:rPr>
              <w:t>2015</w:t>
            </w:r>
          </w:p>
        </w:tc>
        <w:tc>
          <w:tcPr>
            <w:tcW w:w="1848" w:type="pct"/>
            <w:tcBorders>
              <w:top w:val="single" w:sz="4" w:space="0" w:color="auto"/>
              <w:left w:val="single" w:sz="4" w:space="0" w:color="auto"/>
              <w:right w:val="single" w:sz="4" w:space="0" w:color="auto"/>
            </w:tcBorders>
          </w:tcPr>
          <w:p w14:paraId="77C638DF" w14:textId="77777777" w:rsidR="00650588" w:rsidRPr="005C29F8" w:rsidRDefault="00650588" w:rsidP="001B7654">
            <w:pPr>
              <w:jc w:val="center"/>
              <w:rPr>
                <w:rFonts w:cs="Arial"/>
                <w:color w:val="000000" w:themeColor="text1"/>
                <w:szCs w:val="16"/>
              </w:rPr>
            </w:pPr>
            <w:r w:rsidRPr="005C29F8">
              <w:rPr>
                <w:rFonts w:cs="Arial"/>
                <w:color w:val="000000" w:themeColor="text1"/>
                <w:szCs w:val="16"/>
              </w:rPr>
              <w:t>81.54%</w:t>
            </w:r>
          </w:p>
        </w:tc>
      </w:tr>
      <w:tr w:rsidR="00650588" w:rsidRPr="005C29F8" w14:paraId="5D7C42F7" w14:textId="77777777" w:rsidTr="00FE08AC">
        <w:trPr>
          <w:trHeight w:val="357"/>
        </w:trPr>
        <w:tc>
          <w:tcPr>
            <w:tcW w:w="1303" w:type="pct"/>
            <w:tcBorders>
              <w:top w:val="single" w:sz="4" w:space="0" w:color="auto"/>
              <w:left w:val="single" w:sz="4" w:space="0" w:color="auto"/>
              <w:right w:val="single" w:sz="4" w:space="0" w:color="auto"/>
            </w:tcBorders>
            <w:vAlign w:val="center"/>
          </w:tcPr>
          <w:p w14:paraId="04C3154A" w14:textId="77777777" w:rsidR="00650588" w:rsidRPr="005C29F8" w:rsidRDefault="00650588" w:rsidP="001B7654">
            <w:pPr>
              <w:spacing w:line="276" w:lineRule="auto"/>
              <w:jc w:val="center"/>
              <w:rPr>
                <w:rFonts w:cs="Arial"/>
                <w:color w:val="000000" w:themeColor="text1"/>
                <w:szCs w:val="16"/>
              </w:rPr>
            </w:pPr>
            <w:r w:rsidRPr="005C29F8">
              <w:rPr>
                <w:rFonts w:cs="Arial"/>
                <w:color w:val="000000" w:themeColor="text1"/>
                <w:szCs w:val="16"/>
              </w:rPr>
              <w:t>B</w:t>
            </w:r>
          </w:p>
        </w:tc>
        <w:tc>
          <w:tcPr>
            <w:tcW w:w="1848" w:type="pct"/>
            <w:tcBorders>
              <w:top w:val="single" w:sz="4" w:space="0" w:color="auto"/>
              <w:left w:val="single" w:sz="4" w:space="0" w:color="auto"/>
              <w:right w:val="single" w:sz="4" w:space="0" w:color="auto"/>
            </w:tcBorders>
            <w:vAlign w:val="center"/>
          </w:tcPr>
          <w:p w14:paraId="4B14654A" w14:textId="77777777" w:rsidR="00650588" w:rsidRPr="005C29F8" w:rsidRDefault="00650588" w:rsidP="001B7654">
            <w:pPr>
              <w:jc w:val="center"/>
              <w:rPr>
                <w:rFonts w:cs="Arial"/>
                <w:color w:val="000000" w:themeColor="text1"/>
                <w:szCs w:val="16"/>
              </w:rPr>
            </w:pPr>
            <w:r w:rsidRPr="005C29F8">
              <w:rPr>
                <w:rFonts w:cs="Arial"/>
                <w:color w:val="000000" w:themeColor="text1"/>
                <w:szCs w:val="16"/>
              </w:rPr>
              <w:t>2015</w:t>
            </w:r>
          </w:p>
        </w:tc>
        <w:tc>
          <w:tcPr>
            <w:tcW w:w="1848" w:type="pct"/>
            <w:tcBorders>
              <w:top w:val="single" w:sz="4" w:space="0" w:color="auto"/>
              <w:left w:val="single" w:sz="4" w:space="0" w:color="auto"/>
              <w:right w:val="single" w:sz="4" w:space="0" w:color="auto"/>
            </w:tcBorders>
          </w:tcPr>
          <w:p w14:paraId="687EA491" w14:textId="77777777" w:rsidR="00650588" w:rsidRPr="005C29F8" w:rsidRDefault="00650588" w:rsidP="001B7654">
            <w:pPr>
              <w:jc w:val="center"/>
              <w:rPr>
                <w:rFonts w:cs="Arial"/>
                <w:color w:val="000000" w:themeColor="text1"/>
                <w:szCs w:val="16"/>
              </w:rPr>
            </w:pPr>
            <w:r w:rsidRPr="005C29F8">
              <w:rPr>
                <w:rFonts w:cs="Arial"/>
                <w:color w:val="000000" w:themeColor="text1"/>
                <w:szCs w:val="16"/>
              </w:rPr>
              <w:t>61.33%</w:t>
            </w:r>
          </w:p>
        </w:tc>
      </w:tr>
    </w:tbl>
    <w:p w14:paraId="0321D3FA" w14:textId="77777777" w:rsidR="00743680" w:rsidRDefault="00743680" w:rsidP="00572D50">
      <w:pPr>
        <w:rPr>
          <w:b/>
          <w:color w:val="000000" w:themeColor="text1"/>
        </w:rPr>
      </w:pPr>
    </w:p>
    <w:p w14:paraId="43CDD3EB" w14:textId="77777777" w:rsidR="00D4643F" w:rsidRPr="005C29F8" w:rsidRDefault="00D4643F" w:rsidP="00D4643F">
      <w:pPr>
        <w:rPr>
          <w:color w:val="000000" w:themeColor="text1"/>
        </w:rPr>
      </w:pPr>
      <w:r w:rsidRPr="005C29F8">
        <w:rPr>
          <w:b/>
          <w:color w:val="000000" w:themeColor="text1"/>
        </w:rPr>
        <w:t>Targets</w:t>
      </w:r>
    </w:p>
    <w:tbl>
      <w:tblPr>
        <w:tblW w:w="26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MTTARGETS"/>
      </w:tblPr>
      <w:tblGrid>
        <w:gridCol w:w="674"/>
        <w:gridCol w:w="1691"/>
        <w:gridCol w:w="1691"/>
        <w:gridCol w:w="1691"/>
      </w:tblGrid>
      <w:tr w:rsidR="00061B0D" w:rsidRPr="005C29F8" w14:paraId="30C1DC6A" w14:textId="77777777" w:rsidTr="00061B0D">
        <w:trPr>
          <w:trHeight w:val="264"/>
        </w:trPr>
        <w:tc>
          <w:tcPr>
            <w:tcW w:w="586" w:type="pct"/>
            <w:tcBorders>
              <w:bottom w:val="single" w:sz="4" w:space="0" w:color="auto"/>
            </w:tcBorders>
          </w:tcPr>
          <w:p w14:paraId="4A47BDC2" w14:textId="77777777" w:rsidR="00061B0D" w:rsidRPr="005C29F8" w:rsidRDefault="00061B0D" w:rsidP="001B7654">
            <w:pPr>
              <w:jc w:val="center"/>
              <w:rPr>
                <w:b/>
                <w:color w:val="000000" w:themeColor="text1"/>
              </w:rPr>
            </w:pPr>
            <w:r w:rsidRPr="005C29F8">
              <w:rPr>
                <w:b/>
                <w:color w:val="000000" w:themeColor="text1"/>
              </w:rPr>
              <w:t>FFY</w:t>
            </w:r>
          </w:p>
        </w:tc>
        <w:tc>
          <w:tcPr>
            <w:tcW w:w="1471" w:type="pct"/>
          </w:tcPr>
          <w:p w14:paraId="3D478EB9" w14:textId="77777777" w:rsidR="00061B0D" w:rsidRPr="005C29F8" w:rsidRDefault="00061B0D" w:rsidP="001B7654">
            <w:pPr>
              <w:jc w:val="center"/>
              <w:rPr>
                <w:b/>
                <w:color w:val="000000" w:themeColor="text1"/>
              </w:rPr>
            </w:pPr>
            <w:r w:rsidRPr="00B67020">
              <w:rPr>
                <w:b/>
                <w:color w:val="000000" w:themeColor="text1"/>
              </w:rPr>
              <w:t>Current Relationship</w:t>
            </w:r>
          </w:p>
        </w:tc>
        <w:tc>
          <w:tcPr>
            <w:tcW w:w="1471" w:type="pct"/>
          </w:tcPr>
          <w:p w14:paraId="7D3B217A" w14:textId="77777777" w:rsidR="00061B0D" w:rsidRPr="005C29F8" w:rsidRDefault="00061B0D" w:rsidP="001B7654">
            <w:pPr>
              <w:jc w:val="center"/>
              <w:rPr>
                <w:b/>
                <w:color w:val="000000" w:themeColor="text1"/>
              </w:rPr>
            </w:pPr>
            <w:r w:rsidRPr="005C29F8">
              <w:rPr>
                <w:b/>
                <w:color w:val="000000" w:themeColor="text1"/>
              </w:rPr>
              <w:t>2024</w:t>
            </w:r>
          </w:p>
        </w:tc>
        <w:tc>
          <w:tcPr>
            <w:tcW w:w="1471" w:type="pct"/>
          </w:tcPr>
          <w:p w14:paraId="60803017" w14:textId="77777777" w:rsidR="00061B0D" w:rsidRPr="005C29F8" w:rsidRDefault="00061B0D" w:rsidP="001B7654">
            <w:pPr>
              <w:jc w:val="center"/>
              <w:rPr>
                <w:b/>
                <w:color w:val="000000" w:themeColor="text1"/>
              </w:rPr>
            </w:pPr>
            <w:r>
              <w:rPr>
                <w:rFonts w:cs="Arial"/>
                <w:b/>
                <w:color w:val="000000" w:themeColor="text1"/>
                <w:szCs w:val="16"/>
              </w:rPr>
              <w:t>2025</w:t>
            </w:r>
          </w:p>
        </w:tc>
      </w:tr>
      <w:tr w:rsidR="00061B0D" w:rsidRPr="005C29F8" w14:paraId="7EAC490F" w14:textId="77777777" w:rsidTr="00061B0D">
        <w:trPr>
          <w:trHeight w:val="270"/>
        </w:trPr>
        <w:tc>
          <w:tcPr>
            <w:tcW w:w="586" w:type="pct"/>
            <w:vAlign w:val="center"/>
          </w:tcPr>
          <w:p w14:paraId="1831A43B" w14:textId="77777777" w:rsidR="00061B0D" w:rsidRPr="005C29F8" w:rsidRDefault="00061B0D" w:rsidP="00D21F29">
            <w:pPr>
              <w:jc w:val="center"/>
              <w:rPr>
                <w:rFonts w:cs="Arial"/>
                <w:color w:val="000000" w:themeColor="text1"/>
                <w:szCs w:val="16"/>
              </w:rPr>
            </w:pPr>
            <w:r w:rsidRPr="005C29F8">
              <w:rPr>
                <w:rFonts w:cs="Arial"/>
                <w:color w:val="000000" w:themeColor="text1"/>
                <w:szCs w:val="16"/>
              </w:rPr>
              <w:t>Target A</w:t>
            </w:r>
          </w:p>
        </w:tc>
        <w:tc>
          <w:tcPr>
            <w:tcW w:w="1471" w:type="pct"/>
          </w:tcPr>
          <w:p w14:paraId="4376171E" w14:textId="77777777" w:rsidR="00061B0D" w:rsidRPr="005C29F8" w:rsidRDefault="00061B0D" w:rsidP="001B7654">
            <w:pPr>
              <w:jc w:val="center"/>
              <w:rPr>
                <w:rFonts w:cs="Arial"/>
                <w:color w:val="000000" w:themeColor="text1"/>
                <w:szCs w:val="16"/>
              </w:rPr>
            </w:pPr>
            <w:r w:rsidRPr="00B67020">
              <w:rPr>
                <w:rFonts w:cs="Arial"/>
                <w:color w:val="000000" w:themeColor="text1"/>
                <w:szCs w:val="16"/>
              </w:rPr>
              <w:t>Data must be greater than or equal to the target</w:t>
            </w:r>
          </w:p>
        </w:tc>
        <w:tc>
          <w:tcPr>
            <w:tcW w:w="1471" w:type="pct"/>
            <w:vAlign w:val="center"/>
          </w:tcPr>
          <w:p w14:paraId="2461AFC5" w14:textId="77777777" w:rsidR="00061B0D" w:rsidRPr="005C29F8" w:rsidRDefault="00061B0D" w:rsidP="001B7654">
            <w:pPr>
              <w:jc w:val="center"/>
              <w:rPr>
                <w:rFonts w:cs="Arial"/>
                <w:color w:val="000000" w:themeColor="text1"/>
                <w:szCs w:val="16"/>
              </w:rPr>
            </w:pPr>
            <w:r w:rsidRPr="005C29F8">
              <w:rPr>
                <w:rFonts w:cs="Arial"/>
                <w:color w:val="000000" w:themeColor="text1"/>
                <w:szCs w:val="16"/>
              </w:rPr>
              <w:t>86.20%</w:t>
            </w:r>
          </w:p>
        </w:tc>
        <w:tc>
          <w:tcPr>
            <w:tcW w:w="1471" w:type="pct"/>
          </w:tcPr>
          <w:p w14:paraId="52A0D22F" w14:textId="77777777" w:rsidR="00061B0D" w:rsidRPr="005C29F8" w:rsidRDefault="00061B0D" w:rsidP="001B7654">
            <w:pPr>
              <w:jc w:val="center"/>
              <w:rPr>
                <w:rFonts w:cs="Arial"/>
                <w:color w:val="000000" w:themeColor="text1"/>
                <w:szCs w:val="16"/>
              </w:rPr>
            </w:pPr>
            <w:r>
              <w:rPr>
                <w:color w:val="000000" w:themeColor="text1"/>
                <w:szCs w:val="16"/>
              </w:rPr>
              <w:t>86.40%</w:t>
            </w:r>
          </w:p>
        </w:tc>
      </w:tr>
      <w:tr w:rsidR="00061B0D" w:rsidRPr="005C29F8" w14:paraId="18F8C244" w14:textId="77777777" w:rsidTr="00061B0D">
        <w:trPr>
          <w:trHeight w:val="270"/>
        </w:trPr>
        <w:tc>
          <w:tcPr>
            <w:tcW w:w="586" w:type="pct"/>
            <w:vAlign w:val="center"/>
          </w:tcPr>
          <w:p w14:paraId="327BCB8C" w14:textId="77777777" w:rsidR="00061B0D" w:rsidRPr="005C29F8" w:rsidRDefault="00061B0D" w:rsidP="00D21F29">
            <w:pPr>
              <w:jc w:val="center"/>
              <w:rPr>
                <w:rFonts w:cs="Arial"/>
                <w:color w:val="000000" w:themeColor="text1"/>
                <w:szCs w:val="16"/>
              </w:rPr>
            </w:pPr>
            <w:r w:rsidRPr="005C29F8">
              <w:rPr>
                <w:rFonts w:cs="Arial"/>
                <w:color w:val="000000" w:themeColor="text1"/>
                <w:szCs w:val="16"/>
              </w:rPr>
              <w:t>Target B</w:t>
            </w:r>
          </w:p>
        </w:tc>
        <w:tc>
          <w:tcPr>
            <w:tcW w:w="1471" w:type="pct"/>
          </w:tcPr>
          <w:p w14:paraId="523C8084" w14:textId="77777777" w:rsidR="00061B0D" w:rsidRPr="005C29F8" w:rsidRDefault="00061B0D" w:rsidP="00EB1354">
            <w:pPr>
              <w:jc w:val="center"/>
              <w:rPr>
                <w:rFonts w:cs="Arial"/>
                <w:color w:val="000000" w:themeColor="text1"/>
                <w:szCs w:val="16"/>
              </w:rPr>
            </w:pPr>
            <w:r w:rsidRPr="00B67020">
              <w:rPr>
                <w:rFonts w:cs="Arial"/>
                <w:color w:val="000000" w:themeColor="text1"/>
                <w:szCs w:val="16"/>
              </w:rPr>
              <w:t>Data must be greater than or equal to the target</w:t>
            </w:r>
          </w:p>
        </w:tc>
        <w:tc>
          <w:tcPr>
            <w:tcW w:w="1471" w:type="pct"/>
            <w:vAlign w:val="center"/>
          </w:tcPr>
          <w:p w14:paraId="761B2CCE" w14:textId="77777777" w:rsidR="00061B0D" w:rsidRPr="005C29F8" w:rsidRDefault="00061B0D" w:rsidP="00EB1354">
            <w:pPr>
              <w:jc w:val="center"/>
              <w:rPr>
                <w:rFonts w:cs="Arial"/>
                <w:color w:val="000000" w:themeColor="text1"/>
                <w:szCs w:val="16"/>
              </w:rPr>
            </w:pPr>
            <w:r w:rsidRPr="005C29F8">
              <w:rPr>
                <w:rFonts w:cs="Arial"/>
                <w:color w:val="000000" w:themeColor="text1"/>
                <w:szCs w:val="16"/>
              </w:rPr>
              <w:t>68.50%</w:t>
            </w:r>
          </w:p>
        </w:tc>
        <w:tc>
          <w:tcPr>
            <w:tcW w:w="1471" w:type="pct"/>
          </w:tcPr>
          <w:p w14:paraId="0B92C769" w14:textId="77777777" w:rsidR="00061B0D" w:rsidRDefault="00061B0D" w:rsidP="00EB1354">
            <w:pPr>
              <w:jc w:val="center"/>
              <w:rPr>
                <w:color w:val="000000" w:themeColor="text1"/>
                <w:szCs w:val="16"/>
              </w:rPr>
            </w:pPr>
            <w:r>
              <w:rPr>
                <w:color w:val="000000" w:themeColor="text1"/>
                <w:szCs w:val="16"/>
              </w:rPr>
              <w:t>68.70%</w:t>
            </w:r>
          </w:p>
        </w:tc>
      </w:tr>
    </w:tbl>
    <w:p w14:paraId="1A416A3F" w14:textId="77777777" w:rsidR="00D4643F" w:rsidRDefault="00D4643F" w:rsidP="00741E58"/>
    <w:p w14:paraId="5A95A78F" w14:textId="77777777" w:rsidR="005630B4" w:rsidRPr="005C29F8" w:rsidRDefault="005630B4" w:rsidP="005630B4">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MTFFYAPRDATA"/>
      </w:tblPr>
      <w:tblGrid>
        <w:gridCol w:w="715"/>
        <w:gridCol w:w="1800"/>
        <w:gridCol w:w="1800"/>
        <w:gridCol w:w="1295"/>
        <w:gridCol w:w="1295"/>
        <w:gridCol w:w="1295"/>
        <w:gridCol w:w="1295"/>
        <w:gridCol w:w="1295"/>
      </w:tblGrid>
      <w:tr w:rsidR="0047666D" w:rsidRPr="005C29F8" w14:paraId="22738FB2" w14:textId="77777777" w:rsidTr="009C4033">
        <w:trPr>
          <w:trHeight w:val="440"/>
        </w:trPr>
        <w:tc>
          <w:tcPr>
            <w:tcW w:w="331" w:type="pct"/>
            <w:vAlign w:val="bottom"/>
          </w:tcPr>
          <w:p w14:paraId="3A4A0D63" w14:textId="77777777" w:rsidR="00134C0C" w:rsidRPr="005C29F8" w:rsidRDefault="005630B4" w:rsidP="001B7654">
            <w:pPr>
              <w:jc w:val="center"/>
              <w:rPr>
                <w:b/>
                <w:color w:val="000000" w:themeColor="text1"/>
              </w:rPr>
            </w:pPr>
            <w:r>
              <w:rPr>
                <w:b/>
                <w:color w:val="000000" w:themeColor="text1"/>
              </w:rPr>
              <w:t>Part</w:t>
            </w:r>
          </w:p>
        </w:tc>
        <w:tc>
          <w:tcPr>
            <w:tcW w:w="834" w:type="pct"/>
            <w:vAlign w:val="bottom"/>
          </w:tcPr>
          <w:p w14:paraId="45F07325" w14:textId="77777777" w:rsidR="00134C0C" w:rsidRPr="005C29F8" w:rsidRDefault="0070373C" w:rsidP="001B7654">
            <w:pPr>
              <w:jc w:val="center"/>
              <w:rPr>
                <w:b/>
                <w:color w:val="000000" w:themeColor="text1"/>
              </w:rPr>
            </w:pPr>
            <w:r w:rsidRPr="005C29F8">
              <w:rPr>
                <w:rFonts w:cs="Arial"/>
                <w:color w:val="000000" w:themeColor="text1"/>
                <w:szCs w:val="16"/>
              </w:rPr>
              <w:t>Numerator</w:t>
            </w:r>
          </w:p>
        </w:tc>
        <w:tc>
          <w:tcPr>
            <w:tcW w:w="834" w:type="pct"/>
            <w:vAlign w:val="bottom"/>
          </w:tcPr>
          <w:p w14:paraId="347E26A9" w14:textId="77777777" w:rsidR="00134C0C" w:rsidRPr="005C29F8" w:rsidRDefault="0070373C" w:rsidP="001B7654">
            <w:pPr>
              <w:jc w:val="center"/>
              <w:rPr>
                <w:b/>
                <w:color w:val="000000" w:themeColor="text1"/>
              </w:rPr>
            </w:pPr>
            <w:r w:rsidRPr="005C29F8">
              <w:rPr>
                <w:rFonts w:cs="Arial"/>
                <w:color w:val="000000" w:themeColor="text1"/>
                <w:szCs w:val="16"/>
              </w:rPr>
              <w:t>Denominator</w:t>
            </w:r>
          </w:p>
        </w:tc>
        <w:tc>
          <w:tcPr>
            <w:tcW w:w="600" w:type="pct"/>
            <w:vAlign w:val="bottom"/>
          </w:tcPr>
          <w:p w14:paraId="669E0187" w14:textId="77777777" w:rsidR="00134C0C" w:rsidRPr="005C29F8" w:rsidRDefault="00134C0C" w:rsidP="001B7654">
            <w:pPr>
              <w:jc w:val="center"/>
              <w:rPr>
                <w:b/>
                <w:color w:val="000000" w:themeColor="text1"/>
              </w:rPr>
            </w:pPr>
            <w:r>
              <w:rPr>
                <w:b/>
                <w:color w:val="000000" w:themeColor="text1"/>
              </w:rPr>
              <w:t>FFY 2023 Data</w:t>
            </w:r>
          </w:p>
        </w:tc>
        <w:tc>
          <w:tcPr>
            <w:tcW w:w="600" w:type="pct"/>
            <w:vAlign w:val="bottom"/>
          </w:tcPr>
          <w:p w14:paraId="56AD739B" w14:textId="77777777" w:rsidR="00134C0C" w:rsidRPr="005C29F8" w:rsidRDefault="00134C0C" w:rsidP="001B7654">
            <w:pPr>
              <w:jc w:val="center"/>
              <w:rPr>
                <w:b/>
                <w:color w:val="000000" w:themeColor="text1"/>
              </w:rPr>
            </w:pPr>
            <w:r>
              <w:rPr>
                <w:b/>
                <w:color w:val="000000" w:themeColor="text1"/>
              </w:rPr>
              <w:t>FFY 2024 Target</w:t>
            </w:r>
          </w:p>
        </w:tc>
        <w:tc>
          <w:tcPr>
            <w:tcW w:w="600" w:type="pct"/>
            <w:vAlign w:val="bottom"/>
          </w:tcPr>
          <w:p w14:paraId="5738D9CC" w14:textId="77777777" w:rsidR="00134C0C" w:rsidRPr="005C29F8" w:rsidRDefault="00134C0C" w:rsidP="001B7654">
            <w:pPr>
              <w:jc w:val="center"/>
              <w:rPr>
                <w:b/>
                <w:color w:val="000000" w:themeColor="text1"/>
              </w:rPr>
            </w:pPr>
            <w:r>
              <w:rPr>
                <w:b/>
                <w:color w:val="000000" w:themeColor="text1"/>
              </w:rPr>
              <w:t>FFY 2024 Data</w:t>
            </w:r>
          </w:p>
        </w:tc>
        <w:tc>
          <w:tcPr>
            <w:tcW w:w="600" w:type="pct"/>
            <w:vAlign w:val="bottom"/>
          </w:tcPr>
          <w:p w14:paraId="3B0854CE" w14:textId="77777777" w:rsidR="00134C0C" w:rsidRPr="005C29F8" w:rsidRDefault="00134C0C" w:rsidP="001B7654">
            <w:pPr>
              <w:jc w:val="center"/>
              <w:rPr>
                <w:b/>
                <w:color w:val="000000" w:themeColor="text1"/>
              </w:rPr>
            </w:pPr>
            <w:r w:rsidRPr="005C29F8">
              <w:rPr>
                <w:b/>
                <w:color w:val="000000" w:themeColor="text1"/>
              </w:rPr>
              <w:t>Status</w:t>
            </w:r>
          </w:p>
        </w:tc>
        <w:tc>
          <w:tcPr>
            <w:tcW w:w="600" w:type="pct"/>
            <w:vAlign w:val="bottom"/>
          </w:tcPr>
          <w:p w14:paraId="49AA39AD" w14:textId="77777777" w:rsidR="00134C0C" w:rsidRPr="005C29F8" w:rsidRDefault="00134C0C" w:rsidP="001B7654">
            <w:pPr>
              <w:jc w:val="center"/>
              <w:rPr>
                <w:b/>
                <w:color w:val="000000" w:themeColor="text1"/>
              </w:rPr>
            </w:pPr>
            <w:r w:rsidRPr="005C29F8">
              <w:rPr>
                <w:b/>
                <w:color w:val="000000" w:themeColor="text1"/>
              </w:rPr>
              <w:t>Slippage</w:t>
            </w:r>
          </w:p>
        </w:tc>
      </w:tr>
      <w:tr w:rsidR="0047666D" w:rsidRPr="005C29F8" w14:paraId="400CCCC0" w14:textId="77777777" w:rsidTr="00FE08AC">
        <w:trPr>
          <w:trHeight w:val="361"/>
        </w:trPr>
        <w:tc>
          <w:tcPr>
            <w:tcW w:w="331" w:type="pct"/>
            <w:vAlign w:val="center"/>
          </w:tcPr>
          <w:p w14:paraId="465C5E14" w14:textId="77777777" w:rsidR="00134C0C" w:rsidRPr="005C29F8" w:rsidRDefault="005630B4" w:rsidP="00F85A5B">
            <w:pPr>
              <w:jc w:val="center"/>
              <w:rPr>
                <w:rFonts w:cs="Arial"/>
                <w:color w:val="000000" w:themeColor="text1"/>
                <w:szCs w:val="16"/>
              </w:rPr>
            </w:pPr>
            <w:r>
              <w:rPr>
                <w:rFonts w:cs="Arial"/>
                <w:color w:val="000000" w:themeColor="text1"/>
                <w:szCs w:val="16"/>
              </w:rPr>
              <w:t>A</w:t>
            </w:r>
          </w:p>
        </w:tc>
        <w:tc>
          <w:tcPr>
            <w:tcW w:w="834" w:type="pct"/>
            <w:vAlign w:val="center"/>
          </w:tcPr>
          <w:p w14:paraId="60920ADE" w14:textId="77777777" w:rsidR="00134C0C" w:rsidRPr="005C29F8" w:rsidRDefault="00134C0C" w:rsidP="001B7654">
            <w:pPr>
              <w:jc w:val="center"/>
              <w:rPr>
                <w:rFonts w:cs="Arial"/>
                <w:color w:val="000000" w:themeColor="text1"/>
                <w:szCs w:val="16"/>
              </w:rPr>
            </w:pPr>
            <w:r w:rsidRPr="005C29F8">
              <w:rPr>
                <w:rFonts w:cs="Arial"/>
                <w:color w:val="000000" w:themeColor="text1"/>
                <w:szCs w:val="16"/>
              </w:rPr>
              <w:t>2,223</w:t>
            </w:r>
          </w:p>
        </w:tc>
        <w:tc>
          <w:tcPr>
            <w:tcW w:w="834" w:type="pct"/>
            <w:vAlign w:val="center"/>
          </w:tcPr>
          <w:p w14:paraId="5DB7CC2D" w14:textId="77777777" w:rsidR="00134C0C" w:rsidRPr="005C29F8" w:rsidRDefault="005630B4" w:rsidP="001B7654">
            <w:pPr>
              <w:jc w:val="center"/>
              <w:rPr>
                <w:rFonts w:cs="Arial"/>
                <w:color w:val="000000" w:themeColor="text1"/>
                <w:szCs w:val="16"/>
              </w:rPr>
            </w:pPr>
            <w:r w:rsidRPr="005C29F8">
              <w:rPr>
                <w:rFonts w:cs="Arial"/>
                <w:color w:val="000000" w:themeColor="text1"/>
                <w:szCs w:val="16"/>
              </w:rPr>
              <w:t>2,556</w:t>
            </w:r>
          </w:p>
        </w:tc>
        <w:tc>
          <w:tcPr>
            <w:tcW w:w="600" w:type="pct"/>
            <w:vAlign w:val="center"/>
          </w:tcPr>
          <w:p w14:paraId="6F20B8E8" w14:textId="77777777" w:rsidR="00134C0C" w:rsidRPr="005C29F8" w:rsidRDefault="00134C0C" w:rsidP="001B7654">
            <w:pPr>
              <w:jc w:val="center"/>
              <w:rPr>
                <w:rFonts w:cs="Arial"/>
                <w:color w:val="000000" w:themeColor="text1"/>
                <w:szCs w:val="16"/>
              </w:rPr>
            </w:pPr>
            <w:r w:rsidRPr="005C29F8">
              <w:rPr>
                <w:rFonts w:cs="Arial"/>
                <w:color w:val="000000" w:themeColor="text1"/>
                <w:szCs w:val="16"/>
              </w:rPr>
              <w:t>85.89%</w:t>
            </w:r>
          </w:p>
        </w:tc>
        <w:tc>
          <w:tcPr>
            <w:tcW w:w="600" w:type="pct"/>
            <w:vAlign w:val="center"/>
          </w:tcPr>
          <w:p w14:paraId="55627EF6" w14:textId="77777777" w:rsidR="00134C0C" w:rsidRPr="005C29F8" w:rsidRDefault="00134C0C" w:rsidP="001B7654">
            <w:pPr>
              <w:jc w:val="center"/>
              <w:rPr>
                <w:rFonts w:cs="Arial"/>
                <w:color w:val="000000" w:themeColor="text1"/>
                <w:szCs w:val="16"/>
              </w:rPr>
            </w:pPr>
            <w:r w:rsidRPr="005C29F8">
              <w:rPr>
                <w:rFonts w:cs="Arial"/>
                <w:color w:val="000000" w:themeColor="text1"/>
                <w:szCs w:val="16"/>
              </w:rPr>
              <w:t>86.20%</w:t>
            </w:r>
          </w:p>
        </w:tc>
        <w:tc>
          <w:tcPr>
            <w:tcW w:w="600" w:type="pct"/>
            <w:vAlign w:val="center"/>
          </w:tcPr>
          <w:p w14:paraId="3EAD85C0" w14:textId="77777777" w:rsidR="00134C0C" w:rsidRPr="005C29F8" w:rsidRDefault="00134C0C" w:rsidP="001B7654">
            <w:pPr>
              <w:jc w:val="center"/>
              <w:rPr>
                <w:rFonts w:cs="Arial"/>
                <w:color w:val="000000" w:themeColor="text1"/>
                <w:szCs w:val="16"/>
              </w:rPr>
            </w:pPr>
            <w:r w:rsidRPr="005C29F8">
              <w:rPr>
                <w:rFonts w:cs="Arial"/>
                <w:color w:val="000000" w:themeColor="text1"/>
                <w:szCs w:val="16"/>
              </w:rPr>
              <w:t>86.97%</w:t>
            </w:r>
          </w:p>
        </w:tc>
        <w:tc>
          <w:tcPr>
            <w:tcW w:w="600" w:type="pct"/>
            <w:vAlign w:val="center"/>
          </w:tcPr>
          <w:p w14:paraId="21F0DD2F" w14:textId="77777777" w:rsidR="00134C0C" w:rsidRPr="005C29F8" w:rsidRDefault="00134C0C" w:rsidP="001B7654">
            <w:pPr>
              <w:jc w:val="center"/>
              <w:rPr>
                <w:rFonts w:cs="Arial"/>
                <w:color w:val="000000" w:themeColor="text1"/>
                <w:szCs w:val="16"/>
              </w:rPr>
            </w:pPr>
            <w:r w:rsidRPr="005C29F8">
              <w:rPr>
                <w:rFonts w:cs="Arial"/>
                <w:color w:val="000000" w:themeColor="text1"/>
                <w:szCs w:val="16"/>
              </w:rPr>
              <w:t>Met target</w:t>
            </w:r>
          </w:p>
        </w:tc>
        <w:tc>
          <w:tcPr>
            <w:tcW w:w="600" w:type="pct"/>
            <w:vAlign w:val="center"/>
          </w:tcPr>
          <w:p w14:paraId="30622406" w14:textId="77777777" w:rsidR="00134C0C" w:rsidRPr="005C29F8" w:rsidRDefault="00134C0C" w:rsidP="001B7654">
            <w:pPr>
              <w:jc w:val="center"/>
              <w:rPr>
                <w:rFonts w:cs="Arial"/>
                <w:color w:val="000000" w:themeColor="text1"/>
                <w:szCs w:val="16"/>
              </w:rPr>
            </w:pPr>
            <w:r w:rsidRPr="005C29F8">
              <w:rPr>
                <w:rFonts w:cs="Arial"/>
                <w:color w:val="000000" w:themeColor="text1"/>
                <w:szCs w:val="16"/>
              </w:rPr>
              <w:t>No Slippage</w:t>
            </w:r>
          </w:p>
        </w:tc>
      </w:tr>
      <w:tr w:rsidR="00BF7CAB" w:rsidRPr="005C29F8" w14:paraId="38F35927" w14:textId="77777777" w:rsidTr="00FE08AC">
        <w:trPr>
          <w:trHeight w:val="361"/>
        </w:trPr>
        <w:tc>
          <w:tcPr>
            <w:tcW w:w="331" w:type="pct"/>
            <w:vAlign w:val="center"/>
          </w:tcPr>
          <w:p w14:paraId="4617C208" w14:textId="77777777" w:rsidR="00BF7CAB" w:rsidRDefault="00BF7CAB" w:rsidP="00BF7CAB">
            <w:pPr>
              <w:jc w:val="center"/>
              <w:rPr>
                <w:rFonts w:cs="Arial"/>
                <w:color w:val="000000" w:themeColor="text1"/>
                <w:szCs w:val="16"/>
              </w:rPr>
            </w:pPr>
            <w:r>
              <w:rPr>
                <w:rFonts w:cs="Arial"/>
                <w:color w:val="000000" w:themeColor="text1"/>
                <w:szCs w:val="16"/>
              </w:rPr>
              <w:t>B</w:t>
            </w:r>
          </w:p>
        </w:tc>
        <w:tc>
          <w:tcPr>
            <w:tcW w:w="834" w:type="pct"/>
            <w:vAlign w:val="center"/>
          </w:tcPr>
          <w:p w14:paraId="187B9668" w14:textId="77777777" w:rsidR="00BF7CAB" w:rsidRPr="005C29F8" w:rsidRDefault="00BF7CAB" w:rsidP="00BF7CAB">
            <w:pPr>
              <w:jc w:val="center"/>
              <w:rPr>
                <w:rFonts w:cs="Arial"/>
                <w:color w:val="000000" w:themeColor="text1"/>
                <w:szCs w:val="16"/>
              </w:rPr>
            </w:pPr>
            <w:r w:rsidRPr="005C29F8">
              <w:rPr>
                <w:rFonts w:cs="Arial"/>
                <w:color w:val="000000" w:themeColor="text1"/>
                <w:szCs w:val="16"/>
              </w:rPr>
              <w:t>1,469</w:t>
            </w:r>
          </w:p>
        </w:tc>
        <w:tc>
          <w:tcPr>
            <w:tcW w:w="834" w:type="pct"/>
            <w:vAlign w:val="center"/>
          </w:tcPr>
          <w:p w14:paraId="5845E407" w14:textId="77777777" w:rsidR="00BF7CAB" w:rsidRPr="005C29F8" w:rsidRDefault="00BF7CAB" w:rsidP="00BF7CAB">
            <w:pPr>
              <w:jc w:val="center"/>
              <w:rPr>
                <w:rFonts w:cs="Arial"/>
                <w:color w:val="000000" w:themeColor="text1"/>
                <w:szCs w:val="16"/>
              </w:rPr>
            </w:pPr>
            <w:r w:rsidRPr="005C29F8">
              <w:rPr>
                <w:rFonts w:cs="Arial"/>
                <w:color w:val="000000" w:themeColor="text1"/>
                <w:szCs w:val="16"/>
              </w:rPr>
              <w:t>2,407</w:t>
            </w:r>
          </w:p>
        </w:tc>
        <w:tc>
          <w:tcPr>
            <w:tcW w:w="600" w:type="pct"/>
            <w:vAlign w:val="center"/>
          </w:tcPr>
          <w:p w14:paraId="0C49CEFE" w14:textId="77777777" w:rsidR="00BF7CAB" w:rsidRPr="005C29F8" w:rsidRDefault="00BF7CAB" w:rsidP="00BF7CAB">
            <w:pPr>
              <w:jc w:val="center"/>
              <w:rPr>
                <w:rFonts w:cs="Arial"/>
                <w:color w:val="000000" w:themeColor="text1"/>
                <w:szCs w:val="16"/>
              </w:rPr>
            </w:pPr>
            <w:r w:rsidRPr="005C29F8">
              <w:rPr>
                <w:rFonts w:cs="Arial"/>
                <w:color w:val="000000" w:themeColor="text1"/>
                <w:szCs w:val="16"/>
              </w:rPr>
              <w:t>63.29%</w:t>
            </w:r>
          </w:p>
        </w:tc>
        <w:tc>
          <w:tcPr>
            <w:tcW w:w="600" w:type="pct"/>
            <w:vAlign w:val="center"/>
          </w:tcPr>
          <w:p w14:paraId="06968FB6" w14:textId="77777777" w:rsidR="00BF7CAB" w:rsidRPr="005C29F8" w:rsidRDefault="00BF7CAB" w:rsidP="00BF7CAB">
            <w:pPr>
              <w:jc w:val="center"/>
              <w:rPr>
                <w:rFonts w:cs="Arial"/>
                <w:color w:val="000000" w:themeColor="text1"/>
                <w:szCs w:val="16"/>
              </w:rPr>
            </w:pPr>
            <w:r w:rsidRPr="005C29F8">
              <w:rPr>
                <w:rFonts w:cs="Arial"/>
                <w:color w:val="000000" w:themeColor="text1"/>
                <w:szCs w:val="16"/>
              </w:rPr>
              <w:t>68.50%</w:t>
            </w:r>
          </w:p>
        </w:tc>
        <w:tc>
          <w:tcPr>
            <w:tcW w:w="600" w:type="pct"/>
            <w:vAlign w:val="center"/>
          </w:tcPr>
          <w:p w14:paraId="5913FDC0" w14:textId="77777777" w:rsidR="00BF7CAB" w:rsidRPr="005C29F8" w:rsidRDefault="00BF7CAB" w:rsidP="00BF7CAB">
            <w:pPr>
              <w:jc w:val="center"/>
              <w:rPr>
                <w:rFonts w:cs="Arial"/>
                <w:color w:val="000000" w:themeColor="text1"/>
                <w:szCs w:val="16"/>
              </w:rPr>
            </w:pPr>
            <w:r w:rsidRPr="005C29F8">
              <w:rPr>
                <w:rFonts w:cs="Arial"/>
                <w:color w:val="000000" w:themeColor="text1"/>
                <w:szCs w:val="16"/>
              </w:rPr>
              <w:t>61.03%</w:t>
            </w:r>
          </w:p>
        </w:tc>
        <w:tc>
          <w:tcPr>
            <w:tcW w:w="600" w:type="pct"/>
            <w:vAlign w:val="center"/>
          </w:tcPr>
          <w:p w14:paraId="6EFA9746" w14:textId="77777777" w:rsidR="00BF7CAB" w:rsidRPr="005C29F8" w:rsidRDefault="00BF7CAB" w:rsidP="00BF7CAB">
            <w:pPr>
              <w:jc w:val="center"/>
              <w:rPr>
                <w:rFonts w:cs="Arial"/>
                <w:color w:val="000000" w:themeColor="text1"/>
                <w:szCs w:val="16"/>
              </w:rPr>
            </w:pPr>
            <w:r w:rsidRPr="005C29F8">
              <w:rPr>
                <w:rFonts w:cs="Arial"/>
                <w:color w:val="000000" w:themeColor="text1"/>
                <w:szCs w:val="16"/>
              </w:rPr>
              <w:t>Did not meet target</w:t>
            </w:r>
          </w:p>
        </w:tc>
        <w:tc>
          <w:tcPr>
            <w:tcW w:w="600" w:type="pct"/>
            <w:vAlign w:val="center"/>
          </w:tcPr>
          <w:p w14:paraId="1E8A412F" w14:textId="77777777" w:rsidR="00BF7CAB" w:rsidRPr="005C29F8" w:rsidRDefault="00BF7CAB" w:rsidP="00BF7CAB">
            <w:pPr>
              <w:jc w:val="center"/>
              <w:rPr>
                <w:rFonts w:cs="Arial"/>
                <w:color w:val="000000" w:themeColor="text1"/>
                <w:szCs w:val="16"/>
              </w:rPr>
            </w:pPr>
            <w:r w:rsidRPr="005C29F8">
              <w:rPr>
                <w:rFonts w:cs="Arial"/>
                <w:color w:val="000000" w:themeColor="text1"/>
                <w:szCs w:val="16"/>
              </w:rPr>
              <w:t>Slippage</w:t>
            </w:r>
          </w:p>
        </w:tc>
      </w:tr>
    </w:tbl>
    <w:p w14:paraId="6AB00608" w14:textId="77777777" w:rsidR="00693B33" w:rsidRPr="005C29F8" w:rsidRDefault="00693B33" w:rsidP="00693B33">
      <w:pPr>
        <w:tabs>
          <w:tab w:val="left" w:pos="2088"/>
        </w:tabs>
        <w:rPr>
          <w:rFonts w:cs="Arial"/>
          <w:color w:val="000000" w:themeColor="text1"/>
          <w:szCs w:val="16"/>
        </w:rPr>
      </w:pPr>
    </w:p>
    <w:p w14:paraId="7DE44B14" w14:textId="77777777" w:rsidR="00791ADA" w:rsidRPr="00ED172B" w:rsidRDefault="00791ADA" w:rsidP="00791ADA">
      <w:pPr>
        <w:rPr>
          <w:rFonts w:cs="Arial"/>
          <w:b/>
          <w:i/>
          <w:color w:val="000000" w:themeColor="text1"/>
          <w:szCs w:val="16"/>
        </w:rPr>
      </w:pPr>
      <w:bookmarkStart w:id="68" w:name="_Hlk81909439"/>
      <w:r w:rsidRPr="00ED172B">
        <w:rPr>
          <w:rFonts w:cs="Arial"/>
          <w:b/>
          <w:color w:val="000000" w:themeColor="text1"/>
          <w:szCs w:val="16"/>
        </w:rPr>
        <w:t>Provide reasons for B slippage, if applicable</w:t>
      </w:r>
    </w:p>
    <w:bookmarkEnd w:id="68"/>
    <w:p w14:paraId="3A2126DE" w14:textId="77777777" w:rsidR="00791ADA" w:rsidRDefault="00791ADA" w:rsidP="00791ADA">
      <w:pPr>
        <w:rPr>
          <w:color w:val="000000" w:themeColor="text1"/>
        </w:rPr>
      </w:pPr>
      <w:r w:rsidRPr="00ED172B">
        <w:rPr>
          <w:color w:val="000000" w:themeColor="text1"/>
        </w:rPr>
        <w:lastRenderedPageBreak/>
        <w:t>Slippage occurred may be attributed to lack of tiered supports to special education staff and administrators connecting the assessment tool to child outcomes data and improvement activities; Additional factors include varied implementation of quality home visiting models, limited coaching capacity to improve family or caregiver coaching, minimal improvement activities system-wide targeting cognitive, communication, and early literacy domains with this age group during routines and daily activities, and an increase in staff turnover and personnel shortages system-wide.</w:t>
      </w:r>
    </w:p>
    <w:p w14:paraId="24DCDC01" w14:textId="77777777" w:rsidR="00693B33" w:rsidRDefault="00693B33" w:rsidP="00741E58"/>
    <w:p w14:paraId="47F0E589" w14:textId="77777777" w:rsidR="00305E79" w:rsidRDefault="00305E79" w:rsidP="00C14BC7">
      <w:pPr>
        <w:rPr>
          <w:b/>
          <w:bCs/>
        </w:rPr>
      </w:pPr>
      <w:r>
        <w:rPr>
          <w:b/>
          <w:bCs/>
        </w:rPr>
        <w:t>Provide the data source for the FFY 2024 data.</w:t>
      </w:r>
    </w:p>
    <w:p w14:paraId="7FA28412" w14:textId="77777777" w:rsidR="00305E79" w:rsidRDefault="00305E79" w:rsidP="00305E79">
      <w:pPr>
        <w:rPr>
          <w:color w:val="000000" w:themeColor="text1"/>
        </w:rPr>
      </w:pPr>
      <w:proofErr w:type="gramStart"/>
      <w:r w:rsidRPr="00ED172B">
        <w:rPr>
          <w:color w:val="000000" w:themeColor="text1"/>
        </w:rPr>
        <w:t>Indicator</w:t>
      </w:r>
      <w:proofErr w:type="gramEnd"/>
      <w:r w:rsidRPr="00ED172B">
        <w:rPr>
          <w:color w:val="000000" w:themeColor="text1"/>
        </w:rPr>
        <w:t xml:space="preserve"> C3 and B7 Measures A1, B1, and C1 are used as the data source. Above you will find the data for A1 and B1. The data for C1 is as follows: 1868 (Numerator) / 2598 (Denominator) = 79.9% which does not meet our target of 78.6 but there is </w:t>
      </w:r>
      <w:proofErr w:type="gramStart"/>
      <w:r w:rsidRPr="00ED172B">
        <w:rPr>
          <w:color w:val="000000" w:themeColor="text1"/>
        </w:rPr>
        <w:t>not</w:t>
      </w:r>
      <w:proofErr w:type="gramEnd"/>
      <w:r w:rsidRPr="00ED172B">
        <w:rPr>
          <w:color w:val="000000" w:themeColor="text1"/>
        </w:rPr>
        <w:t xml:space="preserve"> slippage. (FFY 2023 data is 71.7%)</w:t>
      </w:r>
    </w:p>
    <w:p w14:paraId="18B19570" w14:textId="77777777" w:rsidR="00C14BC7" w:rsidRPr="00C14BC7" w:rsidRDefault="00C14BC7" w:rsidP="00C14BC7">
      <w:r w:rsidRPr="00F85A5B">
        <w:rPr>
          <w:b/>
          <w:bCs/>
        </w:rPr>
        <w:t xml:space="preserve">Please describe how data are collected and analyzed for the </w:t>
      </w:r>
      <w:proofErr w:type="spellStart"/>
      <w:r w:rsidRPr="00F85A5B">
        <w:rPr>
          <w:b/>
          <w:bCs/>
        </w:rPr>
        <w:t>SiMR</w:t>
      </w:r>
      <w:proofErr w:type="spellEnd"/>
      <w:r w:rsidRPr="00C14BC7">
        <w:t>.</w:t>
      </w:r>
    </w:p>
    <w:p w14:paraId="6FBE9691" w14:textId="77777777" w:rsidR="00C14BC7" w:rsidRDefault="00C14BC7" w:rsidP="00C14BC7">
      <w:pPr>
        <w:rPr>
          <w:color w:val="000000" w:themeColor="text1"/>
        </w:rPr>
      </w:pPr>
      <w:r w:rsidRPr="00ED172B">
        <w:rPr>
          <w:color w:val="000000" w:themeColor="text1"/>
        </w:rPr>
        <w:t xml:space="preserve">In 2015, using a national AEPS data set from typically developing children, a review team considered 90%, 85% and 80% percentile cut </w:t>
      </w:r>
      <w:proofErr w:type="gramStart"/>
      <w:r w:rsidRPr="00ED172B">
        <w:rPr>
          <w:color w:val="000000" w:themeColor="text1"/>
        </w:rPr>
        <w:t>offs</w:t>
      </w:r>
      <w:proofErr w:type="gramEnd"/>
      <w:r w:rsidRPr="00ED172B">
        <w:rPr>
          <w:color w:val="000000" w:themeColor="text1"/>
        </w:rPr>
        <w:t xml:space="preserve"> against the national data results to decide the cut off level that best reflected the State’s children in EI programs. The review team, comprised of State staff, the EI/ECSE Contractors and the EI/ECSE stakeholder group were all asked to analyze the percentile cut offs and determine the </w:t>
      </w:r>
      <w:proofErr w:type="gramStart"/>
      <w:r w:rsidRPr="00ED172B">
        <w:rPr>
          <w:color w:val="000000" w:themeColor="text1"/>
        </w:rPr>
        <w:t>cut off</w:t>
      </w:r>
      <w:proofErr w:type="gramEnd"/>
      <w:r w:rsidRPr="00ED172B">
        <w:rPr>
          <w:color w:val="000000" w:themeColor="text1"/>
        </w:rPr>
        <w:t xml:space="preserve"> level that the State should use for reporting to the EI child outcomes. The consensus was to use the 80% cut off level. This most closely represents the children who are eligible for Early Intervention programs and receive services in Oregon. </w:t>
      </w:r>
    </w:p>
    <w:p w14:paraId="7DA3314F" w14:textId="77777777" w:rsidR="000575B2" w:rsidRDefault="00D6492D">
      <w:r>
        <w:rPr>
          <w:color w:val="000000"/>
        </w:rPr>
        <w:t xml:space="preserve"> </w:t>
      </w:r>
    </w:p>
    <w:p w14:paraId="78A78E9E" w14:textId="77777777" w:rsidR="000575B2" w:rsidRDefault="00D6492D">
      <w:r>
        <w:rPr>
          <w:color w:val="000000"/>
        </w:rPr>
        <w:t xml:space="preserve">Child progress is measured using the following rubric: </w:t>
      </w:r>
    </w:p>
    <w:p w14:paraId="4F174B65" w14:textId="77777777" w:rsidR="000575B2" w:rsidRDefault="00D6492D">
      <w:r>
        <w:rPr>
          <w:color w:val="000000"/>
        </w:rPr>
        <w:t xml:space="preserve"> </w:t>
      </w:r>
    </w:p>
    <w:p w14:paraId="4BB42F3E" w14:textId="77777777" w:rsidR="000575B2" w:rsidRDefault="00D6492D">
      <w:r>
        <w:rPr>
          <w:color w:val="000000"/>
        </w:rPr>
        <w:t xml:space="preserve">If a child enters with a score below the normal range and stays the same or regresses at the next test administration, the child is categorized as (a) does not improve functioning. If the child makes progress and the ratio of how far below the normal level of development increases between test administrations, the child is categorized as (b) improved functioning but not sufficient to move nearer to functioning comparable to same-aged peers. If the child makes progress but the ratio of how far below the normal level of development decreases between test administrations, the child is categorized as (c) improved functioning to a level nearer to the functioning of same-aged peers but did not reach it. If a child enters with a score below the normal range and increases to reach or exceed the normal range at the next test administration, the child is categorized as (d) improved functioning sufficient to reach a level comparable to same-aged peers. </w:t>
      </w:r>
    </w:p>
    <w:p w14:paraId="5A853749" w14:textId="77777777" w:rsidR="000575B2" w:rsidRDefault="000575B2"/>
    <w:p w14:paraId="43A6DC96" w14:textId="77777777" w:rsidR="000575B2" w:rsidRDefault="00D6492D">
      <w:r>
        <w:rPr>
          <w:color w:val="000000"/>
        </w:rPr>
        <w:t xml:space="preserve">If a child enters with a score at or above the normal range and maintains their score at or above the normal range at the next test administration, the child is categorized as (e) </w:t>
      </w:r>
      <w:proofErr w:type="gramStart"/>
      <w:r>
        <w:rPr>
          <w:color w:val="000000"/>
        </w:rPr>
        <w:t>maintains</w:t>
      </w:r>
      <w:proofErr w:type="gramEnd"/>
      <w:r>
        <w:rPr>
          <w:color w:val="000000"/>
        </w:rPr>
        <w:t xml:space="preserve"> functioning at or above same age peers. </w:t>
      </w:r>
    </w:p>
    <w:p w14:paraId="73694400" w14:textId="77777777" w:rsidR="000575B2" w:rsidRDefault="00D6492D">
      <w:r>
        <w:rPr>
          <w:color w:val="000000"/>
        </w:rPr>
        <w:t xml:space="preserve"> </w:t>
      </w:r>
    </w:p>
    <w:p w14:paraId="2862A837" w14:textId="77777777" w:rsidR="000575B2" w:rsidRDefault="00D6492D">
      <w:r>
        <w:rPr>
          <w:color w:val="000000"/>
        </w:rPr>
        <w:t xml:space="preserve">In relation to the </w:t>
      </w:r>
      <w:proofErr w:type="spellStart"/>
      <w:r>
        <w:rPr>
          <w:color w:val="000000"/>
        </w:rPr>
        <w:t>SiMR</w:t>
      </w:r>
      <w:proofErr w:type="spellEnd"/>
      <w:r>
        <w:rPr>
          <w:color w:val="000000"/>
        </w:rPr>
        <w:t xml:space="preserve"> it was determined in 2015 that Summary Statement 1 for Part A and B of Indicator C3 was the most appropriate for measuring progress and effectiveness of strategies put in place to measure the impact of the coherent strategies and systemic infrastructure changes outlined in the SSIP. </w:t>
      </w:r>
    </w:p>
    <w:p w14:paraId="6BDC1554" w14:textId="77777777" w:rsidR="000575B2" w:rsidRDefault="000575B2"/>
    <w:p w14:paraId="752B1F10" w14:textId="77777777" w:rsidR="000575B2" w:rsidRDefault="00D6492D">
      <w:r>
        <w:rPr>
          <w:color w:val="000000"/>
        </w:rPr>
        <w:t>Since 2015, changes to the early learning system and the relationship between the Department of Early Learning and Care (formally the Early Learning Division), the Oregon Health Authority, and the Oregon Department of Education have evolved providing families and children under five with increased opportunities for early care, home visiting, and education and behavioral supports to aid in their development. While the Oregon Department of Education remains responsible for granting funds to districts and ESDs to effectively implement IDEA, the unification of a systems approach to early learning under Raise Up Oregon and HB 3073 has required a reevaluation of the needed data to ensure systems improvements and investments are aligned, coordinated, and accessible.</w:t>
      </w:r>
    </w:p>
    <w:p w14:paraId="1253AA37" w14:textId="77777777" w:rsidR="00270F92" w:rsidRDefault="00270F92" w:rsidP="00741E58"/>
    <w:p w14:paraId="2EB5CE22" w14:textId="77777777" w:rsidR="00177098" w:rsidRDefault="006D5F86" w:rsidP="006D5F86">
      <w:pPr>
        <w:rPr>
          <w:rFonts w:cs="Arial"/>
          <w:b/>
          <w:bCs/>
        </w:rPr>
      </w:pPr>
      <w:bookmarkStart w:id="69" w:name="_Hlk109646926"/>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w:t>
      </w:r>
      <w:proofErr w:type="spellStart"/>
      <w:r w:rsidRPr="00F85A5B">
        <w:rPr>
          <w:rFonts w:cs="Arial"/>
          <w:b/>
          <w:bCs/>
        </w:rPr>
        <w:t>SiMR</w:t>
      </w:r>
      <w:proofErr w:type="spellEnd"/>
      <w:r w:rsidRPr="00F85A5B">
        <w:rPr>
          <w:rFonts w:cs="Arial"/>
          <w:b/>
          <w:bCs/>
        </w:rPr>
        <w:t>?</w:t>
      </w:r>
      <w:r w:rsidR="00CD071F">
        <w:rPr>
          <w:b/>
          <w:bCs/>
        </w:rPr>
        <w:t xml:space="preserve"> </w:t>
      </w:r>
      <w:r w:rsidR="00CD071F" w:rsidRPr="00CD071F">
        <w:rPr>
          <w:b/>
          <w:bCs/>
        </w:rPr>
        <w:t>(yes/no)</w:t>
      </w:r>
    </w:p>
    <w:bookmarkEnd w:id="69"/>
    <w:p w14:paraId="0FB1B324" w14:textId="77777777" w:rsidR="00831891" w:rsidRPr="000123EB" w:rsidRDefault="00831891" w:rsidP="00831891">
      <w:pPr>
        <w:rPr>
          <w:color w:val="000000" w:themeColor="text1"/>
        </w:rPr>
      </w:pPr>
      <w:r w:rsidRPr="00ED172B">
        <w:rPr>
          <w:color w:val="000000" w:themeColor="text1"/>
        </w:rPr>
        <w:t>YES</w:t>
      </w:r>
    </w:p>
    <w:p w14:paraId="2F3215D1" w14:textId="77777777" w:rsidR="006D5F86" w:rsidRDefault="007F0DC5" w:rsidP="00741E58">
      <w:pPr>
        <w:rPr>
          <w:rFonts w:cs="Arial"/>
          <w:b/>
          <w:bCs/>
        </w:rPr>
      </w:pPr>
      <w:bookmarkStart w:id="70" w:name="_Hlk109646931"/>
      <w:r>
        <w:rPr>
          <w:rFonts w:cs="Arial"/>
          <w:b/>
          <w:bCs/>
        </w:rPr>
        <w:t xml:space="preserve">Describe any additional data collected by the State to assess progress toward the </w:t>
      </w:r>
      <w:proofErr w:type="spellStart"/>
      <w:r>
        <w:rPr>
          <w:rFonts w:cs="Arial"/>
          <w:b/>
          <w:bCs/>
        </w:rPr>
        <w:t>SiMR</w:t>
      </w:r>
      <w:proofErr w:type="spellEnd"/>
      <w:r>
        <w:rPr>
          <w:rFonts w:cs="Arial"/>
          <w:b/>
          <w:bCs/>
        </w:rPr>
        <w:t>.</w:t>
      </w:r>
    </w:p>
    <w:bookmarkEnd w:id="70"/>
    <w:p w14:paraId="2F7BAD12" w14:textId="77777777" w:rsidR="006F322B" w:rsidRDefault="006F322B" w:rsidP="006F322B">
      <w:pPr>
        <w:rPr>
          <w:color w:val="000000" w:themeColor="text1"/>
        </w:rPr>
      </w:pPr>
      <w:r w:rsidRPr="00ED172B">
        <w:rPr>
          <w:color w:val="000000" w:themeColor="text1"/>
        </w:rPr>
        <w:t xml:space="preserve">Additional data collected by the state to assess progress towards the </w:t>
      </w:r>
      <w:proofErr w:type="spellStart"/>
      <w:r w:rsidRPr="00ED172B">
        <w:rPr>
          <w:color w:val="000000" w:themeColor="text1"/>
        </w:rPr>
        <w:t>SiMR</w:t>
      </w:r>
      <w:proofErr w:type="spellEnd"/>
      <w:r w:rsidRPr="00ED172B">
        <w:rPr>
          <w:color w:val="000000" w:themeColor="text1"/>
        </w:rPr>
        <w:t xml:space="preserve"> includes: </w:t>
      </w:r>
    </w:p>
    <w:p w14:paraId="36AB6395" w14:textId="77777777" w:rsidR="000575B2" w:rsidRDefault="00D6492D">
      <w:r>
        <w:rPr>
          <w:color w:val="000000"/>
        </w:rPr>
        <w:t xml:space="preserve">-ECTA Systems Framework Data </w:t>
      </w:r>
    </w:p>
    <w:p w14:paraId="68180F03" w14:textId="77777777" w:rsidR="000575B2" w:rsidRDefault="00D6492D">
      <w:r>
        <w:rPr>
          <w:color w:val="000000"/>
        </w:rPr>
        <w:t xml:space="preserve">-Comprehensive System of Professional Development (CSPD Evaluation Data </w:t>
      </w:r>
    </w:p>
    <w:p w14:paraId="7E04D5A8" w14:textId="77777777" w:rsidR="000575B2" w:rsidRDefault="00D6492D">
      <w:r>
        <w:rPr>
          <w:color w:val="000000"/>
        </w:rPr>
        <w:t xml:space="preserve">-Annual Performance Indicator data on Least Restrictive Environments in Preschool </w:t>
      </w:r>
    </w:p>
    <w:p w14:paraId="1A8579A2" w14:textId="77777777" w:rsidR="000575B2" w:rsidRDefault="00D6492D">
      <w:r>
        <w:rPr>
          <w:color w:val="000000"/>
        </w:rPr>
        <w:t xml:space="preserve">-Fidelity data from communities and programs implementing the Pyramid Model and/or the Early Childhood Inclusion Indicators. </w:t>
      </w:r>
    </w:p>
    <w:p w14:paraId="0D97E909" w14:textId="77777777" w:rsidR="000575B2" w:rsidRDefault="000575B2"/>
    <w:p w14:paraId="17D3C60E" w14:textId="77777777" w:rsidR="000575B2" w:rsidRDefault="00D6492D">
      <w:r>
        <w:rPr>
          <w:color w:val="000000"/>
        </w:rPr>
        <w:t xml:space="preserve">The following data has been presented publicly at the State Interagency Coordinating Council (SICC) and can be found on the SICC website under meeting materials for the following dates:9/15/2024, 1/12/2025, and 5/10/2025. These notes can related slides can be located on the SICC Website: https://www.oregon.gov/ode/students-and-family/SpecialEducation/earlyintervention/Pages/siccmtgminutes.aspx </w:t>
      </w:r>
    </w:p>
    <w:p w14:paraId="3261BB03" w14:textId="77777777" w:rsidR="000575B2" w:rsidRDefault="00D6492D">
      <w:r>
        <w:rPr>
          <w:color w:val="000000"/>
        </w:rPr>
        <w:t xml:space="preserve"> </w:t>
      </w:r>
    </w:p>
    <w:p w14:paraId="6A503735" w14:textId="77777777" w:rsidR="000575B2" w:rsidRDefault="00D6492D">
      <w:r>
        <w:rPr>
          <w:color w:val="000000"/>
        </w:rPr>
        <w:t>As described in the Phase III (1) report, three research-based measures were selected to evaluate fidelity of EC PBIS+ (otherwise known as the Pyramid Model Framework) implementation at the program and teacher levels: Early Childhood Benchmarks of Quality (</w:t>
      </w:r>
      <w:proofErr w:type="spellStart"/>
      <w:r>
        <w:rPr>
          <w:color w:val="000000"/>
        </w:rPr>
        <w:t>BoQ</w:t>
      </w:r>
      <w:proofErr w:type="spellEnd"/>
      <w:r>
        <w:rPr>
          <w:color w:val="000000"/>
        </w:rPr>
        <w:t xml:space="preserve">), Teaching Pyramid Observation Tool (TPOT™) and The Pyramid Infant Toddler Observation Scale (TPITOS™). Collectively, these data allow for an assessment of fidelity of EC PBIS+/Pyramid Model strategies implementation by participating teachers. A description of why the TPOT was selected can be found in the State’s Phase III (1) report. To evaluate the extent to which programs are implementing Program-Wide EC PBIS+ with fidelity, participating programs collected Early Childhood Benchmarks of Quality data beginning in fall 2017. The EC-BOQ evaluates the extent to which a program has the nine critical elements and 47 benchmarks in place completely, partially in place, or not in place at all. </w:t>
      </w:r>
    </w:p>
    <w:p w14:paraId="2262D348" w14:textId="77777777" w:rsidR="000575B2" w:rsidRDefault="00D6492D">
      <w:r>
        <w:rPr>
          <w:color w:val="000000"/>
        </w:rPr>
        <w:t xml:space="preserve"> </w:t>
      </w:r>
    </w:p>
    <w:p w14:paraId="445041A1" w14:textId="77777777" w:rsidR="000575B2" w:rsidRDefault="00D6492D">
      <w:r>
        <w:rPr>
          <w:color w:val="000000"/>
        </w:rPr>
        <w:t xml:space="preserve">The National Indicators of </w:t>
      </w:r>
      <w:proofErr w:type="gramStart"/>
      <w:r>
        <w:rPr>
          <w:color w:val="000000"/>
        </w:rPr>
        <w:t>High Quality</w:t>
      </w:r>
      <w:proofErr w:type="gramEnd"/>
      <w:r>
        <w:rPr>
          <w:color w:val="000000"/>
        </w:rPr>
        <w:t xml:space="preserve"> Inclusion at the State and Community Level were also used during this cycle of </w:t>
      </w:r>
      <w:proofErr w:type="gramStart"/>
      <w:r>
        <w:rPr>
          <w:color w:val="000000"/>
        </w:rPr>
        <w:t>the SSIP</w:t>
      </w:r>
      <w:proofErr w:type="gramEnd"/>
      <w:r>
        <w:rPr>
          <w:color w:val="000000"/>
        </w:rPr>
        <w:t xml:space="preserve">. Using the State Benchmarks of Quality, the State Indicators of </w:t>
      </w:r>
      <w:proofErr w:type="gramStart"/>
      <w:r>
        <w:rPr>
          <w:color w:val="000000"/>
        </w:rPr>
        <w:t>High Quality</w:t>
      </w:r>
      <w:proofErr w:type="gramEnd"/>
      <w:r>
        <w:rPr>
          <w:color w:val="000000"/>
        </w:rPr>
        <w:t xml:space="preserve"> Inclusion, Community Indicators and Elements of </w:t>
      </w:r>
      <w:proofErr w:type="gramStart"/>
      <w:r>
        <w:rPr>
          <w:color w:val="000000"/>
        </w:rPr>
        <w:t>High Quality</w:t>
      </w:r>
      <w:proofErr w:type="gramEnd"/>
      <w:r>
        <w:rPr>
          <w:color w:val="000000"/>
        </w:rPr>
        <w:t xml:space="preserve"> Inclusion and Program Inclusion Indicators allow the State, communities, and programs to measure progress towards implementation of this framework. A description of why the National Indicators of </w:t>
      </w:r>
      <w:proofErr w:type="gramStart"/>
      <w:r>
        <w:rPr>
          <w:color w:val="000000"/>
        </w:rPr>
        <w:t>High Quality</w:t>
      </w:r>
      <w:proofErr w:type="gramEnd"/>
      <w:r>
        <w:rPr>
          <w:color w:val="000000"/>
        </w:rPr>
        <w:t xml:space="preserve"> Inclusion was selected can be found in the State’s Phase III (1) report. </w:t>
      </w:r>
    </w:p>
    <w:p w14:paraId="55F29A79" w14:textId="77777777" w:rsidR="000575B2" w:rsidRDefault="000575B2"/>
    <w:p w14:paraId="571CFDC1" w14:textId="77777777" w:rsidR="000575B2" w:rsidRDefault="00D6492D">
      <w:r>
        <w:rPr>
          <w:color w:val="000000"/>
        </w:rPr>
        <w:t xml:space="preserve">Through partnership with Oregon State University, evaluation data has been summarized through a series of briefs that can be found on the Oregon Inclusion Initiative Website: https://health.oregonstate.edu/elsi/oregon-inclusion-initiative </w:t>
      </w:r>
    </w:p>
    <w:p w14:paraId="0E3FC13D" w14:textId="77777777" w:rsidR="000575B2" w:rsidRDefault="000575B2"/>
    <w:p w14:paraId="3EE4F8C2" w14:textId="77777777" w:rsidR="000575B2" w:rsidRDefault="00D6492D">
      <w:r>
        <w:rPr>
          <w:color w:val="000000"/>
        </w:rPr>
        <w:t>Additional data on impacts of implementation of the Pyramid Model and Inclusion can also be found on the Oregon Early Childhood Inclusion website at the Oregon Department of Education: https://www.oregon.gov/ode/students-and-family/SpecialEducation/earlyintervention/Pages/oeci.aspx</w:t>
      </w:r>
    </w:p>
    <w:p w14:paraId="7127FBC5" w14:textId="77777777" w:rsidR="006F322B" w:rsidRDefault="006F322B" w:rsidP="00741E58">
      <w:pPr>
        <w:rPr>
          <w:b/>
          <w:bCs/>
        </w:rPr>
      </w:pPr>
    </w:p>
    <w:p w14:paraId="25F2B7D8" w14:textId="77777777" w:rsidR="00C77A39" w:rsidRDefault="00C77A39" w:rsidP="00C77A39">
      <w:pPr>
        <w:spacing w:after="0"/>
        <w:rPr>
          <w:rFonts w:cs="Arial"/>
          <w:b/>
          <w:bCs/>
        </w:rPr>
      </w:pPr>
      <w:bookmarkStart w:id="71" w:name="_Hlk109646937"/>
      <w:r w:rsidRPr="00F85A5B">
        <w:rPr>
          <w:rFonts w:cs="Arial"/>
          <w:b/>
          <w:bCs/>
        </w:rPr>
        <w:t xml:space="preserve">Did the State identify any general data quality concerns, unrelated to COVID-19, which affected progress toward the </w:t>
      </w:r>
      <w:proofErr w:type="spellStart"/>
      <w:r w:rsidRPr="00F85A5B">
        <w:rPr>
          <w:rFonts w:cs="Arial"/>
          <w:b/>
          <w:bCs/>
        </w:rPr>
        <w:t>SiMR</w:t>
      </w:r>
      <w:proofErr w:type="spellEnd"/>
      <w:r w:rsidRPr="00F85A5B">
        <w:rPr>
          <w:rFonts w:cs="Arial"/>
          <w:b/>
          <w:bCs/>
        </w:rPr>
        <w:t xml:space="preserve"> during the reporting period? </w:t>
      </w:r>
      <w:r w:rsidR="00CD071F" w:rsidRPr="00CD071F">
        <w:rPr>
          <w:b/>
          <w:bCs/>
        </w:rPr>
        <w:t>(yes/no)</w:t>
      </w:r>
    </w:p>
    <w:bookmarkEnd w:id="71"/>
    <w:p w14:paraId="6B8395EF" w14:textId="77777777" w:rsidR="005838E8" w:rsidRDefault="005838E8" w:rsidP="00C77A39">
      <w:pPr>
        <w:spacing w:after="0"/>
        <w:rPr>
          <w:rFonts w:cs="Arial"/>
          <w:b/>
          <w:bCs/>
        </w:rPr>
      </w:pPr>
      <w:r w:rsidRPr="00ED172B">
        <w:rPr>
          <w:color w:val="000000" w:themeColor="text1"/>
        </w:rPr>
        <w:t>NO</w:t>
      </w:r>
    </w:p>
    <w:p w14:paraId="321BE211" w14:textId="77777777" w:rsidR="005838E8" w:rsidRDefault="005838E8" w:rsidP="00741E58">
      <w:pPr>
        <w:rPr>
          <w:b/>
          <w:bCs/>
        </w:rPr>
      </w:pPr>
    </w:p>
    <w:p w14:paraId="72BC83E9" w14:textId="77777777" w:rsidR="00FC7972" w:rsidRDefault="00FC7972" w:rsidP="00741E58">
      <w:pPr>
        <w:rPr>
          <w:b/>
          <w:bCs/>
        </w:rPr>
      </w:pPr>
      <w:bookmarkStart w:id="72" w:name="_Hlk109646952"/>
      <w:r w:rsidRPr="00FC7972">
        <w:rPr>
          <w:b/>
          <w:bCs/>
        </w:rPr>
        <w:t>Did the State identify any data quality concerns directly related to the COVID-19 pandemic during the reporting period? (yes/no)</w:t>
      </w:r>
    </w:p>
    <w:bookmarkEnd w:id="72"/>
    <w:p w14:paraId="451D6466" w14:textId="77777777" w:rsidR="005838E8" w:rsidRDefault="005838E8" w:rsidP="00741E58">
      <w:pPr>
        <w:rPr>
          <w:b/>
          <w:bCs/>
        </w:rPr>
      </w:pPr>
      <w:r w:rsidRPr="00ED172B">
        <w:rPr>
          <w:color w:val="000000" w:themeColor="text1"/>
        </w:rPr>
        <w:t>NO</w:t>
      </w:r>
    </w:p>
    <w:p w14:paraId="13A1867B" w14:textId="77777777" w:rsidR="005838E8" w:rsidRDefault="005838E8" w:rsidP="00741E58">
      <w:pPr>
        <w:rPr>
          <w:b/>
          <w:bCs/>
        </w:rPr>
      </w:pPr>
    </w:p>
    <w:p w14:paraId="36B0E5F7" w14:textId="77777777" w:rsidR="00562F31" w:rsidRPr="000315F0" w:rsidRDefault="00562F31" w:rsidP="00562F31">
      <w:pPr>
        <w:pStyle w:val="Subhed"/>
      </w:pPr>
      <w:r w:rsidRPr="000315F0">
        <w:t>Section B:</w:t>
      </w:r>
      <w:r>
        <w:t xml:space="preserve"> </w:t>
      </w:r>
      <w:r w:rsidRPr="000315F0">
        <w:t>Implementation, Analysis and Evaluation</w:t>
      </w:r>
    </w:p>
    <w:p w14:paraId="3B7300EF" w14:textId="77777777" w:rsidR="0041306A" w:rsidRDefault="0041306A" w:rsidP="0041306A">
      <w:pPr>
        <w:rPr>
          <w:rFonts w:cs="Arial"/>
          <w:b/>
          <w:bCs/>
        </w:rPr>
      </w:pPr>
      <w:r>
        <w:rPr>
          <w:rFonts w:cs="Arial"/>
          <w:b/>
          <w:bCs/>
        </w:rPr>
        <w:t>Please provide a link to the State’s current evaluation plan.</w:t>
      </w:r>
    </w:p>
    <w:p w14:paraId="45F7A040" w14:textId="77777777" w:rsidR="0041306A" w:rsidRDefault="0041306A" w:rsidP="0041306A">
      <w:pPr>
        <w:rPr>
          <w:color w:val="000000" w:themeColor="text1"/>
        </w:rPr>
      </w:pPr>
      <w:r>
        <w:rPr>
          <w:color w:val="000000" w:themeColor="text1"/>
        </w:rPr>
        <w:t xml:space="preserve">Oregon SSIP Part C: Evaluation Plan: https://www.oregon.gov/ode/reports-and-data/SpEdReports/Documents/2020%20APR-SPP/Evaluation%20Plan%20ssip.docx </w:t>
      </w:r>
    </w:p>
    <w:p w14:paraId="47CB7F68" w14:textId="77777777" w:rsidR="0041306A" w:rsidRDefault="0041306A" w:rsidP="0041306A">
      <w:pPr>
        <w:rPr>
          <w:rFonts w:cs="Arial"/>
          <w:b/>
          <w:bCs/>
        </w:rPr>
      </w:pPr>
      <w:r>
        <w:rPr>
          <w:rFonts w:cs="Arial"/>
          <w:b/>
          <w:bCs/>
        </w:rPr>
        <w:t xml:space="preserve">Is the State’s evaluation plan new or revised since the previous submission? </w:t>
      </w:r>
      <w:r>
        <w:rPr>
          <w:b/>
          <w:bCs/>
        </w:rPr>
        <w:t>(yes/no)</w:t>
      </w:r>
    </w:p>
    <w:p w14:paraId="64E38F8C" w14:textId="77777777" w:rsidR="0041306A" w:rsidRDefault="0041306A" w:rsidP="0041306A">
      <w:pPr>
        <w:rPr>
          <w:color w:val="000000" w:themeColor="text1"/>
        </w:rPr>
      </w:pPr>
      <w:r>
        <w:rPr>
          <w:color w:val="000000" w:themeColor="text1"/>
        </w:rPr>
        <w:t>YES</w:t>
      </w:r>
    </w:p>
    <w:p w14:paraId="0906D4BD" w14:textId="77777777" w:rsidR="0041306A" w:rsidRDefault="0041306A" w:rsidP="0041306A">
      <w:pPr>
        <w:rPr>
          <w:rFonts w:cs="Arial"/>
          <w:b/>
          <w:bCs/>
        </w:rPr>
      </w:pPr>
      <w:r>
        <w:rPr>
          <w:rFonts w:cs="Arial"/>
          <w:b/>
          <w:bCs/>
        </w:rPr>
        <w:t>If yes, provide a description of the changes and updates to the evaluation plan.</w:t>
      </w:r>
    </w:p>
    <w:p w14:paraId="661C1932" w14:textId="77777777" w:rsidR="0041306A" w:rsidRDefault="0041306A" w:rsidP="0041306A">
      <w:pPr>
        <w:rPr>
          <w:color w:val="000000" w:themeColor="text1"/>
        </w:rPr>
      </w:pPr>
      <w:r>
        <w:rPr>
          <w:color w:val="000000" w:themeColor="text1"/>
        </w:rPr>
        <w:t xml:space="preserve">The evaluation plan has been revised to include new </w:t>
      </w:r>
      <w:proofErr w:type="gramStart"/>
      <w:r>
        <w:rPr>
          <w:color w:val="000000" w:themeColor="text1"/>
        </w:rPr>
        <w:t>systems</w:t>
      </w:r>
      <w:proofErr w:type="gramEnd"/>
      <w:r>
        <w:rPr>
          <w:color w:val="000000" w:themeColor="text1"/>
        </w:rPr>
        <w:t xml:space="preserve"> improvement activities and timelines for completion. </w:t>
      </w:r>
    </w:p>
    <w:p w14:paraId="5EFF7864" w14:textId="77777777" w:rsidR="0041306A" w:rsidRDefault="0041306A" w:rsidP="0041306A">
      <w:pPr>
        <w:rPr>
          <w:rFonts w:cs="Arial"/>
          <w:b/>
          <w:bCs/>
        </w:rPr>
      </w:pPr>
      <w:r>
        <w:rPr>
          <w:rFonts w:cs="Arial"/>
          <w:b/>
          <w:bCs/>
        </w:rPr>
        <w:t>If yes, describe a rationale or justification for the changes to the SSIP evaluation plan.</w:t>
      </w:r>
    </w:p>
    <w:p w14:paraId="09BA7D62" w14:textId="77777777" w:rsidR="0041306A" w:rsidRDefault="0041306A" w:rsidP="0041306A">
      <w:pPr>
        <w:rPr>
          <w:b/>
          <w:bCs/>
        </w:rPr>
      </w:pPr>
      <w:r>
        <w:rPr>
          <w:color w:val="000000" w:themeColor="text1"/>
        </w:rPr>
        <w:t xml:space="preserve">While some of the systems implementation activities continue, such as the use of Pyramid Model and the Indicators of Inclusion Frameworks, other activities have been completed and continue to evolve. To be transparent and accountable to partners across the early learning system, an updated evaluation plan was needed. </w:t>
      </w:r>
    </w:p>
    <w:p w14:paraId="5268BF0A" w14:textId="77777777" w:rsidR="00EE4E0F" w:rsidRDefault="00EE4E0F" w:rsidP="003B71AB">
      <w:pPr>
        <w:rPr>
          <w:rFonts w:cs="Arial"/>
          <w:b/>
          <w:bCs/>
        </w:rPr>
      </w:pPr>
    </w:p>
    <w:p w14:paraId="1775C371" w14:textId="77777777" w:rsidR="0041306A" w:rsidRDefault="0041306A" w:rsidP="003B71AB">
      <w:pPr>
        <w:rPr>
          <w:rFonts w:cs="Arial"/>
          <w:b/>
          <w:bCs/>
        </w:rPr>
      </w:pPr>
    </w:p>
    <w:p w14:paraId="1BD7939B" w14:textId="77777777" w:rsidR="003B71AB" w:rsidRPr="00E30972" w:rsidRDefault="00A85B6E" w:rsidP="003B71AB">
      <w:pPr>
        <w:rPr>
          <w:rFonts w:cs="Arial"/>
          <w:b/>
        </w:rPr>
      </w:pPr>
      <w:bookmarkStart w:id="73" w:name="_Hlk109647010"/>
      <w:r w:rsidRPr="008E5E4F">
        <w:rPr>
          <w:rFonts w:cs="Arial"/>
          <w:b/>
          <w:szCs w:val="16"/>
        </w:rPr>
        <w:t>Provide a summary of each infrastructure improvement strategy implemented in the reporting period.</w:t>
      </w:r>
    </w:p>
    <w:bookmarkEnd w:id="73"/>
    <w:p w14:paraId="384654B6" w14:textId="77777777" w:rsidR="00EE4E0F" w:rsidRPr="009A49C9" w:rsidRDefault="00EE4E0F" w:rsidP="00EE4E0F">
      <w:pPr>
        <w:rPr>
          <w:b/>
          <w:bCs/>
        </w:rPr>
      </w:pPr>
      <w:r w:rsidRPr="00ED172B">
        <w:rPr>
          <w:color w:val="000000" w:themeColor="text1"/>
        </w:rPr>
        <w:t xml:space="preserve">The State continues to guide programs to allocate IDEA funds to support implementation, training, and local level professional development activities for National Early Childhood Inclusion Indicators, and Pyramid Model. Additional discretionary funds are used for state level activities such as coordination and regional training opportunities in partnership with other states and Region 10 Head Start. </w:t>
      </w:r>
    </w:p>
    <w:p w14:paraId="7D2C94D1" w14:textId="77777777" w:rsidR="000575B2" w:rsidRDefault="000575B2"/>
    <w:p w14:paraId="325619CD" w14:textId="77777777" w:rsidR="000575B2" w:rsidRDefault="00D6492D">
      <w:r>
        <w:rPr>
          <w:color w:val="000000"/>
        </w:rPr>
        <w:t xml:space="preserve">Infrastructure improvements include the following: </w:t>
      </w:r>
    </w:p>
    <w:p w14:paraId="2C289B53" w14:textId="77777777" w:rsidR="000575B2" w:rsidRDefault="000575B2"/>
    <w:p w14:paraId="2CDB8E6E" w14:textId="77777777" w:rsidR="000575B2" w:rsidRDefault="00D6492D">
      <w:r>
        <w:rPr>
          <w:color w:val="000000"/>
        </w:rPr>
        <w:t xml:space="preserve">Strategy 1: Leverage effective staffing across the Agency and the early learning system to advance implementation of coherent strategies. </w:t>
      </w:r>
    </w:p>
    <w:p w14:paraId="7DF3CC2D" w14:textId="77777777" w:rsidR="000575B2" w:rsidRDefault="000575B2"/>
    <w:p w14:paraId="0CECDFB9" w14:textId="77777777" w:rsidR="000575B2" w:rsidRDefault="00D6492D">
      <w:r>
        <w:rPr>
          <w:color w:val="000000"/>
        </w:rPr>
        <w:t xml:space="preserve">Strategy 2: Develop an improved communication and engagement strategy that includes partners and other agencies serving children and families with disabilities. </w:t>
      </w:r>
    </w:p>
    <w:p w14:paraId="764F7BF8" w14:textId="77777777" w:rsidR="000575B2" w:rsidRDefault="000575B2"/>
    <w:p w14:paraId="6253C909" w14:textId="77777777" w:rsidR="000575B2" w:rsidRDefault="00D6492D">
      <w:r>
        <w:rPr>
          <w:color w:val="000000"/>
        </w:rPr>
        <w:t xml:space="preserve">Strategy 3: Leverage General Supervision and Statewide Accountability processes, data systems, and improvement activities for Child Outcomes, Least Restrictive and Natural Environments, ensuring integrated and aligned mechanisms for evaluation. </w:t>
      </w:r>
    </w:p>
    <w:p w14:paraId="4354467F" w14:textId="77777777" w:rsidR="000575B2" w:rsidRDefault="000575B2"/>
    <w:p w14:paraId="13214304" w14:textId="77777777" w:rsidR="000575B2" w:rsidRDefault="00D6492D">
      <w:r>
        <w:rPr>
          <w:color w:val="000000"/>
        </w:rPr>
        <w:t xml:space="preserve">Strategy 4: Invest in Statewide early learning capacity building efforts alongside cross-agency partners to ensure equitable access to meaningful, effective, and relevant innovations known to improve Child Outcomes, and reduce exclusionary practices. </w:t>
      </w:r>
    </w:p>
    <w:p w14:paraId="7E14B1DD" w14:textId="77777777" w:rsidR="000575B2" w:rsidRDefault="000575B2"/>
    <w:p w14:paraId="7AF85B13" w14:textId="77777777" w:rsidR="000575B2" w:rsidRDefault="00D6492D">
      <w:r>
        <w:rPr>
          <w:color w:val="000000"/>
        </w:rPr>
        <w:t xml:space="preserve">Strategy 5: Increase coordination and alignment across agencies to ensure that efforts to improve outcomes for young children and prevent suspension and expulsion are not in competition or conflict with one another. </w:t>
      </w:r>
    </w:p>
    <w:p w14:paraId="24CAE868" w14:textId="77777777" w:rsidR="000575B2" w:rsidRDefault="000575B2"/>
    <w:p w14:paraId="1742A50A" w14:textId="77777777" w:rsidR="000575B2" w:rsidRDefault="00D6492D">
      <w:r>
        <w:rPr>
          <w:color w:val="000000"/>
        </w:rPr>
        <w:t xml:space="preserve">State staff continue to engage with national TA centers to determine the best way to proceed with expansion of these strategies and effective cross-sector </w:t>
      </w:r>
      <w:proofErr w:type="gramStart"/>
      <w:r>
        <w:rPr>
          <w:color w:val="000000"/>
        </w:rPr>
        <w:t>investing</w:t>
      </w:r>
      <w:proofErr w:type="gramEnd"/>
      <w:r>
        <w:rPr>
          <w:color w:val="000000"/>
        </w:rPr>
        <w:t xml:space="preserve"> to bring implementation efforts to scale. Support topics from WestEd, DASy and ECTA to further improve the state data system, evaluation, and integration of improvement activities into program implementation data report processes.</w:t>
      </w:r>
    </w:p>
    <w:p w14:paraId="72C24081" w14:textId="77777777" w:rsidR="006237B0" w:rsidRDefault="006237B0" w:rsidP="003B71AB">
      <w:pPr>
        <w:rPr>
          <w:rFonts w:cs="Arial"/>
          <w:b/>
          <w:bCs/>
        </w:rPr>
      </w:pPr>
    </w:p>
    <w:p w14:paraId="213186D5" w14:textId="77777777" w:rsidR="006237B0" w:rsidRDefault="00A85B6E" w:rsidP="006237B0">
      <w:pPr>
        <w:rPr>
          <w:rFonts w:cs="Arial"/>
          <w:b/>
          <w:bCs/>
        </w:rPr>
      </w:pPr>
      <w:bookmarkStart w:id="74" w:name="_Hlk109647019"/>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85B6E">
        <w:rPr>
          <w:rFonts w:cs="Arial"/>
          <w:b/>
          <w:bCs/>
        </w:rPr>
        <w:t>SiMR</w:t>
      </w:r>
      <w:proofErr w:type="spellEnd"/>
      <w:r w:rsidRPr="00A85B6E">
        <w:rPr>
          <w:rFonts w:cs="Arial"/>
          <w:b/>
          <w:bCs/>
        </w:rPr>
        <w:t xml:space="preserve">; (b) sustainability of systems improvement efforts; and/or (c) scale-up. </w:t>
      </w:r>
    </w:p>
    <w:bookmarkEnd w:id="74"/>
    <w:p w14:paraId="040E5780" w14:textId="77777777" w:rsidR="000379F6" w:rsidRDefault="00717461" w:rsidP="006237B0">
      <w:pPr>
        <w:rPr>
          <w:rFonts w:cs="Arial"/>
          <w:b/>
          <w:bCs/>
        </w:rPr>
      </w:pPr>
      <w:r w:rsidRPr="00ED172B">
        <w:rPr>
          <w:color w:val="000000" w:themeColor="text1"/>
        </w:rPr>
        <w:t xml:space="preserve">During FFY 2024, Oregon achieved several short-term outcomes aligned with its SSIP infrastructure improvement strategies: </w:t>
      </w:r>
    </w:p>
    <w:p w14:paraId="353F6CDE" w14:textId="77777777" w:rsidR="000575B2" w:rsidRDefault="000575B2"/>
    <w:p w14:paraId="5D40504C" w14:textId="77777777" w:rsidR="000575B2" w:rsidRDefault="00D6492D">
      <w:r>
        <w:rPr>
          <w:color w:val="000000"/>
        </w:rPr>
        <w:t xml:space="preserve">Governance &amp; Cross-System Coordination: Expanded Oregon Early Childhood Inclusion Initiative teams from 3 to 9 communities, covering 16 counties. This strengthened governance and collaboration across agencies, supporting scale-up and sustainability. </w:t>
      </w:r>
    </w:p>
    <w:p w14:paraId="075550AD" w14:textId="77777777" w:rsidR="000575B2" w:rsidRDefault="000575B2"/>
    <w:p w14:paraId="6F04A0E3" w14:textId="77777777" w:rsidR="000575B2" w:rsidRDefault="00D6492D">
      <w:r>
        <w:rPr>
          <w:color w:val="000000"/>
        </w:rPr>
        <w:t xml:space="preserve">Data Systems: Implemented the Pyramid Model Implementation Data System (PIDS) to improve fidelity monitoring and coaching support. Adoption rates and timely data submissions were tracked as measures of success. </w:t>
      </w:r>
    </w:p>
    <w:p w14:paraId="1F9D0C78" w14:textId="77777777" w:rsidR="000575B2" w:rsidRDefault="000575B2"/>
    <w:p w14:paraId="66F40F90" w14:textId="77777777" w:rsidR="000575B2" w:rsidRDefault="00D6492D">
      <w:r>
        <w:rPr>
          <w:color w:val="000000"/>
        </w:rPr>
        <w:lastRenderedPageBreak/>
        <w:t xml:space="preserve">Professional Development &amp; Technical Assistance: Delivered statewide access to </w:t>
      </w:r>
      <w:proofErr w:type="spellStart"/>
      <w:r>
        <w:rPr>
          <w:color w:val="000000"/>
        </w:rPr>
        <w:t>ePyramid</w:t>
      </w:r>
      <w:proofErr w:type="spellEnd"/>
      <w:r>
        <w:rPr>
          <w:color w:val="000000"/>
        </w:rPr>
        <w:t xml:space="preserve"> modules and facilitated virtual series on Pyramid Model practices for EI/ECSE practitioners. Over 80% of targeted staff completed training, supporting workforce capacity and quality standards. </w:t>
      </w:r>
    </w:p>
    <w:p w14:paraId="3C05FB74" w14:textId="77777777" w:rsidR="000575B2" w:rsidRDefault="000575B2"/>
    <w:p w14:paraId="4C8C5972" w14:textId="77777777" w:rsidR="000575B2" w:rsidRDefault="00D6492D">
      <w:r>
        <w:rPr>
          <w:color w:val="000000"/>
        </w:rPr>
        <w:t>Quality Standards: Increased fidelity scores using Early Childhood Benchmarks of Quality (</w:t>
      </w:r>
      <w:proofErr w:type="spellStart"/>
      <w:r>
        <w:rPr>
          <w:color w:val="000000"/>
        </w:rPr>
        <w:t>BoQ</w:t>
      </w:r>
      <w:proofErr w:type="spellEnd"/>
      <w:r>
        <w:rPr>
          <w:color w:val="000000"/>
        </w:rPr>
        <w:t xml:space="preserve">) and TPOT™ assessments in participating programs, demonstrating progress toward evidence-based practice implementation. </w:t>
      </w:r>
    </w:p>
    <w:p w14:paraId="3F504F1E" w14:textId="77777777" w:rsidR="000575B2" w:rsidRDefault="000575B2"/>
    <w:p w14:paraId="06F81089" w14:textId="77777777" w:rsidR="000575B2" w:rsidRDefault="00D6492D">
      <w:r>
        <w:rPr>
          <w:color w:val="000000"/>
        </w:rPr>
        <w:t xml:space="preserve">Stakeholder Engagement: Enhanced communication strategies, including multilingual materials and interpreter access, ensuring equitable participation in SSIP activities. </w:t>
      </w:r>
    </w:p>
    <w:p w14:paraId="759F1B0D" w14:textId="77777777" w:rsidR="000575B2" w:rsidRDefault="000575B2"/>
    <w:p w14:paraId="73DDC645" w14:textId="77777777" w:rsidR="000575B2" w:rsidRDefault="00D6492D">
      <w:r>
        <w:rPr>
          <w:color w:val="000000"/>
        </w:rPr>
        <w:t xml:space="preserve">These outcomes support achievement of the </w:t>
      </w:r>
      <w:proofErr w:type="spellStart"/>
      <w:r>
        <w:rPr>
          <w:color w:val="000000"/>
        </w:rPr>
        <w:t>SiMR</w:t>
      </w:r>
      <w:proofErr w:type="spellEnd"/>
      <w:r>
        <w:rPr>
          <w:color w:val="000000"/>
        </w:rPr>
        <w:t xml:space="preserve"> by improving adult practices that directly impact children’s social-emotional development, sustainability through integrated data systems and coaching structures, and scale-up by expanding implementation teams statewide. </w:t>
      </w:r>
    </w:p>
    <w:p w14:paraId="1E0C2B59" w14:textId="77777777" w:rsidR="009C2256" w:rsidRDefault="009C2256" w:rsidP="009C2256">
      <w:pPr>
        <w:rPr>
          <w:rFonts w:cs="Arial"/>
          <w:b/>
          <w:bCs/>
        </w:rPr>
      </w:pPr>
      <w:bookmarkStart w:id="75" w:name="_Hlk10964702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bookmarkEnd w:id="75"/>
    <w:p w14:paraId="53E7A68F" w14:textId="77777777" w:rsidR="000039B6" w:rsidRPr="000039B6" w:rsidRDefault="000039B6" w:rsidP="009C2256">
      <w:pPr>
        <w:rPr>
          <w:b/>
          <w:bCs/>
        </w:rPr>
      </w:pPr>
      <w:r w:rsidRPr="00ED172B">
        <w:rPr>
          <w:color w:val="000000" w:themeColor="text1"/>
        </w:rPr>
        <w:t>NO</w:t>
      </w:r>
    </w:p>
    <w:p w14:paraId="78EDA2BF" w14:textId="77777777" w:rsidR="00EB4B7B" w:rsidRPr="00EB4B7B" w:rsidRDefault="00EB4B7B" w:rsidP="00EB4B7B">
      <w:pPr>
        <w:rPr>
          <w:rFonts w:cs="Arial"/>
          <w:b/>
          <w:bCs/>
        </w:rPr>
      </w:pPr>
      <w:bookmarkStart w:id="76" w:name="_Hlk109647038"/>
      <w:r w:rsidRPr="00EB4B7B">
        <w:rPr>
          <w:rFonts w:cs="Arial"/>
          <w:b/>
          <w:bCs/>
        </w:rPr>
        <w:t xml:space="preserve">Provide a summary of the next steps for each infrastructure improvement strategy and the anticipated outcomes to be attained during the next reporting period. </w:t>
      </w:r>
    </w:p>
    <w:bookmarkEnd w:id="76"/>
    <w:p w14:paraId="4F8981AE" w14:textId="77777777" w:rsidR="00370225" w:rsidRPr="005137B6" w:rsidRDefault="00370225" w:rsidP="00370225">
      <w:pPr>
        <w:rPr>
          <w:b/>
          <w:bCs/>
        </w:rPr>
      </w:pPr>
      <w:r w:rsidRPr="00ED172B">
        <w:rPr>
          <w:color w:val="000000" w:themeColor="text1"/>
        </w:rPr>
        <w:t xml:space="preserve">For FFY 2025, Oregon will: </w:t>
      </w:r>
    </w:p>
    <w:p w14:paraId="6940D9A2" w14:textId="77777777" w:rsidR="000575B2" w:rsidRDefault="000575B2"/>
    <w:p w14:paraId="77EA0B7E" w14:textId="77777777" w:rsidR="000575B2" w:rsidRDefault="00D6492D">
      <w:r>
        <w:rPr>
          <w:color w:val="000000"/>
        </w:rPr>
        <w:t xml:space="preserve">Expand Implementation Support: Increase the number of trained coaches and include regional technical assistance networks and trainers to sustain Pyramid Model and Inclusion Indicators; Expand implementation to include increased focus on alignment with early literacy, transformational social-emotional learning, and revised Early Learning and Kindergarten Guidelines. </w:t>
      </w:r>
    </w:p>
    <w:p w14:paraId="68C7D356" w14:textId="77777777" w:rsidR="000575B2" w:rsidRDefault="000575B2"/>
    <w:p w14:paraId="5503801A" w14:textId="77777777" w:rsidR="000575B2" w:rsidRDefault="00D6492D">
      <w:r>
        <w:rPr>
          <w:color w:val="000000"/>
        </w:rPr>
        <w:t xml:space="preserve">Advance Data Integration: Fully operationalize PIDS and link fidelity data with child outcome data to inform continuous improvement; Launch modernized General Supervision data system, allowing areas to better measure improvement in child outcomes and access to regular education environment and receive relevant Technical Assistance from the Agency to support progress. </w:t>
      </w:r>
    </w:p>
    <w:p w14:paraId="02565AF0" w14:textId="77777777" w:rsidR="000575B2" w:rsidRDefault="000575B2"/>
    <w:p w14:paraId="45EB5578" w14:textId="77777777" w:rsidR="000575B2" w:rsidRDefault="00D6492D">
      <w:r>
        <w:rPr>
          <w:color w:val="000000"/>
        </w:rPr>
        <w:t xml:space="preserve">Strengthen Equity and Access: Continue to translate all training materials into additional languages and prioritize rural/frontier regions for TA support; Expand supports to families and differentiate guidance across audiences; support training to help partners to better understand child outcomes data and linkages to assessment tools, and improve communication through a comprehensive strategic communications plan developed by the state implementation team. </w:t>
      </w:r>
    </w:p>
    <w:p w14:paraId="703AC3D8" w14:textId="77777777" w:rsidR="000575B2" w:rsidRDefault="000575B2"/>
    <w:p w14:paraId="197831DA" w14:textId="77777777" w:rsidR="000575B2" w:rsidRDefault="00D6492D">
      <w:r>
        <w:rPr>
          <w:color w:val="000000"/>
        </w:rPr>
        <w:t xml:space="preserve">Measure Impact: Conduct annual fidelity checks and publish an equity impact report to monitor progress toward </w:t>
      </w:r>
      <w:proofErr w:type="spellStart"/>
      <w:r>
        <w:rPr>
          <w:color w:val="000000"/>
        </w:rPr>
        <w:t>SiMR</w:t>
      </w:r>
      <w:proofErr w:type="spellEnd"/>
      <w:r>
        <w:rPr>
          <w:color w:val="000000"/>
        </w:rPr>
        <w:t xml:space="preserve"> and inclusion goals. </w:t>
      </w:r>
    </w:p>
    <w:p w14:paraId="331D3FC1" w14:textId="77777777" w:rsidR="000575B2" w:rsidRDefault="000575B2"/>
    <w:p w14:paraId="04239480" w14:textId="77777777" w:rsidR="000575B2" w:rsidRDefault="00D6492D">
      <w:r>
        <w:rPr>
          <w:color w:val="000000"/>
        </w:rPr>
        <w:t xml:space="preserve">Anticipated outcomes include statewide fidelity of Pyramid Model practices, measurable increases in inclusion rates, and improved child social-emotional outcomes as reflected in Indicator C3 and B7 Summary Statement 1. </w:t>
      </w:r>
    </w:p>
    <w:p w14:paraId="6404AD9E" w14:textId="77777777" w:rsidR="009C2256" w:rsidRDefault="009C2256" w:rsidP="006237B0">
      <w:pPr>
        <w:rPr>
          <w:rFonts w:cs="Arial"/>
          <w:b/>
          <w:bCs/>
        </w:rPr>
      </w:pPr>
    </w:p>
    <w:p w14:paraId="22856C4E" w14:textId="77777777" w:rsidR="0072398B" w:rsidRDefault="0072398B" w:rsidP="0072398B">
      <w:pPr>
        <w:rPr>
          <w:rFonts w:cs="Arial"/>
          <w:b/>
          <w:bCs/>
        </w:rPr>
      </w:pPr>
      <w:bookmarkStart w:id="77" w:name="_Hlk109647044"/>
      <w:r w:rsidRPr="0072398B">
        <w:rPr>
          <w:rFonts w:cs="Arial"/>
          <w:b/>
          <w:bCs/>
        </w:rPr>
        <w:t>List the selected evidence-based practices implemented in the reporting period:</w:t>
      </w:r>
    </w:p>
    <w:bookmarkEnd w:id="77"/>
    <w:p w14:paraId="7398A102" w14:textId="77777777" w:rsidR="00582D95" w:rsidRDefault="00582D95" w:rsidP="00582D95">
      <w:pPr>
        <w:rPr>
          <w:color w:val="000000" w:themeColor="text1"/>
        </w:rPr>
      </w:pPr>
      <w:r w:rsidRPr="00ED172B">
        <w:rPr>
          <w:color w:val="000000" w:themeColor="text1"/>
        </w:rPr>
        <w:t xml:space="preserve">Oregon Early Childhood Inclusion (Pyramid Model, Early Childhood Inclusion Indicators Initiative), Coaching and Professional Learning Communities. </w:t>
      </w:r>
    </w:p>
    <w:p w14:paraId="4165BE2A" w14:textId="77777777" w:rsidR="00047DA0" w:rsidRPr="005137B6" w:rsidRDefault="00047DA0" w:rsidP="00582D95">
      <w:pPr>
        <w:rPr>
          <w:b/>
          <w:bCs/>
        </w:rPr>
      </w:pPr>
    </w:p>
    <w:p w14:paraId="773D3595" w14:textId="77777777" w:rsidR="002679EA" w:rsidRDefault="00AB24A4" w:rsidP="00AB24A4">
      <w:pPr>
        <w:rPr>
          <w:rFonts w:cs="Arial"/>
          <w:b/>
          <w:bCs/>
        </w:rPr>
      </w:pPr>
      <w:bookmarkStart w:id="78" w:name="_Hlk109647049"/>
      <w:r w:rsidRPr="00AB24A4">
        <w:rPr>
          <w:rFonts w:cs="Arial"/>
          <w:b/>
          <w:bCs/>
        </w:rPr>
        <w:t>Provide a summary of each evidence-based practice.</w:t>
      </w:r>
    </w:p>
    <w:bookmarkEnd w:id="78"/>
    <w:p w14:paraId="023D9DA7" w14:textId="77777777" w:rsidR="002679EA" w:rsidRPr="005137B6" w:rsidRDefault="002679EA" w:rsidP="002679EA">
      <w:pPr>
        <w:rPr>
          <w:b/>
          <w:bCs/>
        </w:rPr>
      </w:pPr>
      <w:r w:rsidRPr="00ED172B">
        <w:rPr>
          <w:color w:val="000000" w:themeColor="text1"/>
        </w:rPr>
        <w:t xml:space="preserve">The State continued to invest in implementation of Pyramid Model, National Early Childhood Inclusion Indicators Initiative. These approaches are directly related to improving child outcomes outlined in the </w:t>
      </w:r>
      <w:proofErr w:type="spellStart"/>
      <w:r w:rsidRPr="00ED172B">
        <w:rPr>
          <w:color w:val="000000" w:themeColor="text1"/>
        </w:rPr>
        <w:t>SiMR</w:t>
      </w:r>
      <w:proofErr w:type="spellEnd"/>
      <w:r w:rsidRPr="00ED172B">
        <w:rPr>
          <w:color w:val="000000" w:themeColor="text1"/>
        </w:rPr>
        <w:t xml:space="preserve"> and have been effective in advancing child outcomes, reducing teacher stress, and supporting a comprehensive understanding of the practices and assessment tools needed to address the social-emotional needs of young children with and without disabilities. </w:t>
      </w:r>
    </w:p>
    <w:p w14:paraId="10D5C159" w14:textId="77777777" w:rsidR="000575B2" w:rsidRDefault="00D6492D">
      <w:r>
        <w:rPr>
          <w:color w:val="000000"/>
        </w:rPr>
        <w:t xml:space="preserve"> </w:t>
      </w:r>
    </w:p>
    <w:p w14:paraId="73673737" w14:textId="77777777" w:rsidR="000575B2" w:rsidRDefault="00D6492D">
      <w:r>
        <w:rPr>
          <w:color w:val="000000"/>
        </w:rPr>
        <w:t xml:space="preserve">The Pyramid Model is a conceptual framework of evidence-based practices that promote the healthy development of children’s social emotional development. The Pyramid Model builds upon a tiered system of support that addresses the needs of all, provided guidance about targeted </w:t>
      </w:r>
      <w:proofErr w:type="gramStart"/>
      <w:r>
        <w:rPr>
          <w:color w:val="000000"/>
        </w:rPr>
        <w:t>supports</w:t>
      </w:r>
      <w:proofErr w:type="gramEnd"/>
      <w:r>
        <w:rPr>
          <w:color w:val="000000"/>
        </w:rPr>
        <w:t xml:space="preserve"> that some children may need to support their learning, and identifies tools and supports for intensive interventions that may be needed for a few children in their early years. </w:t>
      </w:r>
    </w:p>
    <w:p w14:paraId="59BE3F8D" w14:textId="77777777" w:rsidR="000575B2" w:rsidRDefault="00D6492D">
      <w:r>
        <w:rPr>
          <w:color w:val="000000"/>
        </w:rPr>
        <w:t xml:space="preserve"> </w:t>
      </w:r>
    </w:p>
    <w:p w14:paraId="7298E6C0" w14:textId="77777777" w:rsidR="000575B2" w:rsidRDefault="00D6492D">
      <w:r>
        <w:rPr>
          <w:color w:val="000000"/>
        </w:rPr>
        <w:t xml:space="preserve">The National Early Childhood Inclusion Indicators are the culmination of two years of deep engagement by the Early Childhood Technical Assistance Center and the National Center for Pyramid Model Innovations with key early learning partners at the national, state, and local level. The results of this outreach are a set of quality indicators that address inclusive policies and practices at the four levels of a State early care and education system: State, community, program, and early care and education environment (classroom).  </w:t>
      </w:r>
    </w:p>
    <w:p w14:paraId="6ED94E7B" w14:textId="77777777" w:rsidR="000575B2" w:rsidRDefault="000575B2"/>
    <w:p w14:paraId="21A4B2E8" w14:textId="77777777" w:rsidR="000575B2" w:rsidRDefault="00D6492D">
      <w:r>
        <w:rPr>
          <w:color w:val="000000"/>
        </w:rPr>
        <w:t xml:space="preserve">Practice-Based Coaching and Professional Learning Communities, with Communities of </w:t>
      </w:r>
      <w:proofErr w:type="gramStart"/>
      <w:r>
        <w:rPr>
          <w:color w:val="000000"/>
        </w:rPr>
        <w:t>Practice</w:t>
      </w:r>
      <w:proofErr w:type="gramEnd"/>
      <w:r>
        <w:rPr>
          <w:color w:val="000000"/>
        </w:rPr>
        <w:t xml:space="preserve"> are effective and equitable strategies for enhancing adult learning through the provision of on-the job learning opportunities and feedback aligned with professional goals for practice improvement.  </w:t>
      </w:r>
    </w:p>
    <w:p w14:paraId="46702940" w14:textId="77777777" w:rsidR="00AB24A4" w:rsidRPr="00AB24A4" w:rsidRDefault="00AB24A4" w:rsidP="00AB24A4">
      <w:pPr>
        <w:rPr>
          <w:rFonts w:cs="Arial"/>
          <w:b/>
          <w:bCs/>
        </w:rPr>
      </w:pPr>
      <w:r w:rsidRPr="00AB24A4">
        <w:rPr>
          <w:rFonts w:cs="Arial"/>
          <w:b/>
          <w:bCs/>
        </w:rPr>
        <w:t xml:space="preserve"> </w:t>
      </w:r>
    </w:p>
    <w:p w14:paraId="57EB5437" w14:textId="77777777" w:rsidR="00F05ED0" w:rsidRDefault="00B8661E" w:rsidP="00B8661E">
      <w:pPr>
        <w:rPr>
          <w:rFonts w:cs="Arial"/>
          <w:b/>
          <w:bCs/>
        </w:rPr>
      </w:pPr>
      <w:bookmarkStart w:id="79" w:name="_Hlk109647058"/>
      <w:proofErr w:type="gramStart"/>
      <w:r w:rsidRPr="00B8661E">
        <w:rPr>
          <w:rFonts w:cs="Arial"/>
          <w:b/>
          <w:bCs/>
        </w:rPr>
        <w:t>Provide</w:t>
      </w:r>
      <w:proofErr w:type="gramEnd"/>
      <w:r w:rsidRPr="00B8661E">
        <w:rPr>
          <w:rFonts w:cs="Arial"/>
          <w:b/>
          <w:bCs/>
        </w:rPr>
        <w:t xml:space="preserve"> a summary of how each evidence-based practices and activities or strategies that support its use, is intended to impact the </w:t>
      </w:r>
      <w:proofErr w:type="spellStart"/>
      <w:r w:rsidRPr="00B8661E">
        <w:rPr>
          <w:rFonts w:cs="Arial"/>
          <w:b/>
          <w:bCs/>
        </w:rPr>
        <w:t>SiMR</w:t>
      </w:r>
      <w:proofErr w:type="spellEnd"/>
      <w:r w:rsidRPr="00B8661E">
        <w:rPr>
          <w:rFonts w:cs="Arial"/>
          <w:b/>
          <w:bCs/>
        </w:rPr>
        <w:t xml:space="preserve"> by changing program/district policies, procedures, and/or practices, teacher/provider practices (e.g., behaviors), parent/caregiver outcomes, and/or child/outcomes. </w:t>
      </w:r>
    </w:p>
    <w:bookmarkEnd w:id="79"/>
    <w:p w14:paraId="7A0AA542" w14:textId="77777777" w:rsidR="00F05ED0" w:rsidRPr="005137B6" w:rsidRDefault="00F05ED0" w:rsidP="00F05ED0">
      <w:pPr>
        <w:rPr>
          <w:b/>
          <w:bCs/>
        </w:rPr>
      </w:pPr>
      <w:r w:rsidRPr="00ED172B">
        <w:rPr>
          <w:color w:val="000000" w:themeColor="text1"/>
        </w:rPr>
        <w:t xml:space="preserve">Through implementation of the above-mentioned frameworks and classroom practices, the State utilizes practice-based coaching as the vehicle of professional development in combination with workshops, communities of practice and professional learning communities. These strategies for delivering professional development to impact and effect practice change have been identified for additional investment for improvement efforts across the State, leading regional programs to invest in additional supports to ensure staff have the skills to be effective coaches, as they lead and learn together alongside families and other caregivers.  </w:t>
      </w:r>
    </w:p>
    <w:p w14:paraId="0572C8AB" w14:textId="77777777" w:rsidR="000575B2" w:rsidRDefault="000575B2"/>
    <w:p w14:paraId="1F890CFC" w14:textId="77777777" w:rsidR="000575B2" w:rsidRDefault="00D6492D">
      <w:r>
        <w:rPr>
          <w:color w:val="000000"/>
        </w:rPr>
        <w:lastRenderedPageBreak/>
        <w:t xml:space="preserve">For more information about the impact on community systems, practices, policies and procedures review the 2025 Oregon Early Childhood Inclusion Initiative Impact Report found at https://www.oregon.gov/ode/students-and-family/SpecialEducation/earlyintervention/Pages/oeci.aspx </w:t>
      </w:r>
    </w:p>
    <w:p w14:paraId="67C3D040" w14:textId="77777777" w:rsidR="00B8661E" w:rsidRPr="00B8661E" w:rsidRDefault="00B8661E" w:rsidP="00B8661E">
      <w:pPr>
        <w:rPr>
          <w:rFonts w:cs="Arial"/>
          <w:b/>
          <w:bCs/>
        </w:rPr>
      </w:pPr>
      <w:r w:rsidRPr="00B8661E">
        <w:rPr>
          <w:rFonts w:cs="Arial"/>
          <w:b/>
          <w:bCs/>
        </w:rPr>
        <w:t xml:space="preserve"> </w:t>
      </w:r>
    </w:p>
    <w:p w14:paraId="5E1903A3" w14:textId="77777777" w:rsidR="00F008FE" w:rsidRDefault="00F008FE" w:rsidP="00F008FE">
      <w:pPr>
        <w:rPr>
          <w:rFonts w:cs="Arial"/>
          <w:b/>
          <w:bCs/>
        </w:rPr>
      </w:pPr>
      <w:bookmarkStart w:id="80" w:name="_Hlk109647063"/>
      <w:r w:rsidRPr="00F008FE">
        <w:rPr>
          <w:rFonts w:cs="Arial"/>
          <w:b/>
          <w:bCs/>
        </w:rPr>
        <w:t xml:space="preserve">Describe the data collected to monitor fidelity of implementation and to assess practice change. </w:t>
      </w:r>
    </w:p>
    <w:bookmarkEnd w:id="80"/>
    <w:p w14:paraId="00AD5CA2" w14:textId="77777777" w:rsidR="0051509A" w:rsidRPr="005137B6" w:rsidRDefault="0051509A" w:rsidP="0051509A">
      <w:pPr>
        <w:rPr>
          <w:b/>
          <w:bCs/>
        </w:rPr>
      </w:pPr>
      <w:r w:rsidRPr="00ED172B">
        <w:rPr>
          <w:color w:val="000000" w:themeColor="text1"/>
        </w:rPr>
        <w:t xml:space="preserve">For the Pyramid Model, the State used multiple fidelity measures to measure fidelity of implementation including State Benchmarks of Quality, Early Childhood Benchmarks of Quality, Teaching Practices Observation Tool (TPOT), Coaching Logs and Behavior Incident Reporting System data.  </w:t>
      </w:r>
    </w:p>
    <w:p w14:paraId="15C77338" w14:textId="77777777" w:rsidR="000575B2" w:rsidRDefault="00D6492D">
      <w:r>
        <w:rPr>
          <w:color w:val="000000"/>
        </w:rPr>
        <w:t xml:space="preserve"> </w:t>
      </w:r>
    </w:p>
    <w:p w14:paraId="1F9BDFF2" w14:textId="77777777" w:rsidR="000575B2" w:rsidRDefault="00D6492D">
      <w:r>
        <w:rPr>
          <w:color w:val="000000"/>
        </w:rPr>
        <w:t xml:space="preserve">For completion of the Indicators for High-Quality Early Childhood Inclusion three implementing communities and the State Leadership Team gathered two data points. The State Leadership Team completed the State Indicators of High-Quality </w:t>
      </w:r>
      <w:proofErr w:type="gramStart"/>
      <w:r>
        <w:rPr>
          <w:color w:val="000000"/>
        </w:rPr>
        <w:t>Inclusion</w:t>
      </w:r>
      <w:proofErr w:type="gramEnd"/>
      <w:r>
        <w:rPr>
          <w:color w:val="000000"/>
        </w:rPr>
        <w:t xml:space="preserve"> and each community team completed the Community Indicators and Elements of High-Quality Inclusion. </w:t>
      </w:r>
    </w:p>
    <w:p w14:paraId="39EB1986" w14:textId="77777777" w:rsidR="000575B2" w:rsidRDefault="000575B2"/>
    <w:p w14:paraId="0B3EFA45" w14:textId="77777777" w:rsidR="000575B2" w:rsidRDefault="00D6492D">
      <w:r>
        <w:rPr>
          <w:color w:val="000000"/>
        </w:rPr>
        <w:t xml:space="preserve">Additional data was collected through survey and interview with Community and State Leadership Team participants during mid-year and end-of year events for Oregon Early Childhood Inclusion.  </w:t>
      </w:r>
    </w:p>
    <w:p w14:paraId="0A13D6ED" w14:textId="77777777" w:rsidR="000575B2" w:rsidRDefault="000575B2"/>
    <w:p w14:paraId="3628FBDE" w14:textId="77777777" w:rsidR="000575B2" w:rsidRDefault="00D6492D">
      <w:r>
        <w:rPr>
          <w:color w:val="000000"/>
        </w:rPr>
        <w:t xml:space="preserve">Data briefs and other reports can be found on the Oregon Inclusion Initiative website. (https://health.oregonstate.edu/elsi/oregon-inclusion-initiative) and on the ODE website: https://www.oregon.gov/ode/students-and-family/SpecialEducation/earlyintervention/Pages/oeci.aspx. </w:t>
      </w:r>
    </w:p>
    <w:p w14:paraId="5D534F36" w14:textId="77777777" w:rsidR="0051509A" w:rsidRPr="00F008FE" w:rsidRDefault="0051509A" w:rsidP="00F008FE">
      <w:pPr>
        <w:rPr>
          <w:rFonts w:cs="Arial"/>
          <w:b/>
          <w:bCs/>
        </w:rPr>
      </w:pPr>
    </w:p>
    <w:p w14:paraId="6012A31B" w14:textId="77777777" w:rsidR="00F255D2" w:rsidRPr="006A6410" w:rsidRDefault="006A6410" w:rsidP="00F255D2">
      <w:pPr>
        <w:rPr>
          <w:rFonts w:cs="Arial"/>
          <w:b/>
          <w:bCs/>
        </w:rPr>
      </w:pPr>
      <w:bookmarkStart w:id="81" w:name="_Hlk109647068"/>
      <w:r w:rsidRPr="00E30972">
        <w:rPr>
          <w:rFonts w:cs="Arial"/>
          <w:b/>
          <w:bCs/>
        </w:rPr>
        <w:t xml:space="preserve">Describe any additional data (e.g., progress monitoring) that was collected that supports the decision to continue the ongoing use of each evidence-based practice. </w:t>
      </w:r>
    </w:p>
    <w:bookmarkEnd w:id="81"/>
    <w:p w14:paraId="46083081" w14:textId="77777777" w:rsidR="00107600" w:rsidRPr="005137B6" w:rsidRDefault="00107600" w:rsidP="00107600">
      <w:pPr>
        <w:rPr>
          <w:b/>
          <w:bCs/>
        </w:rPr>
      </w:pPr>
      <w:r w:rsidRPr="00ED172B">
        <w:rPr>
          <w:color w:val="000000" w:themeColor="text1"/>
        </w:rPr>
        <w:t xml:space="preserve">Local level performance indicator data for C3, B6, and B7 data were collected in each implementing community and program. These data were shared with partners as part of the annual review process with the EI/ECSE Contractors, the Oregon Early Childhood Inclusion State Leadership Team, and the State Interagency Coordinating Council. In the data presented by the Early Childhood Coherent Strategies specialist, it was observed that accelerated growth occurred in implementation communities that used the Early Childhood Inclusion Indicators at the community level and the Indicators and Pyramid Model Framework at the Program level had remained stable, this also included factors regarding increased enrollment to pre-pandemic levels. This data was presented to SICC in January and Spring 2025.   </w:t>
      </w:r>
    </w:p>
    <w:p w14:paraId="43399BB5" w14:textId="77777777" w:rsidR="00107600" w:rsidRDefault="00107600" w:rsidP="00F255D2">
      <w:pPr>
        <w:rPr>
          <w:rFonts w:cs="Arial"/>
          <w:b/>
          <w:bCs/>
        </w:rPr>
      </w:pPr>
    </w:p>
    <w:p w14:paraId="1417363D" w14:textId="77777777" w:rsidR="006A6410" w:rsidRDefault="006A6410" w:rsidP="00064BA4">
      <w:pPr>
        <w:rPr>
          <w:rFonts w:cs="Arial"/>
          <w:b/>
          <w:bCs/>
        </w:rPr>
      </w:pPr>
      <w:bookmarkStart w:id="82" w:name="_Hlk109647074"/>
      <w:r w:rsidRPr="006A6410">
        <w:rPr>
          <w:rFonts w:cs="Arial"/>
          <w:b/>
          <w:bCs/>
        </w:rPr>
        <w:t xml:space="preserve">Provide a summary of the next steps for each evidence-based practice and the anticipated outcomes to be attained during the next reporting period. </w:t>
      </w:r>
    </w:p>
    <w:bookmarkEnd w:id="82"/>
    <w:p w14:paraId="59888093" w14:textId="77777777" w:rsidR="00026ADD" w:rsidRPr="005137B6" w:rsidRDefault="00026ADD" w:rsidP="00026ADD">
      <w:pPr>
        <w:rPr>
          <w:b/>
          <w:bCs/>
        </w:rPr>
      </w:pPr>
      <w:r w:rsidRPr="00ED172B">
        <w:rPr>
          <w:color w:val="000000" w:themeColor="text1"/>
        </w:rPr>
        <w:t xml:space="preserve">Given the results and expansion to 9 communities, ODE plans to continue shared investment in the implementation support team, which included evaluation and research staff from Oregon State University. The shared investment and expansion of the team to include a data support analyst will provide the state with more valid, reliable, and complete implementation data supporting coaches, providers, and programs with data for review by program, community, and state leadership teams.  </w:t>
      </w:r>
    </w:p>
    <w:p w14:paraId="64B96D01" w14:textId="77777777" w:rsidR="000575B2" w:rsidRDefault="000575B2"/>
    <w:p w14:paraId="3897A4E4" w14:textId="77777777" w:rsidR="000575B2" w:rsidRDefault="00D6492D">
      <w:r>
        <w:rPr>
          <w:color w:val="000000"/>
        </w:rPr>
        <w:t xml:space="preserve">This data will continue to inform the State Leadership Team for Oregon Early Childhood Inclusion and the </w:t>
      </w:r>
      <w:proofErr w:type="spellStart"/>
      <w:r>
        <w:rPr>
          <w:color w:val="000000"/>
        </w:rPr>
        <w:t>Advosory</w:t>
      </w:r>
      <w:proofErr w:type="spellEnd"/>
      <w:r>
        <w:rPr>
          <w:color w:val="000000"/>
        </w:rPr>
        <w:t xml:space="preserve"> Team for Every Child Belongs, a program funded and guided by the Department of Early Learning and Care.  Through a collaborative impact report, data will be shared annually and released in partnership with the State Leadership Team for High Quality Inclusion.  </w:t>
      </w:r>
    </w:p>
    <w:p w14:paraId="2C9D9D64" w14:textId="77777777" w:rsidR="000575B2" w:rsidRDefault="000575B2"/>
    <w:p w14:paraId="35ABC1A5" w14:textId="77777777" w:rsidR="000575B2" w:rsidRDefault="00D6492D">
      <w:r>
        <w:rPr>
          <w:color w:val="000000"/>
        </w:rPr>
        <w:t xml:space="preserve">Results of investment in the Implementation Support Team will result in expansion of Pyramid Model Framework statewide and sustained systems coaching support within 9 regions. Plans for implementation of the inclusion indicators will follow progress and support to train regional training and technical assistance networks. This has a particular impact </w:t>
      </w:r>
      <w:proofErr w:type="gramStart"/>
      <w:r>
        <w:rPr>
          <w:color w:val="000000"/>
        </w:rPr>
        <w:t>in</w:t>
      </w:r>
      <w:proofErr w:type="gramEnd"/>
      <w:r>
        <w:rPr>
          <w:color w:val="000000"/>
        </w:rPr>
        <w:t xml:space="preserve"> rural and frontier regions of the state who have </w:t>
      </w:r>
      <w:proofErr w:type="gramStart"/>
      <w:r>
        <w:rPr>
          <w:color w:val="000000"/>
        </w:rPr>
        <w:t>had limited</w:t>
      </w:r>
      <w:proofErr w:type="gramEnd"/>
      <w:r>
        <w:rPr>
          <w:color w:val="000000"/>
        </w:rPr>
        <w:t xml:space="preserve"> access to quality training and support. This partnership </w:t>
      </w:r>
      <w:proofErr w:type="gramStart"/>
      <w:r>
        <w:rPr>
          <w:color w:val="000000"/>
        </w:rPr>
        <w:t>will also</w:t>
      </w:r>
      <w:proofErr w:type="gramEnd"/>
      <w:r>
        <w:rPr>
          <w:color w:val="000000"/>
        </w:rPr>
        <w:t xml:space="preserve"> ensure continued translation of materials into other languages for monolingual coaches and providers, ensuring an expansion of equitable access to high quality </w:t>
      </w:r>
      <w:proofErr w:type="gramStart"/>
      <w:r>
        <w:rPr>
          <w:color w:val="000000"/>
        </w:rPr>
        <w:t>trainings</w:t>
      </w:r>
      <w:proofErr w:type="gramEnd"/>
      <w:r>
        <w:rPr>
          <w:color w:val="000000"/>
        </w:rPr>
        <w:t xml:space="preserve">, resources, and </w:t>
      </w:r>
      <w:proofErr w:type="gramStart"/>
      <w:r>
        <w:rPr>
          <w:color w:val="000000"/>
        </w:rPr>
        <w:t>supports to</w:t>
      </w:r>
      <w:proofErr w:type="gramEnd"/>
      <w:r>
        <w:rPr>
          <w:color w:val="000000"/>
        </w:rPr>
        <w:t xml:space="preserve"> the entire early learning system who serves and supports young children experiencing disability. </w:t>
      </w:r>
    </w:p>
    <w:p w14:paraId="1930B940" w14:textId="77777777" w:rsidR="00026ADD" w:rsidRDefault="00026ADD" w:rsidP="00064BA4">
      <w:pPr>
        <w:rPr>
          <w:rFonts w:cs="Arial"/>
          <w:b/>
          <w:bCs/>
        </w:rPr>
      </w:pPr>
      <w:bookmarkStart w:id="83" w:name="_Hlk109647080"/>
    </w:p>
    <w:bookmarkEnd w:id="83"/>
    <w:p w14:paraId="7D3F8BB6" w14:textId="77777777" w:rsidR="00253D4F" w:rsidRPr="006A3544" w:rsidRDefault="00253D4F" w:rsidP="00253D4F">
      <w:pPr>
        <w:rPr>
          <w:b/>
          <w:bCs/>
          <w:szCs w:val="16"/>
        </w:rPr>
      </w:pPr>
      <w:r w:rsidRPr="006A3544">
        <w:rPr>
          <w:b/>
          <w:bCs/>
          <w:szCs w:val="16"/>
        </w:rPr>
        <w:t xml:space="preserve">Does the State intend to continue implementing </w:t>
      </w:r>
      <w:proofErr w:type="gramStart"/>
      <w:r w:rsidRPr="006A3544">
        <w:rPr>
          <w:b/>
          <w:bCs/>
          <w:szCs w:val="16"/>
        </w:rPr>
        <w:t>the SSIP</w:t>
      </w:r>
      <w:proofErr w:type="gramEnd"/>
      <w:r w:rsidRPr="006A3544">
        <w:rPr>
          <w:b/>
          <w:bCs/>
          <w:szCs w:val="16"/>
        </w:rPr>
        <w:t xml:space="preserve"> without modifications? </w:t>
      </w:r>
      <w:r w:rsidRPr="006A3544">
        <w:rPr>
          <w:rFonts w:cs="Arial"/>
          <w:b/>
          <w:bCs/>
        </w:rPr>
        <w:t>(yes/no)</w:t>
      </w:r>
    </w:p>
    <w:p w14:paraId="09DFBF8E" w14:textId="77777777" w:rsidR="00540BB9" w:rsidRDefault="00540BB9" w:rsidP="00253D4F">
      <w:r w:rsidRPr="00781112">
        <w:t>NO</w:t>
      </w:r>
    </w:p>
    <w:p w14:paraId="67C45691" w14:textId="77777777" w:rsidR="00253D4F" w:rsidRPr="006A3544" w:rsidRDefault="00253D4F" w:rsidP="00253D4F">
      <w:pPr>
        <w:rPr>
          <w:b/>
          <w:bCs/>
          <w:szCs w:val="16"/>
        </w:rPr>
      </w:pPr>
      <w:r w:rsidRPr="006A3544">
        <w:rPr>
          <w:b/>
          <w:bCs/>
          <w:szCs w:val="16"/>
        </w:rPr>
        <w:t xml:space="preserve">If </w:t>
      </w:r>
      <w:proofErr w:type="gramStart"/>
      <w:r w:rsidRPr="006A3544">
        <w:rPr>
          <w:b/>
          <w:bCs/>
          <w:szCs w:val="16"/>
        </w:rPr>
        <w:t>no</w:t>
      </w:r>
      <w:proofErr w:type="gramEnd"/>
      <w:r w:rsidRPr="006A3544">
        <w:rPr>
          <w:b/>
          <w:bCs/>
          <w:szCs w:val="16"/>
        </w:rPr>
        <w:t xml:space="preserve">, describe any changes to the activities, strategies or timelines described in the previous submission and include a rationale or justification for the changes. </w:t>
      </w:r>
    </w:p>
    <w:p w14:paraId="7239EA6A" w14:textId="77777777" w:rsidR="00540BB9" w:rsidRDefault="00540BB9" w:rsidP="00540BB9">
      <w:r w:rsidRPr="00781112">
        <w:t xml:space="preserve">In the continued effort to ensure alignment and coherence across systems, ODE will integrate other activities from Raise Up Oregon and the ODE Accountability Framework to the SSIP in the next two years. This includes revision of the Early Learning and Kindergarten Guidelines, Early Literacy Framework, Transition to AEPS-3, Modernization of the General Supervision System for IDEA Part C and Part B, Release of Policy and Practice Briefs, Bi-annual Workforce Needs Survey and Training and Technical Assistance to support effective implementation of IDEA.   </w:t>
      </w:r>
    </w:p>
    <w:p w14:paraId="32E2DA5F" w14:textId="77777777" w:rsidR="00436802" w:rsidRDefault="00436802" w:rsidP="00F255D2">
      <w:pPr>
        <w:rPr>
          <w:color w:val="000000" w:themeColor="text1"/>
        </w:rPr>
      </w:pPr>
    </w:p>
    <w:p w14:paraId="43E03DB6" w14:textId="77777777" w:rsidR="00436802" w:rsidRPr="00B50A83" w:rsidRDefault="00436802" w:rsidP="00F255D2">
      <w:pPr>
        <w:rPr>
          <w:b/>
          <w:bCs/>
        </w:rPr>
      </w:pPr>
    </w:p>
    <w:p w14:paraId="0CAC48BC" w14:textId="77777777" w:rsidR="00436802" w:rsidRDefault="000F3CCC" w:rsidP="000F3CCC">
      <w:pPr>
        <w:rPr>
          <w:rFonts w:cs="Arial"/>
          <w:b/>
          <w:bCs/>
        </w:rPr>
      </w:pPr>
      <w:r w:rsidRPr="000F3CCC">
        <w:rPr>
          <w:rFonts w:cs="Arial"/>
          <w:b/>
          <w:bCs/>
        </w:rPr>
        <w:t>Section C: Stakeholder Engagement</w:t>
      </w:r>
    </w:p>
    <w:p w14:paraId="486F1110" w14:textId="77777777" w:rsidR="00436802" w:rsidRDefault="00436802" w:rsidP="00436802">
      <w:pPr>
        <w:pStyle w:val="Bold"/>
        <w:rPr>
          <w:color w:val="000000" w:themeColor="text1"/>
        </w:rPr>
      </w:pPr>
      <w:r w:rsidRPr="00A10714">
        <w:rPr>
          <w:color w:val="000000" w:themeColor="text1"/>
        </w:rPr>
        <w:t>Description of Stakeholder Input</w:t>
      </w:r>
    </w:p>
    <w:p w14:paraId="67EE7890" w14:textId="77777777" w:rsidR="00436802" w:rsidRDefault="00436802" w:rsidP="00436802">
      <w:pPr>
        <w:rPr>
          <w:color w:val="000000" w:themeColor="text1"/>
        </w:rPr>
      </w:pPr>
      <w:r w:rsidRPr="00ED172B">
        <w:rPr>
          <w:color w:val="000000" w:themeColor="text1"/>
        </w:rPr>
        <w:t xml:space="preserve">The State engages stakeholders through the State Interagency Coordinating Council (SICC), collaboration with the parent training and information center (FACT Oregon), public reporting, and targeted outreach efforts. These structures support stakeholder involvement in reviewing data, setting targets, shaping improvement strategies, and monitoring progress. The State has made focused efforts to broaden participation in the SICC and to strengthen connections with Local Interagency Coordinating Councils. The State also works to improve participation in the annual Parent Survey and to ensure feedback from families </w:t>
      </w:r>
      <w:proofErr w:type="gramStart"/>
      <w:r w:rsidRPr="00ED172B">
        <w:rPr>
          <w:color w:val="000000" w:themeColor="text1"/>
        </w:rPr>
        <w:t>informs</w:t>
      </w:r>
      <w:proofErr w:type="gramEnd"/>
      <w:r w:rsidRPr="00ED172B">
        <w:rPr>
          <w:color w:val="000000" w:themeColor="text1"/>
        </w:rPr>
        <w:t xml:space="preserve"> system improvement activities.</w:t>
      </w:r>
    </w:p>
    <w:p w14:paraId="42941FC7" w14:textId="77777777" w:rsidR="00436802" w:rsidRPr="00ED172B" w:rsidRDefault="00436802" w:rsidP="00436802">
      <w:pPr>
        <w:pStyle w:val="Bold"/>
        <w:rPr>
          <w:b w:val="0"/>
          <w:color w:val="000000" w:themeColor="text1"/>
        </w:rPr>
      </w:pPr>
      <w:r w:rsidRPr="00ED172B">
        <w:rPr>
          <w:rFonts w:cs="Arial"/>
          <w:b w:val="0"/>
          <w:color w:val="000000" w:themeColor="text1"/>
          <w:szCs w:val="16"/>
        </w:rPr>
        <w:t xml:space="preserve">The State collaborates with FACT, the Parent Advocacy Center, to build the capacity of diverse groups of parents in supporting the development and implementation of activities aimed at improving outcomes for infants and toddlers with disabilities and their families. Through this partnership, the State </w:t>
      </w:r>
      <w:r w:rsidRPr="00ED172B">
        <w:rPr>
          <w:rFonts w:cs="Arial"/>
          <w:b w:val="0"/>
          <w:color w:val="000000" w:themeColor="text1"/>
          <w:szCs w:val="16"/>
        </w:rPr>
        <w:lastRenderedPageBreak/>
        <w:t xml:space="preserve">works to empower parents from a variety of backgrounds to engage in activities that enhance the quality of services and </w:t>
      </w:r>
      <w:proofErr w:type="gramStart"/>
      <w:r w:rsidRPr="00ED172B">
        <w:rPr>
          <w:rFonts w:cs="Arial"/>
          <w:b w:val="0"/>
          <w:color w:val="000000" w:themeColor="text1"/>
          <w:szCs w:val="16"/>
        </w:rPr>
        <w:t>supports</w:t>
      </w:r>
      <w:proofErr w:type="gramEnd"/>
      <w:r w:rsidRPr="00ED172B">
        <w:rPr>
          <w:rFonts w:cs="Arial"/>
          <w:b w:val="0"/>
          <w:color w:val="000000" w:themeColor="text1"/>
          <w:szCs w:val="16"/>
        </w:rPr>
        <w:t xml:space="preserve"> for children with disabilities. </w:t>
      </w:r>
    </w:p>
    <w:p w14:paraId="4793EB9C" w14:textId="77777777" w:rsidR="000575B2" w:rsidRDefault="000575B2">
      <w:pPr>
        <w:pStyle w:val="Bold"/>
      </w:pPr>
    </w:p>
    <w:p w14:paraId="10C2A31B" w14:textId="77777777" w:rsidR="000575B2" w:rsidRDefault="00D6492D">
      <w:pPr>
        <w:pStyle w:val="Bold"/>
      </w:pPr>
      <w:r>
        <w:rPr>
          <w:b w:val="0"/>
          <w:color w:val="000000"/>
        </w:rPr>
        <w:t xml:space="preserve">To increase the diversity of parent representation on the State Interagency Coordinating Council (SICC), the State has made focused recruitment efforts. Additionally, the State has established an SICC subcommittee dedicated to the Local Interagency Coordinating Councils (LICCs), which is working to better understand the composition of these councils and ensure that feedback from the group is effectively heard and incorporated into the decision-making process. </w:t>
      </w:r>
    </w:p>
    <w:p w14:paraId="15F7F7B6" w14:textId="77777777" w:rsidR="000575B2" w:rsidRDefault="000575B2">
      <w:pPr>
        <w:pStyle w:val="Bold"/>
      </w:pPr>
    </w:p>
    <w:p w14:paraId="64E6BDBB" w14:textId="77777777" w:rsidR="000575B2" w:rsidRDefault="00D6492D">
      <w:pPr>
        <w:pStyle w:val="Bold"/>
      </w:pPr>
      <w:r>
        <w:rPr>
          <w:b w:val="0"/>
          <w:color w:val="000000"/>
        </w:rPr>
        <w:t xml:space="preserve">The State has also implemented targeted strategies to improve parent response rates from families of color and those for whom English is not the first language in the annual Parent Survey. These efforts are aimed at ensuring that a wide range of voices is included in shaping the policies and practices that impact families and children with disabilities. </w:t>
      </w:r>
    </w:p>
    <w:p w14:paraId="0309AD1E" w14:textId="77777777" w:rsidR="000575B2" w:rsidRDefault="000575B2">
      <w:pPr>
        <w:pStyle w:val="Bold"/>
      </w:pPr>
    </w:p>
    <w:p w14:paraId="254306E1" w14:textId="77777777" w:rsidR="000575B2" w:rsidRDefault="00D6492D">
      <w:pPr>
        <w:pStyle w:val="Bold"/>
      </w:pPr>
      <w:r>
        <w:rPr>
          <w:b w:val="0"/>
          <w:color w:val="000000"/>
        </w:rPr>
        <w:t xml:space="preserve">Additional data and input </w:t>
      </w:r>
      <w:proofErr w:type="gramStart"/>
      <w:r>
        <w:rPr>
          <w:b w:val="0"/>
          <w:color w:val="000000"/>
        </w:rPr>
        <w:t>has</w:t>
      </w:r>
      <w:proofErr w:type="gramEnd"/>
      <w:r>
        <w:rPr>
          <w:b w:val="0"/>
          <w:color w:val="000000"/>
        </w:rPr>
        <w:t xml:space="preserve"> been gathered through review of studies procured by the Department of Early Learning and Care to examine family needs and the persistent problem of exclusionary practices which indicate a high prevalence of children experiencing disability, birth to five, being asked to leave their early care and education environments.  </w:t>
      </w:r>
    </w:p>
    <w:p w14:paraId="176BBB50" w14:textId="77777777" w:rsidR="000575B2" w:rsidRDefault="00D6492D">
      <w:pPr>
        <w:pStyle w:val="Bold"/>
      </w:pPr>
      <w:r>
        <w:rPr>
          <w:b w:val="0"/>
          <w:color w:val="000000"/>
        </w:rPr>
        <w:t xml:space="preserve">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p>
    <w:p w14:paraId="1AFDA0D1" w14:textId="77777777" w:rsidR="000575B2" w:rsidRDefault="00D6492D">
      <w:pPr>
        <w:pStyle w:val="Bold"/>
      </w:pPr>
      <w:r>
        <w:rPr>
          <w:b w:val="0"/>
          <w:color w:val="000000"/>
        </w:rPr>
        <w:t xml:space="preserve">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 </w:t>
      </w:r>
    </w:p>
    <w:p w14:paraId="0F0F209C" w14:textId="77777777" w:rsidR="000575B2" w:rsidRDefault="00D6492D">
      <w:pPr>
        <w:pStyle w:val="Bold"/>
      </w:pPr>
      <w:r>
        <w:rPr>
          <w:b w:val="0"/>
          <w:color w:val="000000"/>
        </w:rPr>
        <w:t xml:space="preserve"> </w:t>
      </w:r>
    </w:p>
    <w:p w14:paraId="5262BA5E" w14:textId="77777777" w:rsidR="000F3CCC" w:rsidRPr="000F3CCC" w:rsidRDefault="000F3CCC" w:rsidP="000F3CCC">
      <w:pPr>
        <w:rPr>
          <w:rFonts w:cs="Arial"/>
          <w:b/>
          <w:bCs/>
        </w:rPr>
      </w:pPr>
      <w:r w:rsidRPr="000F3CCC">
        <w:rPr>
          <w:rFonts w:cs="Arial"/>
          <w:b/>
          <w:bCs/>
        </w:rPr>
        <w:t xml:space="preserve"> </w:t>
      </w:r>
    </w:p>
    <w:p w14:paraId="30947CBE" w14:textId="77777777" w:rsidR="000F3CCC" w:rsidRPr="000F3CCC" w:rsidRDefault="000F3CCC" w:rsidP="000F3CCC">
      <w:pPr>
        <w:rPr>
          <w:rFonts w:cs="Arial"/>
          <w:b/>
          <w:bCs/>
        </w:rPr>
      </w:pPr>
      <w:bookmarkStart w:id="84" w:name="_Hlk109647088"/>
      <w:r w:rsidRPr="000F3CCC">
        <w:rPr>
          <w:rFonts w:cs="Arial"/>
          <w:b/>
          <w:bCs/>
        </w:rPr>
        <w:t xml:space="preserve">Describe the specific strategies implemented to engage stakeholders in key improvement efforts. </w:t>
      </w:r>
    </w:p>
    <w:bookmarkEnd w:id="84"/>
    <w:p w14:paraId="4B8261A2" w14:textId="77777777" w:rsidR="00D96943" w:rsidRPr="00B50A83" w:rsidRDefault="00D96943" w:rsidP="00D96943">
      <w:pPr>
        <w:rPr>
          <w:b/>
          <w:bCs/>
        </w:rPr>
      </w:pPr>
      <w:r w:rsidRPr="00ED172B">
        <w:rPr>
          <w:color w:val="000000" w:themeColor="text1"/>
        </w:rPr>
        <w:t xml:space="preserve">Strategies to include partners and gather feedback in key improvement efforts include diverse parent engagement including targeted recruitment to advisory groups in partnership with the governor’s office, increased availability of interpreters and translated materials as requested by parent and community members during registration for training and engagement events, partnership with higher education and the Parent Training and Information Center and Community Expansion Grant recipient to ensure bilingual and bicultural program specialists are available to support understanding of IDEA, the DEC recommended practices, and topics for engagement, engaging partners in shared professional development activities and gathering input and feedback through evaluation and follow-up, and the use of Agency newsletters for updates on initiatives, opportunities for professional development, and highlights on implementation in practice.  </w:t>
      </w:r>
    </w:p>
    <w:p w14:paraId="63E8712C" w14:textId="77777777" w:rsidR="000575B2" w:rsidRDefault="000575B2"/>
    <w:p w14:paraId="674A7F59" w14:textId="77777777" w:rsidR="000575B2" w:rsidRDefault="00D6492D">
      <w:r>
        <w:rPr>
          <w:color w:val="000000"/>
        </w:rPr>
        <w:t xml:space="preserve">Additionally, the State continues to maintain ongoing partnership with the State Interagency Coordinating Council (SICC), including parent members, to continue to develop improvement strategies. These discussions with the SICC help to inform statewide improvement strategies as reflected in the SPP/APR. Topics addressed in 202 included regular legislative session updates , updates on improvement efforts for results indicators, and the development of cross-agency partnership to better align the early learning system under Raise Up Oregon, a comprehensive multi-systems plan for improving outcomes for children and families. More information about the engagement with the State Interagency Coordinating Council can be found on the SICC website: https://www.oregon.gov/ode/students-and-family/SpecialEducation/earlyintervention/Pages/sicc.aspx </w:t>
      </w:r>
    </w:p>
    <w:p w14:paraId="3004556C" w14:textId="77777777" w:rsidR="00476A20" w:rsidRDefault="00476A20" w:rsidP="00DA6A6C">
      <w:pPr>
        <w:rPr>
          <w:rFonts w:cs="Arial"/>
          <w:b/>
          <w:bCs/>
        </w:rPr>
      </w:pPr>
    </w:p>
    <w:p w14:paraId="314DCCC7" w14:textId="77777777" w:rsidR="00476A20" w:rsidRDefault="00DA6A6C" w:rsidP="00DA6A6C">
      <w:pPr>
        <w:rPr>
          <w:rFonts w:cs="Arial"/>
          <w:b/>
          <w:bCs/>
        </w:rPr>
      </w:pPr>
      <w:bookmarkStart w:id="85" w:name="_Hlk109647094"/>
      <w:r w:rsidRPr="00DA6A6C">
        <w:rPr>
          <w:rFonts w:cs="Arial"/>
          <w:b/>
          <w:bCs/>
        </w:rPr>
        <w:t>Were there any concerns expressed by stakeholders during engagement activities?</w:t>
      </w:r>
      <w:r w:rsidR="00CD071F">
        <w:rPr>
          <w:b/>
          <w:bCs/>
        </w:rPr>
        <w:t xml:space="preserve"> </w:t>
      </w:r>
      <w:r w:rsidR="00CD071F" w:rsidRPr="00CD071F">
        <w:rPr>
          <w:b/>
          <w:bCs/>
        </w:rPr>
        <w:t>(yes/no)</w:t>
      </w:r>
    </w:p>
    <w:bookmarkEnd w:id="85"/>
    <w:p w14:paraId="10B5BF25" w14:textId="77777777" w:rsidR="00DA6A6C" w:rsidRPr="000420BE" w:rsidRDefault="000420BE" w:rsidP="00DA6A6C">
      <w:pPr>
        <w:rPr>
          <w:b/>
          <w:bCs/>
        </w:rPr>
      </w:pPr>
      <w:r w:rsidRPr="00ED172B">
        <w:rPr>
          <w:color w:val="000000" w:themeColor="text1"/>
        </w:rPr>
        <w:t>YES</w:t>
      </w:r>
    </w:p>
    <w:p w14:paraId="2772A18B" w14:textId="77777777" w:rsidR="003D4AAD" w:rsidRPr="003D4AAD" w:rsidRDefault="00436802" w:rsidP="003D4AAD">
      <w:pPr>
        <w:rPr>
          <w:rFonts w:cs="Arial"/>
          <w:b/>
          <w:bCs/>
        </w:rPr>
      </w:pPr>
      <w:bookmarkStart w:id="86" w:name="_Hlk109647102"/>
      <w:r>
        <w:rPr>
          <w:rFonts w:cs="Arial"/>
          <w:b/>
          <w:bCs/>
        </w:rPr>
        <w:t xml:space="preserve">Describe how the State addressed the concerns expressed by stakeholders. </w:t>
      </w:r>
    </w:p>
    <w:bookmarkEnd w:id="86"/>
    <w:p w14:paraId="73AC26B0" w14:textId="77777777" w:rsidR="0072398B" w:rsidRDefault="004A571B" w:rsidP="006237B0">
      <w:pPr>
        <w:rPr>
          <w:color w:val="000000" w:themeColor="text1"/>
        </w:rPr>
      </w:pPr>
      <w:r w:rsidRPr="00ED172B">
        <w:rPr>
          <w:color w:val="000000" w:themeColor="text1"/>
        </w:rPr>
        <w:t xml:space="preserve">The state continues to evaluate and monitor the impacts across age groups and target investments for improvement activities to specifically address the needs identified by Part C home visitors and families entering early intervention through Part C. This has led to additional investments in professional development, </w:t>
      </w:r>
      <w:proofErr w:type="gramStart"/>
      <w:r w:rsidRPr="00ED172B">
        <w:rPr>
          <w:color w:val="000000" w:themeColor="text1"/>
        </w:rPr>
        <w:t>supports</w:t>
      </w:r>
      <w:proofErr w:type="gramEnd"/>
      <w:r w:rsidRPr="00ED172B">
        <w:rPr>
          <w:color w:val="000000" w:themeColor="text1"/>
        </w:rPr>
        <w:t xml:space="preserve"> for providers, and increased engagement in broader statewide activities addressing the quality of home visiting, statewide system development, and continuity across early learning systems of care.   </w:t>
      </w:r>
    </w:p>
    <w:p w14:paraId="2E551BEF" w14:textId="77777777" w:rsidR="000575B2" w:rsidRDefault="000575B2"/>
    <w:p w14:paraId="121D6C2E" w14:textId="77777777" w:rsidR="000575B2" w:rsidRDefault="00D6492D">
      <w:r>
        <w:rPr>
          <w:color w:val="000000"/>
        </w:rPr>
        <w:t xml:space="preserve">Additional concerns were elevated regarding data, while improving steadily, are not enough to meet state targets or discreet enough to provide any data that would be predictive of a child’s </w:t>
      </w:r>
      <w:proofErr w:type="spellStart"/>
      <w:r>
        <w:rPr>
          <w:color w:val="000000"/>
        </w:rPr>
        <w:t>likelyhood</w:t>
      </w:r>
      <w:proofErr w:type="spellEnd"/>
      <w:r>
        <w:rPr>
          <w:color w:val="000000"/>
        </w:rPr>
        <w:t xml:space="preserve"> to experience exclusion from early learning opportunities. There is a concern that the state level data does not reflect the experience or outcomes enough to understand the impact of coherent strategies and improvement activities or draw conclusions about what is consistently working and what challenges to improvement persist. </w:t>
      </w:r>
    </w:p>
    <w:p w14:paraId="0DCBD7B6" w14:textId="77777777" w:rsidR="004A571B" w:rsidRPr="006237B0" w:rsidRDefault="004A571B" w:rsidP="006237B0">
      <w:pPr>
        <w:rPr>
          <w:rFonts w:cs="Arial"/>
          <w:b/>
          <w:bCs/>
        </w:rPr>
      </w:pPr>
    </w:p>
    <w:p w14:paraId="601F2108" w14:textId="77777777" w:rsidR="004E393A" w:rsidRDefault="004E393A" w:rsidP="004E393A">
      <w:pPr>
        <w:rPr>
          <w:rFonts w:cstheme="minorHAnsi"/>
          <w:b/>
          <w:bCs/>
        </w:rPr>
      </w:pPr>
      <w:r w:rsidRPr="00DF62C9">
        <w:rPr>
          <w:rFonts w:cstheme="minorHAnsi"/>
          <w:b/>
          <w:bCs/>
        </w:rPr>
        <w:t>Additional Implementation Activities</w:t>
      </w:r>
    </w:p>
    <w:p w14:paraId="2543076D" w14:textId="77777777" w:rsidR="004E393A" w:rsidRDefault="004E393A" w:rsidP="004E393A">
      <w:pPr>
        <w:rPr>
          <w:b/>
          <w:bCs/>
        </w:rPr>
      </w:pPr>
      <w:bookmarkStart w:id="87" w:name="_Hlk109647117"/>
      <w:r w:rsidRPr="00F85A5B">
        <w:rPr>
          <w:b/>
          <w:bCs/>
        </w:rPr>
        <w:t xml:space="preserve">List any activities not already described that the State intends to implement in the next fiscal year that are related to the </w:t>
      </w:r>
      <w:proofErr w:type="spellStart"/>
      <w:r w:rsidRPr="00F85A5B">
        <w:rPr>
          <w:b/>
          <w:bCs/>
        </w:rPr>
        <w:t>SiMR</w:t>
      </w:r>
      <w:proofErr w:type="spellEnd"/>
      <w:r w:rsidRPr="00F85A5B">
        <w:rPr>
          <w:b/>
          <w:bCs/>
        </w:rPr>
        <w:t>.</w:t>
      </w:r>
    </w:p>
    <w:bookmarkEnd w:id="87"/>
    <w:p w14:paraId="17809A12" w14:textId="77777777" w:rsidR="00917FC3" w:rsidRPr="00F85A5B" w:rsidRDefault="00917FC3" w:rsidP="004E393A">
      <w:pPr>
        <w:rPr>
          <w:color w:val="000000" w:themeColor="text1"/>
        </w:rPr>
      </w:pPr>
      <w:r w:rsidRPr="00ED172B">
        <w:rPr>
          <w:color w:val="000000" w:themeColor="text1"/>
        </w:rPr>
        <w:t>N/A</w:t>
      </w:r>
    </w:p>
    <w:p w14:paraId="3BA3643B" w14:textId="77777777" w:rsidR="00297898" w:rsidRPr="00297898" w:rsidRDefault="00297898" w:rsidP="00297898">
      <w:pPr>
        <w:rPr>
          <w:rFonts w:cs="Arial"/>
          <w:b/>
          <w:bCs/>
        </w:rPr>
      </w:pPr>
      <w:bookmarkStart w:id="88" w:name="_Hlk109647119"/>
      <w:r w:rsidRPr="00297898">
        <w:rPr>
          <w:rFonts w:cs="Arial"/>
          <w:b/>
          <w:bCs/>
        </w:rPr>
        <w:t xml:space="preserve">Provide a timeline, anticipated data collection and measures, and expected outcomes for these activities that are related to the </w:t>
      </w:r>
      <w:proofErr w:type="spellStart"/>
      <w:r w:rsidRPr="00297898">
        <w:rPr>
          <w:rFonts w:cs="Arial"/>
          <w:b/>
          <w:bCs/>
        </w:rPr>
        <w:t>SiMR</w:t>
      </w:r>
      <w:proofErr w:type="spellEnd"/>
      <w:r w:rsidRPr="00297898">
        <w:rPr>
          <w:rFonts w:cs="Arial"/>
          <w:b/>
          <w:bCs/>
        </w:rPr>
        <w:t xml:space="preserve">. </w:t>
      </w:r>
    </w:p>
    <w:bookmarkEnd w:id="88"/>
    <w:p w14:paraId="0648EE0C" w14:textId="77777777" w:rsidR="006237B0" w:rsidRDefault="007B151D" w:rsidP="00067F9F">
      <w:pPr>
        <w:spacing w:before="0" w:after="0"/>
        <w:rPr>
          <w:color w:val="000000" w:themeColor="text1"/>
        </w:rPr>
      </w:pPr>
      <w:r w:rsidRPr="00ED172B">
        <w:rPr>
          <w:color w:val="000000" w:themeColor="text1"/>
        </w:rPr>
        <w:t>N/A</w:t>
      </w:r>
    </w:p>
    <w:p w14:paraId="36E10832" w14:textId="77777777" w:rsidR="007B151D" w:rsidRPr="00F85A5B" w:rsidRDefault="007B151D" w:rsidP="003B71AB">
      <w:pPr>
        <w:rPr>
          <w:color w:val="000000" w:themeColor="text1"/>
        </w:rPr>
      </w:pPr>
    </w:p>
    <w:p w14:paraId="720424BA" w14:textId="77777777" w:rsidR="009E0726" w:rsidRDefault="009E0726" w:rsidP="009E0726">
      <w:pPr>
        <w:rPr>
          <w:rFonts w:cs="Arial"/>
          <w:b/>
          <w:bCs/>
        </w:rPr>
      </w:pPr>
      <w:bookmarkStart w:id="89" w:name="_Hlk109647121"/>
      <w:r w:rsidRPr="009E0726">
        <w:rPr>
          <w:rFonts w:cs="Arial"/>
          <w:b/>
          <w:bCs/>
        </w:rPr>
        <w:t>Describe any newly identified barriers and include steps to address these barriers.</w:t>
      </w:r>
    </w:p>
    <w:bookmarkEnd w:id="89"/>
    <w:p w14:paraId="2401E71D" w14:textId="77777777" w:rsidR="00F40121" w:rsidRDefault="00F40121" w:rsidP="00F40121">
      <w:pPr>
        <w:rPr>
          <w:color w:val="000000" w:themeColor="text1"/>
        </w:rPr>
      </w:pPr>
      <w:r w:rsidRPr="00ED172B">
        <w:rPr>
          <w:color w:val="000000" w:themeColor="text1"/>
        </w:rPr>
        <w:t xml:space="preserve">State budget concerns and impacts of federal policies and actions may impact progress in the next year. Currently, increased collaboration, planning, and coordination of services and supports are planned to mitigate possible impacts on children and families. </w:t>
      </w:r>
    </w:p>
    <w:p w14:paraId="780BFA9B" w14:textId="77777777" w:rsidR="009B26D1" w:rsidRPr="009E0726" w:rsidRDefault="009B26D1" w:rsidP="009E0726">
      <w:pPr>
        <w:rPr>
          <w:rFonts w:cs="Arial"/>
          <w:b/>
          <w:bCs/>
        </w:rPr>
      </w:pPr>
    </w:p>
    <w:p w14:paraId="7E99F98D" w14:textId="77777777" w:rsidR="00261010" w:rsidRPr="00261010" w:rsidRDefault="00261010" w:rsidP="00261010">
      <w:pPr>
        <w:rPr>
          <w:rFonts w:cs="Arial"/>
          <w:b/>
          <w:bCs/>
        </w:rPr>
      </w:pPr>
      <w:bookmarkStart w:id="90" w:name="_Hlk109647123"/>
      <w:r w:rsidRPr="00261010">
        <w:rPr>
          <w:rFonts w:cs="Arial"/>
          <w:b/>
          <w:bCs/>
        </w:rPr>
        <w:t>Provide additional information about this indicator (optional).</w:t>
      </w:r>
    </w:p>
    <w:bookmarkEnd w:id="90"/>
    <w:p w14:paraId="74079021" w14:textId="77777777" w:rsidR="00F40121" w:rsidRDefault="00F40121" w:rsidP="00F40121">
      <w:pPr>
        <w:rPr>
          <w:color w:val="000000" w:themeColor="text1"/>
        </w:rPr>
      </w:pPr>
    </w:p>
    <w:p w14:paraId="61313035" w14:textId="77777777" w:rsidR="005838E8" w:rsidRDefault="005838E8" w:rsidP="00741E58">
      <w:pPr>
        <w:rPr>
          <w:b/>
          <w:bCs/>
        </w:rPr>
      </w:pPr>
    </w:p>
    <w:p w14:paraId="37134296" w14:textId="77777777" w:rsidR="005838E8" w:rsidRPr="00F85A5B" w:rsidRDefault="005838E8" w:rsidP="00F85A5B">
      <w:pPr>
        <w:rPr>
          <w:b/>
          <w:bCs/>
        </w:rPr>
      </w:pPr>
    </w:p>
    <w:p w14:paraId="78EE4C74" w14:textId="77777777" w:rsidR="00F5460E" w:rsidRPr="00A40EE1" w:rsidRDefault="00F5460E" w:rsidP="00F5460E">
      <w:pPr>
        <w:pStyle w:val="Heading2"/>
      </w:pPr>
      <w:r w:rsidRPr="00A40EE1">
        <w:t>1</w:t>
      </w:r>
      <w:r>
        <w:t>1</w:t>
      </w:r>
      <w:r w:rsidRPr="00A40EE1">
        <w:t xml:space="preserve"> - </w:t>
      </w:r>
      <w:r w:rsidRPr="00A10714">
        <w:t>Prior FFY Required Actions</w:t>
      </w:r>
    </w:p>
    <w:p w14:paraId="68F807C8" w14:textId="77777777" w:rsidR="00F5460E" w:rsidRPr="00ED172B" w:rsidRDefault="00F5460E" w:rsidP="00F5460E">
      <w:pPr>
        <w:rPr>
          <w:color w:val="000000" w:themeColor="text1"/>
        </w:rPr>
      </w:pPr>
      <w:r w:rsidRPr="00ED172B">
        <w:rPr>
          <w:color w:val="000000" w:themeColor="text1"/>
        </w:rPr>
        <w:t>None</w:t>
      </w:r>
    </w:p>
    <w:p w14:paraId="0E4F776C" w14:textId="77777777" w:rsidR="00F5460E" w:rsidRPr="00A40EE1" w:rsidRDefault="00F5460E" w:rsidP="00F5460E">
      <w:pPr>
        <w:pStyle w:val="Heading2"/>
      </w:pPr>
      <w:r w:rsidRPr="00A40EE1">
        <w:t>1</w:t>
      </w:r>
      <w:r w:rsidR="001C46CD">
        <w:t>1</w:t>
      </w:r>
      <w:r w:rsidRPr="00A40EE1">
        <w:t xml:space="preserve"> - OSEP Response</w:t>
      </w:r>
    </w:p>
    <w:p w14:paraId="19A53611" w14:textId="77777777" w:rsidR="00F5460E" w:rsidRPr="00ED172B" w:rsidRDefault="00F5460E" w:rsidP="00F5460E">
      <w:pPr>
        <w:rPr>
          <w:color w:val="000000" w:themeColor="text1"/>
        </w:rPr>
      </w:pPr>
      <w:r w:rsidRPr="00ED172B">
        <w:rPr>
          <w:color w:val="000000" w:themeColor="text1"/>
        </w:rPr>
        <w:t xml:space="preserve">The State did not provide the numerator and denominator descriptions in the FFY 2024 SPP/APR Data table. </w:t>
      </w:r>
    </w:p>
    <w:p w14:paraId="7217D6C1" w14:textId="77777777" w:rsidR="00F5460E" w:rsidRPr="00A40EE1" w:rsidRDefault="00F5460E" w:rsidP="00F5460E">
      <w:pPr>
        <w:pStyle w:val="Heading2"/>
      </w:pPr>
      <w:r w:rsidRPr="00A40EE1">
        <w:t>1</w:t>
      </w:r>
      <w:r w:rsidR="001C46CD">
        <w:t>1</w:t>
      </w:r>
      <w:r w:rsidRPr="00A40EE1">
        <w:t xml:space="preserve"> - Required Actions</w:t>
      </w:r>
    </w:p>
    <w:p w14:paraId="1796AD3E" w14:textId="77777777" w:rsidR="00F5460E" w:rsidRPr="00ED172B" w:rsidRDefault="00F5460E" w:rsidP="00F5460E">
      <w:pPr>
        <w:rPr>
          <w:color w:val="000000" w:themeColor="text1"/>
        </w:rPr>
      </w:pPr>
      <w:r w:rsidRPr="00ED172B">
        <w:rPr>
          <w:color w:val="000000" w:themeColor="text1"/>
        </w:rPr>
        <w:t>The State did not provide numerator and denominator descriptions in the FFY 2024 data table. The State must provide the required numerator and denominator descriptions for FFY 2025 in the FFY 2025 SPP/APR.</w:t>
      </w:r>
    </w:p>
    <w:p w14:paraId="0A80D235" w14:textId="77777777" w:rsidR="00530511" w:rsidRDefault="00621DEC" w:rsidP="00530511">
      <w:pPr>
        <w:pStyle w:val="Heading1"/>
      </w:pPr>
      <w:r>
        <w:rPr>
          <w:color w:val="000000" w:themeColor="text1"/>
        </w:rPr>
        <w:br w:type="page"/>
      </w:r>
      <w:r w:rsidR="00530511">
        <w:lastRenderedPageBreak/>
        <w:t>Indicator 12: General Supervision</w:t>
      </w:r>
    </w:p>
    <w:p w14:paraId="0B0CF4F4" w14:textId="77777777" w:rsidR="00DE79BF" w:rsidRPr="00727602" w:rsidRDefault="00DE79BF" w:rsidP="00727602">
      <w:pPr>
        <w:rPr>
          <w:b/>
          <w:color w:val="000000" w:themeColor="text1"/>
          <w:sz w:val="20"/>
          <w:szCs w:val="20"/>
        </w:rPr>
      </w:pPr>
      <w:r w:rsidRPr="00727602">
        <w:rPr>
          <w:b/>
          <w:color w:val="000000" w:themeColor="text1"/>
          <w:sz w:val="20"/>
          <w:szCs w:val="20"/>
        </w:rPr>
        <w:t>Instructions and Measurement</w:t>
      </w:r>
    </w:p>
    <w:p w14:paraId="0B1DE2E0" w14:textId="77777777" w:rsidR="00DE79BF" w:rsidRPr="007D0769" w:rsidRDefault="00DE79BF" w:rsidP="00DE79BF">
      <w:pPr>
        <w:keepNext/>
        <w:spacing w:after="0"/>
        <w:rPr>
          <w:rFonts w:eastAsia="Calibri" w:cs="Arial"/>
          <w:bCs/>
          <w:szCs w:val="16"/>
        </w:rPr>
      </w:pPr>
      <w:r w:rsidRPr="007D0769">
        <w:rPr>
          <w:rFonts w:eastAsia="Calibri" w:cs="Arial"/>
          <w:b/>
          <w:szCs w:val="16"/>
        </w:rPr>
        <w:t xml:space="preserve">Monitoring Priority: </w:t>
      </w:r>
      <w:r w:rsidRPr="007D0769">
        <w:rPr>
          <w:rFonts w:eastAsia="Calibri" w:cs="Arial"/>
          <w:bCs/>
          <w:szCs w:val="16"/>
        </w:rPr>
        <w:t>General Supervision</w:t>
      </w:r>
    </w:p>
    <w:p w14:paraId="149561A0" w14:textId="77777777" w:rsidR="00DE79BF" w:rsidRPr="007D0769" w:rsidRDefault="00DE79BF" w:rsidP="00DE79BF">
      <w:pPr>
        <w:keepNext/>
        <w:spacing w:after="0"/>
        <w:rPr>
          <w:rFonts w:eastAsia="Calibri" w:cs="Arial"/>
          <w:szCs w:val="16"/>
        </w:rPr>
      </w:pPr>
      <w:r w:rsidRPr="007D0769">
        <w:rPr>
          <w:rFonts w:eastAsia="Calibri" w:cs="Arial"/>
          <w:b/>
          <w:szCs w:val="16"/>
        </w:rPr>
        <w:t xml:space="preserve">Compliance indicator: </w:t>
      </w:r>
      <w:r w:rsidRPr="007D0769">
        <w:rPr>
          <w:rFonts w:eastAsia="Calibri" w:cs="Arial"/>
          <w:szCs w:val="16"/>
        </w:rPr>
        <w:t>This SPP/APR indicator focuses on the State lead agency’s exercise of its general supervision responsibility to monitor its Early Intervention Service (EIS) Providers and EIS Programs for requirements under Part C of the Individuals with Disabilities Act (IDEA) through the State’s reporting on timely correction of noncompliance (20 U.S.C. 1416(a) and 1435(a)(10); 34 C.F.R. §§ 303.120 and 303.700).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41CEFE15" w14:textId="77777777" w:rsidR="00DE79BF" w:rsidRPr="007D0769" w:rsidRDefault="00DE79BF" w:rsidP="00DE79BF">
      <w:pPr>
        <w:keepNext/>
        <w:spacing w:after="0"/>
        <w:rPr>
          <w:rFonts w:eastAsia="Calibri" w:cs="Arial"/>
          <w:b/>
          <w:szCs w:val="16"/>
        </w:rPr>
      </w:pPr>
      <w:r w:rsidRPr="007D0769">
        <w:rPr>
          <w:rFonts w:eastAsia="Calibri" w:cs="Arial"/>
          <w:b/>
          <w:szCs w:val="16"/>
        </w:rPr>
        <w:t>Data Source</w:t>
      </w:r>
    </w:p>
    <w:p w14:paraId="3CF645FE" w14:textId="77777777" w:rsidR="00DE79BF" w:rsidRPr="007D0769" w:rsidRDefault="00DE79BF" w:rsidP="00DE79BF">
      <w:pPr>
        <w:keepNext/>
        <w:spacing w:after="0"/>
        <w:rPr>
          <w:rFonts w:eastAsia="Calibri" w:cs="Arial"/>
          <w:bCs/>
          <w:szCs w:val="16"/>
        </w:rPr>
      </w:pPr>
      <w:r w:rsidRPr="007D0769">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p>
    <w:p w14:paraId="4EE7FD5C" w14:textId="77777777" w:rsidR="00DE79BF" w:rsidRPr="007D0769" w:rsidRDefault="00DE79BF" w:rsidP="00DE79BF">
      <w:pPr>
        <w:keepNext/>
        <w:spacing w:after="0"/>
        <w:rPr>
          <w:rFonts w:eastAsia="Calibri" w:cs="Arial"/>
          <w:b/>
          <w:szCs w:val="16"/>
        </w:rPr>
      </w:pPr>
      <w:r w:rsidRPr="007D0769">
        <w:rPr>
          <w:rFonts w:eastAsia="Calibri" w:cs="Arial"/>
          <w:b/>
          <w:szCs w:val="16"/>
        </w:rPr>
        <w:t>Measurement</w:t>
      </w:r>
    </w:p>
    <w:p w14:paraId="34EF9554" w14:textId="77777777" w:rsidR="00DE79BF" w:rsidRPr="007D0769" w:rsidRDefault="00DE79BF" w:rsidP="00DE79BF">
      <w:pPr>
        <w:keepNext/>
        <w:spacing w:after="0"/>
        <w:rPr>
          <w:rFonts w:eastAsia="Calibri" w:cs="Arial"/>
          <w:szCs w:val="16"/>
        </w:rPr>
      </w:pPr>
      <w:r w:rsidRPr="007D0769">
        <w:rPr>
          <w:rFonts w:eastAsia="Calibri" w:cs="Arial"/>
          <w:szCs w:val="16"/>
        </w:rPr>
        <w:t xml:space="preserve">This SPP/APR indicator requires </w:t>
      </w:r>
      <w:proofErr w:type="gramStart"/>
      <w:r w:rsidRPr="007D0769">
        <w:rPr>
          <w:rFonts w:eastAsia="Calibri" w:cs="Arial"/>
          <w:szCs w:val="16"/>
        </w:rPr>
        <w:t>the reporting</w:t>
      </w:r>
      <w:proofErr w:type="gramEnd"/>
      <w:r w:rsidRPr="007D0769">
        <w:rPr>
          <w:rFonts w:eastAsia="Calibri" w:cs="Arial"/>
          <w:szCs w:val="16"/>
        </w:rPr>
        <w:t xml:space="preserve"> on the percent of findings of noncompliance corrected within one year of identification: </w:t>
      </w:r>
    </w:p>
    <w:p w14:paraId="6640885C" w14:textId="77777777"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issued the prior Federal fiscal year (FFY) (e.g., for the FFY 2024 submission, use FFY 2023, July 1, 2023 – June 30, 2024)</w:t>
      </w:r>
    </w:p>
    <w:p w14:paraId="54BC3140" w14:textId="77777777"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the State verified were corrected no later than one year after the State’s written notification of findings of noncompliance</w:t>
      </w:r>
    </w:p>
    <w:p w14:paraId="52BA3971" w14:textId="77777777" w:rsidR="00DE79BF" w:rsidRDefault="00DE79BF" w:rsidP="00DE79BF">
      <w:pPr>
        <w:keepNext/>
        <w:spacing w:after="0"/>
        <w:rPr>
          <w:rFonts w:eastAsia="Calibri" w:cs="Arial"/>
          <w:szCs w:val="16"/>
        </w:rPr>
      </w:pPr>
      <w:r w:rsidRPr="007D0769">
        <w:rPr>
          <w:rFonts w:eastAsia="Calibri" w:cs="Arial"/>
          <w:szCs w:val="16"/>
        </w:rPr>
        <w:t>Percent = [(b) divided by (a)] times 100</w:t>
      </w:r>
    </w:p>
    <w:p w14:paraId="4D3A920C" w14:textId="77777777" w:rsidR="00CD53D3" w:rsidRPr="007D0769" w:rsidRDefault="00CD53D3" w:rsidP="00CD53D3">
      <w:pPr>
        <w:keepNext/>
        <w:spacing w:after="0"/>
        <w:rPr>
          <w:rFonts w:eastAsia="Calibri" w:cs="Arial"/>
          <w:b/>
          <w:szCs w:val="16"/>
        </w:rPr>
      </w:pPr>
      <w:r w:rsidRPr="007D0769">
        <w:rPr>
          <w:rFonts w:eastAsia="Calibri" w:cs="Arial"/>
          <w:b/>
          <w:szCs w:val="16"/>
        </w:rPr>
        <w:t>Instructions</w:t>
      </w:r>
    </w:p>
    <w:p w14:paraId="5B01A2B6" w14:textId="77777777" w:rsidR="00CD53D3" w:rsidRPr="007D0769" w:rsidRDefault="00CD53D3" w:rsidP="00CD53D3">
      <w:pPr>
        <w:rPr>
          <w:rFonts w:eastAsia="Calibri" w:cs="Arial"/>
          <w:szCs w:val="16"/>
        </w:rPr>
      </w:pPr>
      <w:r w:rsidRPr="007D0769">
        <w:rPr>
          <w:rFonts w:eastAsia="Calibri" w:cs="Arial"/>
          <w:szCs w:val="16"/>
        </w:rPr>
        <w:t xml:space="preserve">Targets must be 100%. </w:t>
      </w:r>
    </w:p>
    <w:p w14:paraId="68CBFD7A" w14:textId="77777777" w:rsidR="00CD53D3" w:rsidRPr="00EC51AB" w:rsidRDefault="00CD53D3" w:rsidP="00CD53D3">
      <w:pPr>
        <w:keepNext/>
        <w:spacing w:after="0"/>
        <w:rPr>
          <w:rFonts w:eastAsia="Calibri" w:cs="Arial"/>
          <w:i/>
          <w:iCs/>
          <w:szCs w:val="16"/>
        </w:rPr>
      </w:pPr>
      <w:r w:rsidRPr="00EC51AB">
        <w:rPr>
          <w:rFonts w:eastAsia="Calibri" w:cs="Arial"/>
          <w:i/>
          <w:iCs/>
          <w:szCs w:val="16"/>
        </w:rPr>
        <w:t>States are required to complete the General Supervision Data Table within the online reporting tool.</w:t>
      </w:r>
    </w:p>
    <w:p w14:paraId="74C81798" w14:textId="77777777" w:rsidR="00CD53D3" w:rsidRPr="002A486B" w:rsidRDefault="00CD53D3" w:rsidP="00CD53D3">
      <w:pPr>
        <w:rPr>
          <w:rFonts w:eastAsia="Calibri" w:cs="Arial"/>
          <w:b/>
          <w:bCs/>
          <w:iCs/>
          <w:szCs w:val="16"/>
        </w:rPr>
      </w:pPr>
      <w:r w:rsidRPr="002A486B">
        <w:rPr>
          <w:rFonts w:eastAsia="Calibri" w:cs="Arial"/>
          <w:szCs w:val="16"/>
        </w:rPr>
        <w:t>Report in Column A, the number of findings of noncompliance made in FFY 2023 (July 1, 2023 – June 30, 2024), as reported in the compliance indicator, and report in Column C1, the number of those findings which were timely corrected, as soon as possible and in no case later than one year after the State’s written notification of noncompliance. Report in Column B, t</w:t>
      </w:r>
      <w:r w:rsidRPr="002A486B">
        <w:rPr>
          <w:rFonts w:eastAsia="Calibri" w:cs="Arial"/>
          <w:iCs/>
          <w:szCs w:val="16"/>
        </w:rPr>
        <w:t xml:space="preserve">he number of additional findings </w:t>
      </w:r>
      <w:r>
        <w:rPr>
          <w:rFonts w:eastAsia="Calibri" w:cs="Arial"/>
          <w:iCs/>
          <w:szCs w:val="16"/>
        </w:rPr>
        <w:t xml:space="preserve">of noncompliance related to the compliance indicator made in FFY 2023 (July 1, 2023-June 30, 2024) </w:t>
      </w:r>
      <w:r w:rsidRPr="002A486B">
        <w:rPr>
          <w:rFonts w:eastAsia="Calibri" w:cs="Arial"/>
          <w:iCs/>
          <w:szCs w:val="16"/>
        </w:rPr>
        <w:t>and</w:t>
      </w:r>
      <w:r>
        <w:rPr>
          <w:rFonts w:eastAsia="Calibri" w:cs="Arial"/>
          <w:iCs/>
          <w:szCs w:val="16"/>
        </w:rPr>
        <w:t xml:space="preserve"> report in Column C2,</w:t>
      </w:r>
      <w:r w:rsidRPr="002A486B">
        <w:rPr>
          <w:rFonts w:eastAsia="Calibri" w:cs="Arial"/>
          <w:iCs/>
          <w:szCs w:val="16"/>
        </w:rPr>
        <w:t xml:space="preserve"> the number of those additional findings </w:t>
      </w:r>
      <w:r>
        <w:rPr>
          <w:rFonts w:eastAsia="Calibri" w:cs="Arial"/>
          <w:iCs/>
          <w:szCs w:val="16"/>
        </w:rPr>
        <w:t>related to the compliance indicator</w:t>
      </w:r>
      <w:r w:rsidRPr="002A486B">
        <w:rPr>
          <w:rFonts w:eastAsia="Calibri" w:cs="Arial"/>
          <w:iCs/>
          <w:szCs w:val="16"/>
        </w:rPr>
        <w:t xml:space="preserve"> which were timely corrected, as soon as possible and in no case later than one year after the State’s written notification of noncompliance. </w:t>
      </w:r>
    </w:p>
    <w:p w14:paraId="3B3E2019" w14:textId="77777777" w:rsidR="00CD53D3" w:rsidRPr="007D0769" w:rsidRDefault="00CD53D3" w:rsidP="00CD53D3">
      <w:pPr>
        <w:rPr>
          <w:rFonts w:eastAsia="Calibri" w:cs="Arial"/>
          <w:iCs/>
          <w:szCs w:val="16"/>
        </w:rPr>
      </w:pPr>
      <w:r w:rsidRPr="007D0769">
        <w:rPr>
          <w:rFonts w:eastAsia="Calibri" w:cs="Arial"/>
          <w:iCs/>
          <w:szCs w:val="16"/>
        </w:rPr>
        <w:t xml:space="preserve">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(e.g., Results indicators (including related requirements), Fiscal, Dispute Resolution, etc.). In future years (e.g., with the FFY 2026 SPP/APR), States may be required to further disaggregate findings by results indicators (2, 3, 4, 5, 6, 9, 10, and 11), fiscal and other areas. </w:t>
      </w:r>
    </w:p>
    <w:p w14:paraId="59623EEA" w14:textId="77777777" w:rsidR="00DE79BF" w:rsidRDefault="00CD53D3" w:rsidP="00CD53D3">
      <w:pPr>
        <w:rPr>
          <w:rFonts w:eastAsia="Calibri" w:cs="Arial"/>
          <w:szCs w:val="16"/>
        </w:rPr>
      </w:pPr>
      <w:r w:rsidRPr="00AB52AD">
        <w:rPr>
          <w:szCs w:val="16"/>
        </w:rPr>
        <w:t xml:space="preserve">Provide detailed information about the timely correction of </w:t>
      </w:r>
      <w:r w:rsidRPr="009C5A4A">
        <w:rPr>
          <w:color w:val="000000" w:themeColor="text1"/>
          <w:szCs w:val="16"/>
        </w:rPr>
        <w:t xml:space="preserve">child-specific and regulatory/systemic </w:t>
      </w:r>
      <w:r w:rsidRPr="00AB52AD">
        <w:rPr>
          <w:szCs w:val="16"/>
        </w:rPr>
        <w:t xml:space="preserve">noncompliance as noted in OSEP’s response for the previous SPP/APR. If the State did not ensure timely correction of the previous </w:t>
      </w:r>
      <w:r>
        <w:rPr>
          <w:szCs w:val="16"/>
        </w:rPr>
        <w:t xml:space="preserve">findings of </w:t>
      </w:r>
      <w:r w:rsidRPr="00AB52AD">
        <w:rPr>
          <w:szCs w:val="16"/>
        </w:rPr>
        <w:t xml:space="preserve">noncompliance, provide information on the extent to which noncompliance was subsequently corrected (more than one year after identification). In addition, provide information regarding the nature of any continuing noncompliance </w:t>
      </w:r>
      <w:r>
        <w:rPr>
          <w:szCs w:val="16"/>
        </w:rPr>
        <w:t>and the</w:t>
      </w:r>
      <w:r w:rsidRPr="00AB52AD">
        <w:rPr>
          <w:szCs w:val="16"/>
        </w:rPr>
        <w:t xml:space="preserve"> actions that </w:t>
      </w:r>
      <w:r>
        <w:rPr>
          <w:szCs w:val="16"/>
        </w:rPr>
        <w:t>have been</w:t>
      </w:r>
      <w:r w:rsidRPr="00AB52AD">
        <w:rPr>
          <w:szCs w:val="16"/>
        </w:rPr>
        <w:t xml:space="preserve"> taken</w:t>
      </w:r>
      <w:r>
        <w:rPr>
          <w:szCs w:val="16"/>
        </w:rPr>
        <w:t xml:space="preserve">, or will be taken, </w:t>
      </w:r>
      <w:r w:rsidRPr="007D0769">
        <w:rPr>
          <w:rFonts w:eastAsia="Calibri" w:cs="Arial"/>
          <w:szCs w:val="16"/>
        </w:rPr>
        <w:t>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29147D10" w14:textId="77777777" w:rsidR="00DE79BF" w:rsidRPr="007D0769" w:rsidRDefault="00E73FB9" w:rsidP="00EC51AB">
      <w:pPr>
        <w:pStyle w:val="Heading2"/>
      </w:pPr>
      <w:r>
        <w:t xml:space="preserve">12 - </w:t>
      </w:r>
      <w:r w:rsidR="00DE79BF" w:rsidRPr="007D0769">
        <w:t>Indicator Data</w:t>
      </w:r>
    </w:p>
    <w:p w14:paraId="120E916D" w14:textId="77777777" w:rsidR="00DE79BF" w:rsidRPr="007D0769" w:rsidRDefault="00DE79BF" w:rsidP="00DE79BF">
      <w:pPr>
        <w:keepNext/>
        <w:spacing w:after="0"/>
        <w:rPr>
          <w:rFonts w:eastAsia="Calibri" w:cs="Arial"/>
          <w:b/>
          <w:szCs w:val="16"/>
        </w:rPr>
      </w:pPr>
      <w:r w:rsidRPr="007D0769">
        <w:rPr>
          <w:rFonts w:eastAsia="Calibri" w:cs="Arial"/>
          <w:b/>
          <w:szCs w:val="16"/>
        </w:rPr>
        <w:t>Historical Data</w:t>
      </w:r>
    </w:p>
    <w:tbl>
      <w:tblPr>
        <w:tblStyle w:val="TableGrid"/>
        <w:tblW w:w="0" w:type="auto"/>
        <w:tblLayout w:type="fixed"/>
        <w:tblLook w:val="04A0" w:firstRow="1" w:lastRow="0" w:firstColumn="1" w:lastColumn="0" w:noHBand="0" w:noVBand="1"/>
        <w:tblCaption w:val="C12BASELINEDATA"/>
      </w:tblPr>
      <w:tblGrid>
        <w:gridCol w:w="1797"/>
        <w:gridCol w:w="1798"/>
      </w:tblGrid>
      <w:tr w:rsidR="00DE79BF" w:rsidRPr="007D0769" w14:paraId="7B74E000" w14:textId="77777777" w:rsidTr="00EC51AB">
        <w:trPr>
          <w:trHeight w:val="360"/>
          <w:tblHeader/>
        </w:trPr>
        <w:tc>
          <w:tcPr>
            <w:tcW w:w="1797" w:type="dxa"/>
          </w:tcPr>
          <w:p w14:paraId="53EDC86E"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Year</w:t>
            </w:r>
          </w:p>
        </w:tc>
        <w:tc>
          <w:tcPr>
            <w:tcW w:w="1798" w:type="dxa"/>
          </w:tcPr>
          <w:p w14:paraId="642F08E3"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Data</w:t>
            </w:r>
          </w:p>
        </w:tc>
      </w:tr>
      <w:tr w:rsidR="00DE79BF" w:rsidRPr="007D0769" w14:paraId="7FEE608A" w14:textId="77777777" w:rsidTr="00EC51AB">
        <w:trPr>
          <w:trHeight w:val="360"/>
          <w:tblHeader/>
        </w:trPr>
        <w:tc>
          <w:tcPr>
            <w:tcW w:w="1797" w:type="dxa"/>
          </w:tcPr>
          <w:p w14:paraId="4DC263A6" w14:textId="77777777" w:rsidR="00DE79BF" w:rsidRPr="007D0769" w:rsidRDefault="00DE79BF" w:rsidP="00DE79BF">
            <w:pPr>
              <w:jc w:val="center"/>
              <w:rPr>
                <w:rFonts w:eastAsia="Calibri" w:cs="Arial"/>
                <w:b/>
                <w:color w:val="000000"/>
                <w:szCs w:val="16"/>
              </w:rPr>
            </w:pPr>
            <w:r w:rsidRPr="00ED172B">
              <w:rPr>
                <w:color w:val="000000" w:themeColor="text1"/>
              </w:rPr>
              <w:t xml:space="preserve"> 2023</w:t>
            </w:r>
          </w:p>
        </w:tc>
        <w:tc>
          <w:tcPr>
            <w:tcW w:w="1798" w:type="dxa"/>
            <w:vAlign w:val="center"/>
          </w:tcPr>
          <w:p w14:paraId="3575B6B0" w14:textId="77777777" w:rsidR="00DE79BF" w:rsidRPr="007D0769" w:rsidRDefault="00DE79BF" w:rsidP="00DE79BF">
            <w:pPr>
              <w:jc w:val="center"/>
              <w:rPr>
                <w:rFonts w:eastAsia="Calibri" w:cs="Arial"/>
                <w:b/>
                <w:color w:val="000000"/>
                <w:szCs w:val="16"/>
              </w:rPr>
            </w:pPr>
            <w:r w:rsidRPr="00ED172B">
              <w:rPr>
                <w:color w:val="000000" w:themeColor="text1"/>
              </w:rPr>
              <w:t>100.00%</w:t>
            </w:r>
          </w:p>
        </w:tc>
      </w:tr>
    </w:tbl>
    <w:p w14:paraId="76FA8FD5" w14:textId="77777777" w:rsidR="00C81504" w:rsidRDefault="00C81504" w:rsidP="00DE79B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12HISTDATA"/>
      </w:tblPr>
      <w:tblGrid>
        <w:gridCol w:w="1797"/>
        <w:gridCol w:w="1797"/>
        <w:gridCol w:w="1800"/>
        <w:gridCol w:w="1798"/>
        <w:gridCol w:w="1798"/>
        <w:gridCol w:w="1800"/>
      </w:tblGrid>
      <w:tr w:rsidR="00E61C4B" w14:paraId="6E6553DF" w14:textId="77777777" w:rsidTr="00E61C4B">
        <w:trPr>
          <w:trHeight w:val="350"/>
        </w:trPr>
        <w:tc>
          <w:tcPr>
            <w:tcW w:w="833" w:type="pct"/>
            <w:hideMark/>
          </w:tcPr>
          <w:p w14:paraId="056CC868"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FFY</w:t>
            </w:r>
          </w:p>
        </w:tc>
        <w:tc>
          <w:tcPr>
            <w:tcW w:w="833" w:type="pct"/>
            <w:hideMark/>
          </w:tcPr>
          <w:p w14:paraId="3950F228"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2019</w:t>
            </w:r>
          </w:p>
        </w:tc>
        <w:tc>
          <w:tcPr>
            <w:tcW w:w="834" w:type="pct"/>
            <w:hideMark/>
          </w:tcPr>
          <w:p w14:paraId="7166C118"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2020</w:t>
            </w:r>
          </w:p>
        </w:tc>
        <w:tc>
          <w:tcPr>
            <w:tcW w:w="833" w:type="pct"/>
            <w:vAlign w:val="center"/>
            <w:hideMark/>
          </w:tcPr>
          <w:p w14:paraId="0E0AAA63"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2021</w:t>
            </w:r>
          </w:p>
        </w:tc>
        <w:tc>
          <w:tcPr>
            <w:tcW w:w="833" w:type="pct"/>
            <w:vAlign w:val="center"/>
            <w:hideMark/>
          </w:tcPr>
          <w:p w14:paraId="4A374466"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2022</w:t>
            </w:r>
          </w:p>
        </w:tc>
        <w:tc>
          <w:tcPr>
            <w:tcW w:w="834" w:type="pct"/>
            <w:vAlign w:val="center"/>
            <w:hideMark/>
          </w:tcPr>
          <w:p w14:paraId="4547CBE1"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2023</w:t>
            </w:r>
          </w:p>
        </w:tc>
      </w:tr>
      <w:tr w:rsidR="00E61C4B" w14:paraId="219BB3FA" w14:textId="77777777" w:rsidTr="00E61C4B">
        <w:trPr>
          <w:trHeight w:val="357"/>
        </w:trPr>
        <w:tc>
          <w:tcPr>
            <w:tcW w:w="833" w:type="pct"/>
            <w:hideMark/>
          </w:tcPr>
          <w:p w14:paraId="404F89BF" w14:textId="77777777" w:rsidR="00DC2E2E" w:rsidRDefault="00DC2E2E" w:rsidP="00AC640E">
            <w:pPr>
              <w:spacing w:before="0" w:after="0" w:line="276" w:lineRule="auto"/>
              <w:jc w:val="center"/>
              <w:rPr>
                <w:rFonts w:cs="Arial"/>
                <w:color w:val="000000" w:themeColor="text1"/>
                <w:szCs w:val="16"/>
              </w:rPr>
            </w:pPr>
            <w:r>
              <w:rPr>
                <w:rFonts w:cs="Arial"/>
                <w:color w:val="000000" w:themeColor="text1"/>
                <w:szCs w:val="16"/>
              </w:rPr>
              <w:t>Target</w:t>
            </w:r>
          </w:p>
        </w:tc>
        <w:tc>
          <w:tcPr>
            <w:tcW w:w="833" w:type="pct"/>
            <w:hideMark/>
          </w:tcPr>
          <w:p w14:paraId="4664486A" w14:textId="77777777" w:rsidR="00DC2E2E" w:rsidRPr="00A33FE0" w:rsidRDefault="00DC2E2E" w:rsidP="00B65DD4">
            <w:pPr>
              <w:spacing w:before="0" w:after="0"/>
              <w:jc w:val="center"/>
              <w:rPr>
                <w:rFonts w:cs="Arial"/>
                <w:b/>
                <w:bCs/>
                <w:color w:val="000000" w:themeColor="text1"/>
                <w:szCs w:val="16"/>
              </w:rPr>
            </w:pPr>
            <w:r w:rsidRPr="00A33FE0">
              <w:rPr>
                <w:rFonts w:cs="Arial"/>
                <w:color w:val="000000" w:themeColor="text1"/>
                <w:szCs w:val="16"/>
              </w:rPr>
              <w:t>100%</w:t>
            </w:r>
          </w:p>
        </w:tc>
        <w:tc>
          <w:tcPr>
            <w:tcW w:w="834" w:type="pct"/>
            <w:hideMark/>
          </w:tcPr>
          <w:p w14:paraId="103AF728"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3" w:type="pct"/>
            <w:hideMark/>
          </w:tcPr>
          <w:p w14:paraId="41287B8B"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3" w:type="pct"/>
            <w:hideMark/>
          </w:tcPr>
          <w:p w14:paraId="49185E4F"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4" w:type="pct"/>
            <w:hideMark/>
          </w:tcPr>
          <w:p w14:paraId="46E6DC3C"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r>
      <w:tr w:rsidR="00E61C4B" w14:paraId="51CA59D9" w14:textId="77777777" w:rsidTr="00E61C4B">
        <w:trPr>
          <w:trHeight w:val="85"/>
        </w:trPr>
        <w:tc>
          <w:tcPr>
            <w:tcW w:w="833" w:type="pct"/>
            <w:hideMark/>
          </w:tcPr>
          <w:p w14:paraId="6D5450EA" w14:textId="77777777" w:rsidR="00DC2E2E" w:rsidRDefault="00DC2E2E" w:rsidP="00AC640E">
            <w:pPr>
              <w:spacing w:before="0" w:after="0" w:line="276" w:lineRule="auto"/>
              <w:jc w:val="center"/>
              <w:rPr>
                <w:rFonts w:cs="Arial"/>
                <w:color w:val="000000" w:themeColor="text1"/>
                <w:szCs w:val="16"/>
              </w:rPr>
            </w:pPr>
            <w:r>
              <w:rPr>
                <w:rFonts w:cs="Arial"/>
                <w:color w:val="000000" w:themeColor="text1"/>
                <w:szCs w:val="16"/>
              </w:rPr>
              <w:t>Data</w:t>
            </w:r>
          </w:p>
        </w:tc>
        <w:tc>
          <w:tcPr>
            <w:tcW w:w="833" w:type="pct"/>
            <w:hideMark/>
          </w:tcPr>
          <w:p w14:paraId="56B10BB4" w14:textId="77777777" w:rsidR="00DC2E2E" w:rsidRDefault="00DC2E2E" w:rsidP="00B65DD4">
            <w:pPr>
              <w:spacing w:before="0" w:after="0"/>
              <w:jc w:val="center"/>
              <w:rPr>
                <w:rFonts w:cs="Arial"/>
                <w:color w:val="000000" w:themeColor="text1"/>
                <w:szCs w:val="16"/>
              </w:rPr>
            </w:pPr>
          </w:p>
        </w:tc>
        <w:tc>
          <w:tcPr>
            <w:tcW w:w="834" w:type="pct"/>
            <w:hideMark/>
          </w:tcPr>
          <w:p w14:paraId="611AEB67" w14:textId="77777777" w:rsidR="00DC2E2E" w:rsidRDefault="00DC2E2E" w:rsidP="00B65DD4">
            <w:pPr>
              <w:spacing w:before="0" w:after="0"/>
              <w:jc w:val="center"/>
              <w:rPr>
                <w:rFonts w:cs="Arial"/>
                <w:color w:val="000000" w:themeColor="text1"/>
                <w:szCs w:val="16"/>
              </w:rPr>
            </w:pPr>
          </w:p>
        </w:tc>
        <w:tc>
          <w:tcPr>
            <w:tcW w:w="833" w:type="pct"/>
            <w:hideMark/>
          </w:tcPr>
          <w:p w14:paraId="60C5C7A6" w14:textId="77777777" w:rsidR="00DC2E2E" w:rsidRDefault="00DC2E2E" w:rsidP="00B65DD4">
            <w:pPr>
              <w:spacing w:before="0" w:after="0"/>
              <w:jc w:val="center"/>
              <w:rPr>
                <w:rFonts w:cs="Arial"/>
                <w:color w:val="000000" w:themeColor="text1"/>
                <w:szCs w:val="16"/>
              </w:rPr>
            </w:pPr>
          </w:p>
        </w:tc>
        <w:tc>
          <w:tcPr>
            <w:tcW w:w="833" w:type="pct"/>
            <w:hideMark/>
          </w:tcPr>
          <w:p w14:paraId="1E892777" w14:textId="77777777" w:rsidR="00DC2E2E" w:rsidRDefault="00DC2E2E" w:rsidP="00B65DD4">
            <w:pPr>
              <w:spacing w:before="0" w:after="0"/>
              <w:jc w:val="center"/>
              <w:rPr>
                <w:rFonts w:cs="Arial"/>
                <w:color w:val="000000" w:themeColor="text1"/>
                <w:szCs w:val="16"/>
              </w:rPr>
            </w:pPr>
          </w:p>
        </w:tc>
        <w:tc>
          <w:tcPr>
            <w:tcW w:w="834" w:type="pct"/>
            <w:hideMark/>
          </w:tcPr>
          <w:p w14:paraId="0EBBB2E3"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100.00%</w:t>
            </w:r>
          </w:p>
        </w:tc>
      </w:tr>
    </w:tbl>
    <w:p w14:paraId="5AE5BA30" w14:textId="77777777" w:rsidR="00DC2E2E" w:rsidRDefault="00DC2E2E" w:rsidP="00DE79BF">
      <w:pPr>
        <w:rPr>
          <w:rFonts w:eastAsia="Calibri" w:cs="Arial"/>
          <w:b/>
          <w:szCs w:val="16"/>
        </w:rPr>
      </w:pPr>
    </w:p>
    <w:p w14:paraId="3A24B3E8" w14:textId="77777777" w:rsidR="00DE79BF" w:rsidRPr="007D0769" w:rsidRDefault="00DE79BF" w:rsidP="00DE79BF">
      <w:pPr>
        <w:rPr>
          <w:rFonts w:eastAsia="Calibri" w:cs="Arial"/>
          <w:b/>
          <w:szCs w:val="16"/>
        </w:rPr>
      </w:pPr>
      <w:r w:rsidRPr="007D0769">
        <w:rPr>
          <w:rFonts w:eastAsia="Calibri" w:cs="Arial"/>
          <w:b/>
          <w:szCs w:val="16"/>
        </w:rPr>
        <w:t>Targets</w:t>
      </w:r>
    </w:p>
    <w:tbl>
      <w:tblPr>
        <w:tblStyle w:val="TableGrid1"/>
        <w:tblW w:w="2691" w:type="pct"/>
        <w:tblLook w:val="0020" w:firstRow="1" w:lastRow="0" w:firstColumn="0" w:lastColumn="0" w:noHBand="0" w:noVBand="0"/>
        <w:tblCaption w:val="C12TARGETS"/>
      </w:tblPr>
      <w:tblGrid>
        <w:gridCol w:w="679"/>
        <w:gridCol w:w="2475"/>
        <w:gridCol w:w="2653"/>
      </w:tblGrid>
      <w:tr w:rsidR="00CF59E2" w:rsidRPr="007D0769" w14:paraId="199E581A" w14:textId="77777777" w:rsidTr="00811738">
        <w:trPr>
          <w:trHeight w:val="360"/>
        </w:trPr>
        <w:tc>
          <w:tcPr>
            <w:tcW w:w="585" w:type="pct"/>
          </w:tcPr>
          <w:p w14:paraId="2D169769" w14:textId="77777777" w:rsidR="00CF59E2" w:rsidRPr="007D0769" w:rsidRDefault="00CF59E2" w:rsidP="006B5AEF">
            <w:pPr>
              <w:keepNext/>
              <w:jc w:val="center"/>
              <w:rPr>
                <w:rFonts w:eastAsia="Calibri" w:cs="Arial"/>
                <w:b/>
                <w:szCs w:val="16"/>
              </w:rPr>
            </w:pPr>
            <w:r w:rsidRPr="007D0769">
              <w:rPr>
                <w:rFonts w:eastAsia="Calibri" w:cs="Arial"/>
                <w:b/>
                <w:szCs w:val="16"/>
              </w:rPr>
              <w:t>FFY</w:t>
            </w:r>
          </w:p>
        </w:tc>
        <w:tc>
          <w:tcPr>
            <w:tcW w:w="2131" w:type="pct"/>
            <w:vAlign w:val="center"/>
          </w:tcPr>
          <w:p w14:paraId="56BB5F99" w14:textId="77777777" w:rsidR="00CF59E2" w:rsidRPr="007D0769" w:rsidRDefault="00CF59E2" w:rsidP="006675B4">
            <w:pPr>
              <w:keepNext/>
              <w:jc w:val="center"/>
              <w:rPr>
                <w:rFonts w:eastAsia="Calibri" w:cs="Arial"/>
                <w:b/>
                <w:bCs/>
                <w:szCs w:val="16"/>
              </w:rPr>
            </w:pPr>
            <w:r w:rsidRPr="00ED172B">
              <w:rPr>
                <w:b/>
                <w:color w:val="000000" w:themeColor="text1"/>
              </w:rPr>
              <w:t>2024</w:t>
            </w:r>
          </w:p>
        </w:tc>
        <w:tc>
          <w:tcPr>
            <w:tcW w:w="2284" w:type="pct"/>
          </w:tcPr>
          <w:p w14:paraId="6D4F6338" w14:textId="77777777" w:rsidR="00CF59E2" w:rsidRPr="007D0769" w:rsidDel="00654CAF" w:rsidRDefault="00CF59E2" w:rsidP="006675B4">
            <w:pPr>
              <w:keepNext/>
              <w:jc w:val="center"/>
              <w:rPr>
                <w:rFonts w:eastAsia="Calibri" w:cs="Arial"/>
                <w:b/>
                <w:bCs/>
                <w:szCs w:val="16"/>
              </w:rPr>
            </w:pPr>
            <w:r>
              <w:rPr>
                <w:rFonts w:cs="Arial"/>
                <w:b/>
                <w:color w:val="000000" w:themeColor="text1"/>
                <w:szCs w:val="16"/>
              </w:rPr>
              <w:t>2025</w:t>
            </w:r>
          </w:p>
        </w:tc>
      </w:tr>
      <w:tr w:rsidR="00CF59E2" w:rsidRPr="007D0769" w14:paraId="6B57FD39" w14:textId="77777777" w:rsidTr="00811738">
        <w:trPr>
          <w:trHeight w:val="360"/>
        </w:trPr>
        <w:tc>
          <w:tcPr>
            <w:tcW w:w="585" w:type="pct"/>
          </w:tcPr>
          <w:p w14:paraId="6AA6A18E" w14:textId="77777777" w:rsidR="00CF59E2" w:rsidRPr="007D0769" w:rsidRDefault="00CF59E2" w:rsidP="00277E7F">
            <w:pPr>
              <w:rPr>
                <w:rFonts w:eastAsia="Calibri" w:cs="Arial"/>
                <w:szCs w:val="16"/>
              </w:rPr>
            </w:pPr>
            <w:r w:rsidRPr="007D0769">
              <w:rPr>
                <w:rFonts w:eastAsia="Calibri" w:cs="Arial"/>
                <w:szCs w:val="16"/>
              </w:rPr>
              <w:t>Target</w:t>
            </w:r>
          </w:p>
        </w:tc>
        <w:tc>
          <w:tcPr>
            <w:tcW w:w="2131" w:type="pct"/>
            <w:vAlign w:val="center"/>
          </w:tcPr>
          <w:p w14:paraId="1590A2B3" w14:textId="77777777" w:rsidR="00CF59E2" w:rsidRPr="007D0769" w:rsidRDefault="00CF59E2" w:rsidP="00277E7F">
            <w:pPr>
              <w:jc w:val="center"/>
              <w:rPr>
                <w:rFonts w:eastAsia="Calibri" w:cs="Arial"/>
                <w:caps/>
                <w:color w:val="548DD4"/>
                <w:szCs w:val="16"/>
              </w:rPr>
            </w:pPr>
            <w:r w:rsidRPr="00ED172B">
              <w:rPr>
                <w:color w:val="000000" w:themeColor="text1"/>
              </w:rPr>
              <w:t>100%</w:t>
            </w:r>
          </w:p>
        </w:tc>
        <w:tc>
          <w:tcPr>
            <w:tcW w:w="2284" w:type="pct"/>
          </w:tcPr>
          <w:p w14:paraId="68BE65E5" w14:textId="77777777" w:rsidR="00CF59E2" w:rsidRPr="007D0769" w:rsidRDefault="00CF59E2" w:rsidP="00277E7F">
            <w:pPr>
              <w:jc w:val="center"/>
              <w:rPr>
                <w:rFonts w:eastAsia="Calibri" w:cs="Arial"/>
                <w:caps/>
                <w:color w:val="548DD4"/>
                <w:szCs w:val="16"/>
              </w:rPr>
            </w:pPr>
            <w:r>
              <w:rPr>
                <w:rFonts w:cs="Arial"/>
                <w:color w:val="000000" w:themeColor="text1"/>
                <w:szCs w:val="16"/>
              </w:rPr>
              <w:t>100%</w:t>
            </w:r>
          </w:p>
        </w:tc>
      </w:tr>
    </w:tbl>
    <w:p w14:paraId="299A574A" w14:textId="77777777" w:rsidR="000770F0" w:rsidRPr="007D0769" w:rsidRDefault="000770F0" w:rsidP="00277E7F">
      <w:pPr>
        <w:rPr>
          <w:rFonts w:eastAsia="Calibri" w:cs="Arial"/>
          <w:b/>
          <w:szCs w:val="16"/>
        </w:rPr>
      </w:pPr>
    </w:p>
    <w:p w14:paraId="211374CC" w14:textId="77777777" w:rsidR="00277E7F" w:rsidRPr="007D0769" w:rsidRDefault="00277E7F" w:rsidP="00277E7F">
      <w:pPr>
        <w:rPr>
          <w:rFonts w:eastAsia="Times New Roman" w:cs="Arial"/>
          <w:b/>
          <w:bCs/>
          <w:szCs w:val="16"/>
        </w:rPr>
      </w:pPr>
      <w:r w:rsidRPr="007D0769">
        <w:rPr>
          <w:rFonts w:eastAsia="Times New Roman" w:cs="Arial"/>
          <w:b/>
          <w:bCs/>
          <w:szCs w:val="16"/>
        </w:rPr>
        <w:t>Indicator 1. Percent of infants and toddlers with Individual Family Service Plans (IFSPs) who receive the early intervention services on their IFSPs in a timely manner. (20 U.S.C. 1416(a)(3)(A) and 1442)</w:t>
      </w:r>
    </w:p>
    <w:p w14:paraId="02747175" w14:textId="77777777" w:rsidR="00277E7F" w:rsidRDefault="00277E7F" w:rsidP="00277E7F">
      <w:pPr>
        <w:spacing w:after="0"/>
        <w:textAlignment w:val="baseline"/>
        <w:rPr>
          <w:rFonts w:eastAsia="Times New Roman" w:cs="Arial"/>
          <w:b/>
          <w:bCs/>
          <w:szCs w:val="16"/>
        </w:rPr>
      </w:pPr>
      <w:r w:rsidRPr="007D0769">
        <w:rPr>
          <w:rFonts w:eastAsia="Times New Roman" w:cs="Arial"/>
          <w:b/>
          <w:bCs/>
          <w:szCs w:val="16"/>
        </w:rPr>
        <w:t>Findings of Noncompliance Identified in FFY 2023</w:t>
      </w:r>
    </w:p>
    <w:tbl>
      <w:tblPr>
        <w:tblStyle w:val="TableGrid"/>
        <w:tblW w:w="4952" w:type="pct"/>
        <w:tblInd w:w="103" w:type="dxa"/>
        <w:tblLayout w:type="fixed"/>
        <w:tblLook w:val="04A0" w:firstRow="1" w:lastRow="0" w:firstColumn="1" w:lastColumn="0" w:noHBand="0" w:noVBand="1"/>
        <w:tblCaption w:val="C12FONC01"/>
      </w:tblPr>
      <w:tblGrid>
        <w:gridCol w:w="1634"/>
        <w:gridCol w:w="2265"/>
        <w:gridCol w:w="2030"/>
        <w:gridCol w:w="2340"/>
        <w:gridCol w:w="2417"/>
      </w:tblGrid>
      <w:tr w:rsidR="001B2809" w:rsidRPr="007D0769" w14:paraId="51F0365C" w14:textId="77777777" w:rsidTr="00EC51AB">
        <w:trPr>
          <w:trHeight w:val="360"/>
          <w:tblHeader/>
        </w:trPr>
        <w:tc>
          <w:tcPr>
            <w:tcW w:w="764" w:type="pct"/>
          </w:tcPr>
          <w:p w14:paraId="48314396" w14:textId="77777777" w:rsidR="00277E7F" w:rsidRPr="007D0769" w:rsidRDefault="00277E7F" w:rsidP="00727602">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1060" w:type="pct"/>
          </w:tcPr>
          <w:p w14:paraId="24FAA02C" w14:textId="77777777" w:rsidR="00277E7F" w:rsidRPr="007D0769" w:rsidRDefault="00277E7F"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950" w:type="pct"/>
          </w:tcPr>
          <w:p w14:paraId="3DDF77D3" w14:textId="77777777" w:rsidR="00277E7F" w:rsidRPr="007D0769" w:rsidRDefault="00277E7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1095" w:type="pct"/>
          </w:tcPr>
          <w:p w14:paraId="4104AA33" w14:textId="77777777" w:rsidR="00277E7F" w:rsidRPr="007D0769" w:rsidRDefault="00277E7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1132" w:type="pct"/>
          </w:tcPr>
          <w:p w14:paraId="6B024A7B" w14:textId="77777777" w:rsidR="00277E7F" w:rsidRPr="007D0769" w:rsidRDefault="00277E7F"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1B2809" w:rsidRPr="00AC243A" w14:paraId="6DA6EAA4" w14:textId="77777777" w:rsidTr="00EC51AB">
        <w:trPr>
          <w:trHeight w:val="360"/>
          <w:tblHeader/>
        </w:trPr>
        <w:tc>
          <w:tcPr>
            <w:tcW w:w="764" w:type="pct"/>
          </w:tcPr>
          <w:p w14:paraId="076253FF" w14:textId="77777777" w:rsidR="00277E7F" w:rsidRPr="007D0769" w:rsidRDefault="004A08EB">
            <w:pPr>
              <w:jc w:val="center"/>
              <w:textAlignment w:val="baseline"/>
              <w:rPr>
                <w:rFonts w:eastAsia="Times New Roman" w:cs="Arial"/>
                <w:b/>
                <w:bCs/>
                <w:szCs w:val="16"/>
              </w:rPr>
            </w:pPr>
            <w:r w:rsidRPr="00ED172B">
              <w:rPr>
                <w:rFonts w:cs="Arial"/>
                <w:color w:val="000000" w:themeColor="text1"/>
                <w:szCs w:val="16"/>
              </w:rPr>
              <w:t>6</w:t>
            </w:r>
          </w:p>
        </w:tc>
        <w:tc>
          <w:tcPr>
            <w:tcW w:w="1060" w:type="pct"/>
          </w:tcPr>
          <w:p w14:paraId="623D18AE" w14:textId="77777777" w:rsidR="00277E7F" w:rsidRPr="007D0769" w:rsidRDefault="004152EB">
            <w:pPr>
              <w:ind w:left="45" w:right="77"/>
              <w:jc w:val="center"/>
              <w:textAlignment w:val="baseline"/>
              <w:rPr>
                <w:rFonts w:eastAsia="Times New Roman" w:cs="Arial"/>
                <w:b/>
                <w:bCs/>
                <w:szCs w:val="16"/>
              </w:rPr>
            </w:pPr>
            <w:r>
              <w:rPr>
                <w:rFonts w:eastAsia="Times New Roman" w:cs="Arial"/>
                <w:szCs w:val="16"/>
              </w:rPr>
              <w:t>0</w:t>
            </w:r>
          </w:p>
        </w:tc>
        <w:tc>
          <w:tcPr>
            <w:tcW w:w="950" w:type="pct"/>
          </w:tcPr>
          <w:p w14:paraId="5CE8AA25" w14:textId="77777777" w:rsidR="00277E7F" w:rsidRPr="007D0769" w:rsidRDefault="004A08EB">
            <w:pPr>
              <w:jc w:val="center"/>
              <w:textAlignment w:val="baseline"/>
              <w:rPr>
                <w:rFonts w:eastAsia="Times New Roman" w:cs="Arial"/>
                <w:b/>
                <w:bCs/>
                <w:szCs w:val="16"/>
              </w:rPr>
            </w:pPr>
            <w:r w:rsidRPr="00ED172B">
              <w:rPr>
                <w:rFonts w:cs="Arial"/>
                <w:color w:val="000000" w:themeColor="text1"/>
                <w:szCs w:val="16"/>
              </w:rPr>
              <w:t>6</w:t>
            </w:r>
          </w:p>
        </w:tc>
        <w:tc>
          <w:tcPr>
            <w:tcW w:w="1095" w:type="pct"/>
          </w:tcPr>
          <w:p w14:paraId="64D42C99" w14:textId="77777777" w:rsidR="00277E7F" w:rsidRPr="007D0769" w:rsidRDefault="004152EB">
            <w:pPr>
              <w:jc w:val="center"/>
              <w:textAlignment w:val="baseline"/>
              <w:rPr>
                <w:rFonts w:eastAsia="Times New Roman" w:cs="Arial"/>
                <w:b/>
                <w:bCs/>
                <w:szCs w:val="16"/>
              </w:rPr>
            </w:pPr>
            <w:r>
              <w:rPr>
                <w:rFonts w:eastAsia="Times New Roman" w:cs="Arial"/>
                <w:szCs w:val="16"/>
              </w:rPr>
              <w:t>0</w:t>
            </w:r>
          </w:p>
        </w:tc>
        <w:tc>
          <w:tcPr>
            <w:tcW w:w="1132" w:type="pct"/>
          </w:tcPr>
          <w:p w14:paraId="3ABFDDA6" w14:textId="77777777" w:rsidR="00277E7F" w:rsidRPr="00727602" w:rsidRDefault="002E61D5" w:rsidP="00AC243A">
            <w:pPr>
              <w:jc w:val="center"/>
              <w:textAlignment w:val="baseline"/>
              <w:rPr>
                <w:rFonts w:eastAsia="Times New Roman" w:cs="Arial"/>
                <w:szCs w:val="16"/>
              </w:rPr>
            </w:pPr>
            <w:r w:rsidRPr="00727602">
              <w:rPr>
                <w:rFonts w:eastAsia="Times New Roman" w:cs="Arial"/>
                <w:szCs w:val="16"/>
              </w:rPr>
              <w:t>0</w:t>
            </w:r>
          </w:p>
        </w:tc>
      </w:tr>
    </w:tbl>
    <w:p w14:paraId="37847E67" w14:textId="77777777" w:rsidR="00277E7F" w:rsidRPr="00727602" w:rsidRDefault="00277E7F" w:rsidP="00277E7F">
      <w:pPr>
        <w:rPr>
          <w:rFonts w:eastAsia="Calibri" w:cs="Arial"/>
          <w:b/>
          <w:szCs w:val="16"/>
        </w:rPr>
      </w:pPr>
    </w:p>
    <w:p w14:paraId="70F213C0" w14:textId="77777777" w:rsidR="005369EB" w:rsidRDefault="005369EB" w:rsidP="005369EB">
      <w:pPr>
        <w:keepNext/>
        <w:spacing w:after="0"/>
        <w:rPr>
          <w:rFonts w:eastAsia="Times New Roman" w:cs="Arial"/>
          <w:b/>
          <w:szCs w:val="16"/>
        </w:rPr>
      </w:pPr>
      <w:r w:rsidRPr="00E3228B">
        <w:rPr>
          <w:rFonts w:eastAsia="Times New Roman" w:cs="Arial"/>
          <w:b/>
          <w:szCs w:val="16"/>
        </w:rPr>
        <w:t xml:space="preserve">Please explain the source (e.g., State monitoring, State database/data system, dispute resolution, fiscal, related requirements, etc.) of any additional findings reported in Column B. </w:t>
      </w:r>
    </w:p>
    <w:p w14:paraId="11ECA0E4" w14:textId="77777777" w:rsidR="00A51008" w:rsidRPr="00F7607B" w:rsidRDefault="00A51008" w:rsidP="005369EB">
      <w:pPr>
        <w:keepNext/>
        <w:spacing w:after="0"/>
        <w:rPr>
          <w:rFonts w:eastAsia="Times New Roman" w:cs="Arial"/>
          <w:bCs/>
          <w:szCs w:val="16"/>
        </w:rPr>
      </w:pPr>
      <w:r w:rsidRPr="00F7607B">
        <w:rPr>
          <w:rFonts w:eastAsia="Times New Roman" w:cs="Arial"/>
          <w:bCs/>
          <w:szCs w:val="16"/>
        </w:rPr>
        <w:t>N/A</w:t>
      </w:r>
    </w:p>
    <w:p w14:paraId="3DE51349" w14:textId="77777777" w:rsidR="00277E7F" w:rsidRPr="007D0769" w:rsidRDefault="00277E7F" w:rsidP="00277E7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1821A3CD" w14:textId="77777777" w:rsidR="00DE79BF" w:rsidRDefault="00277E7F" w:rsidP="00DE79BF">
      <w:pPr>
        <w:rPr>
          <w:rFonts w:eastAsia="Calibri" w:cs="Arial"/>
          <w:szCs w:val="16"/>
        </w:rPr>
      </w:pPr>
      <w:r>
        <w:rPr>
          <w:rFonts w:eastAsia="Calibri" w:cs="Arial"/>
          <w:szCs w:val="16"/>
        </w:rPr>
        <w:t xml:space="preserve">To ensure that the sources of noncompliance were correctly implementing the regulatory requirements, the State conducted additional verification activities. Through our monitoring process, a total of six instances of child-specific noncompliance were identified. Programs with noncompliance are required to complete corrective action plans to address the root cause of noncompliance. Each EI program with identified noncompliance completed and submitted subsequent file reviews in the SPR&amp;I (Oregon's electronic monitoring system) for child records developed after the original noncompliance was corrected and corrective actions implemented.  </w:t>
      </w:r>
    </w:p>
    <w:p w14:paraId="5D959F80" w14:textId="77777777" w:rsidR="000575B2" w:rsidRDefault="000575B2"/>
    <w:p w14:paraId="5014DBE6" w14:textId="77777777" w:rsidR="000575B2" w:rsidRDefault="00D6492D">
      <w:r>
        <w:t xml:space="preserve">The State reviewed these subsequent files in SPR&amp;I and cross-checked the information in </w:t>
      </w:r>
      <w:proofErr w:type="spellStart"/>
      <w:r>
        <w:t>ecWeb</w:t>
      </w:r>
      <w:proofErr w:type="spellEnd"/>
      <w:r>
        <w:t>, Oregon’s statewide EI/ECSE data system, to confirm current compliance and correct implementation of required procedures. Through this review, the State verified that all programs with previous noncompliance demonstrated sustained correction and full adherence to the regulatory requirements for timely services.</w:t>
      </w:r>
    </w:p>
    <w:p w14:paraId="4B44DDB2" w14:textId="77777777" w:rsidR="006B5AEF" w:rsidRPr="007D0769" w:rsidRDefault="006B5AEF" w:rsidP="006B5AE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BF9D905" w14:textId="77777777" w:rsidR="006B5AEF" w:rsidRDefault="002E61D5" w:rsidP="00DE79BF">
      <w:pPr>
        <w:rPr>
          <w:rFonts w:eastAsia="Calibri" w:cs="Arial"/>
          <w:szCs w:val="16"/>
        </w:rPr>
      </w:pPr>
      <w:r>
        <w:rPr>
          <w:rFonts w:eastAsia="Calibri" w:cs="Arial"/>
          <w:szCs w:val="16"/>
        </w:rPr>
        <w:t>For FFY 2023, the State completed a comprehensive verification process to ensure timely correction of all six identified instances of individual noncompliance.</w:t>
      </w:r>
    </w:p>
    <w:p w14:paraId="2B07691D" w14:textId="77777777" w:rsidR="000575B2" w:rsidRDefault="000575B2"/>
    <w:p w14:paraId="56583E46" w14:textId="77777777" w:rsidR="000575B2" w:rsidRDefault="00D6492D">
      <w:r>
        <w:t xml:space="preserve">To verify correction of the identified noncompliance, the State completed the following actions: </w:t>
      </w:r>
    </w:p>
    <w:p w14:paraId="1259DAE0" w14:textId="77777777" w:rsidR="000575B2" w:rsidRDefault="000575B2"/>
    <w:p w14:paraId="1C2E75E1" w14:textId="77777777" w:rsidR="000575B2" w:rsidRDefault="00D6492D">
      <w:r>
        <w:t xml:space="preserve"> - The Early Intervention (EI) program submitted documentation of the correction of noncompliance for each of the six </w:t>
      </w:r>
      <w:proofErr w:type="gramStart"/>
      <w:r>
        <w:t>individual</w:t>
      </w:r>
      <w:proofErr w:type="gramEnd"/>
      <w:r>
        <w:t xml:space="preserve"> noncompliant IFSPs through online submission in SPR&amp;I, Oregon’s electronic monitoring system. The state reviewed this data as one source of information about the noncompliance correction. The State reviewed the six individual child records in </w:t>
      </w:r>
      <w:proofErr w:type="spellStart"/>
      <w:r>
        <w:t>EcWeb</w:t>
      </w:r>
      <w:proofErr w:type="spellEnd"/>
      <w:r>
        <w:t>, (Oregon's Statewide Database) as a second source of data.</w:t>
      </w:r>
    </w:p>
    <w:p w14:paraId="3D6CFC8D" w14:textId="77777777" w:rsidR="000575B2" w:rsidRDefault="000575B2"/>
    <w:p w14:paraId="19216F76" w14:textId="77777777" w:rsidR="000575B2" w:rsidRDefault="00D6492D">
      <w:r>
        <w:t xml:space="preserve"> - In all six cases, the state verified that services were provided, although late, or the child was </w:t>
      </w:r>
      <w:proofErr w:type="spellStart"/>
      <w:proofErr w:type="gramStart"/>
      <w:r>
        <w:t>not</w:t>
      </w:r>
      <w:proofErr w:type="gramEnd"/>
      <w:r>
        <w:t xml:space="preserve"> longer</w:t>
      </w:r>
      <w:proofErr w:type="spellEnd"/>
      <w:r>
        <w:t xml:space="preserve"> in the program's jurisdiction. In accordance with AQ-23-01, we also verified that there </w:t>
      </w:r>
      <w:proofErr w:type="gramStart"/>
      <w:r>
        <w:t>were</w:t>
      </w:r>
      <w:proofErr w:type="gramEnd"/>
      <w:r>
        <w:t xml:space="preserve"> no outstanding corrective </w:t>
      </w:r>
      <w:proofErr w:type="spellStart"/>
      <w:proofErr w:type="gramStart"/>
      <w:r>
        <w:t>actin</w:t>
      </w:r>
      <w:proofErr w:type="spellEnd"/>
      <w:proofErr w:type="gramEnd"/>
      <w:r>
        <w:t xml:space="preserve"> under a state complaint or due process hearing decision.</w:t>
      </w:r>
    </w:p>
    <w:p w14:paraId="32BDCB39" w14:textId="77777777" w:rsidR="000575B2" w:rsidRDefault="00D6492D">
      <w:r>
        <w:t xml:space="preserve"> </w:t>
      </w:r>
    </w:p>
    <w:p w14:paraId="362A1CE1" w14:textId="77777777" w:rsidR="00EA0734" w:rsidRDefault="00EA0734" w:rsidP="00AC243A">
      <w:pPr>
        <w:spacing w:after="0"/>
        <w:textAlignment w:val="baseline"/>
        <w:rPr>
          <w:rFonts w:eastAsia="Times New Roman" w:cs="Arial"/>
          <w:b/>
          <w:bCs/>
          <w:szCs w:val="16"/>
        </w:rPr>
      </w:pPr>
    </w:p>
    <w:p w14:paraId="08A2AF0B" w14:textId="77777777" w:rsidR="00AC243A" w:rsidRPr="007D0769" w:rsidRDefault="00AC243A" w:rsidP="00AC243A">
      <w:pPr>
        <w:spacing w:after="0"/>
        <w:textAlignment w:val="baseline"/>
        <w:rPr>
          <w:rFonts w:eastAsia="Times New Roman" w:cs="Arial"/>
          <w:b/>
          <w:bCs/>
          <w:szCs w:val="16"/>
        </w:rPr>
      </w:pPr>
      <w:r w:rsidRPr="007D0769">
        <w:rPr>
          <w:rFonts w:eastAsia="Times New Roman" w:cs="Arial"/>
          <w:b/>
          <w:bCs/>
          <w:szCs w:val="16"/>
        </w:rPr>
        <w:t>Indicator 7. Percent of eligible infants and toddlers with IFSPs for whom initial evaluation, initial assessment, and the initial IFSP meeting were conducted within Part C’s 45-day timeline. (20 U.S.C. 1416(a)(3)(B) and 1442)</w:t>
      </w:r>
    </w:p>
    <w:p w14:paraId="64220186" w14:textId="77777777" w:rsidR="00AC243A" w:rsidRPr="007D0769" w:rsidRDefault="00AC243A" w:rsidP="00AC243A">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7"/>
      </w:tblPr>
      <w:tblGrid>
        <w:gridCol w:w="2158"/>
        <w:gridCol w:w="2158"/>
        <w:gridCol w:w="2158"/>
        <w:gridCol w:w="2158"/>
        <w:gridCol w:w="2158"/>
      </w:tblGrid>
      <w:tr w:rsidR="00684786" w:rsidRPr="007D0769" w14:paraId="63E95B8A" w14:textId="77777777" w:rsidTr="00EC51AB">
        <w:trPr>
          <w:trHeight w:val="360"/>
          <w:tblHeader/>
        </w:trPr>
        <w:tc>
          <w:tcPr>
            <w:tcW w:w="2158" w:type="dxa"/>
          </w:tcPr>
          <w:p w14:paraId="07A16B4B" w14:textId="77777777"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569DC827" w14:textId="77777777" w:rsidR="00AC243A" w:rsidRPr="007D0769" w:rsidRDefault="00AC243A"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58" w:type="dxa"/>
          </w:tcPr>
          <w:p w14:paraId="7E146AF0" w14:textId="77777777" w:rsidR="00AC243A" w:rsidRPr="007D0769" w:rsidRDefault="00AC243A"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7057732B" w14:textId="77777777" w:rsidR="00AC243A" w:rsidRPr="007D0769" w:rsidRDefault="00AC243A"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5EA2DBB" w14:textId="77777777" w:rsidR="00AC243A" w:rsidRPr="007D0769" w:rsidRDefault="00AC243A"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684786" w:rsidRPr="00755D89" w14:paraId="4834BB40" w14:textId="77777777" w:rsidTr="00EC51AB">
        <w:trPr>
          <w:trHeight w:val="360"/>
          <w:tblHeader/>
        </w:trPr>
        <w:tc>
          <w:tcPr>
            <w:tcW w:w="2158" w:type="dxa"/>
          </w:tcPr>
          <w:p w14:paraId="0A699999" w14:textId="77777777" w:rsidR="00AC243A" w:rsidRPr="007D0769" w:rsidRDefault="00AC243A">
            <w:pPr>
              <w:jc w:val="center"/>
              <w:textAlignment w:val="baseline"/>
              <w:rPr>
                <w:rFonts w:eastAsia="Times New Roman" w:cs="Arial"/>
                <w:b/>
                <w:bCs/>
                <w:szCs w:val="16"/>
              </w:rPr>
            </w:pPr>
            <w:r w:rsidRPr="00ED172B">
              <w:rPr>
                <w:rFonts w:cs="Arial"/>
                <w:color w:val="000000" w:themeColor="text1"/>
                <w:szCs w:val="16"/>
              </w:rPr>
              <w:t>202</w:t>
            </w:r>
          </w:p>
        </w:tc>
        <w:tc>
          <w:tcPr>
            <w:tcW w:w="2158" w:type="dxa"/>
          </w:tcPr>
          <w:p w14:paraId="10363B9B" w14:textId="77777777" w:rsidR="00AC243A" w:rsidRPr="007D0769" w:rsidRDefault="00AC243A">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0B99658E" w14:textId="77777777" w:rsidR="00AC243A" w:rsidRPr="007D0769" w:rsidRDefault="00AC243A">
            <w:pPr>
              <w:jc w:val="center"/>
              <w:textAlignment w:val="baseline"/>
              <w:rPr>
                <w:rFonts w:eastAsia="Times New Roman" w:cs="Arial"/>
                <w:b/>
                <w:bCs/>
                <w:szCs w:val="16"/>
              </w:rPr>
            </w:pPr>
            <w:r w:rsidRPr="00ED172B">
              <w:rPr>
                <w:rFonts w:cs="Arial"/>
                <w:color w:val="000000" w:themeColor="text1"/>
                <w:szCs w:val="16"/>
              </w:rPr>
              <w:t>202</w:t>
            </w:r>
          </w:p>
        </w:tc>
        <w:tc>
          <w:tcPr>
            <w:tcW w:w="2158" w:type="dxa"/>
          </w:tcPr>
          <w:p w14:paraId="16D9AD90" w14:textId="77777777" w:rsidR="00AC243A" w:rsidRPr="007D0769" w:rsidRDefault="00AC243A">
            <w:pPr>
              <w:jc w:val="center"/>
              <w:textAlignment w:val="baseline"/>
              <w:rPr>
                <w:rFonts w:eastAsia="Times New Roman" w:cs="Arial"/>
                <w:b/>
                <w:bCs/>
                <w:szCs w:val="16"/>
              </w:rPr>
            </w:pPr>
            <w:r>
              <w:rPr>
                <w:rFonts w:eastAsia="Times New Roman" w:cs="Arial"/>
                <w:szCs w:val="16"/>
              </w:rPr>
              <w:t>0</w:t>
            </w:r>
          </w:p>
        </w:tc>
        <w:tc>
          <w:tcPr>
            <w:tcW w:w="2158" w:type="dxa"/>
          </w:tcPr>
          <w:p w14:paraId="37E430E6" w14:textId="77777777" w:rsidR="00AC243A" w:rsidRPr="00755D89" w:rsidRDefault="00AC243A">
            <w:pPr>
              <w:jc w:val="center"/>
              <w:textAlignment w:val="baseline"/>
              <w:rPr>
                <w:rFonts w:eastAsia="Times New Roman" w:cs="Arial"/>
                <w:szCs w:val="16"/>
              </w:rPr>
            </w:pPr>
            <w:r w:rsidRPr="00755D89">
              <w:rPr>
                <w:rFonts w:eastAsia="Times New Roman" w:cs="Arial"/>
                <w:szCs w:val="16"/>
              </w:rPr>
              <w:t>0</w:t>
            </w:r>
          </w:p>
        </w:tc>
      </w:tr>
    </w:tbl>
    <w:p w14:paraId="2A005BF8" w14:textId="77777777" w:rsidR="00AC243A" w:rsidRPr="00755D89" w:rsidRDefault="00AC243A" w:rsidP="00AC243A">
      <w:pPr>
        <w:rPr>
          <w:rFonts w:eastAsia="Calibri" w:cs="Arial"/>
          <w:b/>
          <w:szCs w:val="16"/>
        </w:rPr>
      </w:pPr>
    </w:p>
    <w:p w14:paraId="6AD50B23" w14:textId="77777777" w:rsidR="00E51A59" w:rsidRDefault="00E51A59" w:rsidP="00E51A59">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0A1939F3" w14:textId="77777777" w:rsidR="00A51008" w:rsidRPr="00F7607B" w:rsidRDefault="00A51008" w:rsidP="00E51A59">
      <w:pPr>
        <w:keepNext/>
        <w:spacing w:after="0"/>
        <w:rPr>
          <w:rFonts w:eastAsia="Times New Roman" w:cs="Arial"/>
          <w:bCs/>
          <w:szCs w:val="16"/>
        </w:rPr>
      </w:pPr>
      <w:r>
        <w:rPr>
          <w:rFonts w:eastAsia="Times New Roman" w:cs="Arial"/>
          <w:bCs/>
          <w:szCs w:val="16"/>
        </w:rPr>
        <w:t>N/A</w:t>
      </w:r>
    </w:p>
    <w:p w14:paraId="04D0D90D" w14:textId="77777777" w:rsidR="00AC243A" w:rsidRPr="007D0769" w:rsidRDefault="00AC243A" w:rsidP="00AC243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5B237CEC" w14:textId="77777777" w:rsidR="00AC243A" w:rsidRDefault="00AC243A" w:rsidP="00AC243A">
      <w:pPr>
        <w:rPr>
          <w:rFonts w:eastAsia="Calibri" w:cs="Arial"/>
          <w:szCs w:val="16"/>
        </w:rPr>
      </w:pPr>
      <w:r>
        <w:rPr>
          <w:rFonts w:eastAsia="Calibri" w:cs="Arial"/>
          <w:szCs w:val="16"/>
        </w:rPr>
        <w:t xml:space="preserve">The State verified </w:t>
      </w:r>
      <w:proofErr w:type="gramStart"/>
      <w:r>
        <w:rPr>
          <w:rFonts w:eastAsia="Calibri" w:cs="Arial"/>
          <w:szCs w:val="16"/>
        </w:rPr>
        <w:t>per</w:t>
      </w:r>
      <w:proofErr w:type="gramEnd"/>
      <w:r>
        <w:rPr>
          <w:rFonts w:eastAsia="Calibri" w:cs="Arial"/>
          <w:szCs w:val="16"/>
        </w:rPr>
        <w:t xml:space="preserve"> OSEP QA 23-01 that all programs with past noncompliance were correctly implementing the regulatory requirements based on updated monthly 45-day timeline data from each program. The state summarized continued new monthly CAP data for each program detailing no new cases over the 45-day timeline or only CAPs with parent delays. Subsequent individual evaluations were also reviewed by the State in </w:t>
      </w:r>
      <w:proofErr w:type="spellStart"/>
      <w:r>
        <w:rPr>
          <w:rFonts w:eastAsia="Calibri" w:cs="Arial"/>
          <w:szCs w:val="16"/>
        </w:rPr>
        <w:t>EcWeb</w:t>
      </w:r>
      <w:proofErr w:type="spellEnd"/>
      <w:r>
        <w:rPr>
          <w:rFonts w:eastAsia="Calibri" w:cs="Arial"/>
          <w:szCs w:val="16"/>
        </w:rPr>
        <w:t>, the State IFSP database, and confirmed subsequent timely evaluations.</w:t>
      </w:r>
    </w:p>
    <w:p w14:paraId="7B7C4239" w14:textId="77777777" w:rsidR="000575B2" w:rsidRDefault="000575B2"/>
    <w:p w14:paraId="69057266" w14:textId="77777777" w:rsidR="000575B2" w:rsidRDefault="00D6492D">
      <w:r>
        <w:t xml:space="preserve">For FFY 2023, the programs submitted monthly corrective action plans (CAPs) to the State for any child for whom the 45-day timeline was not met. Included in the CAP that programs submitted: 1) the number of days needed to complete the referral, eligibility and initial IFSP meeting; 2) the child’s </w:t>
      </w:r>
      <w:r>
        <w:lastRenderedPageBreak/>
        <w:t xml:space="preserve">initials and birth date; 3) the specific reasons for not meeting the 45-day timeline (parent delay or program delay); 4) the corrective actions based on an analysis of the problem(s); 5) the activities planned to address each problem identified and 6) request for ODE technical assistance if desired. </w:t>
      </w:r>
    </w:p>
    <w:p w14:paraId="1102B043" w14:textId="77777777" w:rsidR="00AC243A" w:rsidRPr="007D0769" w:rsidRDefault="00AC243A" w:rsidP="00AC243A">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F30C1D3" w14:textId="77777777" w:rsidR="00AC243A" w:rsidRDefault="00AC243A" w:rsidP="00AC243A">
      <w:pPr>
        <w:rPr>
          <w:rFonts w:eastAsia="Calibri" w:cs="Arial"/>
          <w:szCs w:val="16"/>
        </w:rPr>
      </w:pPr>
      <w:r>
        <w:rPr>
          <w:rFonts w:eastAsia="Calibri" w:cs="Arial"/>
          <w:szCs w:val="16"/>
        </w:rPr>
        <w:t xml:space="preserve">The State verified that 100% (202/202) of the individual incidents of noncompliance in FFY 2023 were corrected within one year. All programs with noncompliance conducted the initial evaluation, assessment, and IFSP meeting, although late, for each individual child for whom the 45-day timeline was not met based on a monthly State review and approved submitted individual Corrective Action Plans (CAPs) documenting each of the 202 cases of noncompliance were corrected to 100% (consistent with OSEP QA 23-01). </w:t>
      </w:r>
    </w:p>
    <w:p w14:paraId="7C887A10" w14:textId="77777777" w:rsidR="000575B2" w:rsidRDefault="00D6492D">
      <w:r>
        <w:t xml:space="preserve"> </w:t>
      </w:r>
    </w:p>
    <w:p w14:paraId="1ABFC3C8" w14:textId="77777777" w:rsidR="000575B2" w:rsidRDefault="00D6492D">
      <w:r>
        <w:t xml:space="preserve">The State verified as per OSEP QA 23-01 that all programs with past noncompliance were correctly implementing the regulatory requirements based on updated monthly 45-day timeline data from each program. The State summarized continued new monthly CAP data for each program detailing no new cases over the 45-day timeline or only CAPs with parent delays. Subsequent evaluations were also reviewed by the State in </w:t>
      </w:r>
      <w:proofErr w:type="spellStart"/>
      <w:r>
        <w:t>EcWeb</w:t>
      </w:r>
      <w:proofErr w:type="spellEnd"/>
      <w:r>
        <w:t>, the State IFSP database, and confirmed subsequent timely evaluations.</w:t>
      </w:r>
    </w:p>
    <w:p w14:paraId="49C68ED2" w14:textId="77777777" w:rsidR="008D36D9" w:rsidRDefault="008D36D9" w:rsidP="005B5A95">
      <w:pPr>
        <w:spacing w:after="0"/>
        <w:textAlignment w:val="baseline"/>
        <w:rPr>
          <w:rFonts w:eastAsia="Times New Roman" w:cs="Arial"/>
          <w:b/>
          <w:bCs/>
          <w:szCs w:val="16"/>
        </w:rPr>
      </w:pPr>
    </w:p>
    <w:p w14:paraId="6161ECD9" w14:textId="77777777"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Indicator 8A. The percentage of toddlers with disabilities exiting Part C with timely transition planning for whom the Lead Agency has:</w:t>
      </w:r>
    </w:p>
    <w:p w14:paraId="04C82384" w14:textId="77777777"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A. Developed an IFSP with transition steps and services at least 90 days (and, at the discretion of all parties, not more than nine months) prior to the toddler’s third birthday. (20 U.S.C. 1416(a)(3)(B) and 1442).</w:t>
      </w:r>
    </w:p>
    <w:p w14:paraId="0D073AE6" w14:textId="77777777" w:rsidR="005B5A95" w:rsidRPr="007D0769" w:rsidRDefault="005B5A95" w:rsidP="005B5A95">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A"/>
      </w:tblPr>
      <w:tblGrid>
        <w:gridCol w:w="2158"/>
        <w:gridCol w:w="2158"/>
        <w:gridCol w:w="2158"/>
        <w:gridCol w:w="2158"/>
        <w:gridCol w:w="2158"/>
      </w:tblGrid>
      <w:tr w:rsidR="005B5A95" w:rsidRPr="007D0769" w14:paraId="79CF2670" w14:textId="77777777" w:rsidTr="00EC51AB">
        <w:trPr>
          <w:trHeight w:val="360"/>
          <w:tblHeader/>
        </w:trPr>
        <w:tc>
          <w:tcPr>
            <w:tcW w:w="2158" w:type="dxa"/>
          </w:tcPr>
          <w:p w14:paraId="696B4904" w14:textId="77777777"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53DD18E3" w14:textId="77777777" w:rsidR="005B5A95" w:rsidRPr="007D0769" w:rsidRDefault="005B5A95"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58" w:type="dxa"/>
          </w:tcPr>
          <w:p w14:paraId="64108EA9" w14:textId="77777777" w:rsidR="005B5A95" w:rsidRPr="007D0769" w:rsidRDefault="005B5A95"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6A3DCD32" w14:textId="77777777" w:rsidR="005B5A95" w:rsidRPr="007D0769" w:rsidRDefault="005B5A95"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5FF5F544" w14:textId="77777777" w:rsidR="005B5A95" w:rsidRPr="007D0769" w:rsidRDefault="005B5A95"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5B5A95" w:rsidRPr="00755D89" w14:paraId="2E5D67A4" w14:textId="77777777" w:rsidTr="00EC51AB">
        <w:trPr>
          <w:trHeight w:val="360"/>
          <w:tblHeader/>
        </w:trPr>
        <w:tc>
          <w:tcPr>
            <w:tcW w:w="2158" w:type="dxa"/>
          </w:tcPr>
          <w:p w14:paraId="1B0296BE" w14:textId="77777777" w:rsidR="005B5A95" w:rsidRPr="007D0769" w:rsidRDefault="005B5A95">
            <w:pPr>
              <w:jc w:val="center"/>
              <w:textAlignment w:val="baseline"/>
              <w:rPr>
                <w:rFonts w:eastAsia="Times New Roman" w:cs="Arial"/>
                <w:b/>
                <w:bCs/>
                <w:szCs w:val="16"/>
              </w:rPr>
            </w:pPr>
            <w:r w:rsidRPr="00ED172B">
              <w:rPr>
                <w:rFonts w:cs="Arial"/>
                <w:color w:val="000000" w:themeColor="text1"/>
                <w:szCs w:val="16"/>
              </w:rPr>
              <w:t>10</w:t>
            </w:r>
          </w:p>
        </w:tc>
        <w:tc>
          <w:tcPr>
            <w:tcW w:w="2158" w:type="dxa"/>
          </w:tcPr>
          <w:p w14:paraId="4D5DBAD5" w14:textId="77777777" w:rsidR="005B5A95" w:rsidRPr="007D0769" w:rsidRDefault="005B5A95">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1FD565FB" w14:textId="77777777" w:rsidR="005B5A95" w:rsidRPr="007D0769" w:rsidRDefault="005B5A95">
            <w:pPr>
              <w:jc w:val="center"/>
              <w:textAlignment w:val="baseline"/>
              <w:rPr>
                <w:rFonts w:eastAsia="Times New Roman" w:cs="Arial"/>
                <w:b/>
                <w:bCs/>
                <w:szCs w:val="16"/>
              </w:rPr>
            </w:pPr>
            <w:r w:rsidRPr="00ED172B">
              <w:rPr>
                <w:rFonts w:cs="Arial"/>
                <w:color w:val="000000" w:themeColor="text1"/>
                <w:szCs w:val="16"/>
              </w:rPr>
              <w:t>10</w:t>
            </w:r>
          </w:p>
        </w:tc>
        <w:tc>
          <w:tcPr>
            <w:tcW w:w="2158" w:type="dxa"/>
          </w:tcPr>
          <w:p w14:paraId="58B6178A" w14:textId="77777777" w:rsidR="005B5A95" w:rsidRPr="007D0769" w:rsidRDefault="005B5A95">
            <w:pPr>
              <w:jc w:val="center"/>
              <w:textAlignment w:val="baseline"/>
              <w:rPr>
                <w:rFonts w:eastAsia="Times New Roman" w:cs="Arial"/>
                <w:b/>
                <w:bCs/>
                <w:szCs w:val="16"/>
              </w:rPr>
            </w:pPr>
            <w:r>
              <w:rPr>
                <w:rFonts w:eastAsia="Times New Roman" w:cs="Arial"/>
                <w:szCs w:val="16"/>
              </w:rPr>
              <w:t>0</w:t>
            </w:r>
          </w:p>
        </w:tc>
        <w:tc>
          <w:tcPr>
            <w:tcW w:w="2158" w:type="dxa"/>
          </w:tcPr>
          <w:p w14:paraId="5CB1DC4D" w14:textId="77777777" w:rsidR="005B5A95" w:rsidRPr="00755D89" w:rsidRDefault="005B5A95">
            <w:pPr>
              <w:jc w:val="center"/>
              <w:textAlignment w:val="baseline"/>
              <w:rPr>
                <w:rFonts w:eastAsia="Times New Roman" w:cs="Arial"/>
                <w:szCs w:val="16"/>
              </w:rPr>
            </w:pPr>
            <w:r w:rsidRPr="00755D89">
              <w:rPr>
                <w:rFonts w:eastAsia="Times New Roman" w:cs="Arial"/>
                <w:szCs w:val="16"/>
              </w:rPr>
              <w:t>0</w:t>
            </w:r>
          </w:p>
        </w:tc>
      </w:tr>
    </w:tbl>
    <w:p w14:paraId="505DC71C" w14:textId="77777777" w:rsidR="005B5A95" w:rsidRPr="00755D89" w:rsidRDefault="005B5A95" w:rsidP="005B5A95">
      <w:pPr>
        <w:rPr>
          <w:rFonts w:eastAsia="Calibri" w:cs="Arial"/>
          <w:b/>
          <w:szCs w:val="16"/>
        </w:rPr>
      </w:pPr>
    </w:p>
    <w:p w14:paraId="38AC506B" w14:textId="77777777" w:rsidR="00435E16" w:rsidRDefault="004650EA" w:rsidP="004650EA">
      <w:pPr>
        <w:keepNext/>
        <w:spacing w:after="0"/>
        <w:rPr>
          <w:rFonts w:eastAsia="Times New Roman" w:cs="Arial"/>
          <w:b/>
          <w:szCs w:val="16"/>
        </w:rPr>
      </w:pPr>
      <w:r w:rsidRPr="00757561">
        <w:rPr>
          <w:rFonts w:eastAsia="Times New Roman" w:cs="Arial"/>
          <w:b/>
          <w:szCs w:val="16"/>
        </w:rPr>
        <w:t xml:space="preserve">Please explain the source (e.g., State monitoring, State database/data system, dispute resolution, fiscal, related requirements, etc.) of any additional findings reported in Column B. </w:t>
      </w:r>
    </w:p>
    <w:p w14:paraId="4595EB24" w14:textId="77777777" w:rsidR="004650EA" w:rsidRPr="00FF3A04" w:rsidRDefault="004650EA" w:rsidP="004650EA">
      <w:pPr>
        <w:keepNext/>
        <w:spacing w:after="0"/>
        <w:rPr>
          <w:rFonts w:eastAsia="Times New Roman" w:cs="Arial"/>
          <w:bCs/>
          <w:szCs w:val="16"/>
        </w:rPr>
      </w:pPr>
      <w:r>
        <w:rPr>
          <w:rFonts w:eastAsia="Times New Roman" w:cs="Arial"/>
          <w:bCs/>
          <w:szCs w:val="16"/>
        </w:rPr>
        <w:t>N/A</w:t>
      </w:r>
    </w:p>
    <w:p w14:paraId="236AAEDA" w14:textId="77777777" w:rsidR="005B5A95" w:rsidRPr="007D0769" w:rsidRDefault="005B5A95" w:rsidP="005B5A95">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4EC2B4D1" w14:textId="77777777" w:rsidR="005B5A95" w:rsidRDefault="005B5A95" w:rsidP="005B5A95">
      <w:pPr>
        <w:rPr>
          <w:rFonts w:eastAsia="Calibri" w:cs="Arial"/>
          <w:szCs w:val="16"/>
        </w:rPr>
      </w:pPr>
      <w:r>
        <w:rPr>
          <w:rFonts w:eastAsia="Calibri" w:cs="Arial"/>
          <w:szCs w:val="16"/>
        </w:rPr>
        <w:t xml:space="preserve">In FFY 2023, 93.29% (139 of 149) of Early Intervention (EI) child records reviewed for transition demonstrated that transition steps and services were developed at least 90 calendar days—and, at the discretion of the parties, up to nine months—before the child’s third birthday to support a smooth transition to preschool or other appropriate community services. </w:t>
      </w:r>
    </w:p>
    <w:p w14:paraId="1E9F84AE" w14:textId="77777777" w:rsidR="000575B2" w:rsidRDefault="000575B2"/>
    <w:p w14:paraId="68B1B703" w14:textId="77777777" w:rsidR="000575B2" w:rsidRDefault="00D6492D">
      <w:r>
        <w:t xml:space="preserve">Of the 35 EI programs statewide, seven programs were issued findings of noncompliance, representing a total of ten child-specific instances of noncompliance. </w:t>
      </w:r>
    </w:p>
    <w:p w14:paraId="04C6E9F3" w14:textId="77777777" w:rsidR="000575B2" w:rsidRDefault="000575B2"/>
    <w:p w14:paraId="5E09CC6B" w14:textId="77777777" w:rsidR="000575B2" w:rsidRDefault="00D6492D">
      <w:r>
        <w:t xml:space="preserve">To verify that each program corrected the noncompliance and was correctly implementing the regulatory requirements, the State conducted subsequent file reviews using </w:t>
      </w:r>
      <w:proofErr w:type="spellStart"/>
      <w:r>
        <w:t>ecWeb</w:t>
      </w:r>
      <w:proofErr w:type="spellEnd"/>
      <w:r>
        <w:t xml:space="preserve">, Oregon’s statewide EI/ECSE data system. The State reviewed additional child records from each of the seven programs, selecting files dated after the completion of corrective actions for all children exiting Part C, to ensure that timely transition steps and services were provided in accordance with federal and state requirements. </w:t>
      </w:r>
    </w:p>
    <w:p w14:paraId="38F4071A" w14:textId="77777777" w:rsidR="000575B2" w:rsidRDefault="000575B2"/>
    <w:p w14:paraId="04C14F4F" w14:textId="77777777" w:rsidR="000575B2" w:rsidRDefault="00D6492D">
      <w:r>
        <w:t xml:space="preserve">Through this review of subsequent data, the State verified that each of the seven EI programs achieved 100% compliance within one year of identification and is now correctly implementing the regulatory requirements for timely transition planning and service provision. </w:t>
      </w:r>
    </w:p>
    <w:p w14:paraId="070C3B88" w14:textId="77777777" w:rsidR="005B5A95" w:rsidRPr="007D0769" w:rsidRDefault="005B5A95" w:rsidP="005B5A95">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7B547BDD" w14:textId="77777777" w:rsidR="005B5A95" w:rsidRDefault="005B5A95" w:rsidP="005B5A95">
      <w:pPr>
        <w:rPr>
          <w:rFonts w:eastAsia="Calibri" w:cs="Arial"/>
          <w:szCs w:val="16"/>
        </w:rPr>
      </w:pPr>
      <w:r>
        <w:rPr>
          <w:rFonts w:eastAsia="Calibri" w:cs="Arial"/>
          <w:szCs w:val="16"/>
        </w:rPr>
        <w:t xml:space="preserve">The state completed a comprehensive verification process to ensure correction of all identified individual instances of noncompliance. The following steps were completed for correcting each case of noncompliance: </w:t>
      </w:r>
    </w:p>
    <w:p w14:paraId="7320B49C" w14:textId="77777777" w:rsidR="000575B2" w:rsidRDefault="000575B2"/>
    <w:p w14:paraId="48BDB118" w14:textId="77777777" w:rsidR="000575B2" w:rsidRDefault="00D6492D">
      <w:r>
        <w:t xml:space="preserve">     - The EI program submitted documentation of the correction of noncompliance for each of the ten </w:t>
      </w:r>
      <w:proofErr w:type="gramStart"/>
      <w:r>
        <w:t>individual</w:t>
      </w:r>
      <w:proofErr w:type="gramEnd"/>
      <w:r>
        <w:t xml:space="preserve"> noncompliant IFSPs through online submission in SPR&amp;I, Oregon’s electronic monitoring system. </w:t>
      </w:r>
    </w:p>
    <w:p w14:paraId="303FB944" w14:textId="77777777" w:rsidR="000575B2" w:rsidRDefault="000575B2"/>
    <w:p w14:paraId="17B32D7D" w14:textId="77777777" w:rsidR="000575B2" w:rsidRDefault="00D6492D">
      <w:r>
        <w:t xml:space="preserve">     - The state reviewed the ten individual child records </w:t>
      </w:r>
      <w:proofErr w:type="gramStart"/>
      <w:r>
        <w:t>in</w:t>
      </w:r>
      <w:proofErr w:type="gramEnd"/>
      <w:r>
        <w:t xml:space="preserve"> </w:t>
      </w:r>
      <w:proofErr w:type="spellStart"/>
      <w:r>
        <w:t>ecWeb</w:t>
      </w:r>
      <w:proofErr w:type="spellEnd"/>
      <w:r>
        <w:t xml:space="preserve">, Oregon’s statewide EI data system, to see if transition plans were provided, although untimely, or the child was no longer in the program’s jurisdiction. </w:t>
      </w:r>
    </w:p>
    <w:p w14:paraId="4FE4C856" w14:textId="77777777" w:rsidR="000575B2" w:rsidRDefault="000575B2"/>
    <w:p w14:paraId="16E6605D" w14:textId="77777777" w:rsidR="000575B2" w:rsidRDefault="00D6492D">
      <w:r>
        <w:t xml:space="preserve">For FFY 2023, 100% (10 of 10) incidents of noncompliance, identified across seven regional sites, were corrected within one year. Each program with identified noncompliance developed an IFSP that included transition plans with steps and services for each child, unless the child was no longer within the jurisdiction of the EI program. </w:t>
      </w:r>
    </w:p>
    <w:p w14:paraId="1F0B9073" w14:textId="77777777" w:rsidR="008D36D9" w:rsidRDefault="008D36D9" w:rsidP="00DE12DF">
      <w:pPr>
        <w:spacing w:after="0"/>
        <w:textAlignment w:val="baseline"/>
        <w:rPr>
          <w:rFonts w:eastAsia="Times New Roman" w:cs="Arial"/>
          <w:b/>
          <w:bCs/>
          <w:szCs w:val="16"/>
        </w:rPr>
      </w:pPr>
    </w:p>
    <w:p w14:paraId="19B15C41" w14:textId="77777777"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8B. The percentage of toddlers with disabilities exiting Part C with timely transition planning for whom the Lead Agency has:</w:t>
      </w:r>
    </w:p>
    <w:p w14:paraId="442CE03C" w14:textId="77777777" w:rsidR="00DE12DF" w:rsidRDefault="00DE12DF" w:rsidP="00DE12DF">
      <w:pPr>
        <w:spacing w:after="0"/>
        <w:textAlignment w:val="baseline"/>
        <w:rPr>
          <w:rFonts w:eastAsia="Times New Roman" w:cs="Arial"/>
          <w:b/>
          <w:bCs/>
          <w:szCs w:val="16"/>
        </w:rPr>
      </w:pPr>
      <w:r w:rsidRPr="007D0769">
        <w:rPr>
          <w:rFonts w:eastAsia="Times New Roman" w:cs="Arial"/>
          <w:b/>
          <w:bCs/>
          <w:szCs w:val="16"/>
        </w:rPr>
        <w:t>B.  Notified (consistent with any opt-out policy) the SEA and LEA where the toddler resides at least 90 days prior to the toddler’s third birthday for toddlers potentially eligible for Part B preschool services. (20 U.S.C. 1416(a)(3)(B) and 1442)</w:t>
      </w:r>
    </w:p>
    <w:p w14:paraId="08A34799"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B"/>
      </w:tblPr>
      <w:tblGrid>
        <w:gridCol w:w="2158"/>
        <w:gridCol w:w="2158"/>
        <w:gridCol w:w="2158"/>
        <w:gridCol w:w="2158"/>
        <w:gridCol w:w="2158"/>
      </w:tblGrid>
      <w:tr w:rsidR="00DE12DF" w:rsidRPr="007D0769" w14:paraId="5B836878" w14:textId="77777777" w:rsidTr="00EC51AB">
        <w:trPr>
          <w:trHeight w:val="360"/>
          <w:tblHeader/>
        </w:trPr>
        <w:tc>
          <w:tcPr>
            <w:tcW w:w="2158" w:type="dxa"/>
          </w:tcPr>
          <w:p w14:paraId="7AFE7E56"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1041AD92" w14:textId="77777777"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58" w:type="dxa"/>
          </w:tcPr>
          <w:p w14:paraId="42AC651F"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6AB0411B"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06BEA9C4" w14:textId="77777777" w:rsidR="00DE12DF" w:rsidRPr="007D0769" w:rsidRDefault="00DE12DF"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DE12DF" w:rsidRPr="00755D89" w14:paraId="171F22C7" w14:textId="77777777" w:rsidTr="00EC51AB">
        <w:trPr>
          <w:trHeight w:val="360"/>
          <w:tblHeader/>
        </w:trPr>
        <w:tc>
          <w:tcPr>
            <w:tcW w:w="2158" w:type="dxa"/>
          </w:tcPr>
          <w:p w14:paraId="5B4B9A22" w14:textId="77777777"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7E6502AF" w14:textId="77777777"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0424E8D7" w14:textId="77777777"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17053DED" w14:textId="77777777"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tcPr>
          <w:p w14:paraId="3F255AF4" w14:textId="77777777"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2085E17F" w14:textId="77777777" w:rsidR="00641B02" w:rsidRDefault="00641B02" w:rsidP="004650EA">
      <w:pPr>
        <w:keepNext/>
        <w:spacing w:after="0"/>
        <w:rPr>
          <w:rFonts w:eastAsia="Times New Roman" w:cs="Arial"/>
          <w:b/>
          <w:szCs w:val="16"/>
        </w:rPr>
      </w:pPr>
    </w:p>
    <w:p w14:paraId="4B287743" w14:textId="77777777" w:rsidR="004650EA" w:rsidRDefault="004650EA" w:rsidP="004650EA">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6A743308" w14:textId="77777777" w:rsidR="006675B4" w:rsidRDefault="004650EA">
      <w:pPr>
        <w:keepNext/>
        <w:spacing w:after="0"/>
        <w:rPr>
          <w:rFonts w:eastAsia="Times New Roman" w:cs="Arial"/>
          <w:bCs/>
          <w:szCs w:val="16"/>
        </w:rPr>
      </w:pPr>
      <w:r>
        <w:rPr>
          <w:rFonts w:eastAsia="Times New Roman" w:cs="Arial"/>
          <w:bCs/>
          <w:szCs w:val="16"/>
        </w:rPr>
        <w:t>N/A</w:t>
      </w:r>
    </w:p>
    <w:p w14:paraId="06D6B71E" w14:textId="77777777" w:rsidR="00DE12DF" w:rsidRPr="007D0769" w:rsidRDefault="00DE12DF" w:rsidP="004650E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763B9B04" w14:textId="77777777" w:rsidR="00DE12DF" w:rsidRDefault="00DE12DF" w:rsidP="00DE12DF">
      <w:pPr>
        <w:rPr>
          <w:rFonts w:eastAsia="Calibri" w:cs="Arial"/>
          <w:szCs w:val="16"/>
        </w:rPr>
      </w:pPr>
      <w:r>
        <w:rPr>
          <w:rFonts w:eastAsia="Calibri" w:cs="Arial"/>
          <w:szCs w:val="16"/>
        </w:rPr>
        <w:t>N/A</w:t>
      </w:r>
    </w:p>
    <w:p w14:paraId="67B6CD3B"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6AEC361C" w14:textId="77777777" w:rsidR="00DE12DF" w:rsidRDefault="00DE12DF" w:rsidP="00DE12DF">
      <w:pPr>
        <w:rPr>
          <w:rFonts w:eastAsia="Calibri" w:cs="Arial"/>
          <w:szCs w:val="16"/>
        </w:rPr>
      </w:pPr>
      <w:r>
        <w:rPr>
          <w:rFonts w:eastAsia="Calibri" w:cs="Arial"/>
          <w:szCs w:val="16"/>
        </w:rPr>
        <w:t>N/A</w:t>
      </w:r>
    </w:p>
    <w:p w14:paraId="02E4BCAC" w14:textId="77777777" w:rsidR="008D36D9" w:rsidRDefault="008D36D9" w:rsidP="00DE12DF">
      <w:pPr>
        <w:spacing w:after="0"/>
        <w:textAlignment w:val="baseline"/>
        <w:rPr>
          <w:rFonts w:eastAsia="Times New Roman" w:cs="Arial"/>
          <w:b/>
          <w:bCs/>
          <w:szCs w:val="16"/>
        </w:rPr>
      </w:pPr>
    </w:p>
    <w:p w14:paraId="1C26C690" w14:textId="77777777"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8C. The percentage of toddlers with disabilities exiting Part C with timely transition planning for whom the Lead Agency has:</w:t>
      </w:r>
    </w:p>
    <w:p w14:paraId="169C3F02"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C.  Conducted the transition conference held with the approval of the family at least 90 days (and, at the discretion of all parties, not more than nine months) prior to the toddler’s third birthday for toddlers potentially eligible for Part B preschool services. (20 U.S.C. 1416(a)(3)(B) and 1442)</w:t>
      </w:r>
      <w:r w:rsidRPr="007D0769">
        <w:rPr>
          <w:rFonts w:eastAsia="Times New Roman" w:cs="Arial"/>
          <w:szCs w:val="16"/>
        </w:rPr>
        <w:t> </w:t>
      </w:r>
    </w:p>
    <w:p w14:paraId="0329FF28"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C"/>
      </w:tblPr>
      <w:tblGrid>
        <w:gridCol w:w="2158"/>
        <w:gridCol w:w="2158"/>
        <w:gridCol w:w="2158"/>
        <w:gridCol w:w="2158"/>
        <w:gridCol w:w="2158"/>
      </w:tblGrid>
      <w:tr w:rsidR="00DE12DF" w:rsidRPr="007D0769" w14:paraId="38DB5A48" w14:textId="77777777" w:rsidTr="00EC51AB">
        <w:trPr>
          <w:trHeight w:val="360"/>
          <w:tblHeader/>
        </w:trPr>
        <w:tc>
          <w:tcPr>
            <w:tcW w:w="2158" w:type="dxa"/>
          </w:tcPr>
          <w:p w14:paraId="7D2E4352"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72D99DEB" w14:textId="77777777"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58" w:type="dxa"/>
          </w:tcPr>
          <w:p w14:paraId="218C3E54"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1C3FDD08"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590F3E71" w14:textId="77777777" w:rsidR="00DE12DF" w:rsidRPr="007D0769" w:rsidRDefault="00DE12DF"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DE12DF" w:rsidRPr="00755D89" w14:paraId="2A1FF3DC" w14:textId="77777777" w:rsidTr="00EC51AB">
        <w:trPr>
          <w:trHeight w:val="360"/>
          <w:tblHeader/>
        </w:trPr>
        <w:tc>
          <w:tcPr>
            <w:tcW w:w="2158" w:type="dxa"/>
          </w:tcPr>
          <w:p w14:paraId="52233ED7" w14:textId="77777777" w:rsidR="00DE12DF" w:rsidRPr="007D0769" w:rsidRDefault="00DE12DF">
            <w:pPr>
              <w:jc w:val="center"/>
              <w:textAlignment w:val="baseline"/>
              <w:rPr>
                <w:rFonts w:eastAsia="Times New Roman" w:cs="Arial"/>
                <w:b/>
                <w:bCs/>
                <w:szCs w:val="16"/>
              </w:rPr>
            </w:pPr>
            <w:r w:rsidRPr="00ED172B">
              <w:rPr>
                <w:rFonts w:cs="Arial"/>
                <w:color w:val="000000" w:themeColor="text1"/>
                <w:szCs w:val="16"/>
              </w:rPr>
              <w:t>12</w:t>
            </w:r>
          </w:p>
        </w:tc>
        <w:tc>
          <w:tcPr>
            <w:tcW w:w="2158" w:type="dxa"/>
          </w:tcPr>
          <w:p w14:paraId="2D2EB146" w14:textId="77777777"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735384DF" w14:textId="77777777" w:rsidR="00DE12DF" w:rsidRPr="007D0769" w:rsidRDefault="00DE12DF" w:rsidP="00C52090">
            <w:pPr>
              <w:jc w:val="center"/>
              <w:textAlignment w:val="baseline"/>
              <w:rPr>
                <w:rFonts w:eastAsia="Times New Roman" w:cs="Arial"/>
                <w:b/>
                <w:bCs/>
                <w:szCs w:val="16"/>
              </w:rPr>
            </w:pPr>
            <w:r w:rsidRPr="00ED172B">
              <w:rPr>
                <w:rFonts w:cs="Arial"/>
                <w:color w:val="000000" w:themeColor="text1"/>
                <w:szCs w:val="16"/>
              </w:rPr>
              <w:t>12</w:t>
            </w:r>
          </w:p>
        </w:tc>
        <w:tc>
          <w:tcPr>
            <w:tcW w:w="2158" w:type="dxa"/>
          </w:tcPr>
          <w:p w14:paraId="661D52EC" w14:textId="77777777"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tcPr>
          <w:p w14:paraId="0E0327F1" w14:textId="77777777"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26DB1850" w14:textId="77777777" w:rsidR="00641B02" w:rsidRDefault="00641B02" w:rsidP="004650EA">
      <w:pPr>
        <w:keepNext/>
        <w:spacing w:after="0"/>
        <w:rPr>
          <w:rFonts w:eastAsia="Times New Roman" w:cs="Arial"/>
          <w:b/>
          <w:szCs w:val="16"/>
        </w:rPr>
      </w:pPr>
    </w:p>
    <w:p w14:paraId="3E40834A" w14:textId="77777777" w:rsidR="004650EA" w:rsidRDefault="004650EA" w:rsidP="004650EA">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4BF979A3" w14:textId="77777777" w:rsidR="004650EA" w:rsidRPr="00FF3A04" w:rsidRDefault="004650EA" w:rsidP="004650EA">
      <w:pPr>
        <w:keepNext/>
        <w:spacing w:after="0"/>
        <w:rPr>
          <w:rFonts w:eastAsia="Times New Roman" w:cs="Arial"/>
          <w:bCs/>
          <w:szCs w:val="16"/>
        </w:rPr>
      </w:pPr>
      <w:r>
        <w:rPr>
          <w:rFonts w:eastAsia="Times New Roman" w:cs="Arial"/>
          <w:bCs/>
          <w:szCs w:val="16"/>
        </w:rPr>
        <w:t>N/a</w:t>
      </w:r>
    </w:p>
    <w:p w14:paraId="3CBC2E31" w14:textId="77777777" w:rsidR="00E918FF" w:rsidRPr="007D0769" w:rsidRDefault="00E918FF" w:rsidP="00E918F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1A44EEB0" w14:textId="77777777" w:rsidR="00DE12DF" w:rsidRDefault="00DE12DF" w:rsidP="00DE12DF">
      <w:pPr>
        <w:rPr>
          <w:rFonts w:eastAsia="Calibri" w:cs="Arial"/>
          <w:szCs w:val="16"/>
        </w:rPr>
      </w:pPr>
      <w:r>
        <w:rPr>
          <w:rFonts w:eastAsia="Calibri" w:cs="Arial"/>
          <w:szCs w:val="16"/>
        </w:rPr>
        <w:t xml:space="preserve">Of the 35 EI programs in the state, seven had findings of noncompliance. A total of twelve instances of child-specific noncompliance were identified across the seven EI programs. </w:t>
      </w:r>
    </w:p>
    <w:p w14:paraId="61858417" w14:textId="77777777" w:rsidR="000575B2" w:rsidRDefault="000575B2"/>
    <w:p w14:paraId="5A29625C" w14:textId="77777777" w:rsidR="000575B2" w:rsidRDefault="00D6492D">
      <w:r>
        <w:t xml:space="preserve">To verify that each program corrected the noncompliance and was correctly implementing the regulatory requirements, the State conducted subsequent file reviews using </w:t>
      </w:r>
      <w:proofErr w:type="spellStart"/>
      <w:r>
        <w:t>ecWeb</w:t>
      </w:r>
      <w:proofErr w:type="spellEnd"/>
      <w:r>
        <w:t xml:space="preserve">, Oregon’s statewide EI/ECSE data system. The State reviewed additional child records from each of the seven programs, selecting files dated after the completion of corrective actions for all children exiting Part C, to ensure that timely transition conferences were provided in accordance with federal and state requirements. </w:t>
      </w:r>
    </w:p>
    <w:p w14:paraId="00AF54DE" w14:textId="77777777" w:rsidR="000575B2" w:rsidRDefault="000575B2"/>
    <w:p w14:paraId="61577C46" w14:textId="77777777" w:rsidR="000575B2" w:rsidRDefault="00D6492D">
      <w:r>
        <w:t xml:space="preserve">Through this review of subsequent data, the state verified that each of the seven EI programs achieved 100% compliance within one year and are correctly implementing the regulatory requirements for timely transition conferences. </w:t>
      </w:r>
    </w:p>
    <w:p w14:paraId="74476909"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7295813E" w14:textId="77777777" w:rsidR="00DE12DF" w:rsidRDefault="00DE12DF" w:rsidP="00DE12DF">
      <w:pPr>
        <w:rPr>
          <w:rFonts w:eastAsia="Calibri" w:cs="Arial"/>
          <w:szCs w:val="16"/>
        </w:rPr>
      </w:pPr>
      <w:r>
        <w:rPr>
          <w:rFonts w:eastAsia="Calibri" w:cs="Arial"/>
          <w:szCs w:val="16"/>
        </w:rPr>
        <w:t xml:space="preserve">The state completed a comprehensive verification process to ensure correction of all identified individual instances of noncompliance. The following steps were completed for correcting each case of noncompliance: </w:t>
      </w:r>
    </w:p>
    <w:p w14:paraId="6C8C14D7" w14:textId="77777777" w:rsidR="000575B2" w:rsidRDefault="000575B2"/>
    <w:p w14:paraId="55087CE8" w14:textId="77777777" w:rsidR="000575B2" w:rsidRDefault="00D6492D">
      <w:r>
        <w:t xml:space="preserve"> - The EI program submitted documentation of the correction of noncompliance for each of the twelve </w:t>
      </w:r>
      <w:proofErr w:type="gramStart"/>
      <w:r>
        <w:t>individual</w:t>
      </w:r>
      <w:proofErr w:type="gramEnd"/>
      <w:r>
        <w:t xml:space="preserve"> noncompliant IFSPs through online submission in SPR&amp;I, Oregon’s electronic monitoring system. </w:t>
      </w:r>
    </w:p>
    <w:p w14:paraId="41ACB369" w14:textId="77777777" w:rsidR="000575B2" w:rsidRDefault="00D6492D">
      <w:r>
        <w:t xml:space="preserve"> - The state verified the twelve individual child records in </w:t>
      </w:r>
      <w:proofErr w:type="spellStart"/>
      <w:r>
        <w:t>ecWeb</w:t>
      </w:r>
      <w:proofErr w:type="spellEnd"/>
      <w:r>
        <w:t xml:space="preserve">, Oregon’s statewide EI data system, to see if transition conferences were provided, although untimely, or the child was no longer in the program’s jurisdiction. </w:t>
      </w:r>
    </w:p>
    <w:p w14:paraId="196BA8E6" w14:textId="77777777" w:rsidR="000575B2" w:rsidRDefault="000575B2"/>
    <w:p w14:paraId="523B4CA8" w14:textId="77777777" w:rsidR="000575B2" w:rsidRDefault="00D6492D">
      <w:r>
        <w:t>For FFY 2023, 100% (12 of 12) incidents of noncompliance, identified across [Ex eight] regional sites, were corrected within one year. Each program with identified noncompliance developed an IFSP that included transition conferences for each child, unless the child was no longer within the jurisdiction of the EI program.</w:t>
      </w:r>
    </w:p>
    <w:p w14:paraId="47F89F59" w14:textId="77777777" w:rsidR="00DE12DF" w:rsidRPr="007D0769" w:rsidRDefault="00DE12DF" w:rsidP="00DE12DF">
      <w:pPr>
        <w:spacing w:after="0"/>
        <w:textAlignment w:val="baseline"/>
        <w:rPr>
          <w:rFonts w:eastAsia="Times New Roman" w:cs="Arial"/>
          <w:b/>
          <w:bCs/>
          <w:szCs w:val="16"/>
        </w:rPr>
      </w:pPr>
    </w:p>
    <w:p w14:paraId="2805FCC3" w14:textId="77777777" w:rsidR="00DE12DF" w:rsidRDefault="00DE12DF" w:rsidP="00DE12DF">
      <w:pPr>
        <w:rPr>
          <w:rFonts w:eastAsia="Calibri" w:cs="Arial"/>
          <w:b/>
          <w:i/>
          <w:iCs/>
          <w:szCs w:val="16"/>
        </w:rPr>
      </w:pPr>
      <w:r>
        <w:rPr>
          <w:rFonts w:eastAsia="Calibri" w:cs="Arial"/>
          <w:b/>
          <w:i/>
          <w:iCs/>
          <w:szCs w:val="16"/>
        </w:rPr>
        <w:t xml:space="preserve">Optional for FFY </w:t>
      </w:r>
      <w:proofErr w:type="gramStart"/>
      <w:r>
        <w:rPr>
          <w:rFonts w:eastAsia="Calibri" w:cs="Arial"/>
          <w:b/>
          <w:i/>
          <w:iCs/>
          <w:szCs w:val="16"/>
        </w:rPr>
        <w:t>2024,</w:t>
      </w:r>
      <w:proofErr w:type="gramEnd"/>
      <w:r>
        <w:rPr>
          <w:rFonts w:eastAsia="Calibri" w:cs="Arial"/>
          <w:b/>
          <w:i/>
          <w:iCs/>
          <w:szCs w:val="16"/>
        </w:rPr>
        <w:t xml:space="preserve"> and 2025: </w:t>
      </w:r>
    </w:p>
    <w:p w14:paraId="08BEA01B" w14:textId="77777777" w:rsidR="00DE12DF" w:rsidRPr="00E1308A" w:rsidRDefault="00DE12DF" w:rsidP="00DE12DF">
      <w:pPr>
        <w:rPr>
          <w:rFonts w:eastAsia="Calibri" w:cs="Arial"/>
          <w:b/>
          <w:i/>
          <w:iCs/>
          <w:szCs w:val="16"/>
        </w:rPr>
      </w:pPr>
      <w:r>
        <w:rPr>
          <w:rFonts w:eastAsia="Calibri" w:cs="Arial"/>
          <w:b/>
          <w:i/>
          <w:iCs/>
          <w:szCs w:val="16"/>
        </w:rPr>
        <w:lastRenderedPageBreak/>
        <w:t xml:space="preserve">Other Areas - All other findings: States may report here on all other findings of noncompliance that were not reported under the compliance indicators listed above (e.g., Results indicators (including related requirements), Fiscal, Dispute Resolution, etc.). </w:t>
      </w:r>
    </w:p>
    <w:p w14:paraId="1410E86E" w14:textId="77777777" w:rsidR="00DE12DF" w:rsidRDefault="00DE12DF" w:rsidP="00DE12DF">
      <w:pPr>
        <w:rPr>
          <w:rFonts w:eastAsia="Calibri" w:cs="Arial"/>
          <w:b/>
          <w:i/>
          <w:iCs/>
          <w:szCs w:val="16"/>
        </w:rPr>
      </w:pPr>
    </w:p>
    <w:tbl>
      <w:tblPr>
        <w:tblStyle w:val="TableGrid"/>
        <w:tblW w:w="8725" w:type="dxa"/>
        <w:tblLayout w:type="fixed"/>
        <w:tblLook w:val="04A0" w:firstRow="1" w:lastRow="0" w:firstColumn="1" w:lastColumn="0" w:noHBand="0" w:noVBand="1"/>
        <w:tblCaption w:val="C12FONOTH"/>
      </w:tblPr>
      <w:tblGrid>
        <w:gridCol w:w="2682"/>
        <w:gridCol w:w="2983"/>
        <w:gridCol w:w="3060"/>
      </w:tblGrid>
      <w:tr w:rsidR="00DE12DF" w:rsidRPr="007D0769" w14:paraId="5A379B50" w14:textId="77777777" w:rsidTr="00EC51AB">
        <w:trPr>
          <w:trHeight w:val="360"/>
          <w:tblHeader/>
        </w:trPr>
        <w:tc>
          <w:tcPr>
            <w:tcW w:w="2682" w:type="dxa"/>
          </w:tcPr>
          <w:p w14:paraId="67B17569"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B:</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983" w:type="dxa"/>
          </w:tcPr>
          <w:p w14:paraId="1DF238DB"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060" w:type="dxa"/>
          </w:tcPr>
          <w:p w14:paraId="707BD8C3" w14:textId="77777777" w:rsidR="00DE12DF" w:rsidRPr="007D0769" w:rsidRDefault="00DE12DF" w:rsidP="00727602">
            <w:pPr>
              <w:jc w:val="center"/>
              <w:textAlignment w:val="baseline"/>
              <w:rPr>
                <w:rFonts w:eastAsia="Calibri" w:cs="Arial"/>
                <w:b/>
                <w:szCs w:val="16"/>
              </w:rPr>
            </w:pPr>
            <w:r w:rsidRPr="00CA6004">
              <w:rPr>
                <w:rFonts w:eastAsia="Times New Roman" w:cs="Arial"/>
                <w:b/>
                <w:bCs/>
                <w:szCs w:val="16"/>
              </w:rPr>
              <w:t xml:space="preserve">Column </w:t>
            </w:r>
            <w:proofErr w:type="gramStart"/>
            <w:r w:rsidRPr="00CA6004">
              <w:rPr>
                <w:rFonts w:eastAsia="Times New Roman" w:cs="Arial"/>
                <w:b/>
                <w:bCs/>
                <w:szCs w:val="16"/>
              </w:rPr>
              <w:t>D:</w:t>
            </w:r>
            <w:r w:rsidRPr="00CA6004">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DE12DF" w:rsidRPr="007D0769" w14:paraId="5FFF9CDF" w14:textId="77777777" w:rsidTr="00EC51AB">
        <w:trPr>
          <w:trHeight w:val="360"/>
          <w:tblHeader/>
        </w:trPr>
        <w:tc>
          <w:tcPr>
            <w:tcW w:w="2682" w:type="dxa"/>
          </w:tcPr>
          <w:p w14:paraId="224E2A40" w14:textId="77777777" w:rsidR="00DE12DF" w:rsidRPr="007D0769" w:rsidRDefault="00DE12DF">
            <w:pPr>
              <w:jc w:val="center"/>
              <w:textAlignment w:val="baseline"/>
              <w:rPr>
                <w:rFonts w:eastAsia="Times New Roman" w:cs="Arial"/>
                <w:b/>
                <w:bCs/>
                <w:szCs w:val="16"/>
              </w:rPr>
            </w:pPr>
          </w:p>
        </w:tc>
        <w:tc>
          <w:tcPr>
            <w:tcW w:w="2983" w:type="dxa"/>
          </w:tcPr>
          <w:p w14:paraId="2BB79917" w14:textId="77777777" w:rsidR="00DE12DF" w:rsidRPr="007D0769" w:rsidRDefault="00DE12DF">
            <w:pPr>
              <w:jc w:val="center"/>
              <w:textAlignment w:val="baseline"/>
              <w:rPr>
                <w:rFonts w:eastAsia="Times New Roman" w:cs="Arial"/>
                <w:b/>
                <w:bCs/>
                <w:szCs w:val="16"/>
              </w:rPr>
            </w:pPr>
          </w:p>
        </w:tc>
        <w:tc>
          <w:tcPr>
            <w:tcW w:w="3060" w:type="dxa"/>
          </w:tcPr>
          <w:p w14:paraId="3D78D7E7" w14:textId="77777777" w:rsidR="00DE12DF" w:rsidRPr="00947802" w:rsidRDefault="00DE12DF" w:rsidP="00C35B75">
            <w:pPr>
              <w:jc w:val="center"/>
              <w:textAlignment w:val="baseline"/>
              <w:rPr>
                <w:rFonts w:eastAsia="Times New Roman" w:cs="Arial"/>
                <w:szCs w:val="16"/>
                <w:lang w:val="es-ES"/>
              </w:rPr>
            </w:pPr>
          </w:p>
        </w:tc>
      </w:tr>
    </w:tbl>
    <w:p w14:paraId="6C31FCB0" w14:textId="77777777" w:rsidR="00DE12DF" w:rsidRPr="007D0769" w:rsidRDefault="00DE12DF" w:rsidP="00DE12DF">
      <w:pPr>
        <w:rPr>
          <w:rFonts w:eastAsia="Calibri" w:cs="Arial"/>
          <w:b/>
          <w:szCs w:val="16"/>
        </w:rPr>
      </w:pPr>
    </w:p>
    <w:p w14:paraId="54B7D86F" w14:textId="77777777" w:rsidR="00DE12DF" w:rsidRDefault="00DA15A3" w:rsidP="00DE12DF">
      <w:pPr>
        <w:rPr>
          <w:rFonts w:eastAsia="Calibri" w:cs="Arial"/>
          <w:b/>
          <w:szCs w:val="16"/>
        </w:rPr>
      </w:pPr>
      <w:r>
        <w:rPr>
          <w:rFonts w:eastAsia="Calibri" w:cs="Arial"/>
          <w:b/>
          <w:szCs w:val="16"/>
        </w:rPr>
        <w:t xml:space="preserve">Please explain the source (e.g., State monitoring, State database/data system, dispute resolution, fiscal, related requirements, etc.) of any findings reported in this section: </w:t>
      </w:r>
    </w:p>
    <w:p w14:paraId="2BF6F4C4" w14:textId="77777777" w:rsidR="00DE12DF" w:rsidRPr="006675B4" w:rsidRDefault="00DE12DF" w:rsidP="00DE12DF">
      <w:pPr>
        <w:rPr>
          <w:rFonts w:eastAsia="Calibri" w:cs="Arial"/>
          <w:bCs/>
          <w:szCs w:val="16"/>
        </w:rPr>
      </w:pPr>
    </w:p>
    <w:p w14:paraId="3C18BFE5" w14:textId="77777777" w:rsidR="00DE12DF" w:rsidRPr="00604167" w:rsidRDefault="00DE12DF" w:rsidP="00DE12DF">
      <w:pPr>
        <w:rPr>
          <w:rFonts w:eastAsia="Calibri" w:cs="Arial"/>
          <w:b/>
          <w:szCs w:val="16"/>
        </w:rPr>
      </w:pPr>
      <w:r>
        <w:rPr>
          <w:rFonts w:eastAsia="Calibri" w:cs="Arial"/>
          <w:b/>
          <w:szCs w:val="16"/>
        </w:rPr>
        <w:t xml:space="preserve">Please describe, consistent with OSEP QA 23-01, how the State verified that the </w:t>
      </w:r>
      <w:r w:rsidR="008A1B8D">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 xml:space="preserve">: </w:t>
      </w:r>
    </w:p>
    <w:p w14:paraId="1C8692FA" w14:textId="77777777" w:rsidR="00DE12DF" w:rsidRPr="006675B4" w:rsidRDefault="00DE12DF" w:rsidP="00DE12DF">
      <w:pPr>
        <w:rPr>
          <w:rFonts w:eastAsia="Calibri" w:cs="Arial"/>
          <w:bCs/>
          <w:szCs w:val="16"/>
        </w:rPr>
      </w:pPr>
    </w:p>
    <w:p w14:paraId="71C1520A" w14:textId="77777777" w:rsidR="00DE12DF" w:rsidRPr="00C35B75" w:rsidRDefault="00DE12DF" w:rsidP="00DE12DF">
      <w:pPr>
        <w:rPr>
          <w:rFonts w:eastAsia="Calibri" w:cs="Arial"/>
          <w:b/>
          <w:szCs w:val="16"/>
        </w:rPr>
      </w:pPr>
      <w:r w:rsidRPr="00C35B75">
        <w:rPr>
          <w:rFonts w:eastAsia="Calibri" w:cs="Arial"/>
          <w:b/>
          <w:szCs w:val="16"/>
        </w:rPr>
        <w:t xml:space="preserve">Please describe, consistent with OSEP QA 23-01, how the State verified that each </w:t>
      </w:r>
      <w:r w:rsidRPr="00C35B75">
        <w:rPr>
          <w:rFonts w:eastAsia="Calibri" w:cs="Arial"/>
          <w:b/>
          <w:i/>
          <w:iCs/>
          <w:szCs w:val="16"/>
        </w:rPr>
        <w:t>individual case</w:t>
      </w:r>
      <w:r w:rsidRPr="00C35B75">
        <w:rPr>
          <w:rFonts w:eastAsia="Calibri" w:cs="Arial"/>
          <w:b/>
          <w:szCs w:val="16"/>
        </w:rPr>
        <w:t xml:space="preserve"> of noncompliance was corrected: </w:t>
      </w:r>
    </w:p>
    <w:p w14:paraId="207545F1" w14:textId="77777777" w:rsidR="00DE12DF" w:rsidRPr="006675B4" w:rsidRDefault="00DE12DF" w:rsidP="00DE12DF">
      <w:pPr>
        <w:rPr>
          <w:rFonts w:eastAsia="Calibri" w:cs="Arial"/>
          <w:bCs/>
          <w:szCs w:val="16"/>
        </w:rPr>
      </w:pPr>
    </w:p>
    <w:p w14:paraId="4E08EF37" w14:textId="77777777" w:rsidR="00957496" w:rsidRPr="00C35B75" w:rsidRDefault="00957496" w:rsidP="00DE12DF">
      <w:pPr>
        <w:rPr>
          <w:rFonts w:eastAsia="Calibri" w:cs="Arial"/>
          <w:b/>
          <w:szCs w:val="16"/>
        </w:rPr>
      </w:pPr>
    </w:p>
    <w:p w14:paraId="47CDE174" w14:textId="77777777" w:rsidR="00DE12DF" w:rsidRPr="007D0769" w:rsidRDefault="00DE12DF" w:rsidP="00DE12DF">
      <w:pPr>
        <w:rPr>
          <w:rFonts w:eastAsia="Calibri" w:cs="Arial"/>
          <w:b/>
          <w:szCs w:val="16"/>
        </w:rPr>
      </w:pPr>
      <w:r w:rsidRPr="007D0769">
        <w:rPr>
          <w:rFonts w:eastAsia="Calibri" w:cs="Arial"/>
          <w:b/>
          <w:szCs w:val="16"/>
        </w:rPr>
        <w:t xml:space="preserve">Total for All Noncompliance Identified (Indicators 1, 7, 8A, 8B, 8C, and Optional Areas): </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C12FONTOT"/>
      </w:tblPr>
      <w:tblGrid>
        <w:gridCol w:w="2165"/>
        <w:gridCol w:w="2165"/>
        <w:gridCol w:w="2165"/>
        <w:gridCol w:w="2165"/>
        <w:gridCol w:w="2165"/>
      </w:tblGrid>
      <w:tr w:rsidR="00C35B75" w:rsidRPr="007D0769" w14:paraId="3BB1C372" w14:textId="77777777" w:rsidTr="00EC51AB">
        <w:trPr>
          <w:trHeight w:val="360"/>
          <w:tblHeader/>
        </w:trPr>
        <w:tc>
          <w:tcPr>
            <w:tcW w:w="2165" w:type="dxa"/>
          </w:tcPr>
          <w:p w14:paraId="404EFC20" w14:textId="77777777" w:rsidR="00DE12DF" w:rsidRPr="00947802" w:rsidRDefault="00DE12DF" w:rsidP="00727602">
            <w:pPr>
              <w:jc w:val="center"/>
              <w:textAlignment w:val="baseline"/>
              <w:rPr>
                <w:rFonts w:eastAsia="Times New Roman" w:cs="Arial"/>
                <w:b/>
                <w:bCs/>
                <w:szCs w:val="16"/>
              </w:rPr>
            </w:pPr>
            <w:r w:rsidRPr="007D0769">
              <w:rPr>
                <w:rFonts w:eastAsia="Times New Roman" w:cs="Arial"/>
                <w:b/>
                <w:bCs/>
                <w:szCs w:val="16"/>
              </w:rPr>
              <w:t>Column A: # of written findings of noncompliance identified in FFY 2023 (7/1/23 – 6/30/24)</w:t>
            </w:r>
          </w:p>
        </w:tc>
        <w:tc>
          <w:tcPr>
            <w:tcW w:w="2165" w:type="dxa"/>
          </w:tcPr>
          <w:p w14:paraId="312B416D" w14:textId="77777777" w:rsidR="00DE12DF" w:rsidRPr="007D0769" w:rsidRDefault="00DE12DF" w:rsidP="00727602">
            <w:pPr>
              <w:ind w:left="45" w:right="77"/>
              <w:jc w:val="center"/>
              <w:textAlignment w:val="baseline"/>
              <w:rPr>
                <w:rFonts w:eastAsia="Times New Roman" w:cs="Arial"/>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65" w:type="dxa"/>
          </w:tcPr>
          <w:p w14:paraId="6379B85B" w14:textId="77777777"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65" w:type="dxa"/>
          </w:tcPr>
          <w:p w14:paraId="4FA25905" w14:textId="77777777"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65" w:type="dxa"/>
          </w:tcPr>
          <w:p w14:paraId="223DE61E" w14:textId="77777777" w:rsidR="00DE12DF" w:rsidRPr="007D0769" w:rsidRDefault="00DE12DF" w:rsidP="00727602">
            <w:pPr>
              <w:jc w:val="center"/>
              <w:textAlignment w:val="baseline"/>
              <w:rPr>
                <w:rFonts w:eastAsia="Times New Roman" w:cs="Arial"/>
                <w:szCs w:val="16"/>
              </w:rPr>
            </w:pPr>
            <w:r w:rsidRPr="00755D89">
              <w:rPr>
                <w:rFonts w:eastAsia="Times New Roman" w:cs="Arial"/>
                <w:b/>
                <w:bCs/>
                <w:szCs w:val="16"/>
              </w:rPr>
              <w:t xml:space="preserve">Column </w:t>
            </w:r>
            <w:proofErr w:type="gramStart"/>
            <w:r w:rsidRPr="00755D89">
              <w:rPr>
                <w:rFonts w:eastAsia="Times New Roman" w:cs="Arial"/>
                <w:b/>
                <w:bCs/>
                <w:szCs w:val="16"/>
              </w:rPr>
              <w:t>D:</w:t>
            </w:r>
            <w:r w:rsidRPr="00755D8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35B75" w:rsidRPr="007D0769" w14:paraId="16D77F20" w14:textId="77777777" w:rsidTr="00EC51AB">
        <w:trPr>
          <w:trHeight w:val="360"/>
          <w:tblHeader/>
        </w:trPr>
        <w:tc>
          <w:tcPr>
            <w:tcW w:w="2165" w:type="dxa"/>
            <w:hideMark/>
          </w:tcPr>
          <w:p w14:paraId="2DA3CF3F" w14:textId="77777777"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230</w:t>
            </w:r>
          </w:p>
        </w:tc>
        <w:tc>
          <w:tcPr>
            <w:tcW w:w="2165" w:type="dxa"/>
          </w:tcPr>
          <w:p w14:paraId="00526DC5" w14:textId="77777777"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hideMark/>
          </w:tcPr>
          <w:p w14:paraId="7549D5C9" w14:textId="77777777"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230</w:t>
            </w:r>
          </w:p>
        </w:tc>
        <w:tc>
          <w:tcPr>
            <w:tcW w:w="2165" w:type="dxa"/>
          </w:tcPr>
          <w:p w14:paraId="2C9B7B34" w14:textId="77777777"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hideMark/>
          </w:tcPr>
          <w:p w14:paraId="63D2536E" w14:textId="77777777"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r>
    </w:tbl>
    <w:p w14:paraId="6434B222" w14:textId="77777777" w:rsidR="00F35B4D" w:rsidRDefault="00F35B4D" w:rsidP="00DE12DF">
      <w:pPr>
        <w:rPr>
          <w:rFonts w:eastAsia="Times New Roman" w:cs="Arial"/>
          <w:b/>
          <w:bCs/>
          <w:szCs w:val="16"/>
        </w:rPr>
      </w:pPr>
    </w:p>
    <w:p w14:paraId="54A2B571" w14:textId="77777777" w:rsidR="00DE12DF" w:rsidRPr="007D0769" w:rsidRDefault="00B55430" w:rsidP="00DE12DF">
      <w:pPr>
        <w:rPr>
          <w:rFonts w:eastAsia="Times New Roman" w:cs="Arial"/>
          <w:b/>
          <w:bCs/>
          <w:szCs w:val="16"/>
        </w:rPr>
      </w:pPr>
      <w:r>
        <w:rPr>
          <w:rFonts w:eastAsia="Times New Roman" w:cs="Arial"/>
          <w:b/>
          <w:bCs/>
          <w:szCs w:val="16"/>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FYAPRDATA"/>
      </w:tblPr>
      <w:tblGrid>
        <w:gridCol w:w="2338"/>
        <w:gridCol w:w="2338"/>
        <w:gridCol w:w="1221"/>
        <w:gridCol w:w="1224"/>
        <w:gridCol w:w="1224"/>
        <w:gridCol w:w="1224"/>
        <w:gridCol w:w="1221"/>
      </w:tblGrid>
      <w:tr w:rsidR="00B55430" w:rsidRPr="007D0769" w14:paraId="2DCE3F4E" w14:textId="77777777" w:rsidTr="00EC51AB">
        <w:trPr>
          <w:trHeight w:val="360"/>
          <w:tblHeader/>
        </w:trPr>
        <w:tc>
          <w:tcPr>
            <w:tcW w:w="1083" w:type="pct"/>
          </w:tcPr>
          <w:p w14:paraId="011789E5" w14:textId="77777777" w:rsidR="00DE12DF" w:rsidRPr="007D0769" w:rsidRDefault="00DE12DF">
            <w:pPr>
              <w:jc w:val="center"/>
              <w:rPr>
                <w:rFonts w:eastAsia="Calibri" w:cs="Arial"/>
                <w:b/>
                <w:szCs w:val="16"/>
              </w:rPr>
            </w:pPr>
            <w:r w:rsidRPr="007D0769">
              <w:rPr>
                <w:rFonts w:eastAsia="Calibri" w:cs="Arial"/>
                <w:b/>
                <w:szCs w:val="16"/>
              </w:rPr>
              <w:t>Number of findings of Noncompliance that were timely corrected</w:t>
            </w:r>
          </w:p>
        </w:tc>
        <w:tc>
          <w:tcPr>
            <w:tcW w:w="1083" w:type="pct"/>
          </w:tcPr>
          <w:p w14:paraId="7F11C17F" w14:textId="77777777" w:rsidR="00DE12DF" w:rsidRPr="007D0769" w:rsidRDefault="00DE12DF">
            <w:pPr>
              <w:jc w:val="center"/>
              <w:rPr>
                <w:rFonts w:eastAsia="Calibri" w:cs="Arial"/>
                <w:b/>
                <w:szCs w:val="16"/>
              </w:rPr>
            </w:pPr>
            <w:r w:rsidRPr="007D0769">
              <w:rPr>
                <w:rFonts w:eastAsia="Calibri" w:cs="Arial"/>
                <w:b/>
                <w:szCs w:val="16"/>
              </w:rPr>
              <w:t>Number of findings of Noncompliance that were identified in FFY 2023</w:t>
            </w:r>
          </w:p>
        </w:tc>
        <w:tc>
          <w:tcPr>
            <w:tcW w:w="566" w:type="pct"/>
          </w:tcPr>
          <w:p w14:paraId="673924E3" w14:textId="77777777" w:rsidR="00DE12DF" w:rsidRPr="007D0769" w:rsidRDefault="00DE12DF" w:rsidP="00727602">
            <w:pPr>
              <w:jc w:val="center"/>
              <w:rPr>
                <w:rFonts w:eastAsia="Calibri" w:cs="Arial"/>
                <w:b/>
                <w:szCs w:val="16"/>
              </w:rPr>
            </w:pPr>
            <w:r w:rsidRPr="007D0769">
              <w:rPr>
                <w:rFonts w:eastAsia="Calibri" w:cs="Arial"/>
                <w:b/>
                <w:szCs w:val="16"/>
              </w:rPr>
              <w:t>FFY 2023 Data</w:t>
            </w:r>
          </w:p>
        </w:tc>
        <w:tc>
          <w:tcPr>
            <w:tcW w:w="567" w:type="pct"/>
          </w:tcPr>
          <w:p w14:paraId="164918AC" w14:textId="77777777" w:rsidR="00DE12DF" w:rsidRPr="007D0769" w:rsidRDefault="00DE12DF">
            <w:pPr>
              <w:jc w:val="center"/>
              <w:rPr>
                <w:rFonts w:eastAsia="Calibri" w:cs="Arial"/>
                <w:b/>
                <w:szCs w:val="16"/>
              </w:rPr>
            </w:pPr>
            <w:r w:rsidRPr="007D0769">
              <w:rPr>
                <w:rFonts w:eastAsia="Calibri" w:cs="Arial"/>
                <w:b/>
                <w:szCs w:val="16"/>
              </w:rPr>
              <w:t>FFY 2024 Target</w:t>
            </w:r>
          </w:p>
        </w:tc>
        <w:tc>
          <w:tcPr>
            <w:tcW w:w="567" w:type="pct"/>
          </w:tcPr>
          <w:p w14:paraId="0D4429CC" w14:textId="77777777" w:rsidR="00DE12DF" w:rsidRPr="007D0769" w:rsidRDefault="00DE12DF" w:rsidP="00727602">
            <w:pPr>
              <w:jc w:val="center"/>
              <w:rPr>
                <w:rFonts w:eastAsia="Calibri" w:cs="Arial"/>
                <w:b/>
                <w:szCs w:val="16"/>
              </w:rPr>
            </w:pPr>
            <w:r w:rsidRPr="007D0769">
              <w:rPr>
                <w:rFonts w:eastAsia="Calibri" w:cs="Arial"/>
                <w:b/>
                <w:szCs w:val="16"/>
              </w:rPr>
              <w:t>FFY 2024 Data</w:t>
            </w:r>
          </w:p>
        </w:tc>
        <w:tc>
          <w:tcPr>
            <w:tcW w:w="567" w:type="pct"/>
          </w:tcPr>
          <w:p w14:paraId="0B042A24" w14:textId="77777777" w:rsidR="00DE12DF" w:rsidRPr="007D0769" w:rsidRDefault="00DE12DF">
            <w:pPr>
              <w:jc w:val="center"/>
              <w:rPr>
                <w:rFonts w:eastAsia="Calibri" w:cs="Arial"/>
                <w:b/>
                <w:szCs w:val="16"/>
              </w:rPr>
            </w:pPr>
            <w:r w:rsidRPr="007D0769">
              <w:rPr>
                <w:rFonts w:eastAsia="Calibri" w:cs="Arial"/>
                <w:b/>
                <w:szCs w:val="16"/>
              </w:rPr>
              <w:t>Status</w:t>
            </w:r>
          </w:p>
        </w:tc>
        <w:tc>
          <w:tcPr>
            <w:tcW w:w="566" w:type="pct"/>
          </w:tcPr>
          <w:p w14:paraId="39D14EF1" w14:textId="77777777" w:rsidR="00DE12DF" w:rsidRPr="007D0769" w:rsidRDefault="00DE12DF">
            <w:pPr>
              <w:jc w:val="center"/>
              <w:rPr>
                <w:rFonts w:eastAsia="Calibri" w:cs="Arial"/>
                <w:b/>
                <w:szCs w:val="16"/>
              </w:rPr>
            </w:pPr>
            <w:r w:rsidRPr="007D0769">
              <w:rPr>
                <w:rFonts w:eastAsia="Calibri" w:cs="Arial"/>
                <w:b/>
                <w:szCs w:val="16"/>
              </w:rPr>
              <w:t>Slippage</w:t>
            </w:r>
          </w:p>
        </w:tc>
      </w:tr>
      <w:tr w:rsidR="00B55430" w:rsidRPr="007D0769" w14:paraId="70ED5E86" w14:textId="77777777" w:rsidTr="00EC51AB">
        <w:trPr>
          <w:trHeight w:val="360"/>
          <w:tblHeader/>
        </w:trPr>
        <w:tc>
          <w:tcPr>
            <w:tcW w:w="1083" w:type="pct"/>
          </w:tcPr>
          <w:p w14:paraId="5C5F5F50" w14:textId="77777777" w:rsidR="00DE2DFB" w:rsidRPr="007D0769" w:rsidRDefault="00DE2DFB" w:rsidP="00727602">
            <w:pPr>
              <w:jc w:val="center"/>
              <w:rPr>
                <w:rFonts w:eastAsia="Calibri" w:cs="Arial"/>
                <w:iCs/>
                <w:szCs w:val="16"/>
              </w:rPr>
            </w:pPr>
            <w:r>
              <w:rPr>
                <w:rFonts w:cs="Arial"/>
                <w:color w:val="000000" w:themeColor="text1"/>
                <w:szCs w:val="16"/>
              </w:rPr>
              <w:t>230</w:t>
            </w:r>
          </w:p>
        </w:tc>
        <w:tc>
          <w:tcPr>
            <w:tcW w:w="1083" w:type="pct"/>
          </w:tcPr>
          <w:p w14:paraId="51D860F2" w14:textId="77777777" w:rsidR="00DE2DFB" w:rsidRPr="007D0769" w:rsidRDefault="00DE2DFB" w:rsidP="00727602">
            <w:pPr>
              <w:jc w:val="center"/>
              <w:rPr>
                <w:rFonts w:eastAsia="Calibri" w:cs="Arial"/>
                <w:iCs/>
                <w:szCs w:val="16"/>
              </w:rPr>
            </w:pPr>
            <w:r>
              <w:rPr>
                <w:rFonts w:cs="Arial"/>
                <w:color w:val="000000" w:themeColor="text1"/>
                <w:szCs w:val="16"/>
              </w:rPr>
              <w:t>230</w:t>
            </w:r>
          </w:p>
        </w:tc>
        <w:tc>
          <w:tcPr>
            <w:tcW w:w="566" w:type="pct"/>
          </w:tcPr>
          <w:p w14:paraId="750BF86E" w14:textId="77777777" w:rsidR="00DE2DFB" w:rsidRPr="007D0769" w:rsidRDefault="00DE2DFB" w:rsidP="00DE2DFB">
            <w:pPr>
              <w:jc w:val="center"/>
              <w:rPr>
                <w:rFonts w:eastAsia="Calibri" w:cs="Arial"/>
                <w:caps/>
                <w:szCs w:val="16"/>
              </w:rPr>
            </w:pPr>
            <w:r w:rsidRPr="00ED172B">
              <w:rPr>
                <w:rFonts w:cs="Arial"/>
                <w:color w:val="000000" w:themeColor="text1"/>
                <w:szCs w:val="16"/>
              </w:rPr>
              <w:t>100.00%</w:t>
            </w:r>
          </w:p>
        </w:tc>
        <w:tc>
          <w:tcPr>
            <w:tcW w:w="567" w:type="pct"/>
          </w:tcPr>
          <w:p w14:paraId="67468FF7" w14:textId="77777777" w:rsidR="00DE2DFB" w:rsidRPr="007D0769" w:rsidRDefault="00DE2DFB" w:rsidP="00DE2DFB">
            <w:pPr>
              <w:jc w:val="center"/>
              <w:rPr>
                <w:rFonts w:eastAsia="Calibri" w:cs="Arial"/>
                <w:caps/>
                <w:szCs w:val="16"/>
              </w:rPr>
            </w:pPr>
            <w:r w:rsidRPr="00ED172B">
              <w:rPr>
                <w:color w:val="000000" w:themeColor="text1"/>
                <w:szCs w:val="16"/>
              </w:rPr>
              <w:t>100%</w:t>
            </w:r>
          </w:p>
        </w:tc>
        <w:tc>
          <w:tcPr>
            <w:tcW w:w="567" w:type="pct"/>
          </w:tcPr>
          <w:p w14:paraId="190DE840" w14:textId="77777777" w:rsidR="00DE2DFB" w:rsidRPr="007D0769" w:rsidRDefault="00DE2DFB" w:rsidP="00DE2DFB">
            <w:pPr>
              <w:jc w:val="center"/>
              <w:rPr>
                <w:rFonts w:eastAsia="Calibri" w:cs="Arial"/>
                <w:caps/>
                <w:szCs w:val="16"/>
              </w:rPr>
            </w:pPr>
            <w:r w:rsidRPr="00ED172B">
              <w:rPr>
                <w:rFonts w:cs="Arial"/>
                <w:color w:val="000000" w:themeColor="text1"/>
                <w:szCs w:val="16"/>
              </w:rPr>
              <w:t>100.00%</w:t>
            </w:r>
          </w:p>
        </w:tc>
        <w:tc>
          <w:tcPr>
            <w:tcW w:w="567" w:type="pct"/>
          </w:tcPr>
          <w:p w14:paraId="459399D8" w14:textId="77777777" w:rsidR="00DE2DFB" w:rsidRPr="007D0769" w:rsidRDefault="00DE2DFB" w:rsidP="00DE2DFB">
            <w:pPr>
              <w:jc w:val="center"/>
              <w:rPr>
                <w:rFonts w:eastAsia="Calibri" w:cs="Arial"/>
                <w:caps/>
                <w:szCs w:val="16"/>
              </w:rPr>
            </w:pPr>
            <w:r w:rsidRPr="00ED172B">
              <w:rPr>
                <w:color w:val="000000" w:themeColor="text1"/>
              </w:rPr>
              <w:t>Met target</w:t>
            </w:r>
          </w:p>
        </w:tc>
        <w:tc>
          <w:tcPr>
            <w:tcW w:w="566" w:type="pct"/>
          </w:tcPr>
          <w:p w14:paraId="4A81CEF5" w14:textId="77777777" w:rsidR="00DE2DFB" w:rsidRPr="007D0769" w:rsidRDefault="00DE2DFB" w:rsidP="00DE2DFB">
            <w:pPr>
              <w:jc w:val="center"/>
              <w:rPr>
                <w:rFonts w:eastAsia="Calibri" w:cs="Arial"/>
                <w:caps/>
                <w:szCs w:val="16"/>
              </w:rPr>
            </w:pPr>
            <w:r w:rsidRPr="00ED172B">
              <w:rPr>
                <w:color w:val="000000" w:themeColor="text1"/>
              </w:rPr>
              <w:t>No Slippage</w:t>
            </w:r>
          </w:p>
        </w:tc>
      </w:tr>
    </w:tbl>
    <w:p w14:paraId="5D502C7F" w14:textId="77777777" w:rsidR="00DE12DF" w:rsidRDefault="00DE12DF" w:rsidP="00DE12D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ONNTC"/>
      </w:tblPr>
      <w:tblGrid>
        <w:gridCol w:w="8095"/>
        <w:gridCol w:w="2695"/>
      </w:tblGrid>
      <w:tr w:rsidR="00DE12DF" w:rsidRPr="007D0769" w14:paraId="6C0F34F9" w14:textId="77777777" w:rsidTr="00EC51AB">
        <w:trPr>
          <w:trHeight w:val="720"/>
        </w:trPr>
        <w:tc>
          <w:tcPr>
            <w:tcW w:w="3751" w:type="pct"/>
            <w:vAlign w:val="center"/>
          </w:tcPr>
          <w:p w14:paraId="67C7DAAD" w14:textId="77777777" w:rsidR="00DE12DF" w:rsidRPr="007D0769" w:rsidRDefault="00DE12DF">
            <w:pPr>
              <w:jc w:val="center"/>
              <w:rPr>
                <w:rFonts w:eastAsia="Calibri" w:cs="Arial"/>
                <w:caps/>
                <w:szCs w:val="16"/>
              </w:rPr>
            </w:pPr>
            <w:r w:rsidRPr="00F471F8">
              <w:rPr>
                <w:rFonts w:eastAsia="Calibri" w:cs="Arial"/>
                <w:iCs/>
                <w:szCs w:val="16"/>
              </w:rPr>
              <w:t>Percent of findings of noncompliance not corrected or not verified as corrected within one year of identification</w:t>
            </w:r>
          </w:p>
        </w:tc>
        <w:tc>
          <w:tcPr>
            <w:tcW w:w="1249" w:type="pct"/>
            <w:vAlign w:val="center"/>
          </w:tcPr>
          <w:p w14:paraId="791D172E" w14:textId="77777777" w:rsidR="00DE12DF" w:rsidRPr="00727602" w:rsidRDefault="0055390C" w:rsidP="0055390C">
            <w:pPr>
              <w:jc w:val="center"/>
              <w:rPr>
                <w:rFonts w:eastAsia="Calibri" w:cs="Arial"/>
                <w:iCs/>
                <w:szCs w:val="16"/>
              </w:rPr>
            </w:pPr>
            <w:r>
              <w:rPr>
                <w:rFonts w:eastAsia="Calibri" w:cs="Arial"/>
                <w:iCs/>
                <w:szCs w:val="16"/>
              </w:rPr>
              <w:t>0.00%</w:t>
            </w:r>
          </w:p>
        </w:tc>
      </w:tr>
    </w:tbl>
    <w:p w14:paraId="1E7018A3" w14:textId="77777777" w:rsidR="00DE12DF" w:rsidRPr="00947802" w:rsidRDefault="00DE12DF" w:rsidP="00DE12DF">
      <w:pPr>
        <w:keepNext/>
        <w:spacing w:after="0"/>
        <w:rPr>
          <w:rFonts w:eastAsia="Calibri" w:cs="Arial"/>
          <w:b/>
          <w:szCs w:val="16"/>
        </w:rPr>
      </w:pPr>
      <w:r w:rsidRPr="00947802">
        <w:rPr>
          <w:rFonts w:eastAsia="Calibri" w:cs="Arial"/>
          <w:b/>
          <w:szCs w:val="16"/>
        </w:rPr>
        <w:t>Provide additional information about this indicator (optional)</w:t>
      </w:r>
    </w:p>
    <w:p w14:paraId="4D6DF982" w14:textId="77777777" w:rsidR="00DE12DF" w:rsidRPr="006675B4" w:rsidRDefault="00DE12DF" w:rsidP="00DE12DF">
      <w:pPr>
        <w:rPr>
          <w:rFonts w:eastAsia="Calibri" w:cs="Arial"/>
          <w:bCs/>
        </w:rPr>
      </w:pPr>
    </w:p>
    <w:p w14:paraId="0F09D755" w14:textId="77777777" w:rsidR="00DE12DF" w:rsidRPr="00604167" w:rsidRDefault="00DE12DF" w:rsidP="00DE12DF">
      <w:pPr>
        <w:rPr>
          <w:rFonts w:eastAsia="Calibri" w:cs="Arial"/>
          <w:b/>
          <w:szCs w:val="16"/>
        </w:rPr>
      </w:pPr>
    </w:p>
    <w:p w14:paraId="079688F6" w14:textId="77777777" w:rsidR="00DE12DF" w:rsidRPr="007D0769" w:rsidRDefault="00DE12DF" w:rsidP="00DE12DF">
      <w:pPr>
        <w:rPr>
          <w:rFonts w:eastAsia="Times New Roman" w:cs="Arial"/>
          <w:b/>
          <w:bCs/>
          <w:szCs w:val="16"/>
        </w:rPr>
      </w:pPr>
      <w:r w:rsidRPr="007D0769">
        <w:rPr>
          <w:rFonts w:eastAsia="Times New Roman" w:cs="Arial"/>
          <w:b/>
          <w:bCs/>
          <w:szCs w:val="16"/>
        </w:rPr>
        <w:t>Summary of Findings of Noncompliance identified in FFY 2023 Corrected in FFY 2024 (corrected within one year from identification of the noncompliance):</w:t>
      </w:r>
    </w:p>
    <w:tbl>
      <w:tblPr>
        <w:tblW w:w="10759"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TCSUMMARY"/>
      </w:tblPr>
      <w:tblGrid>
        <w:gridCol w:w="6750"/>
        <w:gridCol w:w="4009"/>
      </w:tblGrid>
      <w:tr w:rsidR="00F90937" w:rsidRPr="007D0769" w14:paraId="4F7405E3"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hideMark/>
          </w:tcPr>
          <w:p w14:paraId="3510F7DF"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1. Number of findings of noncompliance the State identified during FFY 2023 (the period from July 1, </w:t>
            </w:r>
            <w:proofErr w:type="gramStart"/>
            <w:r w:rsidRPr="007D0769">
              <w:rPr>
                <w:rFonts w:eastAsia="Times New Roman" w:cs="Arial"/>
                <w:szCs w:val="16"/>
              </w:rPr>
              <w:t>2023</w:t>
            </w:r>
            <w:proofErr w:type="gramEnd"/>
            <w:r w:rsidRPr="007D0769">
              <w:rPr>
                <w:rFonts w:eastAsia="Times New Roman" w:cs="Arial"/>
                <w:szCs w:val="16"/>
              </w:rPr>
              <w:t xml:space="preserve"> through June 30, 2024). </w:t>
            </w:r>
          </w:p>
        </w:tc>
        <w:tc>
          <w:tcPr>
            <w:tcW w:w="4009" w:type="dxa"/>
            <w:tcBorders>
              <w:top w:val="single" w:sz="6" w:space="0" w:color="auto"/>
              <w:left w:val="single" w:sz="6" w:space="0" w:color="auto"/>
              <w:bottom w:val="single" w:sz="6" w:space="0" w:color="auto"/>
              <w:right w:val="single" w:sz="6" w:space="0" w:color="auto"/>
            </w:tcBorders>
            <w:vAlign w:val="center"/>
          </w:tcPr>
          <w:p w14:paraId="6701E9D2" w14:textId="77777777" w:rsidR="00DE12DF" w:rsidRPr="007D0769" w:rsidRDefault="0055390C" w:rsidP="00727602">
            <w:pPr>
              <w:jc w:val="center"/>
              <w:textAlignment w:val="baseline"/>
              <w:rPr>
                <w:rFonts w:eastAsia="Times New Roman" w:cs="Arial"/>
                <w:szCs w:val="16"/>
              </w:rPr>
            </w:pPr>
            <w:r>
              <w:rPr>
                <w:rFonts w:eastAsia="Times New Roman" w:cs="Arial"/>
                <w:szCs w:val="16"/>
              </w:rPr>
              <w:t>230</w:t>
            </w:r>
          </w:p>
        </w:tc>
      </w:tr>
      <w:tr w:rsidR="00F90937" w:rsidRPr="007D0769" w14:paraId="426F8F31"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hideMark/>
          </w:tcPr>
          <w:p w14:paraId="3112C52F"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2. Number of findings the State verified as timely corrected (corrected within one year from the date of written notification to the EIS program/provider of the finding) </w:t>
            </w:r>
          </w:p>
        </w:tc>
        <w:tc>
          <w:tcPr>
            <w:tcW w:w="4009" w:type="dxa"/>
            <w:tcBorders>
              <w:top w:val="single" w:sz="6" w:space="0" w:color="auto"/>
              <w:left w:val="single" w:sz="6" w:space="0" w:color="auto"/>
              <w:bottom w:val="single" w:sz="6" w:space="0" w:color="000000"/>
              <w:right w:val="single" w:sz="6" w:space="0" w:color="auto"/>
            </w:tcBorders>
            <w:vAlign w:val="center"/>
          </w:tcPr>
          <w:p w14:paraId="38236F3F" w14:textId="77777777" w:rsidR="00DE12DF" w:rsidRPr="007D0769" w:rsidRDefault="0055390C" w:rsidP="00727602">
            <w:pPr>
              <w:jc w:val="center"/>
              <w:textAlignment w:val="baseline"/>
              <w:rPr>
                <w:rFonts w:eastAsia="Times New Roman" w:cs="Arial"/>
                <w:szCs w:val="16"/>
              </w:rPr>
            </w:pPr>
            <w:r>
              <w:rPr>
                <w:rFonts w:eastAsia="Times New Roman" w:cs="Arial"/>
                <w:szCs w:val="16"/>
              </w:rPr>
              <w:t>230</w:t>
            </w:r>
          </w:p>
        </w:tc>
      </w:tr>
      <w:tr w:rsidR="00F90937" w:rsidRPr="007D0769" w14:paraId="0E0DD8E6" w14:textId="77777777" w:rsidTr="00EC51AB">
        <w:trPr>
          <w:trHeight w:val="360"/>
        </w:trPr>
        <w:tc>
          <w:tcPr>
            <w:tcW w:w="6750" w:type="dxa"/>
            <w:tcBorders>
              <w:top w:val="single" w:sz="6" w:space="0" w:color="auto"/>
              <w:left w:val="single" w:sz="6" w:space="0" w:color="auto"/>
              <w:bottom w:val="single" w:sz="6" w:space="0" w:color="000000"/>
              <w:right w:val="single" w:sz="6" w:space="0" w:color="auto"/>
            </w:tcBorders>
            <w:hideMark/>
          </w:tcPr>
          <w:p w14:paraId="4CD51355"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3. Number of findings </w:t>
            </w:r>
            <w:r w:rsidRPr="007D0769">
              <w:rPr>
                <w:rFonts w:eastAsia="Times New Roman" w:cs="Arial"/>
                <w:szCs w:val="16"/>
                <w:u w:val="single"/>
              </w:rPr>
              <w:t>not</w:t>
            </w:r>
            <w:r w:rsidRPr="007D0769">
              <w:rPr>
                <w:rFonts w:eastAsia="Times New Roman" w:cs="Arial"/>
                <w:szCs w:val="16"/>
              </w:rPr>
              <w:t xml:space="preserve"> verified as corrected within one year </w:t>
            </w:r>
          </w:p>
        </w:tc>
        <w:tc>
          <w:tcPr>
            <w:tcW w:w="4009" w:type="dxa"/>
            <w:tcBorders>
              <w:top w:val="single" w:sz="6" w:space="0" w:color="auto"/>
              <w:left w:val="single" w:sz="6" w:space="0" w:color="auto"/>
              <w:bottom w:val="single" w:sz="6" w:space="0" w:color="000000"/>
              <w:right w:val="single" w:sz="6" w:space="0" w:color="auto"/>
            </w:tcBorders>
            <w:vAlign w:val="center"/>
          </w:tcPr>
          <w:p w14:paraId="25537720" w14:textId="77777777" w:rsidR="00DE12DF" w:rsidRPr="007D0769" w:rsidRDefault="0055390C" w:rsidP="00727602">
            <w:pPr>
              <w:jc w:val="center"/>
              <w:textAlignment w:val="baseline"/>
              <w:rPr>
                <w:rFonts w:eastAsia="Times New Roman" w:cs="Arial"/>
                <w:szCs w:val="16"/>
              </w:rPr>
            </w:pPr>
            <w:r>
              <w:rPr>
                <w:rFonts w:eastAsia="Times New Roman" w:cs="Arial"/>
                <w:szCs w:val="16"/>
              </w:rPr>
              <w:t>0</w:t>
            </w:r>
          </w:p>
        </w:tc>
      </w:tr>
    </w:tbl>
    <w:p w14:paraId="4446B3F7" w14:textId="77777777" w:rsidR="00DE12DF" w:rsidRPr="007D0769" w:rsidRDefault="00DE12DF" w:rsidP="00DE12DF">
      <w:pPr>
        <w:spacing w:after="0"/>
        <w:jc w:val="both"/>
        <w:textAlignment w:val="baseline"/>
        <w:rPr>
          <w:rFonts w:eastAsia="Times New Roman" w:cs="Arial"/>
          <w:szCs w:val="16"/>
        </w:rPr>
      </w:pPr>
    </w:p>
    <w:p w14:paraId="6772DE59" w14:textId="77777777" w:rsidR="00DE12DF" w:rsidRPr="007D0769" w:rsidRDefault="00DE12DF" w:rsidP="00DE12DF">
      <w:pPr>
        <w:rPr>
          <w:rFonts w:eastAsia="Times New Roman" w:cs="Arial"/>
          <w:b/>
          <w:bCs/>
          <w:szCs w:val="16"/>
        </w:rPr>
      </w:pPr>
      <w:r w:rsidRPr="007D0769">
        <w:rPr>
          <w:rFonts w:eastAsia="Times New Roman" w:cs="Arial"/>
          <w:b/>
          <w:bCs/>
          <w:szCs w:val="16"/>
        </w:rPr>
        <w:t>Subsequent Correction: Summary of All Outstanding Findings of Noncompliance identified in FFY 2023 Not Timely Corrected in FFY 2024 (corrected more than one year from identification of the noncompliance):  </w:t>
      </w:r>
    </w:p>
    <w:tbl>
      <w:tblPr>
        <w:tblW w:w="10718"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SC"/>
      </w:tblPr>
      <w:tblGrid>
        <w:gridCol w:w="6546"/>
        <w:gridCol w:w="4172"/>
      </w:tblGrid>
      <w:tr w:rsidR="006E5DBC" w:rsidRPr="007D0769" w14:paraId="4895C19F"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hideMark/>
          </w:tcPr>
          <w:p w14:paraId="3CC8F172"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4. Number of findings of noncompliance not timely corrected </w:t>
            </w:r>
          </w:p>
        </w:tc>
        <w:tc>
          <w:tcPr>
            <w:tcW w:w="4172" w:type="dxa"/>
            <w:tcBorders>
              <w:top w:val="single" w:sz="6" w:space="0" w:color="auto"/>
              <w:left w:val="single" w:sz="6" w:space="0" w:color="auto"/>
              <w:bottom w:val="single" w:sz="6" w:space="0" w:color="auto"/>
              <w:right w:val="single" w:sz="6" w:space="0" w:color="auto"/>
            </w:tcBorders>
            <w:vAlign w:val="center"/>
          </w:tcPr>
          <w:p w14:paraId="03E37896" w14:textId="77777777"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6E5DBC" w:rsidRPr="007D0769" w14:paraId="4FE1ADAF"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hideMark/>
          </w:tcPr>
          <w:p w14:paraId="3431D444" w14:textId="77777777" w:rsidR="00DE12DF" w:rsidRPr="007D0769" w:rsidRDefault="00DE12DF" w:rsidP="00727602">
            <w:pPr>
              <w:textAlignment w:val="baseline"/>
              <w:rPr>
                <w:rFonts w:eastAsia="Times New Roman" w:cs="Arial"/>
                <w:szCs w:val="16"/>
              </w:rPr>
            </w:pPr>
            <w:r w:rsidRPr="007D0769">
              <w:rPr>
                <w:rFonts w:eastAsia="Times New Roman" w:cs="Arial"/>
                <w:szCs w:val="16"/>
              </w:rPr>
              <w:t>5. Number of written findings of noncompliance (Col. A) the State has verified as corrected beyond the one-year timeline ("subsequent correction") - as reported in Indicator 1, 7, 8A, 8B, 8C</w:t>
            </w:r>
          </w:p>
        </w:tc>
        <w:tc>
          <w:tcPr>
            <w:tcW w:w="4172" w:type="dxa"/>
            <w:tcBorders>
              <w:top w:val="single" w:sz="6" w:space="0" w:color="auto"/>
              <w:left w:val="single" w:sz="6" w:space="0" w:color="auto"/>
              <w:bottom w:val="single" w:sz="6" w:space="0" w:color="000000"/>
              <w:right w:val="single" w:sz="6" w:space="0" w:color="auto"/>
            </w:tcBorders>
            <w:vAlign w:val="center"/>
          </w:tcPr>
          <w:p w14:paraId="76A916EE" w14:textId="77777777"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A95B74" w:rsidRPr="007D0769" w14:paraId="66FE2849"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1FD0EAEB" w14:textId="77777777" w:rsidR="00A95B74" w:rsidRPr="007D0769" w:rsidRDefault="00A95B74" w:rsidP="00A95B74">
            <w:pPr>
              <w:textAlignment w:val="baseline"/>
              <w:rPr>
                <w:rFonts w:eastAsia="Times New Roman" w:cs="Arial"/>
                <w:szCs w:val="16"/>
              </w:rPr>
            </w:pPr>
            <w:r>
              <w:rPr>
                <w:rFonts w:eastAsia="Times New Roman" w:cs="Arial"/>
                <w:szCs w:val="16"/>
              </w:rPr>
              <w:lastRenderedPageBreak/>
              <w:t>6a. Number of additional written findings of noncompliance (Col. B) the state has verified as corrected beyond the one-year timeline (“subsequent correction”) - Indicator 1</w:t>
            </w:r>
          </w:p>
        </w:tc>
        <w:tc>
          <w:tcPr>
            <w:tcW w:w="4172" w:type="dxa"/>
            <w:tcBorders>
              <w:top w:val="single" w:sz="6" w:space="0" w:color="auto"/>
              <w:left w:val="single" w:sz="6" w:space="0" w:color="auto"/>
              <w:bottom w:val="single" w:sz="6" w:space="0" w:color="000000"/>
              <w:right w:val="single" w:sz="6" w:space="0" w:color="auto"/>
            </w:tcBorders>
            <w:vAlign w:val="center"/>
          </w:tcPr>
          <w:p w14:paraId="2CD0F2C5" w14:textId="77777777" w:rsidR="00A95B74" w:rsidRPr="00A95B74" w:rsidRDefault="00A95B74" w:rsidP="00A95B74">
            <w:pPr>
              <w:jc w:val="center"/>
              <w:textAlignment w:val="baseline"/>
              <w:rPr>
                <w:rFonts w:cs="Arial"/>
                <w:color w:val="00B0F0"/>
                <w:szCs w:val="16"/>
              </w:rPr>
            </w:pPr>
            <w:r w:rsidRPr="00EC51AB">
              <w:rPr>
                <w:rFonts w:cs="Arial"/>
                <w:szCs w:val="16"/>
              </w:rPr>
              <w:t>0</w:t>
            </w:r>
          </w:p>
        </w:tc>
      </w:tr>
      <w:tr w:rsidR="00A95B74" w:rsidRPr="007D0769" w14:paraId="31737103"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3F5C659E" w14:textId="77777777" w:rsidR="00A95B74" w:rsidRPr="007D0769" w:rsidRDefault="00A95B74" w:rsidP="00A95B74">
            <w:pPr>
              <w:textAlignment w:val="baseline"/>
              <w:rPr>
                <w:rFonts w:eastAsia="Times New Roman" w:cs="Arial"/>
                <w:szCs w:val="16"/>
              </w:rPr>
            </w:pPr>
            <w:r w:rsidRPr="00DD1AE0">
              <w:rPr>
                <w:rFonts w:eastAsia="Times New Roman" w:cs="Arial"/>
                <w:szCs w:val="16"/>
              </w:rPr>
              <w:t>6b. Number of additional written findings of noncompliance (Col. B) the state has verified as corrected beyond the one-year timeline (“subsequent correction”) - Indicator 7</w:t>
            </w:r>
          </w:p>
        </w:tc>
        <w:tc>
          <w:tcPr>
            <w:tcW w:w="4172" w:type="dxa"/>
            <w:tcBorders>
              <w:top w:val="single" w:sz="6" w:space="0" w:color="auto"/>
              <w:left w:val="single" w:sz="6" w:space="0" w:color="auto"/>
              <w:bottom w:val="single" w:sz="6" w:space="0" w:color="000000"/>
              <w:right w:val="single" w:sz="6" w:space="0" w:color="auto"/>
            </w:tcBorders>
            <w:vAlign w:val="center"/>
          </w:tcPr>
          <w:p w14:paraId="56B323DB" w14:textId="77777777" w:rsidR="00A95B74" w:rsidRPr="00EC51AB" w:rsidRDefault="00A95B74" w:rsidP="00A95B74">
            <w:pPr>
              <w:jc w:val="center"/>
              <w:textAlignment w:val="baseline"/>
              <w:rPr>
                <w:rFonts w:cs="Arial"/>
                <w:szCs w:val="16"/>
              </w:rPr>
            </w:pPr>
            <w:r w:rsidRPr="00EC51AB">
              <w:rPr>
                <w:rFonts w:cs="Arial"/>
                <w:szCs w:val="16"/>
              </w:rPr>
              <w:t>0</w:t>
            </w:r>
          </w:p>
        </w:tc>
      </w:tr>
      <w:tr w:rsidR="00A95B74" w:rsidRPr="007D0769" w14:paraId="5780EF21"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34C33B82" w14:textId="77777777" w:rsidR="00A95B74" w:rsidRPr="007D0769" w:rsidRDefault="00A95B74" w:rsidP="00A95B74">
            <w:pPr>
              <w:textAlignment w:val="baseline"/>
              <w:rPr>
                <w:rFonts w:eastAsia="Times New Roman" w:cs="Arial"/>
                <w:szCs w:val="16"/>
              </w:rPr>
            </w:pPr>
            <w:r w:rsidRPr="00DD1AE0">
              <w:rPr>
                <w:rFonts w:eastAsia="Times New Roman" w:cs="Arial"/>
                <w:szCs w:val="16"/>
              </w:rPr>
              <w:t>6c. Number of additional written findings of noncompliance (Col. B) the state has verified as corrected beyond the one-year timeline (“subsequent correction”) - Indicator 8A</w:t>
            </w:r>
          </w:p>
        </w:tc>
        <w:tc>
          <w:tcPr>
            <w:tcW w:w="4172" w:type="dxa"/>
            <w:tcBorders>
              <w:top w:val="single" w:sz="6" w:space="0" w:color="auto"/>
              <w:left w:val="single" w:sz="6" w:space="0" w:color="auto"/>
              <w:bottom w:val="single" w:sz="6" w:space="0" w:color="000000"/>
              <w:right w:val="single" w:sz="6" w:space="0" w:color="auto"/>
            </w:tcBorders>
            <w:vAlign w:val="center"/>
          </w:tcPr>
          <w:p w14:paraId="40CEC5A4" w14:textId="77777777" w:rsidR="00A95B74" w:rsidRPr="00EC51AB" w:rsidRDefault="00A95B74" w:rsidP="00A95B74">
            <w:pPr>
              <w:jc w:val="center"/>
              <w:textAlignment w:val="baseline"/>
              <w:rPr>
                <w:rFonts w:cs="Arial"/>
                <w:szCs w:val="16"/>
              </w:rPr>
            </w:pPr>
            <w:r w:rsidRPr="00EC51AB">
              <w:rPr>
                <w:rFonts w:cs="Arial"/>
                <w:szCs w:val="16"/>
              </w:rPr>
              <w:t>0</w:t>
            </w:r>
          </w:p>
        </w:tc>
      </w:tr>
      <w:tr w:rsidR="00A95B74" w:rsidRPr="007D0769" w14:paraId="67D6E253"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0862BAEE" w14:textId="77777777" w:rsidR="00A95B74" w:rsidRPr="007D0769" w:rsidRDefault="00A95B74" w:rsidP="00A95B74">
            <w:pPr>
              <w:textAlignment w:val="baseline"/>
              <w:rPr>
                <w:rFonts w:eastAsia="Times New Roman" w:cs="Arial"/>
                <w:szCs w:val="16"/>
              </w:rPr>
            </w:pPr>
            <w:r w:rsidRPr="00DD1AE0">
              <w:rPr>
                <w:rFonts w:eastAsia="Times New Roman" w:cs="Arial"/>
                <w:szCs w:val="16"/>
              </w:rPr>
              <w:t>6d. Number of additional written findings of noncompliance (Col. B) the state has verified as corrected beyond the one-year timeline (“subsequent correction”) - Indicator 8B</w:t>
            </w:r>
          </w:p>
        </w:tc>
        <w:tc>
          <w:tcPr>
            <w:tcW w:w="4172" w:type="dxa"/>
            <w:tcBorders>
              <w:top w:val="single" w:sz="6" w:space="0" w:color="auto"/>
              <w:left w:val="single" w:sz="6" w:space="0" w:color="auto"/>
              <w:bottom w:val="single" w:sz="6" w:space="0" w:color="000000"/>
              <w:right w:val="single" w:sz="6" w:space="0" w:color="auto"/>
            </w:tcBorders>
            <w:vAlign w:val="center"/>
          </w:tcPr>
          <w:p w14:paraId="4EA9EC31" w14:textId="77777777" w:rsidR="00A95B74" w:rsidRPr="00EC51AB" w:rsidRDefault="00A95B74" w:rsidP="00A95B74">
            <w:pPr>
              <w:jc w:val="center"/>
              <w:textAlignment w:val="baseline"/>
              <w:rPr>
                <w:rFonts w:cs="Arial"/>
                <w:szCs w:val="16"/>
              </w:rPr>
            </w:pPr>
            <w:r w:rsidRPr="00EC51AB">
              <w:rPr>
                <w:rFonts w:cs="Arial"/>
                <w:szCs w:val="16"/>
              </w:rPr>
              <w:t>0</w:t>
            </w:r>
          </w:p>
        </w:tc>
      </w:tr>
      <w:tr w:rsidR="00A95B74" w:rsidRPr="007D0769" w14:paraId="6330B12F"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39B571C7" w14:textId="77777777" w:rsidR="00A95B74" w:rsidRPr="007D0769" w:rsidRDefault="00A95B74" w:rsidP="00A95B74">
            <w:pPr>
              <w:textAlignment w:val="baseline"/>
              <w:rPr>
                <w:rFonts w:eastAsia="Times New Roman" w:cs="Arial"/>
                <w:szCs w:val="16"/>
              </w:rPr>
            </w:pPr>
            <w:r w:rsidRPr="00DD1AE0">
              <w:rPr>
                <w:rFonts w:eastAsia="Times New Roman" w:cs="Arial"/>
                <w:szCs w:val="16"/>
              </w:rPr>
              <w:t>6e. Number of additional written findings of noncompliance (Col. B) the state has verified as corrected beyond the one-year timeline (“subsequent correction”) - Indicator 8C</w:t>
            </w:r>
          </w:p>
        </w:tc>
        <w:tc>
          <w:tcPr>
            <w:tcW w:w="4172" w:type="dxa"/>
            <w:tcBorders>
              <w:top w:val="single" w:sz="6" w:space="0" w:color="auto"/>
              <w:left w:val="single" w:sz="6" w:space="0" w:color="auto"/>
              <w:bottom w:val="single" w:sz="6" w:space="0" w:color="000000"/>
              <w:right w:val="single" w:sz="6" w:space="0" w:color="auto"/>
            </w:tcBorders>
            <w:vAlign w:val="center"/>
          </w:tcPr>
          <w:p w14:paraId="00DAC127" w14:textId="77777777" w:rsidR="00A95B74" w:rsidRPr="00EC51AB" w:rsidRDefault="00A95B74" w:rsidP="00A95B74">
            <w:pPr>
              <w:jc w:val="center"/>
              <w:textAlignment w:val="baseline"/>
              <w:rPr>
                <w:rFonts w:cs="Arial"/>
                <w:szCs w:val="16"/>
              </w:rPr>
            </w:pPr>
            <w:r w:rsidRPr="00EC51AB">
              <w:rPr>
                <w:rFonts w:cs="Arial"/>
                <w:szCs w:val="16"/>
              </w:rPr>
              <w:t>0</w:t>
            </w:r>
          </w:p>
        </w:tc>
      </w:tr>
      <w:tr w:rsidR="003A2D51" w:rsidRPr="007D0769" w14:paraId="7F93F226"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5E0A44DF" w14:textId="77777777" w:rsidR="003A2D51" w:rsidRPr="00DD1AE0" w:rsidRDefault="003A2D51" w:rsidP="003A2D51">
            <w:pPr>
              <w:textAlignment w:val="baseline"/>
              <w:rPr>
                <w:rFonts w:eastAsia="Times New Roman" w:cs="Arial"/>
                <w:szCs w:val="16"/>
              </w:rPr>
            </w:pPr>
            <w:r w:rsidRPr="00DD1AE0">
              <w:rPr>
                <w:rFonts w:eastAsia="Times New Roman" w:cs="Arial"/>
                <w:szCs w:val="16"/>
              </w:rPr>
              <w:t xml:space="preserve">6f. (optional) Number of written findings of noncompliance (Col. B) the state has verified as corrected beyond the one-year timeline (“subsequent correction”) - </w:t>
            </w:r>
            <w:r w:rsidRPr="00DA5B64">
              <w:rPr>
                <w:rFonts w:eastAsia="Calibri" w:cs="Arial"/>
                <w:bCs/>
                <w:szCs w:val="16"/>
              </w:rPr>
              <w:t xml:space="preserve">Other Areas - </w:t>
            </w:r>
            <w:r w:rsidRPr="00DA5B64">
              <w:rPr>
                <w:rFonts w:eastAsia="Calibri" w:cs="Arial"/>
                <w:bCs/>
                <w:szCs w:val="16"/>
                <w:u w:val="single"/>
              </w:rPr>
              <w:t>All other findings</w:t>
            </w:r>
          </w:p>
        </w:tc>
        <w:tc>
          <w:tcPr>
            <w:tcW w:w="4172" w:type="dxa"/>
            <w:tcBorders>
              <w:top w:val="single" w:sz="6" w:space="0" w:color="auto"/>
              <w:left w:val="single" w:sz="6" w:space="0" w:color="auto"/>
              <w:bottom w:val="single" w:sz="6" w:space="0" w:color="000000"/>
              <w:right w:val="single" w:sz="6" w:space="0" w:color="auto"/>
            </w:tcBorders>
            <w:vAlign w:val="center"/>
          </w:tcPr>
          <w:p w14:paraId="4B00FA6D" w14:textId="77777777" w:rsidR="003A2D51" w:rsidRPr="00EC51AB" w:rsidRDefault="003A2D51" w:rsidP="003A2D51">
            <w:pPr>
              <w:jc w:val="center"/>
              <w:textAlignment w:val="baseline"/>
              <w:rPr>
                <w:rFonts w:cs="Arial"/>
                <w:szCs w:val="16"/>
              </w:rPr>
            </w:pPr>
            <w:r w:rsidRPr="00EC51AB">
              <w:rPr>
                <w:rFonts w:cs="Arial"/>
                <w:szCs w:val="16"/>
              </w:rPr>
              <w:t>0</w:t>
            </w:r>
          </w:p>
        </w:tc>
      </w:tr>
      <w:tr w:rsidR="003A2D51" w:rsidRPr="007D0769" w14:paraId="43B6992A"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hideMark/>
          </w:tcPr>
          <w:p w14:paraId="69BD91BD" w14:textId="77777777" w:rsidR="003A2D51" w:rsidRPr="007D0769" w:rsidRDefault="003A2D51" w:rsidP="003A2D51">
            <w:pPr>
              <w:textAlignment w:val="baseline"/>
              <w:rPr>
                <w:rFonts w:eastAsia="Times New Roman" w:cs="Arial"/>
                <w:szCs w:val="16"/>
              </w:rPr>
            </w:pPr>
            <w:r>
              <w:rPr>
                <w:rFonts w:eastAsia="Times New Roman" w:cs="Arial"/>
                <w:szCs w:val="16"/>
              </w:rPr>
              <w:t xml:space="preserve">7. Number of findings </w:t>
            </w:r>
            <w:r w:rsidRPr="007D0769">
              <w:rPr>
                <w:rFonts w:eastAsia="Times New Roman" w:cs="Arial"/>
                <w:szCs w:val="16"/>
                <w:u w:val="single"/>
              </w:rPr>
              <w:t>not</w:t>
            </w:r>
            <w:r w:rsidRPr="007D0769">
              <w:rPr>
                <w:rFonts w:eastAsia="Times New Roman" w:cs="Arial"/>
                <w:szCs w:val="16"/>
              </w:rPr>
              <w:t xml:space="preserve"> yet verified as corrected </w:t>
            </w:r>
          </w:p>
        </w:tc>
        <w:tc>
          <w:tcPr>
            <w:tcW w:w="4172" w:type="dxa"/>
            <w:tcBorders>
              <w:top w:val="single" w:sz="6" w:space="0" w:color="auto"/>
              <w:left w:val="single" w:sz="6" w:space="0" w:color="auto"/>
              <w:bottom w:val="single" w:sz="6" w:space="0" w:color="auto"/>
              <w:right w:val="single" w:sz="6" w:space="0" w:color="auto"/>
            </w:tcBorders>
            <w:vAlign w:val="center"/>
          </w:tcPr>
          <w:p w14:paraId="288CFC45" w14:textId="77777777" w:rsidR="003A2D51" w:rsidRPr="00840417" w:rsidRDefault="003A2D51" w:rsidP="003A2D51">
            <w:pPr>
              <w:jc w:val="center"/>
              <w:textAlignment w:val="baseline"/>
              <w:rPr>
                <w:rFonts w:eastAsia="Times New Roman" w:cs="Arial"/>
                <w:szCs w:val="16"/>
              </w:rPr>
            </w:pPr>
            <w:r w:rsidRPr="00840417">
              <w:rPr>
                <w:rFonts w:eastAsia="Times New Roman" w:cs="Arial"/>
                <w:szCs w:val="16"/>
              </w:rPr>
              <w:t>0</w:t>
            </w:r>
          </w:p>
        </w:tc>
      </w:tr>
    </w:tbl>
    <w:p w14:paraId="4F1EBFA4" w14:textId="77777777" w:rsidR="00DE12DF" w:rsidRPr="007D0769" w:rsidRDefault="00DE12DF" w:rsidP="00DE12DF">
      <w:pPr>
        <w:spacing w:after="0"/>
        <w:ind w:left="15"/>
        <w:textAlignment w:val="baseline"/>
        <w:rPr>
          <w:rFonts w:eastAsia="Times New Roman" w:cs="Arial"/>
          <w:szCs w:val="16"/>
        </w:rPr>
      </w:pPr>
    </w:p>
    <w:p w14:paraId="69AAD92E"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Subsequent correction:</w:t>
      </w:r>
      <w:r w:rsidRPr="007D0769">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 </w:t>
      </w:r>
    </w:p>
    <w:p w14:paraId="5A5ABB69" w14:textId="77777777" w:rsidR="00AC243A" w:rsidRDefault="00DE12DF" w:rsidP="00DE79BF">
      <w:pPr>
        <w:rPr>
          <w:rFonts w:eastAsia="Calibri" w:cs="Arial"/>
          <w:szCs w:val="16"/>
        </w:rPr>
      </w:pPr>
      <w:r>
        <w:rPr>
          <w:rFonts w:eastAsia="Calibri" w:cs="Arial"/>
          <w:szCs w:val="16"/>
        </w:rPr>
        <w:t>N/A</w:t>
      </w:r>
    </w:p>
    <w:p w14:paraId="65D49517" w14:textId="77777777" w:rsidR="0013498C" w:rsidRDefault="0013498C" w:rsidP="00DE79BF">
      <w:pPr>
        <w:rPr>
          <w:rFonts w:eastAsia="Calibri" w:cs="Arial"/>
          <w:szCs w:val="16"/>
        </w:rPr>
      </w:pPr>
    </w:p>
    <w:p w14:paraId="27688D6A" w14:textId="77777777" w:rsidR="001F2D64" w:rsidRPr="00781112" w:rsidRDefault="001F2D64" w:rsidP="001F2D64">
      <w:pPr>
        <w:rPr>
          <w:color w:val="000000" w:themeColor="text1"/>
        </w:rPr>
      </w:pPr>
      <w:r>
        <w:rPr>
          <w:b/>
          <w:color w:val="000000" w:themeColor="text1"/>
        </w:rPr>
        <w:t>Correction of Findings of Noncompliance Identified Prior to FFY 2023</w:t>
      </w:r>
    </w:p>
    <w:tbl>
      <w:tblPr>
        <w:tblStyle w:val="TableGrid"/>
        <w:tblW w:w="5000" w:type="pct"/>
        <w:tblLayout w:type="fixed"/>
        <w:tblLook w:val="04A0" w:firstRow="1" w:lastRow="0" w:firstColumn="1" w:lastColumn="0" w:noHBand="0" w:noVBand="1"/>
        <w:tblCaption w:val="B13PPFFYNCFINDINGS"/>
      </w:tblPr>
      <w:tblGrid>
        <w:gridCol w:w="2697"/>
        <w:gridCol w:w="2697"/>
        <w:gridCol w:w="2698"/>
        <w:gridCol w:w="2698"/>
      </w:tblGrid>
      <w:tr w:rsidR="001F2D64" w:rsidRPr="00781112" w14:paraId="7D408FF3" w14:textId="77777777" w:rsidTr="00D663A6">
        <w:trPr>
          <w:tblHeader/>
        </w:trPr>
        <w:tc>
          <w:tcPr>
            <w:tcW w:w="1250" w:type="pct"/>
            <w:tcBorders>
              <w:bottom w:val="single" w:sz="4" w:space="0" w:color="auto"/>
            </w:tcBorders>
            <w:vAlign w:val="bottom"/>
          </w:tcPr>
          <w:p w14:paraId="7105F139"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250" w:type="pct"/>
            <w:tcBorders>
              <w:bottom w:val="single" w:sz="4" w:space="0" w:color="auto"/>
            </w:tcBorders>
            <w:vAlign w:val="bottom"/>
          </w:tcPr>
          <w:p w14:paraId="0C04101F" w14:textId="77777777" w:rsidR="001F2D64" w:rsidRPr="00781112" w:rsidRDefault="001F2D64" w:rsidP="00AC640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250" w:type="pct"/>
            <w:tcBorders>
              <w:bottom w:val="single" w:sz="4" w:space="0" w:color="auto"/>
            </w:tcBorders>
            <w:vAlign w:val="bottom"/>
          </w:tcPr>
          <w:p w14:paraId="12EB24D8"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50" w:type="pct"/>
            <w:tcBorders>
              <w:bottom w:val="single" w:sz="4" w:space="0" w:color="auto"/>
            </w:tcBorders>
            <w:vAlign w:val="bottom"/>
          </w:tcPr>
          <w:p w14:paraId="61F1330E"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Findings Not Yet Verified as Corrected</w:t>
            </w:r>
          </w:p>
        </w:tc>
      </w:tr>
      <w:tr w:rsidR="001F2D64" w:rsidRPr="00781112" w14:paraId="5D1DB7E8" w14:textId="77777777" w:rsidTr="00D663A6">
        <w:tc>
          <w:tcPr>
            <w:tcW w:w="1250" w:type="pct"/>
          </w:tcPr>
          <w:p w14:paraId="30DF64C0" w14:textId="77777777" w:rsidR="001F2D64" w:rsidRPr="00781112" w:rsidRDefault="001F2D64" w:rsidP="00B24004">
            <w:pPr>
              <w:jc w:val="center"/>
              <w:rPr>
                <w:rFonts w:cs="Arial"/>
                <w:color w:val="000000" w:themeColor="text1"/>
                <w:szCs w:val="16"/>
              </w:rPr>
            </w:pPr>
          </w:p>
        </w:tc>
        <w:tc>
          <w:tcPr>
            <w:tcW w:w="1250" w:type="pct"/>
          </w:tcPr>
          <w:p w14:paraId="0528DCD1" w14:textId="77777777" w:rsidR="001F2D64" w:rsidRPr="00781112" w:rsidRDefault="001F2D64" w:rsidP="00B24004">
            <w:pPr>
              <w:jc w:val="center"/>
              <w:rPr>
                <w:rFonts w:cs="Arial"/>
                <w:color w:val="000000" w:themeColor="text1"/>
                <w:szCs w:val="16"/>
              </w:rPr>
            </w:pPr>
          </w:p>
        </w:tc>
        <w:tc>
          <w:tcPr>
            <w:tcW w:w="1250" w:type="pct"/>
          </w:tcPr>
          <w:p w14:paraId="0BABE0D9" w14:textId="77777777" w:rsidR="001F2D64" w:rsidRPr="00781112" w:rsidRDefault="001F2D64" w:rsidP="00B24004">
            <w:pPr>
              <w:jc w:val="center"/>
              <w:rPr>
                <w:rFonts w:cs="Arial"/>
                <w:color w:val="000000" w:themeColor="text1"/>
                <w:szCs w:val="16"/>
              </w:rPr>
            </w:pPr>
          </w:p>
        </w:tc>
        <w:tc>
          <w:tcPr>
            <w:tcW w:w="1250" w:type="pct"/>
          </w:tcPr>
          <w:p w14:paraId="5BDD8AAB" w14:textId="77777777" w:rsidR="001F2D64" w:rsidRPr="00781112" w:rsidRDefault="001F2D64" w:rsidP="00B24004">
            <w:pPr>
              <w:jc w:val="center"/>
              <w:rPr>
                <w:rFonts w:cs="Arial"/>
                <w:color w:val="000000" w:themeColor="text1"/>
                <w:szCs w:val="16"/>
              </w:rPr>
            </w:pPr>
          </w:p>
        </w:tc>
      </w:tr>
      <w:tr w:rsidR="001F2D64" w:rsidRPr="00781112" w14:paraId="44817BD9" w14:textId="77777777" w:rsidTr="00D663A6">
        <w:tc>
          <w:tcPr>
            <w:tcW w:w="1250" w:type="pct"/>
          </w:tcPr>
          <w:p w14:paraId="58252DCD" w14:textId="77777777" w:rsidR="001F2D64" w:rsidRPr="00781112" w:rsidRDefault="001F2D64" w:rsidP="00AC640E">
            <w:pPr>
              <w:jc w:val="center"/>
              <w:rPr>
                <w:rFonts w:cs="Arial"/>
                <w:color w:val="000000" w:themeColor="text1"/>
                <w:szCs w:val="16"/>
              </w:rPr>
            </w:pPr>
          </w:p>
        </w:tc>
        <w:tc>
          <w:tcPr>
            <w:tcW w:w="1250" w:type="pct"/>
          </w:tcPr>
          <w:p w14:paraId="255AE83E" w14:textId="77777777" w:rsidR="001F2D64" w:rsidRPr="00781112" w:rsidRDefault="001F2D64" w:rsidP="00AC640E">
            <w:pPr>
              <w:jc w:val="center"/>
              <w:rPr>
                <w:rFonts w:cs="Arial"/>
                <w:noProof/>
                <w:color w:val="000000" w:themeColor="text1"/>
                <w:szCs w:val="16"/>
              </w:rPr>
            </w:pPr>
          </w:p>
        </w:tc>
        <w:tc>
          <w:tcPr>
            <w:tcW w:w="1250" w:type="pct"/>
          </w:tcPr>
          <w:p w14:paraId="2B8C530A" w14:textId="77777777" w:rsidR="001F2D64" w:rsidRPr="00781112" w:rsidRDefault="001F2D64" w:rsidP="00AC640E">
            <w:pPr>
              <w:jc w:val="center"/>
              <w:rPr>
                <w:rFonts w:cs="Arial"/>
                <w:noProof/>
                <w:color w:val="000000" w:themeColor="text1"/>
                <w:szCs w:val="16"/>
              </w:rPr>
            </w:pPr>
          </w:p>
        </w:tc>
        <w:tc>
          <w:tcPr>
            <w:tcW w:w="1250" w:type="pct"/>
          </w:tcPr>
          <w:p w14:paraId="415A692B" w14:textId="77777777" w:rsidR="001F2D64" w:rsidRPr="00781112" w:rsidRDefault="001F2D64" w:rsidP="00AC640E">
            <w:pPr>
              <w:jc w:val="center"/>
              <w:rPr>
                <w:rFonts w:cs="Arial"/>
                <w:noProof/>
                <w:color w:val="000000" w:themeColor="text1"/>
                <w:szCs w:val="16"/>
              </w:rPr>
            </w:pPr>
          </w:p>
        </w:tc>
      </w:tr>
      <w:tr w:rsidR="001F2D64" w:rsidRPr="00781112" w14:paraId="3AB3741A" w14:textId="77777777" w:rsidTr="00D663A6">
        <w:tc>
          <w:tcPr>
            <w:tcW w:w="1250" w:type="pct"/>
          </w:tcPr>
          <w:p w14:paraId="36791CE2" w14:textId="77777777" w:rsidR="001F2D64" w:rsidRPr="00781112" w:rsidRDefault="001F2D64" w:rsidP="00AC640E">
            <w:pPr>
              <w:jc w:val="center"/>
              <w:rPr>
                <w:rFonts w:cs="Arial"/>
                <w:color w:val="000000" w:themeColor="text1"/>
                <w:szCs w:val="16"/>
              </w:rPr>
            </w:pPr>
          </w:p>
        </w:tc>
        <w:tc>
          <w:tcPr>
            <w:tcW w:w="1250" w:type="pct"/>
          </w:tcPr>
          <w:p w14:paraId="5F55D6E7" w14:textId="77777777" w:rsidR="001F2D64" w:rsidRPr="00781112" w:rsidRDefault="001F2D64" w:rsidP="00AC640E">
            <w:pPr>
              <w:jc w:val="center"/>
              <w:rPr>
                <w:rFonts w:cs="Arial"/>
                <w:noProof/>
                <w:color w:val="000000" w:themeColor="text1"/>
                <w:szCs w:val="16"/>
              </w:rPr>
            </w:pPr>
          </w:p>
        </w:tc>
        <w:tc>
          <w:tcPr>
            <w:tcW w:w="1250" w:type="pct"/>
          </w:tcPr>
          <w:p w14:paraId="7B223CB9" w14:textId="77777777" w:rsidR="001F2D64" w:rsidRPr="00781112" w:rsidRDefault="001F2D64" w:rsidP="00AC640E">
            <w:pPr>
              <w:jc w:val="center"/>
              <w:rPr>
                <w:rFonts w:cs="Arial"/>
                <w:noProof/>
                <w:color w:val="000000" w:themeColor="text1"/>
                <w:szCs w:val="16"/>
              </w:rPr>
            </w:pPr>
          </w:p>
        </w:tc>
        <w:tc>
          <w:tcPr>
            <w:tcW w:w="1250" w:type="pct"/>
          </w:tcPr>
          <w:p w14:paraId="6B80791E" w14:textId="77777777" w:rsidR="001F2D64" w:rsidRPr="00781112" w:rsidRDefault="001F2D64" w:rsidP="00AC640E">
            <w:pPr>
              <w:jc w:val="center"/>
              <w:rPr>
                <w:rFonts w:cs="Arial"/>
                <w:noProof/>
                <w:color w:val="000000" w:themeColor="text1"/>
                <w:szCs w:val="16"/>
              </w:rPr>
            </w:pPr>
          </w:p>
        </w:tc>
      </w:tr>
      <w:tr w:rsidR="001F2D64" w:rsidRPr="00781112" w14:paraId="090E6073" w14:textId="77777777" w:rsidTr="00D663A6">
        <w:tc>
          <w:tcPr>
            <w:tcW w:w="1250" w:type="pct"/>
          </w:tcPr>
          <w:p w14:paraId="1179DB32" w14:textId="77777777" w:rsidR="001F2D64" w:rsidRPr="00781112" w:rsidRDefault="001F2D64" w:rsidP="00AC640E">
            <w:pPr>
              <w:jc w:val="center"/>
              <w:rPr>
                <w:rFonts w:cs="Arial"/>
                <w:color w:val="000000" w:themeColor="text1"/>
                <w:szCs w:val="16"/>
              </w:rPr>
            </w:pPr>
          </w:p>
        </w:tc>
        <w:tc>
          <w:tcPr>
            <w:tcW w:w="1250" w:type="pct"/>
          </w:tcPr>
          <w:p w14:paraId="0ADAC72A" w14:textId="77777777" w:rsidR="001F2D64" w:rsidRPr="00781112" w:rsidRDefault="001F2D64" w:rsidP="00AC640E">
            <w:pPr>
              <w:jc w:val="center"/>
              <w:rPr>
                <w:rFonts w:cs="Arial"/>
                <w:color w:val="000000" w:themeColor="text1"/>
                <w:szCs w:val="16"/>
              </w:rPr>
            </w:pPr>
          </w:p>
        </w:tc>
        <w:tc>
          <w:tcPr>
            <w:tcW w:w="1250" w:type="pct"/>
          </w:tcPr>
          <w:p w14:paraId="06173A01" w14:textId="77777777" w:rsidR="001F2D64" w:rsidRPr="00781112" w:rsidRDefault="001F2D64" w:rsidP="00AC640E">
            <w:pPr>
              <w:jc w:val="center"/>
              <w:rPr>
                <w:rFonts w:cs="Arial"/>
                <w:color w:val="000000" w:themeColor="text1"/>
                <w:szCs w:val="16"/>
              </w:rPr>
            </w:pPr>
          </w:p>
        </w:tc>
        <w:tc>
          <w:tcPr>
            <w:tcW w:w="1250" w:type="pct"/>
          </w:tcPr>
          <w:p w14:paraId="4418DE21" w14:textId="77777777" w:rsidR="001F2D64" w:rsidRPr="00781112" w:rsidRDefault="001F2D64" w:rsidP="00AC640E">
            <w:pPr>
              <w:jc w:val="center"/>
              <w:rPr>
                <w:rFonts w:cs="Arial"/>
                <w:color w:val="000000" w:themeColor="text1"/>
                <w:szCs w:val="16"/>
              </w:rPr>
            </w:pPr>
          </w:p>
        </w:tc>
      </w:tr>
      <w:tr w:rsidR="001F2D64" w:rsidRPr="00781112" w14:paraId="70BE63F9" w14:textId="77777777" w:rsidTr="00D663A6">
        <w:tc>
          <w:tcPr>
            <w:tcW w:w="1250" w:type="pct"/>
          </w:tcPr>
          <w:p w14:paraId="0796C1B2" w14:textId="77777777" w:rsidR="001F2D64" w:rsidRPr="00781112" w:rsidRDefault="001F2D64" w:rsidP="00AC640E">
            <w:pPr>
              <w:jc w:val="center"/>
              <w:rPr>
                <w:rFonts w:cs="Arial"/>
                <w:color w:val="000000" w:themeColor="text1"/>
                <w:szCs w:val="16"/>
              </w:rPr>
            </w:pPr>
          </w:p>
        </w:tc>
        <w:tc>
          <w:tcPr>
            <w:tcW w:w="1250" w:type="pct"/>
          </w:tcPr>
          <w:p w14:paraId="3D9179B2" w14:textId="77777777" w:rsidR="001F2D64" w:rsidRPr="00781112" w:rsidRDefault="001F2D64" w:rsidP="00AC640E">
            <w:pPr>
              <w:jc w:val="center"/>
              <w:rPr>
                <w:rFonts w:cs="Arial"/>
                <w:color w:val="000000" w:themeColor="text1"/>
                <w:szCs w:val="16"/>
              </w:rPr>
            </w:pPr>
          </w:p>
        </w:tc>
        <w:tc>
          <w:tcPr>
            <w:tcW w:w="1250" w:type="pct"/>
          </w:tcPr>
          <w:p w14:paraId="10F665B4" w14:textId="77777777" w:rsidR="001F2D64" w:rsidRPr="00781112" w:rsidRDefault="001F2D64" w:rsidP="00AC640E">
            <w:pPr>
              <w:jc w:val="center"/>
              <w:rPr>
                <w:rFonts w:cs="Arial"/>
                <w:color w:val="000000" w:themeColor="text1"/>
                <w:szCs w:val="16"/>
              </w:rPr>
            </w:pPr>
          </w:p>
        </w:tc>
        <w:tc>
          <w:tcPr>
            <w:tcW w:w="1250" w:type="pct"/>
          </w:tcPr>
          <w:p w14:paraId="57A85B2B" w14:textId="77777777" w:rsidR="001F2D64" w:rsidRPr="00781112" w:rsidRDefault="001F2D64" w:rsidP="00AC640E">
            <w:pPr>
              <w:jc w:val="center"/>
              <w:rPr>
                <w:rFonts w:cs="Arial"/>
                <w:color w:val="000000" w:themeColor="text1"/>
                <w:szCs w:val="16"/>
              </w:rPr>
            </w:pPr>
          </w:p>
        </w:tc>
      </w:tr>
    </w:tbl>
    <w:p w14:paraId="530E421D" w14:textId="77777777" w:rsidR="009324C0" w:rsidRDefault="009324C0" w:rsidP="00DE79BF">
      <w:pPr>
        <w:rPr>
          <w:rFonts w:cs="Arial"/>
          <w:color w:val="000000" w:themeColor="text1"/>
          <w:szCs w:val="16"/>
        </w:rPr>
      </w:pPr>
    </w:p>
    <w:p w14:paraId="650B39B6" w14:textId="77777777" w:rsidR="009324C0" w:rsidRPr="00A40EE1" w:rsidRDefault="009324C0" w:rsidP="009324C0">
      <w:pPr>
        <w:pStyle w:val="Heading2"/>
      </w:pPr>
      <w:r w:rsidRPr="00A40EE1">
        <w:t>1</w:t>
      </w:r>
      <w:r>
        <w:t>2</w:t>
      </w:r>
      <w:r w:rsidRPr="00A40EE1">
        <w:t xml:space="preserve"> - </w:t>
      </w:r>
      <w:r w:rsidRPr="00A10714">
        <w:t>Prior FFY Required Actions</w:t>
      </w:r>
    </w:p>
    <w:p w14:paraId="7AB1D986" w14:textId="77777777" w:rsidR="009324C0" w:rsidRPr="00E856ED" w:rsidRDefault="009324C0" w:rsidP="009324C0">
      <w:r w:rsidRPr="00E856ED">
        <w:t>None</w:t>
      </w:r>
    </w:p>
    <w:p w14:paraId="13F2E4CA" w14:textId="77777777" w:rsidR="009324C0" w:rsidRPr="006E4396" w:rsidRDefault="009324C0" w:rsidP="00DE79BF">
      <w:pPr>
        <w:rPr>
          <w:rFonts w:cs="Arial"/>
          <w:color w:val="000000" w:themeColor="text1"/>
          <w:szCs w:val="16"/>
        </w:rPr>
      </w:pPr>
    </w:p>
    <w:p w14:paraId="683FDDA4" w14:textId="77777777" w:rsidR="00DE12DF" w:rsidRPr="00A40EE1" w:rsidRDefault="33129DF2" w:rsidP="00DE12DF">
      <w:pPr>
        <w:pStyle w:val="Heading2"/>
      </w:pPr>
      <w:r>
        <w:t>12 - OSEP Response</w:t>
      </w:r>
    </w:p>
    <w:p w14:paraId="7526C89F" w14:textId="77777777" w:rsidR="00DE12DF" w:rsidRPr="00ED172B" w:rsidRDefault="00DE12DF" w:rsidP="00DE12DF">
      <w:pPr>
        <w:rPr>
          <w:color w:val="000000" w:themeColor="text1"/>
        </w:rPr>
      </w:pPr>
    </w:p>
    <w:p w14:paraId="6BEB791D" w14:textId="77777777" w:rsidR="00DE12DF" w:rsidRPr="00A40EE1" w:rsidRDefault="00DE12DF" w:rsidP="00DE12DF">
      <w:pPr>
        <w:pStyle w:val="Heading2"/>
      </w:pPr>
      <w:r>
        <w:t>12</w:t>
      </w:r>
      <w:r w:rsidRPr="00A40EE1">
        <w:t xml:space="preserve"> - Required Actions</w:t>
      </w:r>
    </w:p>
    <w:p w14:paraId="43924964" w14:textId="77777777" w:rsidR="00DE12DF" w:rsidRPr="00ED172B" w:rsidRDefault="00DE12DF" w:rsidP="00DE12DF">
      <w:pPr>
        <w:rPr>
          <w:color w:val="000000" w:themeColor="text1"/>
        </w:rPr>
      </w:pPr>
    </w:p>
    <w:p w14:paraId="5E1664E8" w14:textId="77777777" w:rsidR="00E74450" w:rsidRDefault="00530511">
      <w:pPr>
        <w:spacing w:before="0" w:after="200" w:line="276" w:lineRule="auto"/>
        <w:rPr>
          <w:color w:val="000000" w:themeColor="text1"/>
        </w:rPr>
        <w:sectPr w:rsidR="00E74450" w:rsidSect="00BF3AB4">
          <w:footerReference w:type="default" r:id="rId13"/>
          <w:pgSz w:w="12240" w:h="15840"/>
          <w:pgMar w:top="720" w:right="720" w:bottom="720" w:left="720" w:header="0" w:footer="445" w:gutter="0"/>
          <w:cols w:space="720"/>
          <w:docGrid w:linePitch="218"/>
        </w:sectPr>
      </w:pPr>
      <w:r>
        <w:rPr>
          <w:color w:val="000000" w:themeColor="text1"/>
        </w:rPr>
        <w:br w:type="page"/>
      </w:r>
    </w:p>
    <w:p w14:paraId="1C2A017C" w14:textId="77777777" w:rsidR="00D77E41" w:rsidRPr="00ED172B" w:rsidRDefault="00D77E41" w:rsidP="00D77E41">
      <w:pPr>
        <w:pStyle w:val="Heading1"/>
        <w:rPr>
          <w:color w:val="000000" w:themeColor="text1"/>
        </w:rPr>
      </w:pPr>
      <w:r w:rsidRPr="00ED172B">
        <w:rPr>
          <w:color w:val="000000" w:themeColor="text1"/>
        </w:rPr>
        <w:lastRenderedPageBreak/>
        <w:t>Certification</w:t>
      </w:r>
    </w:p>
    <w:p w14:paraId="1287A66D" w14:textId="77777777" w:rsidR="00D77E41" w:rsidRPr="00ED172B" w:rsidRDefault="00D77E41" w:rsidP="00186420">
      <w:pPr>
        <w:rPr>
          <w:color w:val="000000" w:themeColor="text1"/>
        </w:rPr>
      </w:pPr>
      <w:r w:rsidRPr="00ED172B">
        <w:rPr>
          <w:b/>
          <w:color w:val="000000" w:themeColor="text1"/>
          <w:sz w:val="20"/>
          <w:szCs w:val="20"/>
        </w:rPr>
        <w:t>Instructions</w:t>
      </w:r>
    </w:p>
    <w:p w14:paraId="790855CC" w14:textId="77777777" w:rsidR="00D77E41" w:rsidRPr="00ED172B" w:rsidRDefault="008E67B7" w:rsidP="00D77E41">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14:paraId="4FD067C6" w14:textId="77777777" w:rsidR="00D77E41" w:rsidRPr="00ED172B" w:rsidRDefault="00D77E41" w:rsidP="00D77E41">
      <w:pPr>
        <w:rPr>
          <w:b/>
          <w:color w:val="000000" w:themeColor="text1"/>
        </w:rPr>
      </w:pPr>
      <w:r w:rsidRPr="00ED172B">
        <w:rPr>
          <w:b/>
          <w:color w:val="000000" w:themeColor="text1"/>
        </w:rPr>
        <w:t>Certify</w:t>
      </w:r>
    </w:p>
    <w:p w14:paraId="0929E9BB" w14:textId="77777777" w:rsidR="00D77E41"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14:paraId="27F85366" w14:textId="77777777" w:rsidR="00404159"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14:paraId="7CA426D3" w14:textId="77777777"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Lead Agency Director</w:t>
      </w:r>
    </w:p>
    <w:p w14:paraId="40726463" w14:textId="77777777" w:rsidR="00D77E41" w:rsidRPr="00ED172B" w:rsidRDefault="00D77E41">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14:paraId="7F820DFE"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14:paraId="3B5FB5EC" w14:textId="77777777"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Kara Williams</w:t>
      </w:r>
    </w:p>
    <w:p w14:paraId="61D2E0E5"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14:paraId="720A99F0" w14:textId="77777777"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Director of Inclusive Services</w:t>
      </w:r>
    </w:p>
    <w:p w14:paraId="1BC089D8"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14:paraId="4474EE79" w14:textId="77777777"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kara.williams@ode.oregon.gov</w:t>
      </w:r>
    </w:p>
    <w:p w14:paraId="54ED6AFA" w14:textId="77777777" w:rsidR="00FD047C" w:rsidRPr="00ED172B" w:rsidRDefault="00D77E41" w:rsidP="00D77E41">
      <w:pPr>
        <w:autoSpaceDE w:val="0"/>
        <w:autoSpaceDN w:val="0"/>
        <w:adjustRightInd w:val="0"/>
        <w:rPr>
          <w:rFonts w:cs="Arial"/>
          <w:bCs/>
          <w:color w:val="000000" w:themeColor="text1"/>
          <w:szCs w:val="16"/>
        </w:rPr>
      </w:pPr>
      <w:r w:rsidRPr="00ED172B">
        <w:rPr>
          <w:rFonts w:cs="Arial"/>
          <w:b/>
          <w:color w:val="000000" w:themeColor="text1"/>
          <w:szCs w:val="16"/>
        </w:rPr>
        <w:t>Phone:</w:t>
      </w:r>
      <w:r w:rsidR="00781A26" w:rsidRPr="00ED172B">
        <w:rPr>
          <w:rFonts w:cs="Arial"/>
          <w:bCs/>
          <w:color w:val="000000" w:themeColor="text1"/>
          <w:szCs w:val="16"/>
        </w:rPr>
        <w:t xml:space="preserve"> </w:t>
      </w:r>
    </w:p>
    <w:p w14:paraId="332DDC8D" w14:textId="77777777"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503-689-5642</w:t>
      </w:r>
      <w:bookmarkEnd w:id="62"/>
    </w:p>
    <w:p w14:paraId="0172DE00" w14:textId="77777777" w:rsidR="00FD047C" w:rsidRPr="00ED172B" w:rsidRDefault="00FD047C" w:rsidP="00FD047C">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14:paraId="2EBB5222" w14:textId="77777777" w:rsidR="00E74450" w:rsidRDefault="00FD047C" w:rsidP="00FD047C">
      <w:pPr>
        <w:autoSpaceDE w:val="0"/>
        <w:autoSpaceDN w:val="0"/>
        <w:adjustRightInd w:val="0"/>
        <w:rPr>
          <w:rFonts w:cs="Arial"/>
          <w:bCs/>
          <w:color w:val="000000" w:themeColor="text1"/>
          <w:szCs w:val="16"/>
        </w:rPr>
        <w:sectPr w:rsidR="00E74450" w:rsidSect="00E74450">
          <w:type w:val="continuous"/>
          <w:pgSz w:w="12240" w:h="15840"/>
          <w:pgMar w:top="720" w:right="720" w:bottom="720" w:left="720" w:header="0" w:footer="445" w:gutter="0"/>
          <w:cols w:space="720"/>
          <w:docGrid w:linePitch="218"/>
        </w:sectPr>
      </w:pPr>
      <w:r w:rsidRPr="00ED172B">
        <w:rPr>
          <w:rFonts w:cs="Arial"/>
          <w:bCs/>
          <w:color w:val="000000" w:themeColor="text1"/>
          <w:szCs w:val="16"/>
        </w:rPr>
        <w:t>04/17/</w:t>
      </w:r>
      <w:proofErr w:type="gramStart"/>
      <w:r w:rsidRPr="00ED172B">
        <w:rPr>
          <w:rFonts w:cs="Arial"/>
          <w:bCs/>
          <w:color w:val="000000" w:themeColor="text1"/>
          <w:szCs w:val="16"/>
        </w:rPr>
        <w:t>26  1:40:13</w:t>
      </w:r>
      <w:proofErr w:type="gramEnd"/>
      <w:r w:rsidRPr="00ED172B">
        <w:rPr>
          <w:rFonts w:cs="Arial"/>
          <w:bCs/>
          <w:color w:val="000000" w:themeColor="text1"/>
          <w:szCs w:val="16"/>
        </w:rPr>
        <w:t xml:space="preserve"> PM</w:t>
      </w:r>
    </w:p>
    <w:p w14:paraId="634ABBAA" w14:textId="77777777" w:rsidR="00224D8B" w:rsidRDefault="003E037C" w:rsidP="003E037C">
      <w:pPr>
        <w:spacing w:before="0" w:after="200" w:line="276" w:lineRule="auto"/>
        <w:rPr>
          <w:rFonts w:cs="Arial"/>
          <w:bCs/>
          <w:color w:val="000000" w:themeColor="text1"/>
          <w:szCs w:val="16"/>
        </w:rPr>
      </w:pPr>
      <w:r>
        <w:rPr>
          <w:rFonts w:cs="Arial"/>
          <w:bCs/>
          <w:color w:val="000000" w:themeColor="text1"/>
          <w:szCs w:val="16"/>
        </w:rPr>
        <w:br w:type="page"/>
      </w:r>
    </w:p>
    <w:p w14:paraId="450E61E1" w14:textId="77777777" w:rsidR="000135C2" w:rsidRDefault="000135C2" w:rsidP="000135C2">
      <w:pPr>
        <w:pStyle w:val="Heading1"/>
        <w:rPr>
          <w:color w:val="000000" w:themeColor="text1"/>
        </w:rPr>
      </w:pPr>
      <w:r w:rsidRPr="000135C2">
        <w:rPr>
          <w:color w:val="000000" w:themeColor="text1"/>
        </w:rPr>
        <w:lastRenderedPageBreak/>
        <w:t>Determination Enclosures</w:t>
      </w:r>
    </w:p>
    <w:p w14:paraId="53CDD34C" w14:textId="77777777" w:rsidR="00BD55C7" w:rsidRPr="0035538B" w:rsidRDefault="000135C2" w:rsidP="00A255FA">
      <w:pPr>
        <w:pStyle w:val="Heading2"/>
      </w:pPr>
      <w:r w:rsidRPr="000135C2">
        <w:t>RDA Matrix</w:t>
      </w:r>
    </w:p>
    <w:p w14:paraId="1A2FED4B" w14:textId="77777777" w:rsidR="00A255FA" w:rsidRPr="000D7F9F" w:rsidRDefault="00A255FA" w:rsidP="000D7F9F">
      <w:pPr>
        <w:rPr>
          <w:b/>
          <w:bCs/>
          <w:sz w:val="18"/>
          <w:szCs w:val="18"/>
        </w:rPr>
      </w:pPr>
    </w:p>
    <w:p w14:paraId="3BAF1230" w14:textId="77777777" w:rsidR="00A14B29" w:rsidRPr="0035538B" w:rsidRDefault="00A255FA" w:rsidP="00A255FA">
      <w:pPr>
        <w:jc w:val="center"/>
        <w:rPr>
          <w:b/>
          <w:bCs/>
          <w:sz w:val="32"/>
          <w:szCs w:val="32"/>
        </w:rPr>
      </w:pPr>
      <w:r w:rsidRPr="0035538B">
        <w:rPr>
          <w:b/>
          <w:bCs/>
          <w:sz w:val="32"/>
          <w:szCs w:val="32"/>
        </w:rPr>
        <w:t>Oregon</w:t>
      </w:r>
    </w:p>
    <w:p w14:paraId="4659A144" w14:textId="77777777" w:rsidR="000135C2" w:rsidRPr="00824D00" w:rsidRDefault="00A54A87" w:rsidP="000135C2">
      <w:pPr>
        <w:jc w:val="center"/>
        <w:rPr>
          <w:sz w:val="32"/>
          <w:szCs w:val="32"/>
        </w:rPr>
      </w:pPr>
      <w:r>
        <w:rPr>
          <w:sz w:val="32"/>
          <w:szCs w:val="32"/>
        </w:rPr>
        <w:t>2026 Part C Results-Driven Accountability Matrix</w:t>
      </w:r>
    </w:p>
    <w:p w14:paraId="778C81C5" w14:textId="77777777" w:rsidR="000135C2" w:rsidRPr="00210AC6" w:rsidRDefault="000135C2" w:rsidP="000135C2">
      <w:pPr>
        <w:rPr>
          <w:rFonts w:cs="Arial"/>
          <w:b/>
          <w:bCs/>
          <w:szCs w:val="16"/>
        </w:rPr>
      </w:pPr>
      <w:r w:rsidRPr="00210AC6">
        <w:rPr>
          <w:rFonts w:cs="Arial"/>
          <w:b/>
          <w:bCs/>
          <w:szCs w:val="16"/>
        </w:rPr>
        <w:t xml:space="preserve">Results-Driven Accountability Percentage and Determination </w:t>
      </w:r>
      <w:r w:rsidR="00976350" w:rsidRPr="00976350">
        <w:rPr>
          <w:rFonts w:cs="Arial"/>
          <w:szCs w:val="16"/>
        </w:rPr>
        <w:t>(1)</w:t>
      </w:r>
    </w:p>
    <w:tbl>
      <w:tblPr>
        <w:tblStyle w:val="TableGrid1"/>
        <w:tblW w:w="5009" w:type="pct"/>
        <w:tblLook w:val="04A0" w:firstRow="1" w:lastRow="0" w:firstColumn="1" w:lastColumn="0" w:noHBand="0" w:noVBand="1"/>
        <w:tblCaption w:val="CENNSRSTRDACFFYSTAT"/>
      </w:tblPr>
      <w:tblGrid>
        <w:gridCol w:w="5404"/>
        <w:gridCol w:w="5405"/>
      </w:tblGrid>
      <w:tr w:rsidR="000135C2" w:rsidRPr="00210AC6" w14:paraId="33703993" w14:textId="77777777">
        <w:trPr>
          <w:tblHeader/>
        </w:trPr>
        <w:tc>
          <w:tcPr>
            <w:tcW w:w="2500" w:type="pct"/>
          </w:tcPr>
          <w:p w14:paraId="645B5B20" w14:textId="77777777" w:rsidR="000135C2" w:rsidRPr="00210AC6" w:rsidRDefault="000135C2">
            <w:pPr>
              <w:rPr>
                <w:rFonts w:cs="Arial"/>
                <w:b/>
                <w:bCs/>
                <w:szCs w:val="16"/>
              </w:rPr>
            </w:pPr>
            <w:r w:rsidRPr="00210AC6">
              <w:rPr>
                <w:rFonts w:cs="Arial"/>
                <w:b/>
                <w:bCs/>
                <w:szCs w:val="16"/>
              </w:rPr>
              <w:t>Percentage (%)</w:t>
            </w:r>
          </w:p>
        </w:tc>
        <w:tc>
          <w:tcPr>
            <w:tcW w:w="2500" w:type="pct"/>
          </w:tcPr>
          <w:p w14:paraId="1FC3BE82" w14:textId="77777777" w:rsidR="000135C2" w:rsidRPr="00210AC6" w:rsidRDefault="000135C2">
            <w:pPr>
              <w:rPr>
                <w:rFonts w:cs="Arial"/>
                <w:b/>
                <w:bCs/>
                <w:szCs w:val="16"/>
              </w:rPr>
            </w:pPr>
            <w:r w:rsidRPr="00210AC6">
              <w:rPr>
                <w:rFonts w:cs="Arial"/>
                <w:b/>
                <w:bCs/>
                <w:szCs w:val="16"/>
              </w:rPr>
              <w:t>Determination</w:t>
            </w:r>
          </w:p>
        </w:tc>
      </w:tr>
      <w:tr w:rsidR="00EA2984" w:rsidRPr="00210AC6" w14:paraId="37474072" w14:textId="77777777">
        <w:tc>
          <w:tcPr>
            <w:tcW w:w="2500" w:type="pct"/>
          </w:tcPr>
          <w:p w14:paraId="735D86A7" w14:textId="77777777" w:rsidR="00EA2984" w:rsidRPr="00210AC6" w:rsidRDefault="00EA2984" w:rsidP="00EA2984">
            <w:pPr>
              <w:rPr>
                <w:rFonts w:cs="Arial"/>
                <w:szCs w:val="16"/>
              </w:rPr>
            </w:pPr>
            <w:r w:rsidRPr="00E9436C">
              <w:t>87.50%</w:t>
            </w:r>
          </w:p>
        </w:tc>
        <w:tc>
          <w:tcPr>
            <w:tcW w:w="2500" w:type="pct"/>
          </w:tcPr>
          <w:p w14:paraId="6603B518" w14:textId="77777777" w:rsidR="00EA2984" w:rsidRPr="00210AC6" w:rsidRDefault="00EA2984" w:rsidP="00EA2984">
            <w:pPr>
              <w:rPr>
                <w:rFonts w:cs="Arial"/>
                <w:szCs w:val="16"/>
              </w:rPr>
            </w:pPr>
            <w:r w:rsidRPr="00E9436C">
              <w:t>Meets Requirements</w:t>
            </w:r>
          </w:p>
        </w:tc>
      </w:tr>
    </w:tbl>
    <w:p w14:paraId="43803061" w14:textId="77777777" w:rsidR="000135C2" w:rsidRPr="00210AC6" w:rsidRDefault="000135C2" w:rsidP="000135C2">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CENNSRSTCMPCFFYSTAT"/>
      </w:tblPr>
      <w:tblGrid>
        <w:gridCol w:w="2724"/>
        <w:gridCol w:w="2724"/>
        <w:gridCol w:w="2722"/>
        <w:gridCol w:w="2631"/>
      </w:tblGrid>
      <w:tr w:rsidR="000135C2" w:rsidRPr="00210AC6" w14:paraId="5AEA3BB9" w14:textId="77777777" w:rsidTr="005E363D">
        <w:trPr>
          <w:tblHeader/>
        </w:trPr>
        <w:tc>
          <w:tcPr>
            <w:tcW w:w="1261" w:type="pct"/>
          </w:tcPr>
          <w:p w14:paraId="27CCC059" w14:textId="77777777" w:rsidR="000135C2" w:rsidRPr="00210AC6" w:rsidRDefault="00E23C65">
            <w:pPr>
              <w:rPr>
                <w:rFonts w:cs="Arial"/>
                <w:b/>
                <w:bCs/>
                <w:szCs w:val="16"/>
              </w:rPr>
            </w:pPr>
            <w:r>
              <w:rPr>
                <w:rFonts w:cs="Arial"/>
                <w:b/>
                <w:bCs/>
                <w:szCs w:val="16"/>
              </w:rPr>
              <w:t xml:space="preserve">Section </w:t>
            </w:r>
          </w:p>
        </w:tc>
        <w:tc>
          <w:tcPr>
            <w:tcW w:w="1261" w:type="pct"/>
          </w:tcPr>
          <w:p w14:paraId="74FBD844" w14:textId="77777777" w:rsidR="000135C2" w:rsidRPr="00210AC6" w:rsidRDefault="000135C2">
            <w:pPr>
              <w:rPr>
                <w:rFonts w:cs="Arial"/>
                <w:b/>
                <w:bCs/>
                <w:szCs w:val="16"/>
              </w:rPr>
            </w:pPr>
            <w:r w:rsidRPr="00210AC6">
              <w:rPr>
                <w:rFonts w:cs="Arial"/>
                <w:b/>
                <w:bCs/>
                <w:szCs w:val="16"/>
              </w:rPr>
              <w:t>Total Points Available</w:t>
            </w:r>
          </w:p>
        </w:tc>
        <w:tc>
          <w:tcPr>
            <w:tcW w:w="1260" w:type="pct"/>
          </w:tcPr>
          <w:p w14:paraId="7CA4A2E8" w14:textId="77777777" w:rsidR="000135C2" w:rsidRPr="00210AC6" w:rsidRDefault="000135C2">
            <w:pPr>
              <w:rPr>
                <w:rFonts w:cs="Arial"/>
                <w:b/>
                <w:bCs/>
                <w:szCs w:val="16"/>
              </w:rPr>
            </w:pPr>
            <w:r w:rsidRPr="00210AC6">
              <w:rPr>
                <w:rFonts w:cs="Arial"/>
                <w:b/>
                <w:bCs/>
                <w:szCs w:val="16"/>
              </w:rPr>
              <w:t>Points Earned</w:t>
            </w:r>
          </w:p>
        </w:tc>
        <w:tc>
          <w:tcPr>
            <w:tcW w:w="1218" w:type="pct"/>
          </w:tcPr>
          <w:p w14:paraId="530AA860" w14:textId="77777777" w:rsidR="000135C2" w:rsidRPr="00210AC6" w:rsidRDefault="000135C2">
            <w:pPr>
              <w:rPr>
                <w:rFonts w:cs="Arial"/>
                <w:b/>
                <w:bCs/>
                <w:szCs w:val="16"/>
              </w:rPr>
            </w:pPr>
            <w:r w:rsidRPr="00210AC6">
              <w:rPr>
                <w:rFonts w:cs="Arial"/>
                <w:b/>
                <w:bCs/>
                <w:szCs w:val="16"/>
              </w:rPr>
              <w:t>Score (%)</w:t>
            </w:r>
          </w:p>
        </w:tc>
      </w:tr>
      <w:tr w:rsidR="005E363D" w:rsidRPr="00210AC6" w14:paraId="4E2699A6" w14:textId="77777777" w:rsidTr="005E363D">
        <w:tc>
          <w:tcPr>
            <w:tcW w:w="1261" w:type="pct"/>
          </w:tcPr>
          <w:p w14:paraId="670201AB" w14:textId="77777777" w:rsidR="005E363D" w:rsidRPr="00210AC6" w:rsidRDefault="005E363D" w:rsidP="005E363D">
            <w:pPr>
              <w:rPr>
                <w:rFonts w:cs="Arial"/>
                <w:b/>
                <w:bCs/>
                <w:szCs w:val="16"/>
              </w:rPr>
            </w:pPr>
            <w:r w:rsidRPr="00210AC6">
              <w:rPr>
                <w:rFonts w:cs="Arial"/>
                <w:b/>
                <w:bCs/>
                <w:szCs w:val="16"/>
              </w:rPr>
              <w:t>Results</w:t>
            </w:r>
          </w:p>
        </w:tc>
        <w:tc>
          <w:tcPr>
            <w:tcW w:w="1261" w:type="pct"/>
          </w:tcPr>
          <w:p w14:paraId="5306F8AD" w14:textId="77777777" w:rsidR="005E363D" w:rsidRPr="00210AC6" w:rsidRDefault="005E363D" w:rsidP="005E363D">
            <w:pPr>
              <w:rPr>
                <w:rFonts w:cs="Arial"/>
                <w:noProof/>
                <w:szCs w:val="16"/>
              </w:rPr>
            </w:pPr>
            <w:r w:rsidRPr="009E3CB1">
              <w:t>8</w:t>
            </w:r>
          </w:p>
        </w:tc>
        <w:tc>
          <w:tcPr>
            <w:tcW w:w="1260" w:type="pct"/>
          </w:tcPr>
          <w:p w14:paraId="4D7EF2D8" w14:textId="77777777" w:rsidR="005E363D" w:rsidRPr="00210AC6" w:rsidRDefault="005E363D" w:rsidP="005E363D">
            <w:pPr>
              <w:rPr>
                <w:rFonts w:cs="Arial"/>
                <w:szCs w:val="16"/>
              </w:rPr>
            </w:pPr>
            <w:r w:rsidRPr="009E3CB1">
              <w:t>6</w:t>
            </w:r>
          </w:p>
        </w:tc>
        <w:tc>
          <w:tcPr>
            <w:tcW w:w="1218" w:type="pct"/>
          </w:tcPr>
          <w:p w14:paraId="1A3714D3" w14:textId="77777777" w:rsidR="005E363D" w:rsidRPr="00210AC6" w:rsidRDefault="005E363D" w:rsidP="005E363D">
            <w:pPr>
              <w:rPr>
                <w:rFonts w:cs="Arial"/>
                <w:szCs w:val="16"/>
              </w:rPr>
            </w:pPr>
            <w:r w:rsidRPr="009E3CB1">
              <w:t>75.00%</w:t>
            </w:r>
          </w:p>
        </w:tc>
      </w:tr>
      <w:tr w:rsidR="005E363D" w:rsidRPr="00210AC6" w14:paraId="43897629" w14:textId="77777777" w:rsidTr="005E363D">
        <w:tc>
          <w:tcPr>
            <w:tcW w:w="1261" w:type="pct"/>
          </w:tcPr>
          <w:p w14:paraId="39E15B95" w14:textId="77777777" w:rsidR="005E363D" w:rsidRPr="00210AC6" w:rsidRDefault="005E363D" w:rsidP="005E363D">
            <w:pPr>
              <w:rPr>
                <w:rFonts w:cs="Arial"/>
                <w:b/>
                <w:bCs/>
                <w:szCs w:val="16"/>
              </w:rPr>
            </w:pPr>
            <w:r w:rsidRPr="00210AC6">
              <w:rPr>
                <w:rFonts w:cs="Arial"/>
                <w:b/>
                <w:bCs/>
                <w:szCs w:val="16"/>
              </w:rPr>
              <w:t>Compliance</w:t>
            </w:r>
          </w:p>
        </w:tc>
        <w:tc>
          <w:tcPr>
            <w:tcW w:w="1261" w:type="pct"/>
          </w:tcPr>
          <w:p w14:paraId="15833AA6" w14:textId="77777777" w:rsidR="005E363D" w:rsidRPr="00210AC6" w:rsidRDefault="005E363D" w:rsidP="005E363D">
            <w:pPr>
              <w:rPr>
                <w:rFonts w:cs="Arial"/>
                <w:szCs w:val="16"/>
              </w:rPr>
            </w:pPr>
            <w:r w:rsidRPr="009E3CB1">
              <w:t>18</w:t>
            </w:r>
          </w:p>
        </w:tc>
        <w:tc>
          <w:tcPr>
            <w:tcW w:w="1260" w:type="pct"/>
          </w:tcPr>
          <w:p w14:paraId="666DABC6" w14:textId="77777777" w:rsidR="005E363D" w:rsidRPr="00210AC6" w:rsidRDefault="005E363D" w:rsidP="005E363D">
            <w:pPr>
              <w:rPr>
                <w:rFonts w:cs="Arial"/>
                <w:szCs w:val="16"/>
              </w:rPr>
            </w:pPr>
            <w:r w:rsidRPr="009E3CB1">
              <w:t>18</w:t>
            </w:r>
          </w:p>
        </w:tc>
        <w:tc>
          <w:tcPr>
            <w:tcW w:w="1218" w:type="pct"/>
          </w:tcPr>
          <w:p w14:paraId="1863B0FC" w14:textId="77777777" w:rsidR="005E363D" w:rsidRPr="00210AC6" w:rsidRDefault="005E363D" w:rsidP="005E363D">
            <w:pPr>
              <w:rPr>
                <w:rFonts w:cs="Arial"/>
                <w:szCs w:val="16"/>
              </w:rPr>
            </w:pPr>
            <w:r w:rsidRPr="009E3CB1">
              <w:t>100.00%</w:t>
            </w:r>
          </w:p>
        </w:tc>
      </w:tr>
    </w:tbl>
    <w:p w14:paraId="0B86C8BB" w14:textId="77777777" w:rsidR="006362E6" w:rsidRDefault="006362E6" w:rsidP="000135C2">
      <w:pPr>
        <w:rPr>
          <w:rFonts w:cs="Arial"/>
          <w:b/>
          <w:bCs/>
          <w:szCs w:val="16"/>
        </w:rPr>
      </w:pPr>
    </w:p>
    <w:p w14:paraId="4CCF6C80" w14:textId="77777777" w:rsidR="000135C2" w:rsidRDefault="00A54A87" w:rsidP="000135C2">
      <w:pPr>
        <w:rPr>
          <w:rFonts w:cs="Arial"/>
          <w:b/>
          <w:bCs/>
          <w:szCs w:val="16"/>
        </w:rPr>
      </w:pPr>
      <w:r>
        <w:rPr>
          <w:rFonts w:cs="Arial"/>
          <w:b/>
          <w:bCs/>
          <w:szCs w:val="16"/>
        </w:rPr>
        <w:t>2026 Part C Results Matrix</w:t>
      </w:r>
    </w:p>
    <w:p w14:paraId="4C8237AD" w14:textId="77777777" w:rsidR="00E34D8D" w:rsidRPr="00210AC6" w:rsidRDefault="00E34D8D" w:rsidP="000135C2">
      <w:pPr>
        <w:rPr>
          <w:rFonts w:cs="Arial"/>
          <w:b/>
          <w:bCs/>
          <w:szCs w:val="16"/>
        </w:rPr>
      </w:pPr>
    </w:p>
    <w:p w14:paraId="3A9EC522" w14:textId="77777777" w:rsidR="004255C0" w:rsidRPr="004255C0" w:rsidRDefault="004255C0" w:rsidP="004255C0">
      <w:pPr>
        <w:rPr>
          <w:rFonts w:cs="Arial"/>
          <w:b/>
          <w:bCs/>
          <w:szCs w:val="16"/>
        </w:rPr>
      </w:pPr>
      <w:r w:rsidRPr="004255C0">
        <w:rPr>
          <w:rFonts w:cs="Arial"/>
          <w:b/>
          <w:bCs/>
          <w:szCs w:val="16"/>
        </w:rPr>
        <w:t>I. Data Quality</w:t>
      </w:r>
    </w:p>
    <w:p w14:paraId="77FD88A8" w14:textId="77777777" w:rsidR="000135C2" w:rsidRPr="00210AC6" w:rsidRDefault="004255C0" w:rsidP="004255C0">
      <w:pPr>
        <w:rPr>
          <w:rFonts w:cs="Arial"/>
          <w:b/>
          <w:bCs/>
          <w:szCs w:val="16"/>
        </w:rPr>
      </w:pPr>
      <w:r w:rsidRPr="004255C0">
        <w:rPr>
          <w:rFonts w:cs="Arial"/>
          <w:b/>
          <w:bCs/>
          <w:szCs w:val="16"/>
        </w:rPr>
        <w:t>(a) Data Completeness: The percent of children included in your State’s FFY 2024 Outcomes Data (Indicator C3)</w:t>
      </w:r>
    </w:p>
    <w:tbl>
      <w:tblPr>
        <w:tblStyle w:val="TableGrid1"/>
        <w:tblW w:w="5000" w:type="pct"/>
        <w:tblLayout w:type="fixed"/>
        <w:tblLook w:val="04A0" w:firstRow="1" w:lastRow="0" w:firstColumn="1" w:lastColumn="0" w:noHBand="0" w:noVBand="1"/>
        <w:tblCaption w:val="C03CPDQ"/>
      </w:tblPr>
      <w:tblGrid>
        <w:gridCol w:w="8004"/>
        <w:gridCol w:w="2786"/>
      </w:tblGrid>
      <w:tr w:rsidR="0025401C" w:rsidRPr="00210AC6" w14:paraId="1AC7D23B" w14:textId="77777777" w:rsidTr="0025401C">
        <w:trPr>
          <w:trHeight w:val="332"/>
        </w:trPr>
        <w:tc>
          <w:tcPr>
            <w:tcW w:w="3709" w:type="pct"/>
          </w:tcPr>
          <w:p w14:paraId="54709708" w14:textId="77777777" w:rsidR="0025401C" w:rsidRPr="00210AC6" w:rsidRDefault="0025401C" w:rsidP="008B3495">
            <w:pPr>
              <w:rPr>
                <w:rFonts w:cs="Arial"/>
                <w:b/>
                <w:bCs/>
                <w:szCs w:val="16"/>
              </w:rPr>
            </w:pPr>
            <w:r w:rsidRPr="00DC3177">
              <w:t>Number of Children Reported in Indicator C3 (i.e., outcome data)</w:t>
            </w:r>
          </w:p>
        </w:tc>
        <w:tc>
          <w:tcPr>
            <w:tcW w:w="1291" w:type="pct"/>
          </w:tcPr>
          <w:p w14:paraId="7E5EED70" w14:textId="77777777" w:rsidR="0025401C" w:rsidRPr="00210AC6" w:rsidRDefault="0025401C" w:rsidP="008B3495">
            <w:pPr>
              <w:rPr>
                <w:rFonts w:cs="Arial"/>
                <w:szCs w:val="16"/>
              </w:rPr>
            </w:pPr>
            <w:r w:rsidRPr="00CF63C0">
              <w:rPr>
                <w:rFonts w:cs="Arial"/>
                <w:szCs w:val="16"/>
              </w:rPr>
              <w:t>2,880</w:t>
            </w:r>
          </w:p>
        </w:tc>
      </w:tr>
      <w:tr w:rsidR="0025401C" w:rsidRPr="00210AC6" w14:paraId="0EBA1E9C" w14:textId="77777777" w:rsidTr="0025401C">
        <w:trPr>
          <w:trHeight w:val="332"/>
        </w:trPr>
        <w:tc>
          <w:tcPr>
            <w:tcW w:w="3709" w:type="pct"/>
          </w:tcPr>
          <w:p w14:paraId="7ED8F4AD" w14:textId="77777777" w:rsidR="0025401C" w:rsidRPr="00210AC6" w:rsidRDefault="0025401C" w:rsidP="008B3495">
            <w:pPr>
              <w:rPr>
                <w:rFonts w:cs="Arial"/>
                <w:b/>
                <w:bCs/>
                <w:szCs w:val="16"/>
              </w:rPr>
            </w:pPr>
            <w:r w:rsidRPr="00DC3177">
              <w:t>Number of Children Reported Exiting in 618 Data (i.e., 618 exiting data)</w:t>
            </w:r>
          </w:p>
        </w:tc>
        <w:tc>
          <w:tcPr>
            <w:tcW w:w="1291" w:type="pct"/>
          </w:tcPr>
          <w:p w14:paraId="642F897B" w14:textId="77777777" w:rsidR="0025401C" w:rsidRPr="00210AC6" w:rsidRDefault="0025401C" w:rsidP="008B3495">
            <w:pPr>
              <w:rPr>
                <w:rFonts w:cs="Arial"/>
                <w:szCs w:val="16"/>
              </w:rPr>
            </w:pPr>
            <w:r w:rsidRPr="00E9667F">
              <w:rPr>
                <w:rFonts w:cs="Arial"/>
                <w:szCs w:val="16"/>
              </w:rPr>
              <w:t>3,771</w:t>
            </w:r>
          </w:p>
        </w:tc>
      </w:tr>
      <w:tr w:rsidR="0025401C" w:rsidRPr="00210AC6" w14:paraId="57C99D72" w14:textId="77777777" w:rsidTr="0025401C">
        <w:trPr>
          <w:trHeight w:val="278"/>
        </w:trPr>
        <w:tc>
          <w:tcPr>
            <w:tcW w:w="3709" w:type="pct"/>
          </w:tcPr>
          <w:p w14:paraId="153501DE" w14:textId="77777777" w:rsidR="0025401C" w:rsidRPr="00210AC6" w:rsidRDefault="0025401C" w:rsidP="008B3495">
            <w:pPr>
              <w:rPr>
                <w:rFonts w:cs="Arial"/>
                <w:b/>
                <w:bCs/>
                <w:szCs w:val="16"/>
              </w:rPr>
            </w:pPr>
            <w:r w:rsidRPr="00DC3177">
              <w:t>Percentage of Children Exiting who are Included in Outcome Data (%)</w:t>
            </w:r>
          </w:p>
        </w:tc>
        <w:tc>
          <w:tcPr>
            <w:tcW w:w="1291" w:type="pct"/>
          </w:tcPr>
          <w:p w14:paraId="2D956828" w14:textId="77777777" w:rsidR="0025401C" w:rsidRPr="00210AC6" w:rsidRDefault="0025401C" w:rsidP="008B3495">
            <w:pPr>
              <w:rPr>
                <w:rFonts w:cs="Arial"/>
                <w:szCs w:val="16"/>
              </w:rPr>
            </w:pPr>
            <w:r w:rsidRPr="00376AC6">
              <w:rPr>
                <w:rFonts w:cs="Arial"/>
                <w:szCs w:val="16"/>
              </w:rPr>
              <w:t>76.37</w:t>
            </w:r>
          </w:p>
        </w:tc>
      </w:tr>
      <w:tr w:rsidR="0025401C" w:rsidRPr="00210AC6" w14:paraId="34145DB3" w14:textId="77777777" w:rsidTr="0025401C">
        <w:trPr>
          <w:trHeight w:val="242"/>
        </w:trPr>
        <w:tc>
          <w:tcPr>
            <w:tcW w:w="3709" w:type="pct"/>
          </w:tcPr>
          <w:p w14:paraId="6CAA133A" w14:textId="77777777" w:rsidR="0025401C" w:rsidRPr="00210AC6" w:rsidRDefault="0025401C">
            <w:pPr>
              <w:rPr>
                <w:rFonts w:cs="Arial"/>
                <w:b/>
                <w:bCs/>
                <w:szCs w:val="16"/>
              </w:rPr>
            </w:pPr>
            <w:r w:rsidRPr="00083FA7">
              <w:rPr>
                <w:rFonts w:cs="Arial"/>
                <w:b/>
                <w:bCs/>
                <w:szCs w:val="16"/>
              </w:rPr>
              <w:t xml:space="preserve">Data Completeness Score </w:t>
            </w:r>
            <w:r w:rsidR="00976350" w:rsidRPr="009170B4">
              <w:rPr>
                <w:rFonts w:cs="Arial"/>
                <w:szCs w:val="16"/>
              </w:rPr>
              <w:t>(</w:t>
            </w:r>
            <w:r w:rsidR="00976350">
              <w:rPr>
                <w:szCs w:val="16"/>
              </w:rPr>
              <w:t>p</w:t>
            </w:r>
            <w:r w:rsidR="00976350" w:rsidRPr="001D4A43">
              <w:rPr>
                <w:szCs w:val="16"/>
              </w:rPr>
              <w:t>lease see Appendix A for a detailed description of this calculation</w:t>
            </w:r>
            <w:r w:rsidR="00976350">
              <w:rPr>
                <w:szCs w:val="16"/>
              </w:rPr>
              <w:t>)</w:t>
            </w:r>
          </w:p>
        </w:tc>
        <w:tc>
          <w:tcPr>
            <w:tcW w:w="1291" w:type="pct"/>
          </w:tcPr>
          <w:p w14:paraId="53B078BA" w14:textId="77777777" w:rsidR="0025401C" w:rsidRPr="00210AC6" w:rsidRDefault="0025401C">
            <w:pPr>
              <w:rPr>
                <w:rFonts w:cs="Arial"/>
                <w:szCs w:val="16"/>
              </w:rPr>
            </w:pPr>
            <w:r w:rsidRPr="0025401C">
              <w:rPr>
                <w:rFonts w:cs="Arial"/>
                <w:szCs w:val="16"/>
              </w:rPr>
              <w:t>2</w:t>
            </w:r>
          </w:p>
        </w:tc>
      </w:tr>
    </w:tbl>
    <w:p w14:paraId="0C5B659C" w14:textId="77777777" w:rsidR="006362E6" w:rsidRDefault="006362E6" w:rsidP="007C3ED8">
      <w:pPr>
        <w:rPr>
          <w:rFonts w:cs="Arial"/>
          <w:b/>
          <w:bCs/>
          <w:szCs w:val="16"/>
        </w:rPr>
      </w:pPr>
      <w:r w:rsidRPr="004255C0">
        <w:rPr>
          <w:rFonts w:cs="Arial"/>
          <w:b/>
          <w:bCs/>
          <w:szCs w:val="16"/>
        </w:rPr>
        <w:t>(b) Data Anomalies: Anomalies in your State’s FFY 2024 Outcomes Data</w:t>
      </w:r>
    </w:p>
    <w:tbl>
      <w:tblPr>
        <w:tblStyle w:val="TableGrid1"/>
        <w:tblW w:w="5000" w:type="pct"/>
        <w:tblLayout w:type="fixed"/>
        <w:tblLook w:val="04A0" w:firstRow="1" w:lastRow="0" w:firstColumn="1" w:lastColumn="0" w:noHBand="0" w:noVBand="1"/>
        <w:tblCaption w:val="C03ANOMSCRDQ"/>
      </w:tblPr>
      <w:tblGrid>
        <w:gridCol w:w="8004"/>
        <w:gridCol w:w="2786"/>
      </w:tblGrid>
      <w:tr w:rsidR="006362E6" w:rsidRPr="00210AC6" w14:paraId="4A55FCEF" w14:textId="77777777">
        <w:trPr>
          <w:trHeight w:val="242"/>
        </w:trPr>
        <w:tc>
          <w:tcPr>
            <w:tcW w:w="3709" w:type="pct"/>
          </w:tcPr>
          <w:p w14:paraId="2955D363" w14:textId="77777777" w:rsidR="006362E6" w:rsidRPr="00210AC6" w:rsidRDefault="006362E6" w:rsidP="005032AF">
            <w:pPr>
              <w:tabs>
                <w:tab w:val="left" w:pos="2580"/>
              </w:tabs>
              <w:rPr>
                <w:rFonts w:cs="Arial"/>
                <w:b/>
                <w:bCs/>
                <w:szCs w:val="16"/>
              </w:rPr>
            </w:pPr>
            <w:r w:rsidRPr="00083FA7">
              <w:rPr>
                <w:rFonts w:cs="Arial"/>
                <w:b/>
                <w:bCs/>
                <w:szCs w:val="16"/>
              </w:rPr>
              <w:t xml:space="preserve">Data Anomalies Score </w:t>
            </w:r>
            <w:r w:rsidR="00976350" w:rsidRPr="009170B4">
              <w:rPr>
                <w:rFonts w:cs="Arial"/>
                <w:szCs w:val="16"/>
              </w:rPr>
              <w:t>(</w:t>
            </w:r>
            <w:r w:rsidR="00976350">
              <w:rPr>
                <w:szCs w:val="16"/>
              </w:rPr>
              <w:t>p</w:t>
            </w:r>
            <w:r w:rsidR="00976350" w:rsidRPr="001D4A43">
              <w:rPr>
                <w:szCs w:val="16"/>
              </w:rPr>
              <w:t xml:space="preserve">lease see Appendix </w:t>
            </w:r>
            <w:r w:rsidR="00976350">
              <w:rPr>
                <w:szCs w:val="16"/>
              </w:rPr>
              <w:t>B</w:t>
            </w:r>
            <w:r w:rsidR="00976350" w:rsidRPr="001D4A43">
              <w:rPr>
                <w:szCs w:val="16"/>
              </w:rPr>
              <w:t xml:space="preserve"> for a detailed description of this calculation</w:t>
            </w:r>
            <w:r w:rsidR="00976350">
              <w:rPr>
                <w:szCs w:val="16"/>
              </w:rPr>
              <w:t>)</w:t>
            </w:r>
          </w:p>
        </w:tc>
        <w:tc>
          <w:tcPr>
            <w:tcW w:w="1291" w:type="pct"/>
          </w:tcPr>
          <w:p w14:paraId="5C9B3BE7" w14:textId="77777777" w:rsidR="006362E6" w:rsidRPr="00210AC6" w:rsidRDefault="006362E6">
            <w:pPr>
              <w:rPr>
                <w:rFonts w:cs="Arial"/>
                <w:szCs w:val="16"/>
              </w:rPr>
            </w:pPr>
            <w:r w:rsidRPr="0025401C">
              <w:rPr>
                <w:rFonts w:cs="Arial"/>
                <w:szCs w:val="16"/>
              </w:rPr>
              <w:t>2</w:t>
            </w:r>
          </w:p>
        </w:tc>
      </w:tr>
    </w:tbl>
    <w:p w14:paraId="5FD54BDE" w14:textId="77777777" w:rsidR="006362E6" w:rsidRDefault="006362E6" w:rsidP="007C3ED8">
      <w:pPr>
        <w:rPr>
          <w:rFonts w:cs="Arial"/>
          <w:b/>
          <w:bCs/>
          <w:szCs w:val="16"/>
        </w:rPr>
      </w:pPr>
    </w:p>
    <w:p w14:paraId="14CC64D5" w14:textId="77777777" w:rsidR="007C3ED8" w:rsidRPr="007C3ED8" w:rsidRDefault="007C3ED8" w:rsidP="007C3ED8">
      <w:pPr>
        <w:rPr>
          <w:rFonts w:cs="Arial"/>
          <w:b/>
          <w:bCs/>
          <w:szCs w:val="16"/>
        </w:rPr>
      </w:pPr>
      <w:r w:rsidRPr="007C3ED8">
        <w:rPr>
          <w:rFonts w:cs="Arial"/>
          <w:b/>
          <w:bCs/>
          <w:szCs w:val="16"/>
        </w:rPr>
        <w:t>II. Child Performance</w:t>
      </w:r>
    </w:p>
    <w:p w14:paraId="0045096A" w14:textId="77777777" w:rsidR="000135C2" w:rsidRPr="00210AC6" w:rsidRDefault="007C3ED8" w:rsidP="007C3ED8">
      <w:pPr>
        <w:rPr>
          <w:rFonts w:cs="Arial"/>
          <w:b/>
          <w:bCs/>
          <w:szCs w:val="16"/>
        </w:rPr>
      </w:pPr>
      <w:r w:rsidRPr="007C3ED8">
        <w:rPr>
          <w:rFonts w:cs="Arial"/>
          <w:b/>
          <w:bCs/>
          <w:szCs w:val="16"/>
        </w:rPr>
        <w:t>(a) Data Comparison: Comparing your State’s FFY 2024 Outcomes Data to other States’ FFY 2024 Outcomes Data</w:t>
      </w:r>
    </w:p>
    <w:tbl>
      <w:tblPr>
        <w:tblStyle w:val="TableGrid1"/>
        <w:tblW w:w="5000" w:type="pct"/>
        <w:tblLayout w:type="fixed"/>
        <w:tblLook w:val="04A0" w:firstRow="1" w:lastRow="0" w:firstColumn="1" w:lastColumn="0" w:noHBand="0" w:noVBand="1"/>
        <w:tblCaption w:val="C03COMPDQ"/>
      </w:tblPr>
      <w:tblGrid>
        <w:gridCol w:w="8004"/>
        <w:gridCol w:w="2786"/>
      </w:tblGrid>
      <w:tr w:rsidR="007C3ED8" w:rsidRPr="00210AC6" w14:paraId="047C6D4D" w14:textId="77777777">
        <w:trPr>
          <w:trHeight w:val="242"/>
        </w:trPr>
        <w:tc>
          <w:tcPr>
            <w:tcW w:w="3709" w:type="pct"/>
          </w:tcPr>
          <w:p w14:paraId="7386C64D" w14:textId="77777777" w:rsidR="007C3ED8" w:rsidRPr="00210AC6" w:rsidRDefault="007C3ED8">
            <w:pPr>
              <w:rPr>
                <w:rFonts w:cs="Arial"/>
                <w:b/>
                <w:bCs/>
                <w:szCs w:val="16"/>
              </w:rPr>
            </w:pPr>
            <w:r w:rsidRPr="00083FA7">
              <w:rPr>
                <w:rFonts w:cs="Arial"/>
                <w:b/>
                <w:bCs/>
                <w:szCs w:val="16"/>
              </w:rPr>
              <w:t xml:space="preserve">Data Comparison Score </w:t>
            </w:r>
            <w:r w:rsidR="00976350" w:rsidRPr="00B02EBE">
              <w:rPr>
                <w:rFonts w:cs="Arial"/>
                <w:szCs w:val="16"/>
              </w:rPr>
              <w:t>(</w:t>
            </w:r>
            <w:r w:rsidR="00976350">
              <w:rPr>
                <w:szCs w:val="16"/>
              </w:rPr>
              <w:t>p</w:t>
            </w:r>
            <w:r w:rsidR="00976350" w:rsidRPr="001D4A43">
              <w:rPr>
                <w:szCs w:val="16"/>
              </w:rPr>
              <w:t xml:space="preserve">lease see Appendix </w:t>
            </w:r>
            <w:r w:rsidR="00976350">
              <w:rPr>
                <w:szCs w:val="16"/>
              </w:rPr>
              <w:t>C</w:t>
            </w:r>
            <w:r w:rsidR="00976350" w:rsidRPr="001D4A43">
              <w:rPr>
                <w:szCs w:val="16"/>
              </w:rPr>
              <w:t xml:space="preserve"> for a detailed description of this calculation</w:t>
            </w:r>
            <w:r w:rsidR="00976350">
              <w:rPr>
                <w:szCs w:val="16"/>
              </w:rPr>
              <w:t>)</w:t>
            </w:r>
          </w:p>
        </w:tc>
        <w:tc>
          <w:tcPr>
            <w:tcW w:w="1291" w:type="pct"/>
          </w:tcPr>
          <w:p w14:paraId="14726AEB" w14:textId="77777777" w:rsidR="007C3ED8" w:rsidRPr="00210AC6" w:rsidRDefault="002E1B30">
            <w:pPr>
              <w:rPr>
                <w:rFonts w:cs="Arial"/>
                <w:szCs w:val="16"/>
              </w:rPr>
            </w:pPr>
            <w:r w:rsidRPr="002E1B30">
              <w:rPr>
                <w:rFonts w:cs="Arial"/>
                <w:szCs w:val="16"/>
              </w:rPr>
              <w:t>1</w:t>
            </w:r>
          </w:p>
        </w:tc>
      </w:tr>
    </w:tbl>
    <w:p w14:paraId="3479D1BB" w14:textId="77777777" w:rsidR="00E34D8D" w:rsidRDefault="00E34D8D" w:rsidP="00E34D8D">
      <w:pPr>
        <w:rPr>
          <w:rFonts w:cs="Arial"/>
          <w:b/>
          <w:bCs/>
          <w:szCs w:val="16"/>
        </w:rPr>
      </w:pPr>
      <w:r w:rsidRPr="00094EAD">
        <w:rPr>
          <w:rFonts w:cs="Arial"/>
          <w:b/>
          <w:bCs/>
          <w:szCs w:val="16"/>
        </w:rPr>
        <w:t>(b) Performance Change Over Time: Comparing your State’s FFY 2024 data to your State’s FFY 2023 data</w:t>
      </w:r>
    </w:p>
    <w:tbl>
      <w:tblPr>
        <w:tblStyle w:val="TableGrid1"/>
        <w:tblW w:w="5000" w:type="pct"/>
        <w:tblLayout w:type="fixed"/>
        <w:tblLook w:val="04A0" w:firstRow="1" w:lastRow="0" w:firstColumn="1" w:lastColumn="0" w:noHBand="0" w:noVBand="1"/>
        <w:tblCaption w:val="C03PRMDQ"/>
      </w:tblPr>
      <w:tblGrid>
        <w:gridCol w:w="8004"/>
        <w:gridCol w:w="2786"/>
      </w:tblGrid>
      <w:tr w:rsidR="00E34D8D" w:rsidRPr="00210AC6" w14:paraId="61198712" w14:textId="77777777">
        <w:trPr>
          <w:trHeight w:val="242"/>
        </w:trPr>
        <w:tc>
          <w:tcPr>
            <w:tcW w:w="3709" w:type="pct"/>
          </w:tcPr>
          <w:p w14:paraId="406FB399" w14:textId="77777777" w:rsidR="00E34D8D" w:rsidRPr="00210AC6" w:rsidRDefault="00E34D8D">
            <w:pPr>
              <w:rPr>
                <w:rFonts w:cs="Arial"/>
                <w:b/>
                <w:bCs/>
                <w:szCs w:val="16"/>
              </w:rPr>
            </w:pPr>
            <w:r>
              <w:rPr>
                <w:rFonts w:cs="Arial"/>
                <w:b/>
                <w:bCs/>
                <w:szCs w:val="16"/>
              </w:rPr>
              <w:t xml:space="preserve">Performance Change Score </w:t>
            </w:r>
            <w:r w:rsidR="00976350" w:rsidRPr="00B02EBE">
              <w:rPr>
                <w:rFonts w:cs="Arial"/>
                <w:szCs w:val="16"/>
              </w:rPr>
              <w:t>(</w:t>
            </w:r>
            <w:r w:rsidR="00976350">
              <w:rPr>
                <w:szCs w:val="16"/>
              </w:rPr>
              <w:t>p</w:t>
            </w:r>
            <w:r w:rsidR="00976350" w:rsidRPr="001D4A43">
              <w:rPr>
                <w:szCs w:val="16"/>
              </w:rPr>
              <w:t xml:space="preserve">lease see Appendix </w:t>
            </w:r>
            <w:r w:rsidR="00976350">
              <w:rPr>
                <w:szCs w:val="16"/>
              </w:rPr>
              <w:t>D</w:t>
            </w:r>
            <w:r w:rsidR="00976350" w:rsidRPr="001D4A43">
              <w:rPr>
                <w:szCs w:val="16"/>
              </w:rPr>
              <w:t xml:space="preserve"> for a detailed description of this calculation</w:t>
            </w:r>
            <w:r w:rsidR="00976350">
              <w:rPr>
                <w:szCs w:val="16"/>
              </w:rPr>
              <w:t>)</w:t>
            </w:r>
          </w:p>
        </w:tc>
        <w:tc>
          <w:tcPr>
            <w:tcW w:w="1291" w:type="pct"/>
          </w:tcPr>
          <w:p w14:paraId="1849C50F" w14:textId="77777777" w:rsidR="00E34D8D" w:rsidRPr="00210AC6" w:rsidRDefault="00E34D8D">
            <w:pPr>
              <w:rPr>
                <w:rFonts w:cs="Arial"/>
                <w:szCs w:val="16"/>
              </w:rPr>
            </w:pPr>
            <w:r w:rsidRPr="00F83692">
              <w:rPr>
                <w:rFonts w:cs="Arial"/>
                <w:szCs w:val="16"/>
              </w:rPr>
              <w:t>1</w:t>
            </w:r>
          </w:p>
        </w:tc>
      </w:tr>
    </w:tbl>
    <w:p w14:paraId="2B5FA757" w14:textId="77777777" w:rsidR="00E34D8D" w:rsidRPr="00210AC6" w:rsidRDefault="00E34D8D" w:rsidP="000135C2">
      <w:pPr>
        <w:rPr>
          <w:rFonts w:cs="Arial"/>
          <w:b/>
          <w:bCs/>
          <w:szCs w:val="16"/>
        </w:rPr>
      </w:pPr>
    </w:p>
    <w:tbl>
      <w:tblPr>
        <w:tblStyle w:val="TableGrid1"/>
        <w:tblW w:w="5000" w:type="pct"/>
        <w:tblLayout w:type="fixed"/>
        <w:tblLook w:val="04A0" w:firstRow="1" w:lastRow="0" w:firstColumn="1" w:lastColumn="0" w:noHBand="0" w:noVBand="1"/>
        <w:tblCaption w:val="C03SSPDQ"/>
      </w:tblPr>
      <w:tblGrid>
        <w:gridCol w:w="1543"/>
        <w:gridCol w:w="1543"/>
        <w:gridCol w:w="1543"/>
        <w:gridCol w:w="1577"/>
        <w:gridCol w:w="1504"/>
        <w:gridCol w:w="1541"/>
        <w:gridCol w:w="1539"/>
      </w:tblGrid>
      <w:tr w:rsidR="00174585" w:rsidRPr="00210AC6" w14:paraId="01ECC330" w14:textId="77777777" w:rsidTr="00EC51AB">
        <w:trPr>
          <w:tblHeader/>
        </w:trPr>
        <w:tc>
          <w:tcPr>
            <w:tcW w:w="715" w:type="pct"/>
          </w:tcPr>
          <w:p w14:paraId="0FA37A5E" w14:textId="77777777" w:rsidR="00174585" w:rsidRPr="00174585" w:rsidRDefault="00174585" w:rsidP="00174585">
            <w:pPr>
              <w:rPr>
                <w:rFonts w:cs="Arial"/>
                <w:b/>
                <w:bCs/>
                <w:szCs w:val="16"/>
              </w:rPr>
            </w:pPr>
            <w:r w:rsidRPr="00174585">
              <w:rPr>
                <w:b/>
                <w:bCs/>
              </w:rPr>
              <w:t>Summary Statement Performance</w:t>
            </w:r>
          </w:p>
        </w:tc>
        <w:tc>
          <w:tcPr>
            <w:tcW w:w="715" w:type="pct"/>
          </w:tcPr>
          <w:p w14:paraId="0D9A1FC0" w14:textId="77777777" w:rsidR="00174585" w:rsidRPr="00174585" w:rsidRDefault="00174585" w:rsidP="00174585">
            <w:pPr>
              <w:rPr>
                <w:rFonts w:cs="Arial"/>
                <w:b/>
                <w:bCs/>
                <w:szCs w:val="16"/>
              </w:rPr>
            </w:pPr>
            <w:r w:rsidRPr="00174585">
              <w:rPr>
                <w:b/>
                <w:bCs/>
              </w:rPr>
              <w:t>Outcome A: Positive Social Relationships SS1 (%)</w:t>
            </w:r>
          </w:p>
        </w:tc>
        <w:tc>
          <w:tcPr>
            <w:tcW w:w="715" w:type="pct"/>
          </w:tcPr>
          <w:p w14:paraId="6CC0B3AE" w14:textId="77777777" w:rsidR="00174585" w:rsidRPr="00174585" w:rsidRDefault="00174585" w:rsidP="00174585">
            <w:pPr>
              <w:rPr>
                <w:rFonts w:cs="Arial"/>
                <w:b/>
                <w:bCs/>
                <w:szCs w:val="16"/>
              </w:rPr>
            </w:pPr>
            <w:r w:rsidRPr="00174585">
              <w:rPr>
                <w:b/>
                <w:bCs/>
              </w:rPr>
              <w:t>Outcome A: Positive Social Relationships SS2 (%)</w:t>
            </w:r>
          </w:p>
        </w:tc>
        <w:tc>
          <w:tcPr>
            <w:tcW w:w="731" w:type="pct"/>
          </w:tcPr>
          <w:p w14:paraId="37BA1D7C" w14:textId="77777777" w:rsidR="00174585" w:rsidRPr="00174585" w:rsidRDefault="00174585" w:rsidP="00174585">
            <w:pPr>
              <w:rPr>
                <w:rFonts w:cs="Arial"/>
                <w:b/>
                <w:bCs/>
                <w:szCs w:val="16"/>
              </w:rPr>
            </w:pPr>
            <w:r w:rsidRPr="00174585">
              <w:rPr>
                <w:b/>
                <w:bCs/>
              </w:rPr>
              <w:t>Outcome B: Knowledge and Skills SS1 (%)</w:t>
            </w:r>
          </w:p>
        </w:tc>
        <w:tc>
          <w:tcPr>
            <w:tcW w:w="697" w:type="pct"/>
          </w:tcPr>
          <w:p w14:paraId="7A0A00E0" w14:textId="77777777" w:rsidR="00174585" w:rsidRPr="00174585" w:rsidRDefault="00691386" w:rsidP="00174585">
            <w:pPr>
              <w:rPr>
                <w:rFonts w:cs="Arial"/>
                <w:b/>
                <w:bCs/>
                <w:szCs w:val="16"/>
              </w:rPr>
            </w:pPr>
            <w:r>
              <w:rPr>
                <w:b/>
                <w:bCs/>
              </w:rPr>
              <w:t xml:space="preserve">Outcome B: Knowledge and Skills </w:t>
            </w:r>
            <w:r>
              <w:rPr>
                <w:rFonts w:cs="Arial"/>
                <w:b/>
                <w:bCs/>
                <w:szCs w:val="16"/>
              </w:rPr>
              <w:t>SS2 (%)</w:t>
            </w:r>
          </w:p>
        </w:tc>
        <w:tc>
          <w:tcPr>
            <w:tcW w:w="714" w:type="pct"/>
          </w:tcPr>
          <w:p w14:paraId="6CD0819D" w14:textId="77777777" w:rsidR="00174585" w:rsidRPr="00174585" w:rsidRDefault="00174585" w:rsidP="00174585">
            <w:pPr>
              <w:rPr>
                <w:rFonts w:cs="Arial"/>
                <w:b/>
                <w:bCs/>
                <w:szCs w:val="16"/>
              </w:rPr>
            </w:pPr>
            <w:r w:rsidRPr="00174585">
              <w:rPr>
                <w:b/>
                <w:bCs/>
              </w:rPr>
              <w:t>Outcome C: Actions to Meet Needs SS1 (%)</w:t>
            </w:r>
          </w:p>
        </w:tc>
        <w:tc>
          <w:tcPr>
            <w:tcW w:w="713" w:type="pct"/>
          </w:tcPr>
          <w:p w14:paraId="16096823" w14:textId="77777777" w:rsidR="00174585" w:rsidRPr="00174585" w:rsidRDefault="00174585" w:rsidP="00174585">
            <w:pPr>
              <w:rPr>
                <w:rFonts w:cs="Arial"/>
                <w:b/>
                <w:bCs/>
                <w:szCs w:val="16"/>
              </w:rPr>
            </w:pPr>
            <w:r w:rsidRPr="00174585">
              <w:rPr>
                <w:b/>
                <w:bCs/>
              </w:rPr>
              <w:t>Outcome C: Actions to Meet Needs SS2 (%)</w:t>
            </w:r>
          </w:p>
        </w:tc>
      </w:tr>
      <w:tr w:rsidR="00B03B19" w:rsidRPr="00210AC6" w14:paraId="493C2942" w14:textId="77777777" w:rsidTr="00EC51AB">
        <w:tc>
          <w:tcPr>
            <w:tcW w:w="715" w:type="pct"/>
          </w:tcPr>
          <w:p w14:paraId="7308ABF3" w14:textId="77777777" w:rsidR="00B03B19" w:rsidRPr="00A96CE2" w:rsidRDefault="00B03B19" w:rsidP="00B03B19">
            <w:pPr>
              <w:rPr>
                <w:rFonts w:cs="Arial"/>
                <w:b/>
                <w:bCs/>
                <w:szCs w:val="16"/>
              </w:rPr>
            </w:pPr>
            <w:r w:rsidRPr="00A96CE2">
              <w:rPr>
                <w:b/>
                <w:bCs/>
              </w:rPr>
              <w:t xml:space="preserve">FFY 2024 </w:t>
            </w:r>
          </w:p>
        </w:tc>
        <w:tc>
          <w:tcPr>
            <w:tcW w:w="715" w:type="pct"/>
          </w:tcPr>
          <w:p w14:paraId="2EB98D3B" w14:textId="77777777" w:rsidR="00B03B19" w:rsidRPr="00210AC6" w:rsidRDefault="00B03B19" w:rsidP="00B03B19">
            <w:pPr>
              <w:rPr>
                <w:rFonts w:cs="Arial"/>
                <w:szCs w:val="16"/>
              </w:rPr>
            </w:pPr>
            <w:r w:rsidRPr="00A46401">
              <w:t>86.97%</w:t>
            </w:r>
          </w:p>
        </w:tc>
        <w:tc>
          <w:tcPr>
            <w:tcW w:w="715" w:type="pct"/>
          </w:tcPr>
          <w:p w14:paraId="1F6BD5E5" w14:textId="77777777" w:rsidR="00B03B19" w:rsidRPr="00210AC6" w:rsidRDefault="00B03B19" w:rsidP="00B03B19">
            <w:pPr>
              <w:rPr>
                <w:rFonts w:cs="Arial"/>
                <w:szCs w:val="16"/>
              </w:rPr>
            </w:pPr>
            <w:r w:rsidRPr="00A46401">
              <w:t>40.97%</w:t>
            </w:r>
          </w:p>
        </w:tc>
        <w:tc>
          <w:tcPr>
            <w:tcW w:w="731" w:type="pct"/>
          </w:tcPr>
          <w:p w14:paraId="06F97448" w14:textId="77777777" w:rsidR="00B03B19" w:rsidRPr="00210AC6" w:rsidRDefault="00B03B19" w:rsidP="00B03B19">
            <w:pPr>
              <w:rPr>
                <w:rFonts w:cs="Arial"/>
                <w:szCs w:val="16"/>
              </w:rPr>
            </w:pPr>
            <w:r w:rsidRPr="00A46401">
              <w:t>61.03%</w:t>
            </w:r>
          </w:p>
        </w:tc>
        <w:tc>
          <w:tcPr>
            <w:tcW w:w="697" w:type="pct"/>
          </w:tcPr>
          <w:p w14:paraId="2AEEA993" w14:textId="77777777" w:rsidR="00B03B19" w:rsidRPr="00210AC6" w:rsidRDefault="00B03B19" w:rsidP="00B03B19">
            <w:pPr>
              <w:rPr>
                <w:rFonts w:cs="Arial"/>
                <w:szCs w:val="16"/>
              </w:rPr>
            </w:pPr>
            <w:r w:rsidRPr="00A46401">
              <w:t>35.14%</w:t>
            </w:r>
          </w:p>
        </w:tc>
        <w:tc>
          <w:tcPr>
            <w:tcW w:w="714" w:type="pct"/>
          </w:tcPr>
          <w:p w14:paraId="20EC47D1" w14:textId="77777777" w:rsidR="00B03B19" w:rsidRPr="00210AC6" w:rsidRDefault="00B03B19" w:rsidP="00B03B19">
            <w:pPr>
              <w:rPr>
                <w:rFonts w:cs="Arial"/>
                <w:szCs w:val="16"/>
              </w:rPr>
            </w:pPr>
            <w:r w:rsidRPr="00A46401">
              <w:t>71.96%</w:t>
            </w:r>
          </w:p>
        </w:tc>
        <w:tc>
          <w:tcPr>
            <w:tcW w:w="713" w:type="pct"/>
          </w:tcPr>
          <w:p w14:paraId="238BE77B" w14:textId="77777777" w:rsidR="00B03B19" w:rsidRPr="00210AC6" w:rsidRDefault="00B03B19" w:rsidP="00B03B19">
            <w:pPr>
              <w:rPr>
                <w:rFonts w:cs="Arial"/>
                <w:szCs w:val="16"/>
              </w:rPr>
            </w:pPr>
            <w:r w:rsidRPr="00A46401">
              <w:t>34.58%</w:t>
            </w:r>
          </w:p>
        </w:tc>
      </w:tr>
      <w:tr w:rsidR="00A96CE2" w:rsidRPr="00210AC6" w14:paraId="623F4178" w14:textId="77777777" w:rsidTr="00EC51AB">
        <w:tc>
          <w:tcPr>
            <w:tcW w:w="715" w:type="pct"/>
          </w:tcPr>
          <w:p w14:paraId="24079F12" w14:textId="77777777" w:rsidR="00A96CE2" w:rsidRPr="00A96CE2" w:rsidRDefault="00A96CE2" w:rsidP="00A96CE2">
            <w:pPr>
              <w:rPr>
                <w:rFonts w:cs="Arial"/>
                <w:b/>
                <w:bCs/>
                <w:szCs w:val="16"/>
              </w:rPr>
            </w:pPr>
            <w:r w:rsidRPr="00A96CE2">
              <w:rPr>
                <w:b/>
                <w:bCs/>
              </w:rPr>
              <w:t xml:space="preserve">FFY 2023 </w:t>
            </w:r>
          </w:p>
        </w:tc>
        <w:tc>
          <w:tcPr>
            <w:tcW w:w="715" w:type="pct"/>
          </w:tcPr>
          <w:p w14:paraId="536E4410" w14:textId="77777777" w:rsidR="00A96CE2" w:rsidRPr="00210AC6" w:rsidRDefault="00A96CE2" w:rsidP="00A96CE2">
            <w:pPr>
              <w:rPr>
                <w:rFonts w:cs="Arial"/>
                <w:szCs w:val="16"/>
              </w:rPr>
            </w:pPr>
            <w:r w:rsidRPr="00902025">
              <w:t>86.14%</w:t>
            </w:r>
          </w:p>
        </w:tc>
        <w:tc>
          <w:tcPr>
            <w:tcW w:w="715" w:type="pct"/>
          </w:tcPr>
          <w:p w14:paraId="48360170" w14:textId="77777777" w:rsidR="00A96CE2" w:rsidRPr="00210AC6" w:rsidRDefault="00A96CE2" w:rsidP="00A96CE2">
            <w:pPr>
              <w:rPr>
                <w:rFonts w:cs="Arial"/>
                <w:szCs w:val="16"/>
              </w:rPr>
            </w:pPr>
            <w:r w:rsidRPr="00902025">
              <w:t>40.01%</w:t>
            </w:r>
          </w:p>
        </w:tc>
        <w:tc>
          <w:tcPr>
            <w:tcW w:w="731" w:type="pct"/>
          </w:tcPr>
          <w:p w14:paraId="5AE2078B" w14:textId="77777777" w:rsidR="00A96CE2" w:rsidRPr="00210AC6" w:rsidRDefault="00A96CE2" w:rsidP="00A96CE2">
            <w:pPr>
              <w:rPr>
                <w:rFonts w:cs="Arial"/>
                <w:szCs w:val="16"/>
              </w:rPr>
            </w:pPr>
            <w:r w:rsidRPr="00902025">
              <w:t>63.29%</w:t>
            </w:r>
          </w:p>
        </w:tc>
        <w:tc>
          <w:tcPr>
            <w:tcW w:w="697" w:type="pct"/>
          </w:tcPr>
          <w:p w14:paraId="2C4841E1" w14:textId="77777777" w:rsidR="00A96CE2" w:rsidRPr="00210AC6" w:rsidRDefault="00A96CE2" w:rsidP="00A96CE2">
            <w:pPr>
              <w:rPr>
                <w:rFonts w:cs="Arial"/>
                <w:szCs w:val="16"/>
              </w:rPr>
            </w:pPr>
            <w:r w:rsidRPr="00902025">
              <w:t>31.68%</w:t>
            </w:r>
          </w:p>
        </w:tc>
        <w:tc>
          <w:tcPr>
            <w:tcW w:w="714" w:type="pct"/>
          </w:tcPr>
          <w:p w14:paraId="6B141B2B" w14:textId="77777777" w:rsidR="00A96CE2" w:rsidRPr="00210AC6" w:rsidRDefault="00A96CE2" w:rsidP="00A96CE2">
            <w:pPr>
              <w:rPr>
                <w:rFonts w:cs="Arial"/>
                <w:szCs w:val="16"/>
              </w:rPr>
            </w:pPr>
            <w:r w:rsidRPr="00902025">
              <w:t>71.74%</w:t>
            </w:r>
          </w:p>
        </w:tc>
        <w:tc>
          <w:tcPr>
            <w:tcW w:w="713" w:type="pct"/>
          </w:tcPr>
          <w:p w14:paraId="7D6336EE" w14:textId="77777777" w:rsidR="00A96CE2" w:rsidRPr="00210AC6" w:rsidRDefault="00A96CE2" w:rsidP="00A96CE2">
            <w:pPr>
              <w:rPr>
                <w:rFonts w:cs="Arial"/>
                <w:szCs w:val="16"/>
              </w:rPr>
            </w:pPr>
            <w:r w:rsidRPr="00902025">
              <w:t>33.32%</w:t>
            </w:r>
          </w:p>
        </w:tc>
      </w:tr>
    </w:tbl>
    <w:p w14:paraId="2FBF7FEC" w14:textId="77777777" w:rsidR="004A7ECD" w:rsidRDefault="004A7ECD" w:rsidP="000135C2">
      <w:pPr>
        <w:rPr>
          <w:rFonts w:cs="Arial"/>
          <w:b/>
          <w:bCs/>
          <w:szCs w:val="16"/>
        </w:rPr>
      </w:pPr>
    </w:p>
    <w:p w14:paraId="609B46B7" w14:textId="77777777" w:rsidR="004A7ECD" w:rsidRPr="00D731C8" w:rsidRDefault="00976350">
      <w:pPr>
        <w:spacing w:before="0" w:after="200" w:line="276" w:lineRule="auto"/>
        <w:rPr>
          <w:rFonts w:cs="Arial"/>
          <w:b/>
          <w:bCs/>
          <w:szCs w:val="16"/>
        </w:rPr>
      </w:pPr>
      <w:proofErr w:type="gramStart"/>
      <w:r w:rsidRPr="00D731C8">
        <w:rPr>
          <w:b/>
          <w:bCs/>
          <w:szCs w:val="16"/>
        </w:rPr>
        <w:t>(1) For</w:t>
      </w:r>
      <w:proofErr w:type="gramEnd"/>
      <w:r w:rsidRPr="00D731C8">
        <w:rPr>
          <w:b/>
          <w:bCs/>
          <w:szCs w:val="16"/>
        </w:rPr>
        <w:t xml:space="preserve"> a detailed explanation of how the Compliance Score, Results Score, and the Results-Driven Accountability Percentage and Determination were calculated, review "How the Department Made Determinations under Section 616(d) of the </w:t>
      </w:r>
      <w:r w:rsidRPr="00D731C8">
        <w:rPr>
          <w:b/>
          <w:bCs/>
          <w:i/>
          <w:szCs w:val="16"/>
        </w:rPr>
        <w:t>Individuals with Disabilities Education Act</w:t>
      </w:r>
      <w:r w:rsidRPr="00D731C8">
        <w:rPr>
          <w:b/>
          <w:bCs/>
          <w:szCs w:val="16"/>
        </w:rPr>
        <w:t xml:space="preserve"> in </w:t>
      </w:r>
      <w:r w:rsidR="00A54A87">
        <w:rPr>
          <w:b/>
          <w:bCs/>
          <w:szCs w:val="16"/>
        </w:rPr>
        <w:t>2026</w:t>
      </w:r>
      <w:r w:rsidRPr="00D731C8">
        <w:rPr>
          <w:b/>
          <w:bCs/>
          <w:szCs w:val="16"/>
        </w:rPr>
        <w:t xml:space="preserve">: Part </w:t>
      </w:r>
      <w:r w:rsidR="00AB65CA">
        <w:rPr>
          <w:b/>
          <w:bCs/>
          <w:szCs w:val="16"/>
        </w:rPr>
        <w:t>C</w:t>
      </w:r>
      <w:r w:rsidRPr="00D731C8">
        <w:rPr>
          <w:b/>
          <w:bCs/>
          <w:szCs w:val="16"/>
        </w:rPr>
        <w:t>."</w:t>
      </w:r>
      <w:r w:rsidR="004A7ECD" w:rsidRPr="00D731C8">
        <w:rPr>
          <w:rFonts w:cs="Arial"/>
          <w:b/>
          <w:bCs/>
          <w:szCs w:val="16"/>
        </w:rPr>
        <w:br w:type="page"/>
      </w:r>
    </w:p>
    <w:p w14:paraId="3FF4CD59" w14:textId="77777777" w:rsidR="00A14B29" w:rsidRPr="00210AC6" w:rsidRDefault="00A54A87" w:rsidP="000135C2">
      <w:pPr>
        <w:rPr>
          <w:rFonts w:cs="Arial"/>
          <w:b/>
          <w:bCs/>
          <w:szCs w:val="16"/>
        </w:rPr>
      </w:pPr>
      <w:r>
        <w:rPr>
          <w:rFonts w:cs="Arial"/>
          <w:b/>
          <w:bCs/>
          <w:szCs w:val="16"/>
        </w:rPr>
        <w:lastRenderedPageBreak/>
        <w:t>2026 Part C Compliance Matrix</w:t>
      </w:r>
    </w:p>
    <w:tbl>
      <w:tblPr>
        <w:tblStyle w:val="TableGrid1"/>
        <w:tblW w:w="5004" w:type="pct"/>
        <w:tblLayout w:type="fixed"/>
        <w:tblLook w:val="04A0" w:firstRow="1" w:lastRow="0" w:firstColumn="1" w:lastColumn="0" w:noHBand="0" w:noVBand="1"/>
        <w:tblCaption w:val="CENNSRSTCFFYCMP"/>
      </w:tblPr>
      <w:tblGrid>
        <w:gridCol w:w="5408"/>
        <w:gridCol w:w="1797"/>
        <w:gridCol w:w="1797"/>
        <w:gridCol w:w="1797"/>
      </w:tblGrid>
      <w:tr w:rsidR="000135C2" w:rsidRPr="00210AC6" w14:paraId="1E7A67AC" w14:textId="77777777">
        <w:trPr>
          <w:tblHeader/>
        </w:trPr>
        <w:tc>
          <w:tcPr>
            <w:tcW w:w="2504" w:type="pct"/>
          </w:tcPr>
          <w:p w14:paraId="2D769444" w14:textId="77777777" w:rsidR="000135C2" w:rsidRPr="00210AC6" w:rsidRDefault="000135C2">
            <w:pPr>
              <w:rPr>
                <w:rFonts w:cs="Arial"/>
                <w:b/>
                <w:bCs/>
                <w:szCs w:val="16"/>
              </w:rPr>
            </w:pPr>
            <w:r w:rsidRPr="00210AC6">
              <w:rPr>
                <w:rFonts w:cs="Arial"/>
                <w:b/>
                <w:bCs/>
                <w:szCs w:val="16"/>
              </w:rPr>
              <w:t xml:space="preserve">Part C Compliance Indicator </w:t>
            </w:r>
            <w:r w:rsidR="00976350">
              <w:rPr>
                <w:rFonts w:cs="Arial"/>
                <w:szCs w:val="16"/>
              </w:rPr>
              <w:t>(2)</w:t>
            </w:r>
          </w:p>
        </w:tc>
        <w:tc>
          <w:tcPr>
            <w:tcW w:w="832" w:type="pct"/>
          </w:tcPr>
          <w:p w14:paraId="3922D2BD" w14:textId="77777777" w:rsidR="000135C2" w:rsidRPr="00210AC6" w:rsidRDefault="000135C2">
            <w:pPr>
              <w:rPr>
                <w:rFonts w:cs="Arial"/>
                <w:b/>
                <w:bCs/>
                <w:szCs w:val="16"/>
              </w:rPr>
            </w:pPr>
            <w:r w:rsidRPr="00210AC6">
              <w:rPr>
                <w:rFonts w:cs="Arial"/>
                <w:b/>
                <w:bCs/>
                <w:szCs w:val="16"/>
              </w:rPr>
              <w:t xml:space="preserve">Performance (%) </w:t>
            </w:r>
          </w:p>
        </w:tc>
        <w:tc>
          <w:tcPr>
            <w:tcW w:w="832" w:type="pct"/>
          </w:tcPr>
          <w:p w14:paraId="07FB74EE" w14:textId="77777777" w:rsidR="000135C2" w:rsidRPr="00210AC6" w:rsidRDefault="000135C2">
            <w:pPr>
              <w:rPr>
                <w:rFonts w:cs="Arial"/>
                <w:b/>
                <w:bCs/>
                <w:szCs w:val="16"/>
              </w:rPr>
            </w:pPr>
            <w:r w:rsidRPr="00210AC6">
              <w:rPr>
                <w:rFonts w:cs="Arial"/>
                <w:b/>
                <w:bCs/>
                <w:szCs w:val="16"/>
              </w:rPr>
              <w:t xml:space="preserve">Full Correction of Findings of Noncompliance Identified in FFY 2023 </w:t>
            </w:r>
            <w:r w:rsidR="00976350">
              <w:rPr>
                <w:rFonts w:cs="Arial"/>
                <w:szCs w:val="16"/>
              </w:rPr>
              <w:t>(3)</w:t>
            </w:r>
          </w:p>
        </w:tc>
        <w:tc>
          <w:tcPr>
            <w:tcW w:w="832" w:type="pct"/>
          </w:tcPr>
          <w:p w14:paraId="54C180E3" w14:textId="77777777" w:rsidR="000135C2" w:rsidRPr="00210AC6" w:rsidRDefault="000135C2">
            <w:pPr>
              <w:rPr>
                <w:rFonts w:cs="Arial"/>
                <w:b/>
                <w:bCs/>
                <w:szCs w:val="16"/>
              </w:rPr>
            </w:pPr>
            <w:r w:rsidRPr="00210AC6">
              <w:rPr>
                <w:rFonts w:cs="Arial"/>
                <w:b/>
                <w:bCs/>
                <w:szCs w:val="16"/>
              </w:rPr>
              <w:t>Score</w:t>
            </w:r>
          </w:p>
        </w:tc>
      </w:tr>
      <w:tr w:rsidR="00CD6106" w:rsidRPr="00210AC6" w14:paraId="32D93686" w14:textId="77777777">
        <w:tc>
          <w:tcPr>
            <w:tcW w:w="2504" w:type="pct"/>
          </w:tcPr>
          <w:p w14:paraId="58E7F7D7" w14:textId="77777777" w:rsidR="00CD6106" w:rsidRPr="00744585" w:rsidRDefault="00CD6106" w:rsidP="00CD6106">
            <w:pPr>
              <w:rPr>
                <w:rFonts w:cs="Arial"/>
                <w:b/>
                <w:bCs/>
                <w:szCs w:val="16"/>
              </w:rPr>
            </w:pPr>
            <w:r w:rsidRPr="00744585">
              <w:rPr>
                <w:b/>
                <w:bCs/>
              </w:rPr>
              <w:t>Indicator 1: Timely service provision</w:t>
            </w:r>
          </w:p>
        </w:tc>
        <w:tc>
          <w:tcPr>
            <w:tcW w:w="832" w:type="pct"/>
          </w:tcPr>
          <w:p w14:paraId="561BE273" w14:textId="77777777" w:rsidR="00CD6106" w:rsidRPr="00210AC6" w:rsidRDefault="00CD6106" w:rsidP="00CD6106">
            <w:pPr>
              <w:rPr>
                <w:rFonts w:cs="Arial"/>
                <w:szCs w:val="16"/>
              </w:rPr>
            </w:pPr>
            <w:r w:rsidRPr="00507C8C">
              <w:t>97.35%</w:t>
            </w:r>
          </w:p>
        </w:tc>
        <w:tc>
          <w:tcPr>
            <w:tcW w:w="832" w:type="pct"/>
          </w:tcPr>
          <w:p w14:paraId="06CB2C79" w14:textId="77777777" w:rsidR="00CD6106" w:rsidRPr="00210AC6" w:rsidRDefault="00CD6106" w:rsidP="00CD6106">
            <w:pPr>
              <w:rPr>
                <w:rFonts w:cs="Arial"/>
                <w:szCs w:val="16"/>
              </w:rPr>
            </w:pPr>
            <w:r w:rsidRPr="00952E24">
              <w:t>YES</w:t>
            </w:r>
          </w:p>
        </w:tc>
        <w:tc>
          <w:tcPr>
            <w:tcW w:w="832" w:type="pct"/>
          </w:tcPr>
          <w:p w14:paraId="3B75D781" w14:textId="77777777" w:rsidR="00CD6106" w:rsidRPr="00210AC6" w:rsidRDefault="00CD6106" w:rsidP="00CD6106">
            <w:pPr>
              <w:rPr>
                <w:rFonts w:cs="Arial"/>
                <w:szCs w:val="16"/>
              </w:rPr>
            </w:pPr>
            <w:r w:rsidRPr="00A55644">
              <w:t>2</w:t>
            </w:r>
          </w:p>
        </w:tc>
      </w:tr>
      <w:tr w:rsidR="00CD6106" w:rsidRPr="00210AC6" w14:paraId="68BA78AB" w14:textId="77777777">
        <w:tc>
          <w:tcPr>
            <w:tcW w:w="2504" w:type="pct"/>
          </w:tcPr>
          <w:p w14:paraId="520D712B" w14:textId="77777777" w:rsidR="00CD6106" w:rsidRPr="00744585" w:rsidRDefault="00CD6106" w:rsidP="00CD6106">
            <w:pPr>
              <w:rPr>
                <w:rFonts w:cs="Arial"/>
                <w:b/>
                <w:bCs/>
                <w:szCs w:val="16"/>
              </w:rPr>
            </w:pPr>
            <w:r w:rsidRPr="00744585">
              <w:rPr>
                <w:b/>
                <w:bCs/>
              </w:rPr>
              <w:t>Indicator 7: 45-day timeline</w:t>
            </w:r>
          </w:p>
        </w:tc>
        <w:tc>
          <w:tcPr>
            <w:tcW w:w="832" w:type="pct"/>
          </w:tcPr>
          <w:p w14:paraId="68BB6B31" w14:textId="77777777" w:rsidR="00CD6106" w:rsidRPr="00210AC6" w:rsidRDefault="00CD6106" w:rsidP="00CD6106">
            <w:pPr>
              <w:rPr>
                <w:rFonts w:cs="Arial"/>
                <w:szCs w:val="16"/>
              </w:rPr>
            </w:pPr>
            <w:r w:rsidRPr="00507C8C">
              <w:t>97.81%</w:t>
            </w:r>
          </w:p>
        </w:tc>
        <w:tc>
          <w:tcPr>
            <w:tcW w:w="832" w:type="pct"/>
          </w:tcPr>
          <w:p w14:paraId="790C1834" w14:textId="77777777" w:rsidR="00CD6106" w:rsidRPr="00210AC6" w:rsidRDefault="00CD6106" w:rsidP="00CD6106">
            <w:pPr>
              <w:rPr>
                <w:rFonts w:cs="Arial"/>
                <w:szCs w:val="16"/>
              </w:rPr>
            </w:pPr>
            <w:r w:rsidRPr="00952E24">
              <w:t>YES</w:t>
            </w:r>
          </w:p>
        </w:tc>
        <w:tc>
          <w:tcPr>
            <w:tcW w:w="832" w:type="pct"/>
          </w:tcPr>
          <w:p w14:paraId="60098830" w14:textId="77777777" w:rsidR="00CD6106" w:rsidRPr="00210AC6" w:rsidRDefault="00CD6106" w:rsidP="00CD6106">
            <w:pPr>
              <w:rPr>
                <w:rFonts w:cs="Arial"/>
                <w:szCs w:val="16"/>
              </w:rPr>
            </w:pPr>
            <w:r w:rsidRPr="00A55644">
              <w:t>2</w:t>
            </w:r>
          </w:p>
        </w:tc>
      </w:tr>
      <w:tr w:rsidR="00CD6106" w:rsidRPr="00210AC6" w14:paraId="7CA5A2FF" w14:textId="77777777">
        <w:tc>
          <w:tcPr>
            <w:tcW w:w="2504" w:type="pct"/>
          </w:tcPr>
          <w:p w14:paraId="54B43327" w14:textId="77777777" w:rsidR="00CD6106" w:rsidRPr="00744585" w:rsidRDefault="00CD6106" w:rsidP="00CD6106">
            <w:pPr>
              <w:rPr>
                <w:rFonts w:cs="Arial"/>
                <w:b/>
                <w:bCs/>
                <w:szCs w:val="16"/>
              </w:rPr>
            </w:pPr>
            <w:r w:rsidRPr="00744585">
              <w:rPr>
                <w:b/>
                <w:bCs/>
              </w:rPr>
              <w:t>Indicator 8A: Timely transition plan</w:t>
            </w:r>
          </w:p>
        </w:tc>
        <w:tc>
          <w:tcPr>
            <w:tcW w:w="832" w:type="pct"/>
          </w:tcPr>
          <w:p w14:paraId="201B42C0" w14:textId="77777777" w:rsidR="00CD6106" w:rsidRPr="00210AC6" w:rsidRDefault="00CD6106" w:rsidP="00CD6106">
            <w:pPr>
              <w:rPr>
                <w:rFonts w:cs="Arial"/>
                <w:szCs w:val="16"/>
              </w:rPr>
            </w:pPr>
            <w:r w:rsidRPr="00507C8C">
              <w:t>92.11%</w:t>
            </w:r>
          </w:p>
        </w:tc>
        <w:tc>
          <w:tcPr>
            <w:tcW w:w="832" w:type="pct"/>
          </w:tcPr>
          <w:p w14:paraId="50DC8296" w14:textId="77777777" w:rsidR="00CD6106" w:rsidRPr="00210AC6" w:rsidRDefault="00CD6106" w:rsidP="00CD6106">
            <w:pPr>
              <w:rPr>
                <w:rFonts w:cs="Arial"/>
                <w:szCs w:val="16"/>
              </w:rPr>
            </w:pPr>
            <w:r w:rsidRPr="00952E24">
              <w:t>YES</w:t>
            </w:r>
          </w:p>
        </w:tc>
        <w:tc>
          <w:tcPr>
            <w:tcW w:w="832" w:type="pct"/>
          </w:tcPr>
          <w:p w14:paraId="368A8F3B" w14:textId="77777777" w:rsidR="00CD6106" w:rsidRPr="00210AC6" w:rsidRDefault="00CD6106" w:rsidP="00CD6106">
            <w:pPr>
              <w:rPr>
                <w:rFonts w:cs="Arial"/>
                <w:szCs w:val="16"/>
              </w:rPr>
            </w:pPr>
            <w:r w:rsidRPr="00A55644">
              <w:t>2</w:t>
            </w:r>
          </w:p>
        </w:tc>
      </w:tr>
      <w:tr w:rsidR="00CD6106" w:rsidRPr="00210AC6" w14:paraId="77B4BA7D" w14:textId="77777777">
        <w:tc>
          <w:tcPr>
            <w:tcW w:w="2504" w:type="pct"/>
          </w:tcPr>
          <w:p w14:paraId="796B054C" w14:textId="77777777" w:rsidR="00CD6106" w:rsidRPr="00744585" w:rsidRDefault="00CD6106" w:rsidP="00CD6106">
            <w:pPr>
              <w:rPr>
                <w:rFonts w:cs="Arial"/>
                <w:b/>
                <w:bCs/>
                <w:szCs w:val="16"/>
              </w:rPr>
            </w:pPr>
            <w:r w:rsidRPr="00744585">
              <w:rPr>
                <w:b/>
                <w:bCs/>
              </w:rPr>
              <w:t>Indicator 8B: Transition notification</w:t>
            </w:r>
          </w:p>
        </w:tc>
        <w:tc>
          <w:tcPr>
            <w:tcW w:w="832" w:type="pct"/>
          </w:tcPr>
          <w:p w14:paraId="19B72DC5" w14:textId="77777777" w:rsidR="00CD6106" w:rsidRPr="00210AC6" w:rsidRDefault="00CD6106" w:rsidP="00CD6106">
            <w:pPr>
              <w:rPr>
                <w:rFonts w:cs="Arial"/>
                <w:szCs w:val="16"/>
              </w:rPr>
            </w:pPr>
            <w:r w:rsidRPr="00507C8C">
              <w:t>100.00%</w:t>
            </w:r>
          </w:p>
        </w:tc>
        <w:tc>
          <w:tcPr>
            <w:tcW w:w="832" w:type="pct"/>
          </w:tcPr>
          <w:p w14:paraId="2363AD78" w14:textId="77777777" w:rsidR="00CD6106" w:rsidRPr="00210AC6" w:rsidRDefault="00CD6106" w:rsidP="00CD6106">
            <w:pPr>
              <w:rPr>
                <w:rFonts w:cs="Arial"/>
                <w:szCs w:val="16"/>
              </w:rPr>
            </w:pPr>
            <w:r w:rsidRPr="00952E24">
              <w:t>N/A</w:t>
            </w:r>
          </w:p>
        </w:tc>
        <w:tc>
          <w:tcPr>
            <w:tcW w:w="832" w:type="pct"/>
          </w:tcPr>
          <w:p w14:paraId="42029256" w14:textId="77777777" w:rsidR="00CD6106" w:rsidRPr="00210AC6" w:rsidRDefault="00CD6106" w:rsidP="00CD6106">
            <w:pPr>
              <w:rPr>
                <w:rFonts w:cs="Arial"/>
                <w:szCs w:val="16"/>
              </w:rPr>
            </w:pPr>
            <w:r w:rsidRPr="00A55644">
              <w:t>2</w:t>
            </w:r>
          </w:p>
        </w:tc>
      </w:tr>
      <w:tr w:rsidR="00CD6106" w:rsidRPr="00210AC6" w14:paraId="08F4D177" w14:textId="77777777">
        <w:tc>
          <w:tcPr>
            <w:tcW w:w="2504" w:type="pct"/>
          </w:tcPr>
          <w:p w14:paraId="6B635806" w14:textId="77777777" w:rsidR="00CD6106" w:rsidRPr="00744585" w:rsidRDefault="00CD6106" w:rsidP="00CD6106">
            <w:pPr>
              <w:rPr>
                <w:rFonts w:cs="Arial"/>
                <w:b/>
                <w:bCs/>
                <w:szCs w:val="16"/>
              </w:rPr>
            </w:pPr>
            <w:r w:rsidRPr="00744585">
              <w:rPr>
                <w:b/>
                <w:bCs/>
              </w:rPr>
              <w:t>Indicator 8C: Timely transition conference</w:t>
            </w:r>
          </w:p>
        </w:tc>
        <w:tc>
          <w:tcPr>
            <w:tcW w:w="832" w:type="pct"/>
          </w:tcPr>
          <w:p w14:paraId="5D34DFE1" w14:textId="77777777" w:rsidR="00CD6106" w:rsidRPr="00210AC6" w:rsidRDefault="00CD6106" w:rsidP="00CD6106">
            <w:pPr>
              <w:rPr>
                <w:rFonts w:cs="Arial"/>
                <w:szCs w:val="16"/>
              </w:rPr>
            </w:pPr>
            <w:r w:rsidRPr="00507C8C">
              <w:t>91.45%</w:t>
            </w:r>
          </w:p>
        </w:tc>
        <w:tc>
          <w:tcPr>
            <w:tcW w:w="832" w:type="pct"/>
          </w:tcPr>
          <w:p w14:paraId="507DA4C3" w14:textId="77777777" w:rsidR="00CD6106" w:rsidRPr="00210AC6" w:rsidRDefault="00CD6106" w:rsidP="00CD6106">
            <w:pPr>
              <w:rPr>
                <w:rFonts w:cs="Arial"/>
                <w:szCs w:val="16"/>
              </w:rPr>
            </w:pPr>
            <w:r w:rsidRPr="00952E24">
              <w:t>YES</w:t>
            </w:r>
          </w:p>
        </w:tc>
        <w:tc>
          <w:tcPr>
            <w:tcW w:w="832" w:type="pct"/>
          </w:tcPr>
          <w:p w14:paraId="7F26A780" w14:textId="77777777" w:rsidR="00CD6106" w:rsidRPr="00210AC6" w:rsidRDefault="00CD6106" w:rsidP="00CD6106">
            <w:pPr>
              <w:rPr>
                <w:rFonts w:cs="Arial"/>
                <w:szCs w:val="16"/>
              </w:rPr>
            </w:pPr>
            <w:r w:rsidRPr="00A55644">
              <w:t>2</w:t>
            </w:r>
          </w:p>
        </w:tc>
      </w:tr>
      <w:tr w:rsidR="0090361C" w:rsidRPr="00210AC6" w14:paraId="0EF1C84F" w14:textId="77777777">
        <w:tc>
          <w:tcPr>
            <w:tcW w:w="2504" w:type="pct"/>
          </w:tcPr>
          <w:p w14:paraId="33146E5D" w14:textId="77777777" w:rsidR="0090361C" w:rsidRPr="00744585" w:rsidRDefault="0090361C" w:rsidP="0090361C">
            <w:pPr>
              <w:rPr>
                <w:b/>
                <w:bCs/>
              </w:rPr>
            </w:pPr>
            <w:r>
              <w:rPr>
                <w:rFonts w:cs="Arial"/>
                <w:b/>
                <w:bCs/>
                <w:szCs w:val="16"/>
              </w:rPr>
              <w:t>Indicator 12: General Supervision</w:t>
            </w:r>
          </w:p>
        </w:tc>
        <w:tc>
          <w:tcPr>
            <w:tcW w:w="832" w:type="pct"/>
          </w:tcPr>
          <w:p w14:paraId="31DABF1A" w14:textId="77777777" w:rsidR="0090361C" w:rsidRPr="00507C8C" w:rsidRDefault="0090361C" w:rsidP="0090361C">
            <w:r w:rsidRPr="00210AC6">
              <w:rPr>
                <w:rFonts w:cs="Arial"/>
                <w:szCs w:val="16"/>
              </w:rPr>
              <w:t>100</w:t>
            </w:r>
          </w:p>
        </w:tc>
        <w:tc>
          <w:tcPr>
            <w:tcW w:w="832" w:type="pct"/>
          </w:tcPr>
          <w:p w14:paraId="2FE20FB4" w14:textId="77777777" w:rsidR="0090361C" w:rsidRPr="00952E24" w:rsidRDefault="0090361C" w:rsidP="0090361C">
            <w:r w:rsidRPr="00210AC6">
              <w:rPr>
                <w:rFonts w:cs="Arial"/>
                <w:szCs w:val="16"/>
              </w:rPr>
              <w:t>YES</w:t>
            </w:r>
          </w:p>
        </w:tc>
        <w:tc>
          <w:tcPr>
            <w:tcW w:w="832" w:type="pct"/>
          </w:tcPr>
          <w:p w14:paraId="0E813C44" w14:textId="77777777" w:rsidR="0090361C" w:rsidRPr="00A55644" w:rsidRDefault="0090361C" w:rsidP="0090361C">
            <w:r w:rsidRPr="00210AC6">
              <w:rPr>
                <w:rFonts w:cs="Arial"/>
                <w:szCs w:val="16"/>
              </w:rPr>
              <w:t>2</w:t>
            </w:r>
          </w:p>
        </w:tc>
      </w:tr>
      <w:tr w:rsidR="00CD6106" w:rsidRPr="00210AC6" w14:paraId="1CA86982" w14:textId="77777777" w:rsidTr="00CD6106">
        <w:tc>
          <w:tcPr>
            <w:tcW w:w="2504" w:type="pct"/>
          </w:tcPr>
          <w:p w14:paraId="6C9E3CBD" w14:textId="77777777" w:rsidR="00CD6106" w:rsidRPr="00744585" w:rsidRDefault="00CD6106" w:rsidP="00CD6106">
            <w:pPr>
              <w:rPr>
                <w:rFonts w:cs="Arial"/>
                <w:b/>
                <w:bCs/>
                <w:szCs w:val="16"/>
              </w:rPr>
            </w:pPr>
            <w:r w:rsidRPr="00744585">
              <w:rPr>
                <w:b/>
                <w:bCs/>
              </w:rPr>
              <w:t>Timely and Accurate State-Reported Data</w:t>
            </w:r>
          </w:p>
        </w:tc>
        <w:tc>
          <w:tcPr>
            <w:tcW w:w="832" w:type="pct"/>
          </w:tcPr>
          <w:p w14:paraId="0D8D07CA" w14:textId="77777777" w:rsidR="00CD6106" w:rsidRPr="00210AC6" w:rsidRDefault="00CD6106" w:rsidP="00CD6106">
            <w:pPr>
              <w:rPr>
                <w:rFonts w:cs="Arial"/>
                <w:szCs w:val="16"/>
              </w:rPr>
            </w:pPr>
            <w:r w:rsidRPr="00507C8C">
              <w:t>100.00%</w:t>
            </w:r>
          </w:p>
        </w:tc>
        <w:tc>
          <w:tcPr>
            <w:tcW w:w="832" w:type="pct"/>
            <w:shd w:val="clear" w:color="auto" w:fill="BFBFBF" w:themeFill="background1" w:themeFillShade="BF"/>
          </w:tcPr>
          <w:p w14:paraId="76707DDC" w14:textId="77777777" w:rsidR="00CD6106" w:rsidRPr="00210AC6" w:rsidRDefault="00CD6106" w:rsidP="00CD6106">
            <w:pPr>
              <w:rPr>
                <w:rFonts w:cs="Arial"/>
                <w:szCs w:val="16"/>
              </w:rPr>
            </w:pPr>
          </w:p>
        </w:tc>
        <w:tc>
          <w:tcPr>
            <w:tcW w:w="832" w:type="pct"/>
          </w:tcPr>
          <w:p w14:paraId="54996AF0" w14:textId="77777777" w:rsidR="00CD6106" w:rsidRPr="00210AC6" w:rsidRDefault="00CD6106" w:rsidP="00CD6106">
            <w:pPr>
              <w:rPr>
                <w:rFonts w:cs="Arial"/>
                <w:szCs w:val="16"/>
              </w:rPr>
            </w:pPr>
            <w:r w:rsidRPr="00A55644">
              <w:t>2</w:t>
            </w:r>
          </w:p>
        </w:tc>
      </w:tr>
      <w:tr w:rsidR="00CD6106" w:rsidRPr="00210AC6" w14:paraId="0FC25E6C" w14:textId="77777777" w:rsidTr="00CD6106">
        <w:tc>
          <w:tcPr>
            <w:tcW w:w="2504" w:type="pct"/>
          </w:tcPr>
          <w:p w14:paraId="03E45E6C" w14:textId="77777777" w:rsidR="00CD6106" w:rsidRPr="00744585" w:rsidRDefault="00CD6106" w:rsidP="00CD6106">
            <w:pPr>
              <w:rPr>
                <w:rFonts w:cs="Arial"/>
                <w:b/>
                <w:bCs/>
                <w:szCs w:val="16"/>
              </w:rPr>
            </w:pPr>
            <w:r w:rsidRPr="00744585">
              <w:rPr>
                <w:b/>
                <w:bCs/>
              </w:rPr>
              <w:t>Timely State Complaint Decisions</w:t>
            </w:r>
          </w:p>
        </w:tc>
        <w:tc>
          <w:tcPr>
            <w:tcW w:w="832" w:type="pct"/>
          </w:tcPr>
          <w:p w14:paraId="6B06FF91" w14:textId="77777777" w:rsidR="00CD6106" w:rsidRPr="00210AC6" w:rsidRDefault="00CD6106" w:rsidP="00CD6106">
            <w:pPr>
              <w:rPr>
                <w:rFonts w:cs="Arial"/>
                <w:szCs w:val="16"/>
              </w:rPr>
            </w:pPr>
            <w:r w:rsidRPr="00507C8C">
              <w:t>100.00%</w:t>
            </w:r>
          </w:p>
        </w:tc>
        <w:tc>
          <w:tcPr>
            <w:tcW w:w="832" w:type="pct"/>
            <w:shd w:val="clear" w:color="auto" w:fill="BFBFBF" w:themeFill="background1" w:themeFillShade="BF"/>
          </w:tcPr>
          <w:p w14:paraId="06874F92" w14:textId="77777777" w:rsidR="00CD6106" w:rsidRPr="00210AC6" w:rsidRDefault="00CD6106" w:rsidP="00CD6106">
            <w:pPr>
              <w:rPr>
                <w:rFonts w:cs="Arial"/>
                <w:szCs w:val="16"/>
              </w:rPr>
            </w:pPr>
          </w:p>
        </w:tc>
        <w:tc>
          <w:tcPr>
            <w:tcW w:w="832" w:type="pct"/>
          </w:tcPr>
          <w:p w14:paraId="10044B1D" w14:textId="77777777" w:rsidR="00CD6106" w:rsidRPr="00210AC6" w:rsidRDefault="00CD6106" w:rsidP="00CD6106">
            <w:pPr>
              <w:rPr>
                <w:rFonts w:cs="Arial"/>
                <w:szCs w:val="16"/>
              </w:rPr>
            </w:pPr>
            <w:r w:rsidRPr="00A55644">
              <w:t>2</w:t>
            </w:r>
          </w:p>
        </w:tc>
      </w:tr>
      <w:tr w:rsidR="00CD6106" w:rsidRPr="00210AC6" w14:paraId="21D14B8D" w14:textId="77777777" w:rsidTr="00CD6106">
        <w:tc>
          <w:tcPr>
            <w:tcW w:w="2504" w:type="pct"/>
          </w:tcPr>
          <w:p w14:paraId="2EAD0245" w14:textId="77777777" w:rsidR="00CD6106" w:rsidRPr="00744585" w:rsidRDefault="00CD6106" w:rsidP="00CD6106">
            <w:pPr>
              <w:rPr>
                <w:rFonts w:cs="Arial"/>
                <w:b/>
                <w:bCs/>
                <w:szCs w:val="16"/>
              </w:rPr>
            </w:pPr>
            <w:r w:rsidRPr="00744585">
              <w:rPr>
                <w:b/>
                <w:bCs/>
              </w:rPr>
              <w:t>Timely Due Process Hearing Decisions</w:t>
            </w:r>
          </w:p>
        </w:tc>
        <w:tc>
          <w:tcPr>
            <w:tcW w:w="832" w:type="pct"/>
          </w:tcPr>
          <w:p w14:paraId="3E3CCAE9" w14:textId="77777777" w:rsidR="00CD6106" w:rsidRPr="00210AC6" w:rsidRDefault="00CD6106" w:rsidP="00CD6106">
            <w:pPr>
              <w:rPr>
                <w:rFonts w:cs="Arial"/>
                <w:szCs w:val="16"/>
              </w:rPr>
            </w:pPr>
            <w:r w:rsidRPr="00507C8C">
              <w:t>N/A</w:t>
            </w:r>
          </w:p>
        </w:tc>
        <w:tc>
          <w:tcPr>
            <w:tcW w:w="832" w:type="pct"/>
            <w:shd w:val="clear" w:color="auto" w:fill="BFBFBF" w:themeFill="background1" w:themeFillShade="BF"/>
          </w:tcPr>
          <w:p w14:paraId="3D412F2D" w14:textId="77777777" w:rsidR="00CD6106" w:rsidRPr="00210AC6" w:rsidRDefault="00CD6106" w:rsidP="00CD6106">
            <w:pPr>
              <w:rPr>
                <w:rFonts w:cs="Arial"/>
                <w:szCs w:val="16"/>
              </w:rPr>
            </w:pPr>
          </w:p>
        </w:tc>
        <w:tc>
          <w:tcPr>
            <w:tcW w:w="832" w:type="pct"/>
          </w:tcPr>
          <w:p w14:paraId="08BBA5B8" w14:textId="77777777" w:rsidR="00CD6106" w:rsidRPr="00210AC6" w:rsidRDefault="00CD6106" w:rsidP="00CD6106">
            <w:pPr>
              <w:rPr>
                <w:rFonts w:cs="Arial"/>
                <w:szCs w:val="16"/>
              </w:rPr>
            </w:pPr>
            <w:r w:rsidRPr="00A55644">
              <w:t>N/A</w:t>
            </w:r>
          </w:p>
        </w:tc>
      </w:tr>
      <w:tr w:rsidR="00CD6106" w:rsidRPr="00210AC6" w14:paraId="06895E8D" w14:textId="77777777" w:rsidTr="00CD6106">
        <w:tc>
          <w:tcPr>
            <w:tcW w:w="2504" w:type="pct"/>
          </w:tcPr>
          <w:p w14:paraId="754C338A" w14:textId="77777777" w:rsidR="00CD6106" w:rsidRPr="00744585" w:rsidRDefault="00CD6106" w:rsidP="00CD6106">
            <w:pPr>
              <w:rPr>
                <w:rFonts w:cs="Arial"/>
                <w:b/>
                <w:bCs/>
                <w:szCs w:val="16"/>
              </w:rPr>
            </w:pPr>
            <w:r w:rsidRPr="00744585">
              <w:rPr>
                <w:b/>
                <w:bCs/>
              </w:rPr>
              <w:t>Longstanding Noncompliance</w:t>
            </w:r>
          </w:p>
        </w:tc>
        <w:tc>
          <w:tcPr>
            <w:tcW w:w="832" w:type="pct"/>
            <w:shd w:val="clear" w:color="auto" w:fill="BFBFBF" w:themeFill="background1" w:themeFillShade="BF"/>
          </w:tcPr>
          <w:p w14:paraId="076234BD" w14:textId="77777777" w:rsidR="00CD6106" w:rsidRPr="00210AC6" w:rsidRDefault="00CD6106" w:rsidP="00CD6106">
            <w:pPr>
              <w:rPr>
                <w:rFonts w:cs="Arial"/>
                <w:szCs w:val="16"/>
              </w:rPr>
            </w:pPr>
          </w:p>
        </w:tc>
        <w:tc>
          <w:tcPr>
            <w:tcW w:w="832" w:type="pct"/>
            <w:shd w:val="clear" w:color="auto" w:fill="BFBFBF" w:themeFill="background1" w:themeFillShade="BF"/>
          </w:tcPr>
          <w:p w14:paraId="5D8DF706" w14:textId="77777777" w:rsidR="00CD6106" w:rsidRPr="00210AC6" w:rsidRDefault="00CD6106" w:rsidP="00CD6106">
            <w:pPr>
              <w:rPr>
                <w:rFonts w:cs="Arial"/>
                <w:szCs w:val="16"/>
              </w:rPr>
            </w:pPr>
          </w:p>
        </w:tc>
        <w:tc>
          <w:tcPr>
            <w:tcW w:w="832" w:type="pct"/>
          </w:tcPr>
          <w:p w14:paraId="2A4A7C25" w14:textId="77777777" w:rsidR="00CD6106" w:rsidRPr="00210AC6" w:rsidRDefault="00CD6106" w:rsidP="00CD6106">
            <w:pPr>
              <w:rPr>
                <w:rFonts w:cs="Arial"/>
                <w:szCs w:val="16"/>
              </w:rPr>
            </w:pPr>
            <w:r w:rsidRPr="00A55644">
              <w:t>2</w:t>
            </w:r>
          </w:p>
        </w:tc>
      </w:tr>
      <w:tr w:rsidR="00D37150" w:rsidRPr="00210AC6" w14:paraId="6CDD5E0C" w14:textId="77777777" w:rsidTr="00CD6106">
        <w:tc>
          <w:tcPr>
            <w:tcW w:w="2504" w:type="pct"/>
          </w:tcPr>
          <w:p w14:paraId="5EFD0928" w14:textId="77777777" w:rsidR="00D37150" w:rsidRPr="00744585" w:rsidRDefault="00A1023C" w:rsidP="00CC7B98">
            <w:pPr>
              <w:ind w:left="720"/>
              <w:rPr>
                <w:rFonts w:cs="Arial"/>
                <w:b/>
                <w:bCs/>
                <w:szCs w:val="16"/>
              </w:rPr>
            </w:pPr>
            <w:r>
              <w:rPr>
                <w:b/>
                <w:bCs/>
              </w:rPr>
              <w:t>Programmatic Specific Conditions</w:t>
            </w:r>
          </w:p>
        </w:tc>
        <w:tc>
          <w:tcPr>
            <w:tcW w:w="832" w:type="pct"/>
          </w:tcPr>
          <w:p w14:paraId="2C553DBE" w14:textId="77777777" w:rsidR="00D37150" w:rsidRPr="00210AC6" w:rsidRDefault="00D37150" w:rsidP="00D37150">
            <w:pPr>
              <w:rPr>
                <w:rFonts w:cs="Arial"/>
                <w:szCs w:val="16"/>
              </w:rPr>
            </w:pPr>
            <w:r w:rsidRPr="003511D1">
              <w:t>None</w:t>
            </w:r>
          </w:p>
        </w:tc>
        <w:tc>
          <w:tcPr>
            <w:tcW w:w="832" w:type="pct"/>
            <w:shd w:val="clear" w:color="auto" w:fill="BFBFBF" w:themeFill="background1" w:themeFillShade="BF"/>
          </w:tcPr>
          <w:p w14:paraId="5D2E5F50" w14:textId="77777777" w:rsidR="00D37150" w:rsidRPr="00210AC6" w:rsidRDefault="00D37150" w:rsidP="00D37150">
            <w:pPr>
              <w:rPr>
                <w:rFonts w:cs="Arial"/>
                <w:szCs w:val="16"/>
              </w:rPr>
            </w:pPr>
          </w:p>
        </w:tc>
        <w:tc>
          <w:tcPr>
            <w:tcW w:w="832" w:type="pct"/>
            <w:shd w:val="clear" w:color="auto" w:fill="BFBFBF" w:themeFill="background1" w:themeFillShade="BF"/>
          </w:tcPr>
          <w:p w14:paraId="570B703B" w14:textId="77777777" w:rsidR="00D37150" w:rsidRPr="00210AC6" w:rsidRDefault="00D37150" w:rsidP="00D37150">
            <w:pPr>
              <w:rPr>
                <w:rFonts w:cs="Arial"/>
                <w:szCs w:val="16"/>
              </w:rPr>
            </w:pPr>
          </w:p>
        </w:tc>
      </w:tr>
      <w:tr w:rsidR="00D37150" w:rsidRPr="00210AC6" w14:paraId="77717E08" w14:textId="77777777" w:rsidTr="00CD6106">
        <w:tc>
          <w:tcPr>
            <w:tcW w:w="2504" w:type="pct"/>
          </w:tcPr>
          <w:p w14:paraId="036DF1AB" w14:textId="77777777" w:rsidR="00D37150" w:rsidRPr="00744585" w:rsidRDefault="00D37150" w:rsidP="00CC7B98">
            <w:pPr>
              <w:ind w:left="720"/>
              <w:rPr>
                <w:rFonts w:cs="Arial"/>
                <w:b/>
                <w:bCs/>
                <w:szCs w:val="16"/>
              </w:rPr>
            </w:pPr>
            <w:r w:rsidRPr="00744585">
              <w:rPr>
                <w:b/>
                <w:bCs/>
              </w:rPr>
              <w:t>Uncorrected identified noncompliance</w:t>
            </w:r>
          </w:p>
        </w:tc>
        <w:tc>
          <w:tcPr>
            <w:tcW w:w="832" w:type="pct"/>
          </w:tcPr>
          <w:p w14:paraId="2BDCD19D" w14:textId="77777777" w:rsidR="00D37150" w:rsidRPr="00210AC6" w:rsidRDefault="00D37150" w:rsidP="00D37150">
            <w:pPr>
              <w:rPr>
                <w:rFonts w:cs="Arial"/>
                <w:szCs w:val="16"/>
              </w:rPr>
            </w:pPr>
            <w:r w:rsidRPr="003511D1">
              <w:t>None</w:t>
            </w:r>
          </w:p>
        </w:tc>
        <w:tc>
          <w:tcPr>
            <w:tcW w:w="832" w:type="pct"/>
            <w:shd w:val="clear" w:color="auto" w:fill="BFBFBF" w:themeFill="background1" w:themeFillShade="BF"/>
          </w:tcPr>
          <w:p w14:paraId="5162391E" w14:textId="77777777" w:rsidR="00D37150" w:rsidRPr="00210AC6" w:rsidRDefault="00D37150" w:rsidP="00D37150">
            <w:pPr>
              <w:rPr>
                <w:rFonts w:cs="Arial"/>
                <w:szCs w:val="16"/>
              </w:rPr>
            </w:pPr>
          </w:p>
        </w:tc>
        <w:tc>
          <w:tcPr>
            <w:tcW w:w="832" w:type="pct"/>
            <w:shd w:val="clear" w:color="auto" w:fill="BFBFBF" w:themeFill="background1" w:themeFillShade="BF"/>
          </w:tcPr>
          <w:p w14:paraId="40361FDF" w14:textId="77777777" w:rsidR="00D37150" w:rsidRPr="00210AC6" w:rsidRDefault="00D37150" w:rsidP="00D37150">
            <w:pPr>
              <w:rPr>
                <w:rFonts w:cs="Arial"/>
                <w:szCs w:val="16"/>
              </w:rPr>
            </w:pPr>
          </w:p>
        </w:tc>
      </w:tr>
    </w:tbl>
    <w:p w14:paraId="57FCF8CF" w14:textId="77777777" w:rsidR="002D7557" w:rsidRDefault="002D7557" w:rsidP="000135C2">
      <w:pPr>
        <w:rPr>
          <w:rFonts w:cs="Arial"/>
          <w:b/>
          <w:szCs w:val="16"/>
        </w:rPr>
      </w:pPr>
    </w:p>
    <w:p w14:paraId="1EE1F970" w14:textId="77777777" w:rsidR="000552BC" w:rsidRPr="000552BC" w:rsidRDefault="00976350" w:rsidP="00DE3712">
      <w:pPr>
        <w:spacing w:before="0" w:after="0"/>
      </w:pPr>
      <w:r w:rsidRPr="00D731C8">
        <w:rPr>
          <w:rFonts w:cs="Arial"/>
          <w:b/>
          <w:szCs w:val="16"/>
        </w:rPr>
        <w:t xml:space="preserve">(2) </w:t>
      </w:r>
      <w:r w:rsidRPr="00D731C8">
        <w:rPr>
          <w:b/>
          <w:szCs w:val="16"/>
        </w:rPr>
        <w:t xml:space="preserve">The complete language for each indicator </w:t>
      </w:r>
      <w:proofErr w:type="gramStart"/>
      <w:r w:rsidRPr="00D731C8">
        <w:rPr>
          <w:b/>
          <w:szCs w:val="16"/>
        </w:rPr>
        <w:t>is located in</w:t>
      </w:r>
      <w:proofErr w:type="gramEnd"/>
      <w:r w:rsidRPr="00D731C8">
        <w:rPr>
          <w:b/>
          <w:szCs w:val="16"/>
        </w:rPr>
        <w:t xml:space="preserve"> the Part </w:t>
      </w:r>
      <w:r w:rsidR="00B37A83">
        <w:rPr>
          <w:b/>
          <w:szCs w:val="16"/>
        </w:rPr>
        <w:t>C</w:t>
      </w:r>
      <w:r w:rsidR="00B37A83" w:rsidRPr="00D731C8">
        <w:rPr>
          <w:b/>
          <w:szCs w:val="16"/>
        </w:rPr>
        <w:t xml:space="preserve"> </w:t>
      </w:r>
      <w:r w:rsidRPr="00D731C8">
        <w:rPr>
          <w:b/>
          <w:szCs w:val="16"/>
        </w:rPr>
        <w:t xml:space="preserve">SPP/APR Indicator Measurement Table at: </w:t>
      </w:r>
    </w:p>
    <w:p w14:paraId="5E2B082A" w14:textId="77777777" w:rsidR="000552BC" w:rsidRPr="000552BC" w:rsidRDefault="000552BC" w:rsidP="00DE3712">
      <w:pPr>
        <w:spacing w:before="0"/>
        <w:rPr>
          <w:b/>
          <w:u w:val="single"/>
        </w:rPr>
      </w:pPr>
      <w:hyperlink r:id="rId14" w:history="1">
        <w:r w:rsidRPr="000552BC">
          <w:rPr>
            <w:rStyle w:val="Hyperlink"/>
            <w:b/>
          </w:rPr>
          <w:t>https://sites.ed.gov/idea/files/FFY2024-Part-C-SPP-APR-Reformatted-Measurement-Table.pdf</w:t>
        </w:r>
      </w:hyperlink>
    </w:p>
    <w:p w14:paraId="33E5223A" w14:textId="77777777" w:rsidR="000F68E8" w:rsidRDefault="00976350" w:rsidP="00DE3712">
      <w:pPr>
        <w:spacing w:before="0" w:after="0"/>
        <w:rPr>
          <w:b/>
        </w:rPr>
      </w:pPr>
      <w:r w:rsidRPr="00D731C8">
        <w:rPr>
          <w:rFonts w:cs="Arial"/>
          <w:b/>
          <w:szCs w:val="16"/>
        </w:rPr>
        <w:t xml:space="preserve">(3) </w:t>
      </w:r>
      <w:r w:rsidRPr="00D731C8">
        <w:rPr>
          <w:b/>
        </w:rPr>
        <w:t>This column reflects full correction, which is factored into the scoring only when the compliance data are &gt;=90% and &lt;95% for an indicator.</w:t>
      </w:r>
    </w:p>
    <w:p w14:paraId="785EE548" w14:textId="77777777" w:rsidR="002D7557" w:rsidRPr="00B37A83" w:rsidRDefault="002D7557" w:rsidP="00B37A83">
      <w:pPr>
        <w:spacing w:after="120"/>
      </w:pPr>
      <w:r>
        <w:rPr>
          <w:rFonts w:cs="Arial"/>
          <w:b/>
          <w:szCs w:val="16"/>
        </w:rPr>
        <w:br w:type="page"/>
      </w:r>
    </w:p>
    <w:p w14:paraId="6B8EEFAB" w14:textId="77777777" w:rsidR="0081611B" w:rsidRPr="0081611B" w:rsidRDefault="0081611B" w:rsidP="0081611B">
      <w:pPr>
        <w:rPr>
          <w:rFonts w:cs="Arial"/>
          <w:b/>
          <w:bCs/>
          <w:szCs w:val="16"/>
        </w:rPr>
      </w:pPr>
      <w:r w:rsidRPr="0081611B">
        <w:rPr>
          <w:rFonts w:cs="Arial"/>
          <w:b/>
          <w:bCs/>
          <w:szCs w:val="16"/>
        </w:rPr>
        <w:lastRenderedPageBreak/>
        <w:t>Appendix A</w:t>
      </w:r>
    </w:p>
    <w:p w14:paraId="658D5E57" w14:textId="77777777" w:rsidR="00E34D8D" w:rsidRDefault="00E34D8D" w:rsidP="0081611B">
      <w:pPr>
        <w:rPr>
          <w:rFonts w:cs="Arial"/>
          <w:b/>
          <w:bCs/>
          <w:szCs w:val="16"/>
        </w:rPr>
      </w:pPr>
    </w:p>
    <w:p w14:paraId="7B692D1B" w14:textId="77777777" w:rsidR="00A67CEE" w:rsidRDefault="0081611B" w:rsidP="0081611B">
      <w:pPr>
        <w:rPr>
          <w:rFonts w:cs="Arial"/>
          <w:b/>
          <w:bCs/>
          <w:szCs w:val="16"/>
        </w:rPr>
      </w:pPr>
      <w:r w:rsidRPr="0081611B">
        <w:rPr>
          <w:rFonts w:cs="Arial"/>
          <w:b/>
          <w:bCs/>
          <w:szCs w:val="16"/>
        </w:rPr>
        <w:t xml:space="preserve">I. (a) Data Completeness: </w:t>
      </w:r>
    </w:p>
    <w:p w14:paraId="0CF46E88" w14:textId="77777777" w:rsidR="0081611B" w:rsidRPr="0081611B" w:rsidRDefault="0081611B" w:rsidP="0081611B">
      <w:pPr>
        <w:rPr>
          <w:rFonts w:cs="Arial"/>
          <w:b/>
          <w:bCs/>
          <w:szCs w:val="16"/>
        </w:rPr>
      </w:pPr>
      <w:r w:rsidRPr="0081611B">
        <w:rPr>
          <w:rFonts w:cs="Arial"/>
          <w:b/>
          <w:bCs/>
          <w:szCs w:val="16"/>
        </w:rPr>
        <w:t>The Percent of Children Included in your State's FFY 2024 Outcomes Data (Indicator C3)</w:t>
      </w:r>
    </w:p>
    <w:p w14:paraId="1841057D" w14:textId="77777777" w:rsidR="0081611B" w:rsidRPr="00E34D8D" w:rsidRDefault="0081611B" w:rsidP="0081611B">
      <w:pPr>
        <w:rPr>
          <w:rFonts w:cs="Arial"/>
          <w:bCs/>
          <w:szCs w:val="16"/>
        </w:rPr>
      </w:pPr>
      <w:r w:rsidRPr="00E34D8D">
        <w:rPr>
          <w:rFonts w:cs="Arial"/>
          <w:bCs/>
          <w:szCs w:val="16"/>
        </w:rPr>
        <w:t xml:space="preserve">Data completeness was calculated using the total number of Part C children who were included in your State’s FFY 2024 Outcomes Data (C3) and the total number of children your State reported in its FFY 2024 IDEA Section 618 data. </w:t>
      </w:r>
      <w:proofErr w:type="gramStart"/>
      <w:r w:rsidRPr="00E34D8D">
        <w:rPr>
          <w:rFonts w:cs="Arial"/>
          <w:bCs/>
          <w:szCs w:val="16"/>
        </w:rPr>
        <w:t>A percentage</w:t>
      </w:r>
      <w:proofErr w:type="gramEnd"/>
      <w:r w:rsidRPr="00E34D8D">
        <w:rPr>
          <w:rFonts w:cs="Arial"/>
          <w:bCs/>
          <w:szCs w:val="16"/>
        </w:rPr>
        <w:t xml:space="preserve"> for your State was computed by dividing the number of children reported in your State’s Indicator C3 data by the number of children your State reported exited during FFY 2024 in the State’s FFY 2024 IDEA Section 618 Exit Data.</w:t>
      </w:r>
    </w:p>
    <w:tbl>
      <w:tblPr>
        <w:tblStyle w:val="TableGrid1"/>
        <w:tblW w:w="5010" w:type="pct"/>
        <w:tblLook w:val="04A0" w:firstRow="1" w:lastRow="0" w:firstColumn="1" w:lastColumn="0" w:noHBand="0" w:noVBand="1"/>
        <w:tblCaption w:val="CAPPASCR"/>
        <w:tblDescription w:val="Data Completeness Score"/>
      </w:tblPr>
      <w:tblGrid>
        <w:gridCol w:w="3170"/>
        <w:gridCol w:w="7642"/>
      </w:tblGrid>
      <w:tr w:rsidR="0081611B" w:rsidRPr="0081611B" w14:paraId="42C2736A" w14:textId="77777777" w:rsidTr="0081611B">
        <w:tc>
          <w:tcPr>
            <w:tcW w:w="1466" w:type="pct"/>
            <w:hideMark/>
          </w:tcPr>
          <w:p w14:paraId="117C5B17" w14:textId="77777777" w:rsidR="0081611B" w:rsidRPr="0081611B" w:rsidRDefault="0081611B" w:rsidP="0081611B">
            <w:pPr>
              <w:rPr>
                <w:rFonts w:cs="Arial"/>
                <w:b/>
                <w:szCs w:val="16"/>
              </w:rPr>
            </w:pPr>
            <w:r w:rsidRPr="0081611B">
              <w:rPr>
                <w:rFonts w:cs="Arial"/>
                <w:b/>
                <w:szCs w:val="16"/>
              </w:rPr>
              <w:t>Data Completeness Score</w:t>
            </w:r>
          </w:p>
        </w:tc>
        <w:tc>
          <w:tcPr>
            <w:tcW w:w="3534" w:type="pct"/>
            <w:hideMark/>
          </w:tcPr>
          <w:p w14:paraId="6ABF2A30" w14:textId="77777777" w:rsidR="0081611B" w:rsidRPr="0081611B" w:rsidRDefault="0081611B" w:rsidP="0081611B">
            <w:pPr>
              <w:rPr>
                <w:rFonts w:cs="Arial"/>
                <w:b/>
                <w:szCs w:val="16"/>
              </w:rPr>
            </w:pPr>
            <w:r w:rsidRPr="0081611B">
              <w:rPr>
                <w:rFonts w:cs="Arial"/>
                <w:b/>
                <w:szCs w:val="16"/>
              </w:rPr>
              <w:t>Percent of Part C Children included in Outcomes Data (C3) and 618 Data</w:t>
            </w:r>
          </w:p>
        </w:tc>
      </w:tr>
      <w:tr w:rsidR="0081611B" w:rsidRPr="0081611B" w14:paraId="0498AD33" w14:textId="77777777" w:rsidTr="0081611B">
        <w:tc>
          <w:tcPr>
            <w:tcW w:w="1466" w:type="pct"/>
            <w:noWrap/>
            <w:hideMark/>
          </w:tcPr>
          <w:p w14:paraId="38D28CA4" w14:textId="77777777" w:rsidR="0081611B" w:rsidRPr="0081611B" w:rsidRDefault="0081611B" w:rsidP="0081611B">
            <w:pPr>
              <w:rPr>
                <w:rFonts w:cs="Arial"/>
                <w:b/>
                <w:szCs w:val="16"/>
              </w:rPr>
            </w:pPr>
            <w:r w:rsidRPr="0081611B">
              <w:rPr>
                <w:rFonts w:cs="Arial"/>
                <w:b/>
                <w:szCs w:val="16"/>
              </w:rPr>
              <w:t>0</w:t>
            </w:r>
          </w:p>
        </w:tc>
        <w:tc>
          <w:tcPr>
            <w:tcW w:w="3534" w:type="pct"/>
            <w:noWrap/>
            <w:hideMark/>
          </w:tcPr>
          <w:p w14:paraId="006A2EF9" w14:textId="77777777" w:rsidR="0081611B" w:rsidRPr="0081611B" w:rsidRDefault="0081611B" w:rsidP="0081611B">
            <w:pPr>
              <w:rPr>
                <w:rFonts w:cs="Arial"/>
                <w:b/>
                <w:szCs w:val="16"/>
              </w:rPr>
            </w:pPr>
            <w:r w:rsidRPr="0081611B">
              <w:rPr>
                <w:rFonts w:cs="Arial"/>
                <w:b/>
                <w:szCs w:val="16"/>
              </w:rPr>
              <w:t>Lower than 34%</w:t>
            </w:r>
          </w:p>
        </w:tc>
      </w:tr>
      <w:tr w:rsidR="0081611B" w:rsidRPr="0081611B" w14:paraId="0374610F" w14:textId="77777777" w:rsidTr="0081611B">
        <w:tc>
          <w:tcPr>
            <w:tcW w:w="1466" w:type="pct"/>
            <w:noWrap/>
            <w:hideMark/>
          </w:tcPr>
          <w:p w14:paraId="70392D7B" w14:textId="77777777" w:rsidR="0081611B" w:rsidRPr="0081611B" w:rsidRDefault="0081611B" w:rsidP="0081611B">
            <w:pPr>
              <w:rPr>
                <w:rFonts w:cs="Arial"/>
                <w:b/>
                <w:szCs w:val="16"/>
              </w:rPr>
            </w:pPr>
            <w:r w:rsidRPr="0081611B">
              <w:rPr>
                <w:rFonts w:cs="Arial"/>
                <w:b/>
                <w:szCs w:val="16"/>
              </w:rPr>
              <w:t>1</w:t>
            </w:r>
          </w:p>
        </w:tc>
        <w:tc>
          <w:tcPr>
            <w:tcW w:w="3534" w:type="pct"/>
            <w:noWrap/>
            <w:hideMark/>
          </w:tcPr>
          <w:p w14:paraId="5C92B69C" w14:textId="77777777" w:rsidR="0081611B" w:rsidRPr="0081611B" w:rsidRDefault="0081611B" w:rsidP="0081611B">
            <w:pPr>
              <w:rPr>
                <w:rFonts w:cs="Arial"/>
                <w:b/>
                <w:szCs w:val="16"/>
              </w:rPr>
            </w:pPr>
            <w:r w:rsidRPr="0081611B">
              <w:rPr>
                <w:rFonts w:cs="Arial"/>
                <w:b/>
                <w:szCs w:val="16"/>
              </w:rPr>
              <w:t>34% through 64%</w:t>
            </w:r>
          </w:p>
        </w:tc>
      </w:tr>
      <w:tr w:rsidR="0081611B" w:rsidRPr="0081611B" w14:paraId="5C8E0546" w14:textId="77777777" w:rsidTr="0081611B">
        <w:tc>
          <w:tcPr>
            <w:tcW w:w="1466" w:type="pct"/>
            <w:noWrap/>
            <w:hideMark/>
          </w:tcPr>
          <w:p w14:paraId="22BC1C85" w14:textId="77777777" w:rsidR="0081611B" w:rsidRPr="0081611B" w:rsidRDefault="0081611B" w:rsidP="0081611B">
            <w:pPr>
              <w:rPr>
                <w:rFonts w:cs="Arial"/>
                <w:b/>
                <w:szCs w:val="16"/>
              </w:rPr>
            </w:pPr>
            <w:r w:rsidRPr="0081611B">
              <w:rPr>
                <w:rFonts w:cs="Arial"/>
                <w:b/>
                <w:szCs w:val="16"/>
              </w:rPr>
              <w:t>2</w:t>
            </w:r>
          </w:p>
        </w:tc>
        <w:tc>
          <w:tcPr>
            <w:tcW w:w="3534" w:type="pct"/>
            <w:noWrap/>
            <w:hideMark/>
          </w:tcPr>
          <w:p w14:paraId="259EEA44" w14:textId="77777777" w:rsidR="0081611B" w:rsidRPr="0081611B" w:rsidRDefault="0081611B" w:rsidP="0081611B">
            <w:pPr>
              <w:rPr>
                <w:rFonts w:cs="Arial"/>
                <w:b/>
                <w:szCs w:val="16"/>
              </w:rPr>
            </w:pPr>
            <w:r w:rsidRPr="0081611B">
              <w:rPr>
                <w:rFonts w:cs="Arial"/>
                <w:b/>
                <w:szCs w:val="16"/>
              </w:rPr>
              <w:t>65% and above</w:t>
            </w:r>
          </w:p>
        </w:tc>
      </w:tr>
    </w:tbl>
    <w:p w14:paraId="4F6D2EB6" w14:textId="77777777" w:rsidR="00A241E8" w:rsidRDefault="00A241E8" w:rsidP="0081611B">
      <w:pPr>
        <w:rPr>
          <w:rFonts w:cs="Arial"/>
          <w:b/>
          <w:szCs w:val="16"/>
        </w:rPr>
      </w:pPr>
    </w:p>
    <w:p w14:paraId="2AA5E59E" w14:textId="77777777" w:rsidR="00A241E8" w:rsidRDefault="00A241E8">
      <w:pPr>
        <w:spacing w:before="0" w:after="200" w:line="276" w:lineRule="auto"/>
        <w:rPr>
          <w:rFonts w:cs="Arial"/>
          <w:b/>
          <w:szCs w:val="16"/>
        </w:rPr>
      </w:pPr>
      <w:r>
        <w:rPr>
          <w:rFonts w:cs="Arial"/>
          <w:b/>
          <w:szCs w:val="16"/>
        </w:rPr>
        <w:br w:type="page"/>
      </w:r>
    </w:p>
    <w:p w14:paraId="3966AEA6" w14:textId="77777777" w:rsidR="002F672B" w:rsidRDefault="002F672B" w:rsidP="002F672B">
      <w:pPr>
        <w:rPr>
          <w:rFonts w:cs="Arial"/>
          <w:b/>
          <w:bCs/>
          <w:szCs w:val="16"/>
        </w:rPr>
      </w:pPr>
      <w:r w:rsidRPr="002F672B">
        <w:rPr>
          <w:rFonts w:cs="Arial"/>
          <w:b/>
          <w:bCs/>
          <w:szCs w:val="16"/>
        </w:rPr>
        <w:lastRenderedPageBreak/>
        <w:t>Appendix B</w:t>
      </w:r>
    </w:p>
    <w:p w14:paraId="3346DE63" w14:textId="77777777" w:rsidR="00A67CEE" w:rsidRPr="002F672B" w:rsidRDefault="00A67CEE" w:rsidP="002F672B">
      <w:pPr>
        <w:rPr>
          <w:rFonts w:cs="Arial"/>
          <w:b/>
          <w:bCs/>
          <w:szCs w:val="16"/>
        </w:rPr>
      </w:pPr>
    </w:p>
    <w:p w14:paraId="40CE4BC4" w14:textId="77777777" w:rsidR="00A67CEE" w:rsidRDefault="002F672B" w:rsidP="002F672B">
      <w:pPr>
        <w:rPr>
          <w:rFonts w:cs="Arial"/>
          <w:b/>
          <w:bCs/>
          <w:szCs w:val="16"/>
        </w:rPr>
      </w:pPr>
      <w:r w:rsidRPr="002F672B">
        <w:rPr>
          <w:rFonts w:cs="Arial"/>
          <w:b/>
          <w:bCs/>
          <w:szCs w:val="16"/>
        </w:rPr>
        <w:t xml:space="preserve">I. (b) Data Quality: </w:t>
      </w:r>
    </w:p>
    <w:p w14:paraId="453D62D6" w14:textId="77777777" w:rsidR="002F672B" w:rsidRPr="002F672B" w:rsidRDefault="002F672B" w:rsidP="002F672B">
      <w:pPr>
        <w:rPr>
          <w:rFonts w:cs="Arial"/>
          <w:b/>
          <w:bCs/>
          <w:szCs w:val="16"/>
        </w:rPr>
      </w:pPr>
      <w:r w:rsidRPr="002F672B">
        <w:rPr>
          <w:rFonts w:cs="Arial"/>
          <w:b/>
          <w:bCs/>
          <w:szCs w:val="16"/>
        </w:rPr>
        <w:t>Anomalies in Your State's FFY 2024 Outcomes Data</w:t>
      </w:r>
    </w:p>
    <w:p w14:paraId="5F059444" w14:textId="77777777" w:rsidR="002F672B" w:rsidRPr="00A67CEE" w:rsidRDefault="002F672B" w:rsidP="002F672B">
      <w:pPr>
        <w:rPr>
          <w:rFonts w:cs="Arial"/>
          <w:bCs/>
          <w:szCs w:val="16"/>
        </w:rPr>
      </w:pPr>
      <w:r w:rsidRPr="00A67CEE">
        <w:rPr>
          <w:rFonts w:cs="Arial"/>
          <w:bCs/>
          <w:szCs w:val="16"/>
        </w:rPr>
        <w:t xml:space="preserve">This score represents a summary of the data anomalies in the FFY 2024 Indicator 3 Outcomes Data reported by your State. Publicly available data for the preceding four years reported by and across all States for each of 15 progress categories under Indicator 3 (in the FFY 2020 – FFY 2023 APRs) were used to determine an expected range of responses for each progress category under Outcomes A, B, and C. For each of the 15 progress categories, a mean was calculated using the publicly available data and a lower and upper scoring percentage was set 1 standard deviation above and below the mean for category a, and 2 standard deviations above and below the mean for categories b through e (numbers are shown as rounded for display purposes, and values are based on data for States with summary statement denominator greater than 199 </w:t>
      </w:r>
      <w:proofErr w:type="spellStart"/>
      <w:r w:rsidRPr="00A67CEE">
        <w:rPr>
          <w:rFonts w:cs="Arial"/>
          <w:bCs/>
          <w:szCs w:val="16"/>
        </w:rPr>
        <w:t>exiters</w:t>
      </w:r>
      <w:proofErr w:type="spellEnd"/>
      <w:r w:rsidRPr="00A67CEE">
        <w:rPr>
          <w:rFonts w:cs="Arial"/>
          <w:bCs/>
          <w:szCs w:val="16"/>
        </w:rPr>
        <w:t>). In any case where the low scoring percentage set from 1 or 2 standard deviations below the mean resulted in a negative number, the low scoring percentage is equal to 0.</w:t>
      </w:r>
    </w:p>
    <w:p w14:paraId="7415DD73" w14:textId="77777777" w:rsidR="002F672B" w:rsidRDefault="002F672B" w:rsidP="002F672B">
      <w:pPr>
        <w:rPr>
          <w:rFonts w:cs="Arial"/>
          <w:bCs/>
          <w:szCs w:val="16"/>
        </w:rPr>
      </w:pPr>
      <w:r w:rsidRPr="00A67CEE">
        <w:rPr>
          <w:rFonts w:cs="Arial"/>
          <w:bCs/>
          <w:szCs w:val="16"/>
        </w:rPr>
        <w:t xml:space="preserve">If your State's FFY 2024 data reported in a progress category fell below the calculated "low percentage" or above the "high percentage" for that progress category for all States, the data in that </w:t>
      </w:r>
      <w:proofErr w:type="gramStart"/>
      <w:r w:rsidRPr="00A67CEE">
        <w:rPr>
          <w:rFonts w:cs="Arial"/>
          <w:bCs/>
          <w:szCs w:val="16"/>
        </w:rPr>
        <w:t>particular category</w:t>
      </w:r>
      <w:proofErr w:type="gramEnd"/>
      <w:r w:rsidRPr="00A67CEE">
        <w:rPr>
          <w:rFonts w:cs="Arial"/>
          <w:bCs/>
          <w:szCs w:val="16"/>
        </w:rPr>
        <w:t xml:space="preserve"> are statistically improbable outliers and considered an anomaly for that progress category. If your </w:t>
      </w:r>
      <w:proofErr w:type="gramStart"/>
      <w:r w:rsidRPr="00A67CEE">
        <w:rPr>
          <w:rFonts w:cs="Arial"/>
          <w:bCs/>
          <w:szCs w:val="16"/>
        </w:rPr>
        <w:t>State’s</w:t>
      </w:r>
      <w:proofErr w:type="gramEnd"/>
      <w:r w:rsidRPr="00A67CEE">
        <w:rPr>
          <w:rFonts w:cs="Arial"/>
          <w:bCs/>
          <w:szCs w:val="16"/>
        </w:rPr>
        <w:t xml:space="preserve"> data in a particular progress category was identified as an anomaly, the State received a 0 for that category. A percentage that is equal to or between the low percentage and high percentage for each progress category received 1 point. A State could receive a total number of points between 0 and 15. Thus, a point total of 0 indicates that all 15 progress categories contained data anomalies and a point total of 15 indicates that there were no data anomalies in all 15 progress categories in the State's data. An overall data anomaly score of 0, 1, or 2 is based on the total points awarded.</w:t>
      </w:r>
    </w:p>
    <w:p w14:paraId="05DD8270" w14:textId="77777777" w:rsidR="00B05769" w:rsidRPr="002F672B" w:rsidRDefault="00B05769" w:rsidP="002F672B">
      <w:pPr>
        <w:rPr>
          <w:rFonts w:cs="Arial"/>
          <w:b/>
          <w:szCs w:val="16"/>
        </w:rPr>
      </w:pPr>
    </w:p>
    <w:tbl>
      <w:tblPr>
        <w:tblStyle w:val="TableGrid"/>
        <w:tblW w:w="0" w:type="auto"/>
        <w:tblCellMar>
          <w:top w:w="29" w:type="dxa"/>
          <w:left w:w="115" w:type="dxa"/>
          <w:bottom w:w="29" w:type="dxa"/>
          <w:right w:w="115" w:type="dxa"/>
        </w:tblCellMar>
        <w:tblLook w:val="04A0" w:firstRow="1" w:lastRow="0" w:firstColumn="1" w:lastColumn="0" w:noHBand="0" w:noVBand="1"/>
        <w:tblCaption w:val="CAPPBOTC"/>
        <w:tblDescription w:val="Outcomes"/>
      </w:tblPr>
      <w:tblGrid>
        <w:gridCol w:w="1728"/>
        <w:gridCol w:w="3600"/>
      </w:tblGrid>
      <w:tr w:rsidR="002F672B" w:rsidRPr="002F672B" w14:paraId="6069AF7F" w14:textId="77777777" w:rsidTr="00FB10DF">
        <w:trPr>
          <w:cantSplit/>
        </w:trPr>
        <w:tc>
          <w:tcPr>
            <w:tcW w:w="1728" w:type="dxa"/>
            <w:hideMark/>
          </w:tcPr>
          <w:p w14:paraId="1DE1A754" w14:textId="77777777" w:rsidR="002F672B" w:rsidRPr="002F672B" w:rsidRDefault="002F672B" w:rsidP="002F672B">
            <w:pPr>
              <w:rPr>
                <w:rFonts w:cs="Arial"/>
                <w:b/>
                <w:szCs w:val="16"/>
              </w:rPr>
            </w:pPr>
            <w:r w:rsidRPr="002F672B">
              <w:rPr>
                <w:rFonts w:cs="Arial"/>
                <w:b/>
                <w:szCs w:val="16"/>
              </w:rPr>
              <w:t>Outcome A</w:t>
            </w:r>
          </w:p>
        </w:tc>
        <w:tc>
          <w:tcPr>
            <w:tcW w:w="3600" w:type="dxa"/>
            <w:hideMark/>
          </w:tcPr>
          <w:p w14:paraId="74DD1489" w14:textId="77777777" w:rsidR="002F672B" w:rsidRPr="002F672B" w:rsidRDefault="002F672B" w:rsidP="002F672B">
            <w:pPr>
              <w:rPr>
                <w:rFonts w:cs="Arial"/>
                <w:b/>
                <w:szCs w:val="16"/>
              </w:rPr>
            </w:pPr>
            <w:r w:rsidRPr="002F672B">
              <w:rPr>
                <w:rFonts w:cs="Arial"/>
                <w:b/>
                <w:szCs w:val="16"/>
              </w:rPr>
              <w:t>Positive Social Relationships</w:t>
            </w:r>
          </w:p>
        </w:tc>
      </w:tr>
      <w:tr w:rsidR="002F672B" w:rsidRPr="002F672B" w14:paraId="32D31C4E" w14:textId="77777777" w:rsidTr="00FB10DF">
        <w:trPr>
          <w:cantSplit/>
        </w:trPr>
        <w:tc>
          <w:tcPr>
            <w:tcW w:w="1728" w:type="dxa"/>
            <w:hideMark/>
          </w:tcPr>
          <w:p w14:paraId="517E9259" w14:textId="77777777" w:rsidR="002F672B" w:rsidRPr="002F672B" w:rsidRDefault="002F672B" w:rsidP="002F672B">
            <w:pPr>
              <w:rPr>
                <w:rFonts w:cs="Arial"/>
                <w:b/>
                <w:szCs w:val="16"/>
              </w:rPr>
            </w:pPr>
            <w:r w:rsidRPr="002F672B">
              <w:rPr>
                <w:rFonts w:cs="Arial"/>
                <w:b/>
                <w:szCs w:val="16"/>
              </w:rPr>
              <w:t>Outcome B</w:t>
            </w:r>
          </w:p>
        </w:tc>
        <w:tc>
          <w:tcPr>
            <w:tcW w:w="3600" w:type="dxa"/>
            <w:hideMark/>
          </w:tcPr>
          <w:p w14:paraId="7FC139CB" w14:textId="77777777" w:rsidR="002F672B" w:rsidRPr="002F672B" w:rsidRDefault="002F672B" w:rsidP="002F672B">
            <w:pPr>
              <w:rPr>
                <w:rFonts w:cs="Arial"/>
                <w:b/>
                <w:szCs w:val="16"/>
              </w:rPr>
            </w:pPr>
            <w:r w:rsidRPr="002F672B">
              <w:rPr>
                <w:rFonts w:cs="Arial"/>
                <w:b/>
                <w:szCs w:val="16"/>
              </w:rPr>
              <w:t>Knowledge and Skills</w:t>
            </w:r>
          </w:p>
        </w:tc>
      </w:tr>
      <w:tr w:rsidR="002F672B" w:rsidRPr="002F672B" w14:paraId="741EB5AA" w14:textId="77777777" w:rsidTr="00FB10DF">
        <w:trPr>
          <w:cantSplit/>
        </w:trPr>
        <w:tc>
          <w:tcPr>
            <w:tcW w:w="1728" w:type="dxa"/>
            <w:hideMark/>
          </w:tcPr>
          <w:p w14:paraId="67F1A40A" w14:textId="77777777" w:rsidR="002F672B" w:rsidRPr="002F672B" w:rsidRDefault="002F672B" w:rsidP="002F672B">
            <w:pPr>
              <w:rPr>
                <w:rFonts w:cs="Arial"/>
                <w:b/>
                <w:szCs w:val="16"/>
              </w:rPr>
            </w:pPr>
            <w:r w:rsidRPr="002F672B">
              <w:rPr>
                <w:rFonts w:cs="Arial"/>
                <w:b/>
                <w:szCs w:val="16"/>
              </w:rPr>
              <w:t>Outcome C</w:t>
            </w:r>
          </w:p>
        </w:tc>
        <w:tc>
          <w:tcPr>
            <w:tcW w:w="3600" w:type="dxa"/>
            <w:hideMark/>
          </w:tcPr>
          <w:p w14:paraId="3C2F0D51" w14:textId="77777777" w:rsidR="002F672B" w:rsidRPr="002F672B" w:rsidRDefault="002F672B" w:rsidP="002F672B">
            <w:pPr>
              <w:rPr>
                <w:rFonts w:cs="Arial"/>
                <w:b/>
                <w:szCs w:val="16"/>
              </w:rPr>
            </w:pPr>
            <w:r w:rsidRPr="002F672B">
              <w:rPr>
                <w:rFonts w:cs="Arial"/>
                <w:b/>
                <w:szCs w:val="16"/>
              </w:rPr>
              <w:t>Actions to Meet Needs</w:t>
            </w:r>
          </w:p>
        </w:tc>
      </w:tr>
    </w:tbl>
    <w:p w14:paraId="592C2169" w14:textId="77777777" w:rsidR="002F672B" w:rsidRPr="002F672B" w:rsidRDefault="002F672B" w:rsidP="002F672B">
      <w:pPr>
        <w:rPr>
          <w:rFonts w:cs="Arial"/>
          <w:b/>
          <w:szCs w:val="16"/>
        </w:rPr>
      </w:pPr>
    </w:p>
    <w:tbl>
      <w:tblPr>
        <w:tblStyle w:val="TableGrid"/>
        <w:tblW w:w="10800" w:type="dxa"/>
        <w:tblCellMar>
          <w:top w:w="29" w:type="dxa"/>
          <w:left w:w="115" w:type="dxa"/>
          <w:bottom w:w="29" w:type="dxa"/>
          <w:right w:w="115" w:type="dxa"/>
        </w:tblCellMar>
        <w:tblLook w:val="04A0" w:firstRow="1" w:lastRow="0" w:firstColumn="1" w:lastColumn="0" w:noHBand="0" w:noVBand="1"/>
        <w:tblCaption w:val="CAPPBOTCCATS"/>
        <w:tblDescription w:val="Categories"/>
      </w:tblPr>
      <w:tblGrid>
        <w:gridCol w:w="1728"/>
        <w:gridCol w:w="9072"/>
      </w:tblGrid>
      <w:tr w:rsidR="002F672B" w:rsidRPr="002F672B" w14:paraId="3AC2910B" w14:textId="77777777">
        <w:trPr>
          <w:cantSplit/>
        </w:trPr>
        <w:tc>
          <w:tcPr>
            <w:tcW w:w="1728" w:type="dxa"/>
            <w:hideMark/>
          </w:tcPr>
          <w:p w14:paraId="0D0A8D4B" w14:textId="77777777" w:rsidR="002F672B" w:rsidRPr="002F672B" w:rsidRDefault="002F672B" w:rsidP="002F672B">
            <w:pPr>
              <w:rPr>
                <w:rFonts w:cs="Arial"/>
                <w:b/>
                <w:szCs w:val="16"/>
              </w:rPr>
            </w:pPr>
            <w:r w:rsidRPr="002F672B">
              <w:rPr>
                <w:rFonts w:cs="Arial"/>
                <w:b/>
                <w:szCs w:val="16"/>
              </w:rPr>
              <w:t>Category a</w:t>
            </w:r>
          </w:p>
        </w:tc>
        <w:tc>
          <w:tcPr>
            <w:tcW w:w="9072" w:type="dxa"/>
            <w:hideMark/>
          </w:tcPr>
          <w:p w14:paraId="68DB290C" w14:textId="77777777" w:rsidR="002F672B" w:rsidRPr="002F672B" w:rsidRDefault="002F672B" w:rsidP="002F672B">
            <w:pPr>
              <w:rPr>
                <w:rFonts w:cs="Arial"/>
                <w:b/>
                <w:szCs w:val="16"/>
              </w:rPr>
            </w:pPr>
            <w:r w:rsidRPr="002F672B">
              <w:rPr>
                <w:rFonts w:cs="Arial"/>
                <w:b/>
                <w:szCs w:val="16"/>
              </w:rPr>
              <w:t>Percent of infants and toddlers who did not improve functioning</w:t>
            </w:r>
          </w:p>
        </w:tc>
      </w:tr>
      <w:tr w:rsidR="002F672B" w:rsidRPr="002F672B" w14:paraId="19033B6A" w14:textId="77777777">
        <w:trPr>
          <w:cantSplit/>
        </w:trPr>
        <w:tc>
          <w:tcPr>
            <w:tcW w:w="1728" w:type="dxa"/>
            <w:hideMark/>
          </w:tcPr>
          <w:p w14:paraId="55432B1C" w14:textId="77777777" w:rsidR="002F672B" w:rsidRPr="002F672B" w:rsidRDefault="002F672B" w:rsidP="002F672B">
            <w:pPr>
              <w:rPr>
                <w:rFonts w:cs="Arial"/>
                <w:b/>
                <w:szCs w:val="16"/>
              </w:rPr>
            </w:pPr>
            <w:r w:rsidRPr="002F672B">
              <w:rPr>
                <w:rFonts w:cs="Arial"/>
                <w:b/>
                <w:szCs w:val="16"/>
              </w:rPr>
              <w:t>Category b</w:t>
            </w:r>
          </w:p>
        </w:tc>
        <w:tc>
          <w:tcPr>
            <w:tcW w:w="9072" w:type="dxa"/>
            <w:hideMark/>
          </w:tcPr>
          <w:p w14:paraId="0CD9C264" w14:textId="77777777" w:rsidR="002F672B" w:rsidRPr="002F672B" w:rsidRDefault="002F672B" w:rsidP="002F672B">
            <w:pPr>
              <w:rPr>
                <w:rFonts w:cs="Arial"/>
                <w:b/>
                <w:szCs w:val="16"/>
              </w:rPr>
            </w:pPr>
            <w:r w:rsidRPr="002F672B">
              <w:rPr>
                <w:rFonts w:cs="Arial"/>
                <w:b/>
                <w:szCs w:val="16"/>
              </w:rPr>
              <w:t>Percent of infants and toddlers who improved functioning but not sufficient to move nearer to functioning comparable to same-aged peers</w:t>
            </w:r>
          </w:p>
        </w:tc>
      </w:tr>
      <w:tr w:rsidR="002F672B" w:rsidRPr="002F672B" w14:paraId="6FBD9C45" w14:textId="77777777">
        <w:trPr>
          <w:cantSplit/>
        </w:trPr>
        <w:tc>
          <w:tcPr>
            <w:tcW w:w="1728" w:type="dxa"/>
            <w:hideMark/>
          </w:tcPr>
          <w:p w14:paraId="2C0B171E" w14:textId="77777777" w:rsidR="002F672B" w:rsidRPr="002F672B" w:rsidRDefault="002F672B" w:rsidP="002F672B">
            <w:pPr>
              <w:rPr>
                <w:rFonts w:cs="Arial"/>
                <w:b/>
                <w:szCs w:val="16"/>
              </w:rPr>
            </w:pPr>
            <w:r w:rsidRPr="002F672B">
              <w:rPr>
                <w:rFonts w:cs="Arial"/>
                <w:b/>
                <w:szCs w:val="16"/>
              </w:rPr>
              <w:t>Category c</w:t>
            </w:r>
          </w:p>
        </w:tc>
        <w:tc>
          <w:tcPr>
            <w:tcW w:w="9072" w:type="dxa"/>
            <w:hideMark/>
          </w:tcPr>
          <w:p w14:paraId="4082A9EC" w14:textId="77777777" w:rsidR="002F672B" w:rsidRPr="002F672B" w:rsidRDefault="002F672B" w:rsidP="002F672B">
            <w:pPr>
              <w:rPr>
                <w:rFonts w:cs="Arial"/>
                <w:b/>
                <w:szCs w:val="16"/>
              </w:rPr>
            </w:pPr>
            <w:r w:rsidRPr="002F672B">
              <w:rPr>
                <w:rFonts w:cs="Arial"/>
                <w:b/>
                <w:szCs w:val="16"/>
              </w:rPr>
              <w:t>Percent of infants and toddlers who improved functioning to a level nearer to same-aged peers but did not reach it</w:t>
            </w:r>
          </w:p>
        </w:tc>
      </w:tr>
      <w:tr w:rsidR="002F672B" w:rsidRPr="002F672B" w14:paraId="0B31A168" w14:textId="77777777">
        <w:trPr>
          <w:cantSplit/>
        </w:trPr>
        <w:tc>
          <w:tcPr>
            <w:tcW w:w="1728" w:type="dxa"/>
            <w:hideMark/>
          </w:tcPr>
          <w:p w14:paraId="58210597" w14:textId="77777777" w:rsidR="002F672B" w:rsidRPr="002F672B" w:rsidRDefault="002F672B" w:rsidP="002F672B">
            <w:pPr>
              <w:rPr>
                <w:rFonts w:cs="Arial"/>
                <w:b/>
                <w:szCs w:val="16"/>
              </w:rPr>
            </w:pPr>
            <w:r w:rsidRPr="002F672B">
              <w:rPr>
                <w:rFonts w:cs="Arial"/>
                <w:b/>
                <w:szCs w:val="16"/>
              </w:rPr>
              <w:t>Category d</w:t>
            </w:r>
          </w:p>
        </w:tc>
        <w:tc>
          <w:tcPr>
            <w:tcW w:w="9072" w:type="dxa"/>
            <w:hideMark/>
          </w:tcPr>
          <w:p w14:paraId="05E05BE2" w14:textId="77777777" w:rsidR="002F672B" w:rsidRPr="002F672B" w:rsidRDefault="002F672B" w:rsidP="002F672B">
            <w:pPr>
              <w:rPr>
                <w:rFonts w:cs="Arial"/>
                <w:b/>
                <w:szCs w:val="16"/>
              </w:rPr>
            </w:pPr>
            <w:r w:rsidRPr="002F672B">
              <w:rPr>
                <w:rFonts w:cs="Arial"/>
                <w:b/>
                <w:szCs w:val="16"/>
              </w:rPr>
              <w:t>Percent of infants and toddlers who improved functioning to reach a level comparable to same-aged peers</w:t>
            </w:r>
          </w:p>
        </w:tc>
      </w:tr>
      <w:tr w:rsidR="002F672B" w:rsidRPr="002F672B" w14:paraId="41DC70B9" w14:textId="77777777">
        <w:trPr>
          <w:cantSplit/>
        </w:trPr>
        <w:tc>
          <w:tcPr>
            <w:tcW w:w="1728" w:type="dxa"/>
            <w:hideMark/>
          </w:tcPr>
          <w:p w14:paraId="0A09BE05" w14:textId="77777777" w:rsidR="002F672B" w:rsidRPr="002F672B" w:rsidRDefault="002F672B" w:rsidP="002F672B">
            <w:pPr>
              <w:rPr>
                <w:rFonts w:cs="Arial"/>
                <w:b/>
                <w:szCs w:val="16"/>
              </w:rPr>
            </w:pPr>
            <w:r w:rsidRPr="002F672B">
              <w:rPr>
                <w:rFonts w:cs="Arial"/>
                <w:b/>
                <w:szCs w:val="16"/>
              </w:rPr>
              <w:t>Category e</w:t>
            </w:r>
          </w:p>
        </w:tc>
        <w:tc>
          <w:tcPr>
            <w:tcW w:w="9072" w:type="dxa"/>
            <w:hideMark/>
          </w:tcPr>
          <w:p w14:paraId="32CB71E0" w14:textId="77777777" w:rsidR="002F672B" w:rsidRPr="002F672B" w:rsidRDefault="002F672B" w:rsidP="002F672B">
            <w:pPr>
              <w:rPr>
                <w:rFonts w:cs="Arial"/>
                <w:b/>
                <w:szCs w:val="16"/>
              </w:rPr>
            </w:pPr>
            <w:r w:rsidRPr="002F672B">
              <w:rPr>
                <w:rFonts w:cs="Arial"/>
                <w:b/>
                <w:szCs w:val="16"/>
              </w:rPr>
              <w:t>Percent of infants and toddlers who maintained functioning at a level comparable to same-aged peers</w:t>
            </w:r>
          </w:p>
        </w:tc>
      </w:tr>
    </w:tbl>
    <w:p w14:paraId="40DD3496" w14:textId="77777777" w:rsidR="00AA07A0" w:rsidRDefault="00AA07A0" w:rsidP="002F672B">
      <w:pPr>
        <w:rPr>
          <w:rFonts w:cs="Arial"/>
          <w:b/>
          <w:bCs/>
          <w:szCs w:val="16"/>
        </w:rPr>
      </w:pPr>
    </w:p>
    <w:p w14:paraId="01372DFF" w14:textId="77777777" w:rsidR="00AA07A0" w:rsidRDefault="00AA07A0">
      <w:pPr>
        <w:spacing w:before="0" w:after="200" w:line="276" w:lineRule="auto"/>
        <w:rPr>
          <w:rFonts w:cs="Arial"/>
          <w:b/>
          <w:bCs/>
          <w:szCs w:val="16"/>
        </w:rPr>
      </w:pPr>
      <w:r>
        <w:rPr>
          <w:rFonts w:cs="Arial"/>
          <w:b/>
          <w:bCs/>
          <w:szCs w:val="16"/>
        </w:rPr>
        <w:br w:type="page"/>
      </w:r>
    </w:p>
    <w:p w14:paraId="3CEC3866" w14:textId="77777777" w:rsidR="00B05769" w:rsidRDefault="00B05769" w:rsidP="002F672B">
      <w:pPr>
        <w:rPr>
          <w:rFonts w:cs="Arial"/>
          <w:b/>
          <w:bCs/>
          <w:szCs w:val="16"/>
        </w:rPr>
      </w:pPr>
    </w:p>
    <w:p w14:paraId="4D3C73B4" w14:textId="77777777" w:rsidR="002F672B" w:rsidRPr="002F672B" w:rsidRDefault="002F672B" w:rsidP="002F672B">
      <w:pPr>
        <w:rPr>
          <w:rFonts w:cs="Arial"/>
          <w:b/>
          <w:bCs/>
          <w:szCs w:val="16"/>
        </w:rPr>
      </w:pPr>
      <w:r w:rsidRPr="002F672B">
        <w:rPr>
          <w:rFonts w:cs="Arial"/>
          <w:b/>
          <w:bCs/>
          <w:szCs w:val="16"/>
        </w:rPr>
        <w:t>Expected Range of Responses for Each Outcome and Category, FFY 2024</w:t>
      </w:r>
    </w:p>
    <w:tbl>
      <w:tblPr>
        <w:tblStyle w:val="TableGrid1"/>
        <w:tblW w:w="5008" w:type="pct"/>
        <w:tblLook w:val="04A0" w:firstRow="1" w:lastRow="0" w:firstColumn="1" w:lastColumn="0" w:noHBand="0" w:noVBand="1"/>
        <w:tblCaption w:val="CAPPBOTCCATRNG"/>
        <w:tblDescription w:val="Outcome\Category"/>
      </w:tblPr>
      <w:tblGrid>
        <w:gridCol w:w="2883"/>
        <w:gridCol w:w="1976"/>
        <w:gridCol w:w="1991"/>
        <w:gridCol w:w="1986"/>
        <w:gridCol w:w="1971"/>
      </w:tblGrid>
      <w:tr w:rsidR="002F672B" w:rsidRPr="002F672B" w14:paraId="3B2A705C" w14:textId="77777777" w:rsidTr="002F672B">
        <w:tc>
          <w:tcPr>
            <w:tcW w:w="1334" w:type="pct"/>
            <w:noWrap/>
            <w:hideMark/>
          </w:tcPr>
          <w:p w14:paraId="232F8CBF" w14:textId="77777777" w:rsidR="002F672B" w:rsidRPr="002F672B" w:rsidRDefault="002F672B" w:rsidP="002F672B">
            <w:pPr>
              <w:rPr>
                <w:rFonts w:cs="Arial"/>
                <w:b/>
                <w:szCs w:val="16"/>
              </w:rPr>
            </w:pPr>
            <w:r w:rsidRPr="002F672B">
              <w:rPr>
                <w:rFonts w:cs="Arial"/>
                <w:b/>
                <w:bCs/>
                <w:szCs w:val="16"/>
              </w:rPr>
              <w:t>Outcome\ Category</w:t>
            </w:r>
          </w:p>
        </w:tc>
        <w:tc>
          <w:tcPr>
            <w:tcW w:w="914" w:type="pct"/>
            <w:noWrap/>
            <w:hideMark/>
          </w:tcPr>
          <w:p w14:paraId="72373262" w14:textId="77777777" w:rsidR="002F672B" w:rsidRPr="002F672B" w:rsidRDefault="002F672B" w:rsidP="00E415ED">
            <w:pPr>
              <w:jc w:val="center"/>
              <w:rPr>
                <w:rFonts w:cs="Arial"/>
                <w:b/>
                <w:bCs/>
                <w:szCs w:val="16"/>
              </w:rPr>
            </w:pPr>
            <w:r w:rsidRPr="002F672B">
              <w:rPr>
                <w:rFonts w:cs="Arial"/>
                <w:b/>
                <w:bCs/>
                <w:szCs w:val="16"/>
              </w:rPr>
              <w:t>Mean</w:t>
            </w:r>
          </w:p>
        </w:tc>
        <w:tc>
          <w:tcPr>
            <w:tcW w:w="921" w:type="pct"/>
            <w:noWrap/>
            <w:hideMark/>
          </w:tcPr>
          <w:p w14:paraId="4A94BFE1" w14:textId="77777777" w:rsidR="002F672B" w:rsidRPr="002F672B" w:rsidRDefault="002F672B" w:rsidP="00E415ED">
            <w:pPr>
              <w:jc w:val="center"/>
              <w:rPr>
                <w:rFonts w:cs="Arial"/>
                <w:b/>
                <w:bCs/>
                <w:szCs w:val="16"/>
              </w:rPr>
            </w:pPr>
            <w:proofErr w:type="spellStart"/>
            <w:r w:rsidRPr="002F672B">
              <w:rPr>
                <w:rFonts w:cs="Arial"/>
                <w:b/>
                <w:bCs/>
                <w:szCs w:val="16"/>
              </w:rPr>
              <w:t>StDev</w:t>
            </w:r>
            <w:proofErr w:type="spellEnd"/>
          </w:p>
        </w:tc>
        <w:tc>
          <w:tcPr>
            <w:tcW w:w="919" w:type="pct"/>
            <w:noWrap/>
            <w:hideMark/>
          </w:tcPr>
          <w:p w14:paraId="4791F254" w14:textId="77777777" w:rsidR="002F672B" w:rsidRPr="002F672B" w:rsidRDefault="002F672B" w:rsidP="00E415ED">
            <w:pPr>
              <w:jc w:val="center"/>
              <w:rPr>
                <w:rFonts w:cs="Arial"/>
                <w:b/>
                <w:bCs/>
                <w:szCs w:val="16"/>
              </w:rPr>
            </w:pPr>
            <w:r w:rsidRPr="002F672B">
              <w:rPr>
                <w:rFonts w:cs="Arial"/>
                <w:b/>
                <w:bCs/>
                <w:szCs w:val="16"/>
              </w:rPr>
              <w:t>-1SD</w:t>
            </w:r>
          </w:p>
        </w:tc>
        <w:tc>
          <w:tcPr>
            <w:tcW w:w="912" w:type="pct"/>
            <w:noWrap/>
            <w:hideMark/>
          </w:tcPr>
          <w:p w14:paraId="450A6751" w14:textId="77777777" w:rsidR="002F672B" w:rsidRPr="002F672B" w:rsidRDefault="002F672B" w:rsidP="00E415ED">
            <w:pPr>
              <w:jc w:val="center"/>
              <w:rPr>
                <w:rFonts w:cs="Arial"/>
                <w:b/>
                <w:bCs/>
                <w:szCs w:val="16"/>
              </w:rPr>
            </w:pPr>
            <w:r w:rsidRPr="002F672B">
              <w:rPr>
                <w:rFonts w:cs="Arial"/>
                <w:b/>
                <w:bCs/>
                <w:szCs w:val="16"/>
              </w:rPr>
              <w:t>+1SD</w:t>
            </w:r>
          </w:p>
        </w:tc>
      </w:tr>
      <w:tr w:rsidR="00B7099E" w:rsidRPr="002F672B" w14:paraId="2FC38792" w14:textId="77777777" w:rsidTr="00066166">
        <w:tc>
          <w:tcPr>
            <w:tcW w:w="1334" w:type="pct"/>
            <w:noWrap/>
            <w:hideMark/>
          </w:tcPr>
          <w:p w14:paraId="66253C68" w14:textId="77777777" w:rsidR="00B7099E" w:rsidRPr="002F672B" w:rsidRDefault="00B7099E" w:rsidP="00B7099E">
            <w:pPr>
              <w:rPr>
                <w:rFonts w:cs="Arial"/>
                <w:b/>
                <w:bCs/>
                <w:szCs w:val="16"/>
              </w:rPr>
            </w:pPr>
            <w:r w:rsidRPr="002F672B">
              <w:rPr>
                <w:rFonts w:cs="Arial"/>
                <w:b/>
                <w:bCs/>
                <w:szCs w:val="16"/>
              </w:rPr>
              <w:t>Outcome A\ Category a</w:t>
            </w:r>
          </w:p>
        </w:tc>
        <w:tc>
          <w:tcPr>
            <w:tcW w:w="914" w:type="pct"/>
            <w:noWrap/>
          </w:tcPr>
          <w:p w14:paraId="3D8B4A75" w14:textId="77777777" w:rsidR="00B7099E" w:rsidRPr="00AB65CA" w:rsidRDefault="00B7099E" w:rsidP="00B7099E">
            <w:pPr>
              <w:jc w:val="center"/>
              <w:rPr>
                <w:rFonts w:cs="Arial"/>
                <w:b/>
                <w:szCs w:val="16"/>
              </w:rPr>
            </w:pPr>
            <w:r w:rsidRPr="00F175F8">
              <w:t>1.49</w:t>
            </w:r>
          </w:p>
        </w:tc>
        <w:tc>
          <w:tcPr>
            <w:tcW w:w="921" w:type="pct"/>
            <w:noWrap/>
          </w:tcPr>
          <w:p w14:paraId="23B43AD4" w14:textId="77777777" w:rsidR="00B7099E" w:rsidRPr="00AB65CA" w:rsidRDefault="00B7099E" w:rsidP="00B7099E">
            <w:pPr>
              <w:jc w:val="center"/>
              <w:rPr>
                <w:rFonts w:cs="Arial"/>
                <w:b/>
                <w:szCs w:val="16"/>
              </w:rPr>
            </w:pPr>
            <w:r w:rsidRPr="00F175F8">
              <w:t>3.27</w:t>
            </w:r>
          </w:p>
        </w:tc>
        <w:tc>
          <w:tcPr>
            <w:tcW w:w="919" w:type="pct"/>
            <w:noWrap/>
          </w:tcPr>
          <w:p w14:paraId="5441A610" w14:textId="77777777" w:rsidR="00B7099E" w:rsidRPr="00AB65CA" w:rsidRDefault="00B7099E" w:rsidP="00B7099E">
            <w:pPr>
              <w:jc w:val="center"/>
              <w:rPr>
                <w:rFonts w:cs="Arial"/>
                <w:b/>
                <w:szCs w:val="16"/>
              </w:rPr>
            </w:pPr>
            <w:r w:rsidRPr="00F175F8">
              <w:t>-1.78</w:t>
            </w:r>
          </w:p>
        </w:tc>
        <w:tc>
          <w:tcPr>
            <w:tcW w:w="912" w:type="pct"/>
            <w:noWrap/>
          </w:tcPr>
          <w:p w14:paraId="758CA5DA" w14:textId="77777777" w:rsidR="00B7099E" w:rsidRPr="00AB65CA" w:rsidRDefault="00B7099E" w:rsidP="00B7099E">
            <w:pPr>
              <w:jc w:val="center"/>
              <w:rPr>
                <w:rFonts w:cs="Arial"/>
                <w:b/>
                <w:szCs w:val="16"/>
              </w:rPr>
            </w:pPr>
            <w:r w:rsidRPr="00F175F8">
              <w:t>4.76</w:t>
            </w:r>
          </w:p>
        </w:tc>
      </w:tr>
      <w:tr w:rsidR="00B7099E" w:rsidRPr="002F672B" w14:paraId="6DDBC63F" w14:textId="77777777" w:rsidTr="00066166">
        <w:tc>
          <w:tcPr>
            <w:tcW w:w="1334" w:type="pct"/>
            <w:noWrap/>
            <w:hideMark/>
          </w:tcPr>
          <w:p w14:paraId="7B34AAC0" w14:textId="77777777" w:rsidR="00B7099E" w:rsidRPr="002F672B" w:rsidRDefault="00B7099E" w:rsidP="00B7099E">
            <w:pPr>
              <w:rPr>
                <w:rFonts w:cs="Arial"/>
                <w:b/>
                <w:bCs/>
                <w:szCs w:val="16"/>
              </w:rPr>
            </w:pPr>
            <w:r w:rsidRPr="002F672B">
              <w:rPr>
                <w:rFonts w:cs="Arial"/>
                <w:b/>
                <w:bCs/>
                <w:szCs w:val="16"/>
              </w:rPr>
              <w:t>Outcome B\ Category a</w:t>
            </w:r>
          </w:p>
        </w:tc>
        <w:tc>
          <w:tcPr>
            <w:tcW w:w="914" w:type="pct"/>
            <w:noWrap/>
          </w:tcPr>
          <w:p w14:paraId="2E87893A" w14:textId="77777777" w:rsidR="00B7099E" w:rsidRPr="00AB65CA" w:rsidRDefault="00B7099E" w:rsidP="00B7099E">
            <w:pPr>
              <w:jc w:val="center"/>
              <w:rPr>
                <w:rFonts w:cs="Arial"/>
                <w:b/>
                <w:szCs w:val="16"/>
              </w:rPr>
            </w:pPr>
            <w:r w:rsidRPr="00F175F8">
              <w:t>1.29</w:t>
            </w:r>
          </w:p>
        </w:tc>
        <w:tc>
          <w:tcPr>
            <w:tcW w:w="921" w:type="pct"/>
            <w:noWrap/>
          </w:tcPr>
          <w:p w14:paraId="20A84B1E" w14:textId="77777777" w:rsidR="00B7099E" w:rsidRPr="00AB65CA" w:rsidRDefault="00B7099E" w:rsidP="00B7099E">
            <w:pPr>
              <w:jc w:val="center"/>
              <w:rPr>
                <w:rFonts w:cs="Arial"/>
                <w:b/>
                <w:szCs w:val="16"/>
              </w:rPr>
            </w:pPr>
            <w:r w:rsidRPr="00F175F8">
              <w:t>2.82</w:t>
            </w:r>
          </w:p>
        </w:tc>
        <w:tc>
          <w:tcPr>
            <w:tcW w:w="919" w:type="pct"/>
            <w:noWrap/>
          </w:tcPr>
          <w:p w14:paraId="73567797" w14:textId="77777777" w:rsidR="00B7099E" w:rsidRPr="00AB65CA" w:rsidRDefault="00B7099E" w:rsidP="00B7099E">
            <w:pPr>
              <w:jc w:val="center"/>
              <w:rPr>
                <w:rFonts w:cs="Arial"/>
                <w:b/>
                <w:szCs w:val="16"/>
              </w:rPr>
            </w:pPr>
            <w:r w:rsidRPr="00F175F8">
              <w:t>-1.52</w:t>
            </w:r>
          </w:p>
        </w:tc>
        <w:tc>
          <w:tcPr>
            <w:tcW w:w="912" w:type="pct"/>
            <w:noWrap/>
          </w:tcPr>
          <w:p w14:paraId="5736D6D0" w14:textId="77777777" w:rsidR="00B7099E" w:rsidRPr="00AB65CA" w:rsidRDefault="00B7099E" w:rsidP="00B7099E">
            <w:pPr>
              <w:jc w:val="center"/>
              <w:rPr>
                <w:rFonts w:cs="Arial"/>
                <w:b/>
                <w:szCs w:val="16"/>
              </w:rPr>
            </w:pPr>
            <w:r w:rsidRPr="00F175F8">
              <w:t>4.11</w:t>
            </w:r>
          </w:p>
        </w:tc>
      </w:tr>
      <w:tr w:rsidR="00B7099E" w:rsidRPr="002F672B" w14:paraId="56166F7D" w14:textId="77777777" w:rsidTr="00066166">
        <w:tc>
          <w:tcPr>
            <w:tcW w:w="1334" w:type="pct"/>
            <w:noWrap/>
            <w:hideMark/>
          </w:tcPr>
          <w:p w14:paraId="2351532D" w14:textId="77777777" w:rsidR="00B7099E" w:rsidRPr="002F672B" w:rsidRDefault="00B7099E" w:rsidP="00B7099E">
            <w:pPr>
              <w:rPr>
                <w:rFonts w:cs="Arial"/>
                <w:b/>
                <w:bCs/>
                <w:szCs w:val="16"/>
              </w:rPr>
            </w:pPr>
            <w:r w:rsidRPr="002F672B">
              <w:rPr>
                <w:rFonts w:cs="Arial"/>
                <w:b/>
                <w:bCs/>
                <w:szCs w:val="16"/>
              </w:rPr>
              <w:t>Outcome C\ Category a</w:t>
            </w:r>
          </w:p>
        </w:tc>
        <w:tc>
          <w:tcPr>
            <w:tcW w:w="914" w:type="pct"/>
            <w:noWrap/>
          </w:tcPr>
          <w:p w14:paraId="01F0BB98" w14:textId="77777777" w:rsidR="00B7099E" w:rsidRPr="00AB65CA" w:rsidRDefault="00B7099E" w:rsidP="00B7099E">
            <w:pPr>
              <w:jc w:val="center"/>
              <w:rPr>
                <w:rFonts w:cs="Arial"/>
                <w:b/>
                <w:szCs w:val="16"/>
              </w:rPr>
            </w:pPr>
            <w:r w:rsidRPr="00F175F8">
              <w:t>1.29</w:t>
            </w:r>
          </w:p>
        </w:tc>
        <w:tc>
          <w:tcPr>
            <w:tcW w:w="921" w:type="pct"/>
            <w:noWrap/>
          </w:tcPr>
          <w:p w14:paraId="0B596C52" w14:textId="77777777" w:rsidR="00B7099E" w:rsidRPr="00AB65CA" w:rsidRDefault="00B7099E" w:rsidP="00B7099E">
            <w:pPr>
              <w:jc w:val="center"/>
              <w:rPr>
                <w:rFonts w:cs="Arial"/>
                <w:b/>
                <w:szCs w:val="16"/>
              </w:rPr>
            </w:pPr>
            <w:r w:rsidRPr="00F175F8">
              <w:t>2.8</w:t>
            </w:r>
          </w:p>
        </w:tc>
        <w:tc>
          <w:tcPr>
            <w:tcW w:w="919" w:type="pct"/>
            <w:noWrap/>
          </w:tcPr>
          <w:p w14:paraId="009D3ED1" w14:textId="77777777" w:rsidR="00B7099E" w:rsidRPr="00AB65CA" w:rsidRDefault="00B7099E" w:rsidP="00B7099E">
            <w:pPr>
              <w:jc w:val="center"/>
              <w:rPr>
                <w:rFonts w:cs="Arial"/>
                <w:b/>
                <w:szCs w:val="16"/>
              </w:rPr>
            </w:pPr>
            <w:r w:rsidRPr="00F175F8">
              <w:t>-1.51</w:t>
            </w:r>
          </w:p>
        </w:tc>
        <w:tc>
          <w:tcPr>
            <w:tcW w:w="912" w:type="pct"/>
            <w:noWrap/>
          </w:tcPr>
          <w:p w14:paraId="2B7F84CD" w14:textId="77777777" w:rsidR="00B7099E" w:rsidRPr="00AB65CA" w:rsidRDefault="00B7099E" w:rsidP="00B7099E">
            <w:pPr>
              <w:jc w:val="center"/>
              <w:rPr>
                <w:rFonts w:cs="Arial"/>
                <w:b/>
                <w:szCs w:val="16"/>
              </w:rPr>
            </w:pPr>
            <w:r w:rsidRPr="00F175F8">
              <w:t>4.09</w:t>
            </w:r>
          </w:p>
        </w:tc>
      </w:tr>
    </w:tbl>
    <w:p w14:paraId="35BFE3A4" w14:textId="77777777" w:rsidR="00891EAC" w:rsidRDefault="00891EAC" w:rsidP="0081611B">
      <w:pPr>
        <w:rPr>
          <w:rFonts w:cs="Arial"/>
          <w:b/>
          <w:szCs w:val="16"/>
        </w:rPr>
      </w:pPr>
    </w:p>
    <w:tbl>
      <w:tblPr>
        <w:tblStyle w:val="TableGrid"/>
        <w:tblW w:w="5012" w:type="pct"/>
        <w:tblLook w:val="04A0" w:firstRow="1" w:lastRow="0" w:firstColumn="1" w:lastColumn="0" w:noHBand="0" w:noVBand="1"/>
        <w:tblCaption w:val="CAPPBOTCCATSD"/>
        <w:tblDescription w:val="Outcome\Category"/>
      </w:tblPr>
      <w:tblGrid>
        <w:gridCol w:w="2886"/>
        <w:gridCol w:w="1977"/>
        <w:gridCol w:w="1988"/>
        <w:gridCol w:w="1990"/>
        <w:gridCol w:w="1975"/>
      </w:tblGrid>
      <w:tr w:rsidR="00891EAC" w:rsidRPr="00F83501" w14:paraId="4BD84B6A" w14:textId="77777777" w:rsidTr="00891EAC">
        <w:tc>
          <w:tcPr>
            <w:tcW w:w="1334" w:type="pct"/>
            <w:noWrap/>
            <w:hideMark/>
          </w:tcPr>
          <w:p w14:paraId="1D8CE8D7" w14:textId="77777777" w:rsidR="00891EAC" w:rsidRPr="00B05769" w:rsidRDefault="00891EAC">
            <w:pPr>
              <w:keepNext/>
              <w:rPr>
                <w:rFonts w:cs="Arial"/>
                <w:b/>
                <w:bCs/>
                <w:szCs w:val="16"/>
              </w:rPr>
            </w:pPr>
            <w:r w:rsidRPr="00B05769">
              <w:rPr>
                <w:rFonts w:cs="Arial"/>
                <w:b/>
                <w:bCs/>
                <w:szCs w:val="16"/>
              </w:rPr>
              <w:t>Outcome\ Category</w:t>
            </w:r>
          </w:p>
        </w:tc>
        <w:tc>
          <w:tcPr>
            <w:tcW w:w="914" w:type="pct"/>
            <w:noWrap/>
            <w:hideMark/>
          </w:tcPr>
          <w:p w14:paraId="41CD46EA" w14:textId="77777777" w:rsidR="00891EAC" w:rsidRPr="00B05769" w:rsidRDefault="00891EAC">
            <w:pPr>
              <w:keepNext/>
              <w:jc w:val="center"/>
              <w:rPr>
                <w:rFonts w:cs="Arial"/>
                <w:b/>
                <w:bCs/>
                <w:szCs w:val="16"/>
              </w:rPr>
            </w:pPr>
            <w:r w:rsidRPr="00B05769">
              <w:rPr>
                <w:rFonts w:cs="Arial"/>
                <w:b/>
                <w:bCs/>
                <w:szCs w:val="16"/>
              </w:rPr>
              <w:t>Mean</w:t>
            </w:r>
          </w:p>
        </w:tc>
        <w:tc>
          <w:tcPr>
            <w:tcW w:w="919" w:type="pct"/>
            <w:noWrap/>
            <w:hideMark/>
          </w:tcPr>
          <w:p w14:paraId="7B264B6E" w14:textId="77777777" w:rsidR="00891EAC" w:rsidRPr="00B05769" w:rsidRDefault="00891EAC">
            <w:pPr>
              <w:keepNext/>
              <w:jc w:val="center"/>
              <w:rPr>
                <w:rFonts w:cs="Arial"/>
                <w:b/>
                <w:bCs/>
                <w:szCs w:val="16"/>
              </w:rPr>
            </w:pPr>
            <w:proofErr w:type="spellStart"/>
            <w:r w:rsidRPr="00B05769">
              <w:rPr>
                <w:rFonts w:cs="Arial"/>
                <w:b/>
                <w:bCs/>
                <w:szCs w:val="16"/>
              </w:rPr>
              <w:t>StDev</w:t>
            </w:r>
            <w:proofErr w:type="spellEnd"/>
          </w:p>
        </w:tc>
        <w:tc>
          <w:tcPr>
            <w:tcW w:w="920" w:type="pct"/>
            <w:noWrap/>
            <w:hideMark/>
          </w:tcPr>
          <w:p w14:paraId="0728C5A8" w14:textId="77777777" w:rsidR="00891EAC" w:rsidRPr="00B05769" w:rsidRDefault="00891EAC">
            <w:pPr>
              <w:keepNext/>
              <w:jc w:val="center"/>
              <w:rPr>
                <w:rFonts w:cs="Arial"/>
                <w:b/>
                <w:bCs/>
                <w:szCs w:val="16"/>
              </w:rPr>
            </w:pPr>
            <w:r w:rsidRPr="00B05769">
              <w:rPr>
                <w:rFonts w:cs="Arial"/>
                <w:b/>
                <w:bCs/>
                <w:szCs w:val="16"/>
              </w:rPr>
              <w:t>-2SD</w:t>
            </w:r>
          </w:p>
        </w:tc>
        <w:tc>
          <w:tcPr>
            <w:tcW w:w="913" w:type="pct"/>
            <w:noWrap/>
            <w:hideMark/>
          </w:tcPr>
          <w:p w14:paraId="423379E6" w14:textId="77777777" w:rsidR="00891EAC" w:rsidRPr="00B05769" w:rsidRDefault="00891EAC">
            <w:pPr>
              <w:keepNext/>
              <w:jc w:val="center"/>
              <w:rPr>
                <w:rFonts w:cs="Arial"/>
                <w:b/>
                <w:bCs/>
                <w:szCs w:val="16"/>
              </w:rPr>
            </w:pPr>
            <w:r w:rsidRPr="00B05769">
              <w:rPr>
                <w:rFonts w:cs="Arial"/>
                <w:b/>
                <w:bCs/>
                <w:szCs w:val="16"/>
              </w:rPr>
              <w:t>+2SD</w:t>
            </w:r>
          </w:p>
        </w:tc>
      </w:tr>
      <w:tr w:rsidR="00B7099E" w:rsidRPr="00F83501" w14:paraId="120B4276" w14:textId="77777777" w:rsidTr="00066166">
        <w:tc>
          <w:tcPr>
            <w:tcW w:w="1334" w:type="pct"/>
            <w:noWrap/>
            <w:hideMark/>
          </w:tcPr>
          <w:p w14:paraId="43D1F9B3" w14:textId="77777777" w:rsidR="00B7099E" w:rsidRPr="00B05769" w:rsidRDefault="00B7099E" w:rsidP="00B7099E">
            <w:pPr>
              <w:keepNext/>
              <w:rPr>
                <w:rFonts w:cs="Arial"/>
                <w:b/>
                <w:bCs/>
                <w:szCs w:val="16"/>
              </w:rPr>
            </w:pPr>
            <w:r w:rsidRPr="00B05769">
              <w:rPr>
                <w:rFonts w:cs="Arial"/>
                <w:b/>
                <w:bCs/>
                <w:szCs w:val="16"/>
              </w:rPr>
              <w:t>Outcome A\ Category b</w:t>
            </w:r>
          </w:p>
        </w:tc>
        <w:tc>
          <w:tcPr>
            <w:tcW w:w="914" w:type="pct"/>
            <w:noWrap/>
            <w:hideMark/>
          </w:tcPr>
          <w:p w14:paraId="696519D9" w14:textId="77777777" w:rsidR="00B7099E" w:rsidRPr="00AB65CA" w:rsidRDefault="00B7099E" w:rsidP="00B7099E">
            <w:pPr>
              <w:keepNext/>
              <w:tabs>
                <w:tab w:val="decimal" w:pos="882"/>
              </w:tabs>
              <w:rPr>
                <w:rFonts w:cs="Arial"/>
                <w:color w:val="000000"/>
                <w:szCs w:val="16"/>
              </w:rPr>
            </w:pPr>
            <w:r w:rsidRPr="00FE152A">
              <w:t>24.44</w:t>
            </w:r>
          </w:p>
        </w:tc>
        <w:tc>
          <w:tcPr>
            <w:tcW w:w="919" w:type="pct"/>
            <w:noWrap/>
            <w:hideMark/>
          </w:tcPr>
          <w:p w14:paraId="669D8128" w14:textId="77777777" w:rsidR="00B7099E" w:rsidRPr="00AB65CA" w:rsidRDefault="00B7099E" w:rsidP="00B7099E">
            <w:pPr>
              <w:keepNext/>
              <w:tabs>
                <w:tab w:val="decimal" w:pos="886"/>
              </w:tabs>
              <w:rPr>
                <w:rFonts w:cs="Arial"/>
                <w:color w:val="000000"/>
                <w:szCs w:val="16"/>
              </w:rPr>
            </w:pPr>
            <w:r w:rsidRPr="00FE152A">
              <w:t>9.04</w:t>
            </w:r>
          </w:p>
        </w:tc>
        <w:tc>
          <w:tcPr>
            <w:tcW w:w="920" w:type="pct"/>
            <w:noWrap/>
            <w:hideMark/>
          </w:tcPr>
          <w:p w14:paraId="4370C7E1" w14:textId="77777777" w:rsidR="00B7099E" w:rsidRPr="00AB65CA" w:rsidRDefault="00B7099E" w:rsidP="00B7099E">
            <w:pPr>
              <w:keepNext/>
              <w:tabs>
                <w:tab w:val="decimal" w:pos="886"/>
              </w:tabs>
              <w:rPr>
                <w:rFonts w:cs="Arial"/>
                <w:color w:val="000000"/>
                <w:szCs w:val="16"/>
              </w:rPr>
            </w:pPr>
            <w:r w:rsidRPr="00FE152A">
              <w:t>6.36</w:t>
            </w:r>
          </w:p>
        </w:tc>
        <w:tc>
          <w:tcPr>
            <w:tcW w:w="913" w:type="pct"/>
            <w:noWrap/>
            <w:hideMark/>
          </w:tcPr>
          <w:p w14:paraId="58B0CF3D" w14:textId="77777777" w:rsidR="00B7099E" w:rsidRPr="00AB65CA" w:rsidRDefault="00B7099E" w:rsidP="00B7099E">
            <w:pPr>
              <w:keepNext/>
              <w:tabs>
                <w:tab w:val="decimal" w:pos="946"/>
              </w:tabs>
              <w:rPr>
                <w:rFonts w:cs="Arial"/>
                <w:color w:val="000000"/>
                <w:szCs w:val="16"/>
              </w:rPr>
            </w:pPr>
            <w:r w:rsidRPr="00FE152A">
              <w:t>42.52</w:t>
            </w:r>
          </w:p>
        </w:tc>
      </w:tr>
      <w:tr w:rsidR="00B7099E" w:rsidRPr="00F83501" w14:paraId="019DB53D" w14:textId="77777777" w:rsidTr="00066166">
        <w:tc>
          <w:tcPr>
            <w:tcW w:w="1334" w:type="pct"/>
            <w:noWrap/>
            <w:hideMark/>
          </w:tcPr>
          <w:p w14:paraId="5501608A" w14:textId="77777777" w:rsidR="00B7099E" w:rsidRPr="00B05769" w:rsidRDefault="00B7099E" w:rsidP="00B7099E">
            <w:pPr>
              <w:keepNext/>
              <w:rPr>
                <w:rFonts w:cs="Arial"/>
                <w:b/>
                <w:bCs/>
                <w:szCs w:val="16"/>
              </w:rPr>
            </w:pPr>
            <w:r w:rsidRPr="00B05769">
              <w:rPr>
                <w:rFonts w:cs="Arial"/>
                <w:b/>
                <w:bCs/>
                <w:szCs w:val="16"/>
              </w:rPr>
              <w:t>Outcome A\ Category c</w:t>
            </w:r>
          </w:p>
        </w:tc>
        <w:tc>
          <w:tcPr>
            <w:tcW w:w="914" w:type="pct"/>
            <w:noWrap/>
            <w:hideMark/>
          </w:tcPr>
          <w:p w14:paraId="30E16666" w14:textId="77777777" w:rsidR="00B7099E" w:rsidRPr="00AB65CA" w:rsidRDefault="00B7099E" w:rsidP="00B7099E">
            <w:pPr>
              <w:keepNext/>
              <w:tabs>
                <w:tab w:val="decimal" w:pos="882"/>
              </w:tabs>
              <w:rPr>
                <w:rFonts w:cs="Arial"/>
                <w:color w:val="000000"/>
                <w:szCs w:val="16"/>
              </w:rPr>
            </w:pPr>
            <w:r w:rsidRPr="00FE152A">
              <w:t>22.25</w:t>
            </w:r>
          </w:p>
        </w:tc>
        <w:tc>
          <w:tcPr>
            <w:tcW w:w="919" w:type="pct"/>
            <w:noWrap/>
            <w:hideMark/>
          </w:tcPr>
          <w:p w14:paraId="52222FD8" w14:textId="77777777" w:rsidR="00B7099E" w:rsidRPr="00AB65CA" w:rsidRDefault="00B7099E" w:rsidP="00B7099E">
            <w:pPr>
              <w:keepNext/>
              <w:tabs>
                <w:tab w:val="decimal" w:pos="886"/>
              </w:tabs>
              <w:rPr>
                <w:rFonts w:cs="Arial"/>
                <w:color w:val="000000"/>
                <w:szCs w:val="16"/>
              </w:rPr>
            </w:pPr>
            <w:r w:rsidRPr="00FE152A">
              <w:t>13.92</w:t>
            </w:r>
          </w:p>
        </w:tc>
        <w:tc>
          <w:tcPr>
            <w:tcW w:w="920" w:type="pct"/>
            <w:noWrap/>
            <w:hideMark/>
          </w:tcPr>
          <w:p w14:paraId="049254AE" w14:textId="77777777" w:rsidR="00B7099E" w:rsidRPr="00AB65CA" w:rsidRDefault="00B7099E" w:rsidP="00B7099E">
            <w:pPr>
              <w:keepNext/>
              <w:tabs>
                <w:tab w:val="decimal" w:pos="886"/>
              </w:tabs>
              <w:rPr>
                <w:rFonts w:cs="Arial"/>
                <w:color w:val="000000"/>
                <w:szCs w:val="16"/>
              </w:rPr>
            </w:pPr>
            <w:r w:rsidRPr="00FE152A">
              <w:t>-5.6</w:t>
            </w:r>
          </w:p>
        </w:tc>
        <w:tc>
          <w:tcPr>
            <w:tcW w:w="913" w:type="pct"/>
            <w:noWrap/>
            <w:hideMark/>
          </w:tcPr>
          <w:p w14:paraId="7CC73734" w14:textId="77777777" w:rsidR="00B7099E" w:rsidRPr="00AB65CA" w:rsidRDefault="00B7099E" w:rsidP="00B7099E">
            <w:pPr>
              <w:keepNext/>
              <w:tabs>
                <w:tab w:val="decimal" w:pos="946"/>
              </w:tabs>
              <w:rPr>
                <w:rFonts w:cs="Arial"/>
                <w:color w:val="000000"/>
                <w:szCs w:val="16"/>
              </w:rPr>
            </w:pPr>
            <w:r w:rsidRPr="00FE152A">
              <w:t>50.09</w:t>
            </w:r>
          </w:p>
        </w:tc>
      </w:tr>
      <w:tr w:rsidR="00B7099E" w:rsidRPr="00F83501" w14:paraId="52E5197B" w14:textId="77777777" w:rsidTr="00066166">
        <w:tc>
          <w:tcPr>
            <w:tcW w:w="1334" w:type="pct"/>
            <w:noWrap/>
            <w:hideMark/>
          </w:tcPr>
          <w:p w14:paraId="1A3E95A4" w14:textId="77777777" w:rsidR="00B7099E" w:rsidRPr="00B05769" w:rsidRDefault="00B7099E" w:rsidP="00B7099E">
            <w:pPr>
              <w:keepNext/>
              <w:rPr>
                <w:rFonts w:cs="Arial"/>
                <w:b/>
                <w:bCs/>
                <w:szCs w:val="16"/>
              </w:rPr>
            </w:pPr>
            <w:r w:rsidRPr="00B05769">
              <w:rPr>
                <w:rFonts w:cs="Arial"/>
                <w:b/>
                <w:bCs/>
                <w:szCs w:val="16"/>
              </w:rPr>
              <w:t>Outcome A\ Category d</w:t>
            </w:r>
          </w:p>
        </w:tc>
        <w:tc>
          <w:tcPr>
            <w:tcW w:w="914" w:type="pct"/>
            <w:noWrap/>
            <w:hideMark/>
          </w:tcPr>
          <w:p w14:paraId="6DFF7C0F" w14:textId="77777777" w:rsidR="00B7099E" w:rsidRPr="00AB65CA" w:rsidRDefault="00B7099E" w:rsidP="00B7099E">
            <w:pPr>
              <w:keepNext/>
              <w:tabs>
                <w:tab w:val="decimal" w:pos="882"/>
              </w:tabs>
              <w:rPr>
                <w:rFonts w:cs="Arial"/>
                <w:color w:val="000000"/>
                <w:szCs w:val="16"/>
              </w:rPr>
            </w:pPr>
            <w:r w:rsidRPr="00FE152A">
              <w:t>26.34</w:t>
            </w:r>
          </w:p>
        </w:tc>
        <w:tc>
          <w:tcPr>
            <w:tcW w:w="919" w:type="pct"/>
            <w:noWrap/>
            <w:hideMark/>
          </w:tcPr>
          <w:p w14:paraId="7D473BBA" w14:textId="77777777" w:rsidR="00B7099E" w:rsidRPr="00AB65CA" w:rsidRDefault="00B7099E" w:rsidP="00B7099E">
            <w:pPr>
              <w:keepNext/>
              <w:tabs>
                <w:tab w:val="decimal" w:pos="886"/>
              </w:tabs>
              <w:rPr>
                <w:rFonts w:cs="Arial"/>
                <w:color w:val="000000"/>
                <w:szCs w:val="16"/>
              </w:rPr>
            </w:pPr>
            <w:r w:rsidRPr="00FE152A">
              <w:t>9.71</w:t>
            </w:r>
          </w:p>
        </w:tc>
        <w:tc>
          <w:tcPr>
            <w:tcW w:w="920" w:type="pct"/>
            <w:noWrap/>
            <w:hideMark/>
          </w:tcPr>
          <w:p w14:paraId="30CB42EF" w14:textId="77777777" w:rsidR="00B7099E" w:rsidRPr="00AB65CA" w:rsidRDefault="00B7099E" w:rsidP="00B7099E">
            <w:pPr>
              <w:keepNext/>
              <w:tabs>
                <w:tab w:val="decimal" w:pos="886"/>
              </w:tabs>
              <w:rPr>
                <w:rFonts w:cs="Arial"/>
                <w:color w:val="000000"/>
                <w:szCs w:val="16"/>
              </w:rPr>
            </w:pPr>
            <w:r w:rsidRPr="00FE152A">
              <w:t>6.92</w:t>
            </w:r>
          </w:p>
        </w:tc>
        <w:tc>
          <w:tcPr>
            <w:tcW w:w="913" w:type="pct"/>
            <w:noWrap/>
            <w:hideMark/>
          </w:tcPr>
          <w:p w14:paraId="00D3A81D" w14:textId="77777777" w:rsidR="00B7099E" w:rsidRPr="00AB65CA" w:rsidRDefault="00B7099E" w:rsidP="00B7099E">
            <w:pPr>
              <w:keepNext/>
              <w:tabs>
                <w:tab w:val="decimal" w:pos="946"/>
              </w:tabs>
              <w:rPr>
                <w:rFonts w:cs="Arial"/>
                <w:color w:val="000000"/>
                <w:szCs w:val="16"/>
              </w:rPr>
            </w:pPr>
            <w:r w:rsidRPr="00FE152A">
              <w:t>45.76</w:t>
            </w:r>
          </w:p>
        </w:tc>
      </w:tr>
      <w:tr w:rsidR="00B7099E" w:rsidRPr="00F83501" w14:paraId="199BCE8E" w14:textId="77777777" w:rsidTr="00066166">
        <w:tc>
          <w:tcPr>
            <w:tcW w:w="1334" w:type="pct"/>
            <w:noWrap/>
            <w:hideMark/>
          </w:tcPr>
          <w:p w14:paraId="3A0F5F53" w14:textId="77777777" w:rsidR="00B7099E" w:rsidRPr="00B05769" w:rsidRDefault="00B7099E" w:rsidP="00B7099E">
            <w:pPr>
              <w:keepNext/>
              <w:rPr>
                <w:rFonts w:cs="Arial"/>
                <w:b/>
                <w:bCs/>
                <w:szCs w:val="16"/>
              </w:rPr>
            </w:pPr>
            <w:r w:rsidRPr="00B05769">
              <w:rPr>
                <w:rFonts w:cs="Arial"/>
                <w:b/>
                <w:bCs/>
                <w:szCs w:val="16"/>
              </w:rPr>
              <w:t>Outcome A\ Category e</w:t>
            </w:r>
          </w:p>
        </w:tc>
        <w:tc>
          <w:tcPr>
            <w:tcW w:w="914" w:type="pct"/>
            <w:noWrap/>
            <w:hideMark/>
          </w:tcPr>
          <w:p w14:paraId="7AC8B7B5" w14:textId="77777777" w:rsidR="00B7099E" w:rsidRPr="00AB65CA" w:rsidRDefault="00B7099E" w:rsidP="00B7099E">
            <w:pPr>
              <w:keepNext/>
              <w:tabs>
                <w:tab w:val="decimal" w:pos="882"/>
              </w:tabs>
              <w:rPr>
                <w:rFonts w:cs="Arial"/>
                <w:color w:val="000000"/>
                <w:szCs w:val="16"/>
              </w:rPr>
            </w:pPr>
            <w:r w:rsidRPr="00FE152A">
              <w:t>25.48</w:t>
            </w:r>
          </w:p>
        </w:tc>
        <w:tc>
          <w:tcPr>
            <w:tcW w:w="919" w:type="pct"/>
            <w:noWrap/>
            <w:hideMark/>
          </w:tcPr>
          <w:p w14:paraId="013CA2AE" w14:textId="77777777" w:rsidR="00B7099E" w:rsidRPr="00AB65CA" w:rsidRDefault="00B7099E" w:rsidP="00B7099E">
            <w:pPr>
              <w:keepNext/>
              <w:tabs>
                <w:tab w:val="decimal" w:pos="886"/>
              </w:tabs>
              <w:rPr>
                <w:rFonts w:cs="Arial"/>
                <w:color w:val="000000"/>
                <w:szCs w:val="16"/>
              </w:rPr>
            </w:pPr>
            <w:r w:rsidRPr="00FE152A">
              <w:t>16.58</w:t>
            </w:r>
          </w:p>
        </w:tc>
        <w:tc>
          <w:tcPr>
            <w:tcW w:w="920" w:type="pct"/>
            <w:noWrap/>
            <w:hideMark/>
          </w:tcPr>
          <w:p w14:paraId="0E398D82" w14:textId="77777777" w:rsidR="00B7099E" w:rsidRPr="00AB65CA" w:rsidRDefault="00B7099E" w:rsidP="00B7099E">
            <w:pPr>
              <w:keepNext/>
              <w:tabs>
                <w:tab w:val="decimal" w:pos="886"/>
              </w:tabs>
              <w:rPr>
                <w:rFonts w:cs="Arial"/>
                <w:color w:val="000000"/>
                <w:szCs w:val="16"/>
              </w:rPr>
            </w:pPr>
            <w:r w:rsidRPr="00FE152A">
              <w:t>-7.68</w:t>
            </w:r>
          </w:p>
        </w:tc>
        <w:tc>
          <w:tcPr>
            <w:tcW w:w="913" w:type="pct"/>
            <w:noWrap/>
            <w:hideMark/>
          </w:tcPr>
          <w:p w14:paraId="50F672B8" w14:textId="77777777" w:rsidR="00B7099E" w:rsidRPr="00AB65CA" w:rsidRDefault="00B7099E" w:rsidP="00B7099E">
            <w:pPr>
              <w:keepNext/>
              <w:tabs>
                <w:tab w:val="decimal" w:pos="946"/>
              </w:tabs>
              <w:rPr>
                <w:rFonts w:cs="Arial"/>
                <w:color w:val="000000"/>
                <w:szCs w:val="16"/>
              </w:rPr>
            </w:pPr>
            <w:r w:rsidRPr="00FE152A">
              <w:t>58.64</w:t>
            </w:r>
          </w:p>
        </w:tc>
      </w:tr>
      <w:tr w:rsidR="00B7099E" w:rsidRPr="00F83501" w14:paraId="414BE008" w14:textId="77777777" w:rsidTr="00066166">
        <w:tc>
          <w:tcPr>
            <w:tcW w:w="1334" w:type="pct"/>
            <w:noWrap/>
            <w:hideMark/>
          </w:tcPr>
          <w:p w14:paraId="094FE752" w14:textId="77777777" w:rsidR="00B7099E" w:rsidRPr="00B05769" w:rsidRDefault="00B7099E" w:rsidP="00B7099E">
            <w:pPr>
              <w:keepNext/>
              <w:rPr>
                <w:rFonts w:cs="Arial"/>
                <w:b/>
                <w:bCs/>
                <w:szCs w:val="16"/>
              </w:rPr>
            </w:pPr>
            <w:r w:rsidRPr="00B05769">
              <w:rPr>
                <w:rFonts w:cs="Arial"/>
                <w:b/>
                <w:bCs/>
                <w:szCs w:val="16"/>
              </w:rPr>
              <w:t>Outcome B\ Category b</w:t>
            </w:r>
          </w:p>
        </w:tc>
        <w:tc>
          <w:tcPr>
            <w:tcW w:w="914" w:type="pct"/>
            <w:noWrap/>
            <w:hideMark/>
          </w:tcPr>
          <w:p w14:paraId="5969DE13" w14:textId="77777777" w:rsidR="00B7099E" w:rsidRPr="00AB65CA" w:rsidRDefault="00B7099E" w:rsidP="00B7099E">
            <w:pPr>
              <w:keepNext/>
              <w:tabs>
                <w:tab w:val="decimal" w:pos="882"/>
              </w:tabs>
              <w:rPr>
                <w:rFonts w:cs="Arial"/>
                <w:color w:val="000000"/>
                <w:szCs w:val="16"/>
              </w:rPr>
            </w:pPr>
            <w:r w:rsidRPr="00FE152A">
              <w:t>26.03</w:t>
            </w:r>
          </w:p>
        </w:tc>
        <w:tc>
          <w:tcPr>
            <w:tcW w:w="919" w:type="pct"/>
            <w:noWrap/>
            <w:hideMark/>
          </w:tcPr>
          <w:p w14:paraId="4D795BF6" w14:textId="77777777" w:rsidR="00B7099E" w:rsidRPr="00AB65CA" w:rsidRDefault="00B7099E" w:rsidP="00B7099E">
            <w:pPr>
              <w:keepNext/>
              <w:tabs>
                <w:tab w:val="decimal" w:pos="886"/>
              </w:tabs>
              <w:rPr>
                <w:rFonts w:cs="Arial"/>
                <w:color w:val="000000"/>
                <w:szCs w:val="16"/>
              </w:rPr>
            </w:pPr>
            <w:r w:rsidRPr="00FE152A">
              <w:t>9.37</w:t>
            </w:r>
          </w:p>
        </w:tc>
        <w:tc>
          <w:tcPr>
            <w:tcW w:w="920" w:type="pct"/>
            <w:noWrap/>
            <w:hideMark/>
          </w:tcPr>
          <w:p w14:paraId="43C9DD22" w14:textId="77777777" w:rsidR="00B7099E" w:rsidRPr="00AB65CA" w:rsidRDefault="00B7099E" w:rsidP="00B7099E">
            <w:pPr>
              <w:keepNext/>
              <w:tabs>
                <w:tab w:val="decimal" w:pos="886"/>
              </w:tabs>
              <w:rPr>
                <w:rFonts w:cs="Arial"/>
                <w:color w:val="000000"/>
                <w:szCs w:val="16"/>
              </w:rPr>
            </w:pPr>
            <w:r w:rsidRPr="00FE152A">
              <w:t>7.29</w:t>
            </w:r>
          </w:p>
        </w:tc>
        <w:tc>
          <w:tcPr>
            <w:tcW w:w="913" w:type="pct"/>
            <w:noWrap/>
            <w:hideMark/>
          </w:tcPr>
          <w:p w14:paraId="3235495A" w14:textId="77777777" w:rsidR="00B7099E" w:rsidRPr="00AB65CA" w:rsidRDefault="00B7099E" w:rsidP="00B7099E">
            <w:pPr>
              <w:keepNext/>
              <w:tabs>
                <w:tab w:val="decimal" w:pos="946"/>
              </w:tabs>
              <w:rPr>
                <w:rFonts w:cs="Arial"/>
                <w:color w:val="000000"/>
                <w:szCs w:val="16"/>
              </w:rPr>
            </w:pPr>
            <w:r w:rsidRPr="00FE152A">
              <w:t>44.78</w:t>
            </w:r>
          </w:p>
        </w:tc>
      </w:tr>
      <w:tr w:rsidR="00B7099E" w:rsidRPr="00F83501" w14:paraId="41A4D1E4" w14:textId="77777777" w:rsidTr="00066166">
        <w:tc>
          <w:tcPr>
            <w:tcW w:w="1334" w:type="pct"/>
            <w:noWrap/>
            <w:hideMark/>
          </w:tcPr>
          <w:p w14:paraId="16DE60AF" w14:textId="77777777" w:rsidR="00B7099E" w:rsidRPr="00B05769" w:rsidRDefault="00B7099E" w:rsidP="00B7099E">
            <w:pPr>
              <w:keepNext/>
              <w:rPr>
                <w:rFonts w:cs="Arial"/>
                <w:b/>
                <w:bCs/>
                <w:szCs w:val="16"/>
              </w:rPr>
            </w:pPr>
            <w:r w:rsidRPr="00B05769">
              <w:rPr>
                <w:rFonts w:cs="Arial"/>
                <w:b/>
                <w:bCs/>
                <w:szCs w:val="16"/>
              </w:rPr>
              <w:t>Outcome B\ Category c</w:t>
            </w:r>
          </w:p>
        </w:tc>
        <w:tc>
          <w:tcPr>
            <w:tcW w:w="914" w:type="pct"/>
            <w:noWrap/>
            <w:hideMark/>
          </w:tcPr>
          <w:p w14:paraId="6C2FE1E1" w14:textId="77777777" w:rsidR="00B7099E" w:rsidRPr="00AB65CA" w:rsidRDefault="00B7099E" w:rsidP="00B7099E">
            <w:pPr>
              <w:keepNext/>
              <w:tabs>
                <w:tab w:val="decimal" w:pos="882"/>
              </w:tabs>
              <w:rPr>
                <w:rFonts w:cs="Arial"/>
                <w:color w:val="000000"/>
                <w:szCs w:val="16"/>
              </w:rPr>
            </w:pPr>
            <w:r w:rsidRPr="00FE152A">
              <w:t>30.64</w:t>
            </w:r>
          </w:p>
        </w:tc>
        <w:tc>
          <w:tcPr>
            <w:tcW w:w="919" w:type="pct"/>
            <w:noWrap/>
            <w:hideMark/>
          </w:tcPr>
          <w:p w14:paraId="03F95972" w14:textId="77777777" w:rsidR="00B7099E" w:rsidRPr="00AB65CA" w:rsidRDefault="00B7099E" w:rsidP="00B7099E">
            <w:pPr>
              <w:keepNext/>
              <w:tabs>
                <w:tab w:val="decimal" w:pos="886"/>
              </w:tabs>
              <w:rPr>
                <w:rFonts w:cs="Arial"/>
                <w:color w:val="000000"/>
                <w:szCs w:val="16"/>
              </w:rPr>
            </w:pPr>
            <w:r w:rsidRPr="00FE152A">
              <w:t>13.31</w:t>
            </w:r>
          </w:p>
        </w:tc>
        <w:tc>
          <w:tcPr>
            <w:tcW w:w="920" w:type="pct"/>
            <w:noWrap/>
            <w:hideMark/>
          </w:tcPr>
          <w:p w14:paraId="0FE922B0" w14:textId="77777777" w:rsidR="00B7099E" w:rsidRPr="00AB65CA" w:rsidRDefault="00B7099E" w:rsidP="00B7099E">
            <w:pPr>
              <w:keepNext/>
              <w:tabs>
                <w:tab w:val="decimal" w:pos="886"/>
              </w:tabs>
              <w:rPr>
                <w:rFonts w:cs="Arial"/>
                <w:color w:val="000000"/>
                <w:szCs w:val="16"/>
              </w:rPr>
            </w:pPr>
            <w:r w:rsidRPr="00FE152A">
              <w:t>4.01</w:t>
            </w:r>
          </w:p>
        </w:tc>
        <w:tc>
          <w:tcPr>
            <w:tcW w:w="913" w:type="pct"/>
            <w:noWrap/>
            <w:hideMark/>
          </w:tcPr>
          <w:p w14:paraId="7DE47D38" w14:textId="77777777" w:rsidR="00B7099E" w:rsidRPr="00AB65CA" w:rsidRDefault="00B7099E" w:rsidP="00B7099E">
            <w:pPr>
              <w:keepNext/>
              <w:tabs>
                <w:tab w:val="decimal" w:pos="946"/>
              </w:tabs>
              <w:rPr>
                <w:rFonts w:cs="Arial"/>
                <w:color w:val="000000"/>
                <w:szCs w:val="16"/>
              </w:rPr>
            </w:pPr>
            <w:r w:rsidRPr="00FE152A">
              <w:t>57.26</w:t>
            </w:r>
          </w:p>
        </w:tc>
      </w:tr>
      <w:tr w:rsidR="00B7099E" w:rsidRPr="00F83501" w14:paraId="00C2A6C9" w14:textId="77777777" w:rsidTr="00066166">
        <w:tc>
          <w:tcPr>
            <w:tcW w:w="1334" w:type="pct"/>
            <w:noWrap/>
            <w:hideMark/>
          </w:tcPr>
          <w:p w14:paraId="6B14FE1A" w14:textId="77777777" w:rsidR="00B7099E" w:rsidRPr="00B05769" w:rsidRDefault="00B7099E" w:rsidP="00B7099E">
            <w:pPr>
              <w:keepNext/>
              <w:rPr>
                <w:rFonts w:cs="Arial"/>
                <w:b/>
                <w:bCs/>
                <w:szCs w:val="16"/>
              </w:rPr>
            </w:pPr>
            <w:r w:rsidRPr="00B05769">
              <w:rPr>
                <w:rFonts w:cs="Arial"/>
                <w:b/>
                <w:bCs/>
                <w:szCs w:val="16"/>
              </w:rPr>
              <w:t>Outcome B\ Category d</w:t>
            </w:r>
          </w:p>
        </w:tc>
        <w:tc>
          <w:tcPr>
            <w:tcW w:w="914" w:type="pct"/>
            <w:noWrap/>
            <w:hideMark/>
          </w:tcPr>
          <w:p w14:paraId="1F652954" w14:textId="77777777" w:rsidR="00B7099E" w:rsidRPr="00AB65CA" w:rsidRDefault="00B7099E" w:rsidP="00B7099E">
            <w:pPr>
              <w:keepNext/>
              <w:tabs>
                <w:tab w:val="decimal" w:pos="882"/>
              </w:tabs>
              <w:rPr>
                <w:rFonts w:cs="Arial"/>
                <w:color w:val="000000"/>
                <w:szCs w:val="16"/>
              </w:rPr>
            </w:pPr>
            <w:r w:rsidRPr="00FE152A">
              <w:t>29.87</w:t>
            </w:r>
          </w:p>
        </w:tc>
        <w:tc>
          <w:tcPr>
            <w:tcW w:w="919" w:type="pct"/>
            <w:noWrap/>
            <w:hideMark/>
          </w:tcPr>
          <w:p w14:paraId="06EF34FD" w14:textId="77777777" w:rsidR="00B7099E" w:rsidRPr="00AB65CA" w:rsidRDefault="00B7099E" w:rsidP="00B7099E">
            <w:pPr>
              <w:keepNext/>
              <w:tabs>
                <w:tab w:val="decimal" w:pos="886"/>
              </w:tabs>
              <w:rPr>
                <w:rFonts w:cs="Arial"/>
                <w:color w:val="000000"/>
                <w:szCs w:val="16"/>
              </w:rPr>
            </w:pPr>
            <w:r w:rsidRPr="00FE152A">
              <w:t>8.22</w:t>
            </w:r>
          </w:p>
        </w:tc>
        <w:tc>
          <w:tcPr>
            <w:tcW w:w="920" w:type="pct"/>
            <w:noWrap/>
            <w:hideMark/>
          </w:tcPr>
          <w:p w14:paraId="21D08D9A" w14:textId="77777777" w:rsidR="00B7099E" w:rsidRPr="00AB65CA" w:rsidRDefault="00B7099E" w:rsidP="00B7099E">
            <w:pPr>
              <w:keepNext/>
              <w:tabs>
                <w:tab w:val="decimal" w:pos="886"/>
              </w:tabs>
              <w:rPr>
                <w:rFonts w:cs="Arial"/>
                <w:color w:val="000000"/>
                <w:szCs w:val="16"/>
              </w:rPr>
            </w:pPr>
            <w:r w:rsidRPr="00FE152A">
              <w:t>13.44</w:t>
            </w:r>
          </w:p>
        </w:tc>
        <w:tc>
          <w:tcPr>
            <w:tcW w:w="913" w:type="pct"/>
            <w:noWrap/>
            <w:hideMark/>
          </w:tcPr>
          <w:p w14:paraId="58D50F8E" w14:textId="77777777" w:rsidR="00B7099E" w:rsidRPr="00AB65CA" w:rsidRDefault="00B7099E" w:rsidP="00B7099E">
            <w:pPr>
              <w:keepNext/>
              <w:tabs>
                <w:tab w:val="decimal" w:pos="946"/>
              </w:tabs>
              <w:rPr>
                <w:rFonts w:cs="Arial"/>
                <w:color w:val="000000"/>
                <w:szCs w:val="16"/>
              </w:rPr>
            </w:pPr>
            <w:r w:rsidRPr="00FE152A">
              <w:t>46.31</w:t>
            </w:r>
          </w:p>
        </w:tc>
      </w:tr>
      <w:tr w:rsidR="00B7099E" w:rsidRPr="00F83501" w14:paraId="70149F68" w14:textId="77777777" w:rsidTr="00066166">
        <w:tc>
          <w:tcPr>
            <w:tcW w:w="1334" w:type="pct"/>
            <w:noWrap/>
            <w:hideMark/>
          </w:tcPr>
          <w:p w14:paraId="46852B96" w14:textId="77777777" w:rsidR="00B7099E" w:rsidRPr="00B05769" w:rsidRDefault="00B7099E" w:rsidP="00B7099E">
            <w:pPr>
              <w:keepNext/>
              <w:rPr>
                <w:rFonts w:cs="Arial"/>
                <w:b/>
                <w:bCs/>
                <w:szCs w:val="16"/>
              </w:rPr>
            </w:pPr>
            <w:r w:rsidRPr="00B05769">
              <w:rPr>
                <w:rFonts w:cs="Arial"/>
                <w:b/>
                <w:bCs/>
                <w:szCs w:val="16"/>
              </w:rPr>
              <w:t>Outcome B\ Category e</w:t>
            </w:r>
          </w:p>
        </w:tc>
        <w:tc>
          <w:tcPr>
            <w:tcW w:w="914" w:type="pct"/>
            <w:noWrap/>
            <w:hideMark/>
          </w:tcPr>
          <w:p w14:paraId="7DE5E6AB" w14:textId="77777777" w:rsidR="00B7099E" w:rsidRPr="00AB65CA" w:rsidRDefault="00B7099E" w:rsidP="00B7099E">
            <w:pPr>
              <w:keepNext/>
              <w:tabs>
                <w:tab w:val="decimal" w:pos="882"/>
              </w:tabs>
              <w:rPr>
                <w:rFonts w:cs="Arial"/>
                <w:color w:val="000000"/>
                <w:szCs w:val="16"/>
              </w:rPr>
            </w:pPr>
            <w:r w:rsidRPr="00FE152A">
              <w:t>12.16</w:t>
            </w:r>
          </w:p>
        </w:tc>
        <w:tc>
          <w:tcPr>
            <w:tcW w:w="919" w:type="pct"/>
            <w:noWrap/>
            <w:hideMark/>
          </w:tcPr>
          <w:p w14:paraId="77CF16DE" w14:textId="77777777" w:rsidR="00B7099E" w:rsidRPr="00AB65CA" w:rsidRDefault="00B7099E" w:rsidP="00B7099E">
            <w:pPr>
              <w:keepNext/>
              <w:tabs>
                <w:tab w:val="decimal" w:pos="886"/>
              </w:tabs>
              <w:rPr>
                <w:rFonts w:cs="Arial"/>
                <w:color w:val="000000"/>
                <w:szCs w:val="16"/>
              </w:rPr>
            </w:pPr>
            <w:r w:rsidRPr="00FE152A">
              <w:t>9.18</w:t>
            </w:r>
          </w:p>
        </w:tc>
        <w:tc>
          <w:tcPr>
            <w:tcW w:w="920" w:type="pct"/>
            <w:noWrap/>
            <w:hideMark/>
          </w:tcPr>
          <w:p w14:paraId="5EAD4074" w14:textId="77777777" w:rsidR="00B7099E" w:rsidRPr="00AB65CA" w:rsidRDefault="00B7099E" w:rsidP="00B7099E">
            <w:pPr>
              <w:keepNext/>
              <w:tabs>
                <w:tab w:val="decimal" w:pos="886"/>
              </w:tabs>
              <w:rPr>
                <w:rFonts w:cs="Arial"/>
                <w:color w:val="000000"/>
                <w:szCs w:val="16"/>
              </w:rPr>
            </w:pPr>
            <w:r w:rsidRPr="00FE152A">
              <w:t>-6.19</w:t>
            </w:r>
          </w:p>
        </w:tc>
        <w:tc>
          <w:tcPr>
            <w:tcW w:w="913" w:type="pct"/>
            <w:noWrap/>
            <w:hideMark/>
          </w:tcPr>
          <w:p w14:paraId="378E7B15" w14:textId="77777777" w:rsidR="00B7099E" w:rsidRPr="00AB65CA" w:rsidRDefault="00B7099E" w:rsidP="00B7099E">
            <w:pPr>
              <w:keepNext/>
              <w:tabs>
                <w:tab w:val="decimal" w:pos="946"/>
              </w:tabs>
              <w:rPr>
                <w:rFonts w:cs="Arial"/>
                <w:color w:val="000000"/>
                <w:szCs w:val="16"/>
              </w:rPr>
            </w:pPr>
            <w:r w:rsidRPr="00FE152A">
              <w:t>30.51</w:t>
            </w:r>
          </w:p>
        </w:tc>
      </w:tr>
      <w:tr w:rsidR="00B7099E" w:rsidRPr="00F83501" w14:paraId="13478A71" w14:textId="77777777" w:rsidTr="00066166">
        <w:tc>
          <w:tcPr>
            <w:tcW w:w="1334" w:type="pct"/>
            <w:noWrap/>
            <w:hideMark/>
          </w:tcPr>
          <w:p w14:paraId="62343D42" w14:textId="77777777" w:rsidR="00B7099E" w:rsidRPr="00B05769" w:rsidRDefault="00B7099E" w:rsidP="00B7099E">
            <w:pPr>
              <w:keepNext/>
              <w:rPr>
                <w:rFonts w:cs="Arial"/>
                <w:b/>
                <w:bCs/>
                <w:szCs w:val="16"/>
              </w:rPr>
            </w:pPr>
            <w:r w:rsidRPr="00B05769">
              <w:rPr>
                <w:rFonts w:cs="Arial"/>
                <w:b/>
                <w:bCs/>
                <w:szCs w:val="16"/>
              </w:rPr>
              <w:t>Outcome C\ Category b</w:t>
            </w:r>
          </w:p>
        </w:tc>
        <w:tc>
          <w:tcPr>
            <w:tcW w:w="914" w:type="pct"/>
            <w:noWrap/>
            <w:hideMark/>
          </w:tcPr>
          <w:p w14:paraId="091EFD26" w14:textId="77777777" w:rsidR="00B7099E" w:rsidRPr="00AB65CA" w:rsidRDefault="00B7099E" w:rsidP="00B7099E">
            <w:pPr>
              <w:keepNext/>
              <w:tabs>
                <w:tab w:val="decimal" w:pos="882"/>
              </w:tabs>
              <w:rPr>
                <w:rFonts w:cs="Arial"/>
                <w:color w:val="000000"/>
                <w:szCs w:val="16"/>
              </w:rPr>
            </w:pPr>
            <w:r w:rsidRPr="00FE152A">
              <w:t>22.37</w:t>
            </w:r>
          </w:p>
        </w:tc>
        <w:tc>
          <w:tcPr>
            <w:tcW w:w="919" w:type="pct"/>
            <w:noWrap/>
            <w:hideMark/>
          </w:tcPr>
          <w:p w14:paraId="04E24B10" w14:textId="77777777" w:rsidR="00B7099E" w:rsidRPr="00AB65CA" w:rsidRDefault="00B7099E" w:rsidP="00B7099E">
            <w:pPr>
              <w:keepNext/>
              <w:tabs>
                <w:tab w:val="decimal" w:pos="886"/>
              </w:tabs>
              <w:rPr>
                <w:rFonts w:cs="Arial"/>
                <w:color w:val="000000"/>
                <w:szCs w:val="16"/>
              </w:rPr>
            </w:pPr>
            <w:r w:rsidRPr="00FE152A">
              <w:t>9.63</w:t>
            </w:r>
          </w:p>
        </w:tc>
        <w:tc>
          <w:tcPr>
            <w:tcW w:w="920" w:type="pct"/>
            <w:noWrap/>
            <w:hideMark/>
          </w:tcPr>
          <w:p w14:paraId="78665763" w14:textId="77777777" w:rsidR="00B7099E" w:rsidRPr="00AB65CA" w:rsidRDefault="00B7099E" w:rsidP="00B7099E">
            <w:pPr>
              <w:keepNext/>
              <w:tabs>
                <w:tab w:val="decimal" w:pos="886"/>
              </w:tabs>
              <w:rPr>
                <w:rFonts w:cs="Arial"/>
                <w:color w:val="000000"/>
                <w:szCs w:val="16"/>
              </w:rPr>
            </w:pPr>
            <w:r w:rsidRPr="00FE152A">
              <w:t>3.1</w:t>
            </w:r>
          </w:p>
        </w:tc>
        <w:tc>
          <w:tcPr>
            <w:tcW w:w="913" w:type="pct"/>
            <w:noWrap/>
            <w:hideMark/>
          </w:tcPr>
          <w:p w14:paraId="0933621C" w14:textId="77777777" w:rsidR="00B7099E" w:rsidRPr="00AB65CA" w:rsidRDefault="00B7099E" w:rsidP="00B7099E">
            <w:pPr>
              <w:keepNext/>
              <w:tabs>
                <w:tab w:val="decimal" w:pos="946"/>
              </w:tabs>
              <w:rPr>
                <w:rFonts w:cs="Arial"/>
                <w:color w:val="000000"/>
                <w:szCs w:val="16"/>
              </w:rPr>
            </w:pPr>
            <w:r w:rsidRPr="00FE152A">
              <w:t>41.64</w:t>
            </w:r>
          </w:p>
        </w:tc>
      </w:tr>
      <w:tr w:rsidR="00B7099E" w:rsidRPr="00F83501" w14:paraId="7A725591" w14:textId="77777777" w:rsidTr="00066166">
        <w:tc>
          <w:tcPr>
            <w:tcW w:w="1334" w:type="pct"/>
            <w:noWrap/>
            <w:hideMark/>
          </w:tcPr>
          <w:p w14:paraId="3A96C25B" w14:textId="77777777" w:rsidR="00B7099E" w:rsidRPr="00B05769" w:rsidRDefault="00B7099E" w:rsidP="00B7099E">
            <w:pPr>
              <w:keepNext/>
              <w:rPr>
                <w:rFonts w:cs="Arial"/>
                <w:b/>
                <w:bCs/>
                <w:szCs w:val="16"/>
              </w:rPr>
            </w:pPr>
            <w:r w:rsidRPr="00B05769">
              <w:rPr>
                <w:rFonts w:cs="Arial"/>
                <w:b/>
                <w:bCs/>
                <w:szCs w:val="16"/>
              </w:rPr>
              <w:t>Outcome C\ Category c</w:t>
            </w:r>
          </w:p>
        </w:tc>
        <w:tc>
          <w:tcPr>
            <w:tcW w:w="914" w:type="pct"/>
            <w:noWrap/>
            <w:hideMark/>
          </w:tcPr>
          <w:p w14:paraId="44AAE477" w14:textId="77777777" w:rsidR="00B7099E" w:rsidRPr="00AB65CA" w:rsidRDefault="00B7099E" w:rsidP="00B7099E">
            <w:pPr>
              <w:keepNext/>
              <w:tabs>
                <w:tab w:val="decimal" w:pos="882"/>
              </w:tabs>
              <w:rPr>
                <w:rFonts w:cs="Arial"/>
                <w:color w:val="000000"/>
                <w:szCs w:val="16"/>
              </w:rPr>
            </w:pPr>
            <w:r w:rsidRPr="00FE152A">
              <w:t>24.39</w:t>
            </w:r>
          </w:p>
        </w:tc>
        <w:tc>
          <w:tcPr>
            <w:tcW w:w="919" w:type="pct"/>
            <w:noWrap/>
            <w:hideMark/>
          </w:tcPr>
          <w:p w14:paraId="6B0B870A" w14:textId="77777777" w:rsidR="00B7099E" w:rsidRPr="00AB65CA" w:rsidRDefault="00B7099E" w:rsidP="00B7099E">
            <w:pPr>
              <w:keepNext/>
              <w:tabs>
                <w:tab w:val="decimal" w:pos="886"/>
              </w:tabs>
              <w:rPr>
                <w:rFonts w:cs="Arial"/>
                <w:color w:val="000000"/>
                <w:szCs w:val="16"/>
              </w:rPr>
            </w:pPr>
            <w:r w:rsidRPr="00FE152A">
              <w:t>14.01</w:t>
            </w:r>
          </w:p>
        </w:tc>
        <w:tc>
          <w:tcPr>
            <w:tcW w:w="920" w:type="pct"/>
            <w:noWrap/>
            <w:hideMark/>
          </w:tcPr>
          <w:p w14:paraId="3448745C" w14:textId="77777777" w:rsidR="00B7099E" w:rsidRPr="00AB65CA" w:rsidRDefault="00B7099E" w:rsidP="00B7099E">
            <w:pPr>
              <w:keepNext/>
              <w:tabs>
                <w:tab w:val="decimal" w:pos="886"/>
              </w:tabs>
              <w:rPr>
                <w:rFonts w:cs="Arial"/>
                <w:color w:val="000000"/>
                <w:szCs w:val="16"/>
              </w:rPr>
            </w:pPr>
            <w:r w:rsidRPr="00FE152A">
              <w:t>-3.63</w:t>
            </w:r>
          </w:p>
        </w:tc>
        <w:tc>
          <w:tcPr>
            <w:tcW w:w="913" w:type="pct"/>
            <w:noWrap/>
            <w:hideMark/>
          </w:tcPr>
          <w:p w14:paraId="5AA4AC49" w14:textId="77777777" w:rsidR="00B7099E" w:rsidRPr="00AB65CA" w:rsidRDefault="00B7099E" w:rsidP="00B7099E">
            <w:pPr>
              <w:keepNext/>
              <w:tabs>
                <w:tab w:val="decimal" w:pos="946"/>
              </w:tabs>
              <w:rPr>
                <w:rFonts w:cs="Arial"/>
                <w:color w:val="000000"/>
                <w:szCs w:val="16"/>
              </w:rPr>
            </w:pPr>
            <w:r w:rsidRPr="00FE152A">
              <w:t>52.41</w:t>
            </w:r>
          </w:p>
        </w:tc>
      </w:tr>
      <w:tr w:rsidR="00B7099E" w:rsidRPr="00F83501" w14:paraId="780ABDD2" w14:textId="77777777" w:rsidTr="00066166">
        <w:tc>
          <w:tcPr>
            <w:tcW w:w="1334" w:type="pct"/>
            <w:noWrap/>
            <w:hideMark/>
          </w:tcPr>
          <w:p w14:paraId="0F498ED8" w14:textId="77777777" w:rsidR="00B7099E" w:rsidRPr="00B05769" w:rsidRDefault="00B7099E" w:rsidP="00B7099E">
            <w:pPr>
              <w:keepNext/>
              <w:rPr>
                <w:rFonts w:cs="Arial"/>
                <w:b/>
                <w:bCs/>
                <w:szCs w:val="16"/>
              </w:rPr>
            </w:pPr>
            <w:r w:rsidRPr="00B05769">
              <w:rPr>
                <w:rFonts w:cs="Arial"/>
                <w:b/>
                <w:bCs/>
                <w:szCs w:val="16"/>
              </w:rPr>
              <w:t>Outcome C\ Category d</w:t>
            </w:r>
          </w:p>
        </w:tc>
        <w:tc>
          <w:tcPr>
            <w:tcW w:w="914" w:type="pct"/>
            <w:noWrap/>
            <w:hideMark/>
          </w:tcPr>
          <w:p w14:paraId="13F9AEFE" w14:textId="77777777" w:rsidR="00B7099E" w:rsidRPr="00AB65CA" w:rsidRDefault="00B7099E" w:rsidP="00B7099E">
            <w:pPr>
              <w:keepNext/>
              <w:tabs>
                <w:tab w:val="decimal" w:pos="882"/>
              </w:tabs>
              <w:rPr>
                <w:rFonts w:cs="Arial"/>
                <w:color w:val="000000"/>
                <w:szCs w:val="16"/>
              </w:rPr>
            </w:pPr>
            <w:r w:rsidRPr="00FE152A">
              <w:t>32.05</w:t>
            </w:r>
          </w:p>
        </w:tc>
        <w:tc>
          <w:tcPr>
            <w:tcW w:w="919" w:type="pct"/>
            <w:noWrap/>
            <w:hideMark/>
          </w:tcPr>
          <w:p w14:paraId="6CBAF46D" w14:textId="77777777" w:rsidR="00B7099E" w:rsidRPr="00AB65CA" w:rsidRDefault="00B7099E" w:rsidP="00B7099E">
            <w:pPr>
              <w:keepNext/>
              <w:tabs>
                <w:tab w:val="decimal" w:pos="886"/>
              </w:tabs>
              <w:rPr>
                <w:rFonts w:cs="Arial"/>
                <w:color w:val="000000"/>
                <w:szCs w:val="16"/>
              </w:rPr>
            </w:pPr>
            <w:r w:rsidRPr="00FE152A">
              <w:t>8.74</w:t>
            </w:r>
          </w:p>
        </w:tc>
        <w:tc>
          <w:tcPr>
            <w:tcW w:w="920" w:type="pct"/>
            <w:noWrap/>
            <w:hideMark/>
          </w:tcPr>
          <w:p w14:paraId="5B3FF59A" w14:textId="77777777" w:rsidR="00B7099E" w:rsidRPr="00AB65CA" w:rsidRDefault="00B7099E" w:rsidP="00B7099E">
            <w:pPr>
              <w:keepNext/>
              <w:tabs>
                <w:tab w:val="decimal" w:pos="886"/>
              </w:tabs>
              <w:rPr>
                <w:rFonts w:cs="Arial"/>
                <w:color w:val="000000"/>
                <w:szCs w:val="16"/>
              </w:rPr>
            </w:pPr>
            <w:r w:rsidRPr="00FE152A">
              <w:t>14.58</w:t>
            </w:r>
          </w:p>
        </w:tc>
        <w:tc>
          <w:tcPr>
            <w:tcW w:w="913" w:type="pct"/>
            <w:noWrap/>
            <w:hideMark/>
          </w:tcPr>
          <w:p w14:paraId="3FBE0676" w14:textId="77777777" w:rsidR="00B7099E" w:rsidRPr="00AB65CA" w:rsidRDefault="00B7099E" w:rsidP="00B7099E">
            <w:pPr>
              <w:keepNext/>
              <w:tabs>
                <w:tab w:val="decimal" w:pos="946"/>
              </w:tabs>
              <w:rPr>
                <w:rFonts w:cs="Arial"/>
                <w:color w:val="000000"/>
                <w:szCs w:val="16"/>
              </w:rPr>
            </w:pPr>
            <w:r w:rsidRPr="00FE152A">
              <w:t>49.53</w:t>
            </w:r>
          </w:p>
        </w:tc>
      </w:tr>
      <w:tr w:rsidR="00B7099E" w:rsidRPr="00F83501" w14:paraId="74AF161C" w14:textId="77777777" w:rsidTr="00066166">
        <w:tc>
          <w:tcPr>
            <w:tcW w:w="1334" w:type="pct"/>
            <w:noWrap/>
            <w:hideMark/>
          </w:tcPr>
          <w:p w14:paraId="4F212324" w14:textId="77777777" w:rsidR="00B7099E" w:rsidRPr="00B05769" w:rsidRDefault="00B7099E" w:rsidP="00B7099E">
            <w:pPr>
              <w:rPr>
                <w:rFonts w:cs="Arial"/>
                <w:b/>
                <w:bCs/>
                <w:szCs w:val="16"/>
              </w:rPr>
            </w:pPr>
            <w:r w:rsidRPr="00B05769">
              <w:rPr>
                <w:rFonts w:cs="Arial"/>
                <w:b/>
                <w:bCs/>
                <w:szCs w:val="16"/>
              </w:rPr>
              <w:t>Outcome C\ Category e</w:t>
            </w:r>
          </w:p>
        </w:tc>
        <w:tc>
          <w:tcPr>
            <w:tcW w:w="914" w:type="pct"/>
            <w:noWrap/>
            <w:hideMark/>
          </w:tcPr>
          <w:p w14:paraId="454DEDAD" w14:textId="77777777" w:rsidR="00B7099E" w:rsidRPr="00AB65CA" w:rsidRDefault="00B7099E" w:rsidP="00B7099E">
            <w:pPr>
              <w:keepNext/>
              <w:tabs>
                <w:tab w:val="decimal" w:pos="882"/>
              </w:tabs>
              <w:rPr>
                <w:rFonts w:cs="Arial"/>
                <w:color w:val="000000"/>
                <w:szCs w:val="16"/>
              </w:rPr>
            </w:pPr>
            <w:r w:rsidRPr="00FE152A">
              <w:t>19.89</w:t>
            </w:r>
          </w:p>
        </w:tc>
        <w:tc>
          <w:tcPr>
            <w:tcW w:w="919" w:type="pct"/>
            <w:noWrap/>
            <w:hideMark/>
          </w:tcPr>
          <w:p w14:paraId="59A3D844" w14:textId="77777777" w:rsidR="00B7099E" w:rsidRPr="00AB65CA" w:rsidRDefault="00B7099E" w:rsidP="00B7099E">
            <w:pPr>
              <w:keepNext/>
              <w:tabs>
                <w:tab w:val="decimal" w:pos="886"/>
              </w:tabs>
              <w:rPr>
                <w:rFonts w:cs="Arial"/>
                <w:color w:val="000000"/>
                <w:szCs w:val="16"/>
              </w:rPr>
            </w:pPr>
            <w:r w:rsidRPr="00FE152A">
              <w:t>14.88</w:t>
            </w:r>
          </w:p>
        </w:tc>
        <w:tc>
          <w:tcPr>
            <w:tcW w:w="920" w:type="pct"/>
            <w:noWrap/>
            <w:hideMark/>
          </w:tcPr>
          <w:p w14:paraId="7DACA169" w14:textId="77777777" w:rsidR="00B7099E" w:rsidRPr="00AB65CA" w:rsidRDefault="00B7099E" w:rsidP="00B7099E">
            <w:pPr>
              <w:keepNext/>
              <w:tabs>
                <w:tab w:val="decimal" w:pos="886"/>
              </w:tabs>
              <w:rPr>
                <w:rFonts w:cs="Arial"/>
                <w:color w:val="000000"/>
                <w:szCs w:val="16"/>
              </w:rPr>
            </w:pPr>
            <w:r w:rsidRPr="00FE152A">
              <w:t>-9.87</w:t>
            </w:r>
          </w:p>
        </w:tc>
        <w:tc>
          <w:tcPr>
            <w:tcW w:w="913" w:type="pct"/>
            <w:noWrap/>
            <w:hideMark/>
          </w:tcPr>
          <w:p w14:paraId="62B92AE2" w14:textId="77777777" w:rsidR="00B7099E" w:rsidRPr="00AB65CA" w:rsidRDefault="00B7099E" w:rsidP="00B7099E">
            <w:pPr>
              <w:keepNext/>
              <w:tabs>
                <w:tab w:val="decimal" w:pos="946"/>
              </w:tabs>
              <w:rPr>
                <w:rFonts w:cs="Arial"/>
                <w:color w:val="000000"/>
                <w:szCs w:val="16"/>
              </w:rPr>
            </w:pPr>
            <w:r w:rsidRPr="00FE152A">
              <w:t>49.66</w:t>
            </w:r>
          </w:p>
        </w:tc>
      </w:tr>
    </w:tbl>
    <w:p w14:paraId="7BF03398" w14:textId="77777777" w:rsidR="00891EAC" w:rsidRPr="00F83501" w:rsidRDefault="00891EAC" w:rsidP="00891EAC">
      <w:pPr>
        <w:spacing w:after="0"/>
      </w:pPr>
    </w:p>
    <w:tbl>
      <w:tblPr>
        <w:tblStyle w:val="TableGrid"/>
        <w:tblW w:w="5010" w:type="pct"/>
        <w:tblLook w:val="04A0" w:firstRow="1" w:lastRow="0" w:firstColumn="1" w:lastColumn="0" w:noHBand="0" w:noVBand="1"/>
        <w:tblCaption w:val="CAPPBANOMSCR"/>
        <w:tblDescription w:val="Data Anomalies Score"/>
      </w:tblPr>
      <w:tblGrid>
        <w:gridCol w:w="3170"/>
        <w:gridCol w:w="7642"/>
      </w:tblGrid>
      <w:tr w:rsidR="00891EAC" w:rsidRPr="00F83501" w14:paraId="312A59D9" w14:textId="77777777" w:rsidTr="00891EAC">
        <w:tc>
          <w:tcPr>
            <w:tcW w:w="1466" w:type="pct"/>
            <w:hideMark/>
          </w:tcPr>
          <w:p w14:paraId="48F83F23" w14:textId="77777777" w:rsidR="00891EAC" w:rsidRPr="00891EAC" w:rsidRDefault="00891EAC">
            <w:pPr>
              <w:keepNext/>
              <w:rPr>
                <w:b/>
                <w:bCs/>
              </w:rPr>
            </w:pPr>
            <w:r w:rsidRPr="00891EAC">
              <w:rPr>
                <w:b/>
                <w:bCs/>
              </w:rPr>
              <w:t>Data Anomalies Score</w:t>
            </w:r>
          </w:p>
        </w:tc>
        <w:tc>
          <w:tcPr>
            <w:tcW w:w="3534" w:type="pct"/>
            <w:hideMark/>
          </w:tcPr>
          <w:p w14:paraId="769AF15C" w14:textId="77777777" w:rsidR="00891EAC" w:rsidRPr="00891EAC" w:rsidRDefault="00891EAC">
            <w:pPr>
              <w:keepNext/>
              <w:rPr>
                <w:b/>
                <w:bCs/>
              </w:rPr>
            </w:pPr>
            <w:r w:rsidRPr="00891EAC">
              <w:rPr>
                <w:b/>
                <w:bCs/>
              </w:rPr>
              <w:t>Total Points Received in All Progress Areas</w:t>
            </w:r>
          </w:p>
        </w:tc>
      </w:tr>
      <w:tr w:rsidR="00891EAC" w:rsidRPr="00F83501" w14:paraId="2FEC393A" w14:textId="77777777" w:rsidTr="00891EAC">
        <w:tc>
          <w:tcPr>
            <w:tcW w:w="1466" w:type="pct"/>
            <w:noWrap/>
            <w:hideMark/>
          </w:tcPr>
          <w:p w14:paraId="40C5A463" w14:textId="77777777" w:rsidR="00891EAC" w:rsidRPr="00F83501" w:rsidRDefault="00891EAC">
            <w:pPr>
              <w:keepNext/>
              <w:jc w:val="center"/>
            </w:pPr>
            <w:r w:rsidRPr="00F83501">
              <w:t>0</w:t>
            </w:r>
          </w:p>
        </w:tc>
        <w:tc>
          <w:tcPr>
            <w:tcW w:w="3534" w:type="pct"/>
            <w:noWrap/>
            <w:hideMark/>
          </w:tcPr>
          <w:p w14:paraId="79403989" w14:textId="77777777" w:rsidR="00891EAC" w:rsidRPr="00F83501" w:rsidRDefault="00891EAC">
            <w:pPr>
              <w:keepNext/>
            </w:pPr>
            <w:r w:rsidRPr="00F83501">
              <w:t>0 through 9 points</w:t>
            </w:r>
          </w:p>
        </w:tc>
      </w:tr>
      <w:tr w:rsidR="00891EAC" w:rsidRPr="00F83501" w14:paraId="0C06B438" w14:textId="77777777" w:rsidTr="00891EAC">
        <w:tc>
          <w:tcPr>
            <w:tcW w:w="1466" w:type="pct"/>
            <w:noWrap/>
            <w:hideMark/>
          </w:tcPr>
          <w:p w14:paraId="145C34AC" w14:textId="77777777" w:rsidR="00891EAC" w:rsidRPr="00F83501" w:rsidRDefault="00891EAC">
            <w:pPr>
              <w:keepNext/>
              <w:jc w:val="center"/>
            </w:pPr>
            <w:r w:rsidRPr="00F83501">
              <w:t>1</w:t>
            </w:r>
          </w:p>
        </w:tc>
        <w:tc>
          <w:tcPr>
            <w:tcW w:w="3534" w:type="pct"/>
            <w:noWrap/>
            <w:hideMark/>
          </w:tcPr>
          <w:p w14:paraId="305D72B7" w14:textId="77777777" w:rsidR="00891EAC" w:rsidRPr="00F83501" w:rsidRDefault="00891EAC">
            <w:pPr>
              <w:keepNext/>
            </w:pPr>
            <w:r w:rsidRPr="00F83501">
              <w:t>10 through 12 points</w:t>
            </w:r>
          </w:p>
        </w:tc>
      </w:tr>
      <w:tr w:rsidR="00891EAC" w:rsidRPr="007F5570" w14:paraId="232507D3" w14:textId="77777777" w:rsidTr="00891EAC">
        <w:tc>
          <w:tcPr>
            <w:tcW w:w="1466" w:type="pct"/>
            <w:noWrap/>
            <w:hideMark/>
          </w:tcPr>
          <w:p w14:paraId="783C84BC" w14:textId="77777777" w:rsidR="00891EAC" w:rsidRPr="00F83501" w:rsidRDefault="00891EAC">
            <w:pPr>
              <w:jc w:val="center"/>
            </w:pPr>
            <w:r w:rsidRPr="00F83501">
              <w:t>2</w:t>
            </w:r>
          </w:p>
        </w:tc>
        <w:tc>
          <w:tcPr>
            <w:tcW w:w="3534" w:type="pct"/>
            <w:noWrap/>
            <w:hideMark/>
          </w:tcPr>
          <w:p w14:paraId="44BD0992" w14:textId="77777777" w:rsidR="00891EAC" w:rsidRPr="007F5570" w:rsidRDefault="00891EAC">
            <w:r w:rsidRPr="00F83501">
              <w:t>13 through 15 points</w:t>
            </w:r>
          </w:p>
        </w:tc>
      </w:tr>
    </w:tbl>
    <w:p w14:paraId="5EA9DEB3" w14:textId="77777777" w:rsidR="00A67CEE" w:rsidRDefault="00A67CEE" w:rsidP="00B25161">
      <w:pPr>
        <w:rPr>
          <w:rFonts w:cs="Arial"/>
          <w:b/>
          <w:szCs w:val="16"/>
        </w:rPr>
      </w:pPr>
    </w:p>
    <w:p w14:paraId="35D169F2" w14:textId="77777777" w:rsidR="00AA07A0" w:rsidRDefault="00AA07A0">
      <w:pPr>
        <w:spacing w:before="0" w:after="200" w:line="276" w:lineRule="auto"/>
        <w:rPr>
          <w:rFonts w:cs="Arial"/>
          <w:b/>
          <w:bCs/>
          <w:szCs w:val="16"/>
        </w:rPr>
      </w:pPr>
      <w:r>
        <w:rPr>
          <w:rFonts w:cs="Arial"/>
          <w:b/>
          <w:bCs/>
          <w:szCs w:val="16"/>
        </w:rPr>
        <w:br w:type="page"/>
      </w:r>
    </w:p>
    <w:p w14:paraId="3DDA387D" w14:textId="77777777" w:rsidR="00A67CEE" w:rsidRDefault="00A67CEE" w:rsidP="00B25161">
      <w:pPr>
        <w:rPr>
          <w:rFonts w:cs="Arial"/>
          <w:b/>
          <w:bCs/>
          <w:szCs w:val="16"/>
        </w:rPr>
      </w:pPr>
    </w:p>
    <w:p w14:paraId="77B5E980" w14:textId="77777777" w:rsidR="00B25161" w:rsidRPr="00B25161" w:rsidRDefault="00B25161" w:rsidP="00B25161">
      <w:pPr>
        <w:rPr>
          <w:rFonts w:cs="Arial"/>
          <w:b/>
          <w:bCs/>
          <w:szCs w:val="16"/>
        </w:rPr>
      </w:pPr>
      <w:r w:rsidRPr="00B25161">
        <w:rPr>
          <w:rFonts w:cs="Arial"/>
          <w:b/>
          <w:bCs/>
          <w:szCs w:val="16"/>
        </w:rPr>
        <w:t>Anomalies in Your State’s FFY 2024 Outcomes Data</w:t>
      </w:r>
    </w:p>
    <w:tbl>
      <w:tblPr>
        <w:tblStyle w:val="TableGrid1"/>
        <w:tblW w:w="10800" w:type="dxa"/>
        <w:tblLook w:val="04A0" w:firstRow="1" w:lastRow="0" w:firstColumn="1" w:lastColumn="0" w:noHBand="0" w:noVBand="1"/>
        <w:tblCaption w:val="C03ANOMOTC"/>
      </w:tblPr>
      <w:tblGrid>
        <w:gridCol w:w="5400"/>
        <w:gridCol w:w="5400"/>
      </w:tblGrid>
      <w:tr w:rsidR="00B25161" w:rsidRPr="00B25161" w14:paraId="34ED33B6" w14:textId="77777777" w:rsidTr="00B25161">
        <w:tc>
          <w:tcPr>
            <w:tcW w:w="5400" w:type="dxa"/>
          </w:tcPr>
          <w:p w14:paraId="18CBC864" w14:textId="77777777" w:rsidR="00B25161" w:rsidRPr="00B25161" w:rsidRDefault="00B25161" w:rsidP="00B25161">
            <w:pPr>
              <w:rPr>
                <w:rFonts w:cs="Arial"/>
                <w:b/>
                <w:szCs w:val="16"/>
              </w:rPr>
            </w:pPr>
            <w:r w:rsidRPr="00B25161">
              <w:rPr>
                <w:rFonts w:cs="Arial"/>
                <w:b/>
                <w:szCs w:val="16"/>
              </w:rPr>
              <w:t>Number of Infants and Toddlers with IFSP’s Assessed in your State</w:t>
            </w:r>
          </w:p>
        </w:tc>
        <w:tc>
          <w:tcPr>
            <w:tcW w:w="5400" w:type="dxa"/>
          </w:tcPr>
          <w:p w14:paraId="5CD36597" w14:textId="77777777" w:rsidR="00B25161" w:rsidRPr="00B25161" w:rsidRDefault="00B25161" w:rsidP="00B25161">
            <w:pPr>
              <w:rPr>
                <w:rFonts w:cs="Arial"/>
                <w:b/>
                <w:szCs w:val="16"/>
              </w:rPr>
            </w:pPr>
            <w:r w:rsidRPr="00B25161">
              <w:rPr>
                <w:rFonts w:cs="Arial"/>
                <w:b/>
                <w:szCs w:val="16"/>
              </w:rPr>
              <w:t>2,880</w:t>
            </w:r>
          </w:p>
        </w:tc>
      </w:tr>
    </w:tbl>
    <w:p w14:paraId="0AE5AF80" w14:textId="77777777" w:rsidR="00B25161" w:rsidRPr="00B25161" w:rsidRDefault="00B25161" w:rsidP="00B25161">
      <w:pPr>
        <w:rPr>
          <w:rFonts w:cs="Arial"/>
          <w:b/>
          <w:szCs w:val="16"/>
        </w:rPr>
      </w:pPr>
    </w:p>
    <w:tbl>
      <w:tblPr>
        <w:tblStyle w:val="TableGrid1"/>
        <w:tblW w:w="5013" w:type="pct"/>
        <w:tblLayout w:type="fixed"/>
        <w:tblLook w:val="04A0" w:firstRow="1" w:lastRow="0" w:firstColumn="1" w:lastColumn="0" w:noHBand="0" w:noVBand="1"/>
        <w:tblCaption w:val="C03OTCASTAT"/>
      </w:tblPr>
      <w:tblGrid>
        <w:gridCol w:w="1803"/>
        <w:gridCol w:w="1802"/>
        <w:gridCol w:w="1802"/>
        <w:gridCol w:w="1802"/>
        <w:gridCol w:w="1802"/>
        <w:gridCol w:w="1807"/>
      </w:tblGrid>
      <w:tr w:rsidR="00B25161" w:rsidRPr="00B25161" w14:paraId="41C77BBD" w14:textId="77777777" w:rsidTr="004A2E39">
        <w:trPr>
          <w:tblHeader/>
        </w:trPr>
        <w:tc>
          <w:tcPr>
            <w:tcW w:w="833" w:type="pct"/>
          </w:tcPr>
          <w:p w14:paraId="288A87EF" w14:textId="77777777" w:rsidR="00B25161" w:rsidRPr="00B25161" w:rsidRDefault="00B25161" w:rsidP="00B25161">
            <w:pPr>
              <w:rPr>
                <w:rFonts w:cs="Arial"/>
                <w:b/>
                <w:szCs w:val="16"/>
              </w:rPr>
            </w:pPr>
            <w:r w:rsidRPr="00B25161">
              <w:rPr>
                <w:rFonts w:cs="Arial"/>
                <w:b/>
                <w:szCs w:val="16"/>
              </w:rPr>
              <w:t>Outcome A — Positive Social Relationships</w:t>
            </w:r>
          </w:p>
        </w:tc>
        <w:tc>
          <w:tcPr>
            <w:tcW w:w="833" w:type="pct"/>
          </w:tcPr>
          <w:p w14:paraId="658DABC5" w14:textId="77777777" w:rsidR="00B25161" w:rsidRPr="00B25161" w:rsidRDefault="00B25161" w:rsidP="00B25161">
            <w:pPr>
              <w:rPr>
                <w:rFonts w:cs="Arial"/>
                <w:b/>
                <w:szCs w:val="16"/>
              </w:rPr>
            </w:pPr>
            <w:r w:rsidRPr="00B25161">
              <w:rPr>
                <w:rFonts w:cs="Arial"/>
                <w:b/>
                <w:szCs w:val="16"/>
              </w:rPr>
              <w:t>Category a</w:t>
            </w:r>
          </w:p>
        </w:tc>
        <w:tc>
          <w:tcPr>
            <w:tcW w:w="833" w:type="pct"/>
          </w:tcPr>
          <w:p w14:paraId="07039D81" w14:textId="77777777" w:rsidR="00B25161" w:rsidRPr="00B25161" w:rsidRDefault="00B25161" w:rsidP="00B25161">
            <w:pPr>
              <w:rPr>
                <w:rFonts w:cs="Arial"/>
                <w:b/>
                <w:szCs w:val="16"/>
              </w:rPr>
            </w:pPr>
            <w:r w:rsidRPr="00B25161">
              <w:rPr>
                <w:rFonts w:cs="Arial"/>
                <w:b/>
                <w:szCs w:val="16"/>
              </w:rPr>
              <w:t>Category b</w:t>
            </w:r>
          </w:p>
        </w:tc>
        <w:tc>
          <w:tcPr>
            <w:tcW w:w="833" w:type="pct"/>
          </w:tcPr>
          <w:p w14:paraId="30BE17C9" w14:textId="77777777" w:rsidR="00B25161" w:rsidRPr="00B25161" w:rsidRDefault="00B25161" w:rsidP="00B25161">
            <w:pPr>
              <w:rPr>
                <w:rFonts w:cs="Arial"/>
                <w:b/>
                <w:szCs w:val="16"/>
              </w:rPr>
            </w:pPr>
            <w:r w:rsidRPr="00B25161">
              <w:rPr>
                <w:rFonts w:cs="Arial"/>
                <w:b/>
                <w:szCs w:val="16"/>
              </w:rPr>
              <w:t>Category c</w:t>
            </w:r>
          </w:p>
        </w:tc>
        <w:tc>
          <w:tcPr>
            <w:tcW w:w="833" w:type="pct"/>
          </w:tcPr>
          <w:p w14:paraId="07A33D29" w14:textId="77777777" w:rsidR="00B25161" w:rsidRPr="00B25161" w:rsidRDefault="00B25161" w:rsidP="00B25161">
            <w:pPr>
              <w:rPr>
                <w:rFonts w:cs="Arial"/>
                <w:b/>
                <w:szCs w:val="16"/>
              </w:rPr>
            </w:pPr>
            <w:r w:rsidRPr="00B25161">
              <w:rPr>
                <w:rFonts w:cs="Arial"/>
                <w:b/>
                <w:szCs w:val="16"/>
              </w:rPr>
              <w:t>Category d</w:t>
            </w:r>
          </w:p>
        </w:tc>
        <w:tc>
          <w:tcPr>
            <w:tcW w:w="835" w:type="pct"/>
          </w:tcPr>
          <w:p w14:paraId="1C6DF7C8" w14:textId="77777777" w:rsidR="00B25161" w:rsidRPr="00B25161" w:rsidRDefault="00B25161" w:rsidP="00B25161">
            <w:pPr>
              <w:rPr>
                <w:rFonts w:cs="Arial"/>
                <w:b/>
                <w:szCs w:val="16"/>
              </w:rPr>
            </w:pPr>
            <w:r w:rsidRPr="00B25161">
              <w:rPr>
                <w:rFonts w:cs="Arial"/>
                <w:b/>
                <w:szCs w:val="16"/>
              </w:rPr>
              <w:t>Category e</w:t>
            </w:r>
          </w:p>
        </w:tc>
      </w:tr>
      <w:tr w:rsidR="00B25161" w:rsidRPr="00B25161" w14:paraId="6CF5E30C" w14:textId="77777777" w:rsidTr="00B25161">
        <w:tc>
          <w:tcPr>
            <w:tcW w:w="833" w:type="pct"/>
          </w:tcPr>
          <w:p w14:paraId="1CE2D176"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448A6080" w14:textId="77777777" w:rsidR="00B25161" w:rsidRPr="00E0465B" w:rsidRDefault="00B25161" w:rsidP="00B25161">
            <w:pPr>
              <w:rPr>
                <w:rFonts w:cs="Arial"/>
                <w:bCs/>
                <w:szCs w:val="16"/>
              </w:rPr>
            </w:pPr>
            <w:r w:rsidRPr="00E0465B">
              <w:rPr>
                <w:rFonts w:cs="Arial"/>
                <w:bCs/>
                <w:szCs w:val="16"/>
              </w:rPr>
              <w:t>51</w:t>
            </w:r>
          </w:p>
        </w:tc>
        <w:tc>
          <w:tcPr>
            <w:tcW w:w="833" w:type="pct"/>
          </w:tcPr>
          <w:p w14:paraId="0BA4F707" w14:textId="77777777" w:rsidR="00B25161" w:rsidRPr="00E0465B" w:rsidRDefault="00B25161" w:rsidP="00B25161">
            <w:pPr>
              <w:rPr>
                <w:rFonts w:cs="Arial"/>
                <w:bCs/>
                <w:szCs w:val="16"/>
              </w:rPr>
            </w:pPr>
            <w:r w:rsidRPr="00E0465B">
              <w:rPr>
                <w:rFonts w:cs="Arial"/>
                <w:bCs/>
                <w:szCs w:val="16"/>
              </w:rPr>
              <w:t>282</w:t>
            </w:r>
          </w:p>
        </w:tc>
        <w:tc>
          <w:tcPr>
            <w:tcW w:w="833" w:type="pct"/>
          </w:tcPr>
          <w:p w14:paraId="52A589EE" w14:textId="77777777" w:rsidR="00B25161" w:rsidRPr="00E0465B" w:rsidRDefault="00B25161" w:rsidP="00B25161">
            <w:pPr>
              <w:rPr>
                <w:rFonts w:cs="Arial"/>
                <w:bCs/>
                <w:szCs w:val="16"/>
              </w:rPr>
            </w:pPr>
            <w:r w:rsidRPr="00E0465B">
              <w:rPr>
                <w:rFonts w:cs="Arial"/>
                <w:bCs/>
                <w:szCs w:val="16"/>
              </w:rPr>
              <w:t>1,367</w:t>
            </w:r>
          </w:p>
        </w:tc>
        <w:tc>
          <w:tcPr>
            <w:tcW w:w="833" w:type="pct"/>
          </w:tcPr>
          <w:p w14:paraId="33A946C1" w14:textId="77777777" w:rsidR="00B25161" w:rsidRPr="00E0465B" w:rsidRDefault="00B25161" w:rsidP="00B25161">
            <w:pPr>
              <w:rPr>
                <w:rFonts w:cs="Arial"/>
                <w:bCs/>
                <w:szCs w:val="16"/>
              </w:rPr>
            </w:pPr>
            <w:r w:rsidRPr="00E0465B">
              <w:rPr>
                <w:rFonts w:cs="Arial"/>
                <w:bCs/>
                <w:szCs w:val="16"/>
              </w:rPr>
              <w:t>856</w:t>
            </w:r>
          </w:p>
        </w:tc>
        <w:tc>
          <w:tcPr>
            <w:tcW w:w="835" w:type="pct"/>
          </w:tcPr>
          <w:p w14:paraId="000C250C" w14:textId="77777777" w:rsidR="00B25161" w:rsidRPr="00E0465B" w:rsidRDefault="00B25161" w:rsidP="00B25161">
            <w:pPr>
              <w:rPr>
                <w:rFonts w:cs="Arial"/>
                <w:bCs/>
                <w:szCs w:val="16"/>
              </w:rPr>
            </w:pPr>
            <w:r w:rsidRPr="00E0465B">
              <w:rPr>
                <w:rFonts w:cs="Arial"/>
                <w:bCs/>
                <w:szCs w:val="16"/>
              </w:rPr>
              <w:t>324</w:t>
            </w:r>
          </w:p>
        </w:tc>
      </w:tr>
      <w:tr w:rsidR="00B25161" w:rsidRPr="00B25161" w14:paraId="76AAC5E4" w14:textId="77777777" w:rsidTr="00B25161">
        <w:tc>
          <w:tcPr>
            <w:tcW w:w="833" w:type="pct"/>
          </w:tcPr>
          <w:p w14:paraId="30142B36" w14:textId="77777777" w:rsidR="00B25161" w:rsidRPr="00B25161" w:rsidRDefault="00B25161" w:rsidP="00B25161">
            <w:pPr>
              <w:rPr>
                <w:rFonts w:cs="Arial"/>
                <w:b/>
                <w:szCs w:val="16"/>
              </w:rPr>
            </w:pPr>
            <w:r w:rsidRPr="00B25161">
              <w:rPr>
                <w:rFonts w:cs="Arial"/>
                <w:b/>
                <w:szCs w:val="16"/>
              </w:rPr>
              <w:t>Performance (%)</w:t>
            </w:r>
          </w:p>
        </w:tc>
        <w:tc>
          <w:tcPr>
            <w:tcW w:w="833" w:type="pct"/>
          </w:tcPr>
          <w:p w14:paraId="10CA94CE" w14:textId="77777777" w:rsidR="00B25161" w:rsidRPr="00E0465B" w:rsidRDefault="00B25161" w:rsidP="00B25161">
            <w:pPr>
              <w:rPr>
                <w:rFonts w:cs="Arial"/>
                <w:bCs/>
                <w:szCs w:val="16"/>
              </w:rPr>
            </w:pPr>
            <w:r w:rsidRPr="00E0465B">
              <w:rPr>
                <w:rFonts w:cs="Arial"/>
                <w:bCs/>
                <w:szCs w:val="16"/>
              </w:rPr>
              <w:t>1.77%</w:t>
            </w:r>
          </w:p>
        </w:tc>
        <w:tc>
          <w:tcPr>
            <w:tcW w:w="833" w:type="pct"/>
          </w:tcPr>
          <w:p w14:paraId="46BB62AD" w14:textId="77777777" w:rsidR="00B25161" w:rsidRPr="00E0465B" w:rsidRDefault="00B25161" w:rsidP="00B25161">
            <w:pPr>
              <w:rPr>
                <w:rFonts w:cs="Arial"/>
                <w:bCs/>
                <w:szCs w:val="16"/>
              </w:rPr>
            </w:pPr>
            <w:r w:rsidRPr="00E0465B">
              <w:rPr>
                <w:rFonts w:cs="Arial"/>
                <w:bCs/>
                <w:szCs w:val="16"/>
              </w:rPr>
              <w:t>9.79%</w:t>
            </w:r>
          </w:p>
        </w:tc>
        <w:tc>
          <w:tcPr>
            <w:tcW w:w="833" w:type="pct"/>
          </w:tcPr>
          <w:p w14:paraId="1DC55766" w14:textId="77777777" w:rsidR="00B25161" w:rsidRPr="00E0465B" w:rsidRDefault="00B25161" w:rsidP="00B25161">
            <w:pPr>
              <w:rPr>
                <w:rFonts w:cs="Arial"/>
                <w:bCs/>
                <w:szCs w:val="16"/>
              </w:rPr>
            </w:pPr>
            <w:r w:rsidRPr="00E0465B">
              <w:rPr>
                <w:rFonts w:cs="Arial"/>
                <w:bCs/>
                <w:szCs w:val="16"/>
              </w:rPr>
              <w:t>47.47%</w:t>
            </w:r>
          </w:p>
        </w:tc>
        <w:tc>
          <w:tcPr>
            <w:tcW w:w="833" w:type="pct"/>
          </w:tcPr>
          <w:p w14:paraId="36B6A1A6" w14:textId="77777777" w:rsidR="00B25161" w:rsidRPr="00E0465B" w:rsidRDefault="00B25161" w:rsidP="00B25161">
            <w:pPr>
              <w:rPr>
                <w:rFonts w:cs="Arial"/>
                <w:bCs/>
                <w:szCs w:val="16"/>
              </w:rPr>
            </w:pPr>
            <w:r w:rsidRPr="00E0465B">
              <w:rPr>
                <w:rFonts w:cs="Arial"/>
                <w:bCs/>
                <w:szCs w:val="16"/>
              </w:rPr>
              <w:t>29.72%</w:t>
            </w:r>
          </w:p>
        </w:tc>
        <w:tc>
          <w:tcPr>
            <w:tcW w:w="835" w:type="pct"/>
          </w:tcPr>
          <w:p w14:paraId="17641C9F" w14:textId="77777777" w:rsidR="00B25161" w:rsidRPr="00E0465B" w:rsidRDefault="00B25161" w:rsidP="00B25161">
            <w:pPr>
              <w:rPr>
                <w:rFonts w:cs="Arial"/>
                <w:bCs/>
                <w:szCs w:val="16"/>
              </w:rPr>
            </w:pPr>
            <w:r w:rsidRPr="00E0465B">
              <w:rPr>
                <w:rFonts w:cs="Arial"/>
                <w:bCs/>
                <w:szCs w:val="16"/>
              </w:rPr>
              <w:t>11.25%</w:t>
            </w:r>
          </w:p>
        </w:tc>
      </w:tr>
      <w:tr w:rsidR="00B25161" w:rsidRPr="00B25161" w14:paraId="7166292B" w14:textId="77777777" w:rsidTr="00B25161">
        <w:tc>
          <w:tcPr>
            <w:tcW w:w="833" w:type="pct"/>
          </w:tcPr>
          <w:p w14:paraId="1076BCA2" w14:textId="77777777" w:rsidR="00B25161" w:rsidRPr="00B25161" w:rsidRDefault="00B25161" w:rsidP="00B25161">
            <w:pPr>
              <w:rPr>
                <w:rFonts w:cs="Arial"/>
                <w:b/>
                <w:szCs w:val="16"/>
              </w:rPr>
            </w:pPr>
            <w:r w:rsidRPr="00B25161">
              <w:rPr>
                <w:rFonts w:cs="Arial"/>
                <w:b/>
                <w:szCs w:val="16"/>
              </w:rPr>
              <w:t>Scores</w:t>
            </w:r>
          </w:p>
        </w:tc>
        <w:tc>
          <w:tcPr>
            <w:tcW w:w="833" w:type="pct"/>
          </w:tcPr>
          <w:p w14:paraId="362F4F9F" w14:textId="77777777" w:rsidR="00B25161" w:rsidRPr="00E0465B" w:rsidRDefault="00B25161" w:rsidP="00B25161">
            <w:pPr>
              <w:rPr>
                <w:rFonts w:cs="Arial"/>
                <w:bCs/>
                <w:szCs w:val="16"/>
              </w:rPr>
            </w:pPr>
            <w:r w:rsidRPr="00E0465B">
              <w:rPr>
                <w:rFonts w:cs="Arial"/>
                <w:bCs/>
                <w:szCs w:val="16"/>
              </w:rPr>
              <w:t>1</w:t>
            </w:r>
          </w:p>
        </w:tc>
        <w:tc>
          <w:tcPr>
            <w:tcW w:w="833" w:type="pct"/>
          </w:tcPr>
          <w:p w14:paraId="500E4627" w14:textId="77777777" w:rsidR="00B25161" w:rsidRPr="00E0465B" w:rsidRDefault="00B25161" w:rsidP="00B25161">
            <w:pPr>
              <w:rPr>
                <w:rFonts w:cs="Arial"/>
                <w:bCs/>
                <w:szCs w:val="16"/>
              </w:rPr>
            </w:pPr>
            <w:r w:rsidRPr="00E0465B">
              <w:rPr>
                <w:rFonts w:cs="Arial"/>
                <w:bCs/>
                <w:szCs w:val="16"/>
              </w:rPr>
              <w:t>1</w:t>
            </w:r>
          </w:p>
        </w:tc>
        <w:tc>
          <w:tcPr>
            <w:tcW w:w="833" w:type="pct"/>
          </w:tcPr>
          <w:p w14:paraId="4EA61345" w14:textId="77777777" w:rsidR="00B25161" w:rsidRPr="00E0465B" w:rsidRDefault="00B25161" w:rsidP="00B25161">
            <w:pPr>
              <w:rPr>
                <w:rFonts w:cs="Arial"/>
                <w:bCs/>
                <w:szCs w:val="16"/>
              </w:rPr>
            </w:pPr>
            <w:r w:rsidRPr="00E0465B">
              <w:rPr>
                <w:rFonts w:cs="Arial"/>
                <w:bCs/>
                <w:szCs w:val="16"/>
              </w:rPr>
              <w:t>1</w:t>
            </w:r>
          </w:p>
        </w:tc>
        <w:tc>
          <w:tcPr>
            <w:tcW w:w="833" w:type="pct"/>
          </w:tcPr>
          <w:p w14:paraId="543E1462" w14:textId="77777777" w:rsidR="00B25161" w:rsidRPr="00E0465B" w:rsidRDefault="00B25161" w:rsidP="00B25161">
            <w:pPr>
              <w:rPr>
                <w:rFonts w:cs="Arial"/>
                <w:bCs/>
                <w:szCs w:val="16"/>
              </w:rPr>
            </w:pPr>
            <w:r w:rsidRPr="00E0465B">
              <w:rPr>
                <w:rFonts w:cs="Arial"/>
                <w:bCs/>
                <w:szCs w:val="16"/>
              </w:rPr>
              <w:t>1</w:t>
            </w:r>
          </w:p>
        </w:tc>
        <w:tc>
          <w:tcPr>
            <w:tcW w:w="835" w:type="pct"/>
          </w:tcPr>
          <w:p w14:paraId="6CA0D707" w14:textId="77777777" w:rsidR="00B25161" w:rsidRPr="00E0465B" w:rsidRDefault="00B25161" w:rsidP="00B25161">
            <w:pPr>
              <w:rPr>
                <w:rFonts w:cs="Arial"/>
                <w:bCs/>
                <w:szCs w:val="16"/>
              </w:rPr>
            </w:pPr>
            <w:r w:rsidRPr="00E0465B">
              <w:rPr>
                <w:rFonts w:cs="Arial"/>
                <w:bCs/>
                <w:szCs w:val="16"/>
              </w:rPr>
              <w:t>1</w:t>
            </w:r>
          </w:p>
        </w:tc>
      </w:tr>
    </w:tbl>
    <w:p w14:paraId="774639C0"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BSTAT"/>
      </w:tblPr>
      <w:tblGrid>
        <w:gridCol w:w="1804"/>
        <w:gridCol w:w="1801"/>
        <w:gridCol w:w="1801"/>
        <w:gridCol w:w="1801"/>
        <w:gridCol w:w="1800"/>
        <w:gridCol w:w="1800"/>
      </w:tblGrid>
      <w:tr w:rsidR="00B25161" w:rsidRPr="00B25161" w14:paraId="0D7122D4" w14:textId="77777777" w:rsidTr="004A2E39">
        <w:trPr>
          <w:tblHeader/>
        </w:trPr>
        <w:tc>
          <w:tcPr>
            <w:tcW w:w="834" w:type="pct"/>
          </w:tcPr>
          <w:p w14:paraId="5C226093" w14:textId="77777777" w:rsidR="00B25161" w:rsidRPr="00B25161" w:rsidRDefault="00B25161" w:rsidP="00B25161">
            <w:pPr>
              <w:rPr>
                <w:rFonts w:cs="Arial"/>
                <w:b/>
                <w:szCs w:val="16"/>
              </w:rPr>
            </w:pPr>
            <w:r w:rsidRPr="00B25161">
              <w:rPr>
                <w:rFonts w:cs="Arial"/>
                <w:b/>
                <w:szCs w:val="16"/>
              </w:rPr>
              <w:t>Outcome B — Knowledge and Skills</w:t>
            </w:r>
          </w:p>
        </w:tc>
        <w:tc>
          <w:tcPr>
            <w:tcW w:w="833" w:type="pct"/>
          </w:tcPr>
          <w:p w14:paraId="2DDFE1E9" w14:textId="77777777" w:rsidR="00B25161" w:rsidRPr="00B25161" w:rsidRDefault="00B25161" w:rsidP="00B25161">
            <w:pPr>
              <w:rPr>
                <w:rFonts w:cs="Arial"/>
                <w:b/>
                <w:szCs w:val="16"/>
              </w:rPr>
            </w:pPr>
            <w:r w:rsidRPr="00B25161">
              <w:rPr>
                <w:rFonts w:cs="Arial"/>
                <w:b/>
                <w:szCs w:val="16"/>
              </w:rPr>
              <w:t>Category a</w:t>
            </w:r>
          </w:p>
        </w:tc>
        <w:tc>
          <w:tcPr>
            <w:tcW w:w="833" w:type="pct"/>
          </w:tcPr>
          <w:p w14:paraId="00EA80D0" w14:textId="77777777" w:rsidR="00B25161" w:rsidRPr="00B25161" w:rsidRDefault="00B25161" w:rsidP="00B25161">
            <w:pPr>
              <w:rPr>
                <w:rFonts w:cs="Arial"/>
                <w:b/>
                <w:szCs w:val="16"/>
              </w:rPr>
            </w:pPr>
            <w:r w:rsidRPr="00B25161">
              <w:rPr>
                <w:rFonts w:cs="Arial"/>
                <w:b/>
                <w:szCs w:val="16"/>
              </w:rPr>
              <w:t>Category b</w:t>
            </w:r>
          </w:p>
        </w:tc>
        <w:tc>
          <w:tcPr>
            <w:tcW w:w="833" w:type="pct"/>
          </w:tcPr>
          <w:p w14:paraId="3F5C64E2" w14:textId="77777777" w:rsidR="00B25161" w:rsidRPr="00B25161" w:rsidRDefault="00B25161" w:rsidP="00B25161">
            <w:pPr>
              <w:rPr>
                <w:rFonts w:cs="Arial"/>
                <w:b/>
                <w:szCs w:val="16"/>
              </w:rPr>
            </w:pPr>
            <w:r w:rsidRPr="00B25161">
              <w:rPr>
                <w:rFonts w:cs="Arial"/>
                <w:b/>
                <w:szCs w:val="16"/>
              </w:rPr>
              <w:t>Category c</w:t>
            </w:r>
          </w:p>
        </w:tc>
        <w:tc>
          <w:tcPr>
            <w:tcW w:w="833" w:type="pct"/>
          </w:tcPr>
          <w:p w14:paraId="56970A38" w14:textId="77777777" w:rsidR="00B25161" w:rsidRPr="00B25161" w:rsidRDefault="00B25161" w:rsidP="00B25161">
            <w:pPr>
              <w:rPr>
                <w:rFonts w:cs="Arial"/>
                <w:b/>
                <w:szCs w:val="16"/>
              </w:rPr>
            </w:pPr>
            <w:r w:rsidRPr="00B25161">
              <w:rPr>
                <w:rFonts w:cs="Arial"/>
                <w:b/>
                <w:szCs w:val="16"/>
              </w:rPr>
              <w:t>Category d</w:t>
            </w:r>
          </w:p>
        </w:tc>
        <w:tc>
          <w:tcPr>
            <w:tcW w:w="833" w:type="pct"/>
          </w:tcPr>
          <w:p w14:paraId="7B6FDCA8" w14:textId="77777777" w:rsidR="00B25161" w:rsidRPr="00B25161" w:rsidRDefault="00B25161" w:rsidP="00B25161">
            <w:pPr>
              <w:rPr>
                <w:rFonts w:cs="Arial"/>
                <w:b/>
                <w:szCs w:val="16"/>
              </w:rPr>
            </w:pPr>
            <w:r w:rsidRPr="00B25161">
              <w:rPr>
                <w:rFonts w:cs="Arial"/>
                <w:b/>
                <w:szCs w:val="16"/>
              </w:rPr>
              <w:t>Category e</w:t>
            </w:r>
          </w:p>
        </w:tc>
      </w:tr>
      <w:tr w:rsidR="00B25161" w:rsidRPr="00B25161" w14:paraId="17EBF9CB" w14:textId="77777777" w:rsidTr="00B25161">
        <w:tc>
          <w:tcPr>
            <w:tcW w:w="834" w:type="pct"/>
          </w:tcPr>
          <w:p w14:paraId="4851D3FD"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063E7ADD" w14:textId="77777777" w:rsidR="00B25161" w:rsidRPr="00E0465B" w:rsidRDefault="00B25161" w:rsidP="00B25161">
            <w:pPr>
              <w:rPr>
                <w:rFonts w:cs="Arial"/>
                <w:bCs/>
                <w:szCs w:val="16"/>
              </w:rPr>
            </w:pPr>
            <w:r w:rsidRPr="00E0465B">
              <w:rPr>
                <w:rFonts w:cs="Arial"/>
                <w:bCs/>
                <w:szCs w:val="16"/>
              </w:rPr>
              <w:t>43</w:t>
            </w:r>
          </w:p>
        </w:tc>
        <w:tc>
          <w:tcPr>
            <w:tcW w:w="833" w:type="pct"/>
          </w:tcPr>
          <w:p w14:paraId="25FC1D9E" w14:textId="77777777" w:rsidR="00B25161" w:rsidRPr="00E0465B" w:rsidRDefault="00B25161" w:rsidP="00B25161">
            <w:pPr>
              <w:rPr>
                <w:rFonts w:cs="Arial"/>
                <w:bCs/>
                <w:szCs w:val="16"/>
              </w:rPr>
            </w:pPr>
            <w:r w:rsidRPr="00E0465B">
              <w:rPr>
                <w:rFonts w:cs="Arial"/>
                <w:bCs/>
                <w:szCs w:val="16"/>
              </w:rPr>
              <w:t>895</w:t>
            </w:r>
          </w:p>
        </w:tc>
        <w:tc>
          <w:tcPr>
            <w:tcW w:w="833" w:type="pct"/>
          </w:tcPr>
          <w:p w14:paraId="54090C1E" w14:textId="77777777" w:rsidR="00B25161" w:rsidRPr="00E0465B" w:rsidRDefault="00B25161" w:rsidP="00B25161">
            <w:pPr>
              <w:rPr>
                <w:rFonts w:cs="Arial"/>
                <w:bCs/>
                <w:szCs w:val="16"/>
              </w:rPr>
            </w:pPr>
            <w:r w:rsidRPr="00E0465B">
              <w:rPr>
                <w:rFonts w:cs="Arial"/>
                <w:bCs/>
                <w:szCs w:val="16"/>
              </w:rPr>
              <w:t>930</w:t>
            </w:r>
          </w:p>
        </w:tc>
        <w:tc>
          <w:tcPr>
            <w:tcW w:w="833" w:type="pct"/>
          </w:tcPr>
          <w:p w14:paraId="7A22ACF1" w14:textId="77777777" w:rsidR="00B25161" w:rsidRPr="00E0465B" w:rsidRDefault="00B25161" w:rsidP="00B25161">
            <w:pPr>
              <w:rPr>
                <w:rFonts w:cs="Arial"/>
                <w:bCs/>
                <w:szCs w:val="16"/>
              </w:rPr>
            </w:pPr>
            <w:r w:rsidRPr="00E0465B">
              <w:rPr>
                <w:rFonts w:cs="Arial"/>
                <w:bCs/>
                <w:szCs w:val="16"/>
              </w:rPr>
              <w:t>539</w:t>
            </w:r>
          </w:p>
        </w:tc>
        <w:tc>
          <w:tcPr>
            <w:tcW w:w="833" w:type="pct"/>
          </w:tcPr>
          <w:p w14:paraId="1F5195C9" w14:textId="77777777" w:rsidR="00B25161" w:rsidRPr="00E0465B" w:rsidRDefault="00B25161" w:rsidP="00B25161">
            <w:pPr>
              <w:rPr>
                <w:rFonts w:cs="Arial"/>
                <w:bCs/>
                <w:szCs w:val="16"/>
              </w:rPr>
            </w:pPr>
            <w:r w:rsidRPr="00E0465B">
              <w:rPr>
                <w:rFonts w:cs="Arial"/>
                <w:bCs/>
                <w:szCs w:val="16"/>
              </w:rPr>
              <w:t>473</w:t>
            </w:r>
          </w:p>
        </w:tc>
      </w:tr>
      <w:tr w:rsidR="00B25161" w:rsidRPr="00B25161" w14:paraId="5814155D" w14:textId="77777777" w:rsidTr="00B25161">
        <w:tc>
          <w:tcPr>
            <w:tcW w:w="834" w:type="pct"/>
          </w:tcPr>
          <w:p w14:paraId="52DA95F2" w14:textId="77777777" w:rsidR="00B25161" w:rsidRPr="00B25161" w:rsidRDefault="00B25161" w:rsidP="00B25161">
            <w:pPr>
              <w:rPr>
                <w:rFonts w:cs="Arial"/>
                <w:b/>
                <w:szCs w:val="16"/>
              </w:rPr>
            </w:pPr>
            <w:r w:rsidRPr="00B25161">
              <w:rPr>
                <w:rFonts w:cs="Arial"/>
                <w:b/>
                <w:szCs w:val="16"/>
              </w:rPr>
              <w:t>Performance (%)</w:t>
            </w:r>
          </w:p>
        </w:tc>
        <w:tc>
          <w:tcPr>
            <w:tcW w:w="833" w:type="pct"/>
          </w:tcPr>
          <w:p w14:paraId="26B73D68" w14:textId="77777777" w:rsidR="00B25161" w:rsidRPr="00E0465B" w:rsidRDefault="00B25161" w:rsidP="00B25161">
            <w:pPr>
              <w:rPr>
                <w:rFonts w:cs="Arial"/>
                <w:bCs/>
                <w:szCs w:val="16"/>
              </w:rPr>
            </w:pPr>
            <w:r w:rsidRPr="00E0465B">
              <w:rPr>
                <w:rFonts w:cs="Arial"/>
                <w:bCs/>
                <w:szCs w:val="16"/>
              </w:rPr>
              <w:t>1.49%</w:t>
            </w:r>
          </w:p>
        </w:tc>
        <w:tc>
          <w:tcPr>
            <w:tcW w:w="833" w:type="pct"/>
          </w:tcPr>
          <w:p w14:paraId="5EBB861D" w14:textId="77777777" w:rsidR="00B25161" w:rsidRPr="00E0465B" w:rsidRDefault="00B25161" w:rsidP="00B25161">
            <w:pPr>
              <w:rPr>
                <w:rFonts w:cs="Arial"/>
                <w:bCs/>
                <w:szCs w:val="16"/>
              </w:rPr>
            </w:pPr>
            <w:r w:rsidRPr="00E0465B">
              <w:rPr>
                <w:rFonts w:cs="Arial"/>
                <w:bCs/>
                <w:szCs w:val="16"/>
              </w:rPr>
              <w:t>31.08%</w:t>
            </w:r>
          </w:p>
        </w:tc>
        <w:tc>
          <w:tcPr>
            <w:tcW w:w="833" w:type="pct"/>
          </w:tcPr>
          <w:p w14:paraId="5B14DD60" w14:textId="77777777" w:rsidR="00B25161" w:rsidRPr="00E0465B" w:rsidRDefault="00B25161" w:rsidP="00B25161">
            <w:pPr>
              <w:rPr>
                <w:rFonts w:cs="Arial"/>
                <w:bCs/>
                <w:szCs w:val="16"/>
              </w:rPr>
            </w:pPr>
            <w:r w:rsidRPr="00E0465B">
              <w:rPr>
                <w:rFonts w:cs="Arial"/>
                <w:bCs/>
                <w:szCs w:val="16"/>
              </w:rPr>
              <w:t>32.29%</w:t>
            </w:r>
          </w:p>
        </w:tc>
        <w:tc>
          <w:tcPr>
            <w:tcW w:w="833" w:type="pct"/>
          </w:tcPr>
          <w:p w14:paraId="4A7D99B8" w14:textId="77777777" w:rsidR="00B25161" w:rsidRPr="00E0465B" w:rsidRDefault="00B25161" w:rsidP="00B25161">
            <w:pPr>
              <w:rPr>
                <w:rFonts w:cs="Arial"/>
                <w:bCs/>
                <w:szCs w:val="16"/>
              </w:rPr>
            </w:pPr>
            <w:r w:rsidRPr="00E0465B">
              <w:rPr>
                <w:rFonts w:cs="Arial"/>
                <w:bCs/>
                <w:szCs w:val="16"/>
              </w:rPr>
              <w:t>18.72%</w:t>
            </w:r>
          </w:p>
        </w:tc>
        <w:tc>
          <w:tcPr>
            <w:tcW w:w="833" w:type="pct"/>
          </w:tcPr>
          <w:p w14:paraId="4F7F0C9F" w14:textId="77777777" w:rsidR="00B25161" w:rsidRPr="00E0465B" w:rsidRDefault="00B25161" w:rsidP="00B25161">
            <w:pPr>
              <w:rPr>
                <w:rFonts w:cs="Arial"/>
                <w:bCs/>
                <w:szCs w:val="16"/>
              </w:rPr>
            </w:pPr>
            <w:r w:rsidRPr="00E0465B">
              <w:rPr>
                <w:rFonts w:cs="Arial"/>
                <w:bCs/>
                <w:szCs w:val="16"/>
              </w:rPr>
              <w:t>16.42%</w:t>
            </w:r>
          </w:p>
        </w:tc>
      </w:tr>
      <w:tr w:rsidR="00B25161" w:rsidRPr="00B25161" w14:paraId="422889F7" w14:textId="77777777" w:rsidTr="00B25161">
        <w:tc>
          <w:tcPr>
            <w:tcW w:w="834" w:type="pct"/>
          </w:tcPr>
          <w:p w14:paraId="15847651" w14:textId="77777777" w:rsidR="00B25161" w:rsidRPr="00B25161" w:rsidRDefault="00B25161" w:rsidP="00B25161">
            <w:pPr>
              <w:rPr>
                <w:rFonts w:cs="Arial"/>
                <w:b/>
                <w:szCs w:val="16"/>
              </w:rPr>
            </w:pPr>
            <w:r w:rsidRPr="00B25161">
              <w:rPr>
                <w:rFonts w:cs="Arial"/>
                <w:b/>
                <w:szCs w:val="16"/>
              </w:rPr>
              <w:t>Scores</w:t>
            </w:r>
          </w:p>
        </w:tc>
        <w:tc>
          <w:tcPr>
            <w:tcW w:w="833" w:type="pct"/>
          </w:tcPr>
          <w:p w14:paraId="15BBB9A0" w14:textId="77777777" w:rsidR="00B25161" w:rsidRPr="00E0465B" w:rsidRDefault="00B25161" w:rsidP="00B25161">
            <w:pPr>
              <w:rPr>
                <w:rFonts w:cs="Arial"/>
                <w:bCs/>
                <w:szCs w:val="16"/>
              </w:rPr>
            </w:pPr>
            <w:r w:rsidRPr="00E0465B">
              <w:rPr>
                <w:rFonts w:cs="Arial"/>
                <w:bCs/>
                <w:szCs w:val="16"/>
              </w:rPr>
              <w:t>1</w:t>
            </w:r>
          </w:p>
        </w:tc>
        <w:tc>
          <w:tcPr>
            <w:tcW w:w="833" w:type="pct"/>
          </w:tcPr>
          <w:p w14:paraId="5DCCEB71" w14:textId="77777777" w:rsidR="00B25161" w:rsidRPr="00E0465B" w:rsidRDefault="00B25161" w:rsidP="00B25161">
            <w:pPr>
              <w:rPr>
                <w:rFonts w:cs="Arial"/>
                <w:bCs/>
                <w:szCs w:val="16"/>
              </w:rPr>
            </w:pPr>
            <w:r w:rsidRPr="00E0465B">
              <w:rPr>
                <w:rFonts w:cs="Arial"/>
                <w:bCs/>
                <w:szCs w:val="16"/>
              </w:rPr>
              <w:t>1</w:t>
            </w:r>
          </w:p>
        </w:tc>
        <w:tc>
          <w:tcPr>
            <w:tcW w:w="833" w:type="pct"/>
          </w:tcPr>
          <w:p w14:paraId="1971305C" w14:textId="77777777" w:rsidR="00B25161" w:rsidRPr="00E0465B" w:rsidRDefault="00B25161" w:rsidP="00B25161">
            <w:pPr>
              <w:rPr>
                <w:rFonts w:cs="Arial"/>
                <w:bCs/>
                <w:szCs w:val="16"/>
              </w:rPr>
            </w:pPr>
            <w:r w:rsidRPr="00E0465B">
              <w:rPr>
                <w:rFonts w:cs="Arial"/>
                <w:bCs/>
                <w:szCs w:val="16"/>
              </w:rPr>
              <w:t>1</w:t>
            </w:r>
          </w:p>
        </w:tc>
        <w:tc>
          <w:tcPr>
            <w:tcW w:w="833" w:type="pct"/>
          </w:tcPr>
          <w:p w14:paraId="2658F8E3" w14:textId="77777777" w:rsidR="00B25161" w:rsidRPr="00E0465B" w:rsidRDefault="00B25161" w:rsidP="00B25161">
            <w:pPr>
              <w:rPr>
                <w:rFonts w:cs="Arial"/>
                <w:bCs/>
                <w:szCs w:val="16"/>
              </w:rPr>
            </w:pPr>
            <w:r w:rsidRPr="00E0465B">
              <w:rPr>
                <w:rFonts w:cs="Arial"/>
                <w:bCs/>
                <w:szCs w:val="16"/>
              </w:rPr>
              <w:t>1</w:t>
            </w:r>
          </w:p>
        </w:tc>
        <w:tc>
          <w:tcPr>
            <w:tcW w:w="833" w:type="pct"/>
          </w:tcPr>
          <w:p w14:paraId="3E50F089" w14:textId="77777777" w:rsidR="00B25161" w:rsidRPr="00E0465B" w:rsidRDefault="00B25161" w:rsidP="00B25161">
            <w:pPr>
              <w:rPr>
                <w:rFonts w:cs="Arial"/>
                <w:bCs/>
                <w:szCs w:val="16"/>
              </w:rPr>
            </w:pPr>
            <w:r w:rsidRPr="00E0465B">
              <w:rPr>
                <w:rFonts w:cs="Arial"/>
                <w:bCs/>
                <w:szCs w:val="16"/>
              </w:rPr>
              <w:t>1</w:t>
            </w:r>
          </w:p>
        </w:tc>
      </w:tr>
    </w:tbl>
    <w:p w14:paraId="2841AC89"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CSTAT"/>
      </w:tblPr>
      <w:tblGrid>
        <w:gridCol w:w="1804"/>
        <w:gridCol w:w="1801"/>
        <w:gridCol w:w="1801"/>
        <w:gridCol w:w="1801"/>
        <w:gridCol w:w="1800"/>
        <w:gridCol w:w="1800"/>
      </w:tblGrid>
      <w:tr w:rsidR="00B25161" w:rsidRPr="00B25161" w14:paraId="7C70EAAC" w14:textId="77777777" w:rsidTr="004A2E39">
        <w:trPr>
          <w:tblHeader/>
        </w:trPr>
        <w:tc>
          <w:tcPr>
            <w:tcW w:w="834" w:type="pct"/>
          </w:tcPr>
          <w:p w14:paraId="7A84DB82" w14:textId="77777777" w:rsidR="00B25161" w:rsidRPr="00B25161" w:rsidRDefault="00B25161" w:rsidP="00B25161">
            <w:pPr>
              <w:rPr>
                <w:rFonts w:cs="Arial"/>
                <w:b/>
                <w:szCs w:val="16"/>
              </w:rPr>
            </w:pPr>
            <w:r w:rsidRPr="00B25161">
              <w:rPr>
                <w:rFonts w:cs="Arial"/>
                <w:b/>
                <w:szCs w:val="16"/>
              </w:rPr>
              <w:t>Outcome C — Actions to Meet Needs</w:t>
            </w:r>
          </w:p>
        </w:tc>
        <w:tc>
          <w:tcPr>
            <w:tcW w:w="833" w:type="pct"/>
          </w:tcPr>
          <w:p w14:paraId="55E5FEF7" w14:textId="77777777" w:rsidR="00B25161" w:rsidRPr="00B25161" w:rsidRDefault="00B25161" w:rsidP="00B25161">
            <w:pPr>
              <w:rPr>
                <w:rFonts w:cs="Arial"/>
                <w:b/>
                <w:szCs w:val="16"/>
              </w:rPr>
            </w:pPr>
            <w:r w:rsidRPr="00B25161">
              <w:rPr>
                <w:rFonts w:cs="Arial"/>
                <w:b/>
                <w:szCs w:val="16"/>
              </w:rPr>
              <w:t>Category a</w:t>
            </w:r>
          </w:p>
        </w:tc>
        <w:tc>
          <w:tcPr>
            <w:tcW w:w="833" w:type="pct"/>
          </w:tcPr>
          <w:p w14:paraId="73732391" w14:textId="77777777" w:rsidR="00B25161" w:rsidRPr="00B25161" w:rsidRDefault="00B25161" w:rsidP="00B25161">
            <w:pPr>
              <w:rPr>
                <w:rFonts w:cs="Arial"/>
                <w:b/>
                <w:szCs w:val="16"/>
              </w:rPr>
            </w:pPr>
            <w:r w:rsidRPr="00B25161">
              <w:rPr>
                <w:rFonts w:cs="Arial"/>
                <w:b/>
                <w:szCs w:val="16"/>
              </w:rPr>
              <w:t>Category b</w:t>
            </w:r>
          </w:p>
        </w:tc>
        <w:tc>
          <w:tcPr>
            <w:tcW w:w="833" w:type="pct"/>
          </w:tcPr>
          <w:p w14:paraId="232869B7" w14:textId="77777777" w:rsidR="00B25161" w:rsidRPr="00B25161" w:rsidRDefault="00B25161" w:rsidP="00B25161">
            <w:pPr>
              <w:rPr>
                <w:rFonts w:cs="Arial"/>
                <w:b/>
                <w:szCs w:val="16"/>
              </w:rPr>
            </w:pPr>
            <w:r w:rsidRPr="00B25161">
              <w:rPr>
                <w:rFonts w:cs="Arial"/>
                <w:b/>
                <w:szCs w:val="16"/>
              </w:rPr>
              <w:t>Category c</w:t>
            </w:r>
          </w:p>
        </w:tc>
        <w:tc>
          <w:tcPr>
            <w:tcW w:w="833" w:type="pct"/>
          </w:tcPr>
          <w:p w14:paraId="606C44A8" w14:textId="77777777" w:rsidR="00B25161" w:rsidRPr="00B25161" w:rsidRDefault="00B25161" w:rsidP="00B25161">
            <w:pPr>
              <w:rPr>
                <w:rFonts w:cs="Arial"/>
                <w:b/>
                <w:szCs w:val="16"/>
              </w:rPr>
            </w:pPr>
            <w:r w:rsidRPr="00B25161">
              <w:rPr>
                <w:rFonts w:cs="Arial"/>
                <w:b/>
                <w:szCs w:val="16"/>
              </w:rPr>
              <w:t>Category d</w:t>
            </w:r>
          </w:p>
        </w:tc>
        <w:tc>
          <w:tcPr>
            <w:tcW w:w="833" w:type="pct"/>
          </w:tcPr>
          <w:p w14:paraId="3492BD32" w14:textId="77777777" w:rsidR="00B25161" w:rsidRPr="00B25161" w:rsidRDefault="00B25161" w:rsidP="00B25161">
            <w:pPr>
              <w:rPr>
                <w:rFonts w:cs="Arial"/>
                <w:b/>
                <w:szCs w:val="16"/>
              </w:rPr>
            </w:pPr>
            <w:r w:rsidRPr="00B25161">
              <w:rPr>
                <w:rFonts w:cs="Arial"/>
                <w:b/>
                <w:szCs w:val="16"/>
              </w:rPr>
              <w:t>Category e</w:t>
            </w:r>
          </w:p>
        </w:tc>
      </w:tr>
      <w:tr w:rsidR="00B25161" w:rsidRPr="00B25161" w14:paraId="37C54667" w14:textId="77777777" w:rsidTr="00B25161">
        <w:tc>
          <w:tcPr>
            <w:tcW w:w="834" w:type="pct"/>
          </w:tcPr>
          <w:p w14:paraId="12E7BB94"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5F13D03D" w14:textId="77777777" w:rsidR="00B25161" w:rsidRPr="00E0465B" w:rsidRDefault="00B25161" w:rsidP="00B25161">
            <w:pPr>
              <w:rPr>
                <w:rFonts w:cs="Arial"/>
                <w:bCs/>
                <w:szCs w:val="16"/>
              </w:rPr>
            </w:pPr>
            <w:r w:rsidRPr="00E0465B">
              <w:rPr>
                <w:rFonts w:cs="Arial"/>
                <w:bCs/>
                <w:szCs w:val="16"/>
              </w:rPr>
              <w:t>32</w:t>
            </w:r>
          </w:p>
        </w:tc>
        <w:tc>
          <w:tcPr>
            <w:tcW w:w="833" w:type="pct"/>
          </w:tcPr>
          <w:p w14:paraId="1628AC33" w14:textId="77777777" w:rsidR="00B25161" w:rsidRPr="00E0465B" w:rsidRDefault="00B25161" w:rsidP="00B25161">
            <w:pPr>
              <w:rPr>
                <w:rFonts w:cs="Arial"/>
                <w:bCs/>
                <w:szCs w:val="16"/>
              </w:rPr>
            </w:pPr>
            <w:r w:rsidRPr="00E0465B">
              <w:rPr>
                <w:rFonts w:cs="Arial"/>
                <w:bCs/>
                <w:szCs w:val="16"/>
              </w:rPr>
              <w:t>696</w:t>
            </w:r>
          </w:p>
        </w:tc>
        <w:tc>
          <w:tcPr>
            <w:tcW w:w="833" w:type="pct"/>
          </w:tcPr>
          <w:p w14:paraId="3162D38E" w14:textId="77777777" w:rsidR="00B25161" w:rsidRPr="00E0465B" w:rsidRDefault="00B25161" w:rsidP="00B25161">
            <w:pPr>
              <w:rPr>
                <w:rFonts w:cs="Arial"/>
                <w:bCs/>
                <w:szCs w:val="16"/>
              </w:rPr>
            </w:pPr>
            <w:r w:rsidRPr="00E0465B">
              <w:rPr>
                <w:rFonts w:cs="Arial"/>
                <w:bCs/>
                <w:szCs w:val="16"/>
              </w:rPr>
              <w:t>1,156</w:t>
            </w:r>
          </w:p>
        </w:tc>
        <w:tc>
          <w:tcPr>
            <w:tcW w:w="833" w:type="pct"/>
          </w:tcPr>
          <w:p w14:paraId="375ABCD0" w14:textId="77777777" w:rsidR="00B25161" w:rsidRPr="00E0465B" w:rsidRDefault="00B25161" w:rsidP="00B25161">
            <w:pPr>
              <w:rPr>
                <w:rFonts w:cs="Arial"/>
                <w:bCs/>
                <w:szCs w:val="16"/>
              </w:rPr>
            </w:pPr>
            <w:r w:rsidRPr="00E0465B">
              <w:rPr>
                <w:rFonts w:cs="Arial"/>
                <w:bCs/>
                <w:szCs w:val="16"/>
              </w:rPr>
              <w:t>712</w:t>
            </w:r>
          </w:p>
        </w:tc>
        <w:tc>
          <w:tcPr>
            <w:tcW w:w="833" w:type="pct"/>
          </w:tcPr>
          <w:p w14:paraId="2F0A4351" w14:textId="77777777" w:rsidR="00B25161" w:rsidRPr="00E0465B" w:rsidRDefault="00B25161" w:rsidP="00B25161">
            <w:pPr>
              <w:rPr>
                <w:rFonts w:cs="Arial"/>
                <w:bCs/>
                <w:szCs w:val="16"/>
              </w:rPr>
            </w:pPr>
            <w:r w:rsidRPr="00E0465B">
              <w:rPr>
                <w:rFonts w:cs="Arial"/>
                <w:bCs/>
                <w:szCs w:val="16"/>
              </w:rPr>
              <w:t>284</w:t>
            </w:r>
          </w:p>
        </w:tc>
      </w:tr>
      <w:tr w:rsidR="00B25161" w:rsidRPr="00B25161" w14:paraId="19CD1C36" w14:textId="77777777" w:rsidTr="00B25161">
        <w:tc>
          <w:tcPr>
            <w:tcW w:w="834" w:type="pct"/>
          </w:tcPr>
          <w:p w14:paraId="262ABE4D" w14:textId="77777777" w:rsidR="00B25161" w:rsidRPr="00B25161" w:rsidRDefault="00B25161" w:rsidP="00B25161">
            <w:pPr>
              <w:rPr>
                <w:rFonts w:cs="Arial"/>
                <w:b/>
                <w:szCs w:val="16"/>
              </w:rPr>
            </w:pPr>
            <w:r w:rsidRPr="00B25161">
              <w:rPr>
                <w:rFonts w:cs="Arial"/>
                <w:b/>
                <w:szCs w:val="16"/>
              </w:rPr>
              <w:t>Performance (%)</w:t>
            </w:r>
          </w:p>
        </w:tc>
        <w:tc>
          <w:tcPr>
            <w:tcW w:w="833" w:type="pct"/>
          </w:tcPr>
          <w:p w14:paraId="50D3647E" w14:textId="77777777" w:rsidR="00B25161" w:rsidRPr="00E0465B" w:rsidRDefault="00B25161" w:rsidP="00B25161">
            <w:pPr>
              <w:rPr>
                <w:rFonts w:cs="Arial"/>
                <w:bCs/>
                <w:szCs w:val="16"/>
              </w:rPr>
            </w:pPr>
            <w:r w:rsidRPr="00E0465B">
              <w:rPr>
                <w:rFonts w:cs="Arial"/>
                <w:bCs/>
                <w:szCs w:val="16"/>
              </w:rPr>
              <w:t>1.11%</w:t>
            </w:r>
          </w:p>
        </w:tc>
        <w:tc>
          <w:tcPr>
            <w:tcW w:w="833" w:type="pct"/>
          </w:tcPr>
          <w:p w14:paraId="58C30B6A" w14:textId="77777777" w:rsidR="00B25161" w:rsidRPr="00E0465B" w:rsidRDefault="00B25161" w:rsidP="00B25161">
            <w:pPr>
              <w:rPr>
                <w:rFonts w:cs="Arial"/>
                <w:bCs/>
                <w:szCs w:val="16"/>
              </w:rPr>
            </w:pPr>
            <w:r w:rsidRPr="00E0465B">
              <w:rPr>
                <w:rFonts w:cs="Arial"/>
                <w:bCs/>
                <w:szCs w:val="16"/>
              </w:rPr>
              <w:t>24.17%</w:t>
            </w:r>
          </w:p>
        </w:tc>
        <w:tc>
          <w:tcPr>
            <w:tcW w:w="833" w:type="pct"/>
          </w:tcPr>
          <w:p w14:paraId="4D99D2F3" w14:textId="77777777" w:rsidR="00B25161" w:rsidRPr="00E0465B" w:rsidRDefault="00B25161" w:rsidP="00B25161">
            <w:pPr>
              <w:rPr>
                <w:rFonts w:cs="Arial"/>
                <w:bCs/>
                <w:szCs w:val="16"/>
              </w:rPr>
            </w:pPr>
            <w:r w:rsidRPr="00E0465B">
              <w:rPr>
                <w:rFonts w:cs="Arial"/>
                <w:bCs/>
                <w:szCs w:val="16"/>
              </w:rPr>
              <w:t>40.14%</w:t>
            </w:r>
          </w:p>
        </w:tc>
        <w:tc>
          <w:tcPr>
            <w:tcW w:w="833" w:type="pct"/>
          </w:tcPr>
          <w:p w14:paraId="213E8E45" w14:textId="77777777" w:rsidR="00B25161" w:rsidRPr="00E0465B" w:rsidRDefault="00B25161" w:rsidP="00B25161">
            <w:pPr>
              <w:rPr>
                <w:rFonts w:cs="Arial"/>
                <w:bCs/>
                <w:szCs w:val="16"/>
              </w:rPr>
            </w:pPr>
            <w:r w:rsidRPr="00E0465B">
              <w:rPr>
                <w:rFonts w:cs="Arial"/>
                <w:bCs/>
                <w:szCs w:val="16"/>
              </w:rPr>
              <w:t>24.72%</w:t>
            </w:r>
          </w:p>
        </w:tc>
        <w:tc>
          <w:tcPr>
            <w:tcW w:w="833" w:type="pct"/>
          </w:tcPr>
          <w:p w14:paraId="77E4A64F" w14:textId="77777777" w:rsidR="00B25161" w:rsidRPr="00E0465B" w:rsidRDefault="00B25161" w:rsidP="00B25161">
            <w:pPr>
              <w:rPr>
                <w:rFonts w:cs="Arial"/>
                <w:bCs/>
                <w:szCs w:val="16"/>
              </w:rPr>
            </w:pPr>
            <w:r w:rsidRPr="00E0465B">
              <w:rPr>
                <w:rFonts w:cs="Arial"/>
                <w:bCs/>
                <w:szCs w:val="16"/>
              </w:rPr>
              <w:t>9.86%</w:t>
            </w:r>
          </w:p>
        </w:tc>
      </w:tr>
      <w:tr w:rsidR="00B25161" w:rsidRPr="00B25161" w14:paraId="3DE6710A" w14:textId="77777777" w:rsidTr="00B25161">
        <w:tc>
          <w:tcPr>
            <w:tcW w:w="834" w:type="pct"/>
          </w:tcPr>
          <w:p w14:paraId="6CC012AA" w14:textId="77777777" w:rsidR="00B25161" w:rsidRPr="00B25161" w:rsidRDefault="00B25161" w:rsidP="00B25161">
            <w:pPr>
              <w:rPr>
                <w:rFonts w:cs="Arial"/>
                <w:b/>
                <w:szCs w:val="16"/>
              </w:rPr>
            </w:pPr>
            <w:r w:rsidRPr="00B25161">
              <w:rPr>
                <w:rFonts w:cs="Arial"/>
                <w:b/>
                <w:szCs w:val="16"/>
              </w:rPr>
              <w:t>Scores</w:t>
            </w:r>
          </w:p>
        </w:tc>
        <w:tc>
          <w:tcPr>
            <w:tcW w:w="833" w:type="pct"/>
          </w:tcPr>
          <w:p w14:paraId="1F98F5CD" w14:textId="77777777" w:rsidR="00B25161" w:rsidRPr="00E0465B" w:rsidRDefault="00B25161" w:rsidP="00B25161">
            <w:pPr>
              <w:rPr>
                <w:rFonts w:cs="Arial"/>
                <w:bCs/>
                <w:szCs w:val="16"/>
              </w:rPr>
            </w:pPr>
            <w:r w:rsidRPr="00E0465B">
              <w:rPr>
                <w:rFonts w:cs="Arial"/>
                <w:bCs/>
                <w:szCs w:val="16"/>
              </w:rPr>
              <w:t>1</w:t>
            </w:r>
          </w:p>
        </w:tc>
        <w:tc>
          <w:tcPr>
            <w:tcW w:w="833" w:type="pct"/>
          </w:tcPr>
          <w:p w14:paraId="4A1A7EA2" w14:textId="77777777" w:rsidR="00B25161" w:rsidRPr="00E0465B" w:rsidRDefault="00B25161" w:rsidP="00B25161">
            <w:pPr>
              <w:rPr>
                <w:rFonts w:cs="Arial"/>
                <w:bCs/>
                <w:szCs w:val="16"/>
              </w:rPr>
            </w:pPr>
            <w:r w:rsidRPr="00E0465B">
              <w:rPr>
                <w:rFonts w:cs="Arial"/>
                <w:bCs/>
                <w:szCs w:val="16"/>
              </w:rPr>
              <w:t>1</w:t>
            </w:r>
          </w:p>
        </w:tc>
        <w:tc>
          <w:tcPr>
            <w:tcW w:w="833" w:type="pct"/>
          </w:tcPr>
          <w:p w14:paraId="7578D96D" w14:textId="77777777" w:rsidR="00B25161" w:rsidRPr="00E0465B" w:rsidRDefault="00B25161" w:rsidP="00B25161">
            <w:pPr>
              <w:rPr>
                <w:rFonts w:cs="Arial"/>
                <w:bCs/>
                <w:szCs w:val="16"/>
              </w:rPr>
            </w:pPr>
            <w:r w:rsidRPr="00E0465B">
              <w:rPr>
                <w:rFonts w:cs="Arial"/>
                <w:bCs/>
                <w:szCs w:val="16"/>
              </w:rPr>
              <w:t>1</w:t>
            </w:r>
          </w:p>
        </w:tc>
        <w:tc>
          <w:tcPr>
            <w:tcW w:w="833" w:type="pct"/>
          </w:tcPr>
          <w:p w14:paraId="383A1CDD" w14:textId="77777777" w:rsidR="00B25161" w:rsidRPr="00E0465B" w:rsidRDefault="00B25161" w:rsidP="00B25161">
            <w:pPr>
              <w:rPr>
                <w:rFonts w:cs="Arial"/>
                <w:bCs/>
                <w:szCs w:val="16"/>
              </w:rPr>
            </w:pPr>
            <w:r w:rsidRPr="00E0465B">
              <w:rPr>
                <w:rFonts w:cs="Arial"/>
                <w:bCs/>
                <w:szCs w:val="16"/>
              </w:rPr>
              <w:t>1</w:t>
            </w:r>
          </w:p>
        </w:tc>
        <w:tc>
          <w:tcPr>
            <w:tcW w:w="833" w:type="pct"/>
          </w:tcPr>
          <w:p w14:paraId="28722447" w14:textId="77777777" w:rsidR="00B25161" w:rsidRPr="00E0465B" w:rsidRDefault="00B25161" w:rsidP="00B25161">
            <w:pPr>
              <w:rPr>
                <w:rFonts w:cs="Arial"/>
                <w:bCs/>
                <w:szCs w:val="16"/>
              </w:rPr>
            </w:pPr>
            <w:r w:rsidRPr="00E0465B">
              <w:rPr>
                <w:rFonts w:cs="Arial"/>
                <w:bCs/>
                <w:szCs w:val="16"/>
              </w:rPr>
              <w:t>1</w:t>
            </w:r>
          </w:p>
        </w:tc>
      </w:tr>
    </w:tbl>
    <w:p w14:paraId="4C8B5DC8"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OTCFNL"/>
      </w:tblPr>
      <w:tblGrid>
        <w:gridCol w:w="2880"/>
        <w:gridCol w:w="1932"/>
      </w:tblGrid>
      <w:tr w:rsidR="00B25161" w:rsidRPr="00B25161" w14:paraId="601B6C71" w14:textId="77777777" w:rsidTr="004A2E39">
        <w:trPr>
          <w:trHeight w:val="272"/>
          <w:tblHeader/>
        </w:trPr>
        <w:tc>
          <w:tcPr>
            <w:tcW w:w="2880" w:type="dxa"/>
          </w:tcPr>
          <w:p w14:paraId="199990A2" w14:textId="77777777" w:rsidR="00B25161" w:rsidRPr="00B25161" w:rsidRDefault="00B25161" w:rsidP="00B25161">
            <w:pPr>
              <w:rPr>
                <w:rFonts w:cs="Arial"/>
                <w:b/>
                <w:szCs w:val="16"/>
              </w:rPr>
            </w:pPr>
          </w:p>
        </w:tc>
        <w:tc>
          <w:tcPr>
            <w:tcW w:w="1932" w:type="dxa"/>
          </w:tcPr>
          <w:p w14:paraId="334E5B90" w14:textId="77777777" w:rsidR="00B25161" w:rsidRPr="00B25161" w:rsidRDefault="00B25161" w:rsidP="00B25161">
            <w:pPr>
              <w:rPr>
                <w:rFonts w:cs="Arial"/>
                <w:b/>
                <w:szCs w:val="16"/>
              </w:rPr>
            </w:pPr>
            <w:r w:rsidRPr="00B25161">
              <w:rPr>
                <w:rFonts w:cs="Arial"/>
                <w:b/>
                <w:szCs w:val="16"/>
              </w:rPr>
              <w:t>Total Score</w:t>
            </w:r>
          </w:p>
        </w:tc>
      </w:tr>
      <w:tr w:rsidR="00B25161" w:rsidRPr="00B25161" w14:paraId="4C284825" w14:textId="77777777" w:rsidTr="00B25161">
        <w:trPr>
          <w:trHeight w:val="272"/>
        </w:trPr>
        <w:tc>
          <w:tcPr>
            <w:tcW w:w="2880" w:type="dxa"/>
          </w:tcPr>
          <w:p w14:paraId="171C0FAF" w14:textId="77777777" w:rsidR="00B25161" w:rsidRPr="00B25161" w:rsidRDefault="00B25161" w:rsidP="00B25161">
            <w:pPr>
              <w:rPr>
                <w:rFonts w:cs="Arial"/>
                <w:b/>
                <w:szCs w:val="16"/>
              </w:rPr>
            </w:pPr>
            <w:r w:rsidRPr="00B25161">
              <w:rPr>
                <w:rFonts w:cs="Arial"/>
                <w:b/>
                <w:szCs w:val="16"/>
              </w:rPr>
              <w:t>Outcome A</w:t>
            </w:r>
          </w:p>
        </w:tc>
        <w:tc>
          <w:tcPr>
            <w:tcW w:w="1932" w:type="dxa"/>
          </w:tcPr>
          <w:p w14:paraId="2A925DE1" w14:textId="77777777" w:rsidR="00B25161" w:rsidRPr="00E0465B" w:rsidRDefault="00B25161" w:rsidP="00B25161">
            <w:pPr>
              <w:rPr>
                <w:rFonts w:cs="Arial"/>
                <w:bCs/>
                <w:szCs w:val="16"/>
              </w:rPr>
            </w:pPr>
            <w:r w:rsidRPr="00E0465B">
              <w:rPr>
                <w:rFonts w:cs="Arial"/>
                <w:bCs/>
                <w:szCs w:val="16"/>
              </w:rPr>
              <w:t>5</w:t>
            </w:r>
          </w:p>
        </w:tc>
      </w:tr>
      <w:tr w:rsidR="00B25161" w:rsidRPr="00B25161" w14:paraId="46618E9C" w14:textId="77777777" w:rsidTr="00B25161">
        <w:trPr>
          <w:trHeight w:val="272"/>
        </w:trPr>
        <w:tc>
          <w:tcPr>
            <w:tcW w:w="2880" w:type="dxa"/>
          </w:tcPr>
          <w:p w14:paraId="40649140" w14:textId="77777777" w:rsidR="00B25161" w:rsidRPr="00B25161" w:rsidRDefault="00B25161" w:rsidP="00B25161">
            <w:pPr>
              <w:rPr>
                <w:rFonts w:cs="Arial"/>
                <w:b/>
                <w:szCs w:val="16"/>
              </w:rPr>
            </w:pPr>
            <w:r w:rsidRPr="00B25161">
              <w:rPr>
                <w:rFonts w:cs="Arial"/>
                <w:b/>
                <w:szCs w:val="16"/>
              </w:rPr>
              <w:t>Outcome B</w:t>
            </w:r>
          </w:p>
        </w:tc>
        <w:tc>
          <w:tcPr>
            <w:tcW w:w="1932" w:type="dxa"/>
          </w:tcPr>
          <w:p w14:paraId="6D252DF9" w14:textId="77777777" w:rsidR="00B25161" w:rsidRPr="00E0465B" w:rsidRDefault="00B25161" w:rsidP="00B25161">
            <w:pPr>
              <w:rPr>
                <w:rFonts w:cs="Arial"/>
                <w:bCs/>
                <w:szCs w:val="16"/>
              </w:rPr>
            </w:pPr>
            <w:r w:rsidRPr="00E0465B">
              <w:rPr>
                <w:rFonts w:cs="Arial"/>
                <w:bCs/>
                <w:szCs w:val="16"/>
              </w:rPr>
              <w:t>5</w:t>
            </w:r>
          </w:p>
        </w:tc>
      </w:tr>
      <w:tr w:rsidR="00B25161" w:rsidRPr="00B25161" w14:paraId="7ADC4E7B" w14:textId="77777777" w:rsidTr="00B25161">
        <w:trPr>
          <w:trHeight w:val="272"/>
        </w:trPr>
        <w:tc>
          <w:tcPr>
            <w:tcW w:w="2880" w:type="dxa"/>
          </w:tcPr>
          <w:p w14:paraId="27A8D8E8" w14:textId="77777777" w:rsidR="00B25161" w:rsidRPr="00B25161" w:rsidRDefault="00B25161" w:rsidP="00B25161">
            <w:pPr>
              <w:rPr>
                <w:rFonts w:cs="Arial"/>
                <w:b/>
                <w:szCs w:val="16"/>
              </w:rPr>
            </w:pPr>
            <w:r w:rsidRPr="00B25161">
              <w:rPr>
                <w:rFonts w:cs="Arial"/>
                <w:b/>
                <w:szCs w:val="16"/>
              </w:rPr>
              <w:t>Outcome C</w:t>
            </w:r>
          </w:p>
        </w:tc>
        <w:tc>
          <w:tcPr>
            <w:tcW w:w="1932" w:type="dxa"/>
          </w:tcPr>
          <w:p w14:paraId="1395F4C8" w14:textId="77777777" w:rsidR="00B25161" w:rsidRPr="00E0465B" w:rsidRDefault="00B25161" w:rsidP="00B25161">
            <w:pPr>
              <w:rPr>
                <w:rFonts w:cs="Arial"/>
                <w:bCs/>
                <w:szCs w:val="16"/>
              </w:rPr>
            </w:pPr>
            <w:r w:rsidRPr="00E0465B">
              <w:rPr>
                <w:rFonts w:cs="Arial"/>
                <w:bCs/>
                <w:szCs w:val="16"/>
              </w:rPr>
              <w:t>5</w:t>
            </w:r>
          </w:p>
        </w:tc>
      </w:tr>
      <w:tr w:rsidR="00B25161" w:rsidRPr="00B25161" w14:paraId="368C77E1" w14:textId="77777777" w:rsidTr="00B25161">
        <w:trPr>
          <w:trHeight w:val="272"/>
        </w:trPr>
        <w:tc>
          <w:tcPr>
            <w:tcW w:w="2880" w:type="dxa"/>
          </w:tcPr>
          <w:p w14:paraId="70BBBCDE" w14:textId="77777777" w:rsidR="00B25161" w:rsidRPr="00B25161" w:rsidRDefault="00B25161" w:rsidP="00B25161">
            <w:pPr>
              <w:rPr>
                <w:rFonts w:cs="Arial"/>
                <w:b/>
                <w:szCs w:val="16"/>
              </w:rPr>
            </w:pPr>
            <w:r w:rsidRPr="00B25161">
              <w:rPr>
                <w:rFonts w:cs="Arial"/>
                <w:b/>
                <w:szCs w:val="16"/>
              </w:rPr>
              <w:t>Outcomes A-C</w:t>
            </w:r>
          </w:p>
        </w:tc>
        <w:tc>
          <w:tcPr>
            <w:tcW w:w="1932" w:type="dxa"/>
          </w:tcPr>
          <w:p w14:paraId="6D4977F9" w14:textId="77777777" w:rsidR="00B25161" w:rsidRPr="00E0465B" w:rsidRDefault="00B25161" w:rsidP="00B25161">
            <w:pPr>
              <w:rPr>
                <w:rFonts w:cs="Arial"/>
                <w:bCs/>
                <w:szCs w:val="16"/>
              </w:rPr>
            </w:pPr>
            <w:r w:rsidRPr="00E0465B">
              <w:rPr>
                <w:rFonts w:cs="Arial"/>
                <w:bCs/>
                <w:szCs w:val="16"/>
              </w:rPr>
              <w:t>15</w:t>
            </w:r>
          </w:p>
        </w:tc>
      </w:tr>
    </w:tbl>
    <w:p w14:paraId="45DFC649"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ANOMFNL"/>
      </w:tblPr>
      <w:tblGrid>
        <w:gridCol w:w="2880"/>
        <w:gridCol w:w="2965"/>
      </w:tblGrid>
      <w:tr w:rsidR="00B25161" w:rsidRPr="00B25161" w14:paraId="04518976" w14:textId="77777777" w:rsidTr="00811738">
        <w:tc>
          <w:tcPr>
            <w:tcW w:w="2880" w:type="dxa"/>
          </w:tcPr>
          <w:p w14:paraId="34C6A64D" w14:textId="77777777" w:rsidR="00B25161" w:rsidRPr="00B25161" w:rsidRDefault="00B25161" w:rsidP="00B25161">
            <w:pPr>
              <w:rPr>
                <w:rFonts w:cs="Arial"/>
                <w:b/>
                <w:szCs w:val="16"/>
              </w:rPr>
            </w:pPr>
            <w:r w:rsidRPr="00B25161">
              <w:rPr>
                <w:rFonts w:cs="Arial"/>
                <w:b/>
                <w:szCs w:val="16"/>
              </w:rPr>
              <w:t>Data Anomalies Score</w:t>
            </w:r>
          </w:p>
        </w:tc>
        <w:tc>
          <w:tcPr>
            <w:tcW w:w="2965" w:type="dxa"/>
          </w:tcPr>
          <w:p w14:paraId="43E6B243" w14:textId="77777777" w:rsidR="00B25161" w:rsidRPr="00E0465B" w:rsidRDefault="00B25161" w:rsidP="00B25161">
            <w:pPr>
              <w:rPr>
                <w:rFonts w:cs="Arial"/>
                <w:bCs/>
                <w:szCs w:val="16"/>
              </w:rPr>
            </w:pPr>
            <w:r w:rsidRPr="00E0465B">
              <w:rPr>
                <w:rFonts w:cs="Arial"/>
                <w:bCs/>
                <w:szCs w:val="16"/>
              </w:rPr>
              <w:t>2</w:t>
            </w:r>
          </w:p>
        </w:tc>
      </w:tr>
    </w:tbl>
    <w:p w14:paraId="47133488" w14:textId="77777777" w:rsidR="00716DBD" w:rsidRDefault="00716DBD" w:rsidP="0081611B">
      <w:pPr>
        <w:rPr>
          <w:rFonts w:cs="Arial"/>
          <w:b/>
          <w:szCs w:val="16"/>
        </w:rPr>
      </w:pPr>
    </w:p>
    <w:p w14:paraId="46D315E1" w14:textId="77777777" w:rsidR="00B25161" w:rsidRDefault="00B25161" w:rsidP="0081611B">
      <w:pPr>
        <w:rPr>
          <w:rFonts w:cs="Arial"/>
          <w:b/>
          <w:szCs w:val="16"/>
        </w:rPr>
      </w:pPr>
    </w:p>
    <w:p w14:paraId="2AFB35BA" w14:textId="77777777" w:rsidR="00B25161" w:rsidRDefault="00B25161" w:rsidP="0081611B">
      <w:pPr>
        <w:rPr>
          <w:rFonts w:cs="Arial"/>
          <w:b/>
          <w:szCs w:val="16"/>
        </w:rPr>
      </w:pPr>
    </w:p>
    <w:p w14:paraId="0248E403" w14:textId="77777777" w:rsidR="00B25161" w:rsidRDefault="00B25161" w:rsidP="0081611B">
      <w:pPr>
        <w:rPr>
          <w:rFonts w:cs="Arial"/>
          <w:b/>
          <w:szCs w:val="16"/>
        </w:rPr>
      </w:pPr>
    </w:p>
    <w:p w14:paraId="415FE67C" w14:textId="77777777" w:rsidR="00B25161" w:rsidRDefault="00B25161" w:rsidP="0081611B">
      <w:pPr>
        <w:rPr>
          <w:rFonts w:cs="Arial"/>
          <w:b/>
          <w:szCs w:val="16"/>
        </w:rPr>
      </w:pPr>
    </w:p>
    <w:p w14:paraId="171A0103" w14:textId="77777777" w:rsidR="00B25161" w:rsidRDefault="00B25161" w:rsidP="0081611B">
      <w:pPr>
        <w:rPr>
          <w:rFonts w:cs="Arial"/>
          <w:b/>
          <w:szCs w:val="16"/>
        </w:rPr>
      </w:pPr>
    </w:p>
    <w:p w14:paraId="5BA59206" w14:textId="77777777" w:rsidR="00E0465B" w:rsidRDefault="00E0465B">
      <w:pPr>
        <w:spacing w:before="0" w:after="200" w:line="276" w:lineRule="auto"/>
        <w:rPr>
          <w:rFonts w:cs="Arial"/>
          <w:b/>
          <w:bCs/>
          <w:szCs w:val="16"/>
        </w:rPr>
      </w:pPr>
      <w:r>
        <w:rPr>
          <w:rFonts w:cs="Arial"/>
          <w:b/>
          <w:bCs/>
          <w:szCs w:val="16"/>
        </w:rPr>
        <w:br w:type="page"/>
      </w:r>
    </w:p>
    <w:p w14:paraId="79DFEA62" w14:textId="77777777" w:rsidR="009F37D6" w:rsidRPr="009F37D6" w:rsidRDefault="009F37D6" w:rsidP="009F37D6">
      <w:pPr>
        <w:rPr>
          <w:rFonts w:cs="Arial"/>
          <w:b/>
          <w:bCs/>
          <w:szCs w:val="16"/>
        </w:rPr>
      </w:pPr>
      <w:r w:rsidRPr="009F37D6">
        <w:rPr>
          <w:rFonts w:cs="Arial"/>
          <w:b/>
          <w:bCs/>
          <w:szCs w:val="16"/>
        </w:rPr>
        <w:lastRenderedPageBreak/>
        <w:t>Appendix C</w:t>
      </w:r>
    </w:p>
    <w:p w14:paraId="1E2FBB9F" w14:textId="77777777" w:rsidR="00A67CEE" w:rsidRDefault="00A67CEE" w:rsidP="009F37D6">
      <w:pPr>
        <w:rPr>
          <w:rFonts w:cs="Arial"/>
          <w:b/>
          <w:bCs/>
          <w:szCs w:val="16"/>
        </w:rPr>
      </w:pPr>
    </w:p>
    <w:p w14:paraId="283D8CB8" w14:textId="77777777" w:rsidR="00A67CEE" w:rsidRDefault="009F37D6" w:rsidP="009F37D6">
      <w:pPr>
        <w:rPr>
          <w:rFonts w:cs="Arial"/>
          <w:b/>
          <w:bCs/>
          <w:szCs w:val="16"/>
        </w:rPr>
      </w:pPr>
      <w:r w:rsidRPr="009F37D6">
        <w:rPr>
          <w:rFonts w:cs="Arial"/>
          <w:b/>
          <w:bCs/>
          <w:szCs w:val="16"/>
        </w:rPr>
        <w:t xml:space="preserve">II. (a) Data Comparison: </w:t>
      </w:r>
    </w:p>
    <w:p w14:paraId="5C4C2D08" w14:textId="77777777" w:rsidR="009F37D6" w:rsidRPr="009F37D6" w:rsidRDefault="009F37D6" w:rsidP="009F37D6">
      <w:pPr>
        <w:rPr>
          <w:rFonts w:cs="Arial"/>
          <w:b/>
          <w:bCs/>
          <w:szCs w:val="16"/>
        </w:rPr>
      </w:pPr>
      <w:r w:rsidRPr="009F37D6">
        <w:rPr>
          <w:rFonts w:cs="Arial"/>
          <w:b/>
          <w:bCs/>
          <w:szCs w:val="16"/>
        </w:rPr>
        <w:t>Comparing Your State’s FFY 2024 Outcomes Data to Other States’ FFY 2024 Outcome Data</w:t>
      </w:r>
    </w:p>
    <w:p w14:paraId="716882F7" w14:textId="77777777" w:rsidR="009F37D6" w:rsidRPr="00A67CEE" w:rsidRDefault="009F37D6" w:rsidP="009F37D6">
      <w:pPr>
        <w:rPr>
          <w:rFonts w:cs="Arial"/>
          <w:bCs/>
          <w:szCs w:val="16"/>
        </w:rPr>
      </w:pPr>
      <w:r w:rsidRPr="00A67CEE">
        <w:rPr>
          <w:rFonts w:cs="Arial"/>
          <w:bCs/>
          <w:szCs w:val="16"/>
        </w:rPr>
        <w:t xml:space="preserve">This score represents how your State's FFY 2024 Outcomes data </w:t>
      </w:r>
      <w:proofErr w:type="gramStart"/>
      <w:r w:rsidRPr="00A67CEE">
        <w:rPr>
          <w:rFonts w:cs="Arial"/>
          <w:bCs/>
          <w:szCs w:val="16"/>
        </w:rPr>
        <w:t>compares</w:t>
      </w:r>
      <w:proofErr w:type="gramEnd"/>
      <w:r w:rsidRPr="00A67CEE">
        <w:rPr>
          <w:rFonts w:cs="Arial"/>
          <w:bCs/>
          <w:szCs w:val="16"/>
        </w:rPr>
        <w:t xml:space="preserve"> to other States' FFY 2024 Outcomes Data. Your State received a score for the distribution of the 6 Summary Statements for your State compared to the distribution of the 6 Summary Statements in all other States. The 10th and 90th percentile for each of the 6 Summary Statements was identified and used to assign points to performance outcome data for each Summary Statement (values are based on data for States with a summary statement denominator greater than 199 </w:t>
      </w:r>
      <w:proofErr w:type="spellStart"/>
      <w:r w:rsidRPr="00A67CEE">
        <w:rPr>
          <w:rFonts w:cs="Arial"/>
          <w:bCs/>
          <w:szCs w:val="16"/>
        </w:rPr>
        <w:t>exiters</w:t>
      </w:r>
      <w:proofErr w:type="spellEnd"/>
      <w:r w:rsidRPr="00A67CEE">
        <w:rPr>
          <w:rFonts w:cs="Arial"/>
          <w:bCs/>
          <w:szCs w:val="16"/>
        </w:rPr>
        <w:t>). Each Summary Statement outcome was assigned 0, 1, or 2 points. If your State's Summary Statement value fell at or below the 10th percentile, that Summary Statement was assigned 0 points. If your State's Summary Statement value fell between the 10th and 90th percentile, the Summary Statement was assigned 1 point, and if your State's Summary Statement value fell at or above the 90th percentile the Summary Statement was assigned 2 points. The points were added up across the 6 Summary Statements. A State can receive a total number of points between 0 and 12, with 0 points indicating all 6 Summary Statement values were at or below the 10th percentile and 12 points indicating all 6 Summary Statements were at or above the 90th percentile. An overall comparison Summary Statement score of 0, 1, or 2 was based on the total points awarded.</w:t>
      </w:r>
    </w:p>
    <w:p w14:paraId="51752F9F" w14:textId="77777777" w:rsidR="009F37D6" w:rsidRPr="00A67CEE" w:rsidRDefault="009F37D6" w:rsidP="009F37D6">
      <w:pPr>
        <w:rPr>
          <w:rFonts w:cs="Arial"/>
          <w:bCs/>
          <w:i/>
          <w:iCs/>
          <w:szCs w:val="16"/>
        </w:rPr>
      </w:pPr>
      <w:r w:rsidRPr="00A67CEE">
        <w:rPr>
          <w:rFonts w:cs="Arial"/>
          <w:bCs/>
          <w:i/>
          <w:iCs/>
          <w:szCs w:val="16"/>
        </w:rPr>
        <w:t xml:space="preserve">Summary Statement 1: Of those infants and toddlers who entered or exited early intervention below age expectations in each Outcome, the </w:t>
      </w:r>
      <w:proofErr w:type="gramStart"/>
      <w:r w:rsidRPr="00A67CEE">
        <w:rPr>
          <w:rFonts w:cs="Arial"/>
          <w:bCs/>
          <w:i/>
          <w:iCs/>
          <w:szCs w:val="16"/>
        </w:rPr>
        <w:t>percent who</w:t>
      </w:r>
      <w:proofErr w:type="gramEnd"/>
      <w:r w:rsidRPr="00A67CEE">
        <w:rPr>
          <w:rFonts w:cs="Arial"/>
          <w:bCs/>
          <w:i/>
          <w:iCs/>
          <w:szCs w:val="16"/>
        </w:rPr>
        <w:t xml:space="preserve"> substantially increased their rate of growth by the time they turned 3 years of age or exited the program.</w:t>
      </w:r>
    </w:p>
    <w:p w14:paraId="17B0C433" w14:textId="77777777" w:rsidR="009F37D6" w:rsidRPr="009F37D6" w:rsidRDefault="009F37D6" w:rsidP="009F37D6">
      <w:pPr>
        <w:rPr>
          <w:rFonts w:cs="Arial"/>
          <w:b/>
          <w:i/>
          <w:iCs/>
          <w:szCs w:val="16"/>
        </w:rPr>
      </w:pPr>
      <w:r w:rsidRPr="00A67CEE">
        <w:rPr>
          <w:rFonts w:cs="Arial"/>
          <w:bCs/>
          <w:i/>
          <w:iCs/>
          <w:szCs w:val="16"/>
        </w:rPr>
        <w:t>Summary Statement 2: The percent of infants and toddlers who were functioning within age expectations in each Outcome by the time they turned 3 years of age or exited the program.</w:t>
      </w:r>
    </w:p>
    <w:p w14:paraId="73639F68" w14:textId="77777777" w:rsidR="00A67CEE" w:rsidRDefault="00A67CEE" w:rsidP="009F37D6">
      <w:pPr>
        <w:rPr>
          <w:rFonts w:cs="Arial"/>
          <w:b/>
          <w:bCs/>
          <w:szCs w:val="16"/>
        </w:rPr>
      </w:pPr>
    </w:p>
    <w:p w14:paraId="4FE7528A" w14:textId="77777777" w:rsidR="009F37D6" w:rsidRPr="009F37D6" w:rsidRDefault="009F37D6" w:rsidP="009F37D6">
      <w:pPr>
        <w:rPr>
          <w:rFonts w:cs="Arial"/>
          <w:b/>
          <w:bCs/>
          <w:szCs w:val="16"/>
        </w:rPr>
      </w:pPr>
      <w:r w:rsidRPr="009F37D6">
        <w:rPr>
          <w:rFonts w:cs="Arial"/>
          <w:b/>
          <w:bCs/>
          <w:szCs w:val="16"/>
        </w:rPr>
        <w:t>Scoring Percentages for the 10th and 90th Percentile for Each Outcome and Summary Statement, FFY 2024</w:t>
      </w:r>
    </w:p>
    <w:tbl>
      <w:tblPr>
        <w:tblStyle w:val="TableGrid1"/>
        <w:tblW w:w="0" w:type="auto"/>
        <w:tblLayout w:type="fixed"/>
        <w:tblLook w:val="04A0" w:firstRow="1" w:lastRow="0" w:firstColumn="1" w:lastColumn="0" w:noHBand="0" w:noVBand="1"/>
        <w:tblCaption w:val="C03OTCPERC"/>
      </w:tblPr>
      <w:tblGrid>
        <w:gridCol w:w="1540"/>
        <w:gridCol w:w="1540"/>
        <w:gridCol w:w="1540"/>
        <w:gridCol w:w="1540"/>
        <w:gridCol w:w="1540"/>
        <w:gridCol w:w="1540"/>
        <w:gridCol w:w="1540"/>
      </w:tblGrid>
      <w:tr w:rsidR="009F37D6" w:rsidRPr="009F37D6" w14:paraId="5F5B3F1C" w14:textId="77777777" w:rsidTr="004A2E39">
        <w:trPr>
          <w:tblHeader/>
        </w:trPr>
        <w:tc>
          <w:tcPr>
            <w:tcW w:w="1540" w:type="dxa"/>
          </w:tcPr>
          <w:p w14:paraId="7856586A" w14:textId="77777777" w:rsidR="009F37D6" w:rsidRPr="009F37D6" w:rsidRDefault="009F37D6" w:rsidP="009F37D6">
            <w:pPr>
              <w:rPr>
                <w:rFonts w:cs="Arial"/>
                <w:b/>
                <w:szCs w:val="16"/>
              </w:rPr>
            </w:pPr>
            <w:r w:rsidRPr="009F37D6">
              <w:rPr>
                <w:rFonts w:cs="Arial"/>
                <w:b/>
                <w:szCs w:val="16"/>
              </w:rPr>
              <w:t>Percentiles</w:t>
            </w:r>
          </w:p>
        </w:tc>
        <w:tc>
          <w:tcPr>
            <w:tcW w:w="1540" w:type="dxa"/>
          </w:tcPr>
          <w:p w14:paraId="238AC402" w14:textId="77777777" w:rsidR="009F37D6" w:rsidRPr="009F37D6" w:rsidRDefault="009F37D6" w:rsidP="009F37D6">
            <w:pPr>
              <w:rPr>
                <w:rFonts w:cs="Arial"/>
                <w:b/>
                <w:szCs w:val="16"/>
              </w:rPr>
            </w:pPr>
            <w:r w:rsidRPr="009F37D6">
              <w:rPr>
                <w:rFonts w:cs="Arial"/>
                <w:b/>
                <w:szCs w:val="16"/>
              </w:rPr>
              <w:t>Outcome A SS1</w:t>
            </w:r>
          </w:p>
        </w:tc>
        <w:tc>
          <w:tcPr>
            <w:tcW w:w="1540" w:type="dxa"/>
          </w:tcPr>
          <w:p w14:paraId="1D8E50FA" w14:textId="77777777" w:rsidR="009F37D6" w:rsidRPr="009F37D6" w:rsidRDefault="009F37D6" w:rsidP="009F37D6">
            <w:pPr>
              <w:rPr>
                <w:rFonts w:cs="Arial"/>
                <w:b/>
                <w:szCs w:val="16"/>
              </w:rPr>
            </w:pPr>
            <w:r w:rsidRPr="009F37D6">
              <w:rPr>
                <w:rFonts w:cs="Arial"/>
                <w:b/>
                <w:szCs w:val="16"/>
              </w:rPr>
              <w:t>Outcome A SS2</w:t>
            </w:r>
          </w:p>
        </w:tc>
        <w:tc>
          <w:tcPr>
            <w:tcW w:w="1540" w:type="dxa"/>
          </w:tcPr>
          <w:p w14:paraId="77C54EE6" w14:textId="77777777" w:rsidR="009F37D6" w:rsidRPr="009F37D6" w:rsidRDefault="009F37D6" w:rsidP="009F37D6">
            <w:pPr>
              <w:rPr>
                <w:rFonts w:cs="Arial"/>
                <w:b/>
                <w:szCs w:val="16"/>
              </w:rPr>
            </w:pPr>
            <w:r w:rsidRPr="009F37D6">
              <w:rPr>
                <w:rFonts w:cs="Arial"/>
                <w:b/>
                <w:szCs w:val="16"/>
              </w:rPr>
              <w:t>Outcome B SS1</w:t>
            </w:r>
          </w:p>
        </w:tc>
        <w:tc>
          <w:tcPr>
            <w:tcW w:w="1540" w:type="dxa"/>
          </w:tcPr>
          <w:p w14:paraId="6770C3B7" w14:textId="77777777" w:rsidR="009F37D6" w:rsidRPr="009F37D6" w:rsidRDefault="009F37D6" w:rsidP="009F37D6">
            <w:pPr>
              <w:rPr>
                <w:rFonts w:cs="Arial"/>
                <w:b/>
                <w:szCs w:val="16"/>
              </w:rPr>
            </w:pPr>
            <w:r w:rsidRPr="009F37D6">
              <w:rPr>
                <w:rFonts w:cs="Arial"/>
                <w:b/>
                <w:szCs w:val="16"/>
              </w:rPr>
              <w:t>Outcome B SS2</w:t>
            </w:r>
          </w:p>
        </w:tc>
        <w:tc>
          <w:tcPr>
            <w:tcW w:w="1540" w:type="dxa"/>
          </w:tcPr>
          <w:p w14:paraId="6C112E8D" w14:textId="77777777" w:rsidR="009F37D6" w:rsidRPr="009F37D6" w:rsidRDefault="009F37D6" w:rsidP="009F37D6">
            <w:pPr>
              <w:rPr>
                <w:rFonts w:cs="Arial"/>
                <w:b/>
                <w:szCs w:val="16"/>
              </w:rPr>
            </w:pPr>
            <w:r w:rsidRPr="009F37D6">
              <w:rPr>
                <w:rFonts w:cs="Arial"/>
                <w:b/>
                <w:szCs w:val="16"/>
              </w:rPr>
              <w:t>Outcome C SS1</w:t>
            </w:r>
          </w:p>
        </w:tc>
        <w:tc>
          <w:tcPr>
            <w:tcW w:w="1540" w:type="dxa"/>
          </w:tcPr>
          <w:p w14:paraId="6A33C6B7" w14:textId="77777777" w:rsidR="009F37D6" w:rsidRPr="009F37D6" w:rsidRDefault="009F37D6" w:rsidP="009F37D6">
            <w:pPr>
              <w:rPr>
                <w:rFonts w:cs="Arial"/>
                <w:b/>
                <w:szCs w:val="16"/>
              </w:rPr>
            </w:pPr>
            <w:r w:rsidRPr="009F37D6">
              <w:rPr>
                <w:rFonts w:cs="Arial"/>
                <w:b/>
                <w:szCs w:val="16"/>
              </w:rPr>
              <w:t>Outcome C SS2</w:t>
            </w:r>
          </w:p>
        </w:tc>
      </w:tr>
      <w:tr w:rsidR="009F37D6" w:rsidRPr="009F37D6" w14:paraId="2D4F1EE2" w14:textId="77777777" w:rsidTr="009F37D6">
        <w:tc>
          <w:tcPr>
            <w:tcW w:w="1540" w:type="dxa"/>
          </w:tcPr>
          <w:p w14:paraId="4A90ECD6" w14:textId="77777777" w:rsidR="009F37D6" w:rsidRPr="009F37D6" w:rsidRDefault="009F37D6" w:rsidP="009F37D6">
            <w:pPr>
              <w:rPr>
                <w:rFonts w:cs="Arial"/>
                <w:b/>
                <w:szCs w:val="16"/>
              </w:rPr>
            </w:pPr>
            <w:r w:rsidRPr="009F37D6">
              <w:rPr>
                <w:rFonts w:cs="Arial"/>
                <w:b/>
                <w:szCs w:val="16"/>
              </w:rPr>
              <w:t>10</w:t>
            </w:r>
          </w:p>
        </w:tc>
        <w:tc>
          <w:tcPr>
            <w:tcW w:w="1540" w:type="dxa"/>
          </w:tcPr>
          <w:p w14:paraId="34DABB83" w14:textId="77777777" w:rsidR="009F37D6" w:rsidRPr="009F37D6" w:rsidRDefault="009F37D6" w:rsidP="009F37D6">
            <w:pPr>
              <w:rPr>
                <w:rFonts w:cs="Arial"/>
                <w:bCs/>
                <w:szCs w:val="16"/>
              </w:rPr>
            </w:pPr>
            <w:r w:rsidRPr="009F37D6">
              <w:rPr>
                <w:rFonts w:cs="Arial"/>
                <w:bCs/>
                <w:szCs w:val="16"/>
              </w:rPr>
              <w:t>48.11%</w:t>
            </w:r>
          </w:p>
        </w:tc>
        <w:tc>
          <w:tcPr>
            <w:tcW w:w="1540" w:type="dxa"/>
          </w:tcPr>
          <w:p w14:paraId="46586E66" w14:textId="77777777" w:rsidR="009F37D6" w:rsidRPr="009F37D6" w:rsidRDefault="009F37D6" w:rsidP="009F37D6">
            <w:pPr>
              <w:rPr>
                <w:rFonts w:cs="Arial"/>
                <w:bCs/>
                <w:szCs w:val="16"/>
              </w:rPr>
            </w:pPr>
            <w:r w:rsidRPr="009F37D6">
              <w:rPr>
                <w:rFonts w:cs="Arial"/>
                <w:bCs/>
                <w:szCs w:val="16"/>
              </w:rPr>
              <w:t>35.40%</w:t>
            </w:r>
          </w:p>
        </w:tc>
        <w:tc>
          <w:tcPr>
            <w:tcW w:w="1540" w:type="dxa"/>
          </w:tcPr>
          <w:p w14:paraId="499028C7" w14:textId="77777777" w:rsidR="009F37D6" w:rsidRPr="009F37D6" w:rsidRDefault="009F37D6" w:rsidP="009F37D6">
            <w:pPr>
              <w:rPr>
                <w:rFonts w:cs="Arial"/>
                <w:bCs/>
                <w:szCs w:val="16"/>
              </w:rPr>
            </w:pPr>
            <w:r w:rsidRPr="009F37D6">
              <w:rPr>
                <w:rFonts w:cs="Arial"/>
                <w:bCs/>
                <w:szCs w:val="16"/>
              </w:rPr>
              <w:t>55.43%</w:t>
            </w:r>
          </w:p>
        </w:tc>
        <w:tc>
          <w:tcPr>
            <w:tcW w:w="1540" w:type="dxa"/>
          </w:tcPr>
          <w:p w14:paraId="3A793F72" w14:textId="77777777" w:rsidR="009F37D6" w:rsidRPr="009F37D6" w:rsidRDefault="009F37D6" w:rsidP="009F37D6">
            <w:pPr>
              <w:rPr>
                <w:rFonts w:cs="Arial"/>
                <w:bCs/>
                <w:szCs w:val="16"/>
              </w:rPr>
            </w:pPr>
            <w:r w:rsidRPr="009F37D6">
              <w:rPr>
                <w:rFonts w:cs="Arial"/>
                <w:bCs/>
                <w:szCs w:val="16"/>
              </w:rPr>
              <w:t>29.71%</w:t>
            </w:r>
          </w:p>
        </w:tc>
        <w:tc>
          <w:tcPr>
            <w:tcW w:w="1540" w:type="dxa"/>
          </w:tcPr>
          <w:p w14:paraId="5883DA7E" w14:textId="77777777" w:rsidR="009F37D6" w:rsidRPr="009F37D6" w:rsidRDefault="009F37D6" w:rsidP="009F37D6">
            <w:pPr>
              <w:rPr>
                <w:rFonts w:cs="Arial"/>
                <w:bCs/>
                <w:szCs w:val="16"/>
              </w:rPr>
            </w:pPr>
            <w:r w:rsidRPr="009F37D6">
              <w:rPr>
                <w:rFonts w:cs="Arial"/>
                <w:bCs/>
                <w:szCs w:val="16"/>
              </w:rPr>
              <w:t>54.53%</w:t>
            </w:r>
          </w:p>
        </w:tc>
        <w:tc>
          <w:tcPr>
            <w:tcW w:w="1540" w:type="dxa"/>
          </w:tcPr>
          <w:p w14:paraId="55620B0F" w14:textId="77777777" w:rsidR="009F37D6" w:rsidRPr="009F37D6" w:rsidRDefault="009F37D6" w:rsidP="009F37D6">
            <w:pPr>
              <w:rPr>
                <w:rFonts w:cs="Arial"/>
                <w:bCs/>
                <w:szCs w:val="16"/>
              </w:rPr>
            </w:pPr>
            <w:r w:rsidRPr="009F37D6">
              <w:rPr>
                <w:rFonts w:cs="Arial"/>
                <w:bCs/>
                <w:szCs w:val="16"/>
              </w:rPr>
              <w:t>33.99%</w:t>
            </w:r>
          </w:p>
        </w:tc>
      </w:tr>
      <w:tr w:rsidR="009F37D6" w:rsidRPr="009F37D6" w14:paraId="70F0792B" w14:textId="77777777" w:rsidTr="009F37D6">
        <w:tc>
          <w:tcPr>
            <w:tcW w:w="1540" w:type="dxa"/>
          </w:tcPr>
          <w:p w14:paraId="4F60952C" w14:textId="77777777" w:rsidR="009F37D6" w:rsidRPr="009F37D6" w:rsidRDefault="009F37D6" w:rsidP="009F37D6">
            <w:pPr>
              <w:rPr>
                <w:rFonts w:cs="Arial"/>
                <w:b/>
                <w:szCs w:val="16"/>
              </w:rPr>
            </w:pPr>
            <w:r w:rsidRPr="009F37D6">
              <w:rPr>
                <w:rFonts w:cs="Arial"/>
                <w:b/>
                <w:szCs w:val="16"/>
              </w:rPr>
              <w:t>90</w:t>
            </w:r>
          </w:p>
        </w:tc>
        <w:tc>
          <w:tcPr>
            <w:tcW w:w="1540" w:type="dxa"/>
          </w:tcPr>
          <w:p w14:paraId="4747A75B" w14:textId="77777777" w:rsidR="009F37D6" w:rsidRPr="009F37D6" w:rsidRDefault="009F37D6" w:rsidP="009F37D6">
            <w:pPr>
              <w:rPr>
                <w:rFonts w:cs="Arial"/>
                <w:bCs/>
                <w:szCs w:val="16"/>
              </w:rPr>
            </w:pPr>
            <w:r w:rsidRPr="009F37D6">
              <w:rPr>
                <w:rFonts w:cs="Arial"/>
                <w:bCs/>
                <w:szCs w:val="16"/>
              </w:rPr>
              <w:t>79.69%</w:t>
            </w:r>
          </w:p>
        </w:tc>
        <w:tc>
          <w:tcPr>
            <w:tcW w:w="1540" w:type="dxa"/>
          </w:tcPr>
          <w:p w14:paraId="22EC16E4" w14:textId="77777777" w:rsidR="009F37D6" w:rsidRPr="009F37D6" w:rsidRDefault="009F37D6" w:rsidP="009F37D6">
            <w:pPr>
              <w:rPr>
                <w:rFonts w:cs="Arial"/>
                <w:bCs/>
                <w:szCs w:val="16"/>
              </w:rPr>
            </w:pPr>
            <w:r w:rsidRPr="009F37D6">
              <w:rPr>
                <w:rFonts w:cs="Arial"/>
                <w:bCs/>
                <w:szCs w:val="16"/>
              </w:rPr>
              <w:t>72.29%</w:t>
            </w:r>
          </w:p>
        </w:tc>
        <w:tc>
          <w:tcPr>
            <w:tcW w:w="1540" w:type="dxa"/>
          </w:tcPr>
          <w:p w14:paraId="5636F195" w14:textId="77777777" w:rsidR="009F37D6" w:rsidRPr="009F37D6" w:rsidRDefault="009F37D6" w:rsidP="009F37D6">
            <w:pPr>
              <w:rPr>
                <w:rFonts w:cs="Arial"/>
                <w:bCs/>
                <w:szCs w:val="16"/>
              </w:rPr>
            </w:pPr>
            <w:r w:rsidRPr="009F37D6">
              <w:rPr>
                <w:rFonts w:cs="Arial"/>
                <w:bCs/>
                <w:szCs w:val="16"/>
              </w:rPr>
              <w:t>81.28%</w:t>
            </w:r>
          </w:p>
        </w:tc>
        <w:tc>
          <w:tcPr>
            <w:tcW w:w="1540" w:type="dxa"/>
          </w:tcPr>
          <w:p w14:paraId="14DEC948" w14:textId="77777777" w:rsidR="009F37D6" w:rsidRPr="009F37D6" w:rsidRDefault="009F37D6" w:rsidP="009F37D6">
            <w:pPr>
              <w:rPr>
                <w:rFonts w:cs="Arial"/>
                <w:bCs/>
                <w:szCs w:val="16"/>
              </w:rPr>
            </w:pPr>
            <w:r w:rsidRPr="009F37D6">
              <w:rPr>
                <w:rFonts w:cs="Arial"/>
                <w:bCs/>
                <w:szCs w:val="16"/>
              </w:rPr>
              <w:t>63.82%</w:t>
            </w:r>
          </w:p>
        </w:tc>
        <w:tc>
          <w:tcPr>
            <w:tcW w:w="1540" w:type="dxa"/>
          </w:tcPr>
          <w:p w14:paraId="41DC9511" w14:textId="77777777" w:rsidR="009F37D6" w:rsidRPr="009F37D6" w:rsidRDefault="009F37D6" w:rsidP="009F37D6">
            <w:pPr>
              <w:rPr>
                <w:rFonts w:cs="Arial"/>
                <w:bCs/>
                <w:szCs w:val="16"/>
              </w:rPr>
            </w:pPr>
            <w:r w:rsidRPr="009F37D6">
              <w:rPr>
                <w:rFonts w:cs="Arial"/>
                <w:bCs/>
                <w:szCs w:val="16"/>
              </w:rPr>
              <w:t>82.81%</w:t>
            </w:r>
          </w:p>
        </w:tc>
        <w:tc>
          <w:tcPr>
            <w:tcW w:w="1540" w:type="dxa"/>
          </w:tcPr>
          <w:p w14:paraId="464F72B6" w14:textId="77777777" w:rsidR="009F37D6" w:rsidRPr="009F37D6" w:rsidRDefault="009F37D6" w:rsidP="009F37D6">
            <w:pPr>
              <w:rPr>
                <w:rFonts w:cs="Arial"/>
                <w:bCs/>
                <w:szCs w:val="16"/>
              </w:rPr>
            </w:pPr>
            <w:r w:rsidRPr="009F37D6">
              <w:rPr>
                <w:rFonts w:cs="Arial"/>
                <w:bCs/>
                <w:szCs w:val="16"/>
              </w:rPr>
              <w:t>75.29%</w:t>
            </w:r>
          </w:p>
        </w:tc>
      </w:tr>
    </w:tbl>
    <w:p w14:paraId="54656AA5" w14:textId="77777777" w:rsidR="009F37D6" w:rsidRPr="009F37D6" w:rsidRDefault="009F37D6" w:rsidP="009F37D6">
      <w:pPr>
        <w:rPr>
          <w:rFonts w:cs="Arial"/>
          <w:b/>
          <w:szCs w:val="16"/>
        </w:rPr>
      </w:pPr>
    </w:p>
    <w:tbl>
      <w:tblPr>
        <w:tblStyle w:val="TableGrid1"/>
        <w:tblW w:w="5006" w:type="pct"/>
        <w:tblLook w:val="04A0" w:firstRow="1" w:lastRow="0" w:firstColumn="1" w:lastColumn="0" w:noHBand="0" w:noVBand="1"/>
        <w:tblCaption w:val="CAPPCSCR"/>
        <w:tblDescription w:val="Data Comparison Score"/>
      </w:tblPr>
      <w:tblGrid>
        <w:gridCol w:w="3163"/>
        <w:gridCol w:w="7640"/>
      </w:tblGrid>
      <w:tr w:rsidR="009F37D6" w:rsidRPr="009F37D6" w14:paraId="5D26E3D8" w14:textId="77777777" w:rsidTr="005B7427">
        <w:tc>
          <w:tcPr>
            <w:tcW w:w="1464" w:type="pct"/>
            <w:hideMark/>
          </w:tcPr>
          <w:p w14:paraId="51B917E1" w14:textId="77777777" w:rsidR="009F37D6" w:rsidRPr="009F37D6" w:rsidRDefault="009F37D6" w:rsidP="009F37D6">
            <w:pPr>
              <w:rPr>
                <w:rFonts w:cs="Arial"/>
                <w:b/>
                <w:szCs w:val="16"/>
              </w:rPr>
            </w:pPr>
            <w:r w:rsidRPr="009F37D6">
              <w:rPr>
                <w:rFonts w:cs="Arial"/>
                <w:b/>
                <w:szCs w:val="16"/>
              </w:rPr>
              <w:t>Data Comparison Score</w:t>
            </w:r>
          </w:p>
        </w:tc>
        <w:tc>
          <w:tcPr>
            <w:tcW w:w="3536" w:type="pct"/>
            <w:hideMark/>
          </w:tcPr>
          <w:p w14:paraId="44D5E7B5" w14:textId="77777777" w:rsidR="009F37D6" w:rsidRPr="009F37D6" w:rsidRDefault="009F37D6" w:rsidP="009F37D6">
            <w:pPr>
              <w:rPr>
                <w:rFonts w:cs="Arial"/>
                <w:b/>
                <w:szCs w:val="16"/>
              </w:rPr>
            </w:pPr>
            <w:r w:rsidRPr="009F37D6">
              <w:rPr>
                <w:rFonts w:cs="Arial"/>
                <w:b/>
                <w:szCs w:val="16"/>
              </w:rPr>
              <w:t>Total Points Received Across SS1 and SS2</w:t>
            </w:r>
          </w:p>
        </w:tc>
      </w:tr>
      <w:tr w:rsidR="009F37D6" w:rsidRPr="009F37D6" w14:paraId="72D3508A" w14:textId="77777777" w:rsidTr="005B7427">
        <w:tc>
          <w:tcPr>
            <w:tcW w:w="1464" w:type="pct"/>
            <w:noWrap/>
            <w:hideMark/>
          </w:tcPr>
          <w:p w14:paraId="37FFAE2F" w14:textId="77777777" w:rsidR="009F37D6" w:rsidRPr="009F37D6" w:rsidRDefault="009F37D6" w:rsidP="009F37D6">
            <w:pPr>
              <w:rPr>
                <w:rFonts w:cs="Arial"/>
                <w:b/>
                <w:szCs w:val="16"/>
              </w:rPr>
            </w:pPr>
            <w:r w:rsidRPr="009F37D6">
              <w:rPr>
                <w:rFonts w:cs="Arial"/>
                <w:b/>
                <w:szCs w:val="16"/>
              </w:rPr>
              <w:t>0</w:t>
            </w:r>
          </w:p>
        </w:tc>
        <w:tc>
          <w:tcPr>
            <w:tcW w:w="3536" w:type="pct"/>
            <w:noWrap/>
            <w:hideMark/>
          </w:tcPr>
          <w:p w14:paraId="66CA1D4F" w14:textId="77777777" w:rsidR="009F37D6" w:rsidRPr="009F37D6" w:rsidRDefault="009F37D6" w:rsidP="009F37D6">
            <w:pPr>
              <w:rPr>
                <w:rFonts w:cs="Arial"/>
                <w:bCs/>
                <w:szCs w:val="16"/>
              </w:rPr>
            </w:pPr>
            <w:r w:rsidRPr="009F37D6">
              <w:rPr>
                <w:rFonts w:cs="Arial"/>
                <w:bCs/>
                <w:szCs w:val="16"/>
              </w:rPr>
              <w:t>0 through 4 points</w:t>
            </w:r>
          </w:p>
        </w:tc>
      </w:tr>
      <w:tr w:rsidR="009F37D6" w:rsidRPr="009F37D6" w14:paraId="7286396A" w14:textId="77777777" w:rsidTr="005B7427">
        <w:tc>
          <w:tcPr>
            <w:tcW w:w="1464" w:type="pct"/>
            <w:noWrap/>
            <w:hideMark/>
          </w:tcPr>
          <w:p w14:paraId="2FC5AD1A" w14:textId="77777777" w:rsidR="009F37D6" w:rsidRPr="009F37D6" w:rsidRDefault="009F37D6" w:rsidP="009F37D6">
            <w:pPr>
              <w:rPr>
                <w:rFonts w:cs="Arial"/>
                <w:b/>
                <w:szCs w:val="16"/>
              </w:rPr>
            </w:pPr>
            <w:r w:rsidRPr="009F37D6">
              <w:rPr>
                <w:rFonts w:cs="Arial"/>
                <w:b/>
                <w:szCs w:val="16"/>
              </w:rPr>
              <w:t>1</w:t>
            </w:r>
          </w:p>
        </w:tc>
        <w:tc>
          <w:tcPr>
            <w:tcW w:w="3536" w:type="pct"/>
            <w:noWrap/>
            <w:hideMark/>
          </w:tcPr>
          <w:p w14:paraId="4D8E98BC" w14:textId="77777777" w:rsidR="009F37D6" w:rsidRPr="009F37D6" w:rsidRDefault="009F37D6" w:rsidP="009F37D6">
            <w:pPr>
              <w:rPr>
                <w:rFonts w:cs="Arial"/>
                <w:bCs/>
                <w:szCs w:val="16"/>
              </w:rPr>
            </w:pPr>
            <w:r w:rsidRPr="009F37D6">
              <w:rPr>
                <w:rFonts w:cs="Arial"/>
                <w:bCs/>
                <w:szCs w:val="16"/>
              </w:rPr>
              <w:t>5 through 8 points</w:t>
            </w:r>
          </w:p>
        </w:tc>
      </w:tr>
      <w:tr w:rsidR="009F37D6" w:rsidRPr="009F37D6" w14:paraId="7E6BED60" w14:textId="77777777" w:rsidTr="005B7427">
        <w:tc>
          <w:tcPr>
            <w:tcW w:w="1464" w:type="pct"/>
            <w:noWrap/>
            <w:hideMark/>
          </w:tcPr>
          <w:p w14:paraId="22557E89" w14:textId="77777777" w:rsidR="009F37D6" w:rsidRPr="009F37D6" w:rsidRDefault="009F37D6" w:rsidP="009F37D6">
            <w:pPr>
              <w:rPr>
                <w:rFonts w:cs="Arial"/>
                <w:b/>
                <w:szCs w:val="16"/>
              </w:rPr>
            </w:pPr>
            <w:r w:rsidRPr="009F37D6">
              <w:rPr>
                <w:rFonts w:cs="Arial"/>
                <w:b/>
                <w:szCs w:val="16"/>
              </w:rPr>
              <w:t>2</w:t>
            </w:r>
          </w:p>
        </w:tc>
        <w:tc>
          <w:tcPr>
            <w:tcW w:w="3536" w:type="pct"/>
            <w:noWrap/>
            <w:hideMark/>
          </w:tcPr>
          <w:p w14:paraId="44E41E51" w14:textId="77777777" w:rsidR="009F37D6" w:rsidRPr="009F37D6" w:rsidRDefault="009F37D6" w:rsidP="009F37D6">
            <w:pPr>
              <w:rPr>
                <w:rFonts w:cs="Arial"/>
                <w:bCs/>
                <w:szCs w:val="16"/>
              </w:rPr>
            </w:pPr>
            <w:r w:rsidRPr="009F37D6">
              <w:rPr>
                <w:rFonts w:cs="Arial"/>
                <w:bCs/>
                <w:szCs w:val="16"/>
              </w:rPr>
              <w:t>9 through 12 points</w:t>
            </w:r>
          </w:p>
        </w:tc>
      </w:tr>
    </w:tbl>
    <w:p w14:paraId="0D7E87EB" w14:textId="77777777" w:rsidR="00A67CEE" w:rsidRDefault="00A67CEE" w:rsidP="009F37D6">
      <w:pPr>
        <w:rPr>
          <w:rFonts w:cs="Arial"/>
          <w:b/>
          <w:bCs/>
          <w:szCs w:val="16"/>
        </w:rPr>
      </w:pPr>
    </w:p>
    <w:p w14:paraId="4A310894" w14:textId="77777777" w:rsidR="009F37D6" w:rsidRPr="009F37D6" w:rsidRDefault="009F37D6" w:rsidP="009F37D6">
      <w:pPr>
        <w:rPr>
          <w:rFonts w:cs="Arial"/>
          <w:b/>
          <w:bCs/>
          <w:szCs w:val="16"/>
        </w:rPr>
      </w:pPr>
      <w:r w:rsidRPr="009F37D6">
        <w:rPr>
          <w:rFonts w:cs="Arial"/>
          <w:b/>
          <w:bCs/>
          <w:szCs w:val="16"/>
        </w:rPr>
        <w:t>Your State’s Summary Statement Performance FFY 2024</w:t>
      </w:r>
    </w:p>
    <w:tbl>
      <w:tblPr>
        <w:tblStyle w:val="TableGrid1"/>
        <w:tblW w:w="10790" w:type="dxa"/>
        <w:tblLayout w:type="fixed"/>
        <w:tblLook w:val="04A0" w:firstRow="1" w:lastRow="0" w:firstColumn="1" w:lastColumn="0" w:noHBand="0" w:noVBand="1"/>
        <w:tblCaption w:val="C03STESSP"/>
      </w:tblPr>
      <w:tblGrid>
        <w:gridCol w:w="1541"/>
        <w:gridCol w:w="1541"/>
        <w:gridCol w:w="1542"/>
        <w:gridCol w:w="1541"/>
        <w:gridCol w:w="1542"/>
        <w:gridCol w:w="1541"/>
        <w:gridCol w:w="1542"/>
      </w:tblGrid>
      <w:tr w:rsidR="009F37D6" w:rsidRPr="009F37D6" w14:paraId="706DE35A" w14:textId="77777777" w:rsidTr="004A2E39">
        <w:trPr>
          <w:tblHeader/>
        </w:trPr>
        <w:tc>
          <w:tcPr>
            <w:tcW w:w="1541" w:type="dxa"/>
          </w:tcPr>
          <w:p w14:paraId="5622F72C" w14:textId="77777777" w:rsidR="009F37D6" w:rsidRPr="009F37D6" w:rsidRDefault="009F37D6" w:rsidP="009F37D6">
            <w:pPr>
              <w:rPr>
                <w:rFonts w:cs="Arial"/>
                <w:b/>
                <w:szCs w:val="16"/>
              </w:rPr>
            </w:pPr>
            <w:r w:rsidRPr="009F37D6">
              <w:rPr>
                <w:rFonts w:cs="Arial"/>
                <w:b/>
                <w:szCs w:val="16"/>
              </w:rPr>
              <w:t>Summary Statement (SS)</w:t>
            </w:r>
          </w:p>
        </w:tc>
        <w:tc>
          <w:tcPr>
            <w:tcW w:w="1541" w:type="dxa"/>
          </w:tcPr>
          <w:p w14:paraId="167131EC" w14:textId="77777777" w:rsidR="009F37D6" w:rsidRPr="009F37D6" w:rsidRDefault="009F37D6" w:rsidP="009F37D6">
            <w:pPr>
              <w:rPr>
                <w:rFonts w:cs="Arial"/>
                <w:b/>
                <w:szCs w:val="16"/>
              </w:rPr>
            </w:pPr>
            <w:r w:rsidRPr="009F37D6">
              <w:rPr>
                <w:rFonts w:cs="Arial"/>
                <w:b/>
                <w:szCs w:val="16"/>
              </w:rPr>
              <w:t>Outcome A: Positive Social Relationships SS1</w:t>
            </w:r>
          </w:p>
        </w:tc>
        <w:tc>
          <w:tcPr>
            <w:tcW w:w="1542" w:type="dxa"/>
          </w:tcPr>
          <w:p w14:paraId="0F94E389" w14:textId="77777777" w:rsidR="009F37D6" w:rsidRPr="009F37D6" w:rsidRDefault="009F37D6" w:rsidP="009F37D6">
            <w:pPr>
              <w:rPr>
                <w:rFonts w:cs="Arial"/>
                <w:b/>
                <w:szCs w:val="16"/>
              </w:rPr>
            </w:pPr>
            <w:r w:rsidRPr="009F37D6">
              <w:rPr>
                <w:rFonts w:cs="Arial"/>
                <w:b/>
                <w:szCs w:val="16"/>
              </w:rPr>
              <w:t>Outcome A: Positive Social Relationships SS2</w:t>
            </w:r>
          </w:p>
        </w:tc>
        <w:tc>
          <w:tcPr>
            <w:tcW w:w="1541" w:type="dxa"/>
          </w:tcPr>
          <w:p w14:paraId="5DE9A61B" w14:textId="77777777" w:rsidR="009F37D6" w:rsidRPr="009F37D6" w:rsidRDefault="009F37D6" w:rsidP="009F37D6">
            <w:pPr>
              <w:rPr>
                <w:rFonts w:cs="Arial"/>
                <w:b/>
                <w:szCs w:val="16"/>
              </w:rPr>
            </w:pPr>
            <w:r w:rsidRPr="009F37D6">
              <w:rPr>
                <w:rFonts w:cs="Arial"/>
                <w:b/>
                <w:szCs w:val="16"/>
              </w:rPr>
              <w:t>Outcome B: Knowledge and Skills SS1</w:t>
            </w:r>
          </w:p>
        </w:tc>
        <w:tc>
          <w:tcPr>
            <w:tcW w:w="1542" w:type="dxa"/>
          </w:tcPr>
          <w:p w14:paraId="67964182" w14:textId="77777777" w:rsidR="009F37D6" w:rsidRPr="009F37D6" w:rsidRDefault="009F37D6" w:rsidP="009F37D6">
            <w:pPr>
              <w:rPr>
                <w:rFonts w:cs="Arial"/>
                <w:b/>
                <w:szCs w:val="16"/>
              </w:rPr>
            </w:pPr>
            <w:r w:rsidRPr="009F37D6">
              <w:rPr>
                <w:rFonts w:cs="Arial"/>
                <w:b/>
                <w:szCs w:val="16"/>
              </w:rPr>
              <w:t>Outcome B: Knowledge and Skills SS2</w:t>
            </w:r>
          </w:p>
        </w:tc>
        <w:tc>
          <w:tcPr>
            <w:tcW w:w="1541" w:type="dxa"/>
          </w:tcPr>
          <w:p w14:paraId="0A5C010E" w14:textId="77777777" w:rsidR="009F37D6" w:rsidRPr="009F37D6" w:rsidRDefault="009F37D6" w:rsidP="009F37D6">
            <w:pPr>
              <w:rPr>
                <w:rFonts w:cs="Arial"/>
                <w:b/>
                <w:szCs w:val="16"/>
              </w:rPr>
            </w:pPr>
            <w:r w:rsidRPr="009F37D6">
              <w:rPr>
                <w:rFonts w:cs="Arial"/>
                <w:b/>
                <w:szCs w:val="16"/>
              </w:rPr>
              <w:t>Outcome C: Actions to meet needs SS1</w:t>
            </w:r>
          </w:p>
        </w:tc>
        <w:tc>
          <w:tcPr>
            <w:tcW w:w="1542" w:type="dxa"/>
          </w:tcPr>
          <w:p w14:paraId="06A12DFC" w14:textId="77777777" w:rsidR="009F37D6" w:rsidRPr="009F37D6" w:rsidRDefault="009F37D6" w:rsidP="009F37D6">
            <w:pPr>
              <w:rPr>
                <w:rFonts w:cs="Arial"/>
                <w:b/>
                <w:szCs w:val="16"/>
              </w:rPr>
            </w:pPr>
            <w:r w:rsidRPr="009F37D6">
              <w:rPr>
                <w:rFonts w:cs="Arial"/>
                <w:b/>
                <w:szCs w:val="16"/>
              </w:rPr>
              <w:t>Outcome C: Actions to meet needs SS2</w:t>
            </w:r>
          </w:p>
        </w:tc>
      </w:tr>
      <w:tr w:rsidR="009F37D6" w:rsidRPr="009F37D6" w14:paraId="64581FE8" w14:textId="77777777" w:rsidTr="00B80BA1">
        <w:tc>
          <w:tcPr>
            <w:tcW w:w="1541" w:type="dxa"/>
          </w:tcPr>
          <w:p w14:paraId="42B7E67C" w14:textId="77777777" w:rsidR="009F37D6" w:rsidRPr="009F37D6" w:rsidRDefault="009F37D6" w:rsidP="009F37D6">
            <w:pPr>
              <w:rPr>
                <w:rFonts w:cs="Arial"/>
                <w:b/>
                <w:szCs w:val="16"/>
              </w:rPr>
            </w:pPr>
            <w:r w:rsidRPr="009F37D6">
              <w:rPr>
                <w:rFonts w:cs="Arial"/>
                <w:b/>
                <w:szCs w:val="16"/>
              </w:rPr>
              <w:t>Performance (%)</w:t>
            </w:r>
          </w:p>
        </w:tc>
        <w:tc>
          <w:tcPr>
            <w:tcW w:w="1541" w:type="dxa"/>
          </w:tcPr>
          <w:p w14:paraId="24120761" w14:textId="77777777" w:rsidR="009F37D6" w:rsidRPr="009F37D6" w:rsidRDefault="009F37D6" w:rsidP="009F37D6">
            <w:pPr>
              <w:rPr>
                <w:rFonts w:cs="Arial"/>
                <w:bCs/>
                <w:szCs w:val="16"/>
              </w:rPr>
            </w:pPr>
            <w:r w:rsidRPr="009F37D6">
              <w:rPr>
                <w:rFonts w:cs="Arial"/>
                <w:bCs/>
                <w:szCs w:val="16"/>
              </w:rPr>
              <w:t>86.97%</w:t>
            </w:r>
          </w:p>
        </w:tc>
        <w:tc>
          <w:tcPr>
            <w:tcW w:w="1542" w:type="dxa"/>
          </w:tcPr>
          <w:p w14:paraId="62B1D007" w14:textId="77777777" w:rsidR="009F37D6" w:rsidRPr="009F37D6" w:rsidRDefault="009F37D6" w:rsidP="009F37D6">
            <w:pPr>
              <w:rPr>
                <w:rFonts w:cs="Arial"/>
                <w:bCs/>
                <w:szCs w:val="16"/>
              </w:rPr>
            </w:pPr>
            <w:r w:rsidRPr="009F37D6">
              <w:rPr>
                <w:rFonts w:cs="Arial"/>
                <w:bCs/>
                <w:szCs w:val="16"/>
              </w:rPr>
              <w:t>40.97%</w:t>
            </w:r>
          </w:p>
        </w:tc>
        <w:tc>
          <w:tcPr>
            <w:tcW w:w="1541" w:type="dxa"/>
          </w:tcPr>
          <w:p w14:paraId="5A869ACC" w14:textId="77777777" w:rsidR="009F37D6" w:rsidRPr="009F37D6" w:rsidRDefault="009F37D6" w:rsidP="009F37D6">
            <w:pPr>
              <w:rPr>
                <w:rFonts w:cs="Arial"/>
                <w:bCs/>
                <w:szCs w:val="16"/>
              </w:rPr>
            </w:pPr>
            <w:r w:rsidRPr="009F37D6">
              <w:rPr>
                <w:rFonts w:cs="Arial"/>
                <w:bCs/>
                <w:szCs w:val="16"/>
              </w:rPr>
              <w:t>61.03%</w:t>
            </w:r>
          </w:p>
        </w:tc>
        <w:tc>
          <w:tcPr>
            <w:tcW w:w="1542" w:type="dxa"/>
          </w:tcPr>
          <w:p w14:paraId="78ED606B" w14:textId="77777777" w:rsidR="009F37D6" w:rsidRPr="009F37D6" w:rsidRDefault="009F37D6" w:rsidP="009F37D6">
            <w:pPr>
              <w:rPr>
                <w:rFonts w:cs="Arial"/>
                <w:bCs/>
                <w:szCs w:val="16"/>
              </w:rPr>
            </w:pPr>
            <w:r w:rsidRPr="009F37D6">
              <w:rPr>
                <w:rFonts w:cs="Arial"/>
                <w:bCs/>
                <w:szCs w:val="16"/>
              </w:rPr>
              <w:t>35.14%</w:t>
            </w:r>
          </w:p>
        </w:tc>
        <w:tc>
          <w:tcPr>
            <w:tcW w:w="1541" w:type="dxa"/>
          </w:tcPr>
          <w:p w14:paraId="4598E0AE" w14:textId="77777777" w:rsidR="009F37D6" w:rsidRPr="009F37D6" w:rsidRDefault="009F37D6" w:rsidP="009F37D6">
            <w:pPr>
              <w:rPr>
                <w:rFonts w:cs="Arial"/>
                <w:bCs/>
                <w:szCs w:val="16"/>
              </w:rPr>
            </w:pPr>
            <w:r w:rsidRPr="009F37D6">
              <w:rPr>
                <w:rFonts w:cs="Arial"/>
                <w:bCs/>
                <w:szCs w:val="16"/>
              </w:rPr>
              <w:t>71.96%</w:t>
            </w:r>
          </w:p>
        </w:tc>
        <w:tc>
          <w:tcPr>
            <w:tcW w:w="1542" w:type="dxa"/>
          </w:tcPr>
          <w:p w14:paraId="14F05E23" w14:textId="77777777" w:rsidR="009F37D6" w:rsidRPr="009F37D6" w:rsidRDefault="009F37D6" w:rsidP="009F37D6">
            <w:pPr>
              <w:rPr>
                <w:rFonts w:cs="Arial"/>
                <w:bCs/>
                <w:szCs w:val="16"/>
              </w:rPr>
            </w:pPr>
            <w:r w:rsidRPr="009F37D6">
              <w:rPr>
                <w:rFonts w:cs="Arial"/>
                <w:bCs/>
                <w:szCs w:val="16"/>
              </w:rPr>
              <w:t>34.58%</w:t>
            </w:r>
          </w:p>
        </w:tc>
      </w:tr>
      <w:tr w:rsidR="009F37D6" w:rsidRPr="009F37D6" w14:paraId="0344C86C" w14:textId="77777777" w:rsidTr="00B80BA1">
        <w:tc>
          <w:tcPr>
            <w:tcW w:w="1541" w:type="dxa"/>
          </w:tcPr>
          <w:p w14:paraId="23CCF427" w14:textId="77777777" w:rsidR="009F37D6" w:rsidRPr="009F37D6" w:rsidRDefault="009F37D6" w:rsidP="009F37D6">
            <w:pPr>
              <w:rPr>
                <w:rFonts w:cs="Arial"/>
                <w:b/>
                <w:szCs w:val="16"/>
              </w:rPr>
            </w:pPr>
            <w:r w:rsidRPr="009F37D6">
              <w:rPr>
                <w:rFonts w:cs="Arial"/>
                <w:b/>
                <w:szCs w:val="16"/>
              </w:rPr>
              <w:t>Points</w:t>
            </w:r>
          </w:p>
        </w:tc>
        <w:tc>
          <w:tcPr>
            <w:tcW w:w="1541" w:type="dxa"/>
          </w:tcPr>
          <w:p w14:paraId="08BF5317" w14:textId="77777777" w:rsidR="009F37D6" w:rsidRPr="009F37D6" w:rsidRDefault="009F37D6" w:rsidP="009F37D6">
            <w:pPr>
              <w:rPr>
                <w:rFonts w:cs="Arial"/>
                <w:bCs/>
                <w:szCs w:val="16"/>
              </w:rPr>
            </w:pPr>
            <w:r w:rsidRPr="009F37D6">
              <w:rPr>
                <w:rFonts w:cs="Arial"/>
                <w:bCs/>
                <w:szCs w:val="16"/>
              </w:rPr>
              <w:t>2</w:t>
            </w:r>
          </w:p>
        </w:tc>
        <w:tc>
          <w:tcPr>
            <w:tcW w:w="1542" w:type="dxa"/>
          </w:tcPr>
          <w:p w14:paraId="2EE34172" w14:textId="77777777" w:rsidR="009F37D6" w:rsidRPr="009F37D6" w:rsidRDefault="009F37D6" w:rsidP="009F37D6">
            <w:pPr>
              <w:rPr>
                <w:rFonts w:cs="Arial"/>
                <w:bCs/>
                <w:szCs w:val="16"/>
              </w:rPr>
            </w:pPr>
            <w:r w:rsidRPr="009F37D6">
              <w:rPr>
                <w:rFonts w:cs="Arial"/>
                <w:bCs/>
                <w:szCs w:val="16"/>
              </w:rPr>
              <w:t>1</w:t>
            </w:r>
          </w:p>
        </w:tc>
        <w:tc>
          <w:tcPr>
            <w:tcW w:w="1541" w:type="dxa"/>
          </w:tcPr>
          <w:p w14:paraId="5F526CB5" w14:textId="77777777" w:rsidR="009F37D6" w:rsidRPr="009F37D6" w:rsidRDefault="009F37D6" w:rsidP="009F37D6">
            <w:pPr>
              <w:rPr>
                <w:rFonts w:cs="Arial"/>
                <w:bCs/>
                <w:szCs w:val="16"/>
              </w:rPr>
            </w:pPr>
            <w:r w:rsidRPr="009F37D6">
              <w:rPr>
                <w:rFonts w:cs="Arial"/>
                <w:bCs/>
                <w:szCs w:val="16"/>
              </w:rPr>
              <w:t>1</w:t>
            </w:r>
          </w:p>
        </w:tc>
        <w:tc>
          <w:tcPr>
            <w:tcW w:w="1542" w:type="dxa"/>
          </w:tcPr>
          <w:p w14:paraId="782141BA" w14:textId="77777777" w:rsidR="009F37D6" w:rsidRPr="009F37D6" w:rsidRDefault="009F37D6" w:rsidP="009F37D6">
            <w:pPr>
              <w:rPr>
                <w:rFonts w:cs="Arial"/>
                <w:bCs/>
                <w:szCs w:val="16"/>
              </w:rPr>
            </w:pPr>
            <w:r w:rsidRPr="009F37D6">
              <w:rPr>
                <w:rFonts w:cs="Arial"/>
                <w:bCs/>
                <w:szCs w:val="16"/>
              </w:rPr>
              <w:t>1</w:t>
            </w:r>
          </w:p>
        </w:tc>
        <w:tc>
          <w:tcPr>
            <w:tcW w:w="1541" w:type="dxa"/>
          </w:tcPr>
          <w:p w14:paraId="2EE384F1" w14:textId="77777777" w:rsidR="009F37D6" w:rsidRPr="009F37D6" w:rsidRDefault="009F37D6" w:rsidP="009F37D6">
            <w:pPr>
              <w:rPr>
                <w:rFonts w:cs="Arial"/>
                <w:bCs/>
                <w:szCs w:val="16"/>
              </w:rPr>
            </w:pPr>
            <w:r w:rsidRPr="009F37D6">
              <w:rPr>
                <w:rFonts w:cs="Arial"/>
                <w:bCs/>
                <w:szCs w:val="16"/>
              </w:rPr>
              <w:t>1</w:t>
            </w:r>
          </w:p>
        </w:tc>
        <w:tc>
          <w:tcPr>
            <w:tcW w:w="1542" w:type="dxa"/>
          </w:tcPr>
          <w:p w14:paraId="696FDB81" w14:textId="77777777" w:rsidR="009F37D6" w:rsidRPr="009F37D6" w:rsidRDefault="009F37D6" w:rsidP="009F37D6">
            <w:pPr>
              <w:rPr>
                <w:rFonts w:cs="Arial"/>
                <w:bCs/>
                <w:szCs w:val="16"/>
              </w:rPr>
            </w:pPr>
            <w:r w:rsidRPr="009F37D6">
              <w:rPr>
                <w:rFonts w:cs="Arial"/>
                <w:bCs/>
                <w:szCs w:val="16"/>
              </w:rPr>
              <w:t>1</w:t>
            </w:r>
          </w:p>
        </w:tc>
      </w:tr>
    </w:tbl>
    <w:p w14:paraId="00C98193"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SPTPFNL"/>
      </w:tblPr>
      <w:tblGrid>
        <w:gridCol w:w="5400"/>
        <w:gridCol w:w="5400"/>
      </w:tblGrid>
      <w:tr w:rsidR="009F37D6" w:rsidRPr="009F37D6" w14:paraId="1B91273F" w14:textId="77777777" w:rsidTr="00B80BA1">
        <w:tc>
          <w:tcPr>
            <w:tcW w:w="5400" w:type="dxa"/>
          </w:tcPr>
          <w:p w14:paraId="4D7C8992" w14:textId="77777777" w:rsidR="009F37D6" w:rsidRPr="009F37D6" w:rsidRDefault="009F37D6" w:rsidP="009F37D6">
            <w:pPr>
              <w:rPr>
                <w:rFonts w:cs="Arial"/>
                <w:b/>
                <w:szCs w:val="16"/>
              </w:rPr>
            </w:pPr>
            <w:r w:rsidRPr="009F37D6">
              <w:rPr>
                <w:rFonts w:cs="Arial"/>
                <w:b/>
                <w:szCs w:val="16"/>
              </w:rPr>
              <w:t>Total Points Across SS1 and SS2</w:t>
            </w:r>
          </w:p>
        </w:tc>
        <w:tc>
          <w:tcPr>
            <w:tcW w:w="5400" w:type="dxa"/>
          </w:tcPr>
          <w:p w14:paraId="3DB6741C" w14:textId="77777777" w:rsidR="009F37D6" w:rsidRPr="009F37D6" w:rsidRDefault="009F37D6" w:rsidP="009F37D6">
            <w:pPr>
              <w:rPr>
                <w:rFonts w:cs="Arial"/>
                <w:bCs/>
                <w:szCs w:val="16"/>
              </w:rPr>
            </w:pPr>
            <w:r w:rsidRPr="009F37D6">
              <w:rPr>
                <w:rFonts w:cs="Arial"/>
                <w:bCs/>
                <w:szCs w:val="16"/>
              </w:rPr>
              <w:t>7</w:t>
            </w:r>
          </w:p>
        </w:tc>
      </w:tr>
    </w:tbl>
    <w:p w14:paraId="2A9B63E5"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TECOMPFNL"/>
      </w:tblPr>
      <w:tblGrid>
        <w:gridCol w:w="5400"/>
        <w:gridCol w:w="5400"/>
      </w:tblGrid>
      <w:tr w:rsidR="009F37D6" w:rsidRPr="009F37D6" w14:paraId="4E8B47F9" w14:textId="77777777" w:rsidTr="00B80BA1">
        <w:tc>
          <w:tcPr>
            <w:tcW w:w="5400" w:type="dxa"/>
          </w:tcPr>
          <w:p w14:paraId="26541106" w14:textId="77777777" w:rsidR="009F37D6" w:rsidRPr="009F37D6" w:rsidRDefault="009F37D6" w:rsidP="009F37D6">
            <w:pPr>
              <w:rPr>
                <w:rFonts w:cs="Arial"/>
                <w:b/>
                <w:szCs w:val="16"/>
              </w:rPr>
            </w:pPr>
            <w:r w:rsidRPr="009F37D6">
              <w:rPr>
                <w:rFonts w:cs="Arial"/>
                <w:b/>
                <w:szCs w:val="16"/>
              </w:rPr>
              <w:t>Your State’s Data Comparison Score</w:t>
            </w:r>
          </w:p>
        </w:tc>
        <w:tc>
          <w:tcPr>
            <w:tcW w:w="5400" w:type="dxa"/>
          </w:tcPr>
          <w:p w14:paraId="021DDBF0" w14:textId="77777777" w:rsidR="009F37D6" w:rsidRPr="009F37D6" w:rsidRDefault="009F37D6" w:rsidP="009F37D6">
            <w:pPr>
              <w:rPr>
                <w:rFonts w:cs="Arial"/>
                <w:bCs/>
                <w:szCs w:val="16"/>
              </w:rPr>
            </w:pPr>
            <w:r w:rsidRPr="009F37D6">
              <w:rPr>
                <w:rFonts w:cs="Arial"/>
                <w:bCs/>
                <w:szCs w:val="16"/>
              </w:rPr>
              <w:t>1</w:t>
            </w:r>
          </w:p>
        </w:tc>
      </w:tr>
    </w:tbl>
    <w:p w14:paraId="505507BB" w14:textId="77777777" w:rsidR="002E52E1" w:rsidRDefault="002E52E1" w:rsidP="001E51FC">
      <w:pPr>
        <w:rPr>
          <w:rFonts w:cs="Arial"/>
          <w:b/>
          <w:bCs/>
          <w:szCs w:val="16"/>
        </w:rPr>
      </w:pPr>
    </w:p>
    <w:p w14:paraId="69166D78" w14:textId="77777777" w:rsidR="006D2754" w:rsidRDefault="002E52E1" w:rsidP="002E52E1">
      <w:pPr>
        <w:spacing w:before="0" w:after="200" w:line="276" w:lineRule="auto"/>
        <w:rPr>
          <w:rFonts w:cs="Arial"/>
          <w:b/>
          <w:bCs/>
          <w:szCs w:val="16"/>
        </w:rPr>
      </w:pPr>
      <w:r>
        <w:rPr>
          <w:rFonts w:cs="Arial"/>
          <w:b/>
          <w:bCs/>
          <w:szCs w:val="16"/>
        </w:rPr>
        <w:br w:type="page"/>
      </w:r>
    </w:p>
    <w:p w14:paraId="1C727AF3" w14:textId="77777777" w:rsidR="001E51FC" w:rsidRPr="001E51FC" w:rsidRDefault="001E51FC" w:rsidP="001E51FC">
      <w:pPr>
        <w:rPr>
          <w:rFonts w:cs="Arial"/>
          <w:b/>
          <w:bCs/>
          <w:szCs w:val="16"/>
        </w:rPr>
      </w:pPr>
      <w:r w:rsidRPr="001E51FC">
        <w:rPr>
          <w:rFonts w:cs="Arial"/>
          <w:b/>
          <w:bCs/>
          <w:szCs w:val="16"/>
        </w:rPr>
        <w:lastRenderedPageBreak/>
        <w:t>Appendix D</w:t>
      </w:r>
    </w:p>
    <w:p w14:paraId="6EE37465" w14:textId="77777777" w:rsidR="00A67CEE" w:rsidRDefault="00A67CEE" w:rsidP="001E51FC">
      <w:pPr>
        <w:rPr>
          <w:rFonts w:cs="Arial"/>
          <w:b/>
          <w:bCs/>
          <w:szCs w:val="16"/>
        </w:rPr>
      </w:pPr>
    </w:p>
    <w:p w14:paraId="26F548C5" w14:textId="77777777" w:rsidR="00A67CEE" w:rsidRDefault="001E51FC" w:rsidP="001E51FC">
      <w:pPr>
        <w:rPr>
          <w:rFonts w:cs="Arial"/>
          <w:b/>
          <w:bCs/>
          <w:szCs w:val="16"/>
        </w:rPr>
      </w:pPr>
      <w:r w:rsidRPr="001E51FC">
        <w:rPr>
          <w:rFonts w:cs="Arial"/>
          <w:b/>
          <w:bCs/>
          <w:szCs w:val="16"/>
        </w:rPr>
        <w:t xml:space="preserve">II. (b) Performance Change Over Time: </w:t>
      </w:r>
    </w:p>
    <w:p w14:paraId="2AF56DA2" w14:textId="77777777" w:rsidR="001E51FC" w:rsidRPr="001E51FC" w:rsidRDefault="001E51FC" w:rsidP="001E51FC">
      <w:pPr>
        <w:rPr>
          <w:rFonts w:cs="Arial"/>
          <w:b/>
          <w:bCs/>
          <w:szCs w:val="16"/>
        </w:rPr>
      </w:pPr>
      <w:r w:rsidRPr="001E51FC">
        <w:rPr>
          <w:rFonts w:cs="Arial"/>
          <w:b/>
          <w:bCs/>
          <w:szCs w:val="16"/>
        </w:rPr>
        <w:t>Comparing your State’s FFY 2024 Outcomes Data to your State’s FFY 2023 Outcomes Data</w:t>
      </w:r>
    </w:p>
    <w:p w14:paraId="247B9EF1" w14:textId="77777777" w:rsidR="001E51FC" w:rsidRPr="00A67CEE" w:rsidRDefault="001E51FC" w:rsidP="001E51FC">
      <w:pPr>
        <w:rPr>
          <w:rFonts w:cs="Arial"/>
          <w:bCs/>
          <w:szCs w:val="16"/>
        </w:rPr>
      </w:pPr>
      <w:r w:rsidRPr="00A67CEE">
        <w:rPr>
          <w:rFonts w:cs="Arial"/>
          <w:bCs/>
          <w:szCs w:val="16"/>
        </w:rPr>
        <w:t xml:space="preserve">The Summary Statement percentages in each Outcomes Area from the previous year’s reporting (FFY 2023) is compared to the current year (FFY 2024) using the test of proportional difference to determine whether there is a statistically significant (or meaningful) growth or decline in child achievement based upon a significance level of p&lt;=.05. The data in each Outcome Area is </w:t>
      </w:r>
      <w:proofErr w:type="gramStart"/>
      <w:r w:rsidRPr="00A67CEE">
        <w:rPr>
          <w:rFonts w:cs="Arial"/>
          <w:bCs/>
          <w:szCs w:val="16"/>
        </w:rPr>
        <w:t>assigned</w:t>
      </w:r>
      <w:proofErr w:type="gramEnd"/>
      <w:r w:rsidRPr="00A67CEE">
        <w:rPr>
          <w:rFonts w:cs="Arial"/>
          <w:bCs/>
          <w:szCs w:val="16"/>
        </w:rPr>
        <w:t xml:space="preserve"> a value of 0 if there was a statistically significant decrease from one year to the next, a value of 1 if there was no significant change, and a value of 2 if there was a statistically significant increase across the years. The scores from all 6 Outcome Areas are totaled, resulting in a score from 0 – 12. The Overall Performance Change Score for this results element of ‘0</w:t>
      </w:r>
      <w:proofErr w:type="gramStart"/>
      <w:r w:rsidRPr="00A67CEE">
        <w:rPr>
          <w:rFonts w:cs="Arial"/>
          <w:bCs/>
          <w:szCs w:val="16"/>
        </w:rPr>
        <w:t>’, ‘</w:t>
      </w:r>
      <w:proofErr w:type="gramEnd"/>
      <w:r w:rsidRPr="00A67CEE">
        <w:rPr>
          <w:rFonts w:cs="Arial"/>
          <w:bCs/>
          <w:szCs w:val="16"/>
        </w:rPr>
        <w:t>1’, or ‘2’ for each State is based on the total points awarded. Where OSEP has approved a State’s reestablishment of its Indicator C3 Outcome Area baseline data the State received a score of ‘N/A’ for this element.</w:t>
      </w:r>
    </w:p>
    <w:p w14:paraId="358D5B25" w14:textId="77777777" w:rsidR="00A67CEE" w:rsidRDefault="00A67CEE" w:rsidP="001E51FC">
      <w:pPr>
        <w:rPr>
          <w:rFonts w:cs="Arial"/>
          <w:b/>
          <w:bCs/>
          <w:szCs w:val="16"/>
        </w:rPr>
      </w:pPr>
    </w:p>
    <w:p w14:paraId="0AEE5AE2" w14:textId="77777777" w:rsidR="001E51FC" w:rsidRPr="001E51FC" w:rsidRDefault="001E51FC" w:rsidP="001E51FC">
      <w:pPr>
        <w:rPr>
          <w:rFonts w:cs="Arial"/>
          <w:b/>
          <w:bCs/>
          <w:szCs w:val="16"/>
        </w:rPr>
      </w:pPr>
      <w:r w:rsidRPr="001E51FC">
        <w:rPr>
          <w:rFonts w:cs="Arial"/>
          <w:b/>
          <w:bCs/>
          <w:szCs w:val="16"/>
        </w:rPr>
        <w:t xml:space="preserve">Test </w:t>
      </w:r>
      <w:proofErr w:type="gramStart"/>
      <w:r w:rsidRPr="001E51FC">
        <w:rPr>
          <w:rFonts w:cs="Arial"/>
          <w:b/>
          <w:bCs/>
          <w:szCs w:val="16"/>
        </w:rPr>
        <w:t>of</w:t>
      </w:r>
      <w:proofErr w:type="gramEnd"/>
      <w:r w:rsidRPr="001E51FC">
        <w:rPr>
          <w:rFonts w:cs="Arial"/>
          <w:b/>
          <w:bCs/>
          <w:szCs w:val="16"/>
        </w:rPr>
        <w:t xml:space="preserve"> Proportional Difference Calculation Overview</w:t>
      </w:r>
    </w:p>
    <w:p w14:paraId="75214BAB" w14:textId="77777777" w:rsidR="001E51FC" w:rsidRPr="00A67CEE" w:rsidRDefault="001E51FC" w:rsidP="001E51FC">
      <w:pPr>
        <w:rPr>
          <w:rFonts w:cs="Arial"/>
          <w:bCs/>
          <w:szCs w:val="16"/>
        </w:rPr>
      </w:pPr>
      <w:r w:rsidRPr="00A67CEE">
        <w:rPr>
          <w:rFonts w:cs="Arial"/>
          <w:bCs/>
          <w:szCs w:val="16"/>
        </w:rPr>
        <w:t>The summary statement percentages from the previous year’s reporting were compared to the current year using an accepted formula (test of proportional difference) to determine whether the difference between the two percentages is statistically significant (or meaningful), based upon a significance level of p&lt;=.05. The statistical test has several steps. All values are shown as rounded for display purposes.</w:t>
      </w:r>
    </w:p>
    <w:p w14:paraId="1960C879" w14:textId="77777777" w:rsidR="00A67CEE" w:rsidRDefault="00A67CEE" w:rsidP="001E51FC">
      <w:pPr>
        <w:rPr>
          <w:rFonts w:cs="Arial"/>
          <w:bCs/>
          <w:szCs w:val="16"/>
        </w:rPr>
      </w:pPr>
    </w:p>
    <w:p w14:paraId="30F78C6B" w14:textId="77777777" w:rsidR="007B0FF2" w:rsidRPr="00A67CEE" w:rsidRDefault="007B0FF2" w:rsidP="007B0FF2">
      <w:pPr>
        <w:rPr>
          <w:rFonts w:cs="Arial"/>
          <w:bCs/>
          <w:szCs w:val="16"/>
        </w:rPr>
      </w:pPr>
      <w:r w:rsidRPr="00A67CEE">
        <w:rPr>
          <w:rFonts w:cs="Arial"/>
          <w:bCs/>
          <w:szCs w:val="16"/>
        </w:rPr>
        <w:t>Step 1: Compute the difference between the FFY 2024 and FFY 2023 summary statements.</w:t>
      </w:r>
    </w:p>
    <w:p w14:paraId="23D2C322" w14:textId="77777777" w:rsidR="007B0FF2" w:rsidRPr="00A67CEE" w:rsidRDefault="007B0FF2" w:rsidP="007B0FF2">
      <w:pPr>
        <w:ind w:firstLine="720"/>
        <w:rPr>
          <w:rFonts w:cs="Arial"/>
          <w:bCs/>
          <w:szCs w:val="16"/>
        </w:rPr>
      </w:pPr>
      <w:r w:rsidRPr="00A67CEE">
        <w:rPr>
          <w:rFonts w:cs="Arial"/>
          <w:bCs/>
          <w:szCs w:val="16"/>
        </w:rPr>
        <w:t>e.g., C3A FFY2024% - C3A FFY2023% = Difference in proportions</w:t>
      </w:r>
    </w:p>
    <w:p w14:paraId="6794B628" w14:textId="77777777" w:rsidR="007B0FF2" w:rsidRDefault="007B0FF2" w:rsidP="007B0FF2">
      <w:pPr>
        <w:rPr>
          <w:rFonts w:cs="Arial"/>
          <w:bCs/>
          <w:szCs w:val="16"/>
        </w:rPr>
      </w:pPr>
    </w:p>
    <w:p w14:paraId="4F1D0F52" w14:textId="77777777" w:rsidR="006F3905" w:rsidRPr="006F3905" w:rsidRDefault="007B0FF2" w:rsidP="006F3905">
      <w:pPr>
        <w:spacing w:after="120"/>
        <w:ind w:left="720" w:hanging="720"/>
        <w:rPr>
          <w:rFonts w:cs="Arial"/>
          <w:szCs w:val="16"/>
        </w:rPr>
      </w:pPr>
      <w:r w:rsidRPr="00A67CEE">
        <w:rPr>
          <w:rFonts w:cs="Arial"/>
          <w:bCs/>
          <w:szCs w:val="16"/>
        </w:rPr>
        <w:t xml:space="preserve">Step 2: </w:t>
      </w:r>
      <w:r w:rsidRPr="006F3905">
        <w:rPr>
          <w:rFonts w:cs="Arial"/>
          <w:szCs w:val="16"/>
        </w:rPr>
        <w:t xml:space="preserve">Compute the standard error of the difference in proportions using the following formula which </w:t>
      </w:r>
      <w:proofErr w:type="gramStart"/>
      <w:r w:rsidRPr="006F3905">
        <w:rPr>
          <w:rFonts w:cs="Arial"/>
          <w:szCs w:val="16"/>
        </w:rPr>
        <w:t>takes into account</w:t>
      </w:r>
      <w:proofErr w:type="gramEnd"/>
      <w:r w:rsidRPr="006F3905">
        <w:rPr>
          <w:rFonts w:cs="Arial"/>
          <w:szCs w:val="16"/>
        </w:rPr>
        <w:t xml:space="preserve"> the value of the summary statement from both years and the number of children that the summary statement is based on</w:t>
      </w:r>
    </w:p>
    <w:p w14:paraId="28E1A11F" w14:textId="77777777" w:rsidR="007B0FF2" w:rsidRPr="006F3905" w:rsidRDefault="006F3905" w:rsidP="006F3905">
      <w:pPr>
        <w:ind w:left="720"/>
        <w:rPr>
          <w:rFonts w:cs="Arial"/>
          <w:color w:val="000000" w:themeColor="text1"/>
          <w:szCs w:val="16"/>
        </w:rPr>
      </w:pPr>
      <w:proofErr w:type="gramStart"/>
      <w:r w:rsidRPr="0001214A">
        <w:rPr>
          <w:rFonts w:cs="Arial"/>
          <w:color w:val="000000" w:themeColor="text1"/>
          <w:szCs w:val="16"/>
        </w:rPr>
        <w:t>Sqrt[</w:t>
      </w:r>
      <w:proofErr w:type="gramEnd"/>
      <w:r w:rsidRPr="0001214A">
        <w:rPr>
          <w:rFonts w:cs="Arial"/>
          <w:color w:val="000000" w:themeColor="text1"/>
          <w:szCs w:val="16"/>
        </w:rPr>
        <w:t>([FFY2023% * (1-FFY2023%)] / FFY2023N) + ([FFY2024% * (1-FFY2024%)] / FFY2024N)] = Standard Error of Difference in Proportions</w:t>
      </w:r>
    </w:p>
    <w:p w14:paraId="72EEDE0D" w14:textId="77777777" w:rsidR="006F3905" w:rsidRPr="0001214A" w:rsidRDefault="006F3905" w:rsidP="0001214A">
      <w:pPr>
        <w:ind w:left="720"/>
        <w:rPr>
          <w:rFonts w:cs="Arial"/>
          <w:color w:val="000000" w:themeColor="text1"/>
          <w:szCs w:val="16"/>
        </w:rPr>
      </w:pPr>
    </w:p>
    <w:p w14:paraId="50C996FA" w14:textId="77777777" w:rsidR="007B0FF2" w:rsidRPr="00A67CEE" w:rsidRDefault="007B0FF2" w:rsidP="007B0FF2">
      <w:pPr>
        <w:rPr>
          <w:rFonts w:cs="Arial"/>
          <w:bCs/>
          <w:szCs w:val="16"/>
        </w:rPr>
      </w:pPr>
      <w:r w:rsidRPr="006F3905">
        <w:rPr>
          <w:rFonts w:cs="Arial"/>
          <w:bCs/>
          <w:szCs w:val="16"/>
        </w:rPr>
        <w:t xml:space="preserve">Step 3: The difference in proportions is then divided by the standard error of the difference to compute a z score. </w:t>
      </w:r>
    </w:p>
    <w:p w14:paraId="60B1D135" w14:textId="77777777" w:rsidR="007B0FF2" w:rsidRPr="00A67CEE" w:rsidRDefault="007B0FF2" w:rsidP="007B0FF2">
      <w:pPr>
        <w:ind w:firstLine="720"/>
        <w:rPr>
          <w:rFonts w:cs="Arial"/>
          <w:bCs/>
          <w:szCs w:val="16"/>
        </w:rPr>
      </w:pPr>
      <w:r w:rsidRPr="00A67CEE">
        <w:rPr>
          <w:rFonts w:cs="Arial"/>
          <w:bCs/>
          <w:szCs w:val="16"/>
        </w:rPr>
        <w:t>Difference in proportions /standard error of the difference in proportions = z score </w:t>
      </w:r>
    </w:p>
    <w:p w14:paraId="20B3B6AC" w14:textId="77777777" w:rsidR="007B0FF2" w:rsidRDefault="007B0FF2" w:rsidP="007B0FF2">
      <w:pPr>
        <w:rPr>
          <w:rFonts w:cs="Arial"/>
          <w:bCs/>
          <w:szCs w:val="16"/>
        </w:rPr>
      </w:pPr>
    </w:p>
    <w:p w14:paraId="2973A4D9" w14:textId="77777777" w:rsidR="007B0FF2" w:rsidRPr="00A67CEE" w:rsidRDefault="007B0FF2" w:rsidP="007B0FF2">
      <w:pPr>
        <w:rPr>
          <w:rFonts w:cs="Arial"/>
          <w:bCs/>
          <w:szCs w:val="16"/>
        </w:rPr>
      </w:pPr>
      <w:r w:rsidRPr="00A67CEE">
        <w:rPr>
          <w:rFonts w:cs="Arial"/>
          <w:bCs/>
          <w:szCs w:val="16"/>
        </w:rPr>
        <w:t xml:space="preserve">Step 4: The statistical significance of the z score is located within a </w:t>
      </w:r>
      <w:proofErr w:type="gramStart"/>
      <w:r w:rsidRPr="00A67CEE">
        <w:rPr>
          <w:rFonts w:cs="Arial"/>
          <w:bCs/>
          <w:szCs w:val="16"/>
        </w:rPr>
        <w:t>table</w:t>
      </w:r>
      <w:proofErr w:type="gramEnd"/>
      <w:r w:rsidRPr="00A67CEE">
        <w:rPr>
          <w:rFonts w:cs="Arial"/>
          <w:bCs/>
          <w:szCs w:val="16"/>
        </w:rPr>
        <w:t xml:space="preserve"> and the </w:t>
      </w:r>
      <w:r w:rsidRPr="00A67CEE">
        <w:rPr>
          <w:rFonts w:cs="Arial"/>
          <w:bCs/>
          <w:i/>
          <w:iCs/>
          <w:szCs w:val="16"/>
        </w:rPr>
        <w:t>p</w:t>
      </w:r>
      <w:r w:rsidRPr="00A67CEE">
        <w:rPr>
          <w:rFonts w:cs="Arial"/>
          <w:bCs/>
          <w:szCs w:val="16"/>
        </w:rPr>
        <w:t xml:space="preserve"> value is determined. </w:t>
      </w:r>
    </w:p>
    <w:p w14:paraId="5487F3CB" w14:textId="77777777" w:rsidR="007B0FF2" w:rsidRDefault="007B0FF2" w:rsidP="007B0FF2">
      <w:pPr>
        <w:rPr>
          <w:rFonts w:cs="Arial"/>
          <w:bCs/>
          <w:szCs w:val="16"/>
        </w:rPr>
      </w:pPr>
    </w:p>
    <w:p w14:paraId="7EA0A036" w14:textId="77777777" w:rsidR="007B0FF2" w:rsidRDefault="007B0FF2" w:rsidP="007B0FF2">
      <w:pPr>
        <w:rPr>
          <w:rFonts w:cs="Arial"/>
          <w:bCs/>
          <w:szCs w:val="16"/>
        </w:rPr>
      </w:pPr>
      <w:r w:rsidRPr="00A67CEE">
        <w:rPr>
          <w:rFonts w:cs="Arial"/>
          <w:bCs/>
          <w:szCs w:val="16"/>
        </w:rPr>
        <w:t xml:space="preserve">Step 5: The difference in proportions is coded as statistically significant if the </w:t>
      </w:r>
      <w:r w:rsidRPr="00A67CEE">
        <w:rPr>
          <w:rFonts w:cs="Arial"/>
          <w:bCs/>
          <w:i/>
          <w:iCs/>
          <w:szCs w:val="16"/>
        </w:rPr>
        <w:t xml:space="preserve">p </w:t>
      </w:r>
      <w:r w:rsidRPr="00A67CEE">
        <w:rPr>
          <w:rFonts w:cs="Arial"/>
          <w:bCs/>
          <w:szCs w:val="16"/>
        </w:rPr>
        <w:t>value is less than or equal to .05.</w:t>
      </w:r>
    </w:p>
    <w:p w14:paraId="732F4647" w14:textId="77777777" w:rsidR="007B0FF2" w:rsidRPr="00333DBB" w:rsidRDefault="007B0FF2" w:rsidP="007B0FF2">
      <w:pPr>
        <w:rPr>
          <w:rFonts w:cs="Arial"/>
          <w:bCs/>
          <w:sz w:val="14"/>
          <w:szCs w:val="14"/>
        </w:rPr>
      </w:pPr>
    </w:p>
    <w:p w14:paraId="77A80BFF" w14:textId="77777777" w:rsidR="007B0FF2" w:rsidRPr="00333DBB" w:rsidRDefault="007B0FF2" w:rsidP="007B0FF2">
      <w:pPr>
        <w:spacing w:after="0"/>
        <w:ind w:left="720" w:hanging="720"/>
        <w:rPr>
          <w:szCs w:val="16"/>
        </w:rPr>
      </w:pPr>
      <w:r w:rsidRPr="00333DBB">
        <w:rPr>
          <w:szCs w:val="16"/>
        </w:rPr>
        <w:t>Step 6: Information about the statistical significance of the change and the direction of the change are combined to arrive at a score for the summary statement using the following criteria</w:t>
      </w:r>
    </w:p>
    <w:p w14:paraId="04E13FBC" w14:textId="77777777" w:rsidR="007B0FF2" w:rsidRPr="00333DBB" w:rsidRDefault="007B0FF2" w:rsidP="007B0FF2">
      <w:pPr>
        <w:spacing w:after="0"/>
        <w:ind w:left="720"/>
        <w:rPr>
          <w:szCs w:val="16"/>
        </w:rPr>
      </w:pPr>
      <w:r w:rsidRPr="00333DBB">
        <w:rPr>
          <w:szCs w:val="16"/>
        </w:rPr>
        <w:t>0 = statistically significant decrease from FFY 2023 to FFY 2024</w:t>
      </w:r>
    </w:p>
    <w:p w14:paraId="5056B9C8" w14:textId="77777777" w:rsidR="007B0FF2" w:rsidRPr="00333DBB" w:rsidRDefault="007B0FF2" w:rsidP="007B0FF2">
      <w:pPr>
        <w:spacing w:after="0"/>
        <w:ind w:left="720"/>
        <w:rPr>
          <w:szCs w:val="16"/>
        </w:rPr>
      </w:pPr>
      <w:r w:rsidRPr="00333DBB">
        <w:rPr>
          <w:szCs w:val="16"/>
        </w:rPr>
        <w:t>1 = No statistically significant change</w:t>
      </w:r>
    </w:p>
    <w:p w14:paraId="2A22071F" w14:textId="77777777" w:rsidR="007B0FF2" w:rsidRPr="00333DBB" w:rsidRDefault="007B0FF2" w:rsidP="007B0FF2">
      <w:pPr>
        <w:ind w:left="720"/>
        <w:rPr>
          <w:szCs w:val="16"/>
        </w:rPr>
      </w:pPr>
      <w:r w:rsidRPr="00333DBB">
        <w:rPr>
          <w:szCs w:val="16"/>
        </w:rPr>
        <w:t>2= statistically significant increase from FFY 2023 to FFY 2024</w:t>
      </w:r>
    </w:p>
    <w:p w14:paraId="76780574" w14:textId="77777777" w:rsidR="007B0FF2" w:rsidRDefault="007B0FF2" w:rsidP="007B0FF2">
      <w:pPr>
        <w:rPr>
          <w:rFonts w:cs="Arial"/>
          <w:bCs/>
          <w:szCs w:val="16"/>
        </w:rPr>
      </w:pPr>
    </w:p>
    <w:p w14:paraId="75762122" w14:textId="77777777" w:rsidR="007B0FF2" w:rsidRPr="00333DBB" w:rsidRDefault="007B0FF2" w:rsidP="007B0FF2">
      <w:pPr>
        <w:spacing w:after="120"/>
        <w:ind w:left="720" w:hanging="720"/>
        <w:rPr>
          <w:szCs w:val="16"/>
        </w:rPr>
      </w:pPr>
      <w:r w:rsidRPr="00333DBB">
        <w:rPr>
          <w:szCs w:val="16"/>
        </w:rPr>
        <w:t xml:space="preserve">Step 7: The score for each summary statement and outcome is </w:t>
      </w:r>
      <w:proofErr w:type="gramStart"/>
      <w:r w:rsidRPr="00333DBB">
        <w:rPr>
          <w:szCs w:val="16"/>
        </w:rPr>
        <w:t>summed</w:t>
      </w:r>
      <w:proofErr w:type="gramEnd"/>
      <w:r w:rsidRPr="00333DBB">
        <w:rPr>
          <w:szCs w:val="16"/>
        </w:rPr>
        <w:t xml:space="preserve"> to create a total score with a minimum of 0 and a maximum of 12. The score for the test of proportional difference is </w:t>
      </w:r>
      <w:proofErr w:type="gramStart"/>
      <w:r w:rsidRPr="00333DBB">
        <w:rPr>
          <w:szCs w:val="16"/>
        </w:rPr>
        <w:t>assigned</w:t>
      </w:r>
      <w:proofErr w:type="gramEnd"/>
      <w:r w:rsidRPr="00333DBB">
        <w:rPr>
          <w:szCs w:val="16"/>
        </w:rPr>
        <w:t xml:space="preserve"> a score for the </w:t>
      </w:r>
      <w:proofErr w:type="gramStart"/>
      <w:r w:rsidRPr="00333DBB">
        <w:rPr>
          <w:szCs w:val="16"/>
        </w:rPr>
        <w:t>Indicator</w:t>
      </w:r>
      <w:proofErr w:type="gramEnd"/>
      <w:r w:rsidRPr="00333DBB">
        <w:rPr>
          <w:szCs w:val="16"/>
        </w:rPr>
        <w:t xml:space="preserve"> 3 Overall Performance Change Score based on the following cut points:</w:t>
      </w:r>
    </w:p>
    <w:p w14:paraId="4FE20811" w14:textId="77777777" w:rsidR="00A67CEE" w:rsidRPr="001E51FC" w:rsidRDefault="00A67CEE" w:rsidP="001E51FC">
      <w:pPr>
        <w:rPr>
          <w:rFonts w:cs="Arial"/>
          <w:b/>
          <w:szCs w:val="16"/>
        </w:rPr>
      </w:pPr>
    </w:p>
    <w:tbl>
      <w:tblPr>
        <w:tblStyle w:val="TableGrid1"/>
        <w:tblW w:w="5010" w:type="pct"/>
        <w:tblLook w:val="04A0" w:firstRow="1" w:lastRow="0" w:firstColumn="1" w:lastColumn="0" w:noHBand="0" w:noVBand="1"/>
        <w:tblCaption w:val="CAPPDSCR"/>
        <w:tblDescription w:val="Indicator 2 Overall Performance Change Score"/>
      </w:tblPr>
      <w:tblGrid>
        <w:gridCol w:w="3955"/>
        <w:gridCol w:w="6857"/>
      </w:tblGrid>
      <w:tr w:rsidR="001E51FC" w:rsidRPr="001E51FC" w14:paraId="0F169CC5" w14:textId="77777777" w:rsidTr="00B05769">
        <w:tc>
          <w:tcPr>
            <w:tcW w:w="1829" w:type="pct"/>
            <w:hideMark/>
          </w:tcPr>
          <w:p w14:paraId="2D5C519D" w14:textId="77777777" w:rsidR="001E51FC" w:rsidRPr="001E51FC" w:rsidRDefault="001E51FC" w:rsidP="001E51FC">
            <w:pPr>
              <w:rPr>
                <w:rFonts w:cs="Arial"/>
                <w:b/>
                <w:szCs w:val="16"/>
              </w:rPr>
            </w:pPr>
            <w:r w:rsidRPr="001E51FC">
              <w:rPr>
                <w:rFonts w:cs="Arial"/>
                <w:b/>
                <w:szCs w:val="16"/>
              </w:rPr>
              <w:t>Indicator 3 Overall Performance Change Score</w:t>
            </w:r>
          </w:p>
        </w:tc>
        <w:tc>
          <w:tcPr>
            <w:tcW w:w="3171" w:type="pct"/>
            <w:hideMark/>
          </w:tcPr>
          <w:p w14:paraId="49B3BAEB" w14:textId="77777777" w:rsidR="001E51FC" w:rsidRPr="001E51FC" w:rsidRDefault="001E51FC" w:rsidP="001E51FC">
            <w:pPr>
              <w:rPr>
                <w:rFonts w:cs="Arial"/>
                <w:b/>
                <w:szCs w:val="16"/>
              </w:rPr>
            </w:pPr>
            <w:r w:rsidRPr="001E51FC">
              <w:rPr>
                <w:rFonts w:cs="Arial"/>
                <w:b/>
                <w:szCs w:val="16"/>
              </w:rPr>
              <w:t>Cut Points for Change Over Time in Summary Statements Total Score</w:t>
            </w:r>
          </w:p>
        </w:tc>
      </w:tr>
      <w:tr w:rsidR="001E51FC" w:rsidRPr="001E51FC" w14:paraId="42FFAA4B" w14:textId="77777777" w:rsidTr="00B05769">
        <w:tc>
          <w:tcPr>
            <w:tcW w:w="1829" w:type="pct"/>
            <w:noWrap/>
            <w:hideMark/>
          </w:tcPr>
          <w:p w14:paraId="7188EB69" w14:textId="77777777" w:rsidR="001E51FC" w:rsidRPr="001E51FC" w:rsidRDefault="001E51FC" w:rsidP="00B05769">
            <w:pPr>
              <w:jc w:val="center"/>
              <w:rPr>
                <w:rFonts w:cs="Arial"/>
                <w:b/>
                <w:szCs w:val="16"/>
              </w:rPr>
            </w:pPr>
            <w:r w:rsidRPr="001E51FC">
              <w:rPr>
                <w:rFonts w:cs="Arial"/>
                <w:b/>
                <w:szCs w:val="16"/>
              </w:rPr>
              <w:t>0</w:t>
            </w:r>
          </w:p>
        </w:tc>
        <w:tc>
          <w:tcPr>
            <w:tcW w:w="3171" w:type="pct"/>
            <w:noWrap/>
            <w:hideMark/>
          </w:tcPr>
          <w:p w14:paraId="2CBBFDAD" w14:textId="77777777" w:rsidR="001E51FC" w:rsidRPr="001E51FC" w:rsidRDefault="001E51FC" w:rsidP="001E51FC">
            <w:pPr>
              <w:rPr>
                <w:rFonts w:cs="Arial"/>
                <w:bCs/>
                <w:szCs w:val="16"/>
              </w:rPr>
            </w:pPr>
            <w:r w:rsidRPr="001E51FC">
              <w:rPr>
                <w:rFonts w:cs="Arial"/>
                <w:bCs/>
                <w:szCs w:val="16"/>
              </w:rPr>
              <w:t>Lowest score through 3</w:t>
            </w:r>
          </w:p>
        </w:tc>
      </w:tr>
      <w:tr w:rsidR="001E51FC" w:rsidRPr="001E51FC" w14:paraId="07069B71" w14:textId="77777777" w:rsidTr="00B05769">
        <w:tc>
          <w:tcPr>
            <w:tcW w:w="1829" w:type="pct"/>
            <w:noWrap/>
            <w:hideMark/>
          </w:tcPr>
          <w:p w14:paraId="6534CDEB" w14:textId="77777777" w:rsidR="001E51FC" w:rsidRPr="001E51FC" w:rsidRDefault="001E51FC" w:rsidP="00B05769">
            <w:pPr>
              <w:jc w:val="center"/>
              <w:rPr>
                <w:rFonts w:cs="Arial"/>
                <w:b/>
                <w:szCs w:val="16"/>
              </w:rPr>
            </w:pPr>
            <w:r w:rsidRPr="001E51FC">
              <w:rPr>
                <w:rFonts w:cs="Arial"/>
                <w:b/>
                <w:szCs w:val="16"/>
              </w:rPr>
              <w:t>1</w:t>
            </w:r>
          </w:p>
        </w:tc>
        <w:tc>
          <w:tcPr>
            <w:tcW w:w="3171" w:type="pct"/>
            <w:noWrap/>
            <w:hideMark/>
          </w:tcPr>
          <w:p w14:paraId="35CCA5EF" w14:textId="77777777" w:rsidR="001E51FC" w:rsidRPr="001E51FC" w:rsidRDefault="001E51FC" w:rsidP="001E51FC">
            <w:pPr>
              <w:rPr>
                <w:rFonts w:cs="Arial"/>
                <w:bCs/>
                <w:szCs w:val="16"/>
              </w:rPr>
            </w:pPr>
            <w:r w:rsidRPr="001E51FC">
              <w:rPr>
                <w:rFonts w:cs="Arial"/>
                <w:bCs/>
                <w:szCs w:val="16"/>
              </w:rPr>
              <w:t>4 through 7</w:t>
            </w:r>
          </w:p>
        </w:tc>
      </w:tr>
      <w:tr w:rsidR="001E51FC" w:rsidRPr="001E51FC" w14:paraId="5E242550" w14:textId="77777777" w:rsidTr="00B05769">
        <w:tc>
          <w:tcPr>
            <w:tcW w:w="1829" w:type="pct"/>
            <w:noWrap/>
            <w:hideMark/>
          </w:tcPr>
          <w:p w14:paraId="2385FAD2" w14:textId="77777777" w:rsidR="001E51FC" w:rsidRPr="001E51FC" w:rsidRDefault="001E51FC" w:rsidP="00B05769">
            <w:pPr>
              <w:jc w:val="center"/>
              <w:rPr>
                <w:rFonts w:cs="Arial"/>
                <w:b/>
                <w:szCs w:val="16"/>
              </w:rPr>
            </w:pPr>
            <w:r w:rsidRPr="001E51FC">
              <w:rPr>
                <w:rFonts w:cs="Arial"/>
                <w:b/>
                <w:szCs w:val="16"/>
              </w:rPr>
              <w:t>2</w:t>
            </w:r>
          </w:p>
        </w:tc>
        <w:tc>
          <w:tcPr>
            <w:tcW w:w="3171" w:type="pct"/>
            <w:noWrap/>
            <w:hideMark/>
          </w:tcPr>
          <w:p w14:paraId="65F409AD" w14:textId="77777777" w:rsidR="001E51FC" w:rsidRPr="001E51FC" w:rsidRDefault="001E51FC" w:rsidP="001E51FC">
            <w:pPr>
              <w:rPr>
                <w:rFonts w:cs="Arial"/>
                <w:bCs/>
                <w:szCs w:val="16"/>
              </w:rPr>
            </w:pPr>
            <w:r w:rsidRPr="001E51FC">
              <w:rPr>
                <w:rFonts w:cs="Arial"/>
                <w:bCs/>
                <w:szCs w:val="16"/>
              </w:rPr>
              <w:t>8 through highest</w:t>
            </w:r>
          </w:p>
        </w:tc>
      </w:tr>
    </w:tbl>
    <w:p w14:paraId="2BB84462" w14:textId="77777777" w:rsidR="002E52E1" w:rsidRDefault="002E52E1" w:rsidP="0081611B">
      <w:pPr>
        <w:rPr>
          <w:rFonts w:cs="Arial"/>
          <w:b/>
          <w:szCs w:val="16"/>
        </w:rPr>
      </w:pPr>
    </w:p>
    <w:p w14:paraId="572420AB" w14:textId="77777777" w:rsidR="002E52E1" w:rsidRDefault="002E52E1">
      <w:pPr>
        <w:spacing w:before="0" w:after="200" w:line="276" w:lineRule="auto"/>
        <w:rPr>
          <w:rFonts w:cs="Arial"/>
          <w:b/>
          <w:szCs w:val="16"/>
        </w:rPr>
      </w:pPr>
      <w:r>
        <w:rPr>
          <w:rFonts w:cs="Arial"/>
          <w:b/>
          <w:szCs w:val="16"/>
        </w:rPr>
        <w:br w:type="page"/>
      </w:r>
    </w:p>
    <w:p w14:paraId="20061B63" w14:textId="77777777" w:rsidR="002163B7" w:rsidRDefault="002163B7" w:rsidP="0081611B">
      <w:pPr>
        <w:rPr>
          <w:rFonts w:cs="Arial"/>
          <w:b/>
          <w:szCs w:val="16"/>
        </w:rPr>
      </w:pPr>
    </w:p>
    <w:tbl>
      <w:tblPr>
        <w:tblStyle w:val="TableGrid1"/>
        <w:tblW w:w="5186" w:type="pct"/>
        <w:tblLayout w:type="fixed"/>
        <w:tblLook w:val="04A0" w:firstRow="1" w:lastRow="0" w:firstColumn="1" w:lastColumn="0" w:noHBand="0" w:noVBand="1"/>
        <w:tblCaption w:val="C03SSCOYTYSTAT"/>
        <w:tblDescription w:val=" "/>
      </w:tblPr>
      <w:tblGrid>
        <w:gridCol w:w="1304"/>
        <w:gridCol w:w="915"/>
        <w:gridCol w:w="1009"/>
        <w:gridCol w:w="915"/>
        <w:gridCol w:w="1009"/>
        <w:gridCol w:w="1296"/>
        <w:gridCol w:w="864"/>
        <w:gridCol w:w="864"/>
        <w:gridCol w:w="864"/>
        <w:gridCol w:w="864"/>
        <w:gridCol w:w="1287"/>
      </w:tblGrid>
      <w:tr w:rsidR="007B0FF2" w:rsidRPr="002163B7" w14:paraId="327D388B" w14:textId="77777777" w:rsidTr="007B0FF2">
        <w:trPr>
          <w:tblHeader/>
        </w:trPr>
        <w:tc>
          <w:tcPr>
            <w:tcW w:w="582" w:type="pct"/>
          </w:tcPr>
          <w:p w14:paraId="25556195" w14:textId="77777777" w:rsidR="002163B7" w:rsidRPr="002163B7" w:rsidRDefault="002163B7" w:rsidP="002163B7">
            <w:pPr>
              <w:rPr>
                <w:rFonts w:cs="Arial"/>
                <w:b/>
                <w:bCs/>
                <w:szCs w:val="16"/>
              </w:rPr>
            </w:pPr>
            <w:r w:rsidRPr="002163B7">
              <w:rPr>
                <w:rFonts w:cs="Arial"/>
                <w:b/>
                <w:bCs/>
                <w:szCs w:val="16"/>
              </w:rPr>
              <w:t>Summary Statement/ Child Outcome</w:t>
            </w:r>
          </w:p>
        </w:tc>
        <w:tc>
          <w:tcPr>
            <w:tcW w:w="409" w:type="pct"/>
          </w:tcPr>
          <w:p w14:paraId="578D68F2" w14:textId="77777777" w:rsidR="002163B7" w:rsidRPr="002163B7" w:rsidRDefault="002163B7" w:rsidP="002163B7">
            <w:pPr>
              <w:rPr>
                <w:rFonts w:cs="Arial"/>
                <w:b/>
                <w:bCs/>
                <w:szCs w:val="16"/>
              </w:rPr>
            </w:pPr>
            <w:r w:rsidRPr="002163B7">
              <w:rPr>
                <w:rFonts w:cs="Arial"/>
                <w:b/>
                <w:bCs/>
                <w:szCs w:val="16"/>
              </w:rPr>
              <w:t>FFY 2023 N</w:t>
            </w:r>
          </w:p>
        </w:tc>
        <w:tc>
          <w:tcPr>
            <w:tcW w:w="451" w:type="pct"/>
          </w:tcPr>
          <w:p w14:paraId="66FFE141" w14:textId="77777777" w:rsidR="002163B7" w:rsidRPr="002163B7" w:rsidRDefault="002163B7" w:rsidP="002163B7">
            <w:pPr>
              <w:rPr>
                <w:rFonts w:cs="Arial"/>
                <w:b/>
                <w:bCs/>
                <w:szCs w:val="16"/>
              </w:rPr>
            </w:pPr>
            <w:r w:rsidRPr="002163B7">
              <w:rPr>
                <w:rFonts w:cs="Arial"/>
                <w:b/>
                <w:bCs/>
                <w:szCs w:val="16"/>
              </w:rPr>
              <w:t>FFY 2023 Summary Statement (%)</w:t>
            </w:r>
          </w:p>
        </w:tc>
        <w:tc>
          <w:tcPr>
            <w:tcW w:w="409" w:type="pct"/>
          </w:tcPr>
          <w:p w14:paraId="0171768C" w14:textId="77777777" w:rsidR="002163B7" w:rsidRPr="002163B7" w:rsidRDefault="002163B7" w:rsidP="002163B7">
            <w:pPr>
              <w:rPr>
                <w:rFonts w:cs="Arial"/>
                <w:b/>
                <w:bCs/>
                <w:szCs w:val="16"/>
              </w:rPr>
            </w:pPr>
            <w:r w:rsidRPr="002163B7">
              <w:rPr>
                <w:rFonts w:cs="Arial"/>
                <w:b/>
                <w:bCs/>
                <w:szCs w:val="16"/>
              </w:rPr>
              <w:t>FFY 2024 N</w:t>
            </w:r>
          </w:p>
        </w:tc>
        <w:tc>
          <w:tcPr>
            <w:tcW w:w="451" w:type="pct"/>
          </w:tcPr>
          <w:p w14:paraId="78DD9CF7" w14:textId="77777777" w:rsidR="002163B7" w:rsidRPr="002163B7" w:rsidRDefault="002163B7" w:rsidP="002163B7">
            <w:pPr>
              <w:rPr>
                <w:rFonts w:cs="Arial"/>
                <w:b/>
                <w:bCs/>
                <w:szCs w:val="16"/>
              </w:rPr>
            </w:pPr>
            <w:r w:rsidRPr="002163B7">
              <w:rPr>
                <w:rFonts w:cs="Arial"/>
                <w:b/>
                <w:bCs/>
                <w:szCs w:val="16"/>
              </w:rPr>
              <w:t>FFY 2024 Summary Statement (%)</w:t>
            </w:r>
          </w:p>
        </w:tc>
        <w:tc>
          <w:tcPr>
            <w:tcW w:w="579" w:type="pct"/>
          </w:tcPr>
          <w:p w14:paraId="68DBB434" w14:textId="77777777" w:rsidR="002163B7" w:rsidRPr="002163B7" w:rsidRDefault="002163B7" w:rsidP="002163B7">
            <w:pPr>
              <w:rPr>
                <w:rFonts w:cs="Arial"/>
                <w:b/>
                <w:bCs/>
                <w:szCs w:val="16"/>
              </w:rPr>
            </w:pPr>
            <w:r w:rsidRPr="002163B7">
              <w:rPr>
                <w:rFonts w:cs="Arial"/>
                <w:b/>
                <w:bCs/>
                <w:szCs w:val="16"/>
              </w:rPr>
              <w:t>Difference between Percentages (%)</w:t>
            </w:r>
          </w:p>
        </w:tc>
        <w:tc>
          <w:tcPr>
            <w:tcW w:w="386" w:type="pct"/>
          </w:tcPr>
          <w:p w14:paraId="4F9D19AA" w14:textId="77777777" w:rsidR="002163B7" w:rsidRPr="002163B7" w:rsidRDefault="002163B7" w:rsidP="002163B7">
            <w:pPr>
              <w:rPr>
                <w:rFonts w:cs="Arial"/>
                <w:b/>
                <w:bCs/>
                <w:szCs w:val="16"/>
              </w:rPr>
            </w:pPr>
            <w:r w:rsidRPr="002163B7">
              <w:rPr>
                <w:rFonts w:cs="Arial"/>
                <w:b/>
                <w:bCs/>
                <w:szCs w:val="16"/>
              </w:rPr>
              <w:t>Std Error</w:t>
            </w:r>
          </w:p>
        </w:tc>
        <w:tc>
          <w:tcPr>
            <w:tcW w:w="386" w:type="pct"/>
          </w:tcPr>
          <w:p w14:paraId="58EE6260" w14:textId="77777777" w:rsidR="002163B7" w:rsidRPr="002163B7" w:rsidRDefault="002163B7" w:rsidP="002163B7">
            <w:pPr>
              <w:rPr>
                <w:rFonts w:cs="Arial"/>
                <w:b/>
                <w:bCs/>
                <w:szCs w:val="16"/>
              </w:rPr>
            </w:pPr>
            <w:r w:rsidRPr="002163B7">
              <w:rPr>
                <w:rFonts w:cs="Arial"/>
                <w:b/>
                <w:bCs/>
                <w:szCs w:val="16"/>
              </w:rPr>
              <w:t>z value</w:t>
            </w:r>
          </w:p>
        </w:tc>
        <w:tc>
          <w:tcPr>
            <w:tcW w:w="386" w:type="pct"/>
          </w:tcPr>
          <w:p w14:paraId="4C40F1FD" w14:textId="77777777" w:rsidR="002163B7" w:rsidRPr="002163B7" w:rsidRDefault="002163B7" w:rsidP="002163B7">
            <w:pPr>
              <w:rPr>
                <w:rFonts w:cs="Arial"/>
                <w:b/>
                <w:bCs/>
                <w:szCs w:val="16"/>
              </w:rPr>
            </w:pPr>
            <w:r w:rsidRPr="002163B7">
              <w:rPr>
                <w:rFonts w:cs="Arial"/>
                <w:b/>
                <w:bCs/>
                <w:szCs w:val="16"/>
              </w:rPr>
              <w:t>p-value</w:t>
            </w:r>
          </w:p>
        </w:tc>
        <w:tc>
          <w:tcPr>
            <w:tcW w:w="386" w:type="pct"/>
          </w:tcPr>
          <w:p w14:paraId="72904D13" w14:textId="77777777" w:rsidR="002163B7" w:rsidRPr="002163B7" w:rsidRDefault="002163B7" w:rsidP="002163B7">
            <w:pPr>
              <w:rPr>
                <w:rFonts w:cs="Arial"/>
                <w:b/>
                <w:bCs/>
                <w:szCs w:val="16"/>
              </w:rPr>
            </w:pPr>
            <w:r w:rsidRPr="002163B7">
              <w:rPr>
                <w:rFonts w:cs="Arial"/>
                <w:b/>
                <w:bCs/>
                <w:szCs w:val="16"/>
              </w:rPr>
              <w:t>p&lt;=.05</w:t>
            </w:r>
          </w:p>
        </w:tc>
        <w:tc>
          <w:tcPr>
            <w:tcW w:w="575" w:type="pct"/>
          </w:tcPr>
          <w:p w14:paraId="24E9CDC3" w14:textId="77777777" w:rsidR="005E1ADE" w:rsidRDefault="002163B7" w:rsidP="002163B7">
            <w:pPr>
              <w:rPr>
                <w:rFonts w:cs="Arial"/>
                <w:b/>
                <w:bCs/>
                <w:szCs w:val="16"/>
              </w:rPr>
            </w:pPr>
            <w:r w:rsidRPr="002163B7">
              <w:rPr>
                <w:rFonts w:cs="Arial"/>
                <w:b/>
                <w:bCs/>
                <w:szCs w:val="16"/>
              </w:rPr>
              <w:t xml:space="preserve">Score: </w:t>
            </w:r>
          </w:p>
          <w:p w14:paraId="38876F0F" w14:textId="77777777" w:rsidR="00133A3A" w:rsidRDefault="002163B7" w:rsidP="002163B7">
            <w:pPr>
              <w:rPr>
                <w:rFonts w:cs="Arial"/>
                <w:b/>
                <w:bCs/>
                <w:szCs w:val="16"/>
              </w:rPr>
            </w:pPr>
            <w:r w:rsidRPr="002163B7">
              <w:rPr>
                <w:rFonts w:cs="Arial"/>
                <w:b/>
                <w:bCs/>
                <w:szCs w:val="16"/>
              </w:rPr>
              <w:t xml:space="preserve">0 = significant decrease; </w:t>
            </w:r>
          </w:p>
          <w:p w14:paraId="3EBC5549" w14:textId="77777777" w:rsidR="00133A3A" w:rsidRDefault="002163B7" w:rsidP="002163B7">
            <w:pPr>
              <w:rPr>
                <w:rFonts w:cs="Arial"/>
                <w:b/>
                <w:bCs/>
                <w:szCs w:val="16"/>
              </w:rPr>
            </w:pPr>
            <w:r w:rsidRPr="002163B7">
              <w:rPr>
                <w:rFonts w:cs="Arial"/>
                <w:b/>
                <w:bCs/>
                <w:szCs w:val="16"/>
              </w:rPr>
              <w:t xml:space="preserve">1 = no significant change; </w:t>
            </w:r>
          </w:p>
          <w:p w14:paraId="5A20AC42" w14:textId="77777777" w:rsidR="002163B7" w:rsidRPr="002163B7" w:rsidRDefault="002163B7" w:rsidP="002163B7">
            <w:pPr>
              <w:rPr>
                <w:rFonts w:cs="Arial"/>
                <w:b/>
                <w:bCs/>
                <w:szCs w:val="16"/>
              </w:rPr>
            </w:pPr>
            <w:r w:rsidRPr="002163B7">
              <w:rPr>
                <w:rFonts w:cs="Arial"/>
                <w:b/>
                <w:bCs/>
                <w:szCs w:val="16"/>
              </w:rPr>
              <w:t>2 = significant increase</w:t>
            </w:r>
          </w:p>
        </w:tc>
      </w:tr>
      <w:tr w:rsidR="007B0FF2" w:rsidRPr="002163B7" w14:paraId="659C54EB" w14:textId="77777777" w:rsidTr="007B0FF2">
        <w:tc>
          <w:tcPr>
            <w:tcW w:w="582" w:type="pct"/>
          </w:tcPr>
          <w:p w14:paraId="08EEFACD" w14:textId="77777777" w:rsidR="002163B7" w:rsidRPr="002163B7" w:rsidRDefault="002163B7" w:rsidP="002163B7">
            <w:pPr>
              <w:rPr>
                <w:rFonts w:cs="Arial"/>
                <w:b/>
                <w:bCs/>
                <w:szCs w:val="16"/>
              </w:rPr>
            </w:pPr>
            <w:r w:rsidRPr="002163B7">
              <w:rPr>
                <w:rFonts w:cs="Arial"/>
                <w:b/>
                <w:bCs/>
                <w:szCs w:val="16"/>
              </w:rPr>
              <w:t>SS1/Outcome A: Positive Social Relationships</w:t>
            </w:r>
          </w:p>
        </w:tc>
        <w:tc>
          <w:tcPr>
            <w:tcW w:w="409" w:type="pct"/>
          </w:tcPr>
          <w:p w14:paraId="531836D4" w14:textId="77777777" w:rsidR="002163B7" w:rsidRPr="002163B7" w:rsidRDefault="002163B7" w:rsidP="002163B7">
            <w:pPr>
              <w:rPr>
                <w:rFonts w:cs="Arial"/>
                <w:bCs/>
                <w:szCs w:val="16"/>
              </w:rPr>
            </w:pPr>
            <w:r w:rsidRPr="002163B7">
              <w:rPr>
                <w:rFonts w:cs="Arial"/>
                <w:bCs/>
                <w:szCs w:val="16"/>
              </w:rPr>
              <w:t>2,504</w:t>
            </w:r>
          </w:p>
        </w:tc>
        <w:tc>
          <w:tcPr>
            <w:tcW w:w="451" w:type="pct"/>
          </w:tcPr>
          <w:p w14:paraId="62FC513C" w14:textId="77777777" w:rsidR="002163B7" w:rsidRPr="002163B7" w:rsidRDefault="002163B7" w:rsidP="002163B7">
            <w:pPr>
              <w:rPr>
                <w:rFonts w:cs="Arial"/>
                <w:bCs/>
                <w:szCs w:val="16"/>
              </w:rPr>
            </w:pPr>
            <w:r w:rsidRPr="002163B7">
              <w:rPr>
                <w:rFonts w:cs="Arial"/>
                <w:bCs/>
                <w:szCs w:val="16"/>
              </w:rPr>
              <w:t>86.14%</w:t>
            </w:r>
          </w:p>
        </w:tc>
        <w:tc>
          <w:tcPr>
            <w:tcW w:w="409" w:type="pct"/>
          </w:tcPr>
          <w:p w14:paraId="04C54C0F" w14:textId="77777777" w:rsidR="002163B7" w:rsidRPr="002163B7" w:rsidRDefault="002163B7" w:rsidP="002163B7">
            <w:pPr>
              <w:rPr>
                <w:rFonts w:cs="Arial"/>
                <w:bCs/>
                <w:szCs w:val="16"/>
              </w:rPr>
            </w:pPr>
            <w:r w:rsidRPr="002163B7">
              <w:rPr>
                <w:rFonts w:cs="Arial"/>
                <w:bCs/>
                <w:szCs w:val="16"/>
              </w:rPr>
              <w:t>2,556</w:t>
            </w:r>
          </w:p>
        </w:tc>
        <w:tc>
          <w:tcPr>
            <w:tcW w:w="451" w:type="pct"/>
          </w:tcPr>
          <w:p w14:paraId="20038616" w14:textId="77777777" w:rsidR="002163B7" w:rsidRPr="002163B7" w:rsidRDefault="002163B7" w:rsidP="002163B7">
            <w:pPr>
              <w:rPr>
                <w:rFonts w:cs="Arial"/>
                <w:bCs/>
                <w:szCs w:val="16"/>
              </w:rPr>
            </w:pPr>
            <w:r w:rsidRPr="002163B7">
              <w:rPr>
                <w:rFonts w:cs="Arial"/>
                <w:bCs/>
                <w:szCs w:val="16"/>
              </w:rPr>
              <w:t>86.97%</w:t>
            </w:r>
          </w:p>
        </w:tc>
        <w:tc>
          <w:tcPr>
            <w:tcW w:w="579" w:type="pct"/>
          </w:tcPr>
          <w:p w14:paraId="423BBB08" w14:textId="77777777" w:rsidR="002163B7" w:rsidRPr="002163B7" w:rsidRDefault="002163B7" w:rsidP="002163B7">
            <w:pPr>
              <w:rPr>
                <w:rFonts w:cs="Arial"/>
                <w:bCs/>
                <w:szCs w:val="16"/>
              </w:rPr>
            </w:pPr>
            <w:r w:rsidRPr="002163B7">
              <w:rPr>
                <w:rFonts w:cs="Arial"/>
                <w:bCs/>
                <w:szCs w:val="16"/>
              </w:rPr>
              <w:t>0.83</w:t>
            </w:r>
          </w:p>
        </w:tc>
        <w:tc>
          <w:tcPr>
            <w:tcW w:w="386" w:type="pct"/>
          </w:tcPr>
          <w:p w14:paraId="0882EEDC" w14:textId="77777777" w:rsidR="002163B7" w:rsidRPr="002163B7" w:rsidRDefault="002163B7" w:rsidP="002163B7">
            <w:pPr>
              <w:rPr>
                <w:rFonts w:cs="Arial"/>
                <w:bCs/>
                <w:szCs w:val="16"/>
              </w:rPr>
            </w:pPr>
            <w:r w:rsidRPr="002163B7">
              <w:rPr>
                <w:rFonts w:cs="Arial"/>
                <w:bCs/>
                <w:szCs w:val="16"/>
              </w:rPr>
              <w:t>0.0096</w:t>
            </w:r>
          </w:p>
        </w:tc>
        <w:tc>
          <w:tcPr>
            <w:tcW w:w="386" w:type="pct"/>
          </w:tcPr>
          <w:p w14:paraId="2212364E" w14:textId="77777777" w:rsidR="002163B7" w:rsidRPr="002163B7" w:rsidRDefault="002163B7" w:rsidP="002163B7">
            <w:pPr>
              <w:rPr>
                <w:rFonts w:cs="Arial"/>
                <w:bCs/>
                <w:szCs w:val="16"/>
              </w:rPr>
            </w:pPr>
            <w:r w:rsidRPr="002163B7">
              <w:rPr>
                <w:rFonts w:cs="Arial"/>
                <w:bCs/>
                <w:szCs w:val="16"/>
              </w:rPr>
              <w:t>0.8650</w:t>
            </w:r>
          </w:p>
        </w:tc>
        <w:tc>
          <w:tcPr>
            <w:tcW w:w="386" w:type="pct"/>
          </w:tcPr>
          <w:p w14:paraId="2FBA13A5" w14:textId="77777777" w:rsidR="002163B7" w:rsidRPr="002163B7" w:rsidRDefault="002163B7" w:rsidP="002163B7">
            <w:pPr>
              <w:rPr>
                <w:rFonts w:cs="Arial"/>
                <w:bCs/>
                <w:szCs w:val="16"/>
              </w:rPr>
            </w:pPr>
            <w:r w:rsidRPr="002163B7">
              <w:rPr>
                <w:rFonts w:cs="Arial"/>
                <w:bCs/>
                <w:szCs w:val="16"/>
              </w:rPr>
              <w:t>0.3871</w:t>
            </w:r>
          </w:p>
        </w:tc>
        <w:tc>
          <w:tcPr>
            <w:tcW w:w="386" w:type="pct"/>
          </w:tcPr>
          <w:p w14:paraId="10907B75" w14:textId="77777777" w:rsidR="002163B7" w:rsidRPr="002163B7" w:rsidRDefault="002163B7" w:rsidP="002163B7">
            <w:pPr>
              <w:rPr>
                <w:rFonts w:cs="Arial"/>
                <w:bCs/>
                <w:szCs w:val="16"/>
              </w:rPr>
            </w:pPr>
            <w:r w:rsidRPr="002163B7">
              <w:rPr>
                <w:rFonts w:cs="Arial"/>
                <w:bCs/>
                <w:szCs w:val="16"/>
              </w:rPr>
              <w:t>NO</w:t>
            </w:r>
          </w:p>
        </w:tc>
        <w:tc>
          <w:tcPr>
            <w:tcW w:w="575" w:type="pct"/>
          </w:tcPr>
          <w:p w14:paraId="11DCFB2B" w14:textId="77777777" w:rsidR="002163B7" w:rsidRPr="002163B7" w:rsidRDefault="002163B7" w:rsidP="002163B7">
            <w:pPr>
              <w:rPr>
                <w:rFonts w:cs="Arial"/>
                <w:bCs/>
                <w:szCs w:val="16"/>
              </w:rPr>
            </w:pPr>
            <w:r w:rsidRPr="002163B7">
              <w:rPr>
                <w:rFonts w:cs="Arial"/>
                <w:bCs/>
                <w:szCs w:val="16"/>
              </w:rPr>
              <w:t>1</w:t>
            </w:r>
          </w:p>
        </w:tc>
      </w:tr>
      <w:tr w:rsidR="007B0FF2" w:rsidRPr="002163B7" w14:paraId="10940187" w14:textId="77777777" w:rsidTr="007B0FF2">
        <w:tc>
          <w:tcPr>
            <w:tcW w:w="582" w:type="pct"/>
          </w:tcPr>
          <w:p w14:paraId="3972B355" w14:textId="77777777" w:rsidR="002163B7" w:rsidRPr="002163B7" w:rsidRDefault="002163B7" w:rsidP="002163B7">
            <w:pPr>
              <w:rPr>
                <w:rFonts w:cs="Arial"/>
                <w:b/>
                <w:bCs/>
                <w:szCs w:val="16"/>
              </w:rPr>
            </w:pPr>
            <w:r w:rsidRPr="002163B7">
              <w:rPr>
                <w:rFonts w:cs="Arial"/>
                <w:b/>
                <w:bCs/>
                <w:szCs w:val="16"/>
              </w:rPr>
              <w:t>SS1/Outcome B: Knowledge and Skills</w:t>
            </w:r>
          </w:p>
        </w:tc>
        <w:tc>
          <w:tcPr>
            <w:tcW w:w="409" w:type="pct"/>
          </w:tcPr>
          <w:p w14:paraId="0056964E" w14:textId="77777777" w:rsidR="002163B7" w:rsidRPr="002163B7" w:rsidRDefault="002163B7" w:rsidP="002163B7">
            <w:pPr>
              <w:rPr>
                <w:rFonts w:cs="Arial"/>
                <w:bCs/>
                <w:szCs w:val="16"/>
              </w:rPr>
            </w:pPr>
            <w:r w:rsidRPr="002163B7">
              <w:rPr>
                <w:rFonts w:cs="Arial"/>
                <w:bCs/>
                <w:szCs w:val="16"/>
              </w:rPr>
              <w:t>2,422</w:t>
            </w:r>
          </w:p>
        </w:tc>
        <w:tc>
          <w:tcPr>
            <w:tcW w:w="451" w:type="pct"/>
          </w:tcPr>
          <w:p w14:paraId="14D0DA52" w14:textId="77777777" w:rsidR="002163B7" w:rsidRPr="002163B7" w:rsidRDefault="002163B7" w:rsidP="002163B7">
            <w:pPr>
              <w:rPr>
                <w:rFonts w:cs="Arial"/>
                <w:bCs/>
                <w:szCs w:val="16"/>
              </w:rPr>
            </w:pPr>
            <w:r w:rsidRPr="002163B7">
              <w:rPr>
                <w:rFonts w:cs="Arial"/>
                <w:bCs/>
                <w:szCs w:val="16"/>
              </w:rPr>
              <w:t>63.29%</w:t>
            </w:r>
          </w:p>
        </w:tc>
        <w:tc>
          <w:tcPr>
            <w:tcW w:w="409" w:type="pct"/>
          </w:tcPr>
          <w:p w14:paraId="2B54472C" w14:textId="77777777" w:rsidR="002163B7" w:rsidRPr="002163B7" w:rsidRDefault="002163B7" w:rsidP="002163B7">
            <w:pPr>
              <w:rPr>
                <w:rFonts w:cs="Arial"/>
                <w:bCs/>
                <w:szCs w:val="16"/>
              </w:rPr>
            </w:pPr>
            <w:r w:rsidRPr="002163B7">
              <w:rPr>
                <w:rFonts w:cs="Arial"/>
                <w:bCs/>
                <w:szCs w:val="16"/>
              </w:rPr>
              <w:t>2,407</w:t>
            </w:r>
          </w:p>
        </w:tc>
        <w:tc>
          <w:tcPr>
            <w:tcW w:w="451" w:type="pct"/>
          </w:tcPr>
          <w:p w14:paraId="5B3B1A7C" w14:textId="77777777" w:rsidR="002163B7" w:rsidRPr="002163B7" w:rsidRDefault="002163B7" w:rsidP="002163B7">
            <w:pPr>
              <w:rPr>
                <w:rFonts w:cs="Arial"/>
                <w:bCs/>
                <w:szCs w:val="16"/>
              </w:rPr>
            </w:pPr>
            <w:r w:rsidRPr="002163B7">
              <w:rPr>
                <w:rFonts w:cs="Arial"/>
                <w:bCs/>
                <w:szCs w:val="16"/>
              </w:rPr>
              <w:t>61.03%</w:t>
            </w:r>
          </w:p>
        </w:tc>
        <w:tc>
          <w:tcPr>
            <w:tcW w:w="579" w:type="pct"/>
          </w:tcPr>
          <w:p w14:paraId="0573FF9C" w14:textId="77777777" w:rsidR="002163B7" w:rsidRPr="002163B7" w:rsidRDefault="002163B7" w:rsidP="002163B7">
            <w:pPr>
              <w:rPr>
                <w:rFonts w:cs="Arial"/>
                <w:bCs/>
                <w:szCs w:val="16"/>
              </w:rPr>
            </w:pPr>
            <w:r w:rsidRPr="002163B7">
              <w:rPr>
                <w:rFonts w:cs="Arial"/>
                <w:bCs/>
                <w:szCs w:val="16"/>
              </w:rPr>
              <w:t>-2.26</w:t>
            </w:r>
          </w:p>
        </w:tc>
        <w:tc>
          <w:tcPr>
            <w:tcW w:w="386" w:type="pct"/>
          </w:tcPr>
          <w:p w14:paraId="4E21C11D" w14:textId="77777777" w:rsidR="002163B7" w:rsidRPr="002163B7" w:rsidRDefault="002163B7" w:rsidP="002163B7">
            <w:pPr>
              <w:rPr>
                <w:rFonts w:cs="Arial"/>
                <w:bCs/>
                <w:szCs w:val="16"/>
              </w:rPr>
            </w:pPr>
            <w:r w:rsidRPr="002163B7">
              <w:rPr>
                <w:rFonts w:cs="Arial"/>
                <w:bCs/>
                <w:szCs w:val="16"/>
              </w:rPr>
              <w:t>0.0140</w:t>
            </w:r>
          </w:p>
        </w:tc>
        <w:tc>
          <w:tcPr>
            <w:tcW w:w="386" w:type="pct"/>
          </w:tcPr>
          <w:p w14:paraId="7FFA4D46" w14:textId="77777777" w:rsidR="002163B7" w:rsidRPr="002163B7" w:rsidRDefault="002163B7" w:rsidP="002163B7">
            <w:pPr>
              <w:rPr>
                <w:rFonts w:cs="Arial"/>
                <w:bCs/>
                <w:szCs w:val="16"/>
              </w:rPr>
            </w:pPr>
            <w:r w:rsidRPr="002163B7">
              <w:rPr>
                <w:rFonts w:cs="Arial"/>
                <w:bCs/>
                <w:szCs w:val="16"/>
              </w:rPr>
              <w:t>-1.6227</w:t>
            </w:r>
          </w:p>
        </w:tc>
        <w:tc>
          <w:tcPr>
            <w:tcW w:w="386" w:type="pct"/>
          </w:tcPr>
          <w:p w14:paraId="40736B2B" w14:textId="77777777" w:rsidR="002163B7" w:rsidRPr="002163B7" w:rsidRDefault="002163B7" w:rsidP="002163B7">
            <w:pPr>
              <w:rPr>
                <w:rFonts w:cs="Arial"/>
                <w:bCs/>
                <w:szCs w:val="16"/>
              </w:rPr>
            </w:pPr>
            <w:r w:rsidRPr="002163B7">
              <w:rPr>
                <w:rFonts w:cs="Arial"/>
                <w:bCs/>
                <w:szCs w:val="16"/>
              </w:rPr>
              <w:t>0.1046</w:t>
            </w:r>
          </w:p>
        </w:tc>
        <w:tc>
          <w:tcPr>
            <w:tcW w:w="386" w:type="pct"/>
          </w:tcPr>
          <w:p w14:paraId="26E32A76" w14:textId="77777777" w:rsidR="002163B7" w:rsidRPr="002163B7" w:rsidRDefault="002163B7" w:rsidP="002163B7">
            <w:pPr>
              <w:rPr>
                <w:rFonts w:cs="Arial"/>
                <w:bCs/>
                <w:szCs w:val="16"/>
              </w:rPr>
            </w:pPr>
            <w:r w:rsidRPr="002163B7">
              <w:rPr>
                <w:rFonts w:cs="Arial"/>
                <w:bCs/>
                <w:szCs w:val="16"/>
              </w:rPr>
              <w:t>NO</w:t>
            </w:r>
          </w:p>
        </w:tc>
        <w:tc>
          <w:tcPr>
            <w:tcW w:w="575" w:type="pct"/>
          </w:tcPr>
          <w:p w14:paraId="73E0C289" w14:textId="77777777" w:rsidR="002163B7" w:rsidRPr="002163B7" w:rsidRDefault="002163B7" w:rsidP="002163B7">
            <w:pPr>
              <w:rPr>
                <w:rFonts w:cs="Arial"/>
                <w:bCs/>
                <w:szCs w:val="16"/>
              </w:rPr>
            </w:pPr>
            <w:r w:rsidRPr="002163B7">
              <w:rPr>
                <w:rFonts w:cs="Arial"/>
                <w:bCs/>
                <w:szCs w:val="16"/>
              </w:rPr>
              <w:t>1</w:t>
            </w:r>
          </w:p>
        </w:tc>
      </w:tr>
      <w:tr w:rsidR="007B0FF2" w:rsidRPr="002163B7" w14:paraId="7954FB4C" w14:textId="77777777" w:rsidTr="007B0FF2">
        <w:tc>
          <w:tcPr>
            <w:tcW w:w="582" w:type="pct"/>
          </w:tcPr>
          <w:p w14:paraId="190B3FFC" w14:textId="77777777" w:rsidR="002163B7" w:rsidRPr="002163B7" w:rsidRDefault="002163B7" w:rsidP="002163B7">
            <w:pPr>
              <w:rPr>
                <w:rFonts w:cs="Arial"/>
                <w:b/>
                <w:bCs/>
                <w:szCs w:val="16"/>
              </w:rPr>
            </w:pPr>
            <w:r w:rsidRPr="002163B7">
              <w:rPr>
                <w:rFonts w:cs="Arial"/>
                <w:b/>
                <w:bCs/>
                <w:szCs w:val="16"/>
              </w:rPr>
              <w:t>SS1/Outcome C: Actions to meet needs</w:t>
            </w:r>
          </w:p>
        </w:tc>
        <w:tc>
          <w:tcPr>
            <w:tcW w:w="409" w:type="pct"/>
          </w:tcPr>
          <w:p w14:paraId="5FA252E7" w14:textId="77777777" w:rsidR="002163B7" w:rsidRPr="002163B7" w:rsidRDefault="002163B7" w:rsidP="002163B7">
            <w:pPr>
              <w:rPr>
                <w:rFonts w:cs="Arial"/>
                <w:bCs/>
                <w:szCs w:val="16"/>
              </w:rPr>
            </w:pPr>
            <w:r w:rsidRPr="002163B7">
              <w:rPr>
                <w:rFonts w:cs="Arial"/>
                <w:bCs/>
                <w:szCs w:val="16"/>
              </w:rPr>
              <w:t>2,530</w:t>
            </w:r>
          </w:p>
        </w:tc>
        <w:tc>
          <w:tcPr>
            <w:tcW w:w="451" w:type="pct"/>
          </w:tcPr>
          <w:p w14:paraId="71535623" w14:textId="77777777" w:rsidR="002163B7" w:rsidRPr="002163B7" w:rsidRDefault="002163B7" w:rsidP="002163B7">
            <w:pPr>
              <w:rPr>
                <w:rFonts w:cs="Arial"/>
                <w:bCs/>
                <w:szCs w:val="16"/>
              </w:rPr>
            </w:pPr>
            <w:r w:rsidRPr="002163B7">
              <w:rPr>
                <w:rFonts w:cs="Arial"/>
                <w:bCs/>
                <w:szCs w:val="16"/>
              </w:rPr>
              <w:t>71.74%</w:t>
            </w:r>
          </w:p>
        </w:tc>
        <w:tc>
          <w:tcPr>
            <w:tcW w:w="409" w:type="pct"/>
          </w:tcPr>
          <w:p w14:paraId="251C5DF9" w14:textId="77777777" w:rsidR="002163B7" w:rsidRPr="002163B7" w:rsidRDefault="002163B7" w:rsidP="002163B7">
            <w:pPr>
              <w:rPr>
                <w:rFonts w:cs="Arial"/>
                <w:bCs/>
                <w:szCs w:val="16"/>
              </w:rPr>
            </w:pPr>
            <w:r w:rsidRPr="002163B7">
              <w:rPr>
                <w:rFonts w:cs="Arial"/>
                <w:bCs/>
                <w:szCs w:val="16"/>
              </w:rPr>
              <w:t>2,596</w:t>
            </w:r>
          </w:p>
        </w:tc>
        <w:tc>
          <w:tcPr>
            <w:tcW w:w="451" w:type="pct"/>
          </w:tcPr>
          <w:p w14:paraId="4C4DEA9B" w14:textId="77777777" w:rsidR="002163B7" w:rsidRPr="002163B7" w:rsidRDefault="002163B7" w:rsidP="002163B7">
            <w:pPr>
              <w:rPr>
                <w:rFonts w:cs="Arial"/>
                <w:bCs/>
                <w:szCs w:val="16"/>
              </w:rPr>
            </w:pPr>
            <w:r w:rsidRPr="002163B7">
              <w:rPr>
                <w:rFonts w:cs="Arial"/>
                <w:bCs/>
                <w:szCs w:val="16"/>
              </w:rPr>
              <w:t>71.96%</w:t>
            </w:r>
          </w:p>
        </w:tc>
        <w:tc>
          <w:tcPr>
            <w:tcW w:w="579" w:type="pct"/>
          </w:tcPr>
          <w:p w14:paraId="642E0B48" w14:textId="77777777" w:rsidR="002163B7" w:rsidRPr="002163B7" w:rsidRDefault="002163B7" w:rsidP="002163B7">
            <w:pPr>
              <w:rPr>
                <w:rFonts w:cs="Arial"/>
                <w:bCs/>
                <w:szCs w:val="16"/>
              </w:rPr>
            </w:pPr>
            <w:r w:rsidRPr="002163B7">
              <w:rPr>
                <w:rFonts w:cs="Arial"/>
                <w:bCs/>
                <w:szCs w:val="16"/>
              </w:rPr>
              <w:t>0.22</w:t>
            </w:r>
          </w:p>
        </w:tc>
        <w:tc>
          <w:tcPr>
            <w:tcW w:w="386" w:type="pct"/>
          </w:tcPr>
          <w:p w14:paraId="5573B43A" w14:textId="77777777" w:rsidR="002163B7" w:rsidRPr="002163B7" w:rsidRDefault="002163B7" w:rsidP="002163B7">
            <w:pPr>
              <w:rPr>
                <w:rFonts w:cs="Arial"/>
                <w:bCs/>
                <w:szCs w:val="16"/>
              </w:rPr>
            </w:pPr>
            <w:r w:rsidRPr="002163B7">
              <w:rPr>
                <w:rFonts w:cs="Arial"/>
                <w:bCs/>
                <w:szCs w:val="16"/>
              </w:rPr>
              <w:t>0.0126</w:t>
            </w:r>
          </w:p>
        </w:tc>
        <w:tc>
          <w:tcPr>
            <w:tcW w:w="386" w:type="pct"/>
          </w:tcPr>
          <w:p w14:paraId="52D60490" w14:textId="77777777" w:rsidR="002163B7" w:rsidRPr="002163B7" w:rsidRDefault="002163B7" w:rsidP="002163B7">
            <w:pPr>
              <w:rPr>
                <w:rFonts w:cs="Arial"/>
                <w:bCs/>
                <w:szCs w:val="16"/>
              </w:rPr>
            </w:pPr>
            <w:r w:rsidRPr="002163B7">
              <w:rPr>
                <w:rFonts w:cs="Arial"/>
                <w:bCs/>
                <w:szCs w:val="16"/>
              </w:rPr>
              <w:t>0.1733</w:t>
            </w:r>
          </w:p>
        </w:tc>
        <w:tc>
          <w:tcPr>
            <w:tcW w:w="386" w:type="pct"/>
          </w:tcPr>
          <w:p w14:paraId="7779ECF0" w14:textId="77777777" w:rsidR="002163B7" w:rsidRPr="002163B7" w:rsidRDefault="002163B7" w:rsidP="002163B7">
            <w:pPr>
              <w:rPr>
                <w:rFonts w:cs="Arial"/>
                <w:bCs/>
                <w:szCs w:val="16"/>
              </w:rPr>
            </w:pPr>
            <w:r w:rsidRPr="002163B7">
              <w:rPr>
                <w:rFonts w:cs="Arial"/>
                <w:bCs/>
                <w:szCs w:val="16"/>
              </w:rPr>
              <w:t>0.8624</w:t>
            </w:r>
          </w:p>
        </w:tc>
        <w:tc>
          <w:tcPr>
            <w:tcW w:w="386" w:type="pct"/>
          </w:tcPr>
          <w:p w14:paraId="1B83B138" w14:textId="77777777" w:rsidR="002163B7" w:rsidRPr="002163B7" w:rsidRDefault="002163B7" w:rsidP="002163B7">
            <w:pPr>
              <w:rPr>
                <w:rFonts w:cs="Arial"/>
                <w:bCs/>
                <w:szCs w:val="16"/>
              </w:rPr>
            </w:pPr>
            <w:r w:rsidRPr="002163B7">
              <w:rPr>
                <w:rFonts w:cs="Arial"/>
                <w:bCs/>
                <w:szCs w:val="16"/>
              </w:rPr>
              <w:t>NO</w:t>
            </w:r>
          </w:p>
        </w:tc>
        <w:tc>
          <w:tcPr>
            <w:tcW w:w="575" w:type="pct"/>
          </w:tcPr>
          <w:p w14:paraId="263278E7" w14:textId="77777777" w:rsidR="002163B7" w:rsidRPr="002163B7" w:rsidRDefault="002163B7" w:rsidP="002163B7">
            <w:pPr>
              <w:rPr>
                <w:rFonts w:cs="Arial"/>
                <w:bCs/>
                <w:szCs w:val="16"/>
              </w:rPr>
            </w:pPr>
            <w:r w:rsidRPr="002163B7">
              <w:rPr>
                <w:rFonts w:cs="Arial"/>
                <w:bCs/>
                <w:szCs w:val="16"/>
              </w:rPr>
              <w:t>1</w:t>
            </w:r>
          </w:p>
        </w:tc>
      </w:tr>
      <w:tr w:rsidR="007B0FF2" w:rsidRPr="002163B7" w14:paraId="034D6795" w14:textId="77777777" w:rsidTr="007B0FF2">
        <w:tc>
          <w:tcPr>
            <w:tcW w:w="582" w:type="pct"/>
          </w:tcPr>
          <w:p w14:paraId="4C399A74" w14:textId="77777777" w:rsidR="002163B7" w:rsidRPr="002163B7" w:rsidRDefault="002163B7" w:rsidP="002163B7">
            <w:pPr>
              <w:rPr>
                <w:rFonts w:cs="Arial"/>
                <w:b/>
                <w:bCs/>
                <w:szCs w:val="16"/>
              </w:rPr>
            </w:pPr>
            <w:r w:rsidRPr="002163B7">
              <w:rPr>
                <w:rFonts w:cs="Arial"/>
                <w:b/>
                <w:bCs/>
                <w:szCs w:val="16"/>
              </w:rPr>
              <w:t>SS2/Outcome A: Positive Social Relationships</w:t>
            </w:r>
          </w:p>
        </w:tc>
        <w:tc>
          <w:tcPr>
            <w:tcW w:w="409" w:type="pct"/>
          </w:tcPr>
          <w:p w14:paraId="58E73A1E" w14:textId="77777777" w:rsidR="002163B7" w:rsidRPr="002163B7" w:rsidRDefault="002163B7" w:rsidP="002163B7">
            <w:pPr>
              <w:rPr>
                <w:rFonts w:cs="Arial"/>
                <w:bCs/>
                <w:szCs w:val="16"/>
              </w:rPr>
            </w:pPr>
            <w:r w:rsidRPr="002163B7">
              <w:rPr>
                <w:rFonts w:cs="Arial"/>
                <w:bCs/>
                <w:szCs w:val="16"/>
              </w:rPr>
              <w:t>2,794</w:t>
            </w:r>
          </w:p>
        </w:tc>
        <w:tc>
          <w:tcPr>
            <w:tcW w:w="451" w:type="pct"/>
          </w:tcPr>
          <w:p w14:paraId="39AD72E8" w14:textId="77777777" w:rsidR="002163B7" w:rsidRPr="002163B7" w:rsidRDefault="002163B7" w:rsidP="002163B7">
            <w:pPr>
              <w:rPr>
                <w:rFonts w:cs="Arial"/>
                <w:bCs/>
                <w:szCs w:val="16"/>
              </w:rPr>
            </w:pPr>
            <w:r w:rsidRPr="002163B7">
              <w:rPr>
                <w:rFonts w:cs="Arial"/>
                <w:bCs/>
                <w:szCs w:val="16"/>
              </w:rPr>
              <w:t>40.01%</w:t>
            </w:r>
          </w:p>
        </w:tc>
        <w:tc>
          <w:tcPr>
            <w:tcW w:w="409" w:type="pct"/>
          </w:tcPr>
          <w:p w14:paraId="4E1DF83C" w14:textId="77777777" w:rsidR="002163B7" w:rsidRPr="002163B7" w:rsidRDefault="002163B7" w:rsidP="002163B7">
            <w:pPr>
              <w:rPr>
                <w:rFonts w:cs="Arial"/>
                <w:bCs/>
                <w:szCs w:val="16"/>
              </w:rPr>
            </w:pPr>
            <w:r w:rsidRPr="002163B7">
              <w:rPr>
                <w:rFonts w:cs="Arial"/>
                <w:bCs/>
                <w:szCs w:val="16"/>
              </w:rPr>
              <w:t>2,880</w:t>
            </w:r>
          </w:p>
        </w:tc>
        <w:tc>
          <w:tcPr>
            <w:tcW w:w="451" w:type="pct"/>
          </w:tcPr>
          <w:p w14:paraId="6EC8FA59" w14:textId="77777777" w:rsidR="002163B7" w:rsidRPr="002163B7" w:rsidRDefault="002163B7" w:rsidP="002163B7">
            <w:pPr>
              <w:rPr>
                <w:rFonts w:cs="Arial"/>
                <w:bCs/>
                <w:szCs w:val="16"/>
              </w:rPr>
            </w:pPr>
            <w:r w:rsidRPr="002163B7">
              <w:rPr>
                <w:rFonts w:cs="Arial"/>
                <w:bCs/>
                <w:szCs w:val="16"/>
              </w:rPr>
              <w:t>40.97%</w:t>
            </w:r>
          </w:p>
        </w:tc>
        <w:tc>
          <w:tcPr>
            <w:tcW w:w="579" w:type="pct"/>
          </w:tcPr>
          <w:p w14:paraId="2F391F65" w14:textId="77777777" w:rsidR="002163B7" w:rsidRPr="002163B7" w:rsidRDefault="002163B7" w:rsidP="002163B7">
            <w:pPr>
              <w:rPr>
                <w:rFonts w:cs="Arial"/>
                <w:bCs/>
                <w:szCs w:val="16"/>
              </w:rPr>
            </w:pPr>
            <w:r w:rsidRPr="002163B7">
              <w:rPr>
                <w:rFonts w:cs="Arial"/>
                <w:bCs/>
                <w:szCs w:val="16"/>
              </w:rPr>
              <w:t>0.96</w:t>
            </w:r>
          </w:p>
        </w:tc>
        <w:tc>
          <w:tcPr>
            <w:tcW w:w="386" w:type="pct"/>
          </w:tcPr>
          <w:p w14:paraId="3D76314B" w14:textId="77777777" w:rsidR="002163B7" w:rsidRPr="002163B7" w:rsidRDefault="002163B7" w:rsidP="002163B7">
            <w:pPr>
              <w:rPr>
                <w:rFonts w:cs="Arial"/>
                <w:bCs/>
                <w:szCs w:val="16"/>
              </w:rPr>
            </w:pPr>
            <w:r w:rsidRPr="002163B7">
              <w:rPr>
                <w:rFonts w:cs="Arial"/>
                <w:bCs/>
                <w:szCs w:val="16"/>
              </w:rPr>
              <w:t>0.0130</w:t>
            </w:r>
          </w:p>
        </w:tc>
        <w:tc>
          <w:tcPr>
            <w:tcW w:w="386" w:type="pct"/>
          </w:tcPr>
          <w:p w14:paraId="7A4DEEA6" w14:textId="77777777" w:rsidR="002163B7" w:rsidRPr="002163B7" w:rsidRDefault="002163B7" w:rsidP="002163B7">
            <w:pPr>
              <w:rPr>
                <w:rFonts w:cs="Arial"/>
                <w:bCs/>
                <w:szCs w:val="16"/>
              </w:rPr>
            </w:pPr>
            <w:r w:rsidRPr="002163B7">
              <w:rPr>
                <w:rFonts w:cs="Arial"/>
                <w:bCs/>
                <w:szCs w:val="16"/>
              </w:rPr>
              <w:t>0.7349</w:t>
            </w:r>
          </w:p>
        </w:tc>
        <w:tc>
          <w:tcPr>
            <w:tcW w:w="386" w:type="pct"/>
          </w:tcPr>
          <w:p w14:paraId="1AC93F6F" w14:textId="77777777" w:rsidR="002163B7" w:rsidRPr="002163B7" w:rsidRDefault="002163B7" w:rsidP="002163B7">
            <w:pPr>
              <w:rPr>
                <w:rFonts w:cs="Arial"/>
                <w:bCs/>
                <w:szCs w:val="16"/>
              </w:rPr>
            </w:pPr>
            <w:r w:rsidRPr="002163B7">
              <w:rPr>
                <w:rFonts w:cs="Arial"/>
                <w:bCs/>
                <w:szCs w:val="16"/>
              </w:rPr>
              <w:t>0.4624</w:t>
            </w:r>
          </w:p>
        </w:tc>
        <w:tc>
          <w:tcPr>
            <w:tcW w:w="386" w:type="pct"/>
          </w:tcPr>
          <w:p w14:paraId="359332CF" w14:textId="77777777" w:rsidR="002163B7" w:rsidRPr="002163B7" w:rsidRDefault="002163B7" w:rsidP="002163B7">
            <w:pPr>
              <w:rPr>
                <w:rFonts w:cs="Arial"/>
                <w:bCs/>
                <w:szCs w:val="16"/>
              </w:rPr>
            </w:pPr>
            <w:r w:rsidRPr="002163B7">
              <w:rPr>
                <w:rFonts w:cs="Arial"/>
                <w:bCs/>
                <w:szCs w:val="16"/>
              </w:rPr>
              <w:t>NO</w:t>
            </w:r>
          </w:p>
        </w:tc>
        <w:tc>
          <w:tcPr>
            <w:tcW w:w="575" w:type="pct"/>
          </w:tcPr>
          <w:p w14:paraId="6B10EC7D" w14:textId="77777777" w:rsidR="002163B7" w:rsidRPr="002163B7" w:rsidRDefault="002163B7" w:rsidP="002163B7">
            <w:pPr>
              <w:rPr>
                <w:rFonts w:cs="Arial"/>
                <w:bCs/>
                <w:szCs w:val="16"/>
              </w:rPr>
            </w:pPr>
            <w:r w:rsidRPr="002163B7">
              <w:rPr>
                <w:rFonts w:cs="Arial"/>
                <w:bCs/>
                <w:szCs w:val="16"/>
              </w:rPr>
              <w:t>1</w:t>
            </w:r>
          </w:p>
        </w:tc>
      </w:tr>
      <w:tr w:rsidR="007B0FF2" w:rsidRPr="002163B7" w14:paraId="42FC9361" w14:textId="77777777" w:rsidTr="007B0FF2">
        <w:tc>
          <w:tcPr>
            <w:tcW w:w="582" w:type="pct"/>
          </w:tcPr>
          <w:p w14:paraId="4B8B6F75" w14:textId="77777777" w:rsidR="002163B7" w:rsidRPr="002163B7" w:rsidRDefault="002163B7" w:rsidP="002163B7">
            <w:pPr>
              <w:rPr>
                <w:rFonts w:cs="Arial"/>
                <w:b/>
                <w:bCs/>
                <w:szCs w:val="16"/>
              </w:rPr>
            </w:pPr>
            <w:r w:rsidRPr="002163B7">
              <w:rPr>
                <w:rFonts w:cs="Arial"/>
                <w:b/>
                <w:bCs/>
                <w:szCs w:val="16"/>
              </w:rPr>
              <w:t>SS2/Outcome B: Knowledge and Skills</w:t>
            </w:r>
          </w:p>
        </w:tc>
        <w:tc>
          <w:tcPr>
            <w:tcW w:w="409" w:type="pct"/>
          </w:tcPr>
          <w:p w14:paraId="3F3FBB6A" w14:textId="77777777" w:rsidR="002163B7" w:rsidRPr="002163B7" w:rsidRDefault="002163B7" w:rsidP="002163B7">
            <w:pPr>
              <w:rPr>
                <w:rFonts w:cs="Arial"/>
                <w:bCs/>
                <w:szCs w:val="16"/>
              </w:rPr>
            </w:pPr>
            <w:r w:rsidRPr="002163B7">
              <w:rPr>
                <w:rFonts w:cs="Arial"/>
                <w:bCs/>
                <w:szCs w:val="16"/>
              </w:rPr>
              <w:t>2,794</w:t>
            </w:r>
          </w:p>
        </w:tc>
        <w:tc>
          <w:tcPr>
            <w:tcW w:w="451" w:type="pct"/>
          </w:tcPr>
          <w:p w14:paraId="0B05AF2C" w14:textId="77777777" w:rsidR="002163B7" w:rsidRPr="002163B7" w:rsidRDefault="002163B7" w:rsidP="002163B7">
            <w:pPr>
              <w:rPr>
                <w:rFonts w:cs="Arial"/>
                <w:bCs/>
                <w:szCs w:val="16"/>
              </w:rPr>
            </w:pPr>
            <w:r w:rsidRPr="002163B7">
              <w:rPr>
                <w:rFonts w:cs="Arial"/>
                <w:bCs/>
                <w:szCs w:val="16"/>
              </w:rPr>
              <w:t>31.68%</w:t>
            </w:r>
          </w:p>
        </w:tc>
        <w:tc>
          <w:tcPr>
            <w:tcW w:w="409" w:type="pct"/>
          </w:tcPr>
          <w:p w14:paraId="741DE068" w14:textId="77777777" w:rsidR="002163B7" w:rsidRPr="002163B7" w:rsidRDefault="002163B7" w:rsidP="002163B7">
            <w:pPr>
              <w:rPr>
                <w:rFonts w:cs="Arial"/>
                <w:bCs/>
                <w:szCs w:val="16"/>
              </w:rPr>
            </w:pPr>
            <w:r w:rsidRPr="002163B7">
              <w:rPr>
                <w:rFonts w:cs="Arial"/>
                <w:bCs/>
                <w:szCs w:val="16"/>
              </w:rPr>
              <w:t>2,880</w:t>
            </w:r>
          </w:p>
        </w:tc>
        <w:tc>
          <w:tcPr>
            <w:tcW w:w="451" w:type="pct"/>
          </w:tcPr>
          <w:p w14:paraId="3936E32D" w14:textId="77777777" w:rsidR="002163B7" w:rsidRPr="002163B7" w:rsidRDefault="002163B7" w:rsidP="002163B7">
            <w:pPr>
              <w:rPr>
                <w:rFonts w:cs="Arial"/>
                <w:bCs/>
                <w:szCs w:val="16"/>
              </w:rPr>
            </w:pPr>
            <w:r w:rsidRPr="002163B7">
              <w:rPr>
                <w:rFonts w:cs="Arial"/>
                <w:bCs/>
                <w:szCs w:val="16"/>
              </w:rPr>
              <w:t>35.14%</w:t>
            </w:r>
          </w:p>
        </w:tc>
        <w:tc>
          <w:tcPr>
            <w:tcW w:w="579" w:type="pct"/>
          </w:tcPr>
          <w:p w14:paraId="09B616AF" w14:textId="77777777" w:rsidR="002163B7" w:rsidRPr="002163B7" w:rsidRDefault="002163B7" w:rsidP="002163B7">
            <w:pPr>
              <w:rPr>
                <w:rFonts w:cs="Arial"/>
                <w:bCs/>
                <w:szCs w:val="16"/>
              </w:rPr>
            </w:pPr>
            <w:r w:rsidRPr="002163B7">
              <w:rPr>
                <w:rFonts w:cs="Arial"/>
                <w:bCs/>
                <w:szCs w:val="16"/>
              </w:rPr>
              <w:t>3.46</w:t>
            </w:r>
          </w:p>
        </w:tc>
        <w:tc>
          <w:tcPr>
            <w:tcW w:w="386" w:type="pct"/>
          </w:tcPr>
          <w:p w14:paraId="2990E92E" w14:textId="77777777" w:rsidR="002163B7" w:rsidRPr="002163B7" w:rsidRDefault="002163B7" w:rsidP="002163B7">
            <w:pPr>
              <w:rPr>
                <w:rFonts w:cs="Arial"/>
                <w:bCs/>
                <w:szCs w:val="16"/>
              </w:rPr>
            </w:pPr>
            <w:r w:rsidRPr="002163B7">
              <w:rPr>
                <w:rFonts w:cs="Arial"/>
                <w:bCs/>
                <w:szCs w:val="16"/>
              </w:rPr>
              <w:t>0.0125</w:t>
            </w:r>
          </w:p>
        </w:tc>
        <w:tc>
          <w:tcPr>
            <w:tcW w:w="386" w:type="pct"/>
          </w:tcPr>
          <w:p w14:paraId="374E46A1" w14:textId="77777777" w:rsidR="002163B7" w:rsidRPr="002163B7" w:rsidRDefault="002163B7" w:rsidP="002163B7">
            <w:pPr>
              <w:rPr>
                <w:rFonts w:cs="Arial"/>
                <w:bCs/>
                <w:szCs w:val="16"/>
              </w:rPr>
            </w:pPr>
            <w:r w:rsidRPr="002163B7">
              <w:rPr>
                <w:rFonts w:cs="Arial"/>
                <w:bCs/>
                <w:szCs w:val="16"/>
              </w:rPr>
              <w:t>2.7680</w:t>
            </w:r>
          </w:p>
        </w:tc>
        <w:tc>
          <w:tcPr>
            <w:tcW w:w="386" w:type="pct"/>
          </w:tcPr>
          <w:p w14:paraId="50F85BD0" w14:textId="77777777" w:rsidR="002163B7" w:rsidRPr="002163B7" w:rsidRDefault="002163B7" w:rsidP="002163B7">
            <w:pPr>
              <w:rPr>
                <w:rFonts w:cs="Arial"/>
                <w:bCs/>
                <w:szCs w:val="16"/>
              </w:rPr>
            </w:pPr>
            <w:r w:rsidRPr="002163B7">
              <w:rPr>
                <w:rFonts w:cs="Arial"/>
                <w:bCs/>
                <w:szCs w:val="16"/>
              </w:rPr>
              <w:t>0.0056</w:t>
            </w:r>
          </w:p>
        </w:tc>
        <w:tc>
          <w:tcPr>
            <w:tcW w:w="386" w:type="pct"/>
          </w:tcPr>
          <w:p w14:paraId="62E725C8" w14:textId="77777777" w:rsidR="002163B7" w:rsidRPr="002163B7" w:rsidRDefault="002163B7" w:rsidP="002163B7">
            <w:pPr>
              <w:rPr>
                <w:rFonts w:cs="Arial"/>
                <w:bCs/>
                <w:szCs w:val="16"/>
              </w:rPr>
            </w:pPr>
            <w:r w:rsidRPr="002163B7">
              <w:rPr>
                <w:rFonts w:cs="Arial"/>
                <w:bCs/>
                <w:szCs w:val="16"/>
              </w:rPr>
              <w:t>YES</w:t>
            </w:r>
          </w:p>
        </w:tc>
        <w:tc>
          <w:tcPr>
            <w:tcW w:w="575" w:type="pct"/>
          </w:tcPr>
          <w:p w14:paraId="58A16716" w14:textId="77777777" w:rsidR="002163B7" w:rsidRPr="002163B7" w:rsidRDefault="002163B7" w:rsidP="002163B7">
            <w:pPr>
              <w:rPr>
                <w:rFonts w:cs="Arial"/>
                <w:bCs/>
                <w:szCs w:val="16"/>
              </w:rPr>
            </w:pPr>
            <w:r w:rsidRPr="002163B7">
              <w:rPr>
                <w:rFonts w:cs="Arial"/>
                <w:bCs/>
                <w:szCs w:val="16"/>
              </w:rPr>
              <w:t>2</w:t>
            </w:r>
          </w:p>
        </w:tc>
      </w:tr>
      <w:tr w:rsidR="007B0FF2" w:rsidRPr="002163B7" w14:paraId="446E47B0" w14:textId="77777777" w:rsidTr="007B0FF2">
        <w:trPr>
          <w:trHeight w:val="31"/>
        </w:trPr>
        <w:tc>
          <w:tcPr>
            <w:tcW w:w="582" w:type="pct"/>
          </w:tcPr>
          <w:p w14:paraId="6EAEC8A7" w14:textId="77777777" w:rsidR="002163B7" w:rsidRPr="002163B7" w:rsidRDefault="002163B7" w:rsidP="002163B7">
            <w:pPr>
              <w:rPr>
                <w:rFonts w:cs="Arial"/>
                <w:b/>
                <w:bCs/>
                <w:szCs w:val="16"/>
              </w:rPr>
            </w:pPr>
            <w:r w:rsidRPr="002163B7">
              <w:rPr>
                <w:rFonts w:cs="Arial"/>
                <w:b/>
                <w:bCs/>
                <w:szCs w:val="16"/>
              </w:rPr>
              <w:t>SS2/Outcome C: Actions to meet needs</w:t>
            </w:r>
          </w:p>
        </w:tc>
        <w:tc>
          <w:tcPr>
            <w:tcW w:w="409" w:type="pct"/>
          </w:tcPr>
          <w:p w14:paraId="42549565" w14:textId="77777777" w:rsidR="002163B7" w:rsidRPr="002163B7" w:rsidRDefault="002163B7" w:rsidP="002163B7">
            <w:pPr>
              <w:rPr>
                <w:rFonts w:cs="Arial"/>
                <w:bCs/>
                <w:szCs w:val="16"/>
              </w:rPr>
            </w:pPr>
            <w:r w:rsidRPr="002163B7">
              <w:rPr>
                <w:rFonts w:cs="Arial"/>
                <w:bCs/>
                <w:szCs w:val="16"/>
              </w:rPr>
              <w:t>2,794</w:t>
            </w:r>
          </w:p>
        </w:tc>
        <w:tc>
          <w:tcPr>
            <w:tcW w:w="451" w:type="pct"/>
          </w:tcPr>
          <w:p w14:paraId="41F41EBB" w14:textId="77777777" w:rsidR="002163B7" w:rsidRPr="002163B7" w:rsidRDefault="002163B7" w:rsidP="002163B7">
            <w:pPr>
              <w:rPr>
                <w:rFonts w:cs="Arial"/>
                <w:bCs/>
                <w:szCs w:val="16"/>
              </w:rPr>
            </w:pPr>
            <w:r w:rsidRPr="002163B7">
              <w:rPr>
                <w:rFonts w:cs="Arial"/>
                <w:bCs/>
                <w:szCs w:val="16"/>
              </w:rPr>
              <w:t>33.32%</w:t>
            </w:r>
          </w:p>
        </w:tc>
        <w:tc>
          <w:tcPr>
            <w:tcW w:w="409" w:type="pct"/>
          </w:tcPr>
          <w:p w14:paraId="4D4BBA02" w14:textId="77777777" w:rsidR="002163B7" w:rsidRPr="002163B7" w:rsidRDefault="002163B7" w:rsidP="002163B7">
            <w:pPr>
              <w:rPr>
                <w:rFonts w:cs="Arial"/>
                <w:bCs/>
                <w:szCs w:val="16"/>
              </w:rPr>
            </w:pPr>
            <w:r w:rsidRPr="002163B7">
              <w:rPr>
                <w:rFonts w:cs="Arial"/>
                <w:bCs/>
                <w:szCs w:val="16"/>
              </w:rPr>
              <w:t>2,880</w:t>
            </w:r>
          </w:p>
        </w:tc>
        <w:tc>
          <w:tcPr>
            <w:tcW w:w="451" w:type="pct"/>
          </w:tcPr>
          <w:p w14:paraId="6D2BC2E7" w14:textId="77777777" w:rsidR="002163B7" w:rsidRPr="002163B7" w:rsidRDefault="002163B7" w:rsidP="002163B7">
            <w:pPr>
              <w:rPr>
                <w:rFonts w:cs="Arial"/>
                <w:bCs/>
                <w:szCs w:val="16"/>
              </w:rPr>
            </w:pPr>
            <w:r w:rsidRPr="002163B7">
              <w:rPr>
                <w:rFonts w:cs="Arial"/>
                <w:bCs/>
                <w:szCs w:val="16"/>
              </w:rPr>
              <w:t>34.58%</w:t>
            </w:r>
          </w:p>
        </w:tc>
        <w:tc>
          <w:tcPr>
            <w:tcW w:w="579" w:type="pct"/>
          </w:tcPr>
          <w:p w14:paraId="42E11280" w14:textId="77777777" w:rsidR="002163B7" w:rsidRPr="002163B7" w:rsidRDefault="002163B7" w:rsidP="002163B7">
            <w:pPr>
              <w:rPr>
                <w:rFonts w:cs="Arial"/>
                <w:bCs/>
                <w:szCs w:val="16"/>
              </w:rPr>
            </w:pPr>
            <w:r w:rsidRPr="002163B7">
              <w:rPr>
                <w:rFonts w:cs="Arial"/>
                <w:bCs/>
                <w:szCs w:val="16"/>
              </w:rPr>
              <w:t>1.26</w:t>
            </w:r>
          </w:p>
        </w:tc>
        <w:tc>
          <w:tcPr>
            <w:tcW w:w="386" w:type="pct"/>
          </w:tcPr>
          <w:p w14:paraId="4F8F98A2" w14:textId="77777777" w:rsidR="002163B7" w:rsidRPr="002163B7" w:rsidRDefault="002163B7" w:rsidP="002163B7">
            <w:pPr>
              <w:rPr>
                <w:rFonts w:cs="Arial"/>
                <w:bCs/>
                <w:szCs w:val="16"/>
              </w:rPr>
            </w:pPr>
            <w:r w:rsidRPr="002163B7">
              <w:rPr>
                <w:rFonts w:cs="Arial"/>
                <w:bCs/>
                <w:szCs w:val="16"/>
              </w:rPr>
              <w:t>0.0126</w:t>
            </w:r>
          </w:p>
        </w:tc>
        <w:tc>
          <w:tcPr>
            <w:tcW w:w="386" w:type="pct"/>
          </w:tcPr>
          <w:p w14:paraId="52DF5A6A" w14:textId="77777777" w:rsidR="002163B7" w:rsidRPr="002163B7" w:rsidRDefault="002163B7" w:rsidP="002163B7">
            <w:pPr>
              <w:rPr>
                <w:rFonts w:cs="Arial"/>
                <w:bCs/>
                <w:szCs w:val="16"/>
              </w:rPr>
            </w:pPr>
            <w:r w:rsidRPr="002163B7">
              <w:rPr>
                <w:rFonts w:cs="Arial"/>
                <w:bCs/>
                <w:szCs w:val="16"/>
              </w:rPr>
              <w:t>1.0037</w:t>
            </w:r>
          </w:p>
        </w:tc>
        <w:tc>
          <w:tcPr>
            <w:tcW w:w="386" w:type="pct"/>
          </w:tcPr>
          <w:p w14:paraId="5D9C6CFF" w14:textId="77777777" w:rsidR="002163B7" w:rsidRPr="002163B7" w:rsidRDefault="002163B7" w:rsidP="002163B7">
            <w:pPr>
              <w:rPr>
                <w:rFonts w:cs="Arial"/>
                <w:bCs/>
                <w:szCs w:val="16"/>
              </w:rPr>
            </w:pPr>
            <w:r w:rsidRPr="002163B7">
              <w:rPr>
                <w:rFonts w:cs="Arial"/>
                <w:bCs/>
                <w:szCs w:val="16"/>
              </w:rPr>
              <w:t>0.3155</w:t>
            </w:r>
          </w:p>
        </w:tc>
        <w:tc>
          <w:tcPr>
            <w:tcW w:w="386" w:type="pct"/>
          </w:tcPr>
          <w:p w14:paraId="550E6055" w14:textId="77777777" w:rsidR="002163B7" w:rsidRPr="002163B7" w:rsidRDefault="002163B7" w:rsidP="002163B7">
            <w:pPr>
              <w:rPr>
                <w:rFonts w:cs="Arial"/>
                <w:bCs/>
                <w:szCs w:val="16"/>
              </w:rPr>
            </w:pPr>
            <w:r w:rsidRPr="002163B7">
              <w:rPr>
                <w:rFonts w:cs="Arial"/>
                <w:bCs/>
                <w:szCs w:val="16"/>
              </w:rPr>
              <w:t>NO</w:t>
            </w:r>
          </w:p>
        </w:tc>
        <w:tc>
          <w:tcPr>
            <w:tcW w:w="575" w:type="pct"/>
          </w:tcPr>
          <w:p w14:paraId="239273B9" w14:textId="77777777" w:rsidR="002163B7" w:rsidRPr="002163B7" w:rsidRDefault="002163B7" w:rsidP="002163B7">
            <w:pPr>
              <w:rPr>
                <w:rFonts w:cs="Arial"/>
                <w:bCs/>
                <w:szCs w:val="16"/>
              </w:rPr>
            </w:pPr>
            <w:r w:rsidRPr="002163B7">
              <w:rPr>
                <w:rFonts w:cs="Arial"/>
                <w:bCs/>
                <w:szCs w:val="16"/>
              </w:rPr>
              <w:t>1</w:t>
            </w:r>
          </w:p>
        </w:tc>
      </w:tr>
    </w:tbl>
    <w:p w14:paraId="55C10FB7" w14:textId="77777777" w:rsidR="002163B7" w:rsidRPr="002163B7" w:rsidRDefault="002163B7" w:rsidP="002163B7">
      <w:pPr>
        <w:rPr>
          <w:rFonts w:cs="Arial"/>
          <w:b/>
          <w:szCs w:val="16"/>
        </w:rPr>
      </w:pPr>
    </w:p>
    <w:tbl>
      <w:tblPr>
        <w:tblStyle w:val="TableGrid1"/>
        <w:tblW w:w="10898" w:type="dxa"/>
        <w:tblLook w:val="04A0" w:firstRow="1" w:lastRow="0" w:firstColumn="1" w:lastColumn="0" w:noHBand="0" w:noVBand="1"/>
        <w:tblCaption w:val="C03SSCOYTYFNL"/>
      </w:tblPr>
      <w:tblGrid>
        <w:gridCol w:w="5449"/>
        <w:gridCol w:w="5449"/>
      </w:tblGrid>
      <w:tr w:rsidR="002163B7" w:rsidRPr="002163B7" w14:paraId="74388917" w14:textId="77777777" w:rsidTr="008F04FB">
        <w:trPr>
          <w:trHeight w:val="314"/>
        </w:trPr>
        <w:tc>
          <w:tcPr>
            <w:tcW w:w="5449" w:type="dxa"/>
          </w:tcPr>
          <w:p w14:paraId="6A84C515" w14:textId="77777777" w:rsidR="002163B7" w:rsidRPr="002163B7" w:rsidRDefault="002163B7" w:rsidP="002163B7">
            <w:pPr>
              <w:rPr>
                <w:rFonts w:cs="Arial"/>
                <w:b/>
                <w:bCs/>
                <w:szCs w:val="16"/>
              </w:rPr>
            </w:pPr>
            <w:r w:rsidRPr="002163B7">
              <w:rPr>
                <w:rFonts w:cs="Arial"/>
                <w:b/>
                <w:bCs/>
                <w:szCs w:val="16"/>
              </w:rPr>
              <w:t>Total Points Across SS1 and SS2</w:t>
            </w:r>
          </w:p>
        </w:tc>
        <w:tc>
          <w:tcPr>
            <w:tcW w:w="5449" w:type="dxa"/>
          </w:tcPr>
          <w:p w14:paraId="02899C29" w14:textId="77777777" w:rsidR="002163B7" w:rsidRPr="002163B7" w:rsidRDefault="002163B7" w:rsidP="002163B7">
            <w:pPr>
              <w:rPr>
                <w:rFonts w:cs="Arial"/>
                <w:b/>
                <w:bCs/>
                <w:szCs w:val="16"/>
              </w:rPr>
            </w:pPr>
            <w:r w:rsidRPr="002163B7">
              <w:rPr>
                <w:rFonts w:cs="Arial"/>
                <w:b/>
                <w:bCs/>
                <w:szCs w:val="16"/>
              </w:rPr>
              <w:t>7</w:t>
            </w:r>
          </w:p>
        </w:tc>
      </w:tr>
    </w:tbl>
    <w:p w14:paraId="37F01A0A" w14:textId="77777777" w:rsidR="002163B7" w:rsidRPr="002163B7" w:rsidRDefault="002163B7" w:rsidP="002163B7">
      <w:pPr>
        <w:rPr>
          <w:rFonts w:cs="Arial"/>
          <w:b/>
          <w:szCs w:val="16"/>
        </w:rPr>
      </w:pPr>
    </w:p>
    <w:tbl>
      <w:tblPr>
        <w:tblStyle w:val="TableGrid1"/>
        <w:tblW w:w="10909" w:type="dxa"/>
        <w:tblLook w:val="04A0" w:firstRow="1" w:lastRow="0" w:firstColumn="1" w:lastColumn="0" w:noHBand="0" w:noVBand="1"/>
        <w:tblCaption w:val="C03STEPRMFNL"/>
      </w:tblPr>
      <w:tblGrid>
        <w:gridCol w:w="5440"/>
        <w:gridCol w:w="5469"/>
      </w:tblGrid>
      <w:tr w:rsidR="002163B7" w:rsidRPr="002163B7" w14:paraId="432095F0" w14:textId="77777777" w:rsidTr="008F04FB">
        <w:trPr>
          <w:trHeight w:val="342"/>
        </w:trPr>
        <w:tc>
          <w:tcPr>
            <w:tcW w:w="5440" w:type="dxa"/>
          </w:tcPr>
          <w:p w14:paraId="1123C495" w14:textId="77777777" w:rsidR="002163B7" w:rsidRPr="002163B7" w:rsidRDefault="002163B7" w:rsidP="002163B7">
            <w:pPr>
              <w:rPr>
                <w:rFonts w:cs="Arial"/>
                <w:b/>
                <w:bCs/>
                <w:szCs w:val="16"/>
              </w:rPr>
            </w:pPr>
            <w:r w:rsidRPr="002163B7">
              <w:rPr>
                <w:rFonts w:cs="Arial"/>
                <w:b/>
                <w:bCs/>
                <w:szCs w:val="16"/>
              </w:rPr>
              <w:t>Your State’s Performance Change Score</w:t>
            </w:r>
          </w:p>
        </w:tc>
        <w:tc>
          <w:tcPr>
            <w:tcW w:w="5469" w:type="dxa"/>
          </w:tcPr>
          <w:p w14:paraId="24393E87" w14:textId="77777777" w:rsidR="002163B7" w:rsidRPr="002163B7" w:rsidRDefault="002163B7" w:rsidP="002163B7">
            <w:pPr>
              <w:rPr>
                <w:rFonts w:cs="Arial"/>
                <w:b/>
                <w:bCs/>
                <w:szCs w:val="16"/>
              </w:rPr>
            </w:pPr>
            <w:r w:rsidRPr="002163B7">
              <w:rPr>
                <w:rFonts w:cs="Arial"/>
                <w:b/>
                <w:bCs/>
                <w:szCs w:val="16"/>
              </w:rPr>
              <w:t>1</w:t>
            </w:r>
          </w:p>
        </w:tc>
      </w:tr>
    </w:tbl>
    <w:p w14:paraId="5424EA4F" w14:textId="77777777" w:rsidR="004A4EC7" w:rsidRDefault="004A4EC7" w:rsidP="004A4EC7"/>
    <w:p w14:paraId="273DB58A" w14:textId="77777777" w:rsidR="004A4EC7" w:rsidRDefault="004A4EC7" w:rsidP="00DC6D97"/>
    <w:p w14:paraId="056A24A3" w14:textId="77777777" w:rsidR="00A241E8" w:rsidRDefault="00A241E8">
      <w:pPr>
        <w:spacing w:before="0" w:after="200" w:line="276" w:lineRule="auto"/>
      </w:pPr>
      <w:r>
        <w:br w:type="page"/>
      </w:r>
    </w:p>
    <w:p w14:paraId="540C28DA" w14:textId="77777777" w:rsidR="00E74450" w:rsidRDefault="00E74450" w:rsidP="00EC51AB"/>
    <w:p w14:paraId="71881067" w14:textId="77777777" w:rsidR="000135C2" w:rsidRDefault="000135C2" w:rsidP="000135C2">
      <w:pPr>
        <w:pStyle w:val="Heading2"/>
      </w:pPr>
      <w:r w:rsidRPr="003E43D9">
        <w:t>Data Rubric</w:t>
      </w:r>
    </w:p>
    <w:p w14:paraId="0BEA3E20" w14:textId="77777777" w:rsidR="000D7F9F" w:rsidRPr="000D7F9F" w:rsidRDefault="000D7F9F" w:rsidP="000D7F9F">
      <w:pPr>
        <w:rPr>
          <w:b/>
          <w:bCs/>
          <w:sz w:val="18"/>
          <w:szCs w:val="18"/>
        </w:rPr>
      </w:pPr>
      <w:r w:rsidRPr="000D7F9F">
        <w:rPr>
          <w:b/>
          <w:bCs/>
          <w:sz w:val="18"/>
          <w:szCs w:val="18"/>
        </w:rPr>
        <w:t>Oregon</w:t>
      </w:r>
    </w:p>
    <w:p w14:paraId="345E0B19" w14:textId="77777777" w:rsidR="00BB2AAF" w:rsidRDefault="00BB2AAF" w:rsidP="00976350">
      <w:pPr>
        <w:rPr>
          <w:b/>
          <w:bCs/>
        </w:rPr>
      </w:pPr>
    </w:p>
    <w:p w14:paraId="16DC7DC6" w14:textId="77777777" w:rsidR="00DC6D97" w:rsidRPr="004227F4" w:rsidRDefault="003445A2" w:rsidP="00976350">
      <w:pPr>
        <w:rPr>
          <w:b/>
          <w:bCs/>
          <w:szCs w:val="16"/>
        </w:rPr>
      </w:pPr>
      <w:r w:rsidRPr="006B69D7">
        <w:rPr>
          <w:b/>
          <w:bCs/>
        </w:rPr>
        <w:t>FFY 2024</w:t>
      </w:r>
      <w:r w:rsidRPr="004227F4">
        <w:rPr>
          <w:b/>
          <w:bCs/>
          <w:szCs w:val="16"/>
        </w:rPr>
        <w:t xml:space="preserve"> APR</w:t>
      </w:r>
      <w:r w:rsidR="009D31F8" w:rsidRPr="004227F4">
        <w:rPr>
          <w:b/>
          <w:bCs/>
          <w:szCs w:val="16"/>
        </w:rPr>
        <w:t xml:space="preserve"> </w:t>
      </w:r>
      <w:r w:rsidR="004227F4" w:rsidRPr="004227F4">
        <w:rPr>
          <w:szCs w:val="16"/>
        </w:rPr>
        <w:t>(1)</w:t>
      </w:r>
    </w:p>
    <w:p w14:paraId="23D1D78B" w14:textId="77777777" w:rsidR="00BB2AAF" w:rsidRPr="004227F4" w:rsidRDefault="004227F4" w:rsidP="005032AF">
      <w:pPr>
        <w:rPr>
          <w:b/>
          <w:bCs/>
          <w:szCs w:val="16"/>
        </w:rPr>
      </w:pPr>
      <w:r w:rsidRPr="004227F4">
        <w:rPr>
          <w:rFonts w:eastAsia="Times New Roman" w:cs="Arial"/>
          <w:b/>
          <w:bCs/>
          <w:szCs w:val="16"/>
        </w:rPr>
        <w:t>Part C Timely and Accurate Data -- SPP/APR Data</w:t>
      </w:r>
    </w:p>
    <w:tbl>
      <w:tblPr>
        <w:tblStyle w:val="TableGrid1"/>
        <w:tblW w:w="9824" w:type="dxa"/>
        <w:tblLook w:val="04A0" w:firstRow="1" w:lastRow="0" w:firstColumn="1" w:lastColumn="0" w:noHBand="0" w:noVBand="1"/>
        <w:tblCaption w:val="CRUBCFFYINDVRSTAT"/>
      </w:tblPr>
      <w:tblGrid>
        <w:gridCol w:w="1866"/>
        <w:gridCol w:w="5260"/>
        <w:gridCol w:w="2698"/>
      </w:tblGrid>
      <w:tr w:rsidR="000135C2" w:rsidRPr="00210AC6" w14:paraId="0224B425" w14:textId="77777777" w:rsidTr="005032AF">
        <w:trPr>
          <w:trHeight w:val="440"/>
        </w:trPr>
        <w:tc>
          <w:tcPr>
            <w:tcW w:w="1866" w:type="dxa"/>
            <w:vAlign w:val="center"/>
            <w:hideMark/>
          </w:tcPr>
          <w:p w14:paraId="4446B554"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67A73C71"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15C6AE98"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Total</w:t>
            </w:r>
          </w:p>
        </w:tc>
      </w:tr>
      <w:tr w:rsidR="00CC21DE" w:rsidRPr="00210AC6" w14:paraId="76F95949" w14:textId="77777777" w:rsidTr="005032AF">
        <w:trPr>
          <w:trHeight w:val="440"/>
        </w:trPr>
        <w:tc>
          <w:tcPr>
            <w:tcW w:w="1866" w:type="dxa"/>
            <w:vAlign w:val="center"/>
            <w:hideMark/>
          </w:tcPr>
          <w:p w14:paraId="551FA863" w14:textId="77777777" w:rsidR="00CC21DE" w:rsidRPr="00CC21DE" w:rsidRDefault="00CC21DE" w:rsidP="00A47616">
            <w:pPr>
              <w:spacing w:before="0" w:after="0"/>
              <w:jc w:val="center"/>
              <w:rPr>
                <w:rFonts w:eastAsia="Times New Roman" w:cs="Arial"/>
                <w:b/>
                <w:bCs/>
                <w:szCs w:val="16"/>
              </w:rPr>
            </w:pPr>
            <w:r w:rsidRPr="00CC21DE">
              <w:rPr>
                <w:b/>
                <w:bCs/>
              </w:rPr>
              <w:t>1</w:t>
            </w:r>
          </w:p>
        </w:tc>
        <w:tc>
          <w:tcPr>
            <w:tcW w:w="5260" w:type="dxa"/>
            <w:vAlign w:val="center"/>
            <w:hideMark/>
          </w:tcPr>
          <w:p w14:paraId="3A8BB99B"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D5C3F69" w14:textId="77777777" w:rsidR="00CC21DE" w:rsidRPr="00210AC6" w:rsidRDefault="00CC21DE" w:rsidP="00A47616">
            <w:pPr>
              <w:spacing w:before="0" w:after="0"/>
              <w:jc w:val="center"/>
              <w:rPr>
                <w:rFonts w:eastAsia="Times New Roman" w:cs="Arial"/>
                <w:szCs w:val="16"/>
              </w:rPr>
            </w:pPr>
            <w:r>
              <w:t>1</w:t>
            </w:r>
          </w:p>
        </w:tc>
      </w:tr>
      <w:tr w:rsidR="00CC21DE" w:rsidRPr="00210AC6" w14:paraId="59B0053D" w14:textId="77777777" w:rsidTr="005032AF">
        <w:trPr>
          <w:trHeight w:val="440"/>
        </w:trPr>
        <w:tc>
          <w:tcPr>
            <w:tcW w:w="1866" w:type="dxa"/>
            <w:vAlign w:val="center"/>
            <w:hideMark/>
          </w:tcPr>
          <w:p w14:paraId="56E343EC" w14:textId="77777777" w:rsidR="00CC21DE" w:rsidRPr="00CC21DE" w:rsidRDefault="00CC21DE" w:rsidP="00A47616">
            <w:pPr>
              <w:spacing w:before="0" w:after="0"/>
              <w:jc w:val="center"/>
              <w:rPr>
                <w:rFonts w:eastAsia="Times New Roman" w:cs="Arial"/>
                <w:b/>
                <w:bCs/>
                <w:szCs w:val="16"/>
              </w:rPr>
            </w:pPr>
            <w:r w:rsidRPr="00CC21DE">
              <w:rPr>
                <w:b/>
                <w:bCs/>
              </w:rPr>
              <w:t>2</w:t>
            </w:r>
          </w:p>
        </w:tc>
        <w:tc>
          <w:tcPr>
            <w:tcW w:w="5260" w:type="dxa"/>
            <w:vAlign w:val="center"/>
            <w:hideMark/>
          </w:tcPr>
          <w:p w14:paraId="67B19F0E"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42FD2A0" w14:textId="77777777" w:rsidR="00CC21DE" w:rsidRPr="00210AC6" w:rsidRDefault="00CC21DE" w:rsidP="00A47616">
            <w:pPr>
              <w:spacing w:before="0" w:after="0"/>
              <w:jc w:val="center"/>
              <w:rPr>
                <w:rFonts w:eastAsia="Times New Roman" w:cs="Arial"/>
                <w:szCs w:val="16"/>
              </w:rPr>
            </w:pPr>
            <w:r>
              <w:t>1</w:t>
            </w:r>
          </w:p>
        </w:tc>
      </w:tr>
      <w:tr w:rsidR="00CC21DE" w:rsidRPr="00210AC6" w14:paraId="0C358696" w14:textId="77777777" w:rsidTr="005032AF">
        <w:trPr>
          <w:trHeight w:val="440"/>
        </w:trPr>
        <w:tc>
          <w:tcPr>
            <w:tcW w:w="1866" w:type="dxa"/>
            <w:vAlign w:val="center"/>
            <w:hideMark/>
          </w:tcPr>
          <w:p w14:paraId="50C5C914" w14:textId="77777777" w:rsidR="00CC21DE" w:rsidRPr="00CC21DE" w:rsidRDefault="00CC21DE" w:rsidP="00A47616">
            <w:pPr>
              <w:spacing w:before="0" w:after="0"/>
              <w:jc w:val="center"/>
              <w:rPr>
                <w:rFonts w:eastAsia="Times New Roman" w:cs="Arial"/>
                <w:b/>
                <w:bCs/>
                <w:szCs w:val="16"/>
              </w:rPr>
            </w:pPr>
            <w:r w:rsidRPr="00CC21DE">
              <w:rPr>
                <w:b/>
                <w:bCs/>
              </w:rPr>
              <w:t>3</w:t>
            </w:r>
          </w:p>
        </w:tc>
        <w:tc>
          <w:tcPr>
            <w:tcW w:w="5260" w:type="dxa"/>
            <w:vAlign w:val="center"/>
            <w:hideMark/>
          </w:tcPr>
          <w:p w14:paraId="4EBFEEE3"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43C6683" w14:textId="77777777" w:rsidR="00CC21DE" w:rsidRPr="00210AC6" w:rsidRDefault="00CC21DE" w:rsidP="00A47616">
            <w:pPr>
              <w:spacing w:before="0" w:after="0"/>
              <w:jc w:val="center"/>
              <w:rPr>
                <w:rFonts w:eastAsia="Times New Roman" w:cs="Arial"/>
                <w:szCs w:val="16"/>
              </w:rPr>
            </w:pPr>
            <w:r>
              <w:t>1</w:t>
            </w:r>
          </w:p>
        </w:tc>
      </w:tr>
      <w:tr w:rsidR="00CC21DE" w:rsidRPr="00210AC6" w14:paraId="5B37AB5A" w14:textId="77777777" w:rsidTr="005032AF">
        <w:trPr>
          <w:trHeight w:val="440"/>
        </w:trPr>
        <w:tc>
          <w:tcPr>
            <w:tcW w:w="1866" w:type="dxa"/>
            <w:vAlign w:val="center"/>
            <w:hideMark/>
          </w:tcPr>
          <w:p w14:paraId="7C78D78B" w14:textId="77777777" w:rsidR="00CC21DE" w:rsidRPr="00CC21DE" w:rsidRDefault="00CC21DE" w:rsidP="00A47616">
            <w:pPr>
              <w:spacing w:before="0" w:after="0"/>
              <w:jc w:val="center"/>
              <w:rPr>
                <w:rFonts w:eastAsia="Times New Roman" w:cs="Arial"/>
                <w:b/>
                <w:bCs/>
                <w:szCs w:val="16"/>
              </w:rPr>
            </w:pPr>
            <w:r w:rsidRPr="00CC21DE">
              <w:rPr>
                <w:b/>
                <w:bCs/>
              </w:rPr>
              <w:t>4</w:t>
            </w:r>
          </w:p>
        </w:tc>
        <w:tc>
          <w:tcPr>
            <w:tcW w:w="5260" w:type="dxa"/>
            <w:vAlign w:val="center"/>
            <w:hideMark/>
          </w:tcPr>
          <w:p w14:paraId="42F1F265"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56ECF31E" w14:textId="77777777" w:rsidR="00CC21DE" w:rsidRPr="00210AC6" w:rsidRDefault="00CC21DE" w:rsidP="00A47616">
            <w:pPr>
              <w:spacing w:before="0" w:after="0"/>
              <w:jc w:val="center"/>
              <w:rPr>
                <w:rFonts w:eastAsia="Times New Roman" w:cs="Arial"/>
                <w:szCs w:val="16"/>
              </w:rPr>
            </w:pPr>
            <w:r>
              <w:t>1</w:t>
            </w:r>
          </w:p>
        </w:tc>
      </w:tr>
      <w:tr w:rsidR="00CC21DE" w:rsidRPr="00210AC6" w14:paraId="0B854033" w14:textId="77777777" w:rsidTr="005032AF">
        <w:trPr>
          <w:trHeight w:val="440"/>
        </w:trPr>
        <w:tc>
          <w:tcPr>
            <w:tcW w:w="1866" w:type="dxa"/>
            <w:vAlign w:val="center"/>
            <w:hideMark/>
          </w:tcPr>
          <w:p w14:paraId="01B5734A" w14:textId="77777777" w:rsidR="00CC21DE" w:rsidRPr="00CC21DE" w:rsidRDefault="00CC21DE" w:rsidP="00A47616">
            <w:pPr>
              <w:spacing w:before="0" w:after="0"/>
              <w:jc w:val="center"/>
              <w:rPr>
                <w:rFonts w:eastAsia="Times New Roman" w:cs="Arial"/>
                <w:b/>
                <w:bCs/>
                <w:szCs w:val="16"/>
              </w:rPr>
            </w:pPr>
            <w:r w:rsidRPr="00CC21DE">
              <w:rPr>
                <w:b/>
                <w:bCs/>
              </w:rPr>
              <w:t>5</w:t>
            </w:r>
          </w:p>
        </w:tc>
        <w:tc>
          <w:tcPr>
            <w:tcW w:w="5260" w:type="dxa"/>
            <w:vAlign w:val="center"/>
            <w:hideMark/>
          </w:tcPr>
          <w:p w14:paraId="29149E53"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70A91BA" w14:textId="77777777" w:rsidR="00CC21DE" w:rsidRPr="00210AC6" w:rsidRDefault="00CC21DE" w:rsidP="00A47616">
            <w:pPr>
              <w:spacing w:before="0" w:after="0"/>
              <w:jc w:val="center"/>
              <w:rPr>
                <w:rFonts w:eastAsia="Times New Roman" w:cs="Arial"/>
                <w:szCs w:val="16"/>
              </w:rPr>
            </w:pPr>
            <w:r>
              <w:t>1</w:t>
            </w:r>
          </w:p>
        </w:tc>
      </w:tr>
      <w:tr w:rsidR="00CC21DE" w:rsidRPr="00210AC6" w14:paraId="59A41B3B" w14:textId="77777777" w:rsidTr="005032AF">
        <w:trPr>
          <w:trHeight w:val="440"/>
        </w:trPr>
        <w:tc>
          <w:tcPr>
            <w:tcW w:w="1866" w:type="dxa"/>
            <w:vAlign w:val="center"/>
            <w:hideMark/>
          </w:tcPr>
          <w:p w14:paraId="11FC9DC7" w14:textId="77777777" w:rsidR="00CC21DE" w:rsidRPr="00CC21DE" w:rsidRDefault="00CC21DE" w:rsidP="00A47616">
            <w:pPr>
              <w:spacing w:before="0" w:after="0"/>
              <w:jc w:val="center"/>
              <w:rPr>
                <w:rFonts w:eastAsia="Times New Roman" w:cs="Arial"/>
                <w:b/>
                <w:bCs/>
                <w:szCs w:val="16"/>
              </w:rPr>
            </w:pPr>
            <w:r w:rsidRPr="00CC21DE">
              <w:rPr>
                <w:b/>
                <w:bCs/>
              </w:rPr>
              <w:t>6</w:t>
            </w:r>
          </w:p>
        </w:tc>
        <w:tc>
          <w:tcPr>
            <w:tcW w:w="5260" w:type="dxa"/>
            <w:vAlign w:val="center"/>
            <w:hideMark/>
          </w:tcPr>
          <w:p w14:paraId="233D8614"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A4D7C3E" w14:textId="77777777" w:rsidR="00CC21DE" w:rsidRPr="00210AC6" w:rsidRDefault="00CC21DE" w:rsidP="00A47616">
            <w:pPr>
              <w:spacing w:before="0" w:after="0"/>
              <w:jc w:val="center"/>
              <w:rPr>
                <w:rFonts w:eastAsia="Times New Roman" w:cs="Arial"/>
                <w:szCs w:val="16"/>
              </w:rPr>
            </w:pPr>
            <w:r>
              <w:t>1</w:t>
            </w:r>
          </w:p>
        </w:tc>
      </w:tr>
      <w:tr w:rsidR="00CC21DE" w:rsidRPr="00210AC6" w14:paraId="03C7F792" w14:textId="77777777" w:rsidTr="005032AF">
        <w:trPr>
          <w:trHeight w:val="440"/>
        </w:trPr>
        <w:tc>
          <w:tcPr>
            <w:tcW w:w="1866" w:type="dxa"/>
            <w:vAlign w:val="center"/>
            <w:hideMark/>
          </w:tcPr>
          <w:p w14:paraId="07B595EE" w14:textId="77777777" w:rsidR="00CC21DE" w:rsidRPr="00CC21DE" w:rsidRDefault="00CC21DE" w:rsidP="00A47616">
            <w:pPr>
              <w:spacing w:before="0" w:after="0"/>
              <w:jc w:val="center"/>
              <w:rPr>
                <w:rFonts w:eastAsia="Times New Roman" w:cs="Arial"/>
                <w:b/>
                <w:bCs/>
                <w:szCs w:val="16"/>
              </w:rPr>
            </w:pPr>
            <w:r w:rsidRPr="00CC21DE">
              <w:rPr>
                <w:b/>
                <w:bCs/>
              </w:rPr>
              <w:t>7</w:t>
            </w:r>
          </w:p>
        </w:tc>
        <w:tc>
          <w:tcPr>
            <w:tcW w:w="5260" w:type="dxa"/>
            <w:vAlign w:val="center"/>
            <w:hideMark/>
          </w:tcPr>
          <w:p w14:paraId="5C4589BA"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2C17C3C" w14:textId="77777777" w:rsidR="00CC21DE" w:rsidRPr="00210AC6" w:rsidRDefault="00CC21DE" w:rsidP="00A47616">
            <w:pPr>
              <w:spacing w:before="0" w:after="0"/>
              <w:jc w:val="center"/>
              <w:rPr>
                <w:rFonts w:eastAsia="Times New Roman" w:cs="Arial"/>
                <w:szCs w:val="16"/>
              </w:rPr>
            </w:pPr>
            <w:r>
              <w:t>1</w:t>
            </w:r>
          </w:p>
        </w:tc>
      </w:tr>
      <w:tr w:rsidR="00CC21DE" w:rsidRPr="00210AC6" w14:paraId="1767D435" w14:textId="77777777" w:rsidTr="005032AF">
        <w:trPr>
          <w:trHeight w:val="440"/>
        </w:trPr>
        <w:tc>
          <w:tcPr>
            <w:tcW w:w="1866" w:type="dxa"/>
            <w:vAlign w:val="center"/>
            <w:hideMark/>
          </w:tcPr>
          <w:p w14:paraId="29715390" w14:textId="77777777" w:rsidR="00CC21DE" w:rsidRPr="00CC21DE" w:rsidRDefault="00CC21DE" w:rsidP="00A47616">
            <w:pPr>
              <w:spacing w:before="0" w:after="0"/>
              <w:jc w:val="center"/>
              <w:rPr>
                <w:rFonts w:eastAsia="Times New Roman" w:cs="Arial"/>
                <w:b/>
                <w:bCs/>
                <w:szCs w:val="16"/>
              </w:rPr>
            </w:pPr>
            <w:r w:rsidRPr="00CC21DE">
              <w:rPr>
                <w:b/>
                <w:bCs/>
              </w:rPr>
              <w:t>8A</w:t>
            </w:r>
          </w:p>
        </w:tc>
        <w:tc>
          <w:tcPr>
            <w:tcW w:w="5260" w:type="dxa"/>
            <w:vAlign w:val="center"/>
            <w:hideMark/>
          </w:tcPr>
          <w:p w14:paraId="7B9F85A3"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1D6C59D" w14:textId="77777777" w:rsidR="00CC21DE" w:rsidRPr="00210AC6" w:rsidRDefault="00CC21DE" w:rsidP="00A47616">
            <w:pPr>
              <w:spacing w:before="0" w:after="0"/>
              <w:jc w:val="center"/>
              <w:rPr>
                <w:rFonts w:eastAsia="Times New Roman" w:cs="Arial"/>
                <w:szCs w:val="16"/>
              </w:rPr>
            </w:pPr>
            <w:r>
              <w:t>1</w:t>
            </w:r>
          </w:p>
        </w:tc>
      </w:tr>
      <w:tr w:rsidR="00CC21DE" w:rsidRPr="00210AC6" w14:paraId="79B4C073" w14:textId="77777777" w:rsidTr="005032AF">
        <w:trPr>
          <w:trHeight w:val="440"/>
        </w:trPr>
        <w:tc>
          <w:tcPr>
            <w:tcW w:w="1866" w:type="dxa"/>
            <w:vAlign w:val="center"/>
            <w:hideMark/>
          </w:tcPr>
          <w:p w14:paraId="0544A344" w14:textId="77777777" w:rsidR="00CC21DE" w:rsidRPr="00CC21DE" w:rsidRDefault="00CC21DE" w:rsidP="00A47616">
            <w:pPr>
              <w:spacing w:before="0" w:after="0"/>
              <w:jc w:val="center"/>
              <w:rPr>
                <w:rFonts w:eastAsia="Times New Roman" w:cs="Arial"/>
                <w:b/>
                <w:bCs/>
                <w:szCs w:val="16"/>
              </w:rPr>
            </w:pPr>
            <w:r w:rsidRPr="00CC21DE">
              <w:rPr>
                <w:b/>
                <w:bCs/>
              </w:rPr>
              <w:t>8B</w:t>
            </w:r>
          </w:p>
        </w:tc>
        <w:tc>
          <w:tcPr>
            <w:tcW w:w="5260" w:type="dxa"/>
            <w:vAlign w:val="center"/>
            <w:hideMark/>
          </w:tcPr>
          <w:p w14:paraId="3538090C"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41BFE4AE" w14:textId="77777777" w:rsidR="00CC21DE" w:rsidRPr="00210AC6" w:rsidRDefault="00CC21DE" w:rsidP="00A47616">
            <w:pPr>
              <w:spacing w:before="0" w:after="0"/>
              <w:jc w:val="center"/>
              <w:rPr>
                <w:rFonts w:eastAsia="Times New Roman" w:cs="Arial"/>
                <w:szCs w:val="16"/>
              </w:rPr>
            </w:pPr>
            <w:r>
              <w:t>1</w:t>
            </w:r>
          </w:p>
        </w:tc>
      </w:tr>
      <w:tr w:rsidR="00CC21DE" w:rsidRPr="00210AC6" w14:paraId="3E383E24" w14:textId="77777777" w:rsidTr="005032AF">
        <w:trPr>
          <w:trHeight w:val="440"/>
        </w:trPr>
        <w:tc>
          <w:tcPr>
            <w:tcW w:w="1866" w:type="dxa"/>
            <w:vAlign w:val="center"/>
            <w:hideMark/>
          </w:tcPr>
          <w:p w14:paraId="2647E26E" w14:textId="77777777" w:rsidR="00CC21DE" w:rsidRPr="00CC21DE" w:rsidRDefault="00CC21DE" w:rsidP="00A47616">
            <w:pPr>
              <w:spacing w:before="0" w:after="0"/>
              <w:jc w:val="center"/>
              <w:rPr>
                <w:rFonts w:eastAsia="Times New Roman" w:cs="Arial"/>
                <w:b/>
                <w:bCs/>
                <w:szCs w:val="16"/>
              </w:rPr>
            </w:pPr>
            <w:r w:rsidRPr="00CC21DE">
              <w:rPr>
                <w:b/>
                <w:bCs/>
              </w:rPr>
              <w:t>8C</w:t>
            </w:r>
          </w:p>
        </w:tc>
        <w:tc>
          <w:tcPr>
            <w:tcW w:w="5260" w:type="dxa"/>
            <w:vAlign w:val="center"/>
            <w:hideMark/>
          </w:tcPr>
          <w:p w14:paraId="2EC66A1B"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CE166FA" w14:textId="77777777" w:rsidR="00CC21DE" w:rsidRPr="00210AC6" w:rsidRDefault="00CC21DE" w:rsidP="00A47616">
            <w:pPr>
              <w:spacing w:before="0" w:after="0"/>
              <w:jc w:val="center"/>
              <w:rPr>
                <w:rFonts w:eastAsia="Times New Roman" w:cs="Arial"/>
                <w:szCs w:val="16"/>
              </w:rPr>
            </w:pPr>
            <w:r>
              <w:t>1</w:t>
            </w:r>
          </w:p>
        </w:tc>
      </w:tr>
      <w:tr w:rsidR="00CC21DE" w:rsidRPr="00210AC6" w14:paraId="5F627786" w14:textId="77777777" w:rsidTr="005032AF">
        <w:trPr>
          <w:trHeight w:val="440"/>
        </w:trPr>
        <w:tc>
          <w:tcPr>
            <w:tcW w:w="1866" w:type="dxa"/>
            <w:vAlign w:val="center"/>
            <w:hideMark/>
          </w:tcPr>
          <w:p w14:paraId="0EB4C332" w14:textId="77777777" w:rsidR="00CC21DE" w:rsidRPr="00CC21DE" w:rsidRDefault="00CC21DE" w:rsidP="00A47616">
            <w:pPr>
              <w:spacing w:before="0" w:after="0"/>
              <w:jc w:val="center"/>
              <w:rPr>
                <w:rFonts w:eastAsia="Times New Roman" w:cs="Arial"/>
                <w:b/>
                <w:bCs/>
                <w:szCs w:val="16"/>
              </w:rPr>
            </w:pPr>
            <w:r w:rsidRPr="00CC21DE">
              <w:rPr>
                <w:b/>
                <w:bCs/>
              </w:rPr>
              <w:t>9</w:t>
            </w:r>
          </w:p>
        </w:tc>
        <w:tc>
          <w:tcPr>
            <w:tcW w:w="5260" w:type="dxa"/>
            <w:vAlign w:val="center"/>
            <w:hideMark/>
          </w:tcPr>
          <w:p w14:paraId="47B12004"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12624E6" w14:textId="77777777" w:rsidR="00CC21DE" w:rsidRPr="00210AC6" w:rsidRDefault="00CC21DE" w:rsidP="00A47616">
            <w:pPr>
              <w:spacing w:before="0" w:after="0"/>
              <w:jc w:val="center"/>
              <w:rPr>
                <w:rFonts w:eastAsia="Times New Roman" w:cs="Arial"/>
                <w:szCs w:val="16"/>
              </w:rPr>
            </w:pPr>
            <w:r>
              <w:t>1</w:t>
            </w:r>
          </w:p>
        </w:tc>
      </w:tr>
      <w:tr w:rsidR="00CC21DE" w:rsidRPr="00210AC6" w14:paraId="34ECA0A8" w14:textId="77777777" w:rsidTr="005032AF">
        <w:trPr>
          <w:trHeight w:val="440"/>
        </w:trPr>
        <w:tc>
          <w:tcPr>
            <w:tcW w:w="1866" w:type="dxa"/>
            <w:vAlign w:val="center"/>
            <w:hideMark/>
          </w:tcPr>
          <w:p w14:paraId="5F904624" w14:textId="77777777" w:rsidR="00CC21DE" w:rsidRPr="00CC21DE" w:rsidRDefault="00CC21DE" w:rsidP="00A47616">
            <w:pPr>
              <w:spacing w:before="0" w:after="0"/>
              <w:jc w:val="center"/>
              <w:rPr>
                <w:rFonts w:eastAsia="Times New Roman" w:cs="Arial"/>
                <w:b/>
                <w:bCs/>
                <w:szCs w:val="16"/>
              </w:rPr>
            </w:pPr>
            <w:r w:rsidRPr="00CC21DE">
              <w:rPr>
                <w:b/>
                <w:bCs/>
              </w:rPr>
              <w:t>10</w:t>
            </w:r>
          </w:p>
        </w:tc>
        <w:tc>
          <w:tcPr>
            <w:tcW w:w="5260" w:type="dxa"/>
            <w:vAlign w:val="center"/>
            <w:hideMark/>
          </w:tcPr>
          <w:p w14:paraId="3CDFB396"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CF95988" w14:textId="77777777" w:rsidR="00CC21DE" w:rsidRPr="00210AC6" w:rsidRDefault="00CC21DE" w:rsidP="00A47616">
            <w:pPr>
              <w:spacing w:before="0" w:after="0"/>
              <w:jc w:val="center"/>
              <w:rPr>
                <w:rFonts w:eastAsia="Times New Roman" w:cs="Arial"/>
                <w:szCs w:val="16"/>
              </w:rPr>
            </w:pPr>
            <w:r>
              <w:t>1</w:t>
            </w:r>
          </w:p>
        </w:tc>
      </w:tr>
      <w:tr w:rsidR="00CC21DE" w:rsidRPr="00210AC6" w14:paraId="45160917" w14:textId="77777777" w:rsidTr="005032AF">
        <w:trPr>
          <w:trHeight w:val="440"/>
        </w:trPr>
        <w:tc>
          <w:tcPr>
            <w:tcW w:w="1866" w:type="dxa"/>
            <w:vAlign w:val="center"/>
            <w:hideMark/>
          </w:tcPr>
          <w:p w14:paraId="74DC1662" w14:textId="77777777" w:rsidR="00CC21DE" w:rsidRPr="00CC21DE" w:rsidRDefault="00CC21DE" w:rsidP="00A47616">
            <w:pPr>
              <w:spacing w:before="0" w:after="0"/>
              <w:jc w:val="center"/>
              <w:rPr>
                <w:rFonts w:eastAsia="Times New Roman" w:cs="Arial"/>
                <w:b/>
                <w:bCs/>
                <w:szCs w:val="16"/>
              </w:rPr>
            </w:pPr>
            <w:r w:rsidRPr="00CC21DE">
              <w:rPr>
                <w:b/>
                <w:bCs/>
              </w:rPr>
              <w:t>11</w:t>
            </w:r>
          </w:p>
        </w:tc>
        <w:tc>
          <w:tcPr>
            <w:tcW w:w="5260" w:type="dxa"/>
            <w:vAlign w:val="center"/>
            <w:hideMark/>
          </w:tcPr>
          <w:p w14:paraId="3A53A723"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63FB52B" w14:textId="77777777" w:rsidR="00CC21DE" w:rsidRPr="00210AC6" w:rsidRDefault="00CC21DE" w:rsidP="00A47616">
            <w:pPr>
              <w:spacing w:before="0" w:after="0"/>
              <w:jc w:val="center"/>
              <w:rPr>
                <w:rFonts w:eastAsia="Times New Roman" w:cs="Arial"/>
                <w:szCs w:val="16"/>
              </w:rPr>
            </w:pPr>
            <w:r>
              <w:t>1</w:t>
            </w:r>
          </w:p>
        </w:tc>
      </w:tr>
      <w:tr w:rsidR="000F5FCD" w:rsidRPr="00210AC6" w14:paraId="15D2196F" w14:textId="77777777" w:rsidTr="005032AF">
        <w:trPr>
          <w:trHeight w:val="440"/>
        </w:trPr>
        <w:tc>
          <w:tcPr>
            <w:tcW w:w="1866" w:type="dxa"/>
            <w:vAlign w:val="center"/>
          </w:tcPr>
          <w:p w14:paraId="7967825B" w14:textId="77777777" w:rsidR="000F5FCD" w:rsidRPr="00CC21DE" w:rsidRDefault="000F5FCD" w:rsidP="00A47616">
            <w:pPr>
              <w:spacing w:before="0" w:after="0"/>
              <w:jc w:val="center"/>
              <w:rPr>
                <w:b/>
                <w:bCs/>
              </w:rPr>
            </w:pPr>
            <w:r>
              <w:rPr>
                <w:b/>
                <w:bCs/>
              </w:rPr>
              <w:t>12</w:t>
            </w:r>
          </w:p>
        </w:tc>
        <w:tc>
          <w:tcPr>
            <w:tcW w:w="5260" w:type="dxa"/>
            <w:vAlign w:val="center"/>
          </w:tcPr>
          <w:p w14:paraId="1300D672" w14:textId="77777777" w:rsidR="000F5FCD" w:rsidRDefault="000F5FCD" w:rsidP="00A47616">
            <w:pPr>
              <w:spacing w:before="0" w:after="0"/>
              <w:jc w:val="center"/>
            </w:pPr>
            <w:r>
              <w:t>1</w:t>
            </w:r>
          </w:p>
        </w:tc>
        <w:tc>
          <w:tcPr>
            <w:tcW w:w="2698" w:type="dxa"/>
            <w:vAlign w:val="center"/>
          </w:tcPr>
          <w:p w14:paraId="222F90C8" w14:textId="77777777" w:rsidR="000F5FCD" w:rsidRDefault="000F5FCD" w:rsidP="00A47616">
            <w:pPr>
              <w:spacing w:before="0" w:after="0"/>
              <w:jc w:val="center"/>
            </w:pPr>
            <w:r>
              <w:t>1</w:t>
            </w:r>
          </w:p>
        </w:tc>
      </w:tr>
    </w:tbl>
    <w:p w14:paraId="38266375" w14:textId="77777777" w:rsidR="00AA07A0" w:rsidRDefault="00AA07A0" w:rsidP="000135C2">
      <w:pPr>
        <w:rPr>
          <w:rFonts w:cs="Arial"/>
          <w:szCs w:val="16"/>
        </w:rPr>
      </w:pPr>
    </w:p>
    <w:p w14:paraId="33C258D2" w14:textId="77777777" w:rsidR="009D31F8" w:rsidRDefault="009D31F8" w:rsidP="000135C2">
      <w:pPr>
        <w:rPr>
          <w:rFonts w:cs="Arial"/>
          <w:szCs w:val="16"/>
        </w:rPr>
      </w:pPr>
      <w:r w:rsidRPr="00210AC6">
        <w:rPr>
          <w:rFonts w:eastAsia="Times New Roman" w:cs="Arial"/>
          <w:b/>
          <w:bCs/>
          <w:szCs w:val="16"/>
        </w:rPr>
        <w:t>APR Score Calculation</w:t>
      </w:r>
    </w:p>
    <w:tbl>
      <w:tblPr>
        <w:tblStyle w:val="TableGrid1"/>
        <w:tblW w:w="9805" w:type="dxa"/>
        <w:tblLook w:val="04A0" w:firstRow="1" w:lastRow="0" w:firstColumn="1" w:lastColumn="0" w:noHBand="0" w:noVBand="1"/>
        <w:tblCaption w:val="CRUBCFFYAPRSCRCALC"/>
      </w:tblPr>
      <w:tblGrid>
        <w:gridCol w:w="7105"/>
        <w:gridCol w:w="2700"/>
      </w:tblGrid>
      <w:tr w:rsidR="009D31F8" w:rsidRPr="00210AC6" w14:paraId="5B3788E6" w14:textId="77777777" w:rsidTr="009D31F8">
        <w:trPr>
          <w:trHeight w:val="440"/>
        </w:trPr>
        <w:tc>
          <w:tcPr>
            <w:tcW w:w="7105" w:type="dxa"/>
            <w:vAlign w:val="center"/>
            <w:hideMark/>
          </w:tcPr>
          <w:p w14:paraId="41D6378C" w14:textId="77777777" w:rsidR="009D31F8" w:rsidRPr="00210AC6" w:rsidRDefault="009D31F8" w:rsidP="009D31F8">
            <w:pPr>
              <w:spacing w:before="0" w:after="0"/>
              <w:rPr>
                <w:rFonts w:eastAsia="Times New Roman" w:cs="Arial"/>
                <w:b/>
                <w:bCs/>
                <w:szCs w:val="16"/>
              </w:rPr>
            </w:pPr>
            <w:r>
              <w:rPr>
                <w:rFonts w:eastAsia="Times New Roman" w:cs="Arial"/>
                <w:b/>
                <w:bCs/>
                <w:szCs w:val="16"/>
              </w:rPr>
              <w:t>Subtotal</w:t>
            </w:r>
          </w:p>
        </w:tc>
        <w:tc>
          <w:tcPr>
            <w:tcW w:w="2700" w:type="dxa"/>
            <w:vAlign w:val="center"/>
            <w:hideMark/>
          </w:tcPr>
          <w:p w14:paraId="521DC5BB" w14:textId="77777777" w:rsidR="009D31F8" w:rsidRPr="00210AC6" w:rsidRDefault="009D31F8">
            <w:pPr>
              <w:spacing w:before="0" w:after="0"/>
              <w:jc w:val="center"/>
              <w:rPr>
                <w:rFonts w:eastAsia="Times New Roman" w:cs="Arial"/>
                <w:szCs w:val="16"/>
              </w:rPr>
            </w:pPr>
            <w:r>
              <w:t>14</w:t>
            </w:r>
          </w:p>
        </w:tc>
      </w:tr>
      <w:tr w:rsidR="009D31F8" w:rsidRPr="00210AC6" w14:paraId="4F8C00D5" w14:textId="77777777" w:rsidTr="009D31F8">
        <w:trPr>
          <w:trHeight w:val="735"/>
        </w:trPr>
        <w:tc>
          <w:tcPr>
            <w:tcW w:w="7105" w:type="dxa"/>
            <w:vAlign w:val="center"/>
            <w:hideMark/>
          </w:tcPr>
          <w:p w14:paraId="7C8BC3F5" w14:textId="77777777" w:rsidR="009D31F8" w:rsidRPr="00210AC6" w:rsidRDefault="009D31F8">
            <w:pPr>
              <w:spacing w:before="0" w:after="0"/>
              <w:rPr>
                <w:rFonts w:eastAsia="Times New Roman" w:cs="Arial"/>
                <w:b/>
                <w:bCs/>
                <w:szCs w:val="16"/>
              </w:rPr>
            </w:pPr>
            <w:r w:rsidRPr="00210AC6">
              <w:rPr>
                <w:rFonts w:eastAsia="Times New Roman" w:cs="Arial"/>
                <w:b/>
                <w:bCs/>
                <w:szCs w:val="16"/>
              </w:rPr>
              <w:t xml:space="preserve">Timely Submission Points </w:t>
            </w:r>
            <w:proofErr w:type="gramStart"/>
            <w:r w:rsidRPr="00210AC6">
              <w:rPr>
                <w:rFonts w:eastAsia="Times New Roman" w:cs="Arial"/>
                <w:szCs w:val="16"/>
              </w:rPr>
              <w:t>-  If</w:t>
            </w:r>
            <w:proofErr w:type="gramEnd"/>
            <w:r w:rsidRPr="00210AC6">
              <w:rPr>
                <w:rFonts w:eastAsia="Times New Roman" w:cs="Arial"/>
                <w:szCs w:val="16"/>
              </w:rPr>
              <w:t xml:space="preserve"> the FFY </w:t>
            </w:r>
            <w:r w:rsidR="00A54A87">
              <w:rPr>
                <w:rFonts w:eastAsia="Times New Roman" w:cs="Arial"/>
                <w:szCs w:val="16"/>
              </w:rPr>
              <w:t>2024</w:t>
            </w:r>
            <w:r w:rsidRPr="00210AC6">
              <w:rPr>
                <w:rFonts w:eastAsia="Times New Roman" w:cs="Arial"/>
                <w:szCs w:val="16"/>
              </w:rPr>
              <w:t xml:space="preserve"> APR was submitted </w:t>
            </w:r>
            <w:proofErr w:type="gramStart"/>
            <w:r w:rsidRPr="00210AC6">
              <w:rPr>
                <w:rFonts w:eastAsia="Times New Roman" w:cs="Arial"/>
                <w:szCs w:val="16"/>
              </w:rPr>
              <w:t>on-time</w:t>
            </w:r>
            <w:proofErr w:type="gramEnd"/>
            <w:r w:rsidRPr="00210AC6">
              <w:rPr>
                <w:rFonts w:eastAsia="Times New Roman" w:cs="Arial"/>
                <w:szCs w:val="16"/>
              </w:rPr>
              <w:t>, place the number 5 in the cell on the right.</w:t>
            </w:r>
          </w:p>
        </w:tc>
        <w:tc>
          <w:tcPr>
            <w:tcW w:w="2700" w:type="dxa"/>
            <w:vAlign w:val="center"/>
            <w:hideMark/>
          </w:tcPr>
          <w:p w14:paraId="18E97722" w14:textId="77777777" w:rsidR="009D31F8" w:rsidRPr="00210AC6" w:rsidRDefault="009D31F8">
            <w:pPr>
              <w:spacing w:before="0" w:after="0"/>
              <w:jc w:val="center"/>
              <w:rPr>
                <w:rFonts w:eastAsia="Times New Roman" w:cs="Arial"/>
                <w:szCs w:val="16"/>
              </w:rPr>
            </w:pPr>
            <w:r>
              <w:t>5</w:t>
            </w:r>
          </w:p>
        </w:tc>
      </w:tr>
      <w:tr w:rsidR="009D31F8" w:rsidRPr="00210AC6" w14:paraId="5221ED85" w14:textId="77777777" w:rsidTr="009D31F8">
        <w:trPr>
          <w:trHeight w:val="485"/>
        </w:trPr>
        <w:tc>
          <w:tcPr>
            <w:tcW w:w="7105" w:type="dxa"/>
            <w:vAlign w:val="center"/>
            <w:hideMark/>
          </w:tcPr>
          <w:p w14:paraId="4908CF09" w14:textId="77777777" w:rsidR="009D31F8" w:rsidRPr="00210AC6" w:rsidRDefault="009D31F8">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700" w:type="dxa"/>
            <w:vAlign w:val="center"/>
            <w:hideMark/>
          </w:tcPr>
          <w:p w14:paraId="71FB5612" w14:textId="77777777" w:rsidR="009D31F8" w:rsidRPr="00210AC6" w:rsidRDefault="009D31F8">
            <w:pPr>
              <w:spacing w:before="0" w:after="0"/>
              <w:jc w:val="center"/>
              <w:rPr>
                <w:rFonts w:eastAsia="Times New Roman" w:cs="Arial"/>
                <w:szCs w:val="16"/>
              </w:rPr>
            </w:pPr>
            <w:r>
              <w:t>19</w:t>
            </w:r>
          </w:p>
        </w:tc>
      </w:tr>
    </w:tbl>
    <w:p w14:paraId="7AA1E041" w14:textId="77777777" w:rsidR="009D31F8" w:rsidRDefault="009D31F8" w:rsidP="000135C2">
      <w:pPr>
        <w:rPr>
          <w:rFonts w:cs="Arial"/>
          <w:szCs w:val="16"/>
        </w:rPr>
      </w:pPr>
    </w:p>
    <w:p w14:paraId="2F250EC2" w14:textId="77777777" w:rsidR="00AA07A0" w:rsidRPr="00D731C8" w:rsidRDefault="009D31F8" w:rsidP="00D731C8">
      <w:pPr>
        <w:rPr>
          <w:rFonts w:cs="Arial"/>
          <w:b/>
          <w:bCs/>
          <w:szCs w:val="16"/>
        </w:rPr>
      </w:pPr>
      <w:r w:rsidRPr="00D731C8">
        <w:rPr>
          <w:b/>
          <w:bCs/>
        </w:rPr>
        <w:t xml:space="preserve">(1) In the SPP/APR Data table, where there is an N/A in the Valid and Reliable column, the Total column will display a 0. This is a change from prior years in display only; all calculation methods are unchanged. An N/A does not negatively affect a </w:t>
      </w:r>
      <w:proofErr w:type="gramStart"/>
      <w:r w:rsidRPr="00D731C8">
        <w:rPr>
          <w:b/>
          <w:bCs/>
        </w:rPr>
        <w:t>State's</w:t>
      </w:r>
      <w:proofErr w:type="gramEnd"/>
      <w:r w:rsidRPr="00D731C8">
        <w:rPr>
          <w:b/>
          <w:bCs/>
        </w:rPr>
        <w:t xml:space="preserve"> score; this is because 1 point is subtracted from the Denominator in the Indicator Calculation table for each cell marked as N/A in the SPP/APR Data table.</w:t>
      </w:r>
      <w:r w:rsidR="00AA07A0" w:rsidRPr="00D731C8">
        <w:rPr>
          <w:rFonts w:cs="Arial"/>
          <w:b/>
          <w:bCs/>
          <w:szCs w:val="16"/>
        </w:rPr>
        <w:br w:type="page"/>
      </w:r>
    </w:p>
    <w:p w14:paraId="3BB3E6BE" w14:textId="77777777" w:rsidR="00F2466D" w:rsidRPr="009D31F8" w:rsidRDefault="009D31F8" w:rsidP="000135C2">
      <w:pPr>
        <w:rPr>
          <w:rFonts w:cs="Arial"/>
          <w:szCs w:val="16"/>
        </w:rPr>
      </w:pPr>
      <w:r w:rsidRPr="00210AC6">
        <w:rPr>
          <w:rFonts w:eastAsia="Times New Roman" w:cs="Arial"/>
          <w:b/>
          <w:bCs/>
          <w:szCs w:val="16"/>
        </w:rPr>
        <w:lastRenderedPageBreak/>
        <w:t>618 Data</w:t>
      </w:r>
      <w:r>
        <w:rPr>
          <w:rFonts w:eastAsia="Times New Roman" w:cs="Arial"/>
          <w:szCs w:val="16"/>
        </w:rPr>
        <w:t xml:space="preserve"> (2)</w:t>
      </w: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000135C2" w:rsidRPr="00210AC6" w14:paraId="17D62985" w14:textId="77777777" w:rsidTr="005032AF">
        <w:trPr>
          <w:trHeight w:val="458"/>
        </w:trPr>
        <w:tc>
          <w:tcPr>
            <w:tcW w:w="1968" w:type="dxa"/>
            <w:vAlign w:val="center"/>
            <w:hideMark/>
          </w:tcPr>
          <w:p w14:paraId="7FA7DEB0"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6616F3B5"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199044A4"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4EA611E8"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5409D250"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Total</w:t>
            </w:r>
          </w:p>
        </w:tc>
      </w:tr>
      <w:tr w:rsidR="008558B7" w:rsidRPr="00210AC6" w14:paraId="70CD40A4" w14:textId="77777777" w:rsidTr="005032AF">
        <w:trPr>
          <w:trHeight w:val="828"/>
        </w:trPr>
        <w:tc>
          <w:tcPr>
            <w:tcW w:w="1968" w:type="dxa"/>
            <w:vAlign w:val="center"/>
            <w:hideMark/>
          </w:tcPr>
          <w:p w14:paraId="0E03A0B9" w14:textId="77777777" w:rsidR="008558B7" w:rsidRPr="00210AC6" w:rsidRDefault="008558B7" w:rsidP="008558B7">
            <w:pPr>
              <w:spacing w:before="0" w:after="0"/>
              <w:jc w:val="center"/>
              <w:rPr>
                <w:rFonts w:eastAsia="Times New Roman" w:cs="Arial"/>
                <w:b/>
                <w:bCs/>
                <w:szCs w:val="16"/>
              </w:rPr>
            </w:pPr>
            <w:r>
              <w:rPr>
                <w:rFonts w:cs="Arial"/>
                <w:b/>
                <w:bCs/>
              </w:rPr>
              <w:t xml:space="preserve"> Child Count/Settings Due Date: 7/30/25</w:t>
            </w:r>
          </w:p>
        </w:tc>
        <w:tc>
          <w:tcPr>
            <w:tcW w:w="1968" w:type="dxa"/>
            <w:vAlign w:val="center"/>
            <w:hideMark/>
          </w:tcPr>
          <w:p w14:paraId="3C397EAC"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04BD5F6F"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7002DBB8" w14:textId="77777777"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38B41D1A" w14:textId="77777777" w:rsidR="008558B7" w:rsidRPr="00210AC6" w:rsidRDefault="008558B7" w:rsidP="008558B7">
            <w:pPr>
              <w:spacing w:before="0" w:after="0"/>
              <w:jc w:val="center"/>
              <w:rPr>
                <w:rFonts w:eastAsia="Times New Roman" w:cs="Arial"/>
                <w:b/>
                <w:bCs/>
                <w:szCs w:val="16"/>
              </w:rPr>
            </w:pPr>
            <w:r>
              <w:t>3</w:t>
            </w:r>
          </w:p>
        </w:tc>
      </w:tr>
      <w:tr w:rsidR="008558B7" w:rsidRPr="00210AC6" w14:paraId="2A42D79F" w14:textId="77777777" w:rsidTr="005032AF">
        <w:trPr>
          <w:trHeight w:val="828"/>
        </w:trPr>
        <w:tc>
          <w:tcPr>
            <w:tcW w:w="1968" w:type="dxa"/>
            <w:vAlign w:val="center"/>
            <w:hideMark/>
          </w:tcPr>
          <w:p w14:paraId="0D35B763" w14:textId="77777777" w:rsidR="008558B7" w:rsidRPr="00210AC6" w:rsidRDefault="008558B7" w:rsidP="008558B7">
            <w:pPr>
              <w:spacing w:before="0" w:after="0"/>
              <w:jc w:val="center"/>
              <w:rPr>
                <w:rFonts w:eastAsia="Times New Roman" w:cs="Arial"/>
                <w:b/>
                <w:bCs/>
                <w:szCs w:val="16"/>
              </w:rPr>
            </w:pPr>
            <w:r>
              <w:rPr>
                <w:rFonts w:cs="Arial"/>
                <w:b/>
                <w:bCs/>
              </w:rPr>
              <w:t>Exiting Due Date: 2/18/26</w:t>
            </w:r>
          </w:p>
        </w:tc>
        <w:tc>
          <w:tcPr>
            <w:tcW w:w="1968" w:type="dxa"/>
            <w:vAlign w:val="center"/>
            <w:hideMark/>
          </w:tcPr>
          <w:p w14:paraId="60C90257"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1A6BB859"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18BE1A9" w14:textId="77777777"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5E5CD421" w14:textId="77777777" w:rsidR="008558B7" w:rsidRPr="00210AC6" w:rsidRDefault="008558B7" w:rsidP="008558B7">
            <w:pPr>
              <w:spacing w:before="0" w:after="0"/>
              <w:jc w:val="center"/>
              <w:rPr>
                <w:rFonts w:eastAsia="Times New Roman" w:cs="Arial"/>
                <w:b/>
                <w:bCs/>
                <w:szCs w:val="16"/>
              </w:rPr>
            </w:pPr>
            <w:r>
              <w:t>3</w:t>
            </w:r>
          </w:p>
        </w:tc>
      </w:tr>
      <w:tr w:rsidR="008558B7" w:rsidRPr="00210AC6" w14:paraId="7ECA83F4" w14:textId="77777777" w:rsidTr="005032AF">
        <w:trPr>
          <w:trHeight w:val="828"/>
        </w:trPr>
        <w:tc>
          <w:tcPr>
            <w:tcW w:w="1968" w:type="dxa"/>
            <w:vAlign w:val="center"/>
            <w:hideMark/>
          </w:tcPr>
          <w:p w14:paraId="6156BC3C" w14:textId="77777777" w:rsidR="008558B7" w:rsidRPr="00210AC6" w:rsidRDefault="008558B7" w:rsidP="008558B7">
            <w:pPr>
              <w:spacing w:before="0" w:after="0"/>
              <w:jc w:val="center"/>
              <w:rPr>
                <w:rFonts w:eastAsia="Times New Roman" w:cs="Arial"/>
                <w:b/>
                <w:bCs/>
                <w:szCs w:val="16"/>
              </w:rPr>
            </w:pPr>
            <w:r>
              <w:rPr>
                <w:rFonts w:cs="Arial"/>
                <w:b/>
                <w:bCs/>
              </w:rPr>
              <w:t>Dispute Resolution Due Date: 11/19/25</w:t>
            </w:r>
          </w:p>
        </w:tc>
        <w:tc>
          <w:tcPr>
            <w:tcW w:w="1968" w:type="dxa"/>
            <w:vAlign w:val="center"/>
            <w:hideMark/>
          </w:tcPr>
          <w:p w14:paraId="578042F4"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6E957FD3"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7855C526" w14:textId="77777777"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0D793A9E" w14:textId="77777777" w:rsidR="008558B7" w:rsidRPr="00210AC6" w:rsidRDefault="008558B7" w:rsidP="008558B7">
            <w:pPr>
              <w:spacing w:before="0" w:after="0"/>
              <w:jc w:val="center"/>
              <w:rPr>
                <w:rFonts w:eastAsia="Times New Roman" w:cs="Arial"/>
                <w:b/>
                <w:bCs/>
                <w:szCs w:val="16"/>
              </w:rPr>
            </w:pPr>
            <w:r>
              <w:t>3</w:t>
            </w:r>
          </w:p>
        </w:tc>
      </w:tr>
    </w:tbl>
    <w:p w14:paraId="3A352F90" w14:textId="77777777" w:rsidR="000135C2" w:rsidRDefault="000135C2" w:rsidP="000135C2">
      <w:pPr>
        <w:rPr>
          <w:rFonts w:cs="Arial"/>
          <w:color w:val="000000" w:themeColor="text1"/>
          <w:szCs w:val="16"/>
        </w:rPr>
      </w:pPr>
    </w:p>
    <w:p w14:paraId="256E6DF9" w14:textId="77777777" w:rsidR="009D31F8" w:rsidRDefault="009D31F8" w:rsidP="000135C2">
      <w:pPr>
        <w:rPr>
          <w:rFonts w:cs="Arial"/>
          <w:color w:val="000000" w:themeColor="text1"/>
          <w:szCs w:val="16"/>
        </w:rPr>
      </w:pPr>
      <w:r w:rsidRPr="00210AC6">
        <w:rPr>
          <w:rFonts w:eastAsia="Times New Roman" w:cs="Arial"/>
          <w:b/>
          <w:bCs/>
          <w:szCs w:val="16"/>
        </w:rPr>
        <w:t xml:space="preserve">618 </w:t>
      </w:r>
      <w:proofErr w:type="gramStart"/>
      <w:r w:rsidRPr="00210AC6">
        <w:rPr>
          <w:rFonts w:eastAsia="Times New Roman" w:cs="Arial"/>
          <w:b/>
          <w:bCs/>
          <w:szCs w:val="16"/>
        </w:rPr>
        <w:t>Score</w:t>
      </w:r>
      <w:proofErr w:type="gramEnd"/>
      <w:r w:rsidRPr="00210AC6">
        <w:rPr>
          <w:rFonts w:eastAsia="Times New Roman" w:cs="Arial"/>
          <w:b/>
          <w:bCs/>
          <w:szCs w:val="16"/>
        </w:rPr>
        <w:t xml:space="preserve"> Calculation</w:t>
      </w:r>
    </w:p>
    <w:tbl>
      <w:tblPr>
        <w:tblStyle w:val="TableGrid1"/>
        <w:tblW w:w="9841" w:type="dxa"/>
        <w:tblLayout w:type="fixed"/>
        <w:tblLook w:val="04A0" w:firstRow="1" w:lastRow="0" w:firstColumn="1" w:lastColumn="0" w:noHBand="0" w:noVBand="1"/>
        <w:tblCaption w:val="CRUBCFFYCOLLSCRCALC"/>
      </w:tblPr>
      <w:tblGrid>
        <w:gridCol w:w="7859"/>
        <w:gridCol w:w="1982"/>
      </w:tblGrid>
      <w:tr w:rsidR="009D31F8" w:rsidRPr="00210AC6" w14:paraId="61110574" w14:textId="77777777" w:rsidTr="009D31F8">
        <w:trPr>
          <w:trHeight w:val="557"/>
        </w:trPr>
        <w:tc>
          <w:tcPr>
            <w:tcW w:w="7825" w:type="dxa"/>
            <w:vAlign w:val="center"/>
            <w:hideMark/>
          </w:tcPr>
          <w:p w14:paraId="187DA7F3"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Subtotal</w:t>
            </w:r>
          </w:p>
        </w:tc>
        <w:tc>
          <w:tcPr>
            <w:tcW w:w="1973" w:type="dxa"/>
            <w:noWrap/>
            <w:vAlign w:val="center"/>
            <w:hideMark/>
          </w:tcPr>
          <w:p w14:paraId="27A0DB7D" w14:textId="77777777" w:rsidR="009D31F8" w:rsidRPr="00210AC6" w:rsidRDefault="009D31F8">
            <w:pPr>
              <w:spacing w:before="0" w:after="0"/>
              <w:jc w:val="center"/>
              <w:rPr>
                <w:rFonts w:eastAsia="Times New Roman" w:cs="Arial"/>
                <w:szCs w:val="16"/>
              </w:rPr>
            </w:pPr>
            <w:r>
              <w:t>9</w:t>
            </w:r>
          </w:p>
        </w:tc>
      </w:tr>
      <w:tr w:rsidR="009D31F8" w:rsidRPr="00210AC6" w14:paraId="35102D84" w14:textId="77777777" w:rsidTr="009D31F8">
        <w:trPr>
          <w:trHeight w:val="530"/>
        </w:trPr>
        <w:tc>
          <w:tcPr>
            <w:tcW w:w="7825" w:type="dxa"/>
            <w:vAlign w:val="center"/>
            <w:hideMark/>
          </w:tcPr>
          <w:p w14:paraId="650B1213"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Pr>
                <w:rFonts w:eastAsia="Times New Roman" w:cs="Arial"/>
                <w:szCs w:val="16"/>
              </w:rPr>
              <w:t>2</w:t>
            </w:r>
            <w:r w:rsidR="00FA4462">
              <w:rPr>
                <w:rFonts w:eastAsia="Times New Roman" w:cs="Arial"/>
                <w:szCs w:val="16"/>
              </w:rPr>
              <w:t>.11111111</w:t>
            </w:r>
            <w:r w:rsidRPr="00210AC6">
              <w:rPr>
                <w:rFonts w:eastAsia="Times New Roman" w:cs="Arial"/>
                <w:szCs w:val="16"/>
              </w:rPr>
              <w:t>) =</w:t>
            </w:r>
          </w:p>
        </w:tc>
        <w:tc>
          <w:tcPr>
            <w:tcW w:w="1973" w:type="dxa"/>
            <w:noWrap/>
            <w:vAlign w:val="center"/>
            <w:hideMark/>
          </w:tcPr>
          <w:p w14:paraId="74C1420F" w14:textId="77777777" w:rsidR="009D31F8" w:rsidRPr="00210AC6" w:rsidRDefault="009D31F8">
            <w:pPr>
              <w:spacing w:before="0" w:after="0"/>
              <w:jc w:val="center"/>
              <w:rPr>
                <w:rFonts w:eastAsia="Times New Roman" w:cs="Arial"/>
                <w:szCs w:val="16"/>
              </w:rPr>
            </w:pPr>
            <w:r>
              <w:t>19.00</w:t>
            </w:r>
          </w:p>
        </w:tc>
      </w:tr>
    </w:tbl>
    <w:p w14:paraId="48AEE25E" w14:textId="77777777" w:rsidR="009D31F8" w:rsidRPr="00210AC6" w:rsidRDefault="009D31F8" w:rsidP="000135C2">
      <w:pPr>
        <w:rPr>
          <w:rFonts w:cs="Arial"/>
          <w:color w:val="000000" w:themeColor="text1"/>
          <w:szCs w:val="16"/>
        </w:rPr>
      </w:pPr>
    </w:p>
    <w:p w14:paraId="782EF993" w14:textId="77777777" w:rsidR="000135C2" w:rsidRPr="00210AC6" w:rsidRDefault="009D31F8" w:rsidP="000135C2">
      <w:pPr>
        <w:rPr>
          <w:rFonts w:cs="Arial"/>
          <w:color w:val="000000" w:themeColor="text1"/>
          <w:szCs w:val="16"/>
        </w:rPr>
      </w:pPr>
      <w:r w:rsidRPr="00210AC6">
        <w:rPr>
          <w:rFonts w:eastAsia="Times New Roman" w:cs="Arial"/>
          <w:b/>
          <w:bCs/>
          <w:szCs w:val="16"/>
        </w:rPr>
        <w:t>Indicator Calculation</w:t>
      </w:r>
    </w:p>
    <w:tbl>
      <w:tblPr>
        <w:tblStyle w:val="TableGrid1"/>
        <w:tblW w:w="9839" w:type="dxa"/>
        <w:tblLook w:val="04A0" w:firstRow="1" w:lastRow="0" w:firstColumn="1" w:lastColumn="0" w:noHBand="0" w:noVBand="1"/>
        <w:tblCaption w:val="CRUBCFFYINDCALC"/>
      </w:tblPr>
      <w:tblGrid>
        <w:gridCol w:w="5665"/>
        <w:gridCol w:w="4174"/>
      </w:tblGrid>
      <w:tr w:rsidR="004A2E39" w:rsidRPr="00210AC6" w14:paraId="34275902" w14:textId="77777777" w:rsidTr="005032AF">
        <w:trPr>
          <w:trHeight w:val="432"/>
        </w:trPr>
        <w:tc>
          <w:tcPr>
            <w:tcW w:w="5665" w:type="dxa"/>
            <w:vAlign w:val="center"/>
            <w:hideMark/>
          </w:tcPr>
          <w:p w14:paraId="3D297CE8" w14:textId="77777777" w:rsidR="004A2E39" w:rsidRPr="00210AC6" w:rsidRDefault="004A2E39" w:rsidP="004A2E39">
            <w:pPr>
              <w:spacing w:before="0" w:after="0"/>
              <w:rPr>
                <w:rFonts w:eastAsia="Times New Roman" w:cs="Arial"/>
                <w:szCs w:val="16"/>
              </w:rPr>
            </w:pPr>
            <w:r w:rsidRPr="00210AC6">
              <w:rPr>
                <w:rFonts w:eastAsia="Times New Roman" w:cs="Arial"/>
                <w:szCs w:val="16"/>
              </w:rPr>
              <w:t>A. APR Grand Total</w:t>
            </w:r>
          </w:p>
        </w:tc>
        <w:tc>
          <w:tcPr>
            <w:tcW w:w="4174" w:type="dxa"/>
            <w:vAlign w:val="center"/>
            <w:hideMark/>
          </w:tcPr>
          <w:p w14:paraId="7BA99789" w14:textId="77777777" w:rsidR="004A2E39" w:rsidRPr="00210AC6" w:rsidRDefault="004A2E39" w:rsidP="005032AF">
            <w:pPr>
              <w:spacing w:before="0" w:after="0"/>
              <w:jc w:val="center"/>
              <w:rPr>
                <w:rFonts w:eastAsia="Times New Roman" w:cs="Arial"/>
                <w:szCs w:val="16"/>
              </w:rPr>
            </w:pPr>
            <w:r>
              <w:t>19</w:t>
            </w:r>
          </w:p>
        </w:tc>
      </w:tr>
      <w:tr w:rsidR="004A2E39" w:rsidRPr="00210AC6" w14:paraId="0566DB48" w14:textId="77777777" w:rsidTr="005032AF">
        <w:trPr>
          <w:trHeight w:val="432"/>
        </w:trPr>
        <w:tc>
          <w:tcPr>
            <w:tcW w:w="5665" w:type="dxa"/>
            <w:vAlign w:val="center"/>
            <w:hideMark/>
          </w:tcPr>
          <w:p w14:paraId="648E6D7A" w14:textId="77777777" w:rsidR="004A2E39" w:rsidRPr="00210AC6" w:rsidRDefault="004A2E39" w:rsidP="004A2E39">
            <w:pPr>
              <w:spacing w:before="0" w:after="0"/>
              <w:rPr>
                <w:rFonts w:eastAsia="Times New Roman" w:cs="Arial"/>
                <w:szCs w:val="16"/>
              </w:rPr>
            </w:pPr>
            <w:r w:rsidRPr="00210AC6">
              <w:rPr>
                <w:rFonts w:eastAsia="Times New Roman" w:cs="Arial"/>
                <w:szCs w:val="16"/>
              </w:rPr>
              <w:t>B. 618 Grand Total</w:t>
            </w:r>
          </w:p>
        </w:tc>
        <w:tc>
          <w:tcPr>
            <w:tcW w:w="4174" w:type="dxa"/>
            <w:vAlign w:val="center"/>
            <w:hideMark/>
          </w:tcPr>
          <w:p w14:paraId="470AD3A9" w14:textId="77777777" w:rsidR="004A2E39" w:rsidRPr="00210AC6" w:rsidRDefault="004A2E39" w:rsidP="005032AF">
            <w:pPr>
              <w:spacing w:before="0" w:after="0"/>
              <w:jc w:val="center"/>
              <w:rPr>
                <w:rFonts w:eastAsia="Times New Roman" w:cs="Arial"/>
                <w:szCs w:val="16"/>
              </w:rPr>
            </w:pPr>
            <w:r>
              <w:t>19.00</w:t>
            </w:r>
          </w:p>
        </w:tc>
      </w:tr>
      <w:tr w:rsidR="004A2E39" w:rsidRPr="00210AC6" w14:paraId="3A77B3D5" w14:textId="77777777" w:rsidTr="005032AF">
        <w:trPr>
          <w:trHeight w:val="432"/>
        </w:trPr>
        <w:tc>
          <w:tcPr>
            <w:tcW w:w="5665" w:type="dxa"/>
            <w:vAlign w:val="center"/>
            <w:hideMark/>
          </w:tcPr>
          <w:p w14:paraId="55F70750" w14:textId="77777777" w:rsidR="004A2E39" w:rsidRPr="00210AC6" w:rsidRDefault="004A2E39" w:rsidP="004A2E39">
            <w:pPr>
              <w:spacing w:before="0" w:after="0"/>
              <w:rPr>
                <w:rFonts w:eastAsia="Times New Roman" w:cs="Arial"/>
                <w:szCs w:val="16"/>
              </w:rPr>
            </w:pPr>
            <w:r w:rsidRPr="00210AC6">
              <w:rPr>
                <w:rFonts w:eastAsia="Times New Roman" w:cs="Arial"/>
                <w:szCs w:val="16"/>
              </w:rPr>
              <w:t>C. APR Grand Total (A) + 618 Grand Total (B) =</w:t>
            </w:r>
          </w:p>
        </w:tc>
        <w:tc>
          <w:tcPr>
            <w:tcW w:w="4174" w:type="dxa"/>
            <w:vAlign w:val="center"/>
            <w:hideMark/>
          </w:tcPr>
          <w:p w14:paraId="00E05DB6" w14:textId="77777777" w:rsidR="004A2E39" w:rsidRPr="00210AC6" w:rsidRDefault="004A2E39" w:rsidP="005032AF">
            <w:pPr>
              <w:spacing w:before="0" w:after="0"/>
              <w:jc w:val="center"/>
              <w:rPr>
                <w:rFonts w:eastAsia="Times New Roman" w:cs="Arial"/>
                <w:szCs w:val="16"/>
              </w:rPr>
            </w:pPr>
            <w:r>
              <w:t>38.00</w:t>
            </w:r>
          </w:p>
        </w:tc>
      </w:tr>
      <w:tr w:rsidR="004A2E39" w:rsidRPr="00210AC6" w14:paraId="05D0DCD7" w14:textId="77777777" w:rsidTr="005032AF">
        <w:trPr>
          <w:trHeight w:val="432"/>
        </w:trPr>
        <w:tc>
          <w:tcPr>
            <w:tcW w:w="5665" w:type="dxa"/>
            <w:vAlign w:val="center"/>
            <w:hideMark/>
          </w:tcPr>
          <w:p w14:paraId="1D3ACC5F" w14:textId="7777777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174" w:type="dxa"/>
            <w:vAlign w:val="center"/>
            <w:hideMark/>
          </w:tcPr>
          <w:p w14:paraId="73BF1D38" w14:textId="77777777" w:rsidR="004A2E39" w:rsidRPr="00210AC6" w:rsidRDefault="004A2E39" w:rsidP="005032AF">
            <w:pPr>
              <w:spacing w:before="0" w:after="0"/>
              <w:jc w:val="center"/>
              <w:rPr>
                <w:rFonts w:eastAsia="Times New Roman" w:cs="Arial"/>
                <w:szCs w:val="16"/>
              </w:rPr>
            </w:pPr>
            <w:r>
              <w:t>0</w:t>
            </w:r>
          </w:p>
        </w:tc>
      </w:tr>
      <w:tr w:rsidR="004A2E39" w:rsidRPr="00210AC6" w14:paraId="27C1621F" w14:textId="77777777" w:rsidTr="005032AF">
        <w:trPr>
          <w:trHeight w:val="432"/>
        </w:trPr>
        <w:tc>
          <w:tcPr>
            <w:tcW w:w="5665" w:type="dxa"/>
            <w:vAlign w:val="center"/>
            <w:hideMark/>
          </w:tcPr>
          <w:p w14:paraId="38B4E25F" w14:textId="7777777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174" w:type="dxa"/>
            <w:vAlign w:val="center"/>
            <w:hideMark/>
          </w:tcPr>
          <w:p w14:paraId="0E5D2E2E" w14:textId="77777777" w:rsidR="004A2E39" w:rsidRPr="00210AC6" w:rsidRDefault="004A2E39" w:rsidP="005032AF">
            <w:pPr>
              <w:spacing w:before="0" w:after="0"/>
              <w:jc w:val="center"/>
              <w:rPr>
                <w:rFonts w:eastAsia="Times New Roman" w:cs="Arial"/>
                <w:szCs w:val="16"/>
              </w:rPr>
            </w:pPr>
            <w:r>
              <w:t>0.00</w:t>
            </w:r>
          </w:p>
        </w:tc>
      </w:tr>
      <w:tr w:rsidR="004A2E39" w:rsidRPr="00210AC6" w14:paraId="40E49879" w14:textId="77777777" w:rsidTr="005032AF">
        <w:trPr>
          <w:trHeight w:val="432"/>
        </w:trPr>
        <w:tc>
          <w:tcPr>
            <w:tcW w:w="5665" w:type="dxa"/>
            <w:vAlign w:val="center"/>
            <w:hideMark/>
          </w:tcPr>
          <w:p w14:paraId="40DDF6B5" w14:textId="77777777" w:rsidR="004A2E39" w:rsidRPr="00210AC6" w:rsidRDefault="003445A2" w:rsidP="004A2E39">
            <w:pPr>
              <w:spacing w:before="0" w:after="0"/>
              <w:jc w:val="right"/>
              <w:rPr>
                <w:rFonts w:eastAsia="Times New Roman" w:cs="Arial"/>
                <w:b/>
                <w:bCs/>
                <w:szCs w:val="16"/>
              </w:rPr>
            </w:pPr>
            <w:r>
              <w:rPr>
                <w:rFonts w:eastAsia="Times New Roman" w:cs="Arial"/>
                <w:b/>
                <w:bCs/>
                <w:szCs w:val="16"/>
              </w:rPr>
              <w:t>Denominator</w:t>
            </w:r>
          </w:p>
        </w:tc>
        <w:tc>
          <w:tcPr>
            <w:tcW w:w="4174" w:type="dxa"/>
            <w:vAlign w:val="center"/>
            <w:hideMark/>
          </w:tcPr>
          <w:p w14:paraId="1E4E677B" w14:textId="77777777" w:rsidR="004A2E39" w:rsidRPr="00210AC6" w:rsidRDefault="004A2E39" w:rsidP="005032AF">
            <w:pPr>
              <w:spacing w:before="0" w:after="0"/>
              <w:jc w:val="center"/>
              <w:rPr>
                <w:rFonts w:eastAsia="Times New Roman" w:cs="Arial"/>
                <w:szCs w:val="16"/>
              </w:rPr>
            </w:pPr>
            <w:r>
              <w:t>38.00</w:t>
            </w:r>
          </w:p>
        </w:tc>
      </w:tr>
      <w:tr w:rsidR="004A2E39" w:rsidRPr="00210AC6" w14:paraId="5FBA5404" w14:textId="77777777" w:rsidTr="005032AF">
        <w:trPr>
          <w:trHeight w:val="432"/>
        </w:trPr>
        <w:tc>
          <w:tcPr>
            <w:tcW w:w="5665" w:type="dxa"/>
            <w:vAlign w:val="center"/>
            <w:hideMark/>
          </w:tcPr>
          <w:p w14:paraId="1CBA3C0A" w14:textId="77777777" w:rsidR="004A2E39" w:rsidRPr="00210AC6" w:rsidRDefault="004A2E39" w:rsidP="004A2E39">
            <w:pPr>
              <w:spacing w:before="0" w:after="0"/>
              <w:rPr>
                <w:rFonts w:eastAsia="Times New Roman" w:cs="Arial"/>
                <w:szCs w:val="16"/>
              </w:rPr>
            </w:pPr>
            <w:r w:rsidRPr="00210AC6">
              <w:rPr>
                <w:rFonts w:eastAsia="Times New Roman" w:cs="Arial"/>
                <w:szCs w:val="16"/>
              </w:rPr>
              <w:t>D. Subtotal (C divided by Denominator) (3) =</w:t>
            </w:r>
          </w:p>
        </w:tc>
        <w:tc>
          <w:tcPr>
            <w:tcW w:w="4174" w:type="dxa"/>
            <w:vAlign w:val="center"/>
            <w:hideMark/>
          </w:tcPr>
          <w:p w14:paraId="2F9E1C8F" w14:textId="77777777" w:rsidR="004A2E39" w:rsidRPr="00210AC6" w:rsidRDefault="004A2E39" w:rsidP="005032AF">
            <w:pPr>
              <w:spacing w:before="0" w:after="0"/>
              <w:jc w:val="center"/>
              <w:rPr>
                <w:rFonts w:eastAsia="Times New Roman" w:cs="Arial"/>
                <w:szCs w:val="16"/>
              </w:rPr>
            </w:pPr>
            <w:r>
              <w:t>1.0000</w:t>
            </w:r>
          </w:p>
        </w:tc>
      </w:tr>
      <w:tr w:rsidR="004A2E39" w:rsidRPr="00210AC6" w14:paraId="50607892" w14:textId="77777777" w:rsidTr="005032AF">
        <w:trPr>
          <w:trHeight w:val="432"/>
        </w:trPr>
        <w:tc>
          <w:tcPr>
            <w:tcW w:w="5665" w:type="dxa"/>
            <w:vAlign w:val="center"/>
            <w:hideMark/>
          </w:tcPr>
          <w:p w14:paraId="0A3614E4" w14:textId="77777777" w:rsidR="004A2E39" w:rsidRPr="00210AC6" w:rsidRDefault="004A2E39" w:rsidP="004A2E39">
            <w:pPr>
              <w:spacing w:before="0" w:after="0"/>
              <w:rPr>
                <w:rFonts w:eastAsia="Times New Roman" w:cs="Arial"/>
                <w:szCs w:val="16"/>
              </w:rPr>
            </w:pPr>
            <w:r w:rsidRPr="00210AC6">
              <w:rPr>
                <w:rFonts w:eastAsia="Times New Roman" w:cs="Arial"/>
                <w:szCs w:val="16"/>
              </w:rPr>
              <w:t>E. Indicator Score (Subtotal D x 100) =</w:t>
            </w:r>
          </w:p>
        </w:tc>
        <w:tc>
          <w:tcPr>
            <w:tcW w:w="4174" w:type="dxa"/>
            <w:vAlign w:val="center"/>
            <w:hideMark/>
          </w:tcPr>
          <w:p w14:paraId="57CC36D5" w14:textId="77777777" w:rsidR="004A2E39" w:rsidRPr="00210AC6" w:rsidRDefault="004A2E39" w:rsidP="005032AF">
            <w:pPr>
              <w:spacing w:before="0" w:after="0"/>
              <w:jc w:val="center"/>
              <w:rPr>
                <w:rFonts w:eastAsia="Times New Roman" w:cs="Arial"/>
                <w:szCs w:val="16"/>
              </w:rPr>
            </w:pPr>
            <w:r>
              <w:t>100.00</w:t>
            </w:r>
          </w:p>
        </w:tc>
      </w:tr>
    </w:tbl>
    <w:p w14:paraId="1FFE6829" w14:textId="77777777" w:rsidR="001A0793" w:rsidRDefault="001A0793" w:rsidP="000135C2">
      <w:pPr>
        <w:rPr>
          <w:rFonts w:eastAsia="Times New Roman" w:cs="Arial"/>
          <w:b/>
          <w:bCs/>
          <w:szCs w:val="16"/>
        </w:rPr>
      </w:pPr>
    </w:p>
    <w:p w14:paraId="7DEEAEAE" w14:textId="77777777" w:rsidR="009D31F8" w:rsidRPr="00D731C8" w:rsidRDefault="009D31F8" w:rsidP="009D31F8">
      <w:pPr>
        <w:spacing w:after="120"/>
        <w:rPr>
          <w:b/>
          <w:bCs/>
        </w:rPr>
      </w:pPr>
      <w:r w:rsidRPr="00D731C8">
        <w:rPr>
          <w:b/>
          <w:bCs/>
        </w:rPr>
        <w:t xml:space="preserve">(2) In the 618 Data table, when calculating the value in the Total column, any N/As in the Timely, Complete Data, or Passed Edit Checks columns are treated as a ‘0’. An N/A does not negatively affect a </w:t>
      </w:r>
      <w:proofErr w:type="gramStart"/>
      <w:r w:rsidRPr="00D731C8">
        <w:rPr>
          <w:b/>
          <w:bCs/>
        </w:rPr>
        <w:t>State's</w:t>
      </w:r>
      <w:proofErr w:type="gramEnd"/>
      <w:r w:rsidRPr="00D731C8">
        <w:rPr>
          <w:b/>
          <w:bCs/>
        </w:rPr>
        <w:t xml:space="preserve"> score; this is because 2.11111111 points are subtracted from the Denominator in the Indicator Calculation table for each cell marked as N/A in the 618 Data table.</w:t>
      </w:r>
    </w:p>
    <w:p w14:paraId="48B0357B" w14:textId="77777777" w:rsidR="00FD2AA0" w:rsidRDefault="009D31F8" w:rsidP="00DC6D97">
      <w:pPr>
        <w:rPr>
          <w:b/>
          <w:bCs/>
        </w:rPr>
      </w:pPr>
      <w:r w:rsidRPr="00D731C8">
        <w:rPr>
          <w:b/>
          <w:bCs/>
        </w:rPr>
        <w:t>(3) Note that any cell marked as N/A in the APR Data Table will decrease the denominator by 1, and any cell marked as N/A in the 618 Data Table will decrease the denominator by 2.11111111.</w:t>
      </w:r>
    </w:p>
    <w:p w14:paraId="2B009BA8" w14:textId="77777777" w:rsidR="00FD2AA0" w:rsidRDefault="00FD2AA0" w:rsidP="00DC6D97">
      <w:pPr>
        <w:rPr>
          <w:b/>
          <w:bCs/>
        </w:rPr>
      </w:pPr>
    </w:p>
    <w:p w14:paraId="51604C0E" w14:textId="77777777" w:rsidR="00FD2AA0" w:rsidRDefault="00FD2AA0" w:rsidP="00DC6D97">
      <w:pPr>
        <w:rPr>
          <w:b/>
          <w:bCs/>
        </w:rPr>
      </w:pPr>
    </w:p>
    <w:p w14:paraId="76528E9F" w14:textId="77777777" w:rsidR="00FD2AA0" w:rsidRPr="00DC6D97" w:rsidRDefault="00FD2AA0" w:rsidP="00DC6D97">
      <w:pPr>
        <w:rPr>
          <w:b/>
          <w:bCs/>
        </w:rPr>
      </w:pPr>
    </w:p>
    <w:p w14:paraId="58366C49" w14:textId="77777777" w:rsidR="00DC6D97" w:rsidRDefault="00DC6D97" w:rsidP="00DC6D97"/>
    <w:p w14:paraId="3AE5168B" w14:textId="77777777" w:rsidR="00DC6D97" w:rsidRDefault="00DC6D97" w:rsidP="00DC6D97"/>
    <w:p w14:paraId="019EAD2A" w14:textId="77777777" w:rsidR="00DC6D97" w:rsidRPr="00DC6D97" w:rsidRDefault="00DC6D97" w:rsidP="00DC6D97"/>
    <w:p w14:paraId="3F65CF7E" w14:textId="77777777" w:rsidR="00A241E8" w:rsidRDefault="00A241E8">
      <w:pPr>
        <w:spacing w:before="0" w:after="200" w:line="276" w:lineRule="auto"/>
      </w:pPr>
      <w:r>
        <w:br w:type="page"/>
      </w:r>
    </w:p>
    <w:p w14:paraId="3FD5E732" w14:textId="77777777" w:rsidR="008A41E6" w:rsidRPr="008A41E6" w:rsidRDefault="008A41E6" w:rsidP="008A41E6">
      <w:pPr>
        <w:rPr>
          <w:b/>
          <w:bCs/>
          <w:sz w:val="20"/>
          <w:szCs w:val="28"/>
        </w:rPr>
      </w:pPr>
      <w:r w:rsidRPr="008A41E6">
        <w:rPr>
          <w:b/>
          <w:bCs/>
          <w:sz w:val="20"/>
          <w:szCs w:val="28"/>
        </w:rPr>
        <w:lastRenderedPageBreak/>
        <w:t>APR and 618 -Timely and Accurate State Reported Data</w:t>
      </w:r>
    </w:p>
    <w:p w14:paraId="0C1346FA" w14:textId="77777777" w:rsidR="008A41E6" w:rsidRDefault="008A41E6" w:rsidP="008A41E6"/>
    <w:p w14:paraId="5A96A82E" w14:textId="77777777" w:rsidR="008A41E6" w:rsidRPr="008A41E6" w:rsidRDefault="008A41E6" w:rsidP="008A41E6">
      <w:pPr>
        <w:rPr>
          <w:b/>
          <w:bCs/>
        </w:rPr>
      </w:pPr>
      <w:r w:rsidRPr="008A41E6">
        <w:rPr>
          <w:b/>
          <w:bCs/>
        </w:rPr>
        <w:t>DATE: February 2026 Submission</w:t>
      </w:r>
    </w:p>
    <w:p w14:paraId="60BED1DD" w14:textId="77777777" w:rsidR="008A41E6" w:rsidRDefault="008A41E6" w:rsidP="008A41E6"/>
    <w:p w14:paraId="1385ED5F" w14:textId="77777777" w:rsidR="004D63DC" w:rsidRDefault="004D63DC" w:rsidP="008A41E6">
      <w:pPr>
        <w:rPr>
          <w:b/>
          <w:bCs/>
        </w:rPr>
      </w:pPr>
      <w:r>
        <w:rPr>
          <w:b/>
          <w:bCs/>
        </w:rPr>
        <w:t>SPP/APR Data</w:t>
      </w:r>
    </w:p>
    <w:p w14:paraId="13F00013" w14:textId="77777777" w:rsidR="004D63DC" w:rsidRDefault="004D63DC" w:rsidP="008A41E6">
      <w:pPr>
        <w:rPr>
          <w:b/>
          <w:bCs/>
        </w:rPr>
      </w:pPr>
    </w:p>
    <w:p w14:paraId="793F92F8" w14:textId="77777777" w:rsidR="008A41E6" w:rsidRDefault="008A41E6" w:rsidP="008A41E6">
      <w:r w:rsidRPr="008A41E6">
        <w:rPr>
          <w:b/>
          <w:bCs/>
        </w:rPr>
        <w:t>1) Valid and Reliable Data</w:t>
      </w:r>
      <w:r w:rsidRPr="008A41E6">
        <w:t xml:space="preserve"> - Data provided are from the correct </w:t>
      </w:r>
      <w:proofErr w:type="gramStart"/>
      <w:r w:rsidRPr="008A41E6">
        <w:t>time period</w:t>
      </w:r>
      <w:proofErr w:type="gramEnd"/>
      <w:r w:rsidRPr="008A41E6">
        <w:t>, are consistent with 618 (when appropriate) and the measurement</w:t>
      </w:r>
      <w:r w:rsidR="00721540">
        <w:t>,</w:t>
      </w:r>
      <w:r w:rsidRPr="008A41E6">
        <w:t xml:space="preserve"> and are consistent with previous indicator data (unless explained).</w:t>
      </w:r>
    </w:p>
    <w:p w14:paraId="16F62B88" w14:textId="77777777" w:rsidR="008A41E6" w:rsidRDefault="008A41E6" w:rsidP="008A41E6"/>
    <w:p w14:paraId="7CF0C88F" w14:textId="77777777" w:rsidR="008A41E6" w:rsidRDefault="008A41E6" w:rsidP="008A41E6">
      <w:r w:rsidRPr="008A41E6">
        <w:rPr>
          <w:b/>
          <w:bCs/>
        </w:rPr>
        <w:t>Part C 618 Data</w:t>
      </w:r>
    </w:p>
    <w:p w14:paraId="3C4B1314" w14:textId="77777777" w:rsidR="008A41E6" w:rsidRDefault="008A41E6" w:rsidP="008A41E6"/>
    <w:p w14:paraId="2727CD4B" w14:textId="77777777" w:rsidR="008A41E6" w:rsidRDefault="008A41E6" w:rsidP="008A41E6">
      <w:r w:rsidRPr="008A41E6">
        <w:rPr>
          <w:b/>
          <w:bCs/>
        </w:rPr>
        <w:t>1) Timely</w:t>
      </w:r>
      <w:r w:rsidRPr="008A41E6">
        <w:t xml:space="preserve"> –   A State will receive one point if it </w:t>
      </w:r>
      <w:r w:rsidRPr="00106077">
        <w:t xml:space="preserve">submits </w:t>
      </w:r>
      <w:r w:rsidR="006563F6" w:rsidRPr="00106077">
        <w:t xml:space="preserve">all </w:t>
      </w:r>
      <w:r w:rsidR="006563F6" w:rsidRPr="00E70E58">
        <w:t>ED</w:t>
      </w:r>
      <w:r w:rsidR="006563F6" w:rsidRPr="00E70E58">
        <w:rPr>
          <w:i/>
          <w:iCs/>
        </w:rPr>
        <w:t>Facts</w:t>
      </w:r>
      <w:r w:rsidR="006563F6" w:rsidRPr="00E70E58">
        <w:t xml:space="preserve"> files </w:t>
      </w:r>
      <w:r w:rsidRPr="00106077">
        <w:t>associated</w:t>
      </w:r>
      <w:r w:rsidRPr="008A41E6">
        <w:t xml:space="preserve"> with the IDEA Section 618 data collection to ED by the initial due date for that collection (as described </w:t>
      </w:r>
      <w:r w:rsidR="001D046F">
        <w:t xml:space="preserve">in </w:t>
      </w:r>
      <w:r w:rsidRPr="008A41E6">
        <w:t>the table below)</w:t>
      </w:r>
      <w:r w:rsidR="006F3F34" w:rsidRPr="008A41E6">
        <w:t xml:space="preserve">. </w:t>
      </w:r>
      <w:r w:rsidRPr="008A41E6">
        <w:t xml:space="preserve">  </w:t>
      </w:r>
    </w:p>
    <w:p w14:paraId="3CFB86B8" w14:textId="77777777" w:rsidR="008A41E6" w:rsidRDefault="008A41E6" w:rsidP="008A41E6"/>
    <w:tbl>
      <w:tblPr>
        <w:tblStyle w:val="TableGrid"/>
        <w:tblW w:w="0" w:type="auto"/>
        <w:tblLook w:val="04A0" w:firstRow="1" w:lastRow="0" w:firstColumn="1" w:lastColumn="0" w:noHBand="0" w:noVBand="1"/>
        <w:tblCaption w:val="CRUBCFFYREADME"/>
      </w:tblPr>
      <w:tblGrid>
        <w:gridCol w:w="2785"/>
        <w:gridCol w:w="3615"/>
        <w:gridCol w:w="3230"/>
      </w:tblGrid>
      <w:tr w:rsidR="008A41E6" w:rsidRPr="008A41E6" w14:paraId="01E4A18A" w14:textId="77777777" w:rsidTr="00E70E58">
        <w:trPr>
          <w:trHeight w:val="290"/>
        </w:trPr>
        <w:tc>
          <w:tcPr>
            <w:tcW w:w="2785" w:type="dxa"/>
            <w:hideMark/>
          </w:tcPr>
          <w:p w14:paraId="186C1DD5" w14:textId="77777777" w:rsidR="008A41E6" w:rsidRPr="008A41E6" w:rsidRDefault="008A41E6" w:rsidP="008A41E6">
            <w:pPr>
              <w:rPr>
                <w:b/>
                <w:bCs/>
              </w:rPr>
            </w:pPr>
            <w:r w:rsidRPr="008A41E6">
              <w:rPr>
                <w:b/>
                <w:bCs/>
              </w:rPr>
              <w:t>618 Data Collection</w:t>
            </w:r>
          </w:p>
        </w:tc>
        <w:tc>
          <w:tcPr>
            <w:tcW w:w="3615" w:type="dxa"/>
            <w:hideMark/>
          </w:tcPr>
          <w:p w14:paraId="06C137D1" w14:textId="77777777" w:rsidR="008A41E6" w:rsidRPr="0063702E" w:rsidRDefault="00B73622">
            <w:pPr>
              <w:rPr>
                <w:b/>
                <w:bCs/>
              </w:rPr>
            </w:pPr>
            <w:r w:rsidRPr="00E70E58">
              <w:rPr>
                <w:b/>
                <w:bCs/>
              </w:rPr>
              <w:t>ED</w:t>
            </w:r>
            <w:r w:rsidRPr="00E70E58">
              <w:rPr>
                <w:b/>
                <w:bCs/>
                <w:i/>
                <w:iCs/>
              </w:rPr>
              <w:t>Facts</w:t>
            </w:r>
            <w:r w:rsidRPr="00E70E58">
              <w:rPr>
                <w:b/>
                <w:bCs/>
              </w:rPr>
              <w:t xml:space="preserve"> Files</w:t>
            </w:r>
          </w:p>
        </w:tc>
        <w:tc>
          <w:tcPr>
            <w:tcW w:w="3230" w:type="dxa"/>
            <w:hideMark/>
          </w:tcPr>
          <w:p w14:paraId="3D8712AF" w14:textId="77777777" w:rsidR="008A41E6" w:rsidRPr="008A41E6" w:rsidRDefault="008A41E6">
            <w:pPr>
              <w:rPr>
                <w:b/>
                <w:bCs/>
              </w:rPr>
            </w:pPr>
            <w:r w:rsidRPr="008A41E6">
              <w:rPr>
                <w:b/>
                <w:bCs/>
              </w:rPr>
              <w:t>Due Date</w:t>
            </w:r>
          </w:p>
        </w:tc>
      </w:tr>
      <w:tr w:rsidR="00D34E49" w:rsidRPr="008A41E6" w14:paraId="698F35D4" w14:textId="77777777" w:rsidTr="008A41E6">
        <w:trPr>
          <w:trHeight w:val="340"/>
        </w:trPr>
        <w:tc>
          <w:tcPr>
            <w:tcW w:w="2785" w:type="dxa"/>
            <w:hideMark/>
          </w:tcPr>
          <w:p w14:paraId="3B15D611" w14:textId="77777777" w:rsidR="00D34E49" w:rsidRPr="008A41E6" w:rsidRDefault="00D34E49" w:rsidP="00D34E49">
            <w:r w:rsidRPr="008A41E6">
              <w:t>Part C Child Count and Setting</w:t>
            </w:r>
          </w:p>
        </w:tc>
        <w:tc>
          <w:tcPr>
            <w:tcW w:w="3615" w:type="dxa"/>
            <w:hideMark/>
          </w:tcPr>
          <w:p w14:paraId="4FC22717" w14:textId="77777777" w:rsidR="00D34E49" w:rsidRPr="008A41E6" w:rsidRDefault="006C7200" w:rsidP="00D34E49">
            <w:r>
              <w:t>FS</w:t>
            </w:r>
            <w:r w:rsidR="00607423">
              <w:t>90</w:t>
            </w:r>
            <w:r w:rsidR="00BD7E9F">
              <w:t>2</w:t>
            </w:r>
            <w:r w:rsidR="009D2694">
              <w:t>, FS90</w:t>
            </w:r>
            <w:r w:rsidR="00BD7E9F">
              <w:t>3</w:t>
            </w:r>
            <w:r w:rsidR="003C582D">
              <w:t>*</w:t>
            </w:r>
            <w:r w:rsidR="009D2694">
              <w:t>, FS90</w:t>
            </w:r>
            <w:r w:rsidR="00BD7E9F">
              <w:t>4</w:t>
            </w:r>
            <w:r w:rsidR="003C582D">
              <w:t>*</w:t>
            </w:r>
            <w:r w:rsidR="009D2694">
              <w:t>, FS905</w:t>
            </w:r>
          </w:p>
        </w:tc>
        <w:tc>
          <w:tcPr>
            <w:tcW w:w="3230" w:type="dxa"/>
            <w:hideMark/>
          </w:tcPr>
          <w:p w14:paraId="666270D3" w14:textId="77777777" w:rsidR="00D34E49" w:rsidRPr="008A41E6" w:rsidRDefault="00E654EA" w:rsidP="00D34E49">
            <w:r>
              <w:t>7</w:t>
            </w:r>
            <w:r w:rsidR="00D34E49">
              <w:t>/3</w:t>
            </w:r>
            <w:r w:rsidR="000203F5">
              <w:t>0</w:t>
            </w:r>
            <w:r w:rsidR="00D34E49">
              <w:t>/202</w:t>
            </w:r>
            <w:r w:rsidR="000203F5">
              <w:t>5</w:t>
            </w:r>
          </w:p>
        </w:tc>
      </w:tr>
      <w:tr w:rsidR="00D34E49" w:rsidRPr="008A41E6" w14:paraId="2214CF40" w14:textId="77777777" w:rsidTr="008A41E6">
        <w:trPr>
          <w:trHeight w:val="340"/>
        </w:trPr>
        <w:tc>
          <w:tcPr>
            <w:tcW w:w="2785" w:type="dxa"/>
            <w:hideMark/>
          </w:tcPr>
          <w:p w14:paraId="3610E46D" w14:textId="77777777" w:rsidR="00D34E49" w:rsidRPr="008A41E6" w:rsidRDefault="00D34E49" w:rsidP="00D34E49">
            <w:r w:rsidRPr="008A41E6">
              <w:t>Part C Exiting</w:t>
            </w:r>
          </w:p>
        </w:tc>
        <w:tc>
          <w:tcPr>
            <w:tcW w:w="3615" w:type="dxa"/>
            <w:hideMark/>
          </w:tcPr>
          <w:p w14:paraId="4117FE58" w14:textId="77777777" w:rsidR="00D34E49" w:rsidRPr="008A41E6" w:rsidRDefault="007169B7" w:rsidP="00D34E49">
            <w:r>
              <w:t>FS901</w:t>
            </w:r>
          </w:p>
        </w:tc>
        <w:tc>
          <w:tcPr>
            <w:tcW w:w="3230" w:type="dxa"/>
            <w:hideMark/>
          </w:tcPr>
          <w:p w14:paraId="50853A27" w14:textId="77777777" w:rsidR="00D34E49" w:rsidRPr="008A41E6" w:rsidRDefault="000203F5" w:rsidP="00D34E49">
            <w:r>
              <w:t>2</w:t>
            </w:r>
            <w:r w:rsidR="00D34E49">
              <w:t>/</w:t>
            </w:r>
            <w:r>
              <w:t>18</w:t>
            </w:r>
            <w:r w:rsidR="00D34E49">
              <w:t>/</w:t>
            </w:r>
            <w:r>
              <w:t>2026</w:t>
            </w:r>
          </w:p>
        </w:tc>
      </w:tr>
      <w:tr w:rsidR="00D34E49" w:rsidRPr="008A41E6" w14:paraId="61A353AE" w14:textId="77777777" w:rsidTr="008A41E6">
        <w:trPr>
          <w:trHeight w:val="340"/>
        </w:trPr>
        <w:tc>
          <w:tcPr>
            <w:tcW w:w="2785" w:type="dxa"/>
            <w:hideMark/>
          </w:tcPr>
          <w:p w14:paraId="135F7F01" w14:textId="77777777" w:rsidR="00D34E49" w:rsidRPr="008A41E6" w:rsidRDefault="00D34E49" w:rsidP="00D34E49">
            <w:r w:rsidRPr="008A41E6">
              <w:t xml:space="preserve">Part C Dispute Resolution </w:t>
            </w:r>
          </w:p>
        </w:tc>
        <w:tc>
          <w:tcPr>
            <w:tcW w:w="3615" w:type="dxa"/>
            <w:hideMark/>
          </w:tcPr>
          <w:p w14:paraId="5197F80B" w14:textId="77777777" w:rsidR="00D34E49" w:rsidRPr="008A41E6" w:rsidRDefault="00BC1D62" w:rsidP="00D34E49">
            <w:r>
              <w:t>FS</w:t>
            </w:r>
            <w:r w:rsidR="003961B9">
              <w:t>906, FS907, FS908</w:t>
            </w:r>
          </w:p>
        </w:tc>
        <w:tc>
          <w:tcPr>
            <w:tcW w:w="3230" w:type="dxa"/>
            <w:hideMark/>
          </w:tcPr>
          <w:p w14:paraId="4E139E0E" w14:textId="77777777" w:rsidR="00D34E49" w:rsidRPr="008A41E6" w:rsidRDefault="00D34E49" w:rsidP="00811738">
            <w:pPr>
              <w:tabs>
                <w:tab w:val="center" w:pos="1507"/>
              </w:tabs>
            </w:pPr>
            <w:r>
              <w:t>11/1</w:t>
            </w:r>
            <w:r w:rsidR="000203F5">
              <w:t>9</w:t>
            </w:r>
            <w:r>
              <w:t>/202</w:t>
            </w:r>
            <w:r w:rsidR="000203F5">
              <w:t>5</w:t>
            </w:r>
          </w:p>
        </w:tc>
      </w:tr>
    </w:tbl>
    <w:p w14:paraId="51CE16D2" w14:textId="77777777" w:rsidR="008A41E6" w:rsidRDefault="003C582D" w:rsidP="008A41E6">
      <w:r>
        <w:t>*</w:t>
      </w:r>
      <w:r w:rsidR="0097586C">
        <w:t xml:space="preserve"> </w:t>
      </w:r>
      <w:proofErr w:type="gramStart"/>
      <w:r w:rsidR="00014171">
        <w:t>if</w:t>
      </w:r>
      <w:proofErr w:type="gramEnd"/>
      <w:r>
        <w:t xml:space="preserve"> applicable</w:t>
      </w:r>
    </w:p>
    <w:p w14:paraId="6A4E639B" w14:textId="77777777" w:rsidR="003C582D" w:rsidRDefault="003C582D" w:rsidP="008A41E6"/>
    <w:p w14:paraId="5C503209" w14:textId="77777777" w:rsidR="008A41E6" w:rsidRPr="008A41E6" w:rsidRDefault="008A41E6" w:rsidP="008A41E6">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w:t>
      </w:r>
      <w:proofErr w:type="gramStart"/>
      <w:r w:rsidRPr="008A41E6">
        <w:t>include</w:t>
      </w:r>
      <w:proofErr w:type="gramEnd"/>
      <w:r w:rsidRPr="008A41E6">
        <w:t xml:space="preserve"> data from all districts or agencies.</w:t>
      </w:r>
    </w:p>
    <w:p w14:paraId="0B9C5F5C" w14:textId="77777777" w:rsidR="008A41E6" w:rsidRDefault="008A41E6" w:rsidP="008A41E6"/>
    <w:p w14:paraId="090308F8" w14:textId="77777777" w:rsidR="008A41E6" w:rsidRPr="008A41E6" w:rsidRDefault="008A41E6" w:rsidP="008A41E6">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Pr="00924FA7">
        <w:t xml:space="preserve">. </w:t>
      </w:r>
    </w:p>
    <w:p w14:paraId="547BBC94" w14:textId="77777777" w:rsidR="008A41E6" w:rsidRDefault="008A41E6" w:rsidP="008A41E6"/>
    <w:p w14:paraId="29FE533B" w14:textId="77777777" w:rsidR="008A41E6" w:rsidRPr="008A41E6" w:rsidRDefault="008A41E6" w:rsidP="008A41E6">
      <w:pPr>
        <w:spacing w:before="0" w:after="200" w:line="276" w:lineRule="auto"/>
      </w:pPr>
      <w:r>
        <w:br w:type="page"/>
      </w:r>
    </w:p>
    <w:p w14:paraId="1CCBD3A1" w14:textId="77777777" w:rsidR="00D21F29" w:rsidRPr="00CE7212" w:rsidRDefault="00D21F29" w:rsidP="00D21F29">
      <w:pPr>
        <w:pStyle w:val="Heading2"/>
        <w:rPr>
          <w:b w:val="0"/>
          <w:bCs w:val="0"/>
        </w:rPr>
      </w:pPr>
      <w:bookmarkStart w:id="91" w:name="_Hlk158188058"/>
      <w:r w:rsidRPr="00CE7212">
        <w:lastRenderedPageBreak/>
        <w:t>Dispute Resolution</w:t>
      </w:r>
    </w:p>
    <w:p w14:paraId="52828F1E" w14:textId="77777777" w:rsidR="00D21F29" w:rsidRPr="00CE7212" w:rsidRDefault="00D21F29" w:rsidP="00D21F29">
      <w:pPr>
        <w:rPr>
          <w:b/>
          <w:bCs/>
          <w:sz w:val="18"/>
          <w:szCs w:val="24"/>
        </w:rPr>
      </w:pPr>
      <w:r w:rsidRPr="00CE7212">
        <w:rPr>
          <w:b/>
          <w:bCs/>
          <w:sz w:val="18"/>
          <w:szCs w:val="24"/>
        </w:rPr>
        <w:t>IDEA Part C</w:t>
      </w:r>
    </w:p>
    <w:p w14:paraId="75B9649C" w14:textId="77777777" w:rsidR="00D21F29" w:rsidRPr="00CE7212" w:rsidRDefault="00D21F29" w:rsidP="00D21F29">
      <w:pPr>
        <w:rPr>
          <w:b/>
          <w:bCs/>
          <w:sz w:val="18"/>
          <w:szCs w:val="24"/>
        </w:rPr>
      </w:pPr>
      <w:r w:rsidRPr="00CE7212">
        <w:rPr>
          <w:b/>
          <w:bCs/>
          <w:sz w:val="18"/>
          <w:szCs w:val="24"/>
        </w:rPr>
        <w:t>Oregon</w:t>
      </w:r>
    </w:p>
    <w:p w14:paraId="6455B865" w14:textId="77777777" w:rsidR="00D21F29" w:rsidRPr="00CE7212" w:rsidRDefault="00D21F29" w:rsidP="00D21F29">
      <w:pPr>
        <w:rPr>
          <w:b/>
          <w:bCs/>
          <w:sz w:val="18"/>
          <w:szCs w:val="24"/>
        </w:rPr>
      </w:pPr>
      <w:r w:rsidRPr="00CE7212">
        <w:rPr>
          <w:b/>
          <w:bCs/>
          <w:sz w:val="18"/>
          <w:szCs w:val="24"/>
        </w:rPr>
        <w:t>Year 2024-25</w:t>
      </w:r>
    </w:p>
    <w:p w14:paraId="478FE11E" w14:textId="77777777" w:rsidR="00D21F29" w:rsidRPr="00597743" w:rsidRDefault="00D21F29" w:rsidP="00D21F29">
      <w:pPr>
        <w:spacing w:before="0" w:after="0"/>
        <w:rPr>
          <w:szCs w:val="16"/>
        </w:rPr>
      </w:pPr>
    </w:p>
    <w:p w14:paraId="75BC2159" w14:textId="77777777" w:rsidR="00D21F29" w:rsidRPr="00597743" w:rsidRDefault="00D21F29" w:rsidP="00D21F29">
      <w:pPr>
        <w:rPr>
          <w:rFonts w:cs="Arial"/>
          <w:b/>
          <w:bCs/>
          <w:szCs w:val="16"/>
        </w:rPr>
      </w:pPr>
      <w:r w:rsidRPr="00597743">
        <w:rPr>
          <w:rFonts w:cs="Arial"/>
          <w:b/>
          <w:bCs/>
          <w:szCs w:val="16"/>
        </w:rPr>
        <w:t>Section A: Written, Signed Complaints</w:t>
      </w:r>
    </w:p>
    <w:tbl>
      <w:tblPr>
        <w:tblStyle w:val="TableGrid1"/>
        <w:tblW w:w="5000" w:type="pct"/>
        <w:tblLook w:val="04A0" w:firstRow="1" w:lastRow="0" w:firstColumn="1" w:lastColumn="0" w:noHBand="0" w:noVBand="1"/>
        <w:tblCaption w:val="C03ACPDQ"/>
        <w:tblDescription w:val="Section A: Written, Signed Complaints"/>
      </w:tblPr>
      <w:tblGrid>
        <w:gridCol w:w="7734"/>
        <w:gridCol w:w="3056"/>
      </w:tblGrid>
      <w:tr w:rsidR="00D21F29" w:rsidRPr="00597743" w14:paraId="59D3BF97"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4D585149" w14:textId="77777777" w:rsidR="00D21F29" w:rsidRPr="00597743" w:rsidRDefault="00D21F29">
            <w:pPr>
              <w:rPr>
                <w:rFonts w:cs="Arial"/>
                <w:b/>
                <w:bCs/>
                <w:szCs w:val="16"/>
              </w:rPr>
            </w:pPr>
            <w:r w:rsidRPr="00597743">
              <w:rPr>
                <w:rFonts w:cs="Arial"/>
                <w:b/>
                <w:bCs/>
                <w:szCs w:val="16"/>
              </w:rPr>
              <w:t>(1) Total number of written signed complaints filed.</w:t>
            </w:r>
          </w:p>
        </w:tc>
        <w:tc>
          <w:tcPr>
            <w:tcW w:w="1416" w:type="pct"/>
            <w:tcBorders>
              <w:top w:val="single" w:sz="4" w:space="0" w:color="auto"/>
              <w:left w:val="single" w:sz="4" w:space="0" w:color="auto"/>
              <w:bottom w:val="single" w:sz="4" w:space="0" w:color="auto"/>
              <w:right w:val="single" w:sz="4" w:space="0" w:color="auto"/>
            </w:tcBorders>
          </w:tcPr>
          <w:p w14:paraId="50334465" w14:textId="77777777" w:rsidR="00D21F29" w:rsidRPr="00597743" w:rsidRDefault="00D21F29">
            <w:pPr>
              <w:rPr>
                <w:rFonts w:cs="Arial"/>
                <w:szCs w:val="16"/>
              </w:rPr>
            </w:pPr>
            <w:r w:rsidRPr="00597743">
              <w:rPr>
                <w:rFonts w:cs="Arial"/>
                <w:szCs w:val="16"/>
              </w:rPr>
              <w:t>2</w:t>
            </w:r>
          </w:p>
        </w:tc>
      </w:tr>
      <w:tr w:rsidR="00D21F29" w:rsidRPr="00597743" w14:paraId="703CE703"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2B69E916" w14:textId="77777777" w:rsidR="00D21F29" w:rsidRPr="00597743" w:rsidRDefault="00D21F29">
            <w:pPr>
              <w:rPr>
                <w:rFonts w:cs="Arial"/>
                <w:szCs w:val="16"/>
              </w:rPr>
            </w:pPr>
            <w:r w:rsidRPr="00597743">
              <w:rPr>
                <w:rFonts w:cs="Arial"/>
                <w:szCs w:val="16"/>
              </w:rPr>
              <w:t>(1.1) Complaints with reports issued.</w:t>
            </w:r>
          </w:p>
        </w:tc>
        <w:tc>
          <w:tcPr>
            <w:tcW w:w="1416" w:type="pct"/>
            <w:tcBorders>
              <w:top w:val="single" w:sz="4" w:space="0" w:color="auto"/>
              <w:left w:val="single" w:sz="4" w:space="0" w:color="auto"/>
              <w:bottom w:val="single" w:sz="4" w:space="0" w:color="auto"/>
              <w:right w:val="single" w:sz="4" w:space="0" w:color="auto"/>
            </w:tcBorders>
          </w:tcPr>
          <w:p w14:paraId="191FB3AE" w14:textId="77777777" w:rsidR="00D21F29" w:rsidRPr="00597743" w:rsidRDefault="00D21F29">
            <w:pPr>
              <w:rPr>
                <w:rFonts w:cs="Arial"/>
                <w:szCs w:val="16"/>
              </w:rPr>
            </w:pPr>
            <w:r w:rsidRPr="00597743">
              <w:rPr>
                <w:rFonts w:cs="Arial"/>
                <w:szCs w:val="16"/>
              </w:rPr>
              <w:t>2</w:t>
            </w:r>
          </w:p>
        </w:tc>
      </w:tr>
      <w:tr w:rsidR="00D21F29" w:rsidRPr="00597743" w14:paraId="2AE0A4A6" w14:textId="77777777" w:rsidTr="00811738">
        <w:trPr>
          <w:trHeight w:val="278"/>
        </w:trPr>
        <w:tc>
          <w:tcPr>
            <w:tcW w:w="3584" w:type="pct"/>
            <w:tcBorders>
              <w:top w:val="single" w:sz="4" w:space="0" w:color="auto"/>
              <w:left w:val="single" w:sz="4" w:space="0" w:color="auto"/>
              <w:bottom w:val="single" w:sz="4" w:space="0" w:color="auto"/>
              <w:right w:val="single" w:sz="4" w:space="0" w:color="auto"/>
            </w:tcBorders>
            <w:hideMark/>
          </w:tcPr>
          <w:p w14:paraId="6B773EE5" w14:textId="77777777" w:rsidR="00D21F29" w:rsidRPr="00597743" w:rsidRDefault="00D21F29">
            <w:pPr>
              <w:rPr>
                <w:rFonts w:cs="Arial"/>
                <w:szCs w:val="16"/>
              </w:rPr>
            </w:pPr>
            <w:r w:rsidRPr="00597743">
              <w:rPr>
                <w:rFonts w:cs="Arial"/>
                <w:szCs w:val="16"/>
              </w:rPr>
              <w:t>(1.1) (a) Reports with findings of noncompliance.</w:t>
            </w:r>
          </w:p>
        </w:tc>
        <w:tc>
          <w:tcPr>
            <w:tcW w:w="1416" w:type="pct"/>
            <w:tcBorders>
              <w:top w:val="single" w:sz="4" w:space="0" w:color="auto"/>
              <w:left w:val="single" w:sz="4" w:space="0" w:color="auto"/>
              <w:bottom w:val="single" w:sz="4" w:space="0" w:color="auto"/>
              <w:right w:val="single" w:sz="4" w:space="0" w:color="auto"/>
            </w:tcBorders>
          </w:tcPr>
          <w:p w14:paraId="58B4CB1B" w14:textId="77777777" w:rsidR="00D21F29" w:rsidRPr="00597743" w:rsidRDefault="00D21F29">
            <w:pPr>
              <w:rPr>
                <w:rFonts w:cs="Arial"/>
                <w:szCs w:val="16"/>
              </w:rPr>
            </w:pPr>
            <w:r w:rsidRPr="00597743">
              <w:rPr>
                <w:rFonts w:cs="Arial"/>
                <w:szCs w:val="16"/>
              </w:rPr>
              <w:t>2</w:t>
            </w:r>
          </w:p>
        </w:tc>
      </w:tr>
      <w:tr w:rsidR="00D21F29" w:rsidRPr="00597743" w14:paraId="2A0422D8"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071945FB" w14:textId="77777777" w:rsidR="00D21F29" w:rsidRPr="00597743" w:rsidRDefault="00D21F29">
            <w:pPr>
              <w:rPr>
                <w:rFonts w:cs="Arial"/>
                <w:szCs w:val="16"/>
              </w:rPr>
            </w:pPr>
            <w:r w:rsidRPr="00597743">
              <w:rPr>
                <w:rFonts w:cs="Arial"/>
                <w:szCs w:val="16"/>
              </w:rPr>
              <w:t>(1.1) (b) Reports within timelines.</w:t>
            </w:r>
          </w:p>
        </w:tc>
        <w:tc>
          <w:tcPr>
            <w:tcW w:w="1416" w:type="pct"/>
            <w:tcBorders>
              <w:top w:val="single" w:sz="4" w:space="0" w:color="auto"/>
              <w:left w:val="single" w:sz="4" w:space="0" w:color="auto"/>
              <w:bottom w:val="single" w:sz="4" w:space="0" w:color="auto"/>
              <w:right w:val="single" w:sz="4" w:space="0" w:color="auto"/>
            </w:tcBorders>
          </w:tcPr>
          <w:p w14:paraId="6F9E6135" w14:textId="77777777" w:rsidR="00D21F29" w:rsidRPr="00597743" w:rsidRDefault="00D21F29">
            <w:pPr>
              <w:rPr>
                <w:rFonts w:cs="Arial"/>
                <w:szCs w:val="16"/>
              </w:rPr>
            </w:pPr>
            <w:r w:rsidRPr="00597743">
              <w:rPr>
                <w:rFonts w:cs="Arial"/>
                <w:szCs w:val="16"/>
              </w:rPr>
              <w:t>1</w:t>
            </w:r>
          </w:p>
        </w:tc>
      </w:tr>
      <w:tr w:rsidR="00D21F29" w:rsidRPr="00597743" w14:paraId="33C7FC9C"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7BB98438" w14:textId="77777777" w:rsidR="00D21F29" w:rsidRPr="00597743" w:rsidRDefault="00D21F29">
            <w:pPr>
              <w:rPr>
                <w:rFonts w:cs="Arial"/>
                <w:szCs w:val="16"/>
              </w:rPr>
            </w:pPr>
            <w:r w:rsidRPr="00597743">
              <w:rPr>
                <w:rFonts w:cs="Arial"/>
                <w:szCs w:val="16"/>
              </w:rPr>
              <w:t>(1.1) (c) Reports within extended timelines.</w:t>
            </w:r>
          </w:p>
        </w:tc>
        <w:tc>
          <w:tcPr>
            <w:tcW w:w="1416" w:type="pct"/>
            <w:tcBorders>
              <w:top w:val="single" w:sz="4" w:space="0" w:color="auto"/>
              <w:left w:val="single" w:sz="4" w:space="0" w:color="auto"/>
              <w:bottom w:val="single" w:sz="4" w:space="0" w:color="auto"/>
              <w:right w:val="single" w:sz="4" w:space="0" w:color="auto"/>
            </w:tcBorders>
          </w:tcPr>
          <w:p w14:paraId="17124AB0" w14:textId="77777777" w:rsidR="00D21F29" w:rsidRPr="00597743" w:rsidRDefault="00D21F29">
            <w:pPr>
              <w:rPr>
                <w:rFonts w:cs="Arial"/>
                <w:szCs w:val="16"/>
              </w:rPr>
            </w:pPr>
            <w:r w:rsidRPr="00597743">
              <w:rPr>
                <w:rFonts w:cs="Arial"/>
                <w:szCs w:val="16"/>
              </w:rPr>
              <w:t>1</w:t>
            </w:r>
          </w:p>
        </w:tc>
      </w:tr>
      <w:tr w:rsidR="00D21F29" w:rsidRPr="00597743" w14:paraId="0BCBEA24"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1A32A8C4" w14:textId="77777777" w:rsidR="00D21F29" w:rsidRPr="00597743" w:rsidRDefault="00D21F29">
            <w:pPr>
              <w:rPr>
                <w:rFonts w:cs="Arial"/>
                <w:szCs w:val="16"/>
              </w:rPr>
            </w:pPr>
            <w:r w:rsidRPr="00597743">
              <w:rPr>
                <w:rFonts w:cs="Arial"/>
                <w:szCs w:val="16"/>
              </w:rPr>
              <w:t xml:space="preserve">(1.2) Complaints pending. </w:t>
            </w:r>
          </w:p>
        </w:tc>
        <w:tc>
          <w:tcPr>
            <w:tcW w:w="1416" w:type="pct"/>
            <w:tcBorders>
              <w:top w:val="single" w:sz="4" w:space="0" w:color="auto"/>
              <w:left w:val="single" w:sz="4" w:space="0" w:color="auto"/>
              <w:bottom w:val="single" w:sz="4" w:space="0" w:color="auto"/>
              <w:right w:val="single" w:sz="4" w:space="0" w:color="auto"/>
            </w:tcBorders>
          </w:tcPr>
          <w:p w14:paraId="2481349B" w14:textId="77777777" w:rsidR="00D21F29" w:rsidRPr="00597743" w:rsidRDefault="00D21F29">
            <w:pPr>
              <w:rPr>
                <w:rFonts w:cs="Arial"/>
                <w:szCs w:val="16"/>
              </w:rPr>
            </w:pPr>
            <w:r w:rsidRPr="00597743">
              <w:rPr>
                <w:rFonts w:cs="Arial"/>
                <w:szCs w:val="16"/>
              </w:rPr>
              <w:t>0</w:t>
            </w:r>
          </w:p>
        </w:tc>
      </w:tr>
      <w:tr w:rsidR="00D21F29" w:rsidRPr="00597743" w14:paraId="519A2E6D"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28E213AA" w14:textId="77777777" w:rsidR="00D21F29" w:rsidRPr="00597743" w:rsidRDefault="00D21F29">
            <w:pPr>
              <w:rPr>
                <w:rFonts w:cs="Arial"/>
                <w:szCs w:val="16"/>
              </w:rPr>
            </w:pPr>
            <w:r w:rsidRPr="00597743">
              <w:rPr>
                <w:rFonts w:cs="Arial"/>
                <w:szCs w:val="16"/>
              </w:rPr>
              <w:t xml:space="preserve">(1.2) (a) Complaints pending </w:t>
            </w:r>
            <w:proofErr w:type="gramStart"/>
            <w:r w:rsidRPr="00597743">
              <w:rPr>
                <w:rFonts w:cs="Arial"/>
                <w:szCs w:val="16"/>
              </w:rPr>
              <w:t>a due</w:t>
            </w:r>
            <w:proofErr w:type="gramEnd"/>
            <w:r w:rsidRPr="00597743">
              <w:rPr>
                <w:rFonts w:cs="Arial"/>
                <w:szCs w:val="16"/>
              </w:rPr>
              <w:t xml:space="preserve"> process hearing. </w:t>
            </w:r>
          </w:p>
        </w:tc>
        <w:tc>
          <w:tcPr>
            <w:tcW w:w="1416" w:type="pct"/>
            <w:tcBorders>
              <w:top w:val="single" w:sz="4" w:space="0" w:color="auto"/>
              <w:left w:val="single" w:sz="4" w:space="0" w:color="auto"/>
              <w:bottom w:val="single" w:sz="4" w:space="0" w:color="auto"/>
              <w:right w:val="single" w:sz="4" w:space="0" w:color="auto"/>
            </w:tcBorders>
          </w:tcPr>
          <w:p w14:paraId="04191729" w14:textId="77777777" w:rsidR="00D21F29" w:rsidRPr="00597743" w:rsidRDefault="00D21F29">
            <w:pPr>
              <w:rPr>
                <w:rFonts w:cs="Arial"/>
                <w:szCs w:val="16"/>
              </w:rPr>
            </w:pPr>
            <w:r w:rsidRPr="00597743">
              <w:rPr>
                <w:rFonts w:cs="Arial"/>
                <w:szCs w:val="16"/>
              </w:rPr>
              <w:t>0</w:t>
            </w:r>
          </w:p>
        </w:tc>
      </w:tr>
      <w:tr w:rsidR="00D21F29" w:rsidRPr="00597743" w14:paraId="57F2C712"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22F3DDB9" w14:textId="77777777" w:rsidR="00D21F29" w:rsidRPr="00597743" w:rsidRDefault="00D21F29">
            <w:pPr>
              <w:rPr>
                <w:rFonts w:cs="Arial"/>
                <w:szCs w:val="16"/>
              </w:rPr>
            </w:pPr>
            <w:r w:rsidRPr="00597743">
              <w:rPr>
                <w:rFonts w:cs="Arial"/>
                <w:szCs w:val="16"/>
              </w:rPr>
              <w:t xml:space="preserve">(1.3) Complaints withdrawn or dismissed. </w:t>
            </w:r>
          </w:p>
        </w:tc>
        <w:tc>
          <w:tcPr>
            <w:tcW w:w="1416" w:type="pct"/>
            <w:tcBorders>
              <w:top w:val="single" w:sz="4" w:space="0" w:color="auto"/>
              <w:left w:val="single" w:sz="4" w:space="0" w:color="auto"/>
              <w:bottom w:val="single" w:sz="4" w:space="0" w:color="auto"/>
              <w:right w:val="single" w:sz="4" w:space="0" w:color="auto"/>
            </w:tcBorders>
          </w:tcPr>
          <w:p w14:paraId="008DB8AF" w14:textId="77777777" w:rsidR="00D21F29" w:rsidRPr="00597743" w:rsidRDefault="00D21F29">
            <w:pPr>
              <w:rPr>
                <w:rFonts w:cs="Arial"/>
                <w:szCs w:val="16"/>
              </w:rPr>
            </w:pPr>
            <w:r w:rsidRPr="00597743">
              <w:rPr>
                <w:rFonts w:cs="Arial"/>
                <w:szCs w:val="16"/>
              </w:rPr>
              <w:t>0</w:t>
            </w:r>
          </w:p>
        </w:tc>
      </w:tr>
    </w:tbl>
    <w:p w14:paraId="17CBF1E8" w14:textId="77777777" w:rsidR="00D21F29" w:rsidRPr="00597743" w:rsidRDefault="00D21F29" w:rsidP="00D21F29">
      <w:pPr>
        <w:rPr>
          <w:rFonts w:cs="Arial"/>
          <w:b/>
          <w:bCs/>
          <w:szCs w:val="16"/>
        </w:rPr>
      </w:pPr>
    </w:p>
    <w:p w14:paraId="060C1399" w14:textId="77777777" w:rsidR="00D21F29" w:rsidRPr="00597743" w:rsidRDefault="00D21F29" w:rsidP="00D21F29">
      <w:pPr>
        <w:rPr>
          <w:rFonts w:cs="Arial"/>
          <w:b/>
          <w:bCs/>
          <w:szCs w:val="16"/>
        </w:rPr>
      </w:pPr>
      <w:r w:rsidRPr="00597743">
        <w:rPr>
          <w:rFonts w:cs="Arial"/>
          <w:b/>
          <w:bCs/>
          <w:szCs w:val="16"/>
        </w:rPr>
        <w:t>Section B: Mediation Requests</w:t>
      </w:r>
    </w:p>
    <w:tbl>
      <w:tblPr>
        <w:tblStyle w:val="TableGrid1"/>
        <w:tblW w:w="5000" w:type="pct"/>
        <w:tblLook w:val="04A0" w:firstRow="1" w:lastRow="0" w:firstColumn="1" w:lastColumn="0" w:noHBand="0" w:noVBand="1"/>
        <w:tblCaption w:val="C03BCPDQ"/>
        <w:tblDescription w:val="Section B: Mediation Requests"/>
      </w:tblPr>
      <w:tblGrid>
        <w:gridCol w:w="8004"/>
        <w:gridCol w:w="2786"/>
      </w:tblGrid>
      <w:tr w:rsidR="00D21F29" w:rsidRPr="00597743" w14:paraId="690CEB89" w14:textId="77777777" w:rsidTr="00811738">
        <w:trPr>
          <w:trHeight w:val="332"/>
        </w:trPr>
        <w:tc>
          <w:tcPr>
            <w:tcW w:w="3709" w:type="pct"/>
            <w:tcBorders>
              <w:top w:val="single" w:sz="4" w:space="0" w:color="auto"/>
              <w:left w:val="single" w:sz="4" w:space="0" w:color="auto"/>
              <w:bottom w:val="single" w:sz="4" w:space="0" w:color="auto"/>
              <w:right w:val="single" w:sz="4" w:space="0" w:color="auto"/>
            </w:tcBorders>
            <w:hideMark/>
          </w:tcPr>
          <w:p w14:paraId="18587E8B" w14:textId="77777777" w:rsidR="00D21F29" w:rsidRPr="00597743" w:rsidRDefault="00D21F29">
            <w:pPr>
              <w:rPr>
                <w:rFonts w:cs="Arial"/>
                <w:b/>
                <w:bCs/>
                <w:szCs w:val="16"/>
              </w:rPr>
            </w:pPr>
            <w:r w:rsidRPr="00597743">
              <w:rPr>
                <w:rFonts w:cs="Arial"/>
                <w:b/>
                <w:bCs/>
                <w:szCs w:val="16"/>
              </w:rPr>
              <w:t xml:space="preserve">(2) Total number of mediation requests received through all dispute resolution processes. </w:t>
            </w:r>
          </w:p>
        </w:tc>
        <w:tc>
          <w:tcPr>
            <w:tcW w:w="1291" w:type="pct"/>
            <w:tcBorders>
              <w:top w:val="single" w:sz="4" w:space="0" w:color="auto"/>
              <w:left w:val="single" w:sz="4" w:space="0" w:color="auto"/>
              <w:bottom w:val="single" w:sz="4" w:space="0" w:color="auto"/>
              <w:right w:val="single" w:sz="4" w:space="0" w:color="auto"/>
            </w:tcBorders>
          </w:tcPr>
          <w:p w14:paraId="15FB698C" w14:textId="77777777" w:rsidR="00D21F29" w:rsidRPr="00597743" w:rsidRDefault="00D21F29">
            <w:pPr>
              <w:rPr>
                <w:rFonts w:cs="Arial"/>
                <w:szCs w:val="16"/>
              </w:rPr>
            </w:pPr>
            <w:r w:rsidRPr="00597743">
              <w:rPr>
                <w:rFonts w:cs="Arial"/>
                <w:szCs w:val="16"/>
              </w:rPr>
              <w:t>0</w:t>
            </w:r>
          </w:p>
        </w:tc>
      </w:tr>
      <w:tr w:rsidR="00D21F29" w:rsidRPr="00597743" w14:paraId="49B3BDC6" w14:textId="77777777" w:rsidTr="00811738">
        <w:trPr>
          <w:trHeight w:val="332"/>
        </w:trPr>
        <w:tc>
          <w:tcPr>
            <w:tcW w:w="3709" w:type="pct"/>
            <w:tcBorders>
              <w:top w:val="single" w:sz="4" w:space="0" w:color="auto"/>
              <w:left w:val="single" w:sz="4" w:space="0" w:color="auto"/>
              <w:bottom w:val="single" w:sz="4" w:space="0" w:color="auto"/>
              <w:right w:val="single" w:sz="4" w:space="0" w:color="auto"/>
            </w:tcBorders>
            <w:hideMark/>
          </w:tcPr>
          <w:p w14:paraId="2FB4D225" w14:textId="77777777" w:rsidR="00D21F29" w:rsidRPr="00597743" w:rsidRDefault="00D21F29">
            <w:pPr>
              <w:rPr>
                <w:rFonts w:cs="Arial"/>
                <w:szCs w:val="16"/>
              </w:rPr>
            </w:pPr>
            <w:r w:rsidRPr="00597743">
              <w:rPr>
                <w:rFonts w:cs="Arial"/>
                <w:szCs w:val="16"/>
              </w:rPr>
              <w:t xml:space="preserve">(2.1) Mediations </w:t>
            </w:r>
            <w:proofErr w:type="gramStart"/>
            <w:r w:rsidRPr="00597743">
              <w:rPr>
                <w:rFonts w:cs="Arial"/>
                <w:szCs w:val="16"/>
              </w:rPr>
              <w:t>held</w:t>
            </w:r>
            <w:proofErr w:type="gramEnd"/>
            <w:r w:rsidRPr="00597743">
              <w:rPr>
                <w:rFonts w:cs="Arial"/>
                <w:szCs w:val="16"/>
              </w:rPr>
              <w:t xml:space="preserve">. </w:t>
            </w:r>
          </w:p>
        </w:tc>
        <w:tc>
          <w:tcPr>
            <w:tcW w:w="1291" w:type="pct"/>
            <w:tcBorders>
              <w:top w:val="single" w:sz="4" w:space="0" w:color="auto"/>
              <w:left w:val="single" w:sz="4" w:space="0" w:color="auto"/>
              <w:bottom w:val="single" w:sz="4" w:space="0" w:color="auto"/>
              <w:right w:val="single" w:sz="4" w:space="0" w:color="auto"/>
            </w:tcBorders>
          </w:tcPr>
          <w:p w14:paraId="46EE9415" w14:textId="77777777" w:rsidR="00D21F29" w:rsidRPr="00597743" w:rsidRDefault="00D21F29">
            <w:pPr>
              <w:rPr>
                <w:rFonts w:cs="Arial"/>
                <w:szCs w:val="16"/>
              </w:rPr>
            </w:pPr>
            <w:r w:rsidRPr="00597743">
              <w:rPr>
                <w:rFonts w:cs="Arial"/>
                <w:szCs w:val="16"/>
              </w:rPr>
              <w:t>0</w:t>
            </w:r>
          </w:p>
        </w:tc>
      </w:tr>
      <w:tr w:rsidR="00D21F29" w:rsidRPr="00597743" w14:paraId="78A5FD88" w14:textId="77777777" w:rsidTr="00811738">
        <w:trPr>
          <w:trHeight w:val="278"/>
        </w:trPr>
        <w:tc>
          <w:tcPr>
            <w:tcW w:w="3709" w:type="pct"/>
            <w:tcBorders>
              <w:top w:val="single" w:sz="4" w:space="0" w:color="auto"/>
              <w:left w:val="single" w:sz="4" w:space="0" w:color="auto"/>
              <w:bottom w:val="single" w:sz="4" w:space="0" w:color="auto"/>
              <w:right w:val="single" w:sz="4" w:space="0" w:color="auto"/>
            </w:tcBorders>
            <w:hideMark/>
          </w:tcPr>
          <w:p w14:paraId="0F842E19" w14:textId="77777777" w:rsidR="00D21F29" w:rsidRPr="00597743" w:rsidRDefault="00D21F29">
            <w:pPr>
              <w:rPr>
                <w:rFonts w:cs="Arial"/>
                <w:szCs w:val="16"/>
              </w:rPr>
            </w:pPr>
            <w:r w:rsidRPr="00597743">
              <w:rPr>
                <w:rFonts w:cs="Arial"/>
                <w:szCs w:val="16"/>
              </w:rPr>
              <w:t xml:space="preserve">(2.1) (a) Mediations held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5CE92E67" w14:textId="77777777" w:rsidR="00D21F29" w:rsidRPr="00597743" w:rsidRDefault="00D21F29">
            <w:pPr>
              <w:rPr>
                <w:rFonts w:cs="Arial"/>
                <w:szCs w:val="16"/>
              </w:rPr>
            </w:pPr>
            <w:r w:rsidRPr="00597743">
              <w:rPr>
                <w:rFonts w:cs="Arial"/>
                <w:szCs w:val="16"/>
              </w:rPr>
              <w:t>0</w:t>
            </w:r>
          </w:p>
        </w:tc>
      </w:tr>
      <w:tr w:rsidR="00D21F29" w:rsidRPr="00597743" w14:paraId="10647319"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12FC3BA0" w14:textId="77777777" w:rsidR="00D21F29" w:rsidRPr="00597743" w:rsidRDefault="00D21F29">
            <w:pPr>
              <w:rPr>
                <w:rFonts w:cs="Arial"/>
                <w:szCs w:val="16"/>
              </w:rPr>
            </w:pPr>
            <w:r w:rsidRPr="00597743">
              <w:rPr>
                <w:rFonts w:cs="Arial"/>
                <w:szCs w:val="16"/>
              </w:rPr>
              <w:t>(2.1) (a) (</w:t>
            </w:r>
            <w:proofErr w:type="spellStart"/>
            <w:r w:rsidRPr="00597743">
              <w:rPr>
                <w:rFonts w:cs="Arial"/>
                <w:szCs w:val="16"/>
              </w:rPr>
              <w:t>i</w:t>
            </w:r>
            <w:proofErr w:type="spellEnd"/>
            <w:r w:rsidRPr="00597743">
              <w:rPr>
                <w:rFonts w:cs="Arial"/>
                <w:szCs w:val="16"/>
              </w:rPr>
              <w:t xml:space="preserve">) Mediation agreements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71882E48" w14:textId="77777777" w:rsidR="00D21F29" w:rsidRPr="00597743" w:rsidRDefault="00D21F29">
            <w:pPr>
              <w:rPr>
                <w:rFonts w:cs="Arial"/>
                <w:szCs w:val="16"/>
              </w:rPr>
            </w:pPr>
            <w:r w:rsidRPr="00597743">
              <w:rPr>
                <w:rFonts w:cs="Arial"/>
                <w:szCs w:val="16"/>
              </w:rPr>
              <w:t>0</w:t>
            </w:r>
          </w:p>
        </w:tc>
      </w:tr>
      <w:tr w:rsidR="00D21F29" w:rsidRPr="00597743" w14:paraId="5D08FD70"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78A05222" w14:textId="77777777" w:rsidR="00D21F29" w:rsidRPr="00597743" w:rsidRDefault="00D21F29">
            <w:pPr>
              <w:rPr>
                <w:rFonts w:cs="Arial"/>
                <w:szCs w:val="16"/>
              </w:rPr>
            </w:pPr>
            <w:r w:rsidRPr="00597743">
              <w:rPr>
                <w:rFonts w:cs="Arial"/>
                <w:szCs w:val="16"/>
              </w:rPr>
              <w:t xml:space="preserve">(2.1) (b) Mediations held not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397BCA34" w14:textId="77777777" w:rsidR="00D21F29" w:rsidRPr="00597743" w:rsidRDefault="00D21F29">
            <w:pPr>
              <w:rPr>
                <w:rFonts w:cs="Arial"/>
                <w:szCs w:val="16"/>
              </w:rPr>
            </w:pPr>
            <w:r w:rsidRPr="00597743">
              <w:rPr>
                <w:rFonts w:cs="Arial"/>
                <w:szCs w:val="16"/>
              </w:rPr>
              <w:t>0</w:t>
            </w:r>
          </w:p>
        </w:tc>
      </w:tr>
      <w:tr w:rsidR="00D21F29" w:rsidRPr="00597743" w14:paraId="6BC69C1B"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3CEF95A4" w14:textId="77777777" w:rsidR="00D21F29" w:rsidRPr="00597743" w:rsidRDefault="00D21F29">
            <w:pPr>
              <w:rPr>
                <w:rFonts w:cs="Arial"/>
                <w:szCs w:val="16"/>
              </w:rPr>
            </w:pPr>
            <w:r w:rsidRPr="00597743">
              <w:rPr>
                <w:rFonts w:cs="Arial"/>
                <w:szCs w:val="16"/>
              </w:rPr>
              <w:t>(2.1) (b) (</w:t>
            </w:r>
            <w:proofErr w:type="spellStart"/>
            <w:r w:rsidRPr="00597743">
              <w:rPr>
                <w:rFonts w:cs="Arial"/>
                <w:szCs w:val="16"/>
              </w:rPr>
              <w:t>i</w:t>
            </w:r>
            <w:proofErr w:type="spellEnd"/>
            <w:r w:rsidRPr="00597743">
              <w:rPr>
                <w:rFonts w:cs="Arial"/>
                <w:szCs w:val="16"/>
              </w:rPr>
              <w:t xml:space="preserve">) Mediation agreements not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4E4C9A41" w14:textId="77777777" w:rsidR="00D21F29" w:rsidRPr="00597743" w:rsidRDefault="00D21F29">
            <w:pPr>
              <w:rPr>
                <w:rFonts w:cs="Arial"/>
                <w:szCs w:val="16"/>
              </w:rPr>
            </w:pPr>
            <w:r w:rsidRPr="00597743">
              <w:rPr>
                <w:rFonts w:cs="Arial"/>
                <w:szCs w:val="16"/>
              </w:rPr>
              <w:t>0</w:t>
            </w:r>
          </w:p>
        </w:tc>
      </w:tr>
      <w:tr w:rsidR="00D21F29" w:rsidRPr="00597743" w14:paraId="7C496D39"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3D5FB89C" w14:textId="77777777" w:rsidR="00D21F29" w:rsidRPr="00597743" w:rsidRDefault="00D21F29">
            <w:pPr>
              <w:rPr>
                <w:rFonts w:cs="Arial"/>
                <w:szCs w:val="16"/>
              </w:rPr>
            </w:pPr>
            <w:r w:rsidRPr="00597743">
              <w:rPr>
                <w:rFonts w:cs="Arial"/>
                <w:szCs w:val="16"/>
              </w:rPr>
              <w:t xml:space="preserve">(2.2) Mediations pending. </w:t>
            </w:r>
          </w:p>
        </w:tc>
        <w:tc>
          <w:tcPr>
            <w:tcW w:w="1291" w:type="pct"/>
            <w:tcBorders>
              <w:top w:val="single" w:sz="4" w:space="0" w:color="auto"/>
              <w:left w:val="single" w:sz="4" w:space="0" w:color="auto"/>
              <w:bottom w:val="single" w:sz="4" w:space="0" w:color="auto"/>
              <w:right w:val="single" w:sz="4" w:space="0" w:color="auto"/>
            </w:tcBorders>
          </w:tcPr>
          <w:p w14:paraId="1C3A1BCE" w14:textId="77777777" w:rsidR="00D21F29" w:rsidRPr="00597743" w:rsidRDefault="00D21F29">
            <w:pPr>
              <w:rPr>
                <w:rFonts w:cs="Arial"/>
                <w:szCs w:val="16"/>
              </w:rPr>
            </w:pPr>
            <w:r w:rsidRPr="00597743">
              <w:rPr>
                <w:rFonts w:cs="Arial"/>
                <w:szCs w:val="16"/>
              </w:rPr>
              <w:t>0</w:t>
            </w:r>
          </w:p>
        </w:tc>
      </w:tr>
      <w:tr w:rsidR="00D21F29" w:rsidRPr="00597743" w14:paraId="18FB5247"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27F0172C" w14:textId="77777777" w:rsidR="00D21F29" w:rsidRPr="00597743" w:rsidRDefault="00D21F29">
            <w:pPr>
              <w:rPr>
                <w:rFonts w:cs="Arial"/>
                <w:szCs w:val="16"/>
              </w:rPr>
            </w:pPr>
            <w:r w:rsidRPr="00597743">
              <w:rPr>
                <w:rFonts w:cs="Arial"/>
                <w:szCs w:val="16"/>
              </w:rPr>
              <w:t xml:space="preserve">(2.3) Mediations not held. </w:t>
            </w:r>
          </w:p>
        </w:tc>
        <w:tc>
          <w:tcPr>
            <w:tcW w:w="1291" w:type="pct"/>
            <w:tcBorders>
              <w:top w:val="single" w:sz="4" w:space="0" w:color="auto"/>
              <w:left w:val="single" w:sz="4" w:space="0" w:color="auto"/>
              <w:bottom w:val="single" w:sz="4" w:space="0" w:color="auto"/>
              <w:right w:val="single" w:sz="4" w:space="0" w:color="auto"/>
            </w:tcBorders>
          </w:tcPr>
          <w:p w14:paraId="40B5C961" w14:textId="77777777" w:rsidR="00D21F29" w:rsidRPr="00597743" w:rsidRDefault="00D21F29">
            <w:pPr>
              <w:rPr>
                <w:rFonts w:cs="Arial"/>
                <w:szCs w:val="16"/>
              </w:rPr>
            </w:pPr>
            <w:r w:rsidRPr="00597743">
              <w:rPr>
                <w:rFonts w:cs="Arial"/>
                <w:szCs w:val="16"/>
              </w:rPr>
              <w:t>0</w:t>
            </w:r>
          </w:p>
        </w:tc>
      </w:tr>
    </w:tbl>
    <w:p w14:paraId="7C901E91" w14:textId="77777777" w:rsidR="00D21F29" w:rsidRPr="00597743" w:rsidRDefault="00D21F29" w:rsidP="00D21F29">
      <w:pPr>
        <w:rPr>
          <w:rFonts w:cs="Arial"/>
          <w:b/>
          <w:bCs/>
          <w:szCs w:val="16"/>
        </w:rPr>
      </w:pPr>
    </w:p>
    <w:p w14:paraId="3FF1AA65" w14:textId="77777777" w:rsidR="00D21F29" w:rsidRPr="00597743" w:rsidRDefault="00D21F29" w:rsidP="00D21F29">
      <w:pPr>
        <w:rPr>
          <w:rFonts w:cs="Arial"/>
          <w:b/>
          <w:bCs/>
          <w:szCs w:val="16"/>
        </w:rPr>
      </w:pPr>
      <w:r w:rsidRPr="00597743">
        <w:rPr>
          <w:rFonts w:cs="Arial"/>
          <w:b/>
          <w:bCs/>
          <w:szCs w:val="16"/>
        </w:rPr>
        <w:t>Section C: Due Process Complaints</w:t>
      </w:r>
    </w:p>
    <w:tbl>
      <w:tblPr>
        <w:tblStyle w:val="TableGrid1"/>
        <w:tblW w:w="5000" w:type="pct"/>
        <w:tblLook w:val="04A0" w:firstRow="1" w:lastRow="0" w:firstColumn="1" w:lastColumn="0" w:noHBand="0" w:noVBand="1"/>
        <w:tblCaption w:val="C03CCPDQ"/>
        <w:tblDescription w:val="Section C: Due Process Complaints "/>
      </w:tblPr>
      <w:tblGrid>
        <w:gridCol w:w="7734"/>
        <w:gridCol w:w="3056"/>
      </w:tblGrid>
      <w:tr w:rsidR="00D21F29" w:rsidRPr="00597743" w14:paraId="0070C588"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3522B923" w14:textId="77777777" w:rsidR="00D21F29" w:rsidRPr="00597743" w:rsidRDefault="00D21F29">
            <w:pPr>
              <w:rPr>
                <w:rFonts w:cs="Arial"/>
                <w:b/>
                <w:bCs/>
                <w:szCs w:val="16"/>
              </w:rPr>
            </w:pPr>
            <w:r w:rsidRPr="00597743">
              <w:rPr>
                <w:rFonts w:cs="Arial"/>
                <w:b/>
                <w:bCs/>
                <w:szCs w:val="16"/>
              </w:rPr>
              <w:t xml:space="preserve">(3) Total number of due process complaints filed. </w:t>
            </w:r>
          </w:p>
        </w:tc>
        <w:tc>
          <w:tcPr>
            <w:tcW w:w="1416" w:type="pct"/>
            <w:tcBorders>
              <w:top w:val="single" w:sz="4" w:space="0" w:color="auto"/>
              <w:left w:val="single" w:sz="4" w:space="0" w:color="auto"/>
              <w:bottom w:val="single" w:sz="4" w:space="0" w:color="auto"/>
              <w:right w:val="single" w:sz="4" w:space="0" w:color="auto"/>
            </w:tcBorders>
          </w:tcPr>
          <w:p w14:paraId="10254265" w14:textId="77777777" w:rsidR="00D21F29" w:rsidRPr="00597743" w:rsidRDefault="00D21F29">
            <w:pPr>
              <w:rPr>
                <w:rFonts w:cs="Arial"/>
                <w:szCs w:val="16"/>
              </w:rPr>
            </w:pPr>
            <w:r w:rsidRPr="00597743">
              <w:rPr>
                <w:rFonts w:cs="Arial"/>
                <w:szCs w:val="16"/>
              </w:rPr>
              <w:t>0</w:t>
            </w:r>
          </w:p>
        </w:tc>
      </w:tr>
      <w:tr w:rsidR="00D21F29" w:rsidRPr="00597743" w14:paraId="3E1F7326"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0156A5A9" w14:textId="77777777" w:rsidR="00D21F29" w:rsidRPr="00597743" w:rsidRDefault="00D21F29">
            <w:pPr>
              <w:rPr>
                <w:rFonts w:cs="Arial"/>
                <w:szCs w:val="16"/>
              </w:rPr>
            </w:pPr>
            <w:r w:rsidRPr="00597743">
              <w:rPr>
                <w:rFonts w:cs="Arial"/>
                <w:szCs w:val="16"/>
              </w:rPr>
              <w:t xml:space="preserve">Has your state adopted Part C due process hearing procedures under 34 CFR 303.430(d)(1) or Part B due process hearing procedures under 34 CFR </w:t>
            </w:r>
            <w:proofErr w:type="gramStart"/>
            <w:r w:rsidRPr="00597743">
              <w:rPr>
                <w:rFonts w:cs="Arial"/>
                <w:szCs w:val="16"/>
              </w:rPr>
              <w:t>303.430(d)</w:t>
            </w:r>
            <w:proofErr w:type="gramEnd"/>
            <w:r w:rsidRPr="00597743">
              <w:rPr>
                <w:rFonts w:cs="Arial"/>
                <w:szCs w:val="16"/>
              </w:rPr>
              <w:t>(2)?</w:t>
            </w:r>
          </w:p>
        </w:tc>
        <w:tc>
          <w:tcPr>
            <w:tcW w:w="1416" w:type="pct"/>
            <w:tcBorders>
              <w:top w:val="single" w:sz="4" w:space="0" w:color="auto"/>
              <w:left w:val="single" w:sz="4" w:space="0" w:color="auto"/>
              <w:bottom w:val="single" w:sz="4" w:space="0" w:color="auto"/>
              <w:right w:val="single" w:sz="4" w:space="0" w:color="auto"/>
            </w:tcBorders>
          </w:tcPr>
          <w:p w14:paraId="741E0129" w14:textId="77777777" w:rsidR="00D21F29" w:rsidRPr="00597743" w:rsidRDefault="00D21F29">
            <w:pPr>
              <w:rPr>
                <w:rFonts w:cs="Arial"/>
                <w:szCs w:val="16"/>
              </w:rPr>
            </w:pPr>
            <w:r w:rsidRPr="00597743">
              <w:rPr>
                <w:rFonts w:cs="Arial"/>
                <w:szCs w:val="16"/>
              </w:rPr>
              <w:t>PARTB</w:t>
            </w:r>
          </w:p>
        </w:tc>
      </w:tr>
      <w:tr w:rsidR="00D21F29" w:rsidRPr="00597743" w14:paraId="2609700A" w14:textId="77777777" w:rsidTr="00811738">
        <w:trPr>
          <w:trHeight w:val="278"/>
        </w:trPr>
        <w:tc>
          <w:tcPr>
            <w:tcW w:w="3584" w:type="pct"/>
            <w:tcBorders>
              <w:top w:val="single" w:sz="4" w:space="0" w:color="auto"/>
              <w:left w:val="single" w:sz="4" w:space="0" w:color="auto"/>
              <w:bottom w:val="single" w:sz="4" w:space="0" w:color="auto"/>
              <w:right w:val="single" w:sz="4" w:space="0" w:color="auto"/>
            </w:tcBorders>
            <w:hideMark/>
          </w:tcPr>
          <w:p w14:paraId="57913DAA" w14:textId="77777777" w:rsidR="00D21F29" w:rsidRPr="00597743" w:rsidRDefault="00D21F29">
            <w:pPr>
              <w:rPr>
                <w:rFonts w:cs="Arial"/>
                <w:szCs w:val="16"/>
              </w:rPr>
            </w:pPr>
            <w:r w:rsidRPr="00597743">
              <w:rPr>
                <w:rFonts w:cs="Arial"/>
                <w:szCs w:val="16"/>
              </w:rPr>
              <w:t>(3.1) Resolution meetings (applicable ONLY for states using Part B due process hearing procedures).</w:t>
            </w:r>
          </w:p>
        </w:tc>
        <w:tc>
          <w:tcPr>
            <w:tcW w:w="1416" w:type="pct"/>
            <w:tcBorders>
              <w:top w:val="single" w:sz="4" w:space="0" w:color="auto"/>
              <w:left w:val="single" w:sz="4" w:space="0" w:color="auto"/>
              <w:bottom w:val="single" w:sz="4" w:space="0" w:color="auto"/>
              <w:right w:val="single" w:sz="4" w:space="0" w:color="auto"/>
            </w:tcBorders>
          </w:tcPr>
          <w:p w14:paraId="79F779D2" w14:textId="77777777" w:rsidR="00D21F29" w:rsidRPr="00597743" w:rsidRDefault="00D21F29">
            <w:pPr>
              <w:rPr>
                <w:rFonts w:cs="Arial"/>
                <w:szCs w:val="16"/>
              </w:rPr>
            </w:pPr>
            <w:r w:rsidRPr="00597743">
              <w:rPr>
                <w:rFonts w:cs="Arial"/>
                <w:szCs w:val="16"/>
              </w:rPr>
              <w:t>0</w:t>
            </w:r>
          </w:p>
        </w:tc>
      </w:tr>
      <w:tr w:rsidR="00D21F29" w:rsidRPr="00597743" w14:paraId="7729DFD8"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531C081F" w14:textId="77777777" w:rsidR="00D21F29" w:rsidRPr="00597743" w:rsidRDefault="00D21F29">
            <w:pPr>
              <w:rPr>
                <w:rFonts w:cs="Arial"/>
                <w:szCs w:val="16"/>
              </w:rPr>
            </w:pPr>
            <w:r w:rsidRPr="00597743">
              <w:rPr>
                <w:rFonts w:cs="Arial"/>
                <w:szCs w:val="16"/>
              </w:rPr>
              <w:t xml:space="preserve">(3.1) (a) Written settlement agreements reached through resolution meetings. </w:t>
            </w:r>
          </w:p>
        </w:tc>
        <w:tc>
          <w:tcPr>
            <w:tcW w:w="1416" w:type="pct"/>
            <w:tcBorders>
              <w:top w:val="single" w:sz="4" w:space="0" w:color="auto"/>
              <w:left w:val="single" w:sz="4" w:space="0" w:color="auto"/>
              <w:bottom w:val="single" w:sz="4" w:space="0" w:color="auto"/>
              <w:right w:val="single" w:sz="4" w:space="0" w:color="auto"/>
            </w:tcBorders>
          </w:tcPr>
          <w:p w14:paraId="75707AF4" w14:textId="77777777" w:rsidR="00D21F29" w:rsidRPr="00597743" w:rsidRDefault="00D21F29">
            <w:pPr>
              <w:rPr>
                <w:rFonts w:cs="Arial"/>
                <w:szCs w:val="16"/>
              </w:rPr>
            </w:pPr>
            <w:r w:rsidRPr="00597743">
              <w:rPr>
                <w:rFonts w:cs="Arial"/>
                <w:szCs w:val="16"/>
              </w:rPr>
              <w:t>0</w:t>
            </w:r>
          </w:p>
        </w:tc>
      </w:tr>
      <w:tr w:rsidR="00D21F29" w:rsidRPr="00597743" w14:paraId="659C2B78"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1C7D4F64" w14:textId="77777777" w:rsidR="00D21F29" w:rsidRPr="00597743" w:rsidRDefault="00D21F29">
            <w:pPr>
              <w:rPr>
                <w:rFonts w:cs="Arial"/>
                <w:szCs w:val="16"/>
              </w:rPr>
            </w:pPr>
            <w:r w:rsidRPr="00597743">
              <w:rPr>
                <w:rFonts w:cs="Arial"/>
                <w:szCs w:val="16"/>
              </w:rPr>
              <w:t xml:space="preserve">(3.2) Hearings fully adjudicated. </w:t>
            </w:r>
          </w:p>
        </w:tc>
        <w:tc>
          <w:tcPr>
            <w:tcW w:w="1416" w:type="pct"/>
            <w:tcBorders>
              <w:top w:val="single" w:sz="4" w:space="0" w:color="auto"/>
              <w:left w:val="single" w:sz="4" w:space="0" w:color="auto"/>
              <w:bottom w:val="single" w:sz="4" w:space="0" w:color="auto"/>
              <w:right w:val="single" w:sz="4" w:space="0" w:color="auto"/>
            </w:tcBorders>
          </w:tcPr>
          <w:p w14:paraId="0E5B74CA" w14:textId="77777777" w:rsidR="00D21F29" w:rsidRPr="00597743" w:rsidRDefault="00D21F29">
            <w:pPr>
              <w:rPr>
                <w:rFonts w:cs="Arial"/>
                <w:szCs w:val="16"/>
              </w:rPr>
            </w:pPr>
            <w:r w:rsidRPr="00597743">
              <w:rPr>
                <w:rFonts w:cs="Arial"/>
                <w:szCs w:val="16"/>
              </w:rPr>
              <w:t>0</w:t>
            </w:r>
          </w:p>
        </w:tc>
      </w:tr>
      <w:tr w:rsidR="00D21F29" w:rsidRPr="00597743" w14:paraId="653AC36F"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333C7C60" w14:textId="77777777" w:rsidR="00D21F29" w:rsidRPr="00597743" w:rsidRDefault="00D21F29">
            <w:pPr>
              <w:rPr>
                <w:rFonts w:cs="Arial"/>
                <w:szCs w:val="16"/>
              </w:rPr>
            </w:pPr>
            <w:r w:rsidRPr="00597743">
              <w:rPr>
                <w:rFonts w:cs="Arial"/>
                <w:szCs w:val="16"/>
              </w:rPr>
              <w:t xml:space="preserve">(3.2) (a) Decisions within timeline. </w:t>
            </w:r>
          </w:p>
        </w:tc>
        <w:tc>
          <w:tcPr>
            <w:tcW w:w="1416" w:type="pct"/>
            <w:tcBorders>
              <w:top w:val="single" w:sz="4" w:space="0" w:color="auto"/>
              <w:left w:val="single" w:sz="4" w:space="0" w:color="auto"/>
              <w:bottom w:val="single" w:sz="4" w:space="0" w:color="auto"/>
              <w:right w:val="single" w:sz="4" w:space="0" w:color="auto"/>
            </w:tcBorders>
          </w:tcPr>
          <w:p w14:paraId="327C4A4A" w14:textId="77777777" w:rsidR="00D21F29" w:rsidRPr="00597743" w:rsidRDefault="00D21F29">
            <w:pPr>
              <w:rPr>
                <w:rFonts w:cs="Arial"/>
                <w:szCs w:val="16"/>
              </w:rPr>
            </w:pPr>
            <w:r w:rsidRPr="00597743">
              <w:rPr>
                <w:rFonts w:cs="Arial"/>
                <w:szCs w:val="16"/>
              </w:rPr>
              <w:t>0</w:t>
            </w:r>
          </w:p>
        </w:tc>
      </w:tr>
      <w:tr w:rsidR="00D21F29" w:rsidRPr="00597743" w14:paraId="7E9EF7D8"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1A686F44" w14:textId="77777777" w:rsidR="00D21F29" w:rsidRPr="00597743" w:rsidRDefault="00D21F29">
            <w:pPr>
              <w:rPr>
                <w:rFonts w:cs="Arial"/>
                <w:szCs w:val="16"/>
              </w:rPr>
            </w:pPr>
            <w:r w:rsidRPr="00597743">
              <w:rPr>
                <w:rFonts w:cs="Arial"/>
                <w:szCs w:val="16"/>
              </w:rPr>
              <w:t>(3.2) (b) Decisions within extended timeline.</w:t>
            </w:r>
          </w:p>
        </w:tc>
        <w:tc>
          <w:tcPr>
            <w:tcW w:w="1416" w:type="pct"/>
            <w:tcBorders>
              <w:top w:val="single" w:sz="4" w:space="0" w:color="auto"/>
              <w:left w:val="single" w:sz="4" w:space="0" w:color="auto"/>
              <w:bottom w:val="single" w:sz="4" w:space="0" w:color="auto"/>
              <w:right w:val="single" w:sz="4" w:space="0" w:color="auto"/>
            </w:tcBorders>
          </w:tcPr>
          <w:p w14:paraId="3381336F" w14:textId="77777777" w:rsidR="00D21F29" w:rsidRPr="00597743" w:rsidRDefault="00D21F29">
            <w:pPr>
              <w:rPr>
                <w:rFonts w:cs="Arial"/>
                <w:szCs w:val="16"/>
              </w:rPr>
            </w:pPr>
            <w:r w:rsidRPr="00597743">
              <w:rPr>
                <w:rFonts w:cs="Arial"/>
                <w:szCs w:val="16"/>
              </w:rPr>
              <w:t>0</w:t>
            </w:r>
          </w:p>
        </w:tc>
      </w:tr>
      <w:tr w:rsidR="00D21F29" w:rsidRPr="00597743" w14:paraId="2B5EACAD"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33972775" w14:textId="77777777" w:rsidR="00D21F29" w:rsidRPr="00597743" w:rsidRDefault="00D21F29">
            <w:pPr>
              <w:rPr>
                <w:rFonts w:cs="Arial"/>
                <w:szCs w:val="16"/>
              </w:rPr>
            </w:pPr>
            <w:r w:rsidRPr="00597743">
              <w:rPr>
                <w:rFonts w:cs="Arial"/>
                <w:szCs w:val="16"/>
              </w:rPr>
              <w:t xml:space="preserve">(3.3) Hearings pending. </w:t>
            </w:r>
          </w:p>
        </w:tc>
        <w:tc>
          <w:tcPr>
            <w:tcW w:w="1416" w:type="pct"/>
            <w:tcBorders>
              <w:top w:val="single" w:sz="4" w:space="0" w:color="auto"/>
              <w:left w:val="single" w:sz="4" w:space="0" w:color="auto"/>
              <w:bottom w:val="single" w:sz="4" w:space="0" w:color="auto"/>
              <w:right w:val="single" w:sz="4" w:space="0" w:color="auto"/>
            </w:tcBorders>
          </w:tcPr>
          <w:p w14:paraId="48D1956F" w14:textId="77777777" w:rsidR="00D21F29" w:rsidRPr="00597743" w:rsidRDefault="00D21F29">
            <w:pPr>
              <w:rPr>
                <w:rFonts w:cs="Arial"/>
                <w:szCs w:val="16"/>
              </w:rPr>
            </w:pPr>
            <w:r w:rsidRPr="00597743">
              <w:rPr>
                <w:rFonts w:cs="Arial"/>
                <w:szCs w:val="16"/>
              </w:rPr>
              <w:t>0</w:t>
            </w:r>
          </w:p>
        </w:tc>
      </w:tr>
      <w:tr w:rsidR="00D21F29" w:rsidRPr="00597743" w14:paraId="4621F765"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6A132B28" w14:textId="77777777" w:rsidR="00D21F29" w:rsidRPr="00597743" w:rsidRDefault="00D21F29">
            <w:pPr>
              <w:rPr>
                <w:rFonts w:cs="Arial"/>
                <w:szCs w:val="16"/>
              </w:rPr>
            </w:pPr>
            <w:r w:rsidRPr="00597743">
              <w:rPr>
                <w:rFonts w:cs="Arial"/>
                <w:szCs w:val="16"/>
              </w:rPr>
              <w:t xml:space="preserve">(3.4) Due </w:t>
            </w:r>
            <w:proofErr w:type="gramStart"/>
            <w:r w:rsidRPr="00597743">
              <w:rPr>
                <w:rFonts w:cs="Arial"/>
                <w:szCs w:val="16"/>
              </w:rPr>
              <w:t>process</w:t>
            </w:r>
            <w:proofErr w:type="gramEnd"/>
            <w:r w:rsidRPr="00597743">
              <w:rPr>
                <w:rFonts w:cs="Arial"/>
                <w:szCs w:val="16"/>
              </w:rPr>
              <w:t xml:space="preserve"> complaints withdrawn or dismissed (including resolved without </w:t>
            </w:r>
            <w:proofErr w:type="gramStart"/>
            <w:r w:rsidRPr="00597743">
              <w:rPr>
                <w:rFonts w:cs="Arial"/>
                <w:szCs w:val="16"/>
              </w:rPr>
              <w:t>a hearing</w:t>
            </w:r>
            <w:proofErr w:type="gramEnd"/>
            <w:r w:rsidRPr="00597743">
              <w:rPr>
                <w:rFonts w:cs="Arial"/>
                <w:szCs w:val="16"/>
              </w:rPr>
              <w:t>).</w:t>
            </w:r>
          </w:p>
        </w:tc>
        <w:tc>
          <w:tcPr>
            <w:tcW w:w="1416" w:type="pct"/>
            <w:tcBorders>
              <w:top w:val="single" w:sz="4" w:space="0" w:color="auto"/>
              <w:left w:val="single" w:sz="4" w:space="0" w:color="auto"/>
              <w:bottom w:val="single" w:sz="4" w:space="0" w:color="auto"/>
              <w:right w:val="single" w:sz="4" w:space="0" w:color="auto"/>
            </w:tcBorders>
          </w:tcPr>
          <w:p w14:paraId="7C6B9437" w14:textId="77777777" w:rsidR="00D21F29" w:rsidRPr="00597743" w:rsidRDefault="00D21F29">
            <w:pPr>
              <w:rPr>
                <w:rFonts w:cs="Arial"/>
                <w:szCs w:val="16"/>
              </w:rPr>
            </w:pPr>
            <w:r w:rsidRPr="00597743">
              <w:rPr>
                <w:rFonts w:cs="Arial"/>
                <w:szCs w:val="16"/>
              </w:rPr>
              <w:t>0</w:t>
            </w:r>
          </w:p>
        </w:tc>
      </w:tr>
    </w:tbl>
    <w:p w14:paraId="201CA972" w14:textId="77777777" w:rsidR="00D21F29" w:rsidRPr="00597743" w:rsidRDefault="00D21F29" w:rsidP="00D21F29">
      <w:pPr>
        <w:spacing w:before="0" w:after="0"/>
      </w:pPr>
    </w:p>
    <w:p w14:paraId="069D4665" w14:textId="77777777" w:rsidR="005E10AF" w:rsidRPr="005E10AF" w:rsidRDefault="00D21F29" w:rsidP="005E10AF">
      <w:pPr>
        <w:spacing w:before="0" w:after="0"/>
        <w:rPr>
          <w:b/>
          <w:bCs/>
        </w:rPr>
      </w:pPr>
      <w:r w:rsidRPr="005E10AF">
        <w:rPr>
          <w:b/>
          <w:bCs/>
        </w:rPr>
        <w:t>This report shows the most recent data that was entered by:</w:t>
      </w:r>
    </w:p>
    <w:p w14:paraId="5AA24B36" w14:textId="77777777" w:rsidR="005E10AF" w:rsidRDefault="00D21F29" w:rsidP="00D21F29">
      <w:pPr>
        <w:spacing w:before="0" w:after="200" w:line="276" w:lineRule="auto"/>
      </w:pPr>
      <w:r w:rsidRPr="00597743">
        <w:t>Oregon</w:t>
      </w:r>
    </w:p>
    <w:p w14:paraId="1F2C2B23" w14:textId="77777777" w:rsidR="005E10AF" w:rsidRPr="005E10AF" w:rsidRDefault="00D21F29" w:rsidP="005E10AF">
      <w:pPr>
        <w:spacing w:before="0" w:after="0"/>
        <w:rPr>
          <w:b/>
          <w:bCs/>
        </w:rPr>
      </w:pPr>
      <w:r w:rsidRPr="005E10AF">
        <w:rPr>
          <w:b/>
          <w:bCs/>
        </w:rPr>
        <w:t>These data were extracted on the close date:</w:t>
      </w:r>
    </w:p>
    <w:p w14:paraId="7C7FB35B" w14:textId="77777777" w:rsidR="00947802" w:rsidRDefault="00D21F29" w:rsidP="00D21F29">
      <w:pPr>
        <w:spacing w:before="0" w:after="200" w:line="276" w:lineRule="auto"/>
        <w:sectPr w:rsidR="00947802" w:rsidSect="00947802">
          <w:type w:val="continuous"/>
          <w:pgSz w:w="12240" w:h="15840" w:code="1"/>
          <w:pgMar w:top="720" w:right="720" w:bottom="720" w:left="720" w:header="0" w:footer="446" w:gutter="0"/>
          <w:cols w:space="720"/>
          <w:docGrid w:linePitch="218"/>
        </w:sectPr>
      </w:pPr>
      <w:r w:rsidRPr="00597743">
        <w:t>11/19/2025</w:t>
      </w:r>
      <w:bookmarkEnd w:id="91"/>
    </w:p>
    <w:p w14:paraId="4A109B80" w14:textId="77777777" w:rsidR="009B4E7F" w:rsidRDefault="009B4E7F" w:rsidP="00D21F29">
      <w:pPr>
        <w:spacing w:before="0" w:after="200" w:line="276" w:lineRule="auto"/>
      </w:pPr>
    </w:p>
    <w:p w14:paraId="7A2A57A3" w14:textId="77777777" w:rsidR="009B4E7F" w:rsidRDefault="009B4E7F" w:rsidP="00C571DA">
      <w:pPr>
        <w:pStyle w:val="Heading2"/>
      </w:pPr>
      <w:r>
        <w:br w:type="page"/>
      </w:r>
    </w:p>
    <w:p w14:paraId="4570F5C3" w14:textId="77777777" w:rsidR="000B7B9F" w:rsidRDefault="000B7B9F" w:rsidP="00C571DA">
      <w:pPr>
        <w:pStyle w:val="Heading2"/>
        <w:sectPr w:rsidR="000B7B9F" w:rsidSect="00947802">
          <w:type w:val="continuous"/>
          <w:pgSz w:w="12240" w:h="15840" w:code="1"/>
          <w:pgMar w:top="720" w:right="720" w:bottom="720" w:left="720" w:header="0" w:footer="446" w:gutter="0"/>
          <w:cols w:space="720"/>
          <w:docGrid w:linePitch="218"/>
        </w:sectPr>
      </w:pPr>
    </w:p>
    <w:p w14:paraId="199102E6" w14:textId="77777777" w:rsidR="000135C2" w:rsidRPr="00DC6D97" w:rsidRDefault="000135C2" w:rsidP="00C571DA">
      <w:pPr>
        <w:pStyle w:val="Heading2"/>
      </w:pPr>
      <w:r w:rsidRPr="00DC6D97">
        <w:lastRenderedPageBreak/>
        <w:t>How the Department Made Determinations</w:t>
      </w:r>
    </w:p>
    <w:p w14:paraId="6B28E8D9" w14:textId="77777777" w:rsidR="002D491B" w:rsidRPr="00EC51AB" w:rsidRDefault="002D491B" w:rsidP="00EC51AB">
      <w:pPr>
        <w:pStyle w:val="BodyText"/>
      </w:pPr>
    </w:p>
    <w:p w14:paraId="1B79CEFC" w14:textId="77777777" w:rsidR="009E43D9" w:rsidRPr="004D63DC" w:rsidRDefault="009E43D9" w:rsidP="009E43D9">
      <w:pPr>
        <w:rPr>
          <w:rFonts w:cs="Arial"/>
          <w:szCs w:val="16"/>
        </w:rPr>
      </w:pPr>
      <w:r w:rsidRPr="004D63DC">
        <w:rPr>
          <w:rFonts w:cs="Arial"/>
          <w:szCs w:val="16"/>
        </w:rPr>
        <w:t>Below is the location of How the Department Made Determinations (HTDMD) on OSEP’s IDEA Website. How the Department Made Determinations in 2026 will be posted in June 2026. Copy and paste the link below into a browser to view.</w:t>
      </w:r>
    </w:p>
    <w:p w14:paraId="2B0660A8" w14:textId="77777777" w:rsidR="002D491B" w:rsidRPr="004D63DC" w:rsidRDefault="002D491B" w:rsidP="002D491B">
      <w:pPr>
        <w:pStyle w:val="BodyText"/>
        <w:spacing w:before="7"/>
        <w:rPr>
          <w:rFonts w:ascii="Arial" w:eastAsia="Calibri" w:hAnsi="Arial" w:cs="Arial"/>
          <w:sz w:val="16"/>
          <w:szCs w:val="16"/>
        </w:rPr>
      </w:pPr>
    </w:p>
    <w:p w14:paraId="2EB6CEF8" w14:textId="77777777" w:rsidR="008E2D1E" w:rsidRDefault="00960762" w:rsidP="00EC51AB">
      <w:pPr>
        <w:rPr>
          <w:rStyle w:val="Hyperlink"/>
        </w:rPr>
      </w:pPr>
      <w:hyperlink r:id="rId15" w:history="1">
        <w:r w:rsidRPr="00960762">
          <w:rPr>
            <w:rStyle w:val="Hyperlink"/>
          </w:rPr>
          <w:t>https://sites.ed.gov/idea/how-the-department-made-determinations/</w:t>
        </w:r>
      </w:hyperlink>
    </w:p>
    <w:p w14:paraId="362ED3F0" w14:textId="77777777" w:rsidR="00504A61" w:rsidRPr="00EC51AB" w:rsidRDefault="00504A61" w:rsidP="00EC51AB"/>
    <w:p w14:paraId="3D8581D8" w14:textId="77777777" w:rsidR="000B7B9F" w:rsidRDefault="000B7B9F">
      <w:pPr>
        <w:spacing w:before="0" w:after="200" w:line="276" w:lineRule="auto"/>
        <w:rPr>
          <w:rFonts w:eastAsiaTheme="majorEastAsia" w:cstheme="majorBidi"/>
          <w:b/>
          <w:bCs/>
          <w:sz w:val="20"/>
        </w:rPr>
      </w:pPr>
    </w:p>
    <w:p w14:paraId="45D30546" w14:textId="77777777" w:rsidR="000B7B9F" w:rsidRDefault="000B7B9F" w:rsidP="00947802">
      <w:pPr>
        <w:pStyle w:val="Heading2"/>
        <w:rPr>
          <w:szCs w:val="22"/>
        </w:rPr>
        <w:sectPr w:rsidR="000B7B9F" w:rsidSect="00947802">
          <w:type w:val="continuous"/>
          <w:pgSz w:w="12240" w:h="15840" w:code="1"/>
          <w:pgMar w:top="720" w:right="720" w:bottom="720" w:left="720" w:header="0" w:footer="446" w:gutter="0"/>
          <w:cols w:space="720"/>
          <w:docGrid w:linePitch="218"/>
        </w:sectPr>
      </w:pPr>
    </w:p>
    <w:p w14:paraId="4B7E250C" w14:textId="77777777" w:rsidR="00960762" w:rsidRDefault="00960762">
      <w:pPr>
        <w:spacing w:before="0" w:after="200" w:line="276" w:lineRule="auto"/>
      </w:pPr>
      <w:r>
        <w:rPr>
          <w:b/>
          <w:bCs/>
        </w:rPr>
        <w:br w:type="page"/>
      </w:r>
    </w:p>
    <w:p w14:paraId="4160164D" w14:textId="77777777" w:rsidR="00764AE7" w:rsidRDefault="00764AE7" w:rsidP="00947802">
      <w:pPr>
        <w:pStyle w:val="Heading2"/>
        <w:sectPr w:rsidR="00764AE7" w:rsidSect="008E3E24">
          <w:headerReference w:type="default" r:id="rId16"/>
          <w:footerReference w:type="default" r:id="rId17"/>
          <w:type w:val="continuous"/>
          <w:pgSz w:w="12240" w:h="15840" w:code="1"/>
          <w:pgMar w:top="720" w:right="720" w:bottom="720" w:left="720" w:header="0" w:footer="446" w:gutter="0"/>
          <w:cols w:space="720"/>
          <w:docGrid w:linePitch="218"/>
        </w:sectPr>
      </w:pPr>
    </w:p>
    <w:p w14:paraId="1E4452C1" w14:textId="77777777" w:rsidR="0016505D" w:rsidRPr="00973DEF" w:rsidRDefault="0016505D" w:rsidP="0016505D">
      <w:pPr>
        <w:pStyle w:val="Heading2"/>
        <w:spacing w:before="0"/>
        <w:rPr>
          <w:sz w:val="24"/>
          <w:szCs w:val="24"/>
        </w:rPr>
      </w:pPr>
      <w:r w:rsidRPr="00973DEF">
        <w:rPr>
          <w:sz w:val="24"/>
          <w:szCs w:val="24"/>
        </w:rPr>
        <w:lastRenderedPageBreak/>
        <w:t>Final Determination Letter</w:t>
      </w:r>
    </w:p>
    <w:p w14:paraId="3E27743B" w14:textId="77777777" w:rsidR="0016505D" w:rsidRPr="00CE7212" w:rsidRDefault="0016505D" w:rsidP="0016505D">
      <w:pPr>
        <w:spacing w:before="0" w:after="0" w:line="276" w:lineRule="auto"/>
        <w:rPr>
          <w:rFonts w:eastAsiaTheme="majorEastAsia" w:cstheme="majorBidi"/>
          <w:b/>
          <w:bCs/>
          <w:sz w:val="20"/>
          <w:szCs w:val="26"/>
        </w:rPr>
      </w:pPr>
    </w:p>
    <w:p w14:paraId="0AA2C52B" w14:textId="77777777" w:rsidR="0016505D" w:rsidRPr="00597743" w:rsidRDefault="0016505D" w:rsidP="0016505D">
      <w:pPr>
        <w:spacing w:before="0"/>
        <w:jc w:val="center"/>
        <w:rPr>
          <w:rFonts w:ascii="Times New Roman" w:hAnsi="Times New Roman"/>
          <w:sz w:val="24"/>
        </w:rPr>
      </w:pPr>
      <w:r w:rsidRPr="00597743">
        <w:t xml:space="preserve">June </w:t>
      </w:r>
      <w:r>
        <w:t>16</w:t>
      </w:r>
      <w:r w:rsidRPr="00597743">
        <w:rPr>
          <w:szCs w:val="24"/>
        </w:rPr>
        <w:t xml:space="preserve">, </w:t>
      </w:r>
      <w:r>
        <w:t>2026</w:t>
      </w:r>
    </w:p>
    <w:p w14:paraId="2172ABE9" w14:textId="77777777" w:rsidR="0016505D" w:rsidRPr="00597743" w:rsidRDefault="0016505D" w:rsidP="0016505D">
      <w:pPr>
        <w:rPr>
          <w:szCs w:val="24"/>
        </w:rPr>
      </w:pPr>
      <w:r w:rsidRPr="00597743">
        <w:rPr>
          <w:szCs w:val="24"/>
        </w:rPr>
        <w:t>Honorable Charlene Williams</w:t>
      </w:r>
    </w:p>
    <w:p w14:paraId="4739C058" w14:textId="77777777" w:rsidR="0016505D" w:rsidRPr="00597743" w:rsidRDefault="0016505D" w:rsidP="0016505D">
      <w:pPr>
        <w:spacing w:before="0"/>
        <w:rPr>
          <w:szCs w:val="24"/>
        </w:rPr>
      </w:pPr>
      <w:r w:rsidRPr="00597743">
        <w:rPr>
          <w:szCs w:val="24"/>
        </w:rPr>
        <w:t>Deputy Superintendent of Public Instruction</w:t>
      </w:r>
    </w:p>
    <w:p w14:paraId="0D94BA60" w14:textId="77777777" w:rsidR="0016505D" w:rsidRPr="00597743" w:rsidRDefault="0016505D" w:rsidP="0016505D">
      <w:pPr>
        <w:spacing w:before="0"/>
        <w:rPr>
          <w:szCs w:val="24"/>
        </w:rPr>
      </w:pPr>
      <w:r w:rsidRPr="00597743">
        <w:rPr>
          <w:szCs w:val="24"/>
        </w:rPr>
        <w:t>Oregon Department of Education</w:t>
      </w:r>
    </w:p>
    <w:p w14:paraId="1DBEB684" w14:textId="77777777" w:rsidR="0016505D" w:rsidRPr="00597743" w:rsidRDefault="0016505D" w:rsidP="0016505D">
      <w:pPr>
        <w:spacing w:before="0"/>
        <w:rPr>
          <w:szCs w:val="24"/>
        </w:rPr>
      </w:pPr>
      <w:r w:rsidRPr="00597743">
        <w:rPr>
          <w:szCs w:val="24"/>
        </w:rPr>
        <w:t>255 Capitol Street Northeast</w:t>
      </w:r>
    </w:p>
    <w:p w14:paraId="386C9DED" w14:textId="77777777" w:rsidR="0016505D" w:rsidRPr="00597743" w:rsidRDefault="0016505D" w:rsidP="0016505D">
      <w:pPr>
        <w:spacing w:before="0"/>
        <w:rPr>
          <w:szCs w:val="24"/>
        </w:rPr>
      </w:pPr>
      <w:r w:rsidRPr="00597743">
        <w:rPr>
          <w:szCs w:val="24"/>
        </w:rPr>
        <w:t>Salem, OR 97310</w:t>
      </w:r>
    </w:p>
    <w:p w14:paraId="39F35AE0" w14:textId="77777777" w:rsidR="0016505D" w:rsidRPr="00EC51AB" w:rsidRDefault="0016505D" w:rsidP="0016505D">
      <w:pPr>
        <w:spacing w:before="0"/>
        <w:rPr>
          <w:szCs w:val="24"/>
          <w:highlight w:val="yellow"/>
        </w:rPr>
      </w:pPr>
    </w:p>
    <w:p w14:paraId="47F20BAE" w14:textId="77777777" w:rsidR="0016505D" w:rsidRPr="00597743" w:rsidRDefault="0016505D" w:rsidP="0016505D">
      <w:pPr>
        <w:rPr>
          <w:szCs w:val="24"/>
        </w:rPr>
      </w:pPr>
      <w:r w:rsidRPr="00597743">
        <w:rPr>
          <w:szCs w:val="24"/>
        </w:rPr>
        <w:t>Dear Deputy Superintendent Williams:</w:t>
      </w:r>
    </w:p>
    <w:p w14:paraId="2BB6F6EB" w14:textId="77777777" w:rsidR="0016505D" w:rsidRPr="00CE7212" w:rsidRDefault="0016505D" w:rsidP="0016505D">
      <w:pPr>
        <w:spacing w:before="0" w:after="0"/>
        <w:rPr>
          <w:rStyle w:val="ui-provider"/>
        </w:rPr>
      </w:pPr>
    </w:p>
    <w:p w14:paraId="252B4DA5" w14:textId="77777777" w:rsidR="0016505D" w:rsidRPr="00597743" w:rsidRDefault="0016505D" w:rsidP="0016505D">
      <w:pPr>
        <w:rPr>
          <w:kern w:val="24"/>
        </w:rPr>
      </w:pPr>
      <w:r w:rsidRPr="00597743">
        <w:t xml:space="preserve">I am writing to advise you of the U.S. Department of Education’s (Department) </w:t>
      </w:r>
      <w:r>
        <w:t>2026</w:t>
      </w:r>
      <w:r w:rsidRPr="00597743">
        <w:t xml:space="preserve"> determination under Sections 616 and 642 of the Individuals with Disabilities Education Act (IDEA). The Department has determined that </w:t>
      </w:r>
      <w:proofErr w:type="gramStart"/>
      <w:r w:rsidRPr="00597743">
        <w:t>Oregon  meets</w:t>
      </w:r>
      <w:proofErr w:type="gramEnd"/>
      <w:r w:rsidRPr="00597743">
        <w:t xml:space="preserve"> the requirements and purposes of Part C of the IDEA. This determination is based on the totality of </w:t>
      </w:r>
      <w:r w:rsidRPr="006264F6">
        <w:t>Oregon's</w:t>
      </w:r>
      <w:r w:rsidRPr="00597743">
        <w:t xml:space="preserve"> data and information, including the Federal fiscal year (FFY) </w:t>
      </w:r>
      <w:r>
        <w:t>2024</w:t>
      </w:r>
      <w:r w:rsidRPr="00597743">
        <w:t xml:space="preserve"> State Performance Plan/Annual Performance Report (SPP/APR), other State-reported data, and other publicly available information.</w:t>
      </w:r>
    </w:p>
    <w:p w14:paraId="094E763B" w14:textId="77777777" w:rsidR="0016505D" w:rsidRPr="00CE7212" w:rsidRDefault="0016505D" w:rsidP="0016505D">
      <w:r w:rsidRPr="006264F6">
        <w:t>Oregon's</w:t>
      </w:r>
      <w:r w:rsidRPr="00597743">
        <w:t xml:space="preserve"> </w:t>
      </w:r>
      <w:r>
        <w:t>2026</w:t>
      </w:r>
      <w:r w:rsidRPr="00597743">
        <w:t xml:space="preserve"> determination is based on the data reflected in </w:t>
      </w:r>
      <w:r w:rsidRPr="006264F6">
        <w:t>Oregon's</w:t>
      </w:r>
      <w:r w:rsidRPr="006264F6" w:rsidDel="006264F6">
        <w:t xml:space="preserve"> </w:t>
      </w:r>
      <w:r w:rsidRPr="00597743">
        <w:t>“</w:t>
      </w:r>
      <w:r>
        <w:t>2026</w:t>
      </w:r>
      <w:r w:rsidRPr="00597743">
        <w:t xml:space="preserve"> Part C Results-Driven Accountability Matrix” (RDA Matrix). </w:t>
      </w:r>
      <w:r w:rsidRPr="00CE7212">
        <w:t xml:space="preserve">The RDA Matrix is individualized for </w:t>
      </w:r>
      <w:r w:rsidRPr="00597743">
        <w:t>Oregon</w:t>
      </w:r>
      <w:r w:rsidRPr="00CE7212">
        <w:t xml:space="preserve"> and consists of: </w:t>
      </w:r>
    </w:p>
    <w:p w14:paraId="221A6D42" w14:textId="77777777" w:rsidR="0016505D" w:rsidRPr="00CE7212" w:rsidRDefault="0016505D" w:rsidP="0016505D">
      <w:pPr>
        <w:numPr>
          <w:ilvl w:val="0"/>
          <w:numId w:val="21"/>
        </w:numPr>
        <w:spacing w:before="120" w:after="0"/>
        <w:rPr>
          <w:szCs w:val="24"/>
        </w:rPr>
      </w:pPr>
      <w:r w:rsidRPr="00CE7212">
        <w:rPr>
          <w:szCs w:val="24"/>
        </w:rPr>
        <w:t>a Compliance Matrix that includes scoring on Compliance Indicators and other compliance factors;</w:t>
      </w:r>
    </w:p>
    <w:p w14:paraId="6ADE3CD0" w14:textId="77777777" w:rsidR="0016505D" w:rsidRPr="00CE7212" w:rsidRDefault="0016505D" w:rsidP="0016505D">
      <w:pPr>
        <w:numPr>
          <w:ilvl w:val="0"/>
          <w:numId w:val="21"/>
        </w:numPr>
        <w:spacing w:before="120" w:after="0"/>
        <w:rPr>
          <w:szCs w:val="24"/>
        </w:rPr>
      </w:pPr>
      <w:r>
        <w:rPr>
          <w:szCs w:val="24"/>
        </w:rPr>
        <w:t xml:space="preserve">a Results Matrix (including Components and Appendices) that </w:t>
      </w:r>
      <w:proofErr w:type="gramStart"/>
      <w:r>
        <w:rPr>
          <w:szCs w:val="24"/>
        </w:rPr>
        <w:t>include</w:t>
      </w:r>
      <w:proofErr w:type="gramEnd"/>
      <w:r>
        <w:rPr>
          <w:szCs w:val="24"/>
        </w:rPr>
        <w:t xml:space="preserve"> scoring on Results Elements;</w:t>
      </w:r>
    </w:p>
    <w:p w14:paraId="6ACFEE79" w14:textId="77777777" w:rsidR="0016505D" w:rsidRPr="00CE7212" w:rsidRDefault="0016505D" w:rsidP="0016505D">
      <w:pPr>
        <w:numPr>
          <w:ilvl w:val="0"/>
          <w:numId w:val="21"/>
        </w:numPr>
        <w:spacing w:before="120" w:after="0"/>
        <w:rPr>
          <w:szCs w:val="24"/>
        </w:rPr>
      </w:pPr>
      <w:r w:rsidRPr="00CE7212">
        <w:rPr>
          <w:szCs w:val="24"/>
        </w:rPr>
        <w:t>a Compliance Score and a Results Score;</w:t>
      </w:r>
    </w:p>
    <w:p w14:paraId="45FC7BFC" w14:textId="77777777" w:rsidR="0016505D" w:rsidRPr="00CE7212" w:rsidRDefault="0016505D" w:rsidP="0016505D">
      <w:pPr>
        <w:numPr>
          <w:ilvl w:val="0"/>
          <w:numId w:val="21"/>
        </w:numPr>
        <w:spacing w:before="120" w:after="0"/>
        <w:rPr>
          <w:szCs w:val="24"/>
        </w:rPr>
      </w:pPr>
      <w:r w:rsidRPr="00CE7212">
        <w:rPr>
          <w:szCs w:val="24"/>
        </w:rPr>
        <w:t>an RDA Percentage based on both the Compliance Score and the Results Score; and</w:t>
      </w:r>
    </w:p>
    <w:p w14:paraId="022D5F46" w14:textId="77777777" w:rsidR="0016505D" w:rsidRPr="00CE7212" w:rsidRDefault="0016505D" w:rsidP="0016505D">
      <w:pPr>
        <w:numPr>
          <w:ilvl w:val="0"/>
          <w:numId w:val="21"/>
        </w:numPr>
        <w:spacing w:before="120" w:after="0"/>
        <w:rPr>
          <w:szCs w:val="24"/>
        </w:rPr>
      </w:pPr>
      <w:r w:rsidRPr="006264F6">
        <w:t>Oregon's</w:t>
      </w:r>
      <w:r w:rsidRPr="00CE7212">
        <w:rPr>
          <w:szCs w:val="24"/>
        </w:rPr>
        <w:t xml:space="preserve"> Determination. </w:t>
      </w:r>
    </w:p>
    <w:p w14:paraId="21ACA30C" w14:textId="77777777" w:rsidR="0016505D" w:rsidRPr="00597743" w:rsidRDefault="0016505D" w:rsidP="0016505D">
      <w:pPr>
        <w:rPr>
          <w:kern w:val="24"/>
        </w:rPr>
      </w:pPr>
      <w:r w:rsidRPr="00CE7212">
        <w:t>The RDA Matrix is further explained in a</w:t>
      </w:r>
      <w:r w:rsidRPr="00597743">
        <w:t xml:space="preserve"> document, entitled “</w:t>
      </w:r>
      <w:hyperlink r:id="rId18" w:history="1">
        <w:r w:rsidRPr="00CE7212">
          <w:rPr>
            <w:rStyle w:val="Hyperlink"/>
            <w:color w:val="auto"/>
          </w:rPr>
          <w:t xml:space="preserve">How the Department Made Determinations under Sections 616(d) and 642 of the Individuals with Disabilities Education Act in </w:t>
        </w:r>
        <w:r>
          <w:rPr>
            <w:rStyle w:val="Hyperlink"/>
            <w:color w:val="auto"/>
          </w:rPr>
          <w:t>2026</w:t>
        </w:r>
        <w:r w:rsidRPr="00CE7212">
          <w:rPr>
            <w:rStyle w:val="Hyperlink"/>
            <w:color w:val="auto"/>
          </w:rPr>
          <w:t>: Part C</w:t>
        </w:r>
      </w:hyperlink>
      <w:r w:rsidRPr="00597743">
        <w:t>” (HTDMD</w:t>
      </w:r>
      <w:r>
        <w:t>-C</w:t>
      </w:r>
      <w:r w:rsidRPr="00597743">
        <w:t>).</w:t>
      </w:r>
    </w:p>
    <w:p w14:paraId="76F7DA0D" w14:textId="77777777" w:rsidR="0016505D" w:rsidRDefault="0016505D" w:rsidP="0016505D">
      <w:r w:rsidRPr="00597743">
        <w:t xml:space="preserve">The Office of Special Education Programs (OSEP) is continuing to use both results data and compliance data in making the Department’s determinations in </w:t>
      </w:r>
      <w:r>
        <w:t>2026</w:t>
      </w:r>
      <w:r w:rsidRPr="00597743">
        <w:t>, as it did for Part C determinations in 201</w:t>
      </w:r>
      <w:r>
        <w:t>6</w:t>
      </w:r>
      <w:r w:rsidRPr="00597743">
        <w:t>-</w:t>
      </w:r>
      <w:r>
        <w:t>2025</w:t>
      </w:r>
      <w:r w:rsidRPr="00597743">
        <w:t>. (The specifics of the determination procedures and criteria are set forth in the HTDMD</w:t>
      </w:r>
      <w:r>
        <w:t>-C</w:t>
      </w:r>
      <w:r w:rsidRPr="00597743">
        <w:t xml:space="preserve"> document and reflected in the RDA Matrix for Oregon.) For </w:t>
      </w:r>
      <w:r>
        <w:t>2026</w:t>
      </w:r>
      <w:r w:rsidRPr="00597743">
        <w:t>, the Department’s IDEA Part C determinations continue to include consideration of each State’s Child Outcomes data, which measure how children who receive Part C services are improving functioning in three outcome areas that are critical to school readiness:</w:t>
      </w:r>
    </w:p>
    <w:p w14:paraId="1D751BA3" w14:textId="77777777" w:rsidR="0016505D" w:rsidRDefault="0016505D" w:rsidP="0016505D">
      <w:pPr>
        <w:sectPr w:rsidR="0016505D" w:rsidSect="0016505D">
          <w:headerReference w:type="default" r:id="rId19"/>
          <w:footerReference w:type="default" r:id="rId20"/>
          <w:type w:val="continuous"/>
          <w:pgSz w:w="12240" w:h="15840" w:code="1"/>
          <w:pgMar w:top="720" w:right="720" w:bottom="720" w:left="720" w:header="0" w:footer="446" w:gutter="0"/>
          <w:cols w:space="720"/>
          <w:docGrid w:linePitch="218"/>
        </w:sectPr>
      </w:pPr>
    </w:p>
    <w:p w14:paraId="30B1F9E2" w14:textId="77777777" w:rsidR="0016505D" w:rsidRPr="00CE7212" w:rsidRDefault="0016505D" w:rsidP="0016505D">
      <w:pPr>
        <w:numPr>
          <w:ilvl w:val="0"/>
          <w:numId w:val="22"/>
        </w:numPr>
        <w:spacing w:before="120" w:after="0"/>
        <w:rPr>
          <w:szCs w:val="24"/>
        </w:rPr>
      </w:pPr>
      <w:r w:rsidRPr="00CE7212">
        <w:rPr>
          <w:szCs w:val="24"/>
        </w:rPr>
        <w:t xml:space="preserve">positive social-emotional skills; </w:t>
      </w:r>
    </w:p>
    <w:p w14:paraId="36CC1963" w14:textId="77777777" w:rsidR="0016505D" w:rsidRPr="00CE7212" w:rsidRDefault="0016505D" w:rsidP="0016505D">
      <w:pPr>
        <w:numPr>
          <w:ilvl w:val="0"/>
          <w:numId w:val="22"/>
        </w:numPr>
        <w:spacing w:before="120" w:after="0"/>
        <w:rPr>
          <w:spacing w:val="-2"/>
          <w:szCs w:val="24"/>
        </w:rPr>
      </w:pPr>
      <w:r w:rsidRPr="00CE7212">
        <w:rPr>
          <w:spacing w:val="-2"/>
          <w:szCs w:val="24"/>
        </w:rPr>
        <w:t xml:space="preserve">acquisition and use of knowledge and skills (including early language/communication); and </w:t>
      </w:r>
    </w:p>
    <w:p w14:paraId="4EF6ACFA" w14:textId="77777777" w:rsidR="0016505D" w:rsidRPr="00597743" w:rsidRDefault="0016505D" w:rsidP="0016505D">
      <w:pPr>
        <w:numPr>
          <w:ilvl w:val="0"/>
          <w:numId w:val="22"/>
        </w:numPr>
        <w:spacing w:before="120" w:after="0"/>
        <w:rPr>
          <w:szCs w:val="24"/>
        </w:rPr>
      </w:pPr>
      <w:r w:rsidRPr="00CE7212">
        <w:rPr>
          <w:szCs w:val="24"/>
        </w:rPr>
        <w:t xml:space="preserve">use of appropriate behaviors to meet their needs. </w:t>
      </w:r>
    </w:p>
    <w:p w14:paraId="6856CDA2" w14:textId="77777777" w:rsidR="0016505D" w:rsidRPr="00597743" w:rsidRDefault="0016505D" w:rsidP="0016505D">
      <w:pPr>
        <w:rPr>
          <w:szCs w:val="24"/>
        </w:rPr>
      </w:pPr>
      <w:r w:rsidRPr="00597743">
        <w:t>Specifically, the Department considered the data quality</w:t>
      </w:r>
      <w:r>
        <w:t>,</w:t>
      </w:r>
      <w:r w:rsidRPr="00597743">
        <w:t xml:space="preserve"> and the child performance levels in each State’s Child Outcomes FFY </w:t>
      </w:r>
      <w:r>
        <w:t>2024</w:t>
      </w:r>
      <w:r w:rsidRPr="00597743">
        <w:rPr>
          <w:szCs w:val="24"/>
        </w:rPr>
        <w:t xml:space="preserve"> </w:t>
      </w:r>
      <w:r w:rsidRPr="00597743">
        <w:t>data</w:t>
      </w:r>
      <w:r w:rsidRPr="00CE7212">
        <w:t xml:space="preserve">. </w:t>
      </w:r>
      <w:r w:rsidRPr="00597743">
        <w:rPr>
          <w:szCs w:val="24"/>
        </w:rPr>
        <w:t xml:space="preserve">You may access the results of OSEP’s review of </w:t>
      </w:r>
      <w:r w:rsidRPr="006264F6">
        <w:t>Oregon's</w:t>
      </w:r>
      <w:r w:rsidRPr="00597743">
        <w:t xml:space="preserve"> </w:t>
      </w:r>
      <w:r w:rsidRPr="00597743">
        <w:rPr>
          <w:szCs w:val="24"/>
        </w:rPr>
        <w:t xml:space="preserve">SPP/APR and other relevant data by accessing the </w:t>
      </w:r>
      <w:r>
        <w:rPr>
          <w:szCs w:val="24"/>
        </w:rPr>
        <w:t>ED</w:t>
      </w:r>
      <w:r w:rsidRPr="003E4D49">
        <w:rPr>
          <w:i/>
          <w:iCs/>
          <w:szCs w:val="24"/>
        </w:rPr>
        <w:t>Facts</w:t>
      </w:r>
      <w:r>
        <w:rPr>
          <w:szCs w:val="24"/>
        </w:rPr>
        <w:t xml:space="preserve"> Metadata and Process Systems (</w:t>
      </w:r>
      <w:r w:rsidRPr="00597743">
        <w:rPr>
          <w:szCs w:val="24"/>
        </w:rPr>
        <w:t>E</w:t>
      </w:r>
      <w:r w:rsidRPr="003E4D49">
        <w:rPr>
          <w:i/>
          <w:iCs/>
          <w:szCs w:val="24"/>
        </w:rPr>
        <w:t>MAPS</w:t>
      </w:r>
      <w:r>
        <w:rPr>
          <w:szCs w:val="24"/>
        </w:rPr>
        <w:t>)</w:t>
      </w:r>
      <w:r w:rsidRPr="00597743">
        <w:rPr>
          <w:szCs w:val="24"/>
        </w:rPr>
        <w:t xml:space="preserve"> SPP/APR reporting tool using your State-specific log-on information at</w:t>
      </w:r>
      <w:r w:rsidRPr="00597743">
        <w:t xml:space="preserve"> </w:t>
      </w:r>
      <w:hyperlink r:id="rId21" w:tooltip="EMAPS SPP/APR reporting tool" w:history="1">
        <w:r w:rsidRPr="00CE7212">
          <w:rPr>
            <w:rStyle w:val="Hyperlink"/>
            <w:color w:val="auto"/>
            <w:szCs w:val="24"/>
          </w:rPr>
          <w:t>https://emaps.ed.gov/suite/</w:t>
        </w:r>
      </w:hyperlink>
      <w:r w:rsidRPr="00597743">
        <w:rPr>
          <w:szCs w:val="24"/>
        </w:rPr>
        <w:t xml:space="preserve">. When you access </w:t>
      </w:r>
      <w:r w:rsidRPr="006264F6">
        <w:t>Oregon's</w:t>
      </w:r>
      <w:r w:rsidRPr="00597743">
        <w:rPr>
          <w:szCs w:val="24"/>
        </w:rPr>
        <w:t xml:space="preserve"> SPP/APR on the site, you will find, in Indicators 1 through 1</w:t>
      </w:r>
      <w:r>
        <w:rPr>
          <w:szCs w:val="24"/>
        </w:rPr>
        <w:t>2</w:t>
      </w:r>
      <w:r w:rsidRPr="00597743">
        <w:rPr>
          <w:szCs w:val="24"/>
        </w:rPr>
        <w:t xml:space="preserve">, the OSEP Response to the indicator and any actions that </w:t>
      </w:r>
      <w:r w:rsidRPr="00597743">
        <w:t>Oregon</w:t>
      </w:r>
      <w:r w:rsidRPr="00597743">
        <w:rPr>
          <w:szCs w:val="24"/>
        </w:rPr>
        <w:t xml:space="preserve"> is required to take. The actions that </w:t>
      </w:r>
      <w:r w:rsidRPr="00597743">
        <w:t>Oregon</w:t>
      </w:r>
      <w:r w:rsidRPr="00597743">
        <w:rPr>
          <w:szCs w:val="24"/>
        </w:rPr>
        <w:t xml:space="preserve"> is required to take are in the “Required Actions” section of the indicator.</w:t>
      </w:r>
    </w:p>
    <w:p w14:paraId="651B9F62" w14:textId="77777777" w:rsidR="0016505D" w:rsidRPr="00597743" w:rsidRDefault="0016505D" w:rsidP="0016505D">
      <w:pPr>
        <w:rPr>
          <w:szCs w:val="24"/>
        </w:rPr>
      </w:pPr>
      <w:r w:rsidRPr="00597743">
        <w:rPr>
          <w:szCs w:val="24"/>
        </w:rPr>
        <w:t xml:space="preserve">It is important for your State to review the Introduction to the SPP/APR, which may also include language in the “OSEP Response” and/or “Required Actions” sections. </w:t>
      </w:r>
    </w:p>
    <w:p w14:paraId="6FBE6324" w14:textId="77777777" w:rsidR="0016505D" w:rsidRPr="00597743" w:rsidRDefault="0016505D" w:rsidP="0016505D">
      <w:pPr>
        <w:keepNext/>
        <w:rPr>
          <w:szCs w:val="24"/>
        </w:rPr>
      </w:pPr>
      <w:r w:rsidRPr="00597743">
        <w:rPr>
          <w:szCs w:val="24"/>
        </w:rPr>
        <w:t xml:space="preserve">Your State will also find the following important documents in the Determinations Enclosures section: </w:t>
      </w:r>
    </w:p>
    <w:p w14:paraId="75EE5589" w14:textId="77777777" w:rsidR="0016505D" w:rsidRPr="00597743" w:rsidRDefault="0016505D" w:rsidP="0016505D">
      <w:pPr>
        <w:keepNext/>
        <w:numPr>
          <w:ilvl w:val="0"/>
          <w:numId w:val="23"/>
        </w:numPr>
        <w:spacing w:before="120" w:after="0"/>
        <w:rPr>
          <w:szCs w:val="24"/>
        </w:rPr>
      </w:pPr>
      <w:r w:rsidRPr="006264F6">
        <w:t>Oregon's</w:t>
      </w:r>
      <w:r>
        <w:t xml:space="preserve"> </w:t>
      </w:r>
      <w:r w:rsidRPr="00597743">
        <w:rPr>
          <w:szCs w:val="24"/>
        </w:rPr>
        <w:t xml:space="preserve">RDA Matrix; </w:t>
      </w:r>
    </w:p>
    <w:p w14:paraId="5354538B" w14:textId="77777777" w:rsidR="0016505D" w:rsidRPr="00597743" w:rsidRDefault="0016505D" w:rsidP="0016505D">
      <w:pPr>
        <w:numPr>
          <w:ilvl w:val="0"/>
          <w:numId w:val="23"/>
        </w:numPr>
        <w:spacing w:before="120" w:after="0"/>
        <w:rPr>
          <w:szCs w:val="24"/>
        </w:rPr>
      </w:pPr>
      <w:r w:rsidRPr="00597743">
        <w:rPr>
          <w:szCs w:val="24"/>
        </w:rPr>
        <w:t xml:space="preserve">the HTDMD </w:t>
      </w:r>
      <w:hyperlink r:id="rId22" w:history="1">
        <w:r w:rsidRPr="00063DCA">
          <w:rPr>
            <w:rStyle w:val="Hyperlink"/>
            <w:szCs w:val="24"/>
          </w:rPr>
          <w:t>link</w:t>
        </w:r>
      </w:hyperlink>
      <w:r w:rsidRPr="00597743">
        <w:rPr>
          <w:szCs w:val="24"/>
        </w:rPr>
        <w:t xml:space="preserve">; </w:t>
      </w:r>
    </w:p>
    <w:p w14:paraId="6515CF30" w14:textId="77777777" w:rsidR="0016505D" w:rsidRPr="00597743" w:rsidRDefault="0016505D" w:rsidP="0016505D">
      <w:pPr>
        <w:numPr>
          <w:ilvl w:val="0"/>
          <w:numId w:val="23"/>
        </w:numPr>
        <w:spacing w:before="120" w:after="0"/>
        <w:rPr>
          <w:kern w:val="24"/>
        </w:rPr>
      </w:pPr>
      <w:r w:rsidRPr="00597743">
        <w:t>“</w:t>
      </w:r>
      <w:r>
        <w:t>2026</w:t>
      </w:r>
      <w:r w:rsidRPr="00597743">
        <w:rPr>
          <w:szCs w:val="24"/>
        </w:rPr>
        <w:t xml:space="preserve"> </w:t>
      </w:r>
      <w:r w:rsidRPr="00597743">
        <w:t xml:space="preserve">Data Rubric Part C,” which shows how OSEP calculated the </w:t>
      </w:r>
      <w:r w:rsidRPr="006264F6">
        <w:t>Oregon's</w:t>
      </w:r>
      <w:r w:rsidRPr="00597743">
        <w:rPr>
          <w:szCs w:val="24"/>
        </w:rPr>
        <w:t xml:space="preserve"> </w:t>
      </w:r>
      <w:r w:rsidRPr="00597743">
        <w:t>“Timely and Accurate State-Reported Data</w:t>
      </w:r>
      <w:r w:rsidRPr="00597743">
        <w:rPr>
          <w:szCs w:val="24"/>
        </w:rPr>
        <w:t>”</w:t>
      </w:r>
      <w:r w:rsidRPr="00597743">
        <w:t xml:space="preserve"> score in the Compliance Matrix; and</w:t>
      </w:r>
    </w:p>
    <w:p w14:paraId="10BA6086" w14:textId="77777777" w:rsidR="0016505D" w:rsidRPr="00597743" w:rsidRDefault="0016505D" w:rsidP="0016505D">
      <w:pPr>
        <w:numPr>
          <w:ilvl w:val="0"/>
          <w:numId w:val="23"/>
        </w:numPr>
        <w:spacing w:before="120" w:after="0"/>
        <w:rPr>
          <w:szCs w:val="24"/>
        </w:rPr>
      </w:pPr>
      <w:r w:rsidRPr="00597743">
        <w:rPr>
          <w:szCs w:val="24"/>
        </w:rPr>
        <w:t xml:space="preserve">“Dispute Resolution </w:t>
      </w:r>
      <w:r>
        <w:rPr>
          <w:szCs w:val="24"/>
        </w:rPr>
        <w:t>2024</w:t>
      </w:r>
      <w:r w:rsidRPr="00597743">
        <w:rPr>
          <w:szCs w:val="24"/>
        </w:rPr>
        <w:t>-</w:t>
      </w:r>
      <w:r>
        <w:rPr>
          <w:szCs w:val="24"/>
        </w:rPr>
        <w:t>2025</w:t>
      </w:r>
      <w:r w:rsidRPr="00597743">
        <w:rPr>
          <w:szCs w:val="24"/>
        </w:rPr>
        <w:t xml:space="preserve">,” which includes the IDEA Section 618 data that OSEP used to calculate the </w:t>
      </w:r>
      <w:r w:rsidRPr="006264F6">
        <w:t>Oregon's</w:t>
      </w:r>
      <w:r w:rsidRPr="00597743">
        <w:rPr>
          <w:szCs w:val="24"/>
        </w:rPr>
        <w:t xml:space="preserve"> “Timely State Complaint Decisions” and “Timely Due Process Hearing Decisions” scores in the Compliance Matrix. </w:t>
      </w:r>
    </w:p>
    <w:p w14:paraId="5915A05D" w14:textId="77777777" w:rsidR="0016505D" w:rsidRPr="00597743" w:rsidRDefault="0016505D" w:rsidP="0016505D">
      <w:r w:rsidRPr="00CE7212">
        <w:lastRenderedPageBreak/>
        <w:t xml:space="preserve">As noted above, </w:t>
      </w:r>
      <w:r w:rsidRPr="006264F6">
        <w:t>Oregon's</w:t>
      </w:r>
      <w:r w:rsidRPr="00CE7212">
        <w:t xml:space="preserve"> </w:t>
      </w:r>
      <w:r>
        <w:t>2026</w:t>
      </w:r>
      <w:r w:rsidRPr="00CE7212">
        <w:t xml:space="preserve"> determination is Meets Requirements. A State’s </w:t>
      </w:r>
      <w:r>
        <w:t>2026</w:t>
      </w:r>
      <w:r w:rsidRPr="00CE7212">
        <w:t xml:space="preserve"> RDA </w:t>
      </w:r>
      <w:proofErr w:type="gramStart"/>
      <w:r w:rsidRPr="00CE7212">
        <w:t>Determination is</w:t>
      </w:r>
      <w:proofErr w:type="gramEnd"/>
      <w:r w:rsidRPr="00CE7212">
        <w:t xml:space="preserve"> Meets Requirements if the RDA Percentage is at least 80%, unless the Department </w:t>
      </w:r>
      <w:r w:rsidRPr="00597743">
        <w:t>has imposed Specific Conditions on the State’s last three</w:t>
      </w:r>
      <w:r w:rsidRPr="00597743">
        <w:rPr>
          <w:szCs w:val="24"/>
        </w:rPr>
        <w:t xml:space="preserve"> </w:t>
      </w:r>
      <w:r w:rsidRPr="00597743">
        <w:t xml:space="preserve">IDEA Part C grant awards (for FFYs </w:t>
      </w:r>
      <w:r>
        <w:t>2023</w:t>
      </w:r>
      <w:r w:rsidRPr="00597743">
        <w:rPr>
          <w:szCs w:val="24"/>
        </w:rPr>
        <w:t xml:space="preserve">, </w:t>
      </w:r>
      <w:r>
        <w:t>2024</w:t>
      </w:r>
      <w:r w:rsidRPr="00597743">
        <w:rPr>
          <w:szCs w:val="24"/>
        </w:rPr>
        <w:t xml:space="preserve">, </w:t>
      </w:r>
      <w:r w:rsidRPr="00597743">
        <w:t xml:space="preserve">and </w:t>
      </w:r>
      <w:r>
        <w:t>2025</w:t>
      </w:r>
      <w:r w:rsidRPr="00597743">
        <w:rPr>
          <w:szCs w:val="24"/>
        </w:rPr>
        <w:t>)</w:t>
      </w:r>
      <w:r w:rsidRPr="00597743">
        <w:t xml:space="preserve">, and those Specific Conditions are in effect at the time of the </w:t>
      </w:r>
      <w:r>
        <w:t>2026</w:t>
      </w:r>
      <w:r w:rsidRPr="00597743">
        <w:rPr>
          <w:szCs w:val="24"/>
        </w:rPr>
        <w:t xml:space="preserve"> </w:t>
      </w:r>
      <w:r w:rsidRPr="00597743">
        <w:t>determination.</w:t>
      </w:r>
    </w:p>
    <w:p w14:paraId="2DB5E5A8" w14:textId="77777777" w:rsidR="0016505D" w:rsidRDefault="0016505D" w:rsidP="0016505D">
      <w:r w:rsidRPr="00597743">
        <w:t xml:space="preserve">The Department is committed to transparency, accountability, strong partnerships with States and stakeholders, high expectations, and improved outcomes for children with disabilities. To support these priorities, the Secretary is considering modifications to the factors the Department uses when making determinations, effective June 2027. Potential additional factors include graduation rates and assessment data, such as graduation rates for students with disabilities compared to all students, and Statewide assessment results of students with disabilities compared to all students. Other potential factors include longstanding noncompliance (such as OSEP-identified noncompliance that remains unresolved) as a factor in </w:t>
      </w:r>
      <w:proofErr w:type="gramStart"/>
      <w:r w:rsidRPr="00597743">
        <w:t>determinations</w:t>
      </w:r>
      <w:proofErr w:type="gramEnd"/>
      <w:r w:rsidRPr="00597743">
        <w:t>.  </w:t>
      </w:r>
    </w:p>
    <w:p w14:paraId="363817A7" w14:textId="77777777" w:rsidR="0016505D" w:rsidRDefault="0016505D" w:rsidP="0016505D">
      <w:r w:rsidRPr="00597743">
        <w:t xml:space="preserve">For the FFY 2025 SPP/APR submission due on February 1, 2027, OSEP is providing the following information about the IDEA Section 618 data. The 2025-26 IDEA Section 618 Part C data submitted as of the due date will be used for the FFY 2025 SPP/APR and the 2027 IDEA Part C Results Matrix and data submitted during correction opportunities will not be used for these purposes. The 2025-26 IDEA Section 618 Part C data will automatically be prepopulated in the SPP/APR reporting platform for Part C SPP/APR Indicators 2, 5, 6, 9, and 10 (as they have in the past). States and Entities are expected to submit high-quality IDEA Section 618 Part C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w:t>
      </w:r>
      <w:proofErr w:type="spellStart"/>
      <w:r w:rsidRPr="00597743">
        <w:t>EDPass</w:t>
      </w:r>
      <w:proofErr w:type="spellEnd"/>
      <w:r w:rsidRPr="00597743">
        <w:t xml:space="preserve"> prior to the applicable due date: 1) revise the uploaded data to address the business rule; or 2) provide a data note addressing why the uploaded data triggered the business rule. States and Entities will be unable to submit the IDEA Section 618 Part C data without taking one of these two actions. There will not be a resubmission period for the IDEA Section 618 Part C data.</w:t>
      </w:r>
    </w:p>
    <w:p w14:paraId="20F02F4C" w14:textId="77777777" w:rsidR="0016505D" w:rsidRPr="00597743" w:rsidRDefault="0016505D" w:rsidP="0016505D">
      <w:r w:rsidRPr="00597743">
        <w:t xml:space="preserve">As a reminder, Oregon must report annually to the public, by posting on the State lead agency’s website, on the performance of each early intervention service (EIS) program located in Oregon on the targets in the SPP/APR as soon as practicable, but no later than 120 days after </w:t>
      </w:r>
      <w:r w:rsidRPr="0061436B">
        <w:t>Oregon's</w:t>
      </w:r>
      <w:r w:rsidRPr="00597743">
        <w:t xml:space="preserve"> submission of its FFY </w:t>
      </w:r>
      <w:r>
        <w:t>2024</w:t>
      </w:r>
      <w:r w:rsidRPr="00597743">
        <w:rPr>
          <w:szCs w:val="24"/>
        </w:rPr>
        <w:t xml:space="preserve"> </w:t>
      </w:r>
      <w:r w:rsidRPr="00597743">
        <w:t>SPP/APR.</w:t>
      </w:r>
      <w:r w:rsidRPr="00597743">
        <w:rPr>
          <w:szCs w:val="24"/>
        </w:rPr>
        <w:t xml:space="preserve"> </w:t>
      </w:r>
      <w:r w:rsidRPr="00597743">
        <w:t>In addition, Oregon</w:t>
      </w:r>
      <w:r w:rsidRPr="00597743">
        <w:rPr>
          <w:szCs w:val="24"/>
        </w:rPr>
        <w:t xml:space="preserve"> must:</w:t>
      </w:r>
    </w:p>
    <w:p w14:paraId="395330FB" w14:textId="77777777" w:rsidR="0016505D" w:rsidRPr="00597743" w:rsidRDefault="0016505D" w:rsidP="0016505D">
      <w:pPr>
        <w:numPr>
          <w:ilvl w:val="0"/>
          <w:numId w:val="26"/>
        </w:numPr>
        <w:spacing w:before="120" w:after="0"/>
        <w:rPr>
          <w:szCs w:val="24"/>
        </w:rPr>
      </w:pPr>
      <w:r w:rsidRPr="00597743">
        <w:rPr>
          <w:szCs w:val="24"/>
        </w:rPr>
        <w:t xml:space="preserve">review EIS program performance against targets in </w:t>
      </w:r>
      <w:r w:rsidRPr="0061436B">
        <w:t>Oregon's</w:t>
      </w:r>
      <w:r>
        <w:t xml:space="preserve"> </w:t>
      </w:r>
      <w:r w:rsidRPr="00597743">
        <w:rPr>
          <w:szCs w:val="24"/>
        </w:rPr>
        <w:t>SPP/APR;</w:t>
      </w:r>
      <w:r>
        <w:t xml:space="preserve"> </w:t>
      </w:r>
    </w:p>
    <w:p w14:paraId="478AD3C4" w14:textId="77777777" w:rsidR="0016505D" w:rsidRPr="00597743" w:rsidRDefault="0016505D" w:rsidP="0016505D">
      <w:pPr>
        <w:numPr>
          <w:ilvl w:val="0"/>
          <w:numId w:val="26"/>
        </w:numPr>
        <w:spacing w:before="120" w:after="0"/>
        <w:rPr>
          <w:szCs w:val="24"/>
        </w:rPr>
      </w:pPr>
      <w:r w:rsidRPr="00597743">
        <w:rPr>
          <w:szCs w:val="24"/>
        </w:rPr>
        <w:t xml:space="preserve">determine if each EIS program “meets the requirements” of Part C, or “needs assistance,” “needs intervention,” or “needs substantial intervention” in implementing Part C of the IDEA; </w:t>
      </w:r>
    </w:p>
    <w:p w14:paraId="33EAE417" w14:textId="77777777" w:rsidR="0016505D" w:rsidRPr="00597743" w:rsidRDefault="0016505D" w:rsidP="0016505D">
      <w:pPr>
        <w:numPr>
          <w:ilvl w:val="0"/>
          <w:numId w:val="26"/>
        </w:numPr>
        <w:spacing w:before="120" w:after="0"/>
        <w:rPr>
          <w:szCs w:val="24"/>
        </w:rPr>
      </w:pPr>
      <w:r w:rsidRPr="00597743">
        <w:rPr>
          <w:szCs w:val="24"/>
        </w:rPr>
        <w:t xml:space="preserve">take appropriate enforcement action; and </w:t>
      </w:r>
    </w:p>
    <w:p w14:paraId="553D10AF" w14:textId="77777777" w:rsidR="0016505D" w:rsidRPr="00597743" w:rsidRDefault="0016505D" w:rsidP="0016505D">
      <w:pPr>
        <w:numPr>
          <w:ilvl w:val="0"/>
          <w:numId w:val="26"/>
        </w:numPr>
        <w:spacing w:before="120" w:after="0"/>
        <w:rPr>
          <w:szCs w:val="24"/>
        </w:rPr>
      </w:pPr>
      <w:r w:rsidRPr="00597743">
        <w:rPr>
          <w:szCs w:val="24"/>
        </w:rPr>
        <w:t xml:space="preserve">inform each EIS program of its determination. </w:t>
      </w:r>
    </w:p>
    <w:p w14:paraId="22B5EA9C" w14:textId="77777777" w:rsidR="0016505D" w:rsidRPr="00597743" w:rsidRDefault="0016505D" w:rsidP="0016505D">
      <w:pPr>
        <w:keepNext/>
        <w:rPr>
          <w:szCs w:val="24"/>
        </w:rPr>
      </w:pPr>
      <w:r w:rsidRPr="00597743">
        <w:rPr>
          <w:szCs w:val="24"/>
        </w:rPr>
        <w:t xml:space="preserve">Further, </w:t>
      </w:r>
      <w:r w:rsidRPr="00597743">
        <w:t>Oregon</w:t>
      </w:r>
      <w:r w:rsidRPr="00597743">
        <w:rPr>
          <w:szCs w:val="24"/>
        </w:rPr>
        <w:t xml:space="preserve"> must make its SPP/APR available to the public by posting it on the State lead agency’s website. Within the upcoming weeks, OSEP will be finalizing a State Profile that:</w:t>
      </w:r>
    </w:p>
    <w:p w14:paraId="37F61EC4" w14:textId="77777777" w:rsidR="0016505D" w:rsidRPr="00597743" w:rsidRDefault="0016505D" w:rsidP="0016505D">
      <w:pPr>
        <w:numPr>
          <w:ilvl w:val="0"/>
          <w:numId w:val="27"/>
        </w:numPr>
        <w:spacing w:before="120" w:after="0"/>
        <w:rPr>
          <w:kern w:val="24"/>
          <w:szCs w:val="24"/>
        </w:rPr>
      </w:pPr>
      <w:r w:rsidRPr="00597743">
        <w:rPr>
          <w:szCs w:val="24"/>
        </w:rPr>
        <w:t xml:space="preserve">includes </w:t>
      </w:r>
      <w:r w:rsidRPr="0061436B">
        <w:t>Oregon's</w:t>
      </w:r>
      <w:r w:rsidRPr="00597743">
        <w:rPr>
          <w:szCs w:val="24"/>
        </w:rPr>
        <w:t xml:space="preserve"> determination letter and SPP/APR, OSEP attachments, and all State attachments that are accessible in accordance with Section 508 of the Rehabilitation Act of 1973; and</w:t>
      </w:r>
    </w:p>
    <w:p w14:paraId="7807129A" w14:textId="77777777" w:rsidR="0016505D" w:rsidRPr="00597743" w:rsidRDefault="0016505D" w:rsidP="0016505D">
      <w:pPr>
        <w:numPr>
          <w:ilvl w:val="0"/>
          <w:numId w:val="27"/>
        </w:numPr>
        <w:spacing w:before="120" w:after="0"/>
        <w:rPr>
          <w:szCs w:val="24"/>
        </w:rPr>
      </w:pPr>
      <w:r w:rsidRPr="00597743">
        <w:rPr>
          <w:szCs w:val="24"/>
        </w:rPr>
        <w:t>will be accessible to the public via the ed.gov website.</w:t>
      </w:r>
    </w:p>
    <w:p w14:paraId="42619023" w14:textId="77777777" w:rsidR="0016505D" w:rsidRPr="00597743" w:rsidRDefault="0016505D" w:rsidP="0016505D">
      <w:pPr>
        <w:rPr>
          <w:szCs w:val="24"/>
        </w:rPr>
      </w:pPr>
      <w:r w:rsidRPr="00597743">
        <w:rPr>
          <w:szCs w:val="24"/>
        </w:rPr>
        <w:t xml:space="preserve">OSEP appreciates </w:t>
      </w:r>
      <w:r w:rsidRPr="0061436B">
        <w:t>Oregon's</w:t>
      </w:r>
      <w:r>
        <w:t xml:space="preserve"> </w:t>
      </w:r>
      <w:r w:rsidRPr="00597743">
        <w:rPr>
          <w:szCs w:val="24"/>
        </w:rPr>
        <w:t xml:space="preserve">efforts to improve results for infants and toddlers with disabilities and their families and looks forward to working with </w:t>
      </w:r>
      <w:r w:rsidRPr="00597743">
        <w:t>Oregon</w:t>
      </w:r>
      <w:r w:rsidRPr="00597743">
        <w:rPr>
          <w:szCs w:val="24"/>
        </w:rPr>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33E361A9" w14:textId="77777777" w:rsidR="0016505D" w:rsidRPr="00597743" w:rsidRDefault="0016505D" w:rsidP="0016505D">
      <w:pPr>
        <w:keepNext/>
        <w:ind w:left="4680"/>
        <w:rPr>
          <w:szCs w:val="24"/>
        </w:rPr>
      </w:pPr>
      <w:r w:rsidRPr="00597743">
        <w:rPr>
          <w:szCs w:val="24"/>
        </w:rPr>
        <w:t>Sincerely,</w:t>
      </w:r>
    </w:p>
    <w:p w14:paraId="35266D28" w14:textId="77777777" w:rsidR="0016505D" w:rsidRPr="00597743" w:rsidRDefault="0016505D" w:rsidP="0016505D">
      <w:pPr>
        <w:keepNext/>
        <w:spacing w:before="480"/>
        <w:ind w:left="4680"/>
        <w:rPr>
          <w:szCs w:val="24"/>
        </w:rPr>
      </w:pPr>
      <w:r w:rsidRPr="00D50FAB">
        <w:rPr>
          <w:noProof/>
          <w:szCs w:val="24"/>
        </w:rPr>
        <w:drawing>
          <wp:inline distT="0" distB="0" distL="0" distR="0" wp14:anchorId="313C62AE" wp14:editId="36303772">
            <wp:extent cx="2062886" cy="377814"/>
            <wp:effectExtent l="0" t="0" r="0" b="3810"/>
            <wp:docPr id="752598962"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98962" name="Picture 1" descr="signature"/>
                    <pic:cNvPicPr/>
                  </pic:nvPicPr>
                  <pic:blipFill>
                    <a:blip r:embed="rId23"/>
                    <a:stretch>
                      <a:fillRect/>
                    </a:stretch>
                  </pic:blipFill>
                  <pic:spPr>
                    <a:xfrm>
                      <a:off x="0" y="0"/>
                      <a:ext cx="2131665" cy="390411"/>
                    </a:xfrm>
                    <a:prstGeom prst="rect">
                      <a:avLst/>
                    </a:prstGeom>
                  </pic:spPr>
                </pic:pic>
              </a:graphicData>
            </a:graphic>
          </wp:inline>
        </w:drawing>
      </w:r>
    </w:p>
    <w:p w14:paraId="1E366C6D" w14:textId="77777777" w:rsidR="0016505D" w:rsidRPr="00597743" w:rsidRDefault="0016505D" w:rsidP="0016505D">
      <w:pPr>
        <w:keepNext/>
        <w:pBdr>
          <w:top w:val="single" w:sz="8" w:space="1" w:color="7F7F7F" w:themeColor="text1" w:themeTint="80"/>
        </w:pBdr>
        <w:spacing w:before="0"/>
        <w:ind w:left="4680"/>
        <w:rPr>
          <w:szCs w:val="24"/>
        </w:rPr>
      </w:pPr>
      <w:r>
        <w:rPr>
          <w:szCs w:val="24"/>
        </w:rPr>
        <w:t>Erin McHugh</w:t>
      </w:r>
    </w:p>
    <w:p w14:paraId="28EA63B9" w14:textId="77777777" w:rsidR="0016505D" w:rsidRPr="00597743" w:rsidRDefault="0016505D" w:rsidP="0016505D">
      <w:pPr>
        <w:keepNext/>
        <w:spacing w:before="0"/>
        <w:ind w:left="4680"/>
        <w:rPr>
          <w:szCs w:val="24"/>
        </w:rPr>
      </w:pPr>
      <w:r>
        <w:rPr>
          <w:szCs w:val="24"/>
        </w:rPr>
        <w:t>Deputy Director</w:t>
      </w:r>
    </w:p>
    <w:p w14:paraId="430066AE" w14:textId="77777777" w:rsidR="0016505D" w:rsidRPr="00597743" w:rsidRDefault="0016505D" w:rsidP="0016505D">
      <w:pPr>
        <w:spacing w:before="0"/>
        <w:ind w:left="4680"/>
        <w:rPr>
          <w:szCs w:val="24"/>
        </w:rPr>
      </w:pPr>
      <w:r w:rsidRPr="00597743">
        <w:rPr>
          <w:szCs w:val="24"/>
        </w:rPr>
        <w:t>Office of Special Education Programs</w:t>
      </w:r>
    </w:p>
    <w:p w14:paraId="016FFD14" w14:textId="77777777" w:rsidR="0016505D" w:rsidRDefault="0016505D" w:rsidP="0016505D">
      <w:pPr>
        <w:rPr>
          <w:szCs w:val="24"/>
        </w:rPr>
      </w:pPr>
      <w:r w:rsidRPr="00597743">
        <w:rPr>
          <w:szCs w:val="24"/>
        </w:rPr>
        <w:t xml:space="preserve">cc: </w:t>
      </w:r>
      <w:r w:rsidRPr="00597743">
        <w:t>Oregon</w:t>
      </w:r>
      <w:r w:rsidRPr="00597743">
        <w:rPr>
          <w:szCs w:val="24"/>
        </w:rPr>
        <w:t xml:space="preserve"> Part C Coordinator</w:t>
      </w:r>
    </w:p>
    <w:sectPr w:rsidR="0016505D" w:rsidSect="00DE3712">
      <w:headerReference w:type="default" r:id="rId24"/>
      <w:footerReference w:type="default" r:id="rId25"/>
      <w:type w:val="continuous"/>
      <w:pgSz w:w="12240" w:h="15840" w:code="1"/>
      <w:pgMar w:top="720" w:right="720" w:bottom="720" w:left="720" w:header="0" w:footer="446"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E577" w14:textId="77777777" w:rsidR="00B37355" w:rsidRDefault="00B37355" w:rsidP="000802F7">
      <w:pPr>
        <w:spacing w:before="0" w:after="0"/>
      </w:pPr>
      <w:r>
        <w:separator/>
      </w:r>
    </w:p>
  </w:endnote>
  <w:endnote w:type="continuationSeparator" w:id="0">
    <w:p w14:paraId="643D8F25" w14:textId="77777777" w:rsidR="00B37355" w:rsidRDefault="00B37355" w:rsidP="000802F7">
      <w:pPr>
        <w:spacing w:before="0" w:after="0"/>
      </w:pPr>
      <w:r>
        <w:continuationSeparator/>
      </w:r>
    </w:p>
  </w:endnote>
  <w:endnote w:type="continuationNotice" w:id="1">
    <w:p w14:paraId="076CA8A3" w14:textId="77777777" w:rsidR="00B37355" w:rsidRDefault="00B373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39C4BBF9" w14:textId="77777777"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0AC324ED" w14:textId="77777777"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22511"/>
      <w:docPartObj>
        <w:docPartGallery w:val="Page Numbers (Bottom of Page)"/>
        <w:docPartUnique/>
      </w:docPartObj>
    </w:sdtPr>
    <w:sdtEndPr>
      <w:rPr>
        <w:noProof/>
      </w:rPr>
    </w:sdtEndPr>
    <w:sdtContent>
      <w:sdt>
        <w:sdtPr>
          <w:id w:val="-551306300"/>
          <w:docPartObj>
            <w:docPartGallery w:val="Page Numbers (Bottom of Page)"/>
            <w:docPartUnique/>
          </w:docPartObj>
        </w:sdtPr>
        <w:sdtEndPr>
          <w:rPr>
            <w:noProof/>
          </w:rPr>
        </w:sdtEndPr>
        <w:sdtContent>
          <w:p w14:paraId="621DCAA9" w14:textId="77777777" w:rsidR="00B036F5" w:rsidRPr="00E52257" w:rsidRDefault="00B036F5"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14:paraId="2BF4B00E" w14:textId="77777777" w:rsidR="00B036F5" w:rsidRPr="00021B5A" w:rsidRDefault="00B036F5"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6512C9D2" w14:textId="77777777" w:rsidR="00B036F5" w:rsidRPr="00D21F29" w:rsidRDefault="00B036F5"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p w14:paraId="1CD57B19" w14:textId="77777777" w:rsidR="00B036F5" w:rsidRPr="00A20642" w:rsidRDefault="00B036F5"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5763"/>
      <w:docPartObj>
        <w:docPartGallery w:val="Page Numbers (Bottom of Page)"/>
        <w:docPartUnique/>
      </w:docPartObj>
    </w:sdtPr>
    <w:sdtEndPr>
      <w:rPr>
        <w:noProof/>
      </w:rPr>
    </w:sdtEndPr>
    <w:sdtContent>
      <w:sdt>
        <w:sdtPr>
          <w:id w:val="1890454903"/>
          <w:docPartObj>
            <w:docPartGallery w:val="Page Numbers (Bottom of Page)"/>
            <w:docPartUnique/>
          </w:docPartObj>
        </w:sdtPr>
        <w:sdtEndPr>
          <w:rPr>
            <w:noProof/>
          </w:rPr>
        </w:sdtEndPr>
        <w:sdtContent>
          <w:p w14:paraId="20E87C65" w14:textId="77777777" w:rsidR="0016505D" w:rsidRPr="00E52257" w:rsidRDefault="0016505D" w:rsidP="00764AE7">
            <w:pPr>
              <w:jc w:val="center"/>
              <w:rPr>
                <w:color w:val="17365D"/>
                <w:sz w:val="18"/>
              </w:rPr>
            </w:pPr>
            <w:r>
              <w:ptab w:relativeTo="margin" w:alignment="left" w:leader="none"/>
            </w:r>
            <w:bookmarkStart w:id="93" w:name="_Hlk200015649"/>
            <w:r w:rsidRPr="00764AE7">
              <w:t xml:space="preserve"> </w:t>
            </w:r>
            <w:r>
              <w:ptab w:relativeTo="margin" w:alignment="left" w:leader="none"/>
            </w:r>
            <w:r>
              <w:ptab w:relativeTo="margin" w:alignment="left" w:leader="none"/>
            </w:r>
            <w:r>
              <w:ptab w:relativeTo="margin" w:alignment="left" w:leader="none"/>
            </w:r>
            <w:r>
              <w:ptab w:relativeTo="margin" w:alignment="left" w:leader="none"/>
            </w:r>
            <w:r w:rsidRPr="00E52257">
              <w:rPr>
                <w:color w:val="17365D"/>
                <w:sz w:val="18"/>
              </w:rPr>
              <w:t>400 MARYLAND AVE. S.W., WASHINGTON DC 20202-2600</w:t>
            </w:r>
          </w:p>
          <w:p w14:paraId="11F8EC10" w14:textId="77777777" w:rsidR="0016505D" w:rsidRPr="00021B5A" w:rsidRDefault="0016505D" w:rsidP="00764AE7">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1584CC3A" w14:textId="77777777" w:rsidR="0016505D" w:rsidRPr="00ED466D" w:rsidRDefault="0016505D" w:rsidP="00764AE7">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bookmarkEnd w:id="93"/>
          <w:p w14:paraId="229B7935" w14:textId="77777777" w:rsidR="0016505D" w:rsidRDefault="0016505D" w:rsidP="00EC51AB">
            <w:pPr>
              <w:jc w:val="center"/>
            </w:pPr>
          </w:p>
          <w:p w14:paraId="41859935" w14:textId="77777777" w:rsidR="0016505D" w:rsidRPr="00A20642" w:rsidRDefault="0016505D"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91206"/>
      <w:docPartObj>
        <w:docPartGallery w:val="Page Numbers (Bottom of Page)"/>
        <w:docPartUnique/>
      </w:docPartObj>
    </w:sdtPr>
    <w:sdtEndPr>
      <w:rPr>
        <w:noProof/>
      </w:rPr>
    </w:sdtEndPr>
    <w:sdtContent>
      <w:sdt>
        <w:sdtPr>
          <w:id w:val="1605686203"/>
          <w:docPartObj>
            <w:docPartGallery w:val="Page Numbers (Bottom of Page)"/>
            <w:docPartUnique/>
          </w:docPartObj>
        </w:sdtPr>
        <w:sdtEndPr>
          <w:rPr>
            <w:noProof/>
          </w:rPr>
        </w:sdtEndPr>
        <w:sdtContent>
          <w:p w14:paraId="4DBB29C8" w14:textId="77777777" w:rsidR="0082602C" w:rsidRPr="00A20642" w:rsidRDefault="0082602C"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E7F8" w14:textId="77777777" w:rsidR="00B37355" w:rsidRDefault="00B37355" w:rsidP="000802F7">
      <w:pPr>
        <w:spacing w:before="0" w:after="0"/>
      </w:pPr>
      <w:r>
        <w:separator/>
      </w:r>
    </w:p>
  </w:footnote>
  <w:footnote w:type="continuationSeparator" w:id="0">
    <w:p w14:paraId="5DE16863" w14:textId="77777777" w:rsidR="00B37355" w:rsidRDefault="00B37355" w:rsidP="000802F7">
      <w:pPr>
        <w:spacing w:before="0" w:after="0"/>
      </w:pPr>
      <w:r>
        <w:continuationSeparator/>
      </w:r>
    </w:p>
  </w:footnote>
  <w:footnote w:type="continuationNotice" w:id="1">
    <w:p w14:paraId="481F29B2" w14:textId="77777777" w:rsidR="00B37355" w:rsidRDefault="00B373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9052" w14:textId="77777777" w:rsidR="00B036F5" w:rsidRDefault="00B036F5">
    <w:pPr>
      <w:pStyle w:val="Header"/>
    </w:pPr>
    <w:r>
      <w:rPr>
        <w:noProof/>
      </w:rPr>
      <w:drawing>
        <wp:anchor distT="0" distB="0" distL="114300" distR="114300" simplePos="0" relativeHeight="251658240" behindDoc="0" locked="0" layoutInCell="1" allowOverlap="1" wp14:anchorId="5F8ADAE2" wp14:editId="6CFBF660">
          <wp:simplePos x="0" y="0"/>
          <wp:positionH relativeFrom="column">
            <wp:posOffset>31750</wp:posOffset>
          </wp:positionH>
          <wp:positionV relativeFrom="paragraph">
            <wp:posOffset>121285</wp:posOffset>
          </wp:positionV>
          <wp:extent cx="914400" cy="914400"/>
          <wp:effectExtent l="0" t="0" r="0" b="0"/>
          <wp:wrapSquare wrapText="bothSides"/>
          <wp:docPr id="388336292" name="Picture 388336292"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53BE2" w14:textId="77777777" w:rsidR="00B036F5" w:rsidRPr="00E97278"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4E671961" w14:textId="77777777" w:rsidR="00B036F5" w:rsidRPr="00D21F29"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14:paraId="644574A1" w14:textId="77777777" w:rsidR="00B036F5" w:rsidRDefault="00B036F5" w:rsidP="00D21F29">
    <w:pPr>
      <w:pStyle w:val="Header"/>
      <w:tabs>
        <w:tab w:val="clear" w:pos="4320"/>
        <w:tab w:val="clear" w:pos="8640"/>
        <w:tab w:val="left" w:pos="6190"/>
      </w:tabs>
    </w:pPr>
  </w:p>
  <w:p w14:paraId="57982EE3" w14:textId="77777777" w:rsidR="00B036F5" w:rsidRDefault="00B036F5" w:rsidP="00D21F29">
    <w:pPr>
      <w:pStyle w:val="Header"/>
      <w:tabs>
        <w:tab w:val="clear" w:pos="4320"/>
        <w:tab w:val="clear" w:pos="8640"/>
        <w:tab w:val="left" w:pos="6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DE4D" w14:textId="77777777" w:rsidR="0016505D" w:rsidRDefault="0016505D">
    <w:pPr>
      <w:pStyle w:val="Header"/>
    </w:pPr>
  </w:p>
  <w:p w14:paraId="1DB31893" w14:textId="77777777" w:rsidR="0016505D" w:rsidRDefault="0016505D" w:rsidP="00D21F29">
    <w:pPr>
      <w:pStyle w:val="Header"/>
      <w:tabs>
        <w:tab w:val="clear" w:pos="4320"/>
        <w:tab w:val="clear" w:pos="8640"/>
        <w:tab w:val="left" w:pos="6190"/>
      </w:tabs>
    </w:pPr>
  </w:p>
  <w:p w14:paraId="7AC288C1" w14:textId="77777777" w:rsidR="0016505D" w:rsidRDefault="0016505D" w:rsidP="00764AE7">
    <w:pPr>
      <w:pStyle w:val="Title"/>
      <w:pBdr>
        <w:top w:val="none" w:sz="0" w:space="0" w:color="auto"/>
        <w:bottom w:val="none" w:sz="0" w:space="0" w:color="auto"/>
      </w:pBdr>
      <w:spacing w:before="0"/>
      <w:rPr>
        <w:rFonts w:ascii="Times New Roman" w:hAnsi="Times New Roman"/>
        <w:sz w:val="28"/>
      </w:rPr>
    </w:pPr>
    <w:bookmarkStart w:id="92" w:name="_Hlk200015403"/>
  </w:p>
  <w:p w14:paraId="14054DA6" w14:textId="77777777" w:rsidR="0016505D" w:rsidRPr="00E97278" w:rsidRDefault="0016505D" w:rsidP="00764AE7">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Pr>
        <w:noProof/>
      </w:rPr>
      <w:drawing>
        <wp:anchor distT="0" distB="0" distL="114300" distR="114300" simplePos="0" relativeHeight="251660288" behindDoc="0" locked="0" layoutInCell="1" allowOverlap="1" wp14:anchorId="161AC4FB" wp14:editId="1C03A029">
          <wp:simplePos x="0" y="0"/>
          <wp:positionH relativeFrom="column">
            <wp:posOffset>0</wp:posOffset>
          </wp:positionH>
          <wp:positionV relativeFrom="paragraph">
            <wp:posOffset>-135986</wp:posOffset>
          </wp:positionV>
          <wp:extent cx="914400" cy="914400"/>
          <wp:effectExtent l="0" t="0" r="0" b="0"/>
          <wp:wrapSquare wrapText="bothSides"/>
          <wp:docPr id="2076470576" name="Picture 2076470576"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47573" name="Picture 307047573"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2A80A4C2" w14:textId="77777777" w:rsidR="0016505D" w:rsidRPr="00E97278" w:rsidRDefault="0016505D" w:rsidP="00764AE7">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bookmarkEnd w:id="92"/>
  <w:p w14:paraId="243D7CF2" w14:textId="77777777" w:rsidR="0016505D" w:rsidRDefault="0016505D" w:rsidP="00D21F29">
    <w:pPr>
      <w:pStyle w:val="Header"/>
      <w:tabs>
        <w:tab w:val="clear" w:pos="4320"/>
        <w:tab w:val="clear" w:pos="8640"/>
        <w:tab w:val="left" w:pos="61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6A77" w14:textId="77777777" w:rsidR="0082602C" w:rsidRDefault="0082602C"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D6ADD"/>
    <w:multiLevelType w:val="multilevel"/>
    <w:tmpl w:val="D6C83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9"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6"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7" w15:restartNumberingAfterBreak="0">
    <w:nsid w:val="40F65AAE"/>
    <w:multiLevelType w:val="multilevel"/>
    <w:tmpl w:val="25A47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21" w15:restartNumberingAfterBreak="0">
    <w:nsid w:val="50E80A8B"/>
    <w:multiLevelType w:val="multilevel"/>
    <w:tmpl w:val="612C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4" w15:restartNumberingAfterBreak="0">
    <w:nsid w:val="5CDC2B88"/>
    <w:multiLevelType w:val="hybridMultilevel"/>
    <w:tmpl w:val="4C107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00CF3"/>
    <w:multiLevelType w:val="multilevel"/>
    <w:tmpl w:val="EB327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E441A5"/>
    <w:multiLevelType w:val="multilevel"/>
    <w:tmpl w:val="32181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8"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92A41"/>
    <w:multiLevelType w:val="multilevel"/>
    <w:tmpl w:val="6ACC7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4"/>
  </w:num>
  <w:num w:numId="2" w16cid:durableId="1005667031">
    <w:abstractNumId w:val="30"/>
  </w:num>
  <w:num w:numId="3" w16cid:durableId="1059286313">
    <w:abstractNumId w:val="16"/>
  </w:num>
  <w:num w:numId="4" w16cid:durableId="392893652">
    <w:abstractNumId w:val="15"/>
  </w:num>
  <w:num w:numId="5" w16cid:durableId="1270743283">
    <w:abstractNumId w:val="33"/>
  </w:num>
  <w:num w:numId="6" w16cid:durableId="726077527">
    <w:abstractNumId w:val="0"/>
  </w:num>
  <w:num w:numId="7" w16cid:durableId="80951006">
    <w:abstractNumId w:val="1"/>
  </w:num>
  <w:num w:numId="8" w16cid:durableId="712341255">
    <w:abstractNumId w:val="27"/>
  </w:num>
  <w:num w:numId="9" w16cid:durableId="334263192">
    <w:abstractNumId w:val="23"/>
  </w:num>
  <w:num w:numId="10" w16cid:durableId="1321931414">
    <w:abstractNumId w:val="8"/>
  </w:num>
  <w:num w:numId="11" w16cid:durableId="819927582">
    <w:abstractNumId w:val="7"/>
  </w:num>
  <w:num w:numId="12" w16cid:durableId="1834222315">
    <w:abstractNumId w:val="12"/>
  </w:num>
  <w:num w:numId="13" w16cid:durableId="1727988286">
    <w:abstractNumId w:val="19"/>
  </w:num>
  <w:num w:numId="14" w16cid:durableId="338777892">
    <w:abstractNumId w:val="18"/>
  </w:num>
  <w:num w:numId="15" w16cid:durableId="537395629">
    <w:abstractNumId w:val="22"/>
  </w:num>
  <w:num w:numId="16" w16cid:durableId="1455634041">
    <w:abstractNumId w:val="28"/>
  </w:num>
  <w:num w:numId="17" w16cid:durableId="1685550335">
    <w:abstractNumId w:val="9"/>
  </w:num>
  <w:num w:numId="18" w16cid:durableId="266931805">
    <w:abstractNumId w:val="13"/>
  </w:num>
  <w:num w:numId="19" w16cid:durableId="1685086607">
    <w:abstractNumId w:val="31"/>
  </w:num>
  <w:num w:numId="20" w16cid:durableId="921258589">
    <w:abstractNumId w:val="20"/>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994804">
    <w:abstractNumId w:val="24"/>
  </w:num>
  <w:num w:numId="29" w16cid:durableId="670791198">
    <w:abstractNumId w:val="21"/>
  </w:num>
  <w:num w:numId="30" w16cid:durableId="1098330738">
    <w:abstractNumId w:val="25"/>
  </w:num>
  <w:num w:numId="31" w16cid:durableId="2134980757">
    <w:abstractNumId w:val="26"/>
  </w:num>
  <w:num w:numId="32" w16cid:durableId="1723872174">
    <w:abstractNumId w:val="17"/>
  </w:num>
  <w:num w:numId="33" w16cid:durableId="1549799523">
    <w:abstractNumId w:val="6"/>
  </w:num>
  <w:num w:numId="34" w16cid:durableId="1246038693">
    <w:abstractNumId w:val="29"/>
  </w:num>
  <w:num w:numId="35" w16cid:durableId="7760225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986"/>
    <w:rsid w:val="00001C5E"/>
    <w:rsid w:val="00001EAE"/>
    <w:rsid w:val="000026A5"/>
    <w:rsid w:val="000032E5"/>
    <w:rsid w:val="00003894"/>
    <w:rsid w:val="0000398B"/>
    <w:rsid w:val="000039B6"/>
    <w:rsid w:val="000045A9"/>
    <w:rsid w:val="00004700"/>
    <w:rsid w:val="00004E61"/>
    <w:rsid w:val="000060A9"/>
    <w:rsid w:val="00006354"/>
    <w:rsid w:val="00010158"/>
    <w:rsid w:val="00010D0F"/>
    <w:rsid w:val="0001126B"/>
    <w:rsid w:val="00011778"/>
    <w:rsid w:val="000119D7"/>
    <w:rsid w:val="00011F5F"/>
    <w:rsid w:val="0001214A"/>
    <w:rsid w:val="000123EB"/>
    <w:rsid w:val="0001275E"/>
    <w:rsid w:val="00012CFF"/>
    <w:rsid w:val="00012EB2"/>
    <w:rsid w:val="00012FE7"/>
    <w:rsid w:val="00013004"/>
    <w:rsid w:val="00013420"/>
    <w:rsid w:val="000135C2"/>
    <w:rsid w:val="00013989"/>
    <w:rsid w:val="00014171"/>
    <w:rsid w:val="00014550"/>
    <w:rsid w:val="00014552"/>
    <w:rsid w:val="0001550D"/>
    <w:rsid w:val="00015D55"/>
    <w:rsid w:val="0001707D"/>
    <w:rsid w:val="00017826"/>
    <w:rsid w:val="000179AC"/>
    <w:rsid w:val="00017FA6"/>
    <w:rsid w:val="000203F5"/>
    <w:rsid w:val="000209D6"/>
    <w:rsid w:val="00020C35"/>
    <w:rsid w:val="0002166F"/>
    <w:rsid w:val="000221B3"/>
    <w:rsid w:val="00023642"/>
    <w:rsid w:val="00023679"/>
    <w:rsid w:val="00023870"/>
    <w:rsid w:val="00023E62"/>
    <w:rsid w:val="0002435E"/>
    <w:rsid w:val="00024979"/>
    <w:rsid w:val="000251C4"/>
    <w:rsid w:val="000256D1"/>
    <w:rsid w:val="00025D8D"/>
    <w:rsid w:val="00026ADD"/>
    <w:rsid w:val="000275DF"/>
    <w:rsid w:val="00027886"/>
    <w:rsid w:val="00027F39"/>
    <w:rsid w:val="00030B45"/>
    <w:rsid w:val="00030D29"/>
    <w:rsid w:val="00030F20"/>
    <w:rsid w:val="00031560"/>
    <w:rsid w:val="0003181F"/>
    <w:rsid w:val="00031C3A"/>
    <w:rsid w:val="00031E3A"/>
    <w:rsid w:val="0003212C"/>
    <w:rsid w:val="00032548"/>
    <w:rsid w:val="00032DB1"/>
    <w:rsid w:val="00033474"/>
    <w:rsid w:val="00033EB9"/>
    <w:rsid w:val="0003461E"/>
    <w:rsid w:val="00035814"/>
    <w:rsid w:val="000360A5"/>
    <w:rsid w:val="000364A0"/>
    <w:rsid w:val="00036982"/>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5D83"/>
    <w:rsid w:val="000477FF"/>
    <w:rsid w:val="00047BB6"/>
    <w:rsid w:val="00047DA0"/>
    <w:rsid w:val="0005031F"/>
    <w:rsid w:val="000533D7"/>
    <w:rsid w:val="00053A33"/>
    <w:rsid w:val="0005400A"/>
    <w:rsid w:val="00054582"/>
    <w:rsid w:val="000545D2"/>
    <w:rsid w:val="00054A60"/>
    <w:rsid w:val="00054FA8"/>
    <w:rsid w:val="000550D9"/>
    <w:rsid w:val="000552BC"/>
    <w:rsid w:val="00055E80"/>
    <w:rsid w:val="00055FC7"/>
    <w:rsid w:val="000564AC"/>
    <w:rsid w:val="000575B2"/>
    <w:rsid w:val="00061896"/>
    <w:rsid w:val="000618B4"/>
    <w:rsid w:val="00061AB2"/>
    <w:rsid w:val="00061B0D"/>
    <w:rsid w:val="00061F73"/>
    <w:rsid w:val="000629B8"/>
    <w:rsid w:val="00063C71"/>
    <w:rsid w:val="00063CB9"/>
    <w:rsid w:val="00063DCA"/>
    <w:rsid w:val="0006466C"/>
    <w:rsid w:val="00064809"/>
    <w:rsid w:val="00064AB6"/>
    <w:rsid w:val="00064BA4"/>
    <w:rsid w:val="00064C9A"/>
    <w:rsid w:val="00065224"/>
    <w:rsid w:val="00066166"/>
    <w:rsid w:val="00067883"/>
    <w:rsid w:val="00067C04"/>
    <w:rsid w:val="00067F9F"/>
    <w:rsid w:val="00070330"/>
    <w:rsid w:val="000709B9"/>
    <w:rsid w:val="000714F7"/>
    <w:rsid w:val="000727A7"/>
    <w:rsid w:val="00072B99"/>
    <w:rsid w:val="00072FEE"/>
    <w:rsid w:val="00073047"/>
    <w:rsid w:val="000739DE"/>
    <w:rsid w:val="00074237"/>
    <w:rsid w:val="000743D6"/>
    <w:rsid w:val="00075324"/>
    <w:rsid w:val="000770F0"/>
    <w:rsid w:val="0007732B"/>
    <w:rsid w:val="000802F7"/>
    <w:rsid w:val="00080681"/>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0569"/>
    <w:rsid w:val="000A0A95"/>
    <w:rsid w:val="000A0FB4"/>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79D"/>
    <w:rsid w:val="000B1C67"/>
    <w:rsid w:val="000B2A1C"/>
    <w:rsid w:val="000B2C26"/>
    <w:rsid w:val="000B3A11"/>
    <w:rsid w:val="000B3B4A"/>
    <w:rsid w:val="000B4AE7"/>
    <w:rsid w:val="000B4BBE"/>
    <w:rsid w:val="000B4FD4"/>
    <w:rsid w:val="000B5F13"/>
    <w:rsid w:val="000B7462"/>
    <w:rsid w:val="000B7B9F"/>
    <w:rsid w:val="000C0069"/>
    <w:rsid w:val="000C03A4"/>
    <w:rsid w:val="000C1C56"/>
    <w:rsid w:val="000C2444"/>
    <w:rsid w:val="000C2AED"/>
    <w:rsid w:val="000C32ED"/>
    <w:rsid w:val="000C3421"/>
    <w:rsid w:val="000C57BE"/>
    <w:rsid w:val="000C5918"/>
    <w:rsid w:val="000C5A7A"/>
    <w:rsid w:val="000C6015"/>
    <w:rsid w:val="000C6763"/>
    <w:rsid w:val="000C688B"/>
    <w:rsid w:val="000C6B64"/>
    <w:rsid w:val="000C7481"/>
    <w:rsid w:val="000D0117"/>
    <w:rsid w:val="000D0843"/>
    <w:rsid w:val="000D09F9"/>
    <w:rsid w:val="000D1181"/>
    <w:rsid w:val="000D1580"/>
    <w:rsid w:val="000D1C21"/>
    <w:rsid w:val="000D2FB8"/>
    <w:rsid w:val="000D37FC"/>
    <w:rsid w:val="000D4623"/>
    <w:rsid w:val="000D4875"/>
    <w:rsid w:val="000D4947"/>
    <w:rsid w:val="000D4C8D"/>
    <w:rsid w:val="000D565E"/>
    <w:rsid w:val="000D5753"/>
    <w:rsid w:val="000D69E5"/>
    <w:rsid w:val="000D6C5B"/>
    <w:rsid w:val="000D6EC4"/>
    <w:rsid w:val="000D7858"/>
    <w:rsid w:val="000D7F9F"/>
    <w:rsid w:val="000E01DF"/>
    <w:rsid w:val="000E0A7D"/>
    <w:rsid w:val="000E0D1F"/>
    <w:rsid w:val="000E1C83"/>
    <w:rsid w:val="000E206D"/>
    <w:rsid w:val="000E30A8"/>
    <w:rsid w:val="000E3445"/>
    <w:rsid w:val="000E43BF"/>
    <w:rsid w:val="000E4B47"/>
    <w:rsid w:val="000E4B9A"/>
    <w:rsid w:val="000E54B5"/>
    <w:rsid w:val="000E56FA"/>
    <w:rsid w:val="000E5D05"/>
    <w:rsid w:val="000E5FA8"/>
    <w:rsid w:val="000E62E5"/>
    <w:rsid w:val="000E7688"/>
    <w:rsid w:val="000F0136"/>
    <w:rsid w:val="000F0525"/>
    <w:rsid w:val="000F1686"/>
    <w:rsid w:val="000F1858"/>
    <w:rsid w:val="000F19D5"/>
    <w:rsid w:val="000F1FED"/>
    <w:rsid w:val="000F27DB"/>
    <w:rsid w:val="000F3CCC"/>
    <w:rsid w:val="000F3EAA"/>
    <w:rsid w:val="000F435D"/>
    <w:rsid w:val="000F4A31"/>
    <w:rsid w:val="000F4F37"/>
    <w:rsid w:val="000F4FB0"/>
    <w:rsid w:val="000F5814"/>
    <w:rsid w:val="000F593E"/>
    <w:rsid w:val="000F5FCD"/>
    <w:rsid w:val="000F66B8"/>
    <w:rsid w:val="000F670E"/>
    <w:rsid w:val="000F68E8"/>
    <w:rsid w:val="000F7399"/>
    <w:rsid w:val="000F7CF3"/>
    <w:rsid w:val="000F7D53"/>
    <w:rsid w:val="001010F3"/>
    <w:rsid w:val="0010168C"/>
    <w:rsid w:val="00101CA5"/>
    <w:rsid w:val="00101E61"/>
    <w:rsid w:val="001022CB"/>
    <w:rsid w:val="00102695"/>
    <w:rsid w:val="00102A57"/>
    <w:rsid w:val="00102C3C"/>
    <w:rsid w:val="00102F04"/>
    <w:rsid w:val="00103CD3"/>
    <w:rsid w:val="00103DEA"/>
    <w:rsid w:val="00104B17"/>
    <w:rsid w:val="00104E0D"/>
    <w:rsid w:val="0010504E"/>
    <w:rsid w:val="0010510A"/>
    <w:rsid w:val="001055FB"/>
    <w:rsid w:val="00105DC4"/>
    <w:rsid w:val="00106077"/>
    <w:rsid w:val="001061C0"/>
    <w:rsid w:val="00106310"/>
    <w:rsid w:val="0010664F"/>
    <w:rsid w:val="00106D71"/>
    <w:rsid w:val="0010731D"/>
    <w:rsid w:val="00107406"/>
    <w:rsid w:val="00107600"/>
    <w:rsid w:val="00110F51"/>
    <w:rsid w:val="0011113F"/>
    <w:rsid w:val="00111B71"/>
    <w:rsid w:val="00111F32"/>
    <w:rsid w:val="00112DDC"/>
    <w:rsid w:val="00112F4D"/>
    <w:rsid w:val="00112F5D"/>
    <w:rsid w:val="001139B5"/>
    <w:rsid w:val="00113CE9"/>
    <w:rsid w:val="00113E1E"/>
    <w:rsid w:val="001143E7"/>
    <w:rsid w:val="001146DB"/>
    <w:rsid w:val="00114A6C"/>
    <w:rsid w:val="00114C56"/>
    <w:rsid w:val="00115277"/>
    <w:rsid w:val="001153A9"/>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DBD"/>
    <w:rsid w:val="00131E2C"/>
    <w:rsid w:val="00132EE9"/>
    <w:rsid w:val="00133698"/>
    <w:rsid w:val="001339A7"/>
    <w:rsid w:val="00133A3A"/>
    <w:rsid w:val="0013498C"/>
    <w:rsid w:val="00134C0C"/>
    <w:rsid w:val="001352A9"/>
    <w:rsid w:val="00135576"/>
    <w:rsid w:val="00135C7A"/>
    <w:rsid w:val="00136BE2"/>
    <w:rsid w:val="0014028E"/>
    <w:rsid w:val="00140A8A"/>
    <w:rsid w:val="00141A33"/>
    <w:rsid w:val="00142117"/>
    <w:rsid w:val="00142347"/>
    <w:rsid w:val="0014261C"/>
    <w:rsid w:val="001430AA"/>
    <w:rsid w:val="0014399E"/>
    <w:rsid w:val="00143B57"/>
    <w:rsid w:val="00144186"/>
    <w:rsid w:val="001445CE"/>
    <w:rsid w:val="00144EB2"/>
    <w:rsid w:val="00145F88"/>
    <w:rsid w:val="001460CD"/>
    <w:rsid w:val="00146B79"/>
    <w:rsid w:val="00146FBA"/>
    <w:rsid w:val="00150B3B"/>
    <w:rsid w:val="00151612"/>
    <w:rsid w:val="00151989"/>
    <w:rsid w:val="00151F97"/>
    <w:rsid w:val="001529B9"/>
    <w:rsid w:val="00152FAE"/>
    <w:rsid w:val="00153A6F"/>
    <w:rsid w:val="00153F2D"/>
    <w:rsid w:val="001542AE"/>
    <w:rsid w:val="00154C56"/>
    <w:rsid w:val="00156004"/>
    <w:rsid w:val="00156264"/>
    <w:rsid w:val="0015671D"/>
    <w:rsid w:val="00156772"/>
    <w:rsid w:val="00156BF7"/>
    <w:rsid w:val="00157066"/>
    <w:rsid w:val="001600D9"/>
    <w:rsid w:val="001604F3"/>
    <w:rsid w:val="00160856"/>
    <w:rsid w:val="001634E7"/>
    <w:rsid w:val="0016375D"/>
    <w:rsid w:val="001638EB"/>
    <w:rsid w:val="00163944"/>
    <w:rsid w:val="00163BEE"/>
    <w:rsid w:val="00164B78"/>
    <w:rsid w:val="00164FFE"/>
    <w:rsid w:val="0016505D"/>
    <w:rsid w:val="00165225"/>
    <w:rsid w:val="00165467"/>
    <w:rsid w:val="0016559A"/>
    <w:rsid w:val="00167930"/>
    <w:rsid w:val="00170085"/>
    <w:rsid w:val="00170A9A"/>
    <w:rsid w:val="001714FA"/>
    <w:rsid w:val="001721C0"/>
    <w:rsid w:val="00172F58"/>
    <w:rsid w:val="00172FC0"/>
    <w:rsid w:val="001744F9"/>
    <w:rsid w:val="00174585"/>
    <w:rsid w:val="00174B9B"/>
    <w:rsid w:val="00174DB5"/>
    <w:rsid w:val="00174E1C"/>
    <w:rsid w:val="00175DE4"/>
    <w:rsid w:val="00176006"/>
    <w:rsid w:val="0017668C"/>
    <w:rsid w:val="00177098"/>
    <w:rsid w:val="00177EC7"/>
    <w:rsid w:val="00180113"/>
    <w:rsid w:val="001806EA"/>
    <w:rsid w:val="0018087A"/>
    <w:rsid w:val="00181DEB"/>
    <w:rsid w:val="0018238E"/>
    <w:rsid w:val="001829C9"/>
    <w:rsid w:val="00183E9B"/>
    <w:rsid w:val="0018469E"/>
    <w:rsid w:val="00186420"/>
    <w:rsid w:val="001866DE"/>
    <w:rsid w:val="0019077A"/>
    <w:rsid w:val="001907A4"/>
    <w:rsid w:val="00190B59"/>
    <w:rsid w:val="0019105A"/>
    <w:rsid w:val="00191350"/>
    <w:rsid w:val="0019150B"/>
    <w:rsid w:val="0019260C"/>
    <w:rsid w:val="001934C3"/>
    <w:rsid w:val="00193E59"/>
    <w:rsid w:val="00195F78"/>
    <w:rsid w:val="001963DE"/>
    <w:rsid w:val="00197A4F"/>
    <w:rsid w:val="001A0637"/>
    <w:rsid w:val="001A0793"/>
    <w:rsid w:val="001A171A"/>
    <w:rsid w:val="001A192D"/>
    <w:rsid w:val="001A1DC6"/>
    <w:rsid w:val="001A27AE"/>
    <w:rsid w:val="001A2ACC"/>
    <w:rsid w:val="001A2DF3"/>
    <w:rsid w:val="001A342F"/>
    <w:rsid w:val="001A3539"/>
    <w:rsid w:val="001A39BE"/>
    <w:rsid w:val="001A4B29"/>
    <w:rsid w:val="001A4B9B"/>
    <w:rsid w:val="001A5652"/>
    <w:rsid w:val="001A582D"/>
    <w:rsid w:val="001A5EBA"/>
    <w:rsid w:val="001A6472"/>
    <w:rsid w:val="001A6E55"/>
    <w:rsid w:val="001B0473"/>
    <w:rsid w:val="001B1139"/>
    <w:rsid w:val="001B12D3"/>
    <w:rsid w:val="001B1B38"/>
    <w:rsid w:val="001B2224"/>
    <w:rsid w:val="001B2809"/>
    <w:rsid w:val="001B2FDE"/>
    <w:rsid w:val="001B45DD"/>
    <w:rsid w:val="001B4677"/>
    <w:rsid w:val="001B611F"/>
    <w:rsid w:val="001B6595"/>
    <w:rsid w:val="001B6A5C"/>
    <w:rsid w:val="001B6F43"/>
    <w:rsid w:val="001B6FC2"/>
    <w:rsid w:val="001B7654"/>
    <w:rsid w:val="001C006B"/>
    <w:rsid w:val="001C03C3"/>
    <w:rsid w:val="001C05DB"/>
    <w:rsid w:val="001C0676"/>
    <w:rsid w:val="001C0D43"/>
    <w:rsid w:val="001C2162"/>
    <w:rsid w:val="001C22E3"/>
    <w:rsid w:val="001C23B6"/>
    <w:rsid w:val="001C2BF0"/>
    <w:rsid w:val="001C2C90"/>
    <w:rsid w:val="001C3D0E"/>
    <w:rsid w:val="001C4405"/>
    <w:rsid w:val="001C46CD"/>
    <w:rsid w:val="001C5219"/>
    <w:rsid w:val="001C53AA"/>
    <w:rsid w:val="001C5417"/>
    <w:rsid w:val="001C56E8"/>
    <w:rsid w:val="001C63BA"/>
    <w:rsid w:val="001C6627"/>
    <w:rsid w:val="001C7E55"/>
    <w:rsid w:val="001C7F0B"/>
    <w:rsid w:val="001D046F"/>
    <w:rsid w:val="001D144F"/>
    <w:rsid w:val="001D1A20"/>
    <w:rsid w:val="001D1BF3"/>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3CD"/>
    <w:rsid w:val="001E2AFB"/>
    <w:rsid w:val="001E2E5A"/>
    <w:rsid w:val="001E2FBF"/>
    <w:rsid w:val="001E39E3"/>
    <w:rsid w:val="001E3FEA"/>
    <w:rsid w:val="001E4908"/>
    <w:rsid w:val="001E51FC"/>
    <w:rsid w:val="001E5B13"/>
    <w:rsid w:val="001E5CEA"/>
    <w:rsid w:val="001E7A90"/>
    <w:rsid w:val="001F1285"/>
    <w:rsid w:val="001F1489"/>
    <w:rsid w:val="001F1921"/>
    <w:rsid w:val="001F1E6E"/>
    <w:rsid w:val="001F2876"/>
    <w:rsid w:val="001F2D64"/>
    <w:rsid w:val="001F32F8"/>
    <w:rsid w:val="001F34C5"/>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3902"/>
    <w:rsid w:val="002044A7"/>
    <w:rsid w:val="00204735"/>
    <w:rsid w:val="00205039"/>
    <w:rsid w:val="00205168"/>
    <w:rsid w:val="00205239"/>
    <w:rsid w:val="00205324"/>
    <w:rsid w:val="002053B1"/>
    <w:rsid w:val="0020548E"/>
    <w:rsid w:val="00205595"/>
    <w:rsid w:val="0020590B"/>
    <w:rsid w:val="00205E6B"/>
    <w:rsid w:val="002060DB"/>
    <w:rsid w:val="00206DA8"/>
    <w:rsid w:val="0020799B"/>
    <w:rsid w:val="002107AA"/>
    <w:rsid w:val="00210C67"/>
    <w:rsid w:val="00210D18"/>
    <w:rsid w:val="00211DCE"/>
    <w:rsid w:val="00212A97"/>
    <w:rsid w:val="00214AB0"/>
    <w:rsid w:val="0021508C"/>
    <w:rsid w:val="0021530B"/>
    <w:rsid w:val="00215A38"/>
    <w:rsid w:val="00215E6A"/>
    <w:rsid w:val="002163B7"/>
    <w:rsid w:val="002163F2"/>
    <w:rsid w:val="002167E3"/>
    <w:rsid w:val="00217F33"/>
    <w:rsid w:val="00220217"/>
    <w:rsid w:val="00220285"/>
    <w:rsid w:val="00220B32"/>
    <w:rsid w:val="00220DE8"/>
    <w:rsid w:val="002210FB"/>
    <w:rsid w:val="0022161C"/>
    <w:rsid w:val="00221D56"/>
    <w:rsid w:val="002223BB"/>
    <w:rsid w:val="0022296F"/>
    <w:rsid w:val="00222B7B"/>
    <w:rsid w:val="00223A72"/>
    <w:rsid w:val="00224107"/>
    <w:rsid w:val="002242B8"/>
    <w:rsid w:val="00224D8B"/>
    <w:rsid w:val="00225C04"/>
    <w:rsid w:val="00225CDA"/>
    <w:rsid w:val="002261B5"/>
    <w:rsid w:val="00227B50"/>
    <w:rsid w:val="00230E4A"/>
    <w:rsid w:val="00231199"/>
    <w:rsid w:val="002318C5"/>
    <w:rsid w:val="00233230"/>
    <w:rsid w:val="002332D6"/>
    <w:rsid w:val="00234503"/>
    <w:rsid w:val="00234750"/>
    <w:rsid w:val="0023661C"/>
    <w:rsid w:val="002374DE"/>
    <w:rsid w:val="00237C1F"/>
    <w:rsid w:val="0024014D"/>
    <w:rsid w:val="002404F9"/>
    <w:rsid w:val="00241D4B"/>
    <w:rsid w:val="00242B5A"/>
    <w:rsid w:val="002431E5"/>
    <w:rsid w:val="00243455"/>
    <w:rsid w:val="0024349D"/>
    <w:rsid w:val="0024351A"/>
    <w:rsid w:val="00243800"/>
    <w:rsid w:val="00243C7D"/>
    <w:rsid w:val="002446D6"/>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C5"/>
    <w:rsid w:val="00253AFB"/>
    <w:rsid w:val="00253D4F"/>
    <w:rsid w:val="0025401C"/>
    <w:rsid w:val="00254A25"/>
    <w:rsid w:val="00254CCC"/>
    <w:rsid w:val="0025687D"/>
    <w:rsid w:val="00256998"/>
    <w:rsid w:val="00256E8E"/>
    <w:rsid w:val="002606CC"/>
    <w:rsid w:val="00260B79"/>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8D3"/>
    <w:rsid w:val="00270952"/>
    <w:rsid w:val="00270F92"/>
    <w:rsid w:val="00271DCF"/>
    <w:rsid w:val="00271E37"/>
    <w:rsid w:val="0027224D"/>
    <w:rsid w:val="00272E13"/>
    <w:rsid w:val="002733A2"/>
    <w:rsid w:val="00274768"/>
    <w:rsid w:val="002756A3"/>
    <w:rsid w:val="002760A3"/>
    <w:rsid w:val="002760BD"/>
    <w:rsid w:val="002764FB"/>
    <w:rsid w:val="002768DB"/>
    <w:rsid w:val="002772F4"/>
    <w:rsid w:val="002775D1"/>
    <w:rsid w:val="00277C0C"/>
    <w:rsid w:val="00277E7F"/>
    <w:rsid w:val="00280BE5"/>
    <w:rsid w:val="00280BF0"/>
    <w:rsid w:val="00280C06"/>
    <w:rsid w:val="0028126A"/>
    <w:rsid w:val="002813C2"/>
    <w:rsid w:val="002814CA"/>
    <w:rsid w:val="0028232F"/>
    <w:rsid w:val="00282650"/>
    <w:rsid w:val="00282855"/>
    <w:rsid w:val="00283035"/>
    <w:rsid w:val="002838F3"/>
    <w:rsid w:val="00283A6E"/>
    <w:rsid w:val="00283E11"/>
    <w:rsid w:val="00283E7C"/>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4186"/>
    <w:rsid w:val="002959B0"/>
    <w:rsid w:val="00295B91"/>
    <w:rsid w:val="00296604"/>
    <w:rsid w:val="00296A63"/>
    <w:rsid w:val="00296EF8"/>
    <w:rsid w:val="0029729C"/>
    <w:rsid w:val="002974C4"/>
    <w:rsid w:val="00297710"/>
    <w:rsid w:val="00297898"/>
    <w:rsid w:val="00297B2C"/>
    <w:rsid w:val="00297FFC"/>
    <w:rsid w:val="002A0900"/>
    <w:rsid w:val="002A1328"/>
    <w:rsid w:val="002A1677"/>
    <w:rsid w:val="002A1E9E"/>
    <w:rsid w:val="002A1EAC"/>
    <w:rsid w:val="002A2503"/>
    <w:rsid w:val="002A2966"/>
    <w:rsid w:val="002A2A1B"/>
    <w:rsid w:val="002A2DE2"/>
    <w:rsid w:val="002A3DB5"/>
    <w:rsid w:val="002A43F7"/>
    <w:rsid w:val="002A476C"/>
    <w:rsid w:val="002A51CE"/>
    <w:rsid w:val="002A5A85"/>
    <w:rsid w:val="002A5ACF"/>
    <w:rsid w:val="002A5C3B"/>
    <w:rsid w:val="002A5E26"/>
    <w:rsid w:val="002A5E4E"/>
    <w:rsid w:val="002A6555"/>
    <w:rsid w:val="002A6E26"/>
    <w:rsid w:val="002A723A"/>
    <w:rsid w:val="002A74EF"/>
    <w:rsid w:val="002A7E5B"/>
    <w:rsid w:val="002B0760"/>
    <w:rsid w:val="002B0B00"/>
    <w:rsid w:val="002B14DF"/>
    <w:rsid w:val="002B15AD"/>
    <w:rsid w:val="002B2055"/>
    <w:rsid w:val="002B3EAE"/>
    <w:rsid w:val="002B4034"/>
    <w:rsid w:val="002B4803"/>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B3"/>
    <w:rsid w:val="002C5BEF"/>
    <w:rsid w:val="002C68A2"/>
    <w:rsid w:val="002C72EA"/>
    <w:rsid w:val="002D0123"/>
    <w:rsid w:val="002D0922"/>
    <w:rsid w:val="002D1423"/>
    <w:rsid w:val="002D2BDE"/>
    <w:rsid w:val="002D491B"/>
    <w:rsid w:val="002D4D55"/>
    <w:rsid w:val="002D5A91"/>
    <w:rsid w:val="002D6723"/>
    <w:rsid w:val="002D67F1"/>
    <w:rsid w:val="002D6889"/>
    <w:rsid w:val="002D71EA"/>
    <w:rsid w:val="002D7557"/>
    <w:rsid w:val="002D76D6"/>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1A5"/>
    <w:rsid w:val="002E51CE"/>
    <w:rsid w:val="002E52E1"/>
    <w:rsid w:val="002E5573"/>
    <w:rsid w:val="002E61D5"/>
    <w:rsid w:val="002E64AF"/>
    <w:rsid w:val="002E6E04"/>
    <w:rsid w:val="002F0129"/>
    <w:rsid w:val="002F088C"/>
    <w:rsid w:val="002F0F0E"/>
    <w:rsid w:val="002F1A9A"/>
    <w:rsid w:val="002F1DE2"/>
    <w:rsid w:val="002F1EC3"/>
    <w:rsid w:val="002F2336"/>
    <w:rsid w:val="002F26D8"/>
    <w:rsid w:val="002F2754"/>
    <w:rsid w:val="002F27B8"/>
    <w:rsid w:val="002F2AB5"/>
    <w:rsid w:val="002F36D7"/>
    <w:rsid w:val="002F48B9"/>
    <w:rsid w:val="002F5568"/>
    <w:rsid w:val="002F5A9E"/>
    <w:rsid w:val="002F5F54"/>
    <w:rsid w:val="002F672B"/>
    <w:rsid w:val="002F7D07"/>
    <w:rsid w:val="00300258"/>
    <w:rsid w:val="0030068A"/>
    <w:rsid w:val="00300CF4"/>
    <w:rsid w:val="00301085"/>
    <w:rsid w:val="00301362"/>
    <w:rsid w:val="003013C1"/>
    <w:rsid w:val="0030187E"/>
    <w:rsid w:val="003020A9"/>
    <w:rsid w:val="00302B0D"/>
    <w:rsid w:val="00302CA6"/>
    <w:rsid w:val="003043F2"/>
    <w:rsid w:val="00304471"/>
    <w:rsid w:val="00305E79"/>
    <w:rsid w:val="00305EF7"/>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6AE3"/>
    <w:rsid w:val="00317888"/>
    <w:rsid w:val="00317932"/>
    <w:rsid w:val="00320806"/>
    <w:rsid w:val="00321497"/>
    <w:rsid w:val="00321982"/>
    <w:rsid w:val="00321B65"/>
    <w:rsid w:val="00321D4A"/>
    <w:rsid w:val="00322EB5"/>
    <w:rsid w:val="00323065"/>
    <w:rsid w:val="0032334A"/>
    <w:rsid w:val="00323BDD"/>
    <w:rsid w:val="00324430"/>
    <w:rsid w:val="00325F62"/>
    <w:rsid w:val="00326698"/>
    <w:rsid w:val="00326B5B"/>
    <w:rsid w:val="00327272"/>
    <w:rsid w:val="00327D53"/>
    <w:rsid w:val="00330231"/>
    <w:rsid w:val="00330896"/>
    <w:rsid w:val="00331137"/>
    <w:rsid w:val="00331918"/>
    <w:rsid w:val="00332054"/>
    <w:rsid w:val="003321D1"/>
    <w:rsid w:val="00332397"/>
    <w:rsid w:val="00332DE2"/>
    <w:rsid w:val="00332E23"/>
    <w:rsid w:val="0033308D"/>
    <w:rsid w:val="00333435"/>
    <w:rsid w:val="00334953"/>
    <w:rsid w:val="00335139"/>
    <w:rsid w:val="00337015"/>
    <w:rsid w:val="003379DB"/>
    <w:rsid w:val="00340115"/>
    <w:rsid w:val="00340484"/>
    <w:rsid w:val="0034074E"/>
    <w:rsid w:val="0034085B"/>
    <w:rsid w:val="00341650"/>
    <w:rsid w:val="0034198B"/>
    <w:rsid w:val="00341C0E"/>
    <w:rsid w:val="00342627"/>
    <w:rsid w:val="003427CD"/>
    <w:rsid w:val="00342BF9"/>
    <w:rsid w:val="00343A3C"/>
    <w:rsid w:val="00343D47"/>
    <w:rsid w:val="00343E21"/>
    <w:rsid w:val="00343E32"/>
    <w:rsid w:val="003445A2"/>
    <w:rsid w:val="003447DC"/>
    <w:rsid w:val="00345385"/>
    <w:rsid w:val="00345912"/>
    <w:rsid w:val="00345EDF"/>
    <w:rsid w:val="003461DB"/>
    <w:rsid w:val="00346D66"/>
    <w:rsid w:val="00347516"/>
    <w:rsid w:val="00347F04"/>
    <w:rsid w:val="00350525"/>
    <w:rsid w:val="003508B2"/>
    <w:rsid w:val="00350A54"/>
    <w:rsid w:val="0035126E"/>
    <w:rsid w:val="0035249E"/>
    <w:rsid w:val="00352769"/>
    <w:rsid w:val="00352E0A"/>
    <w:rsid w:val="00352E68"/>
    <w:rsid w:val="00353E8E"/>
    <w:rsid w:val="003546A3"/>
    <w:rsid w:val="0035538B"/>
    <w:rsid w:val="00355E23"/>
    <w:rsid w:val="003567DA"/>
    <w:rsid w:val="003569A0"/>
    <w:rsid w:val="0035766B"/>
    <w:rsid w:val="00361678"/>
    <w:rsid w:val="00361F62"/>
    <w:rsid w:val="00362018"/>
    <w:rsid w:val="00362834"/>
    <w:rsid w:val="0036311E"/>
    <w:rsid w:val="00363327"/>
    <w:rsid w:val="0036392C"/>
    <w:rsid w:val="00363AAB"/>
    <w:rsid w:val="003643D6"/>
    <w:rsid w:val="00365CE4"/>
    <w:rsid w:val="00366764"/>
    <w:rsid w:val="003670CE"/>
    <w:rsid w:val="00367835"/>
    <w:rsid w:val="00370225"/>
    <w:rsid w:val="00370888"/>
    <w:rsid w:val="00370A28"/>
    <w:rsid w:val="0037116A"/>
    <w:rsid w:val="003712B9"/>
    <w:rsid w:val="00371D52"/>
    <w:rsid w:val="0037212A"/>
    <w:rsid w:val="00372A64"/>
    <w:rsid w:val="0037347F"/>
    <w:rsid w:val="003736D3"/>
    <w:rsid w:val="003739C5"/>
    <w:rsid w:val="00373CF8"/>
    <w:rsid w:val="003741D3"/>
    <w:rsid w:val="00374368"/>
    <w:rsid w:val="00374399"/>
    <w:rsid w:val="003745FE"/>
    <w:rsid w:val="003747D0"/>
    <w:rsid w:val="00375DCE"/>
    <w:rsid w:val="00375F37"/>
    <w:rsid w:val="00376282"/>
    <w:rsid w:val="00376AC6"/>
    <w:rsid w:val="003776AA"/>
    <w:rsid w:val="00377D5E"/>
    <w:rsid w:val="00380171"/>
    <w:rsid w:val="0038029B"/>
    <w:rsid w:val="003809AF"/>
    <w:rsid w:val="0038191F"/>
    <w:rsid w:val="003819CC"/>
    <w:rsid w:val="00382E34"/>
    <w:rsid w:val="0038300B"/>
    <w:rsid w:val="00384541"/>
    <w:rsid w:val="00384D9E"/>
    <w:rsid w:val="00384DA6"/>
    <w:rsid w:val="00386F10"/>
    <w:rsid w:val="00390CF9"/>
    <w:rsid w:val="003910BA"/>
    <w:rsid w:val="00391198"/>
    <w:rsid w:val="0039177A"/>
    <w:rsid w:val="00391C58"/>
    <w:rsid w:val="00391C9B"/>
    <w:rsid w:val="003923EF"/>
    <w:rsid w:val="00392D78"/>
    <w:rsid w:val="00392D92"/>
    <w:rsid w:val="0039358F"/>
    <w:rsid w:val="003940FE"/>
    <w:rsid w:val="00394CE6"/>
    <w:rsid w:val="00394D72"/>
    <w:rsid w:val="003961AE"/>
    <w:rsid w:val="003961B9"/>
    <w:rsid w:val="0039695A"/>
    <w:rsid w:val="003977D8"/>
    <w:rsid w:val="003A07BF"/>
    <w:rsid w:val="003A1055"/>
    <w:rsid w:val="003A12EA"/>
    <w:rsid w:val="003A1D4B"/>
    <w:rsid w:val="003A2612"/>
    <w:rsid w:val="003A2D51"/>
    <w:rsid w:val="003A3693"/>
    <w:rsid w:val="003A380D"/>
    <w:rsid w:val="003A3BF0"/>
    <w:rsid w:val="003A3DF1"/>
    <w:rsid w:val="003A42C4"/>
    <w:rsid w:val="003A42F7"/>
    <w:rsid w:val="003A4794"/>
    <w:rsid w:val="003A4A57"/>
    <w:rsid w:val="003A4C46"/>
    <w:rsid w:val="003A4D11"/>
    <w:rsid w:val="003A4D77"/>
    <w:rsid w:val="003A51A7"/>
    <w:rsid w:val="003A5280"/>
    <w:rsid w:val="003A5701"/>
    <w:rsid w:val="003A59D9"/>
    <w:rsid w:val="003A6862"/>
    <w:rsid w:val="003A692D"/>
    <w:rsid w:val="003A7005"/>
    <w:rsid w:val="003A712B"/>
    <w:rsid w:val="003A7D48"/>
    <w:rsid w:val="003B0840"/>
    <w:rsid w:val="003B0BF4"/>
    <w:rsid w:val="003B1111"/>
    <w:rsid w:val="003B14F4"/>
    <w:rsid w:val="003B1FBF"/>
    <w:rsid w:val="003B21F7"/>
    <w:rsid w:val="003B2EFF"/>
    <w:rsid w:val="003B3666"/>
    <w:rsid w:val="003B3875"/>
    <w:rsid w:val="003B3A4E"/>
    <w:rsid w:val="003B41C7"/>
    <w:rsid w:val="003B496A"/>
    <w:rsid w:val="003B5256"/>
    <w:rsid w:val="003B574F"/>
    <w:rsid w:val="003B5FA0"/>
    <w:rsid w:val="003B6047"/>
    <w:rsid w:val="003B6729"/>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757"/>
    <w:rsid w:val="003C4E4D"/>
    <w:rsid w:val="003C5493"/>
    <w:rsid w:val="003C582D"/>
    <w:rsid w:val="003C6F87"/>
    <w:rsid w:val="003C7251"/>
    <w:rsid w:val="003C7719"/>
    <w:rsid w:val="003C776C"/>
    <w:rsid w:val="003D0040"/>
    <w:rsid w:val="003D02CD"/>
    <w:rsid w:val="003D157C"/>
    <w:rsid w:val="003D2746"/>
    <w:rsid w:val="003D3787"/>
    <w:rsid w:val="003D4AAD"/>
    <w:rsid w:val="003D4D89"/>
    <w:rsid w:val="003D5FD3"/>
    <w:rsid w:val="003D61B5"/>
    <w:rsid w:val="003D6CFB"/>
    <w:rsid w:val="003D7514"/>
    <w:rsid w:val="003E037C"/>
    <w:rsid w:val="003E059C"/>
    <w:rsid w:val="003E15B9"/>
    <w:rsid w:val="003E1D8E"/>
    <w:rsid w:val="003E28EB"/>
    <w:rsid w:val="003E3B30"/>
    <w:rsid w:val="003E467E"/>
    <w:rsid w:val="003E4CBC"/>
    <w:rsid w:val="003E4D49"/>
    <w:rsid w:val="003E53BB"/>
    <w:rsid w:val="003E5A6B"/>
    <w:rsid w:val="003E628F"/>
    <w:rsid w:val="003E65F5"/>
    <w:rsid w:val="003E6B9B"/>
    <w:rsid w:val="003F034D"/>
    <w:rsid w:val="003F0F5F"/>
    <w:rsid w:val="003F14BD"/>
    <w:rsid w:val="003F1EF0"/>
    <w:rsid w:val="003F2DBE"/>
    <w:rsid w:val="003F43E4"/>
    <w:rsid w:val="003F4461"/>
    <w:rsid w:val="003F48B6"/>
    <w:rsid w:val="003F4A0E"/>
    <w:rsid w:val="003F589D"/>
    <w:rsid w:val="003F58AF"/>
    <w:rsid w:val="003F6728"/>
    <w:rsid w:val="003F6F4E"/>
    <w:rsid w:val="003F77CC"/>
    <w:rsid w:val="003F7F2F"/>
    <w:rsid w:val="00400F0F"/>
    <w:rsid w:val="0040136C"/>
    <w:rsid w:val="00401792"/>
    <w:rsid w:val="00402758"/>
    <w:rsid w:val="00402838"/>
    <w:rsid w:val="0040304B"/>
    <w:rsid w:val="0040325C"/>
    <w:rsid w:val="00404159"/>
    <w:rsid w:val="004043E9"/>
    <w:rsid w:val="00404967"/>
    <w:rsid w:val="004050E0"/>
    <w:rsid w:val="004070B7"/>
    <w:rsid w:val="00411551"/>
    <w:rsid w:val="0041306A"/>
    <w:rsid w:val="0041349F"/>
    <w:rsid w:val="004134D0"/>
    <w:rsid w:val="0041365C"/>
    <w:rsid w:val="00413C81"/>
    <w:rsid w:val="00414268"/>
    <w:rsid w:val="004143CB"/>
    <w:rsid w:val="00414FEA"/>
    <w:rsid w:val="0041514F"/>
    <w:rsid w:val="004152EB"/>
    <w:rsid w:val="00415998"/>
    <w:rsid w:val="00415A29"/>
    <w:rsid w:val="00416250"/>
    <w:rsid w:val="00416EBD"/>
    <w:rsid w:val="004170D0"/>
    <w:rsid w:val="00417111"/>
    <w:rsid w:val="00417A18"/>
    <w:rsid w:val="00420273"/>
    <w:rsid w:val="00420950"/>
    <w:rsid w:val="004216A9"/>
    <w:rsid w:val="00421726"/>
    <w:rsid w:val="00421CA3"/>
    <w:rsid w:val="004227F4"/>
    <w:rsid w:val="00422BEE"/>
    <w:rsid w:val="00422FBD"/>
    <w:rsid w:val="00422FDF"/>
    <w:rsid w:val="00423420"/>
    <w:rsid w:val="00423A30"/>
    <w:rsid w:val="00423BCE"/>
    <w:rsid w:val="00424D45"/>
    <w:rsid w:val="00424E9C"/>
    <w:rsid w:val="00424EF0"/>
    <w:rsid w:val="004255C0"/>
    <w:rsid w:val="004259F3"/>
    <w:rsid w:val="00426370"/>
    <w:rsid w:val="00427338"/>
    <w:rsid w:val="004278B3"/>
    <w:rsid w:val="00427DD6"/>
    <w:rsid w:val="00430321"/>
    <w:rsid w:val="0043130B"/>
    <w:rsid w:val="00431D4D"/>
    <w:rsid w:val="00433A7A"/>
    <w:rsid w:val="00433DB7"/>
    <w:rsid w:val="00433E14"/>
    <w:rsid w:val="00434298"/>
    <w:rsid w:val="00435119"/>
    <w:rsid w:val="00435E16"/>
    <w:rsid w:val="0043678A"/>
    <w:rsid w:val="00436802"/>
    <w:rsid w:val="004371A1"/>
    <w:rsid w:val="00437204"/>
    <w:rsid w:val="004374D6"/>
    <w:rsid w:val="00437F97"/>
    <w:rsid w:val="00440EFA"/>
    <w:rsid w:val="00441096"/>
    <w:rsid w:val="004410A6"/>
    <w:rsid w:val="00441852"/>
    <w:rsid w:val="00441FB4"/>
    <w:rsid w:val="004421DE"/>
    <w:rsid w:val="00442360"/>
    <w:rsid w:val="00442B92"/>
    <w:rsid w:val="004460A6"/>
    <w:rsid w:val="00446689"/>
    <w:rsid w:val="00446CF4"/>
    <w:rsid w:val="00447F6D"/>
    <w:rsid w:val="004501E0"/>
    <w:rsid w:val="004505AF"/>
    <w:rsid w:val="00450B45"/>
    <w:rsid w:val="00450DE8"/>
    <w:rsid w:val="004515C2"/>
    <w:rsid w:val="0045190D"/>
    <w:rsid w:val="00451971"/>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11CC"/>
    <w:rsid w:val="00462483"/>
    <w:rsid w:val="004624DE"/>
    <w:rsid w:val="004625A7"/>
    <w:rsid w:val="0046281F"/>
    <w:rsid w:val="00462D2D"/>
    <w:rsid w:val="004634EA"/>
    <w:rsid w:val="00463574"/>
    <w:rsid w:val="00463D01"/>
    <w:rsid w:val="0046405B"/>
    <w:rsid w:val="00464BA8"/>
    <w:rsid w:val="004650EA"/>
    <w:rsid w:val="0046516A"/>
    <w:rsid w:val="004651E0"/>
    <w:rsid w:val="00465BA4"/>
    <w:rsid w:val="0046603A"/>
    <w:rsid w:val="0046611E"/>
    <w:rsid w:val="004662DB"/>
    <w:rsid w:val="00466F85"/>
    <w:rsid w:val="0046709D"/>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B8D"/>
    <w:rsid w:val="00475E2D"/>
    <w:rsid w:val="004761C7"/>
    <w:rsid w:val="0047630E"/>
    <w:rsid w:val="004765BA"/>
    <w:rsid w:val="0047666D"/>
    <w:rsid w:val="00476A20"/>
    <w:rsid w:val="00476B4C"/>
    <w:rsid w:val="00477B4C"/>
    <w:rsid w:val="00480C58"/>
    <w:rsid w:val="0048106A"/>
    <w:rsid w:val="004814B8"/>
    <w:rsid w:val="00481B93"/>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653"/>
    <w:rsid w:val="00487F39"/>
    <w:rsid w:val="00487F6E"/>
    <w:rsid w:val="00490F6D"/>
    <w:rsid w:val="0049130F"/>
    <w:rsid w:val="00491BD7"/>
    <w:rsid w:val="00492994"/>
    <w:rsid w:val="00492B6F"/>
    <w:rsid w:val="00494644"/>
    <w:rsid w:val="004952E2"/>
    <w:rsid w:val="00495547"/>
    <w:rsid w:val="004955D2"/>
    <w:rsid w:val="00496C09"/>
    <w:rsid w:val="00496FEA"/>
    <w:rsid w:val="0049743B"/>
    <w:rsid w:val="00497C4D"/>
    <w:rsid w:val="00497E0D"/>
    <w:rsid w:val="004A00BD"/>
    <w:rsid w:val="004A048F"/>
    <w:rsid w:val="004A08EB"/>
    <w:rsid w:val="004A1179"/>
    <w:rsid w:val="004A13F5"/>
    <w:rsid w:val="004A15B3"/>
    <w:rsid w:val="004A1709"/>
    <w:rsid w:val="004A268B"/>
    <w:rsid w:val="004A2E39"/>
    <w:rsid w:val="004A38B9"/>
    <w:rsid w:val="004A3CF1"/>
    <w:rsid w:val="004A3FBC"/>
    <w:rsid w:val="004A4483"/>
    <w:rsid w:val="004A476A"/>
    <w:rsid w:val="004A4EC7"/>
    <w:rsid w:val="004A543B"/>
    <w:rsid w:val="004A571B"/>
    <w:rsid w:val="004A5828"/>
    <w:rsid w:val="004A72AF"/>
    <w:rsid w:val="004A7446"/>
    <w:rsid w:val="004A7ECD"/>
    <w:rsid w:val="004A7F62"/>
    <w:rsid w:val="004B015A"/>
    <w:rsid w:val="004B04B1"/>
    <w:rsid w:val="004B0B07"/>
    <w:rsid w:val="004B1014"/>
    <w:rsid w:val="004B11A4"/>
    <w:rsid w:val="004B1BD2"/>
    <w:rsid w:val="004B1DF7"/>
    <w:rsid w:val="004B1FA8"/>
    <w:rsid w:val="004B2F3F"/>
    <w:rsid w:val="004B32D8"/>
    <w:rsid w:val="004B3BC6"/>
    <w:rsid w:val="004B3FD9"/>
    <w:rsid w:val="004B405F"/>
    <w:rsid w:val="004B4513"/>
    <w:rsid w:val="004B5A00"/>
    <w:rsid w:val="004B6284"/>
    <w:rsid w:val="004B6512"/>
    <w:rsid w:val="004B69B2"/>
    <w:rsid w:val="004B6C0B"/>
    <w:rsid w:val="004B755C"/>
    <w:rsid w:val="004B782D"/>
    <w:rsid w:val="004C1866"/>
    <w:rsid w:val="004C1CEE"/>
    <w:rsid w:val="004C4C71"/>
    <w:rsid w:val="004C5545"/>
    <w:rsid w:val="004C6F4C"/>
    <w:rsid w:val="004C7A3F"/>
    <w:rsid w:val="004C7EE6"/>
    <w:rsid w:val="004D055A"/>
    <w:rsid w:val="004D0C88"/>
    <w:rsid w:val="004D0ED6"/>
    <w:rsid w:val="004D12C4"/>
    <w:rsid w:val="004D140B"/>
    <w:rsid w:val="004D257E"/>
    <w:rsid w:val="004D2E91"/>
    <w:rsid w:val="004D364A"/>
    <w:rsid w:val="004D402E"/>
    <w:rsid w:val="004D494B"/>
    <w:rsid w:val="004D4BDA"/>
    <w:rsid w:val="004D55B9"/>
    <w:rsid w:val="004D63DC"/>
    <w:rsid w:val="004D6D75"/>
    <w:rsid w:val="004D6DA0"/>
    <w:rsid w:val="004D7543"/>
    <w:rsid w:val="004D7859"/>
    <w:rsid w:val="004D7C38"/>
    <w:rsid w:val="004E00C8"/>
    <w:rsid w:val="004E0350"/>
    <w:rsid w:val="004E087F"/>
    <w:rsid w:val="004E0F0B"/>
    <w:rsid w:val="004E1360"/>
    <w:rsid w:val="004E1471"/>
    <w:rsid w:val="004E1A9D"/>
    <w:rsid w:val="004E1AE0"/>
    <w:rsid w:val="004E1EC8"/>
    <w:rsid w:val="004E393A"/>
    <w:rsid w:val="004E3C40"/>
    <w:rsid w:val="004E4074"/>
    <w:rsid w:val="004E4B8A"/>
    <w:rsid w:val="004E4D6B"/>
    <w:rsid w:val="004E5163"/>
    <w:rsid w:val="004E6EEC"/>
    <w:rsid w:val="004E7211"/>
    <w:rsid w:val="004E7413"/>
    <w:rsid w:val="004E7E47"/>
    <w:rsid w:val="004F0C02"/>
    <w:rsid w:val="004F0C1C"/>
    <w:rsid w:val="004F0C22"/>
    <w:rsid w:val="004F1386"/>
    <w:rsid w:val="004F1483"/>
    <w:rsid w:val="004F1C60"/>
    <w:rsid w:val="004F20A4"/>
    <w:rsid w:val="004F2261"/>
    <w:rsid w:val="004F247D"/>
    <w:rsid w:val="004F2A13"/>
    <w:rsid w:val="004F348D"/>
    <w:rsid w:val="004F34AB"/>
    <w:rsid w:val="004F3C7D"/>
    <w:rsid w:val="004F488B"/>
    <w:rsid w:val="004F494A"/>
    <w:rsid w:val="004F53DE"/>
    <w:rsid w:val="004F5E31"/>
    <w:rsid w:val="004F64DD"/>
    <w:rsid w:val="004F695D"/>
    <w:rsid w:val="004F7463"/>
    <w:rsid w:val="004F756B"/>
    <w:rsid w:val="004F7E56"/>
    <w:rsid w:val="005001A4"/>
    <w:rsid w:val="00500859"/>
    <w:rsid w:val="005010D8"/>
    <w:rsid w:val="005018AB"/>
    <w:rsid w:val="005024FD"/>
    <w:rsid w:val="005032AF"/>
    <w:rsid w:val="005036AB"/>
    <w:rsid w:val="005040C8"/>
    <w:rsid w:val="00504107"/>
    <w:rsid w:val="0050420E"/>
    <w:rsid w:val="005042BD"/>
    <w:rsid w:val="005043ED"/>
    <w:rsid w:val="005046A6"/>
    <w:rsid w:val="00504809"/>
    <w:rsid w:val="00504A61"/>
    <w:rsid w:val="00504D1A"/>
    <w:rsid w:val="00504D31"/>
    <w:rsid w:val="00505E58"/>
    <w:rsid w:val="00507091"/>
    <w:rsid w:val="00507464"/>
    <w:rsid w:val="00507A51"/>
    <w:rsid w:val="00510105"/>
    <w:rsid w:val="0051067B"/>
    <w:rsid w:val="0051074E"/>
    <w:rsid w:val="00511AB2"/>
    <w:rsid w:val="00511C1D"/>
    <w:rsid w:val="005126AF"/>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9CD"/>
    <w:rsid w:val="00517E39"/>
    <w:rsid w:val="00520619"/>
    <w:rsid w:val="00520D39"/>
    <w:rsid w:val="00520F5D"/>
    <w:rsid w:val="005217D0"/>
    <w:rsid w:val="00521E96"/>
    <w:rsid w:val="00521EAE"/>
    <w:rsid w:val="00522965"/>
    <w:rsid w:val="00522CFA"/>
    <w:rsid w:val="0052343C"/>
    <w:rsid w:val="00523FAA"/>
    <w:rsid w:val="00524F62"/>
    <w:rsid w:val="005253AF"/>
    <w:rsid w:val="00525A27"/>
    <w:rsid w:val="00525B28"/>
    <w:rsid w:val="00525B5D"/>
    <w:rsid w:val="0052615D"/>
    <w:rsid w:val="005262C1"/>
    <w:rsid w:val="00526DC0"/>
    <w:rsid w:val="005272DB"/>
    <w:rsid w:val="00530511"/>
    <w:rsid w:val="00530769"/>
    <w:rsid w:val="00530B63"/>
    <w:rsid w:val="00530C57"/>
    <w:rsid w:val="00530F27"/>
    <w:rsid w:val="0053161B"/>
    <w:rsid w:val="0053197E"/>
    <w:rsid w:val="005319BD"/>
    <w:rsid w:val="00532205"/>
    <w:rsid w:val="005322E8"/>
    <w:rsid w:val="005324CB"/>
    <w:rsid w:val="005331BB"/>
    <w:rsid w:val="00533B0C"/>
    <w:rsid w:val="00533E58"/>
    <w:rsid w:val="005340E9"/>
    <w:rsid w:val="00534663"/>
    <w:rsid w:val="00534F0F"/>
    <w:rsid w:val="00535919"/>
    <w:rsid w:val="00535B05"/>
    <w:rsid w:val="00536507"/>
    <w:rsid w:val="00536749"/>
    <w:rsid w:val="00536947"/>
    <w:rsid w:val="005369EB"/>
    <w:rsid w:val="00536F59"/>
    <w:rsid w:val="00537EE2"/>
    <w:rsid w:val="00540BB9"/>
    <w:rsid w:val="00540BE5"/>
    <w:rsid w:val="00540D34"/>
    <w:rsid w:val="0054124F"/>
    <w:rsid w:val="0054138E"/>
    <w:rsid w:val="00541CED"/>
    <w:rsid w:val="00542D94"/>
    <w:rsid w:val="005437D9"/>
    <w:rsid w:val="0054574A"/>
    <w:rsid w:val="005459A8"/>
    <w:rsid w:val="00545FA0"/>
    <w:rsid w:val="0054617E"/>
    <w:rsid w:val="005473C2"/>
    <w:rsid w:val="005507A9"/>
    <w:rsid w:val="0055088F"/>
    <w:rsid w:val="00550901"/>
    <w:rsid w:val="00550D9A"/>
    <w:rsid w:val="00550FC1"/>
    <w:rsid w:val="005510B1"/>
    <w:rsid w:val="005514F0"/>
    <w:rsid w:val="00551ED1"/>
    <w:rsid w:val="005526BB"/>
    <w:rsid w:val="00552C72"/>
    <w:rsid w:val="0055373D"/>
    <w:rsid w:val="0055390C"/>
    <w:rsid w:val="00553ADE"/>
    <w:rsid w:val="00554311"/>
    <w:rsid w:val="00554715"/>
    <w:rsid w:val="00555729"/>
    <w:rsid w:val="00555AD9"/>
    <w:rsid w:val="005566A3"/>
    <w:rsid w:val="00556ACB"/>
    <w:rsid w:val="00556FC4"/>
    <w:rsid w:val="005573B3"/>
    <w:rsid w:val="005573BB"/>
    <w:rsid w:val="00557804"/>
    <w:rsid w:val="00557BFA"/>
    <w:rsid w:val="00557D06"/>
    <w:rsid w:val="00561068"/>
    <w:rsid w:val="0056120D"/>
    <w:rsid w:val="00561EB3"/>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77CE3"/>
    <w:rsid w:val="00581329"/>
    <w:rsid w:val="005816D6"/>
    <w:rsid w:val="00582C08"/>
    <w:rsid w:val="00582C70"/>
    <w:rsid w:val="00582D95"/>
    <w:rsid w:val="00582EFD"/>
    <w:rsid w:val="005838E8"/>
    <w:rsid w:val="005839CF"/>
    <w:rsid w:val="00583FAD"/>
    <w:rsid w:val="005843B2"/>
    <w:rsid w:val="00585557"/>
    <w:rsid w:val="00585BC2"/>
    <w:rsid w:val="00585D34"/>
    <w:rsid w:val="00586C93"/>
    <w:rsid w:val="00586DCA"/>
    <w:rsid w:val="00586DE1"/>
    <w:rsid w:val="00587A22"/>
    <w:rsid w:val="005900EB"/>
    <w:rsid w:val="00590614"/>
    <w:rsid w:val="005913D1"/>
    <w:rsid w:val="005916DB"/>
    <w:rsid w:val="005918D1"/>
    <w:rsid w:val="00591D01"/>
    <w:rsid w:val="00594011"/>
    <w:rsid w:val="005945C8"/>
    <w:rsid w:val="00595B3E"/>
    <w:rsid w:val="00595FD8"/>
    <w:rsid w:val="00597845"/>
    <w:rsid w:val="005A06DA"/>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5B87"/>
    <w:rsid w:val="005A7BC0"/>
    <w:rsid w:val="005A7E73"/>
    <w:rsid w:val="005B0A78"/>
    <w:rsid w:val="005B188F"/>
    <w:rsid w:val="005B2415"/>
    <w:rsid w:val="005B2789"/>
    <w:rsid w:val="005B3A9B"/>
    <w:rsid w:val="005B4004"/>
    <w:rsid w:val="005B4FBD"/>
    <w:rsid w:val="005B5169"/>
    <w:rsid w:val="005B5A95"/>
    <w:rsid w:val="005B5DFD"/>
    <w:rsid w:val="005B6725"/>
    <w:rsid w:val="005B7427"/>
    <w:rsid w:val="005B7DDF"/>
    <w:rsid w:val="005C0C52"/>
    <w:rsid w:val="005C14C2"/>
    <w:rsid w:val="005C269E"/>
    <w:rsid w:val="005C2C32"/>
    <w:rsid w:val="005C362A"/>
    <w:rsid w:val="005C3FFD"/>
    <w:rsid w:val="005C4311"/>
    <w:rsid w:val="005C544D"/>
    <w:rsid w:val="005C5E18"/>
    <w:rsid w:val="005C6BF5"/>
    <w:rsid w:val="005C6DCB"/>
    <w:rsid w:val="005D0690"/>
    <w:rsid w:val="005D081A"/>
    <w:rsid w:val="005D1F17"/>
    <w:rsid w:val="005D22B2"/>
    <w:rsid w:val="005D37E4"/>
    <w:rsid w:val="005D3F8B"/>
    <w:rsid w:val="005D5508"/>
    <w:rsid w:val="005D64BA"/>
    <w:rsid w:val="005D6D24"/>
    <w:rsid w:val="005D7714"/>
    <w:rsid w:val="005D799E"/>
    <w:rsid w:val="005E00AD"/>
    <w:rsid w:val="005E0EB2"/>
    <w:rsid w:val="005E1087"/>
    <w:rsid w:val="005E10AF"/>
    <w:rsid w:val="005E1362"/>
    <w:rsid w:val="005E1ADE"/>
    <w:rsid w:val="005E26F3"/>
    <w:rsid w:val="005E2832"/>
    <w:rsid w:val="005E363D"/>
    <w:rsid w:val="005E3CAC"/>
    <w:rsid w:val="005E3DB9"/>
    <w:rsid w:val="005E414F"/>
    <w:rsid w:val="005E466E"/>
    <w:rsid w:val="005E5083"/>
    <w:rsid w:val="005E54D4"/>
    <w:rsid w:val="005E59DB"/>
    <w:rsid w:val="005E635B"/>
    <w:rsid w:val="005E75A0"/>
    <w:rsid w:val="005F00C3"/>
    <w:rsid w:val="005F2033"/>
    <w:rsid w:val="005F28F5"/>
    <w:rsid w:val="005F36C0"/>
    <w:rsid w:val="005F38FE"/>
    <w:rsid w:val="005F408F"/>
    <w:rsid w:val="005F4279"/>
    <w:rsid w:val="005F481B"/>
    <w:rsid w:val="005F5010"/>
    <w:rsid w:val="005F5034"/>
    <w:rsid w:val="005F5818"/>
    <w:rsid w:val="005F61B8"/>
    <w:rsid w:val="005F6257"/>
    <w:rsid w:val="005F762F"/>
    <w:rsid w:val="005F7682"/>
    <w:rsid w:val="005F795F"/>
    <w:rsid w:val="005F7AB7"/>
    <w:rsid w:val="006000DF"/>
    <w:rsid w:val="0060065D"/>
    <w:rsid w:val="00602236"/>
    <w:rsid w:val="006029F5"/>
    <w:rsid w:val="00603B42"/>
    <w:rsid w:val="00603E99"/>
    <w:rsid w:val="0060440D"/>
    <w:rsid w:val="00604467"/>
    <w:rsid w:val="006051E2"/>
    <w:rsid w:val="0060541C"/>
    <w:rsid w:val="006055A0"/>
    <w:rsid w:val="00605E0D"/>
    <w:rsid w:val="00606346"/>
    <w:rsid w:val="00606607"/>
    <w:rsid w:val="00606705"/>
    <w:rsid w:val="006070BE"/>
    <w:rsid w:val="006073AD"/>
    <w:rsid w:val="00607423"/>
    <w:rsid w:val="006076E9"/>
    <w:rsid w:val="006077A7"/>
    <w:rsid w:val="0061037F"/>
    <w:rsid w:val="006104B2"/>
    <w:rsid w:val="006111D4"/>
    <w:rsid w:val="006113B5"/>
    <w:rsid w:val="006116B4"/>
    <w:rsid w:val="006122DB"/>
    <w:rsid w:val="00612978"/>
    <w:rsid w:val="006133A3"/>
    <w:rsid w:val="00613A18"/>
    <w:rsid w:val="006147C9"/>
    <w:rsid w:val="00614B2B"/>
    <w:rsid w:val="0061562D"/>
    <w:rsid w:val="00615B90"/>
    <w:rsid w:val="00615BD0"/>
    <w:rsid w:val="006160D5"/>
    <w:rsid w:val="00616172"/>
    <w:rsid w:val="00616AB4"/>
    <w:rsid w:val="00617122"/>
    <w:rsid w:val="00617A1A"/>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2739D"/>
    <w:rsid w:val="0063007F"/>
    <w:rsid w:val="006302EB"/>
    <w:rsid w:val="00630925"/>
    <w:rsid w:val="00630A1E"/>
    <w:rsid w:val="00631022"/>
    <w:rsid w:val="006315A8"/>
    <w:rsid w:val="006318FB"/>
    <w:rsid w:val="0063215B"/>
    <w:rsid w:val="00632DF6"/>
    <w:rsid w:val="00633452"/>
    <w:rsid w:val="00634A84"/>
    <w:rsid w:val="00634AD8"/>
    <w:rsid w:val="006362E6"/>
    <w:rsid w:val="00636B0E"/>
    <w:rsid w:val="0063702E"/>
    <w:rsid w:val="00637BE2"/>
    <w:rsid w:val="00640856"/>
    <w:rsid w:val="00640F04"/>
    <w:rsid w:val="006414D9"/>
    <w:rsid w:val="00641784"/>
    <w:rsid w:val="00641AC8"/>
    <w:rsid w:val="00641B02"/>
    <w:rsid w:val="00641BA0"/>
    <w:rsid w:val="00642973"/>
    <w:rsid w:val="00642FF1"/>
    <w:rsid w:val="0064369A"/>
    <w:rsid w:val="00643754"/>
    <w:rsid w:val="0064501C"/>
    <w:rsid w:val="00646642"/>
    <w:rsid w:val="00646E42"/>
    <w:rsid w:val="0064716E"/>
    <w:rsid w:val="00647F29"/>
    <w:rsid w:val="00650305"/>
    <w:rsid w:val="00650385"/>
    <w:rsid w:val="00650588"/>
    <w:rsid w:val="00650873"/>
    <w:rsid w:val="006508CC"/>
    <w:rsid w:val="00650CF7"/>
    <w:rsid w:val="00650D52"/>
    <w:rsid w:val="00650E5B"/>
    <w:rsid w:val="006510EC"/>
    <w:rsid w:val="00651137"/>
    <w:rsid w:val="006512CE"/>
    <w:rsid w:val="00651541"/>
    <w:rsid w:val="00652AA7"/>
    <w:rsid w:val="0065340E"/>
    <w:rsid w:val="006535AD"/>
    <w:rsid w:val="00653B49"/>
    <w:rsid w:val="00653D42"/>
    <w:rsid w:val="006544DF"/>
    <w:rsid w:val="0065474E"/>
    <w:rsid w:val="0065501F"/>
    <w:rsid w:val="00655963"/>
    <w:rsid w:val="006561DE"/>
    <w:rsid w:val="006563F6"/>
    <w:rsid w:val="0065643A"/>
    <w:rsid w:val="00656611"/>
    <w:rsid w:val="006566BC"/>
    <w:rsid w:val="006567D0"/>
    <w:rsid w:val="006570CC"/>
    <w:rsid w:val="00657135"/>
    <w:rsid w:val="0065724F"/>
    <w:rsid w:val="00660214"/>
    <w:rsid w:val="00660BFE"/>
    <w:rsid w:val="00661A0F"/>
    <w:rsid w:val="00661BD9"/>
    <w:rsid w:val="006628E4"/>
    <w:rsid w:val="00664D35"/>
    <w:rsid w:val="00665097"/>
    <w:rsid w:val="00665E2F"/>
    <w:rsid w:val="0066646D"/>
    <w:rsid w:val="00666A8B"/>
    <w:rsid w:val="00666C23"/>
    <w:rsid w:val="006675B4"/>
    <w:rsid w:val="00667873"/>
    <w:rsid w:val="00671E7A"/>
    <w:rsid w:val="00672EE9"/>
    <w:rsid w:val="00674187"/>
    <w:rsid w:val="006746B1"/>
    <w:rsid w:val="00674A5C"/>
    <w:rsid w:val="0067594B"/>
    <w:rsid w:val="00676225"/>
    <w:rsid w:val="006766B1"/>
    <w:rsid w:val="00677B7F"/>
    <w:rsid w:val="006800AF"/>
    <w:rsid w:val="00680330"/>
    <w:rsid w:val="00681771"/>
    <w:rsid w:val="006822BE"/>
    <w:rsid w:val="00682424"/>
    <w:rsid w:val="006833AD"/>
    <w:rsid w:val="0068408E"/>
    <w:rsid w:val="00684786"/>
    <w:rsid w:val="00685039"/>
    <w:rsid w:val="006856E6"/>
    <w:rsid w:val="00685BA9"/>
    <w:rsid w:val="0068636B"/>
    <w:rsid w:val="00686ABE"/>
    <w:rsid w:val="00686F85"/>
    <w:rsid w:val="00687993"/>
    <w:rsid w:val="0069019B"/>
    <w:rsid w:val="006902F0"/>
    <w:rsid w:val="006905D0"/>
    <w:rsid w:val="00690AC9"/>
    <w:rsid w:val="00691386"/>
    <w:rsid w:val="00692716"/>
    <w:rsid w:val="00692CC2"/>
    <w:rsid w:val="006935F4"/>
    <w:rsid w:val="00693A7B"/>
    <w:rsid w:val="00693B33"/>
    <w:rsid w:val="00694144"/>
    <w:rsid w:val="006942A9"/>
    <w:rsid w:val="00694321"/>
    <w:rsid w:val="00695D5E"/>
    <w:rsid w:val="006973EB"/>
    <w:rsid w:val="0069761B"/>
    <w:rsid w:val="006A02EA"/>
    <w:rsid w:val="006A05A9"/>
    <w:rsid w:val="006A11BE"/>
    <w:rsid w:val="006A23D8"/>
    <w:rsid w:val="006A3544"/>
    <w:rsid w:val="006A36A8"/>
    <w:rsid w:val="006A36C0"/>
    <w:rsid w:val="006A3A68"/>
    <w:rsid w:val="006A3AA9"/>
    <w:rsid w:val="006A5203"/>
    <w:rsid w:val="006A6410"/>
    <w:rsid w:val="006A65A5"/>
    <w:rsid w:val="006A728F"/>
    <w:rsid w:val="006A75D3"/>
    <w:rsid w:val="006B03C2"/>
    <w:rsid w:val="006B0ACA"/>
    <w:rsid w:val="006B0F30"/>
    <w:rsid w:val="006B10DC"/>
    <w:rsid w:val="006B1F45"/>
    <w:rsid w:val="006B2A87"/>
    <w:rsid w:val="006B2FE9"/>
    <w:rsid w:val="006B33AE"/>
    <w:rsid w:val="006B3671"/>
    <w:rsid w:val="006B486C"/>
    <w:rsid w:val="006B4CA9"/>
    <w:rsid w:val="006B59B9"/>
    <w:rsid w:val="006B5AEF"/>
    <w:rsid w:val="006B64EC"/>
    <w:rsid w:val="006B6952"/>
    <w:rsid w:val="006B69D7"/>
    <w:rsid w:val="006B7031"/>
    <w:rsid w:val="006B7B05"/>
    <w:rsid w:val="006C0CA1"/>
    <w:rsid w:val="006C100B"/>
    <w:rsid w:val="006C16C5"/>
    <w:rsid w:val="006C2507"/>
    <w:rsid w:val="006C28CF"/>
    <w:rsid w:val="006C2EEF"/>
    <w:rsid w:val="006C3965"/>
    <w:rsid w:val="006C3B7E"/>
    <w:rsid w:val="006C4702"/>
    <w:rsid w:val="006C4BB8"/>
    <w:rsid w:val="006C6111"/>
    <w:rsid w:val="006C6B39"/>
    <w:rsid w:val="006C7125"/>
    <w:rsid w:val="006C7200"/>
    <w:rsid w:val="006C78D4"/>
    <w:rsid w:val="006D0CD0"/>
    <w:rsid w:val="006D16E4"/>
    <w:rsid w:val="006D1912"/>
    <w:rsid w:val="006D1A2B"/>
    <w:rsid w:val="006D20B0"/>
    <w:rsid w:val="006D2754"/>
    <w:rsid w:val="006D275D"/>
    <w:rsid w:val="006D3C3A"/>
    <w:rsid w:val="006D43D3"/>
    <w:rsid w:val="006D4925"/>
    <w:rsid w:val="006D4F8F"/>
    <w:rsid w:val="006D5982"/>
    <w:rsid w:val="006D5C4C"/>
    <w:rsid w:val="006D5E8D"/>
    <w:rsid w:val="006D5F86"/>
    <w:rsid w:val="006D6023"/>
    <w:rsid w:val="006D773D"/>
    <w:rsid w:val="006D77BE"/>
    <w:rsid w:val="006D7F35"/>
    <w:rsid w:val="006E126C"/>
    <w:rsid w:val="006E1738"/>
    <w:rsid w:val="006E1BF2"/>
    <w:rsid w:val="006E3226"/>
    <w:rsid w:val="006E322D"/>
    <w:rsid w:val="006E39C5"/>
    <w:rsid w:val="006E3C43"/>
    <w:rsid w:val="006E4396"/>
    <w:rsid w:val="006E4C83"/>
    <w:rsid w:val="006E50D3"/>
    <w:rsid w:val="006E52F6"/>
    <w:rsid w:val="006E5DBC"/>
    <w:rsid w:val="006F014A"/>
    <w:rsid w:val="006F0BF4"/>
    <w:rsid w:val="006F0EFF"/>
    <w:rsid w:val="006F16D5"/>
    <w:rsid w:val="006F16F3"/>
    <w:rsid w:val="006F1CEA"/>
    <w:rsid w:val="006F2318"/>
    <w:rsid w:val="006F2A7D"/>
    <w:rsid w:val="006F322B"/>
    <w:rsid w:val="006F3905"/>
    <w:rsid w:val="006F391E"/>
    <w:rsid w:val="006F3F34"/>
    <w:rsid w:val="006F4490"/>
    <w:rsid w:val="006F4546"/>
    <w:rsid w:val="006F4A54"/>
    <w:rsid w:val="006F4BF7"/>
    <w:rsid w:val="006F5957"/>
    <w:rsid w:val="006F66A1"/>
    <w:rsid w:val="006F673C"/>
    <w:rsid w:val="006F6E86"/>
    <w:rsid w:val="006F7459"/>
    <w:rsid w:val="006F79FC"/>
    <w:rsid w:val="006F7BED"/>
    <w:rsid w:val="006F7D1B"/>
    <w:rsid w:val="0070083E"/>
    <w:rsid w:val="00700BCA"/>
    <w:rsid w:val="00700D76"/>
    <w:rsid w:val="00700F54"/>
    <w:rsid w:val="007011EC"/>
    <w:rsid w:val="007016F6"/>
    <w:rsid w:val="00701B5B"/>
    <w:rsid w:val="00702A40"/>
    <w:rsid w:val="0070373C"/>
    <w:rsid w:val="00703A82"/>
    <w:rsid w:val="00703FA0"/>
    <w:rsid w:val="00704C17"/>
    <w:rsid w:val="00704DED"/>
    <w:rsid w:val="007059B2"/>
    <w:rsid w:val="007063F7"/>
    <w:rsid w:val="00706522"/>
    <w:rsid w:val="00706723"/>
    <w:rsid w:val="00707084"/>
    <w:rsid w:val="00707643"/>
    <w:rsid w:val="00707D22"/>
    <w:rsid w:val="0071007C"/>
    <w:rsid w:val="007104B6"/>
    <w:rsid w:val="007106E6"/>
    <w:rsid w:val="007122B2"/>
    <w:rsid w:val="0071263E"/>
    <w:rsid w:val="007128D9"/>
    <w:rsid w:val="00712B99"/>
    <w:rsid w:val="007134D3"/>
    <w:rsid w:val="0071352E"/>
    <w:rsid w:val="007137B3"/>
    <w:rsid w:val="00713972"/>
    <w:rsid w:val="00715709"/>
    <w:rsid w:val="00715B7C"/>
    <w:rsid w:val="00715CA8"/>
    <w:rsid w:val="007164C1"/>
    <w:rsid w:val="007166D8"/>
    <w:rsid w:val="007169B7"/>
    <w:rsid w:val="007169DD"/>
    <w:rsid w:val="00716DBD"/>
    <w:rsid w:val="00717130"/>
    <w:rsid w:val="00717461"/>
    <w:rsid w:val="00717710"/>
    <w:rsid w:val="0072060C"/>
    <w:rsid w:val="00720D77"/>
    <w:rsid w:val="00721540"/>
    <w:rsid w:val="007227E3"/>
    <w:rsid w:val="00722E3B"/>
    <w:rsid w:val="0072398B"/>
    <w:rsid w:val="00723A08"/>
    <w:rsid w:val="007243C1"/>
    <w:rsid w:val="00724F2E"/>
    <w:rsid w:val="00725433"/>
    <w:rsid w:val="007266A5"/>
    <w:rsid w:val="00727602"/>
    <w:rsid w:val="00727644"/>
    <w:rsid w:val="007277EE"/>
    <w:rsid w:val="00727F8D"/>
    <w:rsid w:val="0073008A"/>
    <w:rsid w:val="00730959"/>
    <w:rsid w:val="0073226E"/>
    <w:rsid w:val="007327EA"/>
    <w:rsid w:val="007341C1"/>
    <w:rsid w:val="00734221"/>
    <w:rsid w:val="0073456C"/>
    <w:rsid w:val="00734F6B"/>
    <w:rsid w:val="007350D8"/>
    <w:rsid w:val="007362A1"/>
    <w:rsid w:val="00736E83"/>
    <w:rsid w:val="0073775B"/>
    <w:rsid w:val="00741C9B"/>
    <w:rsid w:val="00741E58"/>
    <w:rsid w:val="00742D40"/>
    <w:rsid w:val="00742E14"/>
    <w:rsid w:val="00743466"/>
    <w:rsid w:val="00743680"/>
    <w:rsid w:val="00743759"/>
    <w:rsid w:val="00744152"/>
    <w:rsid w:val="00744585"/>
    <w:rsid w:val="007450A5"/>
    <w:rsid w:val="00745143"/>
    <w:rsid w:val="007453E4"/>
    <w:rsid w:val="00745BF1"/>
    <w:rsid w:val="00746369"/>
    <w:rsid w:val="00746F3A"/>
    <w:rsid w:val="00747DFB"/>
    <w:rsid w:val="00750CD5"/>
    <w:rsid w:val="00751610"/>
    <w:rsid w:val="00751D4E"/>
    <w:rsid w:val="00752483"/>
    <w:rsid w:val="007529F4"/>
    <w:rsid w:val="00752B05"/>
    <w:rsid w:val="00752FA3"/>
    <w:rsid w:val="00753E04"/>
    <w:rsid w:val="00754110"/>
    <w:rsid w:val="00754A1A"/>
    <w:rsid w:val="007555EC"/>
    <w:rsid w:val="00755F51"/>
    <w:rsid w:val="0075665C"/>
    <w:rsid w:val="007566D0"/>
    <w:rsid w:val="00756827"/>
    <w:rsid w:val="00756ABA"/>
    <w:rsid w:val="00760C8C"/>
    <w:rsid w:val="00761753"/>
    <w:rsid w:val="00762352"/>
    <w:rsid w:val="00762BBD"/>
    <w:rsid w:val="007637D6"/>
    <w:rsid w:val="00763F1C"/>
    <w:rsid w:val="00764625"/>
    <w:rsid w:val="00764AE7"/>
    <w:rsid w:val="00764FE1"/>
    <w:rsid w:val="0076577B"/>
    <w:rsid w:val="00765C47"/>
    <w:rsid w:val="0076766A"/>
    <w:rsid w:val="00767A2B"/>
    <w:rsid w:val="00767E92"/>
    <w:rsid w:val="00770084"/>
    <w:rsid w:val="007700EC"/>
    <w:rsid w:val="0077028E"/>
    <w:rsid w:val="0077057B"/>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83B"/>
    <w:rsid w:val="00782908"/>
    <w:rsid w:val="0078299C"/>
    <w:rsid w:val="00782B5F"/>
    <w:rsid w:val="007843C0"/>
    <w:rsid w:val="0078491F"/>
    <w:rsid w:val="00784AAF"/>
    <w:rsid w:val="00785280"/>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1C88"/>
    <w:rsid w:val="007A3672"/>
    <w:rsid w:val="007A396F"/>
    <w:rsid w:val="007A4872"/>
    <w:rsid w:val="007A4D2D"/>
    <w:rsid w:val="007A4E60"/>
    <w:rsid w:val="007A511A"/>
    <w:rsid w:val="007A55C9"/>
    <w:rsid w:val="007A6310"/>
    <w:rsid w:val="007A6B9D"/>
    <w:rsid w:val="007A715D"/>
    <w:rsid w:val="007A76EE"/>
    <w:rsid w:val="007A7DA4"/>
    <w:rsid w:val="007A7F27"/>
    <w:rsid w:val="007B0787"/>
    <w:rsid w:val="007B0A26"/>
    <w:rsid w:val="007B0FF2"/>
    <w:rsid w:val="007B1221"/>
    <w:rsid w:val="007B151D"/>
    <w:rsid w:val="007B1B7E"/>
    <w:rsid w:val="007B2B8D"/>
    <w:rsid w:val="007B2D79"/>
    <w:rsid w:val="007B46BF"/>
    <w:rsid w:val="007B481D"/>
    <w:rsid w:val="007B5842"/>
    <w:rsid w:val="007B6213"/>
    <w:rsid w:val="007B6842"/>
    <w:rsid w:val="007B6D8E"/>
    <w:rsid w:val="007B7ACE"/>
    <w:rsid w:val="007B7B8F"/>
    <w:rsid w:val="007C08C2"/>
    <w:rsid w:val="007C0DC7"/>
    <w:rsid w:val="007C139C"/>
    <w:rsid w:val="007C1A22"/>
    <w:rsid w:val="007C1AC4"/>
    <w:rsid w:val="007C1FC9"/>
    <w:rsid w:val="007C2607"/>
    <w:rsid w:val="007C2A44"/>
    <w:rsid w:val="007C2A9F"/>
    <w:rsid w:val="007C2B6D"/>
    <w:rsid w:val="007C3268"/>
    <w:rsid w:val="007C32E1"/>
    <w:rsid w:val="007C364C"/>
    <w:rsid w:val="007C3ED8"/>
    <w:rsid w:val="007C4262"/>
    <w:rsid w:val="007C4377"/>
    <w:rsid w:val="007C454A"/>
    <w:rsid w:val="007C5A19"/>
    <w:rsid w:val="007C5C98"/>
    <w:rsid w:val="007C5CB2"/>
    <w:rsid w:val="007D12EA"/>
    <w:rsid w:val="007D1548"/>
    <w:rsid w:val="007D2BB5"/>
    <w:rsid w:val="007D2CBD"/>
    <w:rsid w:val="007D374D"/>
    <w:rsid w:val="007D41F8"/>
    <w:rsid w:val="007D527A"/>
    <w:rsid w:val="007D6635"/>
    <w:rsid w:val="007D798F"/>
    <w:rsid w:val="007D7A3B"/>
    <w:rsid w:val="007E0FCC"/>
    <w:rsid w:val="007E14EE"/>
    <w:rsid w:val="007E1738"/>
    <w:rsid w:val="007E1798"/>
    <w:rsid w:val="007E1F11"/>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0D8"/>
    <w:rsid w:val="007F3393"/>
    <w:rsid w:val="007F3BA1"/>
    <w:rsid w:val="007F3F97"/>
    <w:rsid w:val="007F3FCB"/>
    <w:rsid w:val="007F41FD"/>
    <w:rsid w:val="007F44DE"/>
    <w:rsid w:val="007F4671"/>
    <w:rsid w:val="007F55E8"/>
    <w:rsid w:val="007F6192"/>
    <w:rsid w:val="007F63D9"/>
    <w:rsid w:val="007F6AFF"/>
    <w:rsid w:val="0080086C"/>
    <w:rsid w:val="008012B6"/>
    <w:rsid w:val="00802016"/>
    <w:rsid w:val="0080266A"/>
    <w:rsid w:val="00803AC9"/>
    <w:rsid w:val="00803EDC"/>
    <w:rsid w:val="00803FBB"/>
    <w:rsid w:val="00804222"/>
    <w:rsid w:val="0080439F"/>
    <w:rsid w:val="008043A8"/>
    <w:rsid w:val="00804BFA"/>
    <w:rsid w:val="00805DD3"/>
    <w:rsid w:val="00806D0F"/>
    <w:rsid w:val="00807DB1"/>
    <w:rsid w:val="008108AC"/>
    <w:rsid w:val="008115FD"/>
    <w:rsid w:val="0081169C"/>
    <w:rsid w:val="00811738"/>
    <w:rsid w:val="00811A99"/>
    <w:rsid w:val="008124D7"/>
    <w:rsid w:val="0081430E"/>
    <w:rsid w:val="00814341"/>
    <w:rsid w:val="008143DB"/>
    <w:rsid w:val="00814758"/>
    <w:rsid w:val="008149EF"/>
    <w:rsid w:val="008152E1"/>
    <w:rsid w:val="00815A6D"/>
    <w:rsid w:val="00815E41"/>
    <w:rsid w:val="00815F2C"/>
    <w:rsid w:val="0081611B"/>
    <w:rsid w:val="008203B4"/>
    <w:rsid w:val="00821B92"/>
    <w:rsid w:val="008221C1"/>
    <w:rsid w:val="00822D9C"/>
    <w:rsid w:val="0082342F"/>
    <w:rsid w:val="0082346B"/>
    <w:rsid w:val="00823672"/>
    <w:rsid w:val="00824331"/>
    <w:rsid w:val="008244BD"/>
    <w:rsid w:val="0082560D"/>
    <w:rsid w:val="008256F5"/>
    <w:rsid w:val="0082574D"/>
    <w:rsid w:val="0082602C"/>
    <w:rsid w:val="008263FA"/>
    <w:rsid w:val="00826A26"/>
    <w:rsid w:val="00826D36"/>
    <w:rsid w:val="0082735C"/>
    <w:rsid w:val="008277E7"/>
    <w:rsid w:val="00827B5E"/>
    <w:rsid w:val="00827E27"/>
    <w:rsid w:val="00827EE7"/>
    <w:rsid w:val="00830265"/>
    <w:rsid w:val="008305A8"/>
    <w:rsid w:val="0083111E"/>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0417"/>
    <w:rsid w:val="00840EB7"/>
    <w:rsid w:val="00841F00"/>
    <w:rsid w:val="0084279D"/>
    <w:rsid w:val="00843907"/>
    <w:rsid w:val="00843E0F"/>
    <w:rsid w:val="00845096"/>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2553"/>
    <w:rsid w:val="0087345D"/>
    <w:rsid w:val="008748A5"/>
    <w:rsid w:val="0087563E"/>
    <w:rsid w:val="00876657"/>
    <w:rsid w:val="00876817"/>
    <w:rsid w:val="00877614"/>
    <w:rsid w:val="00881450"/>
    <w:rsid w:val="00881D3B"/>
    <w:rsid w:val="00881F72"/>
    <w:rsid w:val="008824FE"/>
    <w:rsid w:val="00883F13"/>
    <w:rsid w:val="0088492C"/>
    <w:rsid w:val="0088536B"/>
    <w:rsid w:val="00885970"/>
    <w:rsid w:val="00885C62"/>
    <w:rsid w:val="00885EBA"/>
    <w:rsid w:val="0088607D"/>
    <w:rsid w:val="008872E7"/>
    <w:rsid w:val="0088758A"/>
    <w:rsid w:val="0088787B"/>
    <w:rsid w:val="00887FBA"/>
    <w:rsid w:val="008901AF"/>
    <w:rsid w:val="00890387"/>
    <w:rsid w:val="00890E92"/>
    <w:rsid w:val="0089101A"/>
    <w:rsid w:val="00891027"/>
    <w:rsid w:val="008911DD"/>
    <w:rsid w:val="00891BA4"/>
    <w:rsid w:val="00891CEE"/>
    <w:rsid w:val="00891DE7"/>
    <w:rsid w:val="00891EAC"/>
    <w:rsid w:val="0089272A"/>
    <w:rsid w:val="00892C21"/>
    <w:rsid w:val="00893C59"/>
    <w:rsid w:val="008942E7"/>
    <w:rsid w:val="00894456"/>
    <w:rsid w:val="0089571C"/>
    <w:rsid w:val="008964BF"/>
    <w:rsid w:val="0089674A"/>
    <w:rsid w:val="00896860"/>
    <w:rsid w:val="00897286"/>
    <w:rsid w:val="008974C3"/>
    <w:rsid w:val="00897554"/>
    <w:rsid w:val="00897D90"/>
    <w:rsid w:val="008A0478"/>
    <w:rsid w:val="008A0549"/>
    <w:rsid w:val="008A0798"/>
    <w:rsid w:val="008A11B1"/>
    <w:rsid w:val="008A1B8D"/>
    <w:rsid w:val="008A1C07"/>
    <w:rsid w:val="008A1C8A"/>
    <w:rsid w:val="008A28C4"/>
    <w:rsid w:val="008A290D"/>
    <w:rsid w:val="008A29C2"/>
    <w:rsid w:val="008A41E6"/>
    <w:rsid w:val="008A47A5"/>
    <w:rsid w:val="008A4FF2"/>
    <w:rsid w:val="008A517B"/>
    <w:rsid w:val="008A54C8"/>
    <w:rsid w:val="008A5873"/>
    <w:rsid w:val="008A6519"/>
    <w:rsid w:val="008A663E"/>
    <w:rsid w:val="008A71D0"/>
    <w:rsid w:val="008A78AA"/>
    <w:rsid w:val="008B048F"/>
    <w:rsid w:val="008B0C67"/>
    <w:rsid w:val="008B1088"/>
    <w:rsid w:val="008B2127"/>
    <w:rsid w:val="008B230F"/>
    <w:rsid w:val="008B3094"/>
    <w:rsid w:val="008B3135"/>
    <w:rsid w:val="008B3495"/>
    <w:rsid w:val="008B3D40"/>
    <w:rsid w:val="008B6065"/>
    <w:rsid w:val="008B60E2"/>
    <w:rsid w:val="008B741E"/>
    <w:rsid w:val="008B7475"/>
    <w:rsid w:val="008B7DBD"/>
    <w:rsid w:val="008B7DF5"/>
    <w:rsid w:val="008B7FDF"/>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2DC"/>
    <w:rsid w:val="008D29B0"/>
    <w:rsid w:val="008D3201"/>
    <w:rsid w:val="008D3349"/>
    <w:rsid w:val="008D3482"/>
    <w:rsid w:val="008D369E"/>
    <w:rsid w:val="008D36D9"/>
    <w:rsid w:val="008D36F3"/>
    <w:rsid w:val="008D433F"/>
    <w:rsid w:val="008D465F"/>
    <w:rsid w:val="008D559F"/>
    <w:rsid w:val="008D619C"/>
    <w:rsid w:val="008D66A2"/>
    <w:rsid w:val="008D78A8"/>
    <w:rsid w:val="008E135E"/>
    <w:rsid w:val="008E16F9"/>
    <w:rsid w:val="008E1C65"/>
    <w:rsid w:val="008E2491"/>
    <w:rsid w:val="008E2621"/>
    <w:rsid w:val="008E2D1E"/>
    <w:rsid w:val="008E3889"/>
    <w:rsid w:val="008E3C49"/>
    <w:rsid w:val="008E3E24"/>
    <w:rsid w:val="008E452B"/>
    <w:rsid w:val="008E4F28"/>
    <w:rsid w:val="008E5722"/>
    <w:rsid w:val="008E5E4F"/>
    <w:rsid w:val="008E6320"/>
    <w:rsid w:val="008E67B7"/>
    <w:rsid w:val="008E7560"/>
    <w:rsid w:val="008E7B96"/>
    <w:rsid w:val="008F016B"/>
    <w:rsid w:val="008F0291"/>
    <w:rsid w:val="008F04FB"/>
    <w:rsid w:val="008F09B0"/>
    <w:rsid w:val="008F0A87"/>
    <w:rsid w:val="008F0C8C"/>
    <w:rsid w:val="008F1F71"/>
    <w:rsid w:val="008F221D"/>
    <w:rsid w:val="008F2CE2"/>
    <w:rsid w:val="008F3DDD"/>
    <w:rsid w:val="008F4918"/>
    <w:rsid w:val="008F4F89"/>
    <w:rsid w:val="008F532E"/>
    <w:rsid w:val="008F5DB7"/>
    <w:rsid w:val="008F63B5"/>
    <w:rsid w:val="008F7ACA"/>
    <w:rsid w:val="009000CE"/>
    <w:rsid w:val="009002BF"/>
    <w:rsid w:val="009005B5"/>
    <w:rsid w:val="009007EE"/>
    <w:rsid w:val="00902308"/>
    <w:rsid w:val="009024EA"/>
    <w:rsid w:val="009026B7"/>
    <w:rsid w:val="009026F3"/>
    <w:rsid w:val="00902837"/>
    <w:rsid w:val="00903182"/>
    <w:rsid w:val="0090340B"/>
    <w:rsid w:val="0090361C"/>
    <w:rsid w:val="00903774"/>
    <w:rsid w:val="0090384F"/>
    <w:rsid w:val="00903F23"/>
    <w:rsid w:val="009048B0"/>
    <w:rsid w:val="00904932"/>
    <w:rsid w:val="00904E40"/>
    <w:rsid w:val="00905291"/>
    <w:rsid w:val="00905F26"/>
    <w:rsid w:val="00906CB5"/>
    <w:rsid w:val="00907A9B"/>
    <w:rsid w:val="0091012C"/>
    <w:rsid w:val="009102B5"/>
    <w:rsid w:val="00910550"/>
    <w:rsid w:val="00910610"/>
    <w:rsid w:val="00911005"/>
    <w:rsid w:val="00911671"/>
    <w:rsid w:val="009116F0"/>
    <w:rsid w:val="00911700"/>
    <w:rsid w:val="009117F0"/>
    <w:rsid w:val="00911BA2"/>
    <w:rsid w:val="00911E06"/>
    <w:rsid w:val="00911F8E"/>
    <w:rsid w:val="00912551"/>
    <w:rsid w:val="00912B1B"/>
    <w:rsid w:val="00913F1E"/>
    <w:rsid w:val="00914D48"/>
    <w:rsid w:val="009151CD"/>
    <w:rsid w:val="00915491"/>
    <w:rsid w:val="00915D46"/>
    <w:rsid w:val="00916E00"/>
    <w:rsid w:val="009170DE"/>
    <w:rsid w:val="009172F2"/>
    <w:rsid w:val="00917FC3"/>
    <w:rsid w:val="00920AEA"/>
    <w:rsid w:val="00921339"/>
    <w:rsid w:val="00921F40"/>
    <w:rsid w:val="009224F9"/>
    <w:rsid w:val="009228C1"/>
    <w:rsid w:val="00922D39"/>
    <w:rsid w:val="00923F2E"/>
    <w:rsid w:val="00924618"/>
    <w:rsid w:val="00924DCE"/>
    <w:rsid w:val="00924FA7"/>
    <w:rsid w:val="009255E5"/>
    <w:rsid w:val="00925847"/>
    <w:rsid w:val="00926667"/>
    <w:rsid w:val="00926B3C"/>
    <w:rsid w:val="00927F90"/>
    <w:rsid w:val="00930011"/>
    <w:rsid w:val="009305F8"/>
    <w:rsid w:val="00930BAA"/>
    <w:rsid w:val="00930D2A"/>
    <w:rsid w:val="00931C96"/>
    <w:rsid w:val="009324C0"/>
    <w:rsid w:val="00932EB3"/>
    <w:rsid w:val="009331EF"/>
    <w:rsid w:val="009333BB"/>
    <w:rsid w:val="0093373D"/>
    <w:rsid w:val="009343D4"/>
    <w:rsid w:val="0093456C"/>
    <w:rsid w:val="0093462D"/>
    <w:rsid w:val="00934778"/>
    <w:rsid w:val="0093491D"/>
    <w:rsid w:val="009356C1"/>
    <w:rsid w:val="00935B33"/>
    <w:rsid w:val="00937FCA"/>
    <w:rsid w:val="009400AB"/>
    <w:rsid w:val="0094153D"/>
    <w:rsid w:val="009415EB"/>
    <w:rsid w:val="00941BB7"/>
    <w:rsid w:val="009437E9"/>
    <w:rsid w:val="00943A67"/>
    <w:rsid w:val="00943BB1"/>
    <w:rsid w:val="00943DCF"/>
    <w:rsid w:val="00943EFA"/>
    <w:rsid w:val="00944FB4"/>
    <w:rsid w:val="0094630D"/>
    <w:rsid w:val="00946FA9"/>
    <w:rsid w:val="0094735E"/>
    <w:rsid w:val="0094743F"/>
    <w:rsid w:val="00947491"/>
    <w:rsid w:val="00947802"/>
    <w:rsid w:val="00947C07"/>
    <w:rsid w:val="00947E94"/>
    <w:rsid w:val="00950161"/>
    <w:rsid w:val="00950382"/>
    <w:rsid w:val="00951443"/>
    <w:rsid w:val="0095159B"/>
    <w:rsid w:val="00951A0A"/>
    <w:rsid w:val="00951DA5"/>
    <w:rsid w:val="00952078"/>
    <w:rsid w:val="00952282"/>
    <w:rsid w:val="009526B8"/>
    <w:rsid w:val="00953446"/>
    <w:rsid w:val="009534CC"/>
    <w:rsid w:val="00953CA5"/>
    <w:rsid w:val="00954742"/>
    <w:rsid w:val="00954E51"/>
    <w:rsid w:val="00955129"/>
    <w:rsid w:val="0095537B"/>
    <w:rsid w:val="009553C6"/>
    <w:rsid w:val="00955F2D"/>
    <w:rsid w:val="00956341"/>
    <w:rsid w:val="009566FF"/>
    <w:rsid w:val="0095680A"/>
    <w:rsid w:val="00956F82"/>
    <w:rsid w:val="0095745C"/>
    <w:rsid w:val="00957496"/>
    <w:rsid w:val="00960762"/>
    <w:rsid w:val="00960CD0"/>
    <w:rsid w:val="00960F94"/>
    <w:rsid w:val="009611F2"/>
    <w:rsid w:val="00961E1B"/>
    <w:rsid w:val="009635E7"/>
    <w:rsid w:val="00963870"/>
    <w:rsid w:val="00963E16"/>
    <w:rsid w:val="00964467"/>
    <w:rsid w:val="00965010"/>
    <w:rsid w:val="00965A1B"/>
    <w:rsid w:val="00965C96"/>
    <w:rsid w:val="00965F4F"/>
    <w:rsid w:val="00966D46"/>
    <w:rsid w:val="009678F5"/>
    <w:rsid w:val="00967D30"/>
    <w:rsid w:val="00970341"/>
    <w:rsid w:val="009706B2"/>
    <w:rsid w:val="0097078D"/>
    <w:rsid w:val="009709BF"/>
    <w:rsid w:val="00972124"/>
    <w:rsid w:val="00972442"/>
    <w:rsid w:val="00973DEF"/>
    <w:rsid w:val="00974B9D"/>
    <w:rsid w:val="00974DC8"/>
    <w:rsid w:val="0097529F"/>
    <w:rsid w:val="009754A0"/>
    <w:rsid w:val="0097586C"/>
    <w:rsid w:val="00975876"/>
    <w:rsid w:val="00975A3C"/>
    <w:rsid w:val="00976350"/>
    <w:rsid w:val="0097671A"/>
    <w:rsid w:val="009769C8"/>
    <w:rsid w:val="009774B8"/>
    <w:rsid w:val="0098003F"/>
    <w:rsid w:val="00980064"/>
    <w:rsid w:val="00980810"/>
    <w:rsid w:val="00980C61"/>
    <w:rsid w:val="0098181B"/>
    <w:rsid w:val="009821AF"/>
    <w:rsid w:val="00982A58"/>
    <w:rsid w:val="00982D59"/>
    <w:rsid w:val="00983E83"/>
    <w:rsid w:val="00983FE2"/>
    <w:rsid w:val="00984301"/>
    <w:rsid w:val="009844B5"/>
    <w:rsid w:val="009846E6"/>
    <w:rsid w:val="00985804"/>
    <w:rsid w:val="00986037"/>
    <w:rsid w:val="00986244"/>
    <w:rsid w:val="009863EB"/>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397"/>
    <w:rsid w:val="00996A55"/>
    <w:rsid w:val="00996DD5"/>
    <w:rsid w:val="00997807"/>
    <w:rsid w:val="00997B72"/>
    <w:rsid w:val="009A0216"/>
    <w:rsid w:val="009A02AB"/>
    <w:rsid w:val="009A0C0A"/>
    <w:rsid w:val="009A0D4B"/>
    <w:rsid w:val="009A1058"/>
    <w:rsid w:val="009A157A"/>
    <w:rsid w:val="009A24E2"/>
    <w:rsid w:val="009A2965"/>
    <w:rsid w:val="009A3621"/>
    <w:rsid w:val="009A37D2"/>
    <w:rsid w:val="009A3EAF"/>
    <w:rsid w:val="009A49C9"/>
    <w:rsid w:val="009A4BAC"/>
    <w:rsid w:val="009A5641"/>
    <w:rsid w:val="009A58B4"/>
    <w:rsid w:val="009A5E96"/>
    <w:rsid w:val="009A5F4B"/>
    <w:rsid w:val="009A64EE"/>
    <w:rsid w:val="009A6887"/>
    <w:rsid w:val="009A69E5"/>
    <w:rsid w:val="009A70E0"/>
    <w:rsid w:val="009A73FF"/>
    <w:rsid w:val="009B013E"/>
    <w:rsid w:val="009B0853"/>
    <w:rsid w:val="009B1E06"/>
    <w:rsid w:val="009B220D"/>
    <w:rsid w:val="009B26D1"/>
    <w:rsid w:val="009B2EB4"/>
    <w:rsid w:val="009B4E7F"/>
    <w:rsid w:val="009B4FDA"/>
    <w:rsid w:val="009B5DB6"/>
    <w:rsid w:val="009B6005"/>
    <w:rsid w:val="009B6586"/>
    <w:rsid w:val="009B6C2A"/>
    <w:rsid w:val="009B6E8C"/>
    <w:rsid w:val="009B739A"/>
    <w:rsid w:val="009C0E2A"/>
    <w:rsid w:val="009C1D42"/>
    <w:rsid w:val="009C2256"/>
    <w:rsid w:val="009C2B83"/>
    <w:rsid w:val="009C4033"/>
    <w:rsid w:val="009C5632"/>
    <w:rsid w:val="009C5A8F"/>
    <w:rsid w:val="009C60CE"/>
    <w:rsid w:val="009C674C"/>
    <w:rsid w:val="009D1412"/>
    <w:rsid w:val="009D1DF5"/>
    <w:rsid w:val="009D2694"/>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B72"/>
    <w:rsid w:val="009E3CC2"/>
    <w:rsid w:val="009E3DEA"/>
    <w:rsid w:val="009E4023"/>
    <w:rsid w:val="009E43D9"/>
    <w:rsid w:val="009E44CB"/>
    <w:rsid w:val="009E58E6"/>
    <w:rsid w:val="009E7109"/>
    <w:rsid w:val="009E7157"/>
    <w:rsid w:val="009F181B"/>
    <w:rsid w:val="009F1D24"/>
    <w:rsid w:val="009F23BB"/>
    <w:rsid w:val="009F3208"/>
    <w:rsid w:val="009F348B"/>
    <w:rsid w:val="009F37D6"/>
    <w:rsid w:val="009F3F0F"/>
    <w:rsid w:val="009F4106"/>
    <w:rsid w:val="009F415D"/>
    <w:rsid w:val="009F62E1"/>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3E4"/>
    <w:rsid w:val="00A10548"/>
    <w:rsid w:val="00A10714"/>
    <w:rsid w:val="00A10BB1"/>
    <w:rsid w:val="00A10F86"/>
    <w:rsid w:val="00A111ED"/>
    <w:rsid w:val="00A117F6"/>
    <w:rsid w:val="00A120BC"/>
    <w:rsid w:val="00A12278"/>
    <w:rsid w:val="00A12638"/>
    <w:rsid w:val="00A13874"/>
    <w:rsid w:val="00A13A83"/>
    <w:rsid w:val="00A13CE1"/>
    <w:rsid w:val="00A13E00"/>
    <w:rsid w:val="00A14932"/>
    <w:rsid w:val="00A1498C"/>
    <w:rsid w:val="00A14B29"/>
    <w:rsid w:val="00A1628F"/>
    <w:rsid w:val="00A163A2"/>
    <w:rsid w:val="00A165D5"/>
    <w:rsid w:val="00A16C89"/>
    <w:rsid w:val="00A171A9"/>
    <w:rsid w:val="00A17B7C"/>
    <w:rsid w:val="00A20096"/>
    <w:rsid w:val="00A20642"/>
    <w:rsid w:val="00A20643"/>
    <w:rsid w:val="00A217D2"/>
    <w:rsid w:val="00A21EF8"/>
    <w:rsid w:val="00A22677"/>
    <w:rsid w:val="00A23384"/>
    <w:rsid w:val="00A241E8"/>
    <w:rsid w:val="00A24479"/>
    <w:rsid w:val="00A24BB5"/>
    <w:rsid w:val="00A255FA"/>
    <w:rsid w:val="00A26A8C"/>
    <w:rsid w:val="00A26AB9"/>
    <w:rsid w:val="00A26EB1"/>
    <w:rsid w:val="00A27325"/>
    <w:rsid w:val="00A2772B"/>
    <w:rsid w:val="00A3031B"/>
    <w:rsid w:val="00A3056B"/>
    <w:rsid w:val="00A30602"/>
    <w:rsid w:val="00A31439"/>
    <w:rsid w:val="00A327A7"/>
    <w:rsid w:val="00A32D79"/>
    <w:rsid w:val="00A32E08"/>
    <w:rsid w:val="00A33203"/>
    <w:rsid w:val="00A33969"/>
    <w:rsid w:val="00A33C81"/>
    <w:rsid w:val="00A3455E"/>
    <w:rsid w:val="00A3674D"/>
    <w:rsid w:val="00A36770"/>
    <w:rsid w:val="00A37025"/>
    <w:rsid w:val="00A4096D"/>
    <w:rsid w:val="00A40EE1"/>
    <w:rsid w:val="00A40EE2"/>
    <w:rsid w:val="00A42D29"/>
    <w:rsid w:val="00A430B5"/>
    <w:rsid w:val="00A465ED"/>
    <w:rsid w:val="00A46D6B"/>
    <w:rsid w:val="00A47064"/>
    <w:rsid w:val="00A4760D"/>
    <w:rsid w:val="00A47616"/>
    <w:rsid w:val="00A47C7A"/>
    <w:rsid w:val="00A50F85"/>
    <w:rsid w:val="00A51008"/>
    <w:rsid w:val="00A51737"/>
    <w:rsid w:val="00A51FF7"/>
    <w:rsid w:val="00A526BE"/>
    <w:rsid w:val="00A52ABB"/>
    <w:rsid w:val="00A52D95"/>
    <w:rsid w:val="00A52D97"/>
    <w:rsid w:val="00A534AF"/>
    <w:rsid w:val="00A540E9"/>
    <w:rsid w:val="00A54A87"/>
    <w:rsid w:val="00A55630"/>
    <w:rsid w:val="00A5616C"/>
    <w:rsid w:val="00A56320"/>
    <w:rsid w:val="00A564E2"/>
    <w:rsid w:val="00A56893"/>
    <w:rsid w:val="00A56AE9"/>
    <w:rsid w:val="00A56D10"/>
    <w:rsid w:val="00A5723B"/>
    <w:rsid w:val="00A57479"/>
    <w:rsid w:val="00A574F2"/>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D12"/>
    <w:rsid w:val="00A65E3A"/>
    <w:rsid w:val="00A66738"/>
    <w:rsid w:val="00A6688C"/>
    <w:rsid w:val="00A67627"/>
    <w:rsid w:val="00A67B22"/>
    <w:rsid w:val="00A67CEE"/>
    <w:rsid w:val="00A70663"/>
    <w:rsid w:val="00A7106F"/>
    <w:rsid w:val="00A71F5F"/>
    <w:rsid w:val="00A725EA"/>
    <w:rsid w:val="00A73E5C"/>
    <w:rsid w:val="00A741CC"/>
    <w:rsid w:val="00A743D9"/>
    <w:rsid w:val="00A74AAC"/>
    <w:rsid w:val="00A74BE3"/>
    <w:rsid w:val="00A74C59"/>
    <w:rsid w:val="00A761EF"/>
    <w:rsid w:val="00A76B10"/>
    <w:rsid w:val="00A76CDD"/>
    <w:rsid w:val="00A77315"/>
    <w:rsid w:val="00A775F4"/>
    <w:rsid w:val="00A801EB"/>
    <w:rsid w:val="00A80FEB"/>
    <w:rsid w:val="00A81191"/>
    <w:rsid w:val="00A813AC"/>
    <w:rsid w:val="00A813DA"/>
    <w:rsid w:val="00A82CF2"/>
    <w:rsid w:val="00A850D2"/>
    <w:rsid w:val="00A85B3D"/>
    <w:rsid w:val="00A85B6E"/>
    <w:rsid w:val="00A863D5"/>
    <w:rsid w:val="00A86C9C"/>
    <w:rsid w:val="00A86E16"/>
    <w:rsid w:val="00A8716C"/>
    <w:rsid w:val="00A87560"/>
    <w:rsid w:val="00A87DE5"/>
    <w:rsid w:val="00A87E71"/>
    <w:rsid w:val="00A9009F"/>
    <w:rsid w:val="00A90364"/>
    <w:rsid w:val="00A90581"/>
    <w:rsid w:val="00A90FCD"/>
    <w:rsid w:val="00A91940"/>
    <w:rsid w:val="00A91AFF"/>
    <w:rsid w:val="00A9216B"/>
    <w:rsid w:val="00A9217C"/>
    <w:rsid w:val="00A92650"/>
    <w:rsid w:val="00A928D3"/>
    <w:rsid w:val="00A92D98"/>
    <w:rsid w:val="00A92F94"/>
    <w:rsid w:val="00A93979"/>
    <w:rsid w:val="00A93A74"/>
    <w:rsid w:val="00A94C55"/>
    <w:rsid w:val="00A95533"/>
    <w:rsid w:val="00A95B74"/>
    <w:rsid w:val="00A95CF9"/>
    <w:rsid w:val="00A95F6D"/>
    <w:rsid w:val="00A966A5"/>
    <w:rsid w:val="00A96A21"/>
    <w:rsid w:val="00A96CE2"/>
    <w:rsid w:val="00A97229"/>
    <w:rsid w:val="00A9742C"/>
    <w:rsid w:val="00A97B27"/>
    <w:rsid w:val="00AA010F"/>
    <w:rsid w:val="00AA07A0"/>
    <w:rsid w:val="00AA0F67"/>
    <w:rsid w:val="00AA1A12"/>
    <w:rsid w:val="00AA2BB8"/>
    <w:rsid w:val="00AA3463"/>
    <w:rsid w:val="00AA3769"/>
    <w:rsid w:val="00AA3A28"/>
    <w:rsid w:val="00AA5D23"/>
    <w:rsid w:val="00AA67C0"/>
    <w:rsid w:val="00AA76F1"/>
    <w:rsid w:val="00AB01E2"/>
    <w:rsid w:val="00AB026B"/>
    <w:rsid w:val="00AB0431"/>
    <w:rsid w:val="00AB08B1"/>
    <w:rsid w:val="00AB10C2"/>
    <w:rsid w:val="00AB11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125"/>
    <w:rsid w:val="00AC0489"/>
    <w:rsid w:val="00AC0646"/>
    <w:rsid w:val="00AC1418"/>
    <w:rsid w:val="00AC161E"/>
    <w:rsid w:val="00AC2111"/>
    <w:rsid w:val="00AC23D5"/>
    <w:rsid w:val="00AC243A"/>
    <w:rsid w:val="00AC2D23"/>
    <w:rsid w:val="00AC41BF"/>
    <w:rsid w:val="00AC5429"/>
    <w:rsid w:val="00AC5922"/>
    <w:rsid w:val="00AC5AB3"/>
    <w:rsid w:val="00AC654A"/>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388"/>
    <w:rsid w:val="00AE24A6"/>
    <w:rsid w:val="00AE2640"/>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2DB"/>
    <w:rsid w:val="00AF230A"/>
    <w:rsid w:val="00AF2A54"/>
    <w:rsid w:val="00AF4ABD"/>
    <w:rsid w:val="00AF6919"/>
    <w:rsid w:val="00AF7190"/>
    <w:rsid w:val="00AF73DB"/>
    <w:rsid w:val="00B0123F"/>
    <w:rsid w:val="00B01334"/>
    <w:rsid w:val="00B01CEA"/>
    <w:rsid w:val="00B02670"/>
    <w:rsid w:val="00B02904"/>
    <w:rsid w:val="00B032DE"/>
    <w:rsid w:val="00B036F5"/>
    <w:rsid w:val="00B03B19"/>
    <w:rsid w:val="00B04149"/>
    <w:rsid w:val="00B0414E"/>
    <w:rsid w:val="00B05769"/>
    <w:rsid w:val="00B06A84"/>
    <w:rsid w:val="00B06B7E"/>
    <w:rsid w:val="00B06C3E"/>
    <w:rsid w:val="00B073DB"/>
    <w:rsid w:val="00B07423"/>
    <w:rsid w:val="00B0758A"/>
    <w:rsid w:val="00B07595"/>
    <w:rsid w:val="00B07AFA"/>
    <w:rsid w:val="00B12A6D"/>
    <w:rsid w:val="00B13554"/>
    <w:rsid w:val="00B13B7A"/>
    <w:rsid w:val="00B14483"/>
    <w:rsid w:val="00B15367"/>
    <w:rsid w:val="00B153A6"/>
    <w:rsid w:val="00B155D4"/>
    <w:rsid w:val="00B1599B"/>
    <w:rsid w:val="00B15FA1"/>
    <w:rsid w:val="00B16858"/>
    <w:rsid w:val="00B17243"/>
    <w:rsid w:val="00B20541"/>
    <w:rsid w:val="00B20856"/>
    <w:rsid w:val="00B20988"/>
    <w:rsid w:val="00B20D5E"/>
    <w:rsid w:val="00B22C72"/>
    <w:rsid w:val="00B2300A"/>
    <w:rsid w:val="00B231E6"/>
    <w:rsid w:val="00B23255"/>
    <w:rsid w:val="00B24004"/>
    <w:rsid w:val="00B2403F"/>
    <w:rsid w:val="00B240EA"/>
    <w:rsid w:val="00B24CA0"/>
    <w:rsid w:val="00B25161"/>
    <w:rsid w:val="00B25A9D"/>
    <w:rsid w:val="00B268B5"/>
    <w:rsid w:val="00B273D9"/>
    <w:rsid w:val="00B2754C"/>
    <w:rsid w:val="00B27BA5"/>
    <w:rsid w:val="00B312CC"/>
    <w:rsid w:val="00B31C63"/>
    <w:rsid w:val="00B33BA6"/>
    <w:rsid w:val="00B33F67"/>
    <w:rsid w:val="00B33F8E"/>
    <w:rsid w:val="00B3462E"/>
    <w:rsid w:val="00B3489D"/>
    <w:rsid w:val="00B348A7"/>
    <w:rsid w:val="00B34919"/>
    <w:rsid w:val="00B34D52"/>
    <w:rsid w:val="00B35A85"/>
    <w:rsid w:val="00B3653B"/>
    <w:rsid w:val="00B369DC"/>
    <w:rsid w:val="00B36ECA"/>
    <w:rsid w:val="00B37355"/>
    <w:rsid w:val="00B379E5"/>
    <w:rsid w:val="00B37A83"/>
    <w:rsid w:val="00B37D47"/>
    <w:rsid w:val="00B40046"/>
    <w:rsid w:val="00B40185"/>
    <w:rsid w:val="00B408EE"/>
    <w:rsid w:val="00B409C3"/>
    <w:rsid w:val="00B40AB5"/>
    <w:rsid w:val="00B42C15"/>
    <w:rsid w:val="00B433C1"/>
    <w:rsid w:val="00B438CD"/>
    <w:rsid w:val="00B43A02"/>
    <w:rsid w:val="00B43B37"/>
    <w:rsid w:val="00B453D5"/>
    <w:rsid w:val="00B455C9"/>
    <w:rsid w:val="00B45AFC"/>
    <w:rsid w:val="00B46259"/>
    <w:rsid w:val="00B4665F"/>
    <w:rsid w:val="00B46857"/>
    <w:rsid w:val="00B505CD"/>
    <w:rsid w:val="00B50A83"/>
    <w:rsid w:val="00B50F8A"/>
    <w:rsid w:val="00B51029"/>
    <w:rsid w:val="00B5154D"/>
    <w:rsid w:val="00B51C5C"/>
    <w:rsid w:val="00B51FC7"/>
    <w:rsid w:val="00B5224F"/>
    <w:rsid w:val="00B5226C"/>
    <w:rsid w:val="00B52DDE"/>
    <w:rsid w:val="00B53F90"/>
    <w:rsid w:val="00B54491"/>
    <w:rsid w:val="00B54E6C"/>
    <w:rsid w:val="00B55430"/>
    <w:rsid w:val="00B55A87"/>
    <w:rsid w:val="00B55C3D"/>
    <w:rsid w:val="00B56C26"/>
    <w:rsid w:val="00B56D0B"/>
    <w:rsid w:val="00B5712D"/>
    <w:rsid w:val="00B5766A"/>
    <w:rsid w:val="00B57976"/>
    <w:rsid w:val="00B605F5"/>
    <w:rsid w:val="00B60990"/>
    <w:rsid w:val="00B609A4"/>
    <w:rsid w:val="00B61551"/>
    <w:rsid w:val="00B61941"/>
    <w:rsid w:val="00B61DC4"/>
    <w:rsid w:val="00B63617"/>
    <w:rsid w:val="00B6577D"/>
    <w:rsid w:val="00B659D3"/>
    <w:rsid w:val="00B65DD4"/>
    <w:rsid w:val="00B666CF"/>
    <w:rsid w:val="00B670DF"/>
    <w:rsid w:val="00B67B96"/>
    <w:rsid w:val="00B67BA4"/>
    <w:rsid w:val="00B67F4C"/>
    <w:rsid w:val="00B7099E"/>
    <w:rsid w:val="00B709CA"/>
    <w:rsid w:val="00B70C7F"/>
    <w:rsid w:val="00B717AA"/>
    <w:rsid w:val="00B71866"/>
    <w:rsid w:val="00B71B11"/>
    <w:rsid w:val="00B71C5E"/>
    <w:rsid w:val="00B7212B"/>
    <w:rsid w:val="00B72189"/>
    <w:rsid w:val="00B72CF0"/>
    <w:rsid w:val="00B73622"/>
    <w:rsid w:val="00B73BA4"/>
    <w:rsid w:val="00B73FC4"/>
    <w:rsid w:val="00B75D34"/>
    <w:rsid w:val="00B771D7"/>
    <w:rsid w:val="00B801B2"/>
    <w:rsid w:val="00B80BA1"/>
    <w:rsid w:val="00B81B26"/>
    <w:rsid w:val="00B81FDB"/>
    <w:rsid w:val="00B8277D"/>
    <w:rsid w:val="00B830A2"/>
    <w:rsid w:val="00B83214"/>
    <w:rsid w:val="00B83404"/>
    <w:rsid w:val="00B842B5"/>
    <w:rsid w:val="00B8475D"/>
    <w:rsid w:val="00B84C5D"/>
    <w:rsid w:val="00B84D65"/>
    <w:rsid w:val="00B84EE3"/>
    <w:rsid w:val="00B85251"/>
    <w:rsid w:val="00B853CC"/>
    <w:rsid w:val="00B8632C"/>
    <w:rsid w:val="00B864A5"/>
    <w:rsid w:val="00B8661E"/>
    <w:rsid w:val="00B86927"/>
    <w:rsid w:val="00B86B6B"/>
    <w:rsid w:val="00B86B8B"/>
    <w:rsid w:val="00B86DB2"/>
    <w:rsid w:val="00B86E84"/>
    <w:rsid w:val="00B86E85"/>
    <w:rsid w:val="00B872D1"/>
    <w:rsid w:val="00B8753D"/>
    <w:rsid w:val="00B87A9B"/>
    <w:rsid w:val="00B905D2"/>
    <w:rsid w:val="00B910B1"/>
    <w:rsid w:val="00B91988"/>
    <w:rsid w:val="00B9293C"/>
    <w:rsid w:val="00B93074"/>
    <w:rsid w:val="00B934D2"/>
    <w:rsid w:val="00B93B7C"/>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4979"/>
    <w:rsid w:val="00BA5482"/>
    <w:rsid w:val="00BA55AE"/>
    <w:rsid w:val="00BA57AA"/>
    <w:rsid w:val="00BA6992"/>
    <w:rsid w:val="00BA7BF2"/>
    <w:rsid w:val="00BB03F2"/>
    <w:rsid w:val="00BB07A1"/>
    <w:rsid w:val="00BB08ED"/>
    <w:rsid w:val="00BB0ACE"/>
    <w:rsid w:val="00BB0D13"/>
    <w:rsid w:val="00BB13E0"/>
    <w:rsid w:val="00BB1AA6"/>
    <w:rsid w:val="00BB2AAF"/>
    <w:rsid w:val="00BB2E5B"/>
    <w:rsid w:val="00BB32F3"/>
    <w:rsid w:val="00BB45A2"/>
    <w:rsid w:val="00BB4AAB"/>
    <w:rsid w:val="00BB54E7"/>
    <w:rsid w:val="00BB67B8"/>
    <w:rsid w:val="00BB6859"/>
    <w:rsid w:val="00BB6ADC"/>
    <w:rsid w:val="00BB6EA4"/>
    <w:rsid w:val="00BB724B"/>
    <w:rsid w:val="00BB78B5"/>
    <w:rsid w:val="00BB7A07"/>
    <w:rsid w:val="00BC060A"/>
    <w:rsid w:val="00BC0656"/>
    <w:rsid w:val="00BC08DD"/>
    <w:rsid w:val="00BC0C42"/>
    <w:rsid w:val="00BC114A"/>
    <w:rsid w:val="00BC1D62"/>
    <w:rsid w:val="00BC1F7F"/>
    <w:rsid w:val="00BC2EF9"/>
    <w:rsid w:val="00BC3A91"/>
    <w:rsid w:val="00BC4520"/>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D7E9F"/>
    <w:rsid w:val="00BE0B65"/>
    <w:rsid w:val="00BE2F38"/>
    <w:rsid w:val="00BE326C"/>
    <w:rsid w:val="00BE365B"/>
    <w:rsid w:val="00BE4067"/>
    <w:rsid w:val="00BE4F11"/>
    <w:rsid w:val="00BE571C"/>
    <w:rsid w:val="00BE695B"/>
    <w:rsid w:val="00BE6D35"/>
    <w:rsid w:val="00BE7036"/>
    <w:rsid w:val="00BE7103"/>
    <w:rsid w:val="00BE79CC"/>
    <w:rsid w:val="00BE7A42"/>
    <w:rsid w:val="00BE7B1A"/>
    <w:rsid w:val="00BF006D"/>
    <w:rsid w:val="00BF00F3"/>
    <w:rsid w:val="00BF04FB"/>
    <w:rsid w:val="00BF06C8"/>
    <w:rsid w:val="00BF0C35"/>
    <w:rsid w:val="00BF0CF7"/>
    <w:rsid w:val="00BF1393"/>
    <w:rsid w:val="00BF168A"/>
    <w:rsid w:val="00BF1C5E"/>
    <w:rsid w:val="00BF1E35"/>
    <w:rsid w:val="00BF277B"/>
    <w:rsid w:val="00BF2D9E"/>
    <w:rsid w:val="00BF3511"/>
    <w:rsid w:val="00BF3AB4"/>
    <w:rsid w:val="00BF4187"/>
    <w:rsid w:val="00BF45F7"/>
    <w:rsid w:val="00BF4652"/>
    <w:rsid w:val="00BF5B8F"/>
    <w:rsid w:val="00BF5D35"/>
    <w:rsid w:val="00BF5EAB"/>
    <w:rsid w:val="00BF7CAB"/>
    <w:rsid w:val="00BF7D80"/>
    <w:rsid w:val="00C0025D"/>
    <w:rsid w:val="00C00467"/>
    <w:rsid w:val="00C010E4"/>
    <w:rsid w:val="00C01C38"/>
    <w:rsid w:val="00C02692"/>
    <w:rsid w:val="00C02EB9"/>
    <w:rsid w:val="00C02F12"/>
    <w:rsid w:val="00C02FF5"/>
    <w:rsid w:val="00C03CB4"/>
    <w:rsid w:val="00C03D72"/>
    <w:rsid w:val="00C03EC6"/>
    <w:rsid w:val="00C041AB"/>
    <w:rsid w:val="00C04685"/>
    <w:rsid w:val="00C05F32"/>
    <w:rsid w:val="00C06B8F"/>
    <w:rsid w:val="00C07084"/>
    <w:rsid w:val="00C07AB1"/>
    <w:rsid w:val="00C10A6D"/>
    <w:rsid w:val="00C11043"/>
    <w:rsid w:val="00C11E87"/>
    <w:rsid w:val="00C12079"/>
    <w:rsid w:val="00C12403"/>
    <w:rsid w:val="00C1243C"/>
    <w:rsid w:val="00C12AD6"/>
    <w:rsid w:val="00C1323A"/>
    <w:rsid w:val="00C13FB5"/>
    <w:rsid w:val="00C146B3"/>
    <w:rsid w:val="00C149D9"/>
    <w:rsid w:val="00C14BC7"/>
    <w:rsid w:val="00C14F43"/>
    <w:rsid w:val="00C15786"/>
    <w:rsid w:val="00C1714A"/>
    <w:rsid w:val="00C172FF"/>
    <w:rsid w:val="00C17A3B"/>
    <w:rsid w:val="00C17C1D"/>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2BA4"/>
    <w:rsid w:val="00C332B5"/>
    <w:rsid w:val="00C334F4"/>
    <w:rsid w:val="00C3392D"/>
    <w:rsid w:val="00C3396A"/>
    <w:rsid w:val="00C33ED6"/>
    <w:rsid w:val="00C3454D"/>
    <w:rsid w:val="00C35B75"/>
    <w:rsid w:val="00C36774"/>
    <w:rsid w:val="00C3681D"/>
    <w:rsid w:val="00C36888"/>
    <w:rsid w:val="00C369E6"/>
    <w:rsid w:val="00C36C23"/>
    <w:rsid w:val="00C375EA"/>
    <w:rsid w:val="00C37FAF"/>
    <w:rsid w:val="00C408F8"/>
    <w:rsid w:val="00C40904"/>
    <w:rsid w:val="00C410ED"/>
    <w:rsid w:val="00C42898"/>
    <w:rsid w:val="00C43001"/>
    <w:rsid w:val="00C43048"/>
    <w:rsid w:val="00C4363B"/>
    <w:rsid w:val="00C43AD8"/>
    <w:rsid w:val="00C453F5"/>
    <w:rsid w:val="00C463E3"/>
    <w:rsid w:val="00C4697D"/>
    <w:rsid w:val="00C469A5"/>
    <w:rsid w:val="00C47352"/>
    <w:rsid w:val="00C476A6"/>
    <w:rsid w:val="00C47E1D"/>
    <w:rsid w:val="00C5007F"/>
    <w:rsid w:val="00C510C6"/>
    <w:rsid w:val="00C519FB"/>
    <w:rsid w:val="00C52090"/>
    <w:rsid w:val="00C538B3"/>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372A"/>
    <w:rsid w:val="00C65558"/>
    <w:rsid w:val="00C66A52"/>
    <w:rsid w:val="00C6758D"/>
    <w:rsid w:val="00C67DD9"/>
    <w:rsid w:val="00C71021"/>
    <w:rsid w:val="00C71446"/>
    <w:rsid w:val="00C71F0B"/>
    <w:rsid w:val="00C72C4A"/>
    <w:rsid w:val="00C73133"/>
    <w:rsid w:val="00C73662"/>
    <w:rsid w:val="00C73A67"/>
    <w:rsid w:val="00C744AB"/>
    <w:rsid w:val="00C74691"/>
    <w:rsid w:val="00C74DA6"/>
    <w:rsid w:val="00C74E3D"/>
    <w:rsid w:val="00C74E4D"/>
    <w:rsid w:val="00C74EEA"/>
    <w:rsid w:val="00C75047"/>
    <w:rsid w:val="00C75A4F"/>
    <w:rsid w:val="00C75C3F"/>
    <w:rsid w:val="00C75DB4"/>
    <w:rsid w:val="00C766CC"/>
    <w:rsid w:val="00C777CA"/>
    <w:rsid w:val="00C779B5"/>
    <w:rsid w:val="00C77A39"/>
    <w:rsid w:val="00C814C0"/>
    <w:rsid w:val="00C81504"/>
    <w:rsid w:val="00C81DA9"/>
    <w:rsid w:val="00C81F03"/>
    <w:rsid w:val="00C81FBD"/>
    <w:rsid w:val="00C82955"/>
    <w:rsid w:val="00C83443"/>
    <w:rsid w:val="00C83574"/>
    <w:rsid w:val="00C83769"/>
    <w:rsid w:val="00C83D00"/>
    <w:rsid w:val="00C83D3F"/>
    <w:rsid w:val="00C8421D"/>
    <w:rsid w:val="00C843AF"/>
    <w:rsid w:val="00C84957"/>
    <w:rsid w:val="00C84CC8"/>
    <w:rsid w:val="00C85E4C"/>
    <w:rsid w:val="00C86149"/>
    <w:rsid w:val="00C86916"/>
    <w:rsid w:val="00C86B84"/>
    <w:rsid w:val="00C86F8D"/>
    <w:rsid w:val="00C87D1A"/>
    <w:rsid w:val="00C9207A"/>
    <w:rsid w:val="00C93FA8"/>
    <w:rsid w:val="00C94EBD"/>
    <w:rsid w:val="00C95503"/>
    <w:rsid w:val="00C958EA"/>
    <w:rsid w:val="00C96297"/>
    <w:rsid w:val="00C964AD"/>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1DA"/>
    <w:rsid w:val="00CB0A72"/>
    <w:rsid w:val="00CB0DA3"/>
    <w:rsid w:val="00CB13C6"/>
    <w:rsid w:val="00CB18B4"/>
    <w:rsid w:val="00CB1C46"/>
    <w:rsid w:val="00CB1ED7"/>
    <w:rsid w:val="00CB20E5"/>
    <w:rsid w:val="00CB34A2"/>
    <w:rsid w:val="00CB39E0"/>
    <w:rsid w:val="00CB3A6E"/>
    <w:rsid w:val="00CB50DD"/>
    <w:rsid w:val="00CB5BE6"/>
    <w:rsid w:val="00CB5FBA"/>
    <w:rsid w:val="00CB69D6"/>
    <w:rsid w:val="00CB6EE1"/>
    <w:rsid w:val="00CB7DBA"/>
    <w:rsid w:val="00CC00A0"/>
    <w:rsid w:val="00CC0917"/>
    <w:rsid w:val="00CC1408"/>
    <w:rsid w:val="00CC15AB"/>
    <w:rsid w:val="00CC176D"/>
    <w:rsid w:val="00CC190A"/>
    <w:rsid w:val="00CC21DE"/>
    <w:rsid w:val="00CC2356"/>
    <w:rsid w:val="00CC3F24"/>
    <w:rsid w:val="00CC3FED"/>
    <w:rsid w:val="00CC415E"/>
    <w:rsid w:val="00CC489E"/>
    <w:rsid w:val="00CC625A"/>
    <w:rsid w:val="00CC634E"/>
    <w:rsid w:val="00CC7263"/>
    <w:rsid w:val="00CC7B98"/>
    <w:rsid w:val="00CD00F1"/>
    <w:rsid w:val="00CD0295"/>
    <w:rsid w:val="00CD071F"/>
    <w:rsid w:val="00CD08AB"/>
    <w:rsid w:val="00CD08B6"/>
    <w:rsid w:val="00CD0D03"/>
    <w:rsid w:val="00CD0FBC"/>
    <w:rsid w:val="00CD1148"/>
    <w:rsid w:val="00CD161C"/>
    <w:rsid w:val="00CD387A"/>
    <w:rsid w:val="00CD3D3A"/>
    <w:rsid w:val="00CD44AE"/>
    <w:rsid w:val="00CD474B"/>
    <w:rsid w:val="00CD4FE9"/>
    <w:rsid w:val="00CD53D3"/>
    <w:rsid w:val="00CD6106"/>
    <w:rsid w:val="00CD6E4E"/>
    <w:rsid w:val="00CD6E9E"/>
    <w:rsid w:val="00CD73D9"/>
    <w:rsid w:val="00CD74B5"/>
    <w:rsid w:val="00CD79C5"/>
    <w:rsid w:val="00CE05AB"/>
    <w:rsid w:val="00CE100C"/>
    <w:rsid w:val="00CE1139"/>
    <w:rsid w:val="00CE1CE8"/>
    <w:rsid w:val="00CE2572"/>
    <w:rsid w:val="00CE25F8"/>
    <w:rsid w:val="00CE28F5"/>
    <w:rsid w:val="00CE2D39"/>
    <w:rsid w:val="00CE2E1B"/>
    <w:rsid w:val="00CE3DD4"/>
    <w:rsid w:val="00CE4BCD"/>
    <w:rsid w:val="00CE5122"/>
    <w:rsid w:val="00CE5A76"/>
    <w:rsid w:val="00CE61F3"/>
    <w:rsid w:val="00CE625C"/>
    <w:rsid w:val="00CE6BC6"/>
    <w:rsid w:val="00CE6EF5"/>
    <w:rsid w:val="00CE7219"/>
    <w:rsid w:val="00CE7EB2"/>
    <w:rsid w:val="00CF03E0"/>
    <w:rsid w:val="00CF0A94"/>
    <w:rsid w:val="00CF0AF1"/>
    <w:rsid w:val="00CF0B6A"/>
    <w:rsid w:val="00CF1749"/>
    <w:rsid w:val="00CF1E3D"/>
    <w:rsid w:val="00CF2696"/>
    <w:rsid w:val="00CF27C4"/>
    <w:rsid w:val="00CF289A"/>
    <w:rsid w:val="00CF3F95"/>
    <w:rsid w:val="00CF4EC7"/>
    <w:rsid w:val="00CF59E2"/>
    <w:rsid w:val="00CF6299"/>
    <w:rsid w:val="00CF63C0"/>
    <w:rsid w:val="00CF657E"/>
    <w:rsid w:val="00CF69A7"/>
    <w:rsid w:val="00CF7178"/>
    <w:rsid w:val="00CF723B"/>
    <w:rsid w:val="00CF772C"/>
    <w:rsid w:val="00D00191"/>
    <w:rsid w:val="00D001D3"/>
    <w:rsid w:val="00D00430"/>
    <w:rsid w:val="00D018D5"/>
    <w:rsid w:val="00D020C1"/>
    <w:rsid w:val="00D02503"/>
    <w:rsid w:val="00D02CFA"/>
    <w:rsid w:val="00D031B8"/>
    <w:rsid w:val="00D03701"/>
    <w:rsid w:val="00D03ABE"/>
    <w:rsid w:val="00D03DFD"/>
    <w:rsid w:val="00D0432D"/>
    <w:rsid w:val="00D04712"/>
    <w:rsid w:val="00D0481B"/>
    <w:rsid w:val="00D04D78"/>
    <w:rsid w:val="00D055F1"/>
    <w:rsid w:val="00D059B1"/>
    <w:rsid w:val="00D06052"/>
    <w:rsid w:val="00D06162"/>
    <w:rsid w:val="00D06420"/>
    <w:rsid w:val="00D0701F"/>
    <w:rsid w:val="00D071AC"/>
    <w:rsid w:val="00D077E3"/>
    <w:rsid w:val="00D07A59"/>
    <w:rsid w:val="00D11567"/>
    <w:rsid w:val="00D11A66"/>
    <w:rsid w:val="00D12606"/>
    <w:rsid w:val="00D13146"/>
    <w:rsid w:val="00D131CE"/>
    <w:rsid w:val="00D15AA1"/>
    <w:rsid w:val="00D15B61"/>
    <w:rsid w:val="00D1665D"/>
    <w:rsid w:val="00D16794"/>
    <w:rsid w:val="00D17FD8"/>
    <w:rsid w:val="00D20529"/>
    <w:rsid w:val="00D20CBF"/>
    <w:rsid w:val="00D21052"/>
    <w:rsid w:val="00D21140"/>
    <w:rsid w:val="00D21EAA"/>
    <w:rsid w:val="00D21F29"/>
    <w:rsid w:val="00D225AB"/>
    <w:rsid w:val="00D228F8"/>
    <w:rsid w:val="00D22E02"/>
    <w:rsid w:val="00D22F11"/>
    <w:rsid w:val="00D2417D"/>
    <w:rsid w:val="00D24498"/>
    <w:rsid w:val="00D24615"/>
    <w:rsid w:val="00D24F15"/>
    <w:rsid w:val="00D25CBC"/>
    <w:rsid w:val="00D2679D"/>
    <w:rsid w:val="00D26F6F"/>
    <w:rsid w:val="00D27140"/>
    <w:rsid w:val="00D27467"/>
    <w:rsid w:val="00D300B3"/>
    <w:rsid w:val="00D30AF1"/>
    <w:rsid w:val="00D30F33"/>
    <w:rsid w:val="00D31457"/>
    <w:rsid w:val="00D317E5"/>
    <w:rsid w:val="00D31AB5"/>
    <w:rsid w:val="00D31E59"/>
    <w:rsid w:val="00D32975"/>
    <w:rsid w:val="00D3390D"/>
    <w:rsid w:val="00D34A84"/>
    <w:rsid w:val="00D34C54"/>
    <w:rsid w:val="00D34E49"/>
    <w:rsid w:val="00D3554F"/>
    <w:rsid w:val="00D3555C"/>
    <w:rsid w:val="00D3572A"/>
    <w:rsid w:val="00D35DEE"/>
    <w:rsid w:val="00D36E35"/>
    <w:rsid w:val="00D37150"/>
    <w:rsid w:val="00D37C0C"/>
    <w:rsid w:val="00D37FA9"/>
    <w:rsid w:val="00D4040F"/>
    <w:rsid w:val="00D40767"/>
    <w:rsid w:val="00D409A1"/>
    <w:rsid w:val="00D413B3"/>
    <w:rsid w:val="00D41EAD"/>
    <w:rsid w:val="00D42148"/>
    <w:rsid w:val="00D427E5"/>
    <w:rsid w:val="00D427E8"/>
    <w:rsid w:val="00D4293A"/>
    <w:rsid w:val="00D43B22"/>
    <w:rsid w:val="00D449C5"/>
    <w:rsid w:val="00D44E6F"/>
    <w:rsid w:val="00D44E98"/>
    <w:rsid w:val="00D453E5"/>
    <w:rsid w:val="00D45B4A"/>
    <w:rsid w:val="00D45F98"/>
    <w:rsid w:val="00D4643F"/>
    <w:rsid w:val="00D4696A"/>
    <w:rsid w:val="00D46EF2"/>
    <w:rsid w:val="00D4753F"/>
    <w:rsid w:val="00D475FE"/>
    <w:rsid w:val="00D47CED"/>
    <w:rsid w:val="00D50738"/>
    <w:rsid w:val="00D50B1D"/>
    <w:rsid w:val="00D5103B"/>
    <w:rsid w:val="00D51D34"/>
    <w:rsid w:val="00D52AE0"/>
    <w:rsid w:val="00D53EC0"/>
    <w:rsid w:val="00D53EE6"/>
    <w:rsid w:val="00D542B8"/>
    <w:rsid w:val="00D558DA"/>
    <w:rsid w:val="00D56F4A"/>
    <w:rsid w:val="00D57298"/>
    <w:rsid w:val="00D57F7D"/>
    <w:rsid w:val="00D60294"/>
    <w:rsid w:val="00D60DDD"/>
    <w:rsid w:val="00D60F1D"/>
    <w:rsid w:val="00D614DB"/>
    <w:rsid w:val="00D624B1"/>
    <w:rsid w:val="00D62A08"/>
    <w:rsid w:val="00D62BE4"/>
    <w:rsid w:val="00D62DBA"/>
    <w:rsid w:val="00D63102"/>
    <w:rsid w:val="00D647C5"/>
    <w:rsid w:val="00D6492D"/>
    <w:rsid w:val="00D64954"/>
    <w:rsid w:val="00D6512E"/>
    <w:rsid w:val="00D651D5"/>
    <w:rsid w:val="00D6593C"/>
    <w:rsid w:val="00D65F15"/>
    <w:rsid w:val="00D66260"/>
    <w:rsid w:val="00D663A6"/>
    <w:rsid w:val="00D6658E"/>
    <w:rsid w:val="00D6712B"/>
    <w:rsid w:val="00D70630"/>
    <w:rsid w:val="00D708DA"/>
    <w:rsid w:val="00D70ABF"/>
    <w:rsid w:val="00D70C7E"/>
    <w:rsid w:val="00D71B7C"/>
    <w:rsid w:val="00D71E9A"/>
    <w:rsid w:val="00D731C8"/>
    <w:rsid w:val="00D74080"/>
    <w:rsid w:val="00D74CAD"/>
    <w:rsid w:val="00D75831"/>
    <w:rsid w:val="00D75CBE"/>
    <w:rsid w:val="00D76A05"/>
    <w:rsid w:val="00D76C40"/>
    <w:rsid w:val="00D76EC9"/>
    <w:rsid w:val="00D77E41"/>
    <w:rsid w:val="00D80AB4"/>
    <w:rsid w:val="00D814D3"/>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5A3"/>
    <w:rsid w:val="00DA15C5"/>
    <w:rsid w:val="00DA1AA7"/>
    <w:rsid w:val="00DA2081"/>
    <w:rsid w:val="00DA2B33"/>
    <w:rsid w:val="00DA2BCE"/>
    <w:rsid w:val="00DA2D5A"/>
    <w:rsid w:val="00DA322C"/>
    <w:rsid w:val="00DA3835"/>
    <w:rsid w:val="00DA4761"/>
    <w:rsid w:val="00DA47AA"/>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2CC"/>
    <w:rsid w:val="00DB635A"/>
    <w:rsid w:val="00DB679E"/>
    <w:rsid w:val="00DB7233"/>
    <w:rsid w:val="00DB7A74"/>
    <w:rsid w:val="00DC0682"/>
    <w:rsid w:val="00DC0E9B"/>
    <w:rsid w:val="00DC16A4"/>
    <w:rsid w:val="00DC1F76"/>
    <w:rsid w:val="00DC2E2E"/>
    <w:rsid w:val="00DC4B6C"/>
    <w:rsid w:val="00DC4D1E"/>
    <w:rsid w:val="00DC5AC5"/>
    <w:rsid w:val="00DC6125"/>
    <w:rsid w:val="00DC6D97"/>
    <w:rsid w:val="00DC7262"/>
    <w:rsid w:val="00DC7E05"/>
    <w:rsid w:val="00DD1311"/>
    <w:rsid w:val="00DD1B52"/>
    <w:rsid w:val="00DD1D55"/>
    <w:rsid w:val="00DD1EE7"/>
    <w:rsid w:val="00DD1F5C"/>
    <w:rsid w:val="00DD2119"/>
    <w:rsid w:val="00DD2820"/>
    <w:rsid w:val="00DD311B"/>
    <w:rsid w:val="00DD3873"/>
    <w:rsid w:val="00DD4294"/>
    <w:rsid w:val="00DD4813"/>
    <w:rsid w:val="00DD5B46"/>
    <w:rsid w:val="00DD6165"/>
    <w:rsid w:val="00DD6663"/>
    <w:rsid w:val="00DD66DA"/>
    <w:rsid w:val="00DD6EB8"/>
    <w:rsid w:val="00DD7917"/>
    <w:rsid w:val="00DE01CB"/>
    <w:rsid w:val="00DE0E25"/>
    <w:rsid w:val="00DE12DF"/>
    <w:rsid w:val="00DE17FF"/>
    <w:rsid w:val="00DE189A"/>
    <w:rsid w:val="00DE2DFB"/>
    <w:rsid w:val="00DE328D"/>
    <w:rsid w:val="00DE3712"/>
    <w:rsid w:val="00DE3B9C"/>
    <w:rsid w:val="00DE5141"/>
    <w:rsid w:val="00DE58A0"/>
    <w:rsid w:val="00DE58DB"/>
    <w:rsid w:val="00DE5B71"/>
    <w:rsid w:val="00DE5B96"/>
    <w:rsid w:val="00DE64E9"/>
    <w:rsid w:val="00DE6DA4"/>
    <w:rsid w:val="00DE73FB"/>
    <w:rsid w:val="00DE79BF"/>
    <w:rsid w:val="00DE79DB"/>
    <w:rsid w:val="00DF073E"/>
    <w:rsid w:val="00DF09CC"/>
    <w:rsid w:val="00DF14E7"/>
    <w:rsid w:val="00DF255B"/>
    <w:rsid w:val="00DF28F0"/>
    <w:rsid w:val="00DF29F1"/>
    <w:rsid w:val="00DF2A87"/>
    <w:rsid w:val="00DF2F4F"/>
    <w:rsid w:val="00DF3846"/>
    <w:rsid w:val="00DF4EB1"/>
    <w:rsid w:val="00DF520B"/>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3BA1"/>
    <w:rsid w:val="00E0457E"/>
    <w:rsid w:val="00E0465B"/>
    <w:rsid w:val="00E049BD"/>
    <w:rsid w:val="00E04A01"/>
    <w:rsid w:val="00E04ECE"/>
    <w:rsid w:val="00E05956"/>
    <w:rsid w:val="00E05AE5"/>
    <w:rsid w:val="00E06990"/>
    <w:rsid w:val="00E06C1E"/>
    <w:rsid w:val="00E06D3C"/>
    <w:rsid w:val="00E0702C"/>
    <w:rsid w:val="00E07671"/>
    <w:rsid w:val="00E0798F"/>
    <w:rsid w:val="00E102FF"/>
    <w:rsid w:val="00E10A2F"/>
    <w:rsid w:val="00E1124C"/>
    <w:rsid w:val="00E11B8F"/>
    <w:rsid w:val="00E11BB1"/>
    <w:rsid w:val="00E13F29"/>
    <w:rsid w:val="00E154EC"/>
    <w:rsid w:val="00E16198"/>
    <w:rsid w:val="00E16AB4"/>
    <w:rsid w:val="00E16BAA"/>
    <w:rsid w:val="00E17F49"/>
    <w:rsid w:val="00E20418"/>
    <w:rsid w:val="00E21412"/>
    <w:rsid w:val="00E216E7"/>
    <w:rsid w:val="00E22486"/>
    <w:rsid w:val="00E22993"/>
    <w:rsid w:val="00E229A0"/>
    <w:rsid w:val="00E230CB"/>
    <w:rsid w:val="00E23C65"/>
    <w:rsid w:val="00E23D5F"/>
    <w:rsid w:val="00E23E25"/>
    <w:rsid w:val="00E24547"/>
    <w:rsid w:val="00E25050"/>
    <w:rsid w:val="00E2527F"/>
    <w:rsid w:val="00E25577"/>
    <w:rsid w:val="00E257B1"/>
    <w:rsid w:val="00E25AC1"/>
    <w:rsid w:val="00E26398"/>
    <w:rsid w:val="00E26920"/>
    <w:rsid w:val="00E27408"/>
    <w:rsid w:val="00E30474"/>
    <w:rsid w:val="00E30972"/>
    <w:rsid w:val="00E30C17"/>
    <w:rsid w:val="00E30D86"/>
    <w:rsid w:val="00E3160B"/>
    <w:rsid w:val="00E31684"/>
    <w:rsid w:val="00E316D5"/>
    <w:rsid w:val="00E31E0B"/>
    <w:rsid w:val="00E32272"/>
    <w:rsid w:val="00E32435"/>
    <w:rsid w:val="00E32B9B"/>
    <w:rsid w:val="00E3353E"/>
    <w:rsid w:val="00E3369B"/>
    <w:rsid w:val="00E3384C"/>
    <w:rsid w:val="00E34222"/>
    <w:rsid w:val="00E3423F"/>
    <w:rsid w:val="00E34CDC"/>
    <w:rsid w:val="00E34D8D"/>
    <w:rsid w:val="00E368B4"/>
    <w:rsid w:val="00E37592"/>
    <w:rsid w:val="00E37FDF"/>
    <w:rsid w:val="00E40237"/>
    <w:rsid w:val="00E4039F"/>
    <w:rsid w:val="00E415ED"/>
    <w:rsid w:val="00E41B54"/>
    <w:rsid w:val="00E440C8"/>
    <w:rsid w:val="00E440FE"/>
    <w:rsid w:val="00E444AA"/>
    <w:rsid w:val="00E447C5"/>
    <w:rsid w:val="00E44845"/>
    <w:rsid w:val="00E44DFC"/>
    <w:rsid w:val="00E44EC9"/>
    <w:rsid w:val="00E451B3"/>
    <w:rsid w:val="00E46B43"/>
    <w:rsid w:val="00E46F5E"/>
    <w:rsid w:val="00E470D9"/>
    <w:rsid w:val="00E50124"/>
    <w:rsid w:val="00E50B80"/>
    <w:rsid w:val="00E50C0E"/>
    <w:rsid w:val="00E50D17"/>
    <w:rsid w:val="00E51A59"/>
    <w:rsid w:val="00E524D8"/>
    <w:rsid w:val="00E52597"/>
    <w:rsid w:val="00E525CB"/>
    <w:rsid w:val="00E52608"/>
    <w:rsid w:val="00E52CF6"/>
    <w:rsid w:val="00E535A8"/>
    <w:rsid w:val="00E538FF"/>
    <w:rsid w:val="00E5396D"/>
    <w:rsid w:val="00E539AB"/>
    <w:rsid w:val="00E54407"/>
    <w:rsid w:val="00E5481D"/>
    <w:rsid w:val="00E55520"/>
    <w:rsid w:val="00E56E48"/>
    <w:rsid w:val="00E5784B"/>
    <w:rsid w:val="00E57C92"/>
    <w:rsid w:val="00E57D33"/>
    <w:rsid w:val="00E6079D"/>
    <w:rsid w:val="00E610A6"/>
    <w:rsid w:val="00E614E8"/>
    <w:rsid w:val="00E6158C"/>
    <w:rsid w:val="00E61C4B"/>
    <w:rsid w:val="00E6243E"/>
    <w:rsid w:val="00E626FE"/>
    <w:rsid w:val="00E62A8A"/>
    <w:rsid w:val="00E62B92"/>
    <w:rsid w:val="00E6417D"/>
    <w:rsid w:val="00E64945"/>
    <w:rsid w:val="00E654EA"/>
    <w:rsid w:val="00E66495"/>
    <w:rsid w:val="00E664BA"/>
    <w:rsid w:val="00E67237"/>
    <w:rsid w:val="00E67D08"/>
    <w:rsid w:val="00E67F3E"/>
    <w:rsid w:val="00E700F8"/>
    <w:rsid w:val="00E70266"/>
    <w:rsid w:val="00E702C2"/>
    <w:rsid w:val="00E70C3A"/>
    <w:rsid w:val="00E70E58"/>
    <w:rsid w:val="00E70F15"/>
    <w:rsid w:val="00E718ED"/>
    <w:rsid w:val="00E719EB"/>
    <w:rsid w:val="00E7229A"/>
    <w:rsid w:val="00E73CA5"/>
    <w:rsid w:val="00E73FB9"/>
    <w:rsid w:val="00E74450"/>
    <w:rsid w:val="00E75248"/>
    <w:rsid w:val="00E75EC1"/>
    <w:rsid w:val="00E76B1A"/>
    <w:rsid w:val="00E7729E"/>
    <w:rsid w:val="00E77D0F"/>
    <w:rsid w:val="00E804F0"/>
    <w:rsid w:val="00E80945"/>
    <w:rsid w:val="00E8094A"/>
    <w:rsid w:val="00E80AF6"/>
    <w:rsid w:val="00E80C37"/>
    <w:rsid w:val="00E8119B"/>
    <w:rsid w:val="00E81924"/>
    <w:rsid w:val="00E81E35"/>
    <w:rsid w:val="00E81EE2"/>
    <w:rsid w:val="00E82126"/>
    <w:rsid w:val="00E82CA4"/>
    <w:rsid w:val="00E82D58"/>
    <w:rsid w:val="00E84077"/>
    <w:rsid w:val="00E856C3"/>
    <w:rsid w:val="00E856ED"/>
    <w:rsid w:val="00E866D0"/>
    <w:rsid w:val="00E8694C"/>
    <w:rsid w:val="00E87031"/>
    <w:rsid w:val="00E872D3"/>
    <w:rsid w:val="00E87790"/>
    <w:rsid w:val="00E878D3"/>
    <w:rsid w:val="00E87D62"/>
    <w:rsid w:val="00E902BD"/>
    <w:rsid w:val="00E9116A"/>
    <w:rsid w:val="00E91570"/>
    <w:rsid w:val="00E918FF"/>
    <w:rsid w:val="00E92591"/>
    <w:rsid w:val="00E928DD"/>
    <w:rsid w:val="00E92F52"/>
    <w:rsid w:val="00E934E9"/>
    <w:rsid w:val="00E93DFE"/>
    <w:rsid w:val="00E949DD"/>
    <w:rsid w:val="00E956A8"/>
    <w:rsid w:val="00E959A2"/>
    <w:rsid w:val="00E95FA9"/>
    <w:rsid w:val="00E9667F"/>
    <w:rsid w:val="00E97008"/>
    <w:rsid w:val="00E97FBE"/>
    <w:rsid w:val="00EA0143"/>
    <w:rsid w:val="00EA0390"/>
    <w:rsid w:val="00EA0734"/>
    <w:rsid w:val="00EA0E22"/>
    <w:rsid w:val="00EA0FCD"/>
    <w:rsid w:val="00EA12F7"/>
    <w:rsid w:val="00EA1891"/>
    <w:rsid w:val="00EA2918"/>
    <w:rsid w:val="00EA2984"/>
    <w:rsid w:val="00EA3E48"/>
    <w:rsid w:val="00EA4DAA"/>
    <w:rsid w:val="00EA5593"/>
    <w:rsid w:val="00EA5A14"/>
    <w:rsid w:val="00EA5BA9"/>
    <w:rsid w:val="00EA60FA"/>
    <w:rsid w:val="00EA65BC"/>
    <w:rsid w:val="00EA6A17"/>
    <w:rsid w:val="00EA7673"/>
    <w:rsid w:val="00EA7BE2"/>
    <w:rsid w:val="00EB0146"/>
    <w:rsid w:val="00EB057F"/>
    <w:rsid w:val="00EB0B26"/>
    <w:rsid w:val="00EB1354"/>
    <w:rsid w:val="00EB1BA8"/>
    <w:rsid w:val="00EB2BB1"/>
    <w:rsid w:val="00EB2F6F"/>
    <w:rsid w:val="00EB358D"/>
    <w:rsid w:val="00EB381C"/>
    <w:rsid w:val="00EB3DBD"/>
    <w:rsid w:val="00EB446F"/>
    <w:rsid w:val="00EB4B7B"/>
    <w:rsid w:val="00EB66C5"/>
    <w:rsid w:val="00EB688A"/>
    <w:rsid w:val="00EB6C1F"/>
    <w:rsid w:val="00EB6D2B"/>
    <w:rsid w:val="00EB7CAF"/>
    <w:rsid w:val="00EC0636"/>
    <w:rsid w:val="00EC064D"/>
    <w:rsid w:val="00EC083A"/>
    <w:rsid w:val="00EC0C04"/>
    <w:rsid w:val="00EC0F6D"/>
    <w:rsid w:val="00EC174C"/>
    <w:rsid w:val="00EC1ED8"/>
    <w:rsid w:val="00EC364B"/>
    <w:rsid w:val="00EC3746"/>
    <w:rsid w:val="00EC3FED"/>
    <w:rsid w:val="00EC41AA"/>
    <w:rsid w:val="00EC51AB"/>
    <w:rsid w:val="00EC5281"/>
    <w:rsid w:val="00EC5A65"/>
    <w:rsid w:val="00EC5F63"/>
    <w:rsid w:val="00EC619B"/>
    <w:rsid w:val="00EC61AC"/>
    <w:rsid w:val="00EC63A2"/>
    <w:rsid w:val="00EC6E59"/>
    <w:rsid w:val="00ED007C"/>
    <w:rsid w:val="00ED0C6A"/>
    <w:rsid w:val="00ED172B"/>
    <w:rsid w:val="00ED1C49"/>
    <w:rsid w:val="00ED2071"/>
    <w:rsid w:val="00ED272C"/>
    <w:rsid w:val="00ED2DDD"/>
    <w:rsid w:val="00ED3BCC"/>
    <w:rsid w:val="00ED48DA"/>
    <w:rsid w:val="00ED509B"/>
    <w:rsid w:val="00ED55AA"/>
    <w:rsid w:val="00ED63DF"/>
    <w:rsid w:val="00ED6E79"/>
    <w:rsid w:val="00ED6F45"/>
    <w:rsid w:val="00ED712A"/>
    <w:rsid w:val="00ED74EE"/>
    <w:rsid w:val="00ED7D12"/>
    <w:rsid w:val="00EE0221"/>
    <w:rsid w:val="00EE04D0"/>
    <w:rsid w:val="00EE05B7"/>
    <w:rsid w:val="00EE0C65"/>
    <w:rsid w:val="00EE12E1"/>
    <w:rsid w:val="00EE1DD1"/>
    <w:rsid w:val="00EE4E0F"/>
    <w:rsid w:val="00EE50A8"/>
    <w:rsid w:val="00EE58C0"/>
    <w:rsid w:val="00EE6372"/>
    <w:rsid w:val="00EE69F5"/>
    <w:rsid w:val="00EE6F42"/>
    <w:rsid w:val="00EE7144"/>
    <w:rsid w:val="00EE7758"/>
    <w:rsid w:val="00EE7829"/>
    <w:rsid w:val="00EF00BE"/>
    <w:rsid w:val="00EF09DF"/>
    <w:rsid w:val="00EF1AEF"/>
    <w:rsid w:val="00EF345F"/>
    <w:rsid w:val="00EF3463"/>
    <w:rsid w:val="00EF3607"/>
    <w:rsid w:val="00EF36A1"/>
    <w:rsid w:val="00EF45CC"/>
    <w:rsid w:val="00EF4A30"/>
    <w:rsid w:val="00EF4E00"/>
    <w:rsid w:val="00EF651C"/>
    <w:rsid w:val="00EF76FE"/>
    <w:rsid w:val="00F0087F"/>
    <w:rsid w:val="00F008FE"/>
    <w:rsid w:val="00F00C86"/>
    <w:rsid w:val="00F0119D"/>
    <w:rsid w:val="00F01254"/>
    <w:rsid w:val="00F01A8D"/>
    <w:rsid w:val="00F02221"/>
    <w:rsid w:val="00F024C7"/>
    <w:rsid w:val="00F02E8A"/>
    <w:rsid w:val="00F03286"/>
    <w:rsid w:val="00F03E46"/>
    <w:rsid w:val="00F0433A"/>
    <w:rsid w:val="00F046B6"/>
    <w:rsid w:val="00F04F23"/>
    <w:rsid w:val="00F05BAF"/>
    <w:rsid w:val="00F05ED0"/>
    <w:rsid w:val="00F0619B"/>
    <w:rsid w:val="00F069EE"/>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0F42"/>
    <w:rsid w:val="00F21D64"/>
    <w:rsid w:val="00F22006"/>
    <w:rsid w:val="00F2262B"/>
    <w:rsid w:val="00F22D09"/>
    <w:rsid w:val="00F240EF"/>
    <w:rsid w:val="00F2466D"/>
    <w:rsid w:val="00F249CD"/>
    <w:rsid w:val="00F24AC2"/>
    <w:rsid w:val="00F24DD0"/>
    <w:rsid w:val="00F25214"/>
    <w:rsid w:val="00F253FF"/>
    <w:rsid w:val="00F2548E"/>
    <w:rsid w:val="00F255D2"/>
    <w:rsid w:val="00F25965"/>
    <w:rsid w:val="00F26B1F"/>
    <w:rsid w:val="00F3080C"/>
    <w:rsid w:val="00F32724"/>
    <w:rsid w:val="00F32751"/>
    <w:rsid w:val="00F32B6D"/>
    <w:rsid w:val="00F339CE"/>
    <w:rsid w:val="00F33E0A"/>
    <w:rsid w:val="00F33E76"/>
    <w:rsid w:val="00F342F9"/>
    <w:rsid w:val="00F3511E"/>
    <w:rsid w:val="00F3516E"/>
    <w:rsid w:val="00F35205"/>
    <w:rsid w:val="00F35698"/>
    <w:rsid w:val="00F35B4D"/>
    <w:rsid w:val="00F35C0E"/>
    <w:rsid w:val="00F360F2"/>
    <w:rsid w:val="00F3615E"/>
    <w:rsid w:val="00F366A6"/>
    <w:rsid w:val="00F36848"/>
    <w:rsid w:val="00F37E58"/>
    <w:rsid w:val="00F40121"/>
    <w:rsid w:val="00F40944"/>
    <w:rsid w:val="00F40C9F"/>
    <w:rsid w:val="00F4238C"/>
    <w:rsid w:val="00F42995"/>
    <w:rsid w:val="00F44638"/>
    <w:rsid w:val="00F4580C"/>
    <w:rsid w:val="00F45B4C"/>
    <w:rsid w:val="00F45CB7"/>
    <w:rsid w:val="00F45CE5"/>
    <w:rsid w:val="00F47E58"/>
    <w:rsid w:val="00F5051A"/>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771"/>
    <w:rsid w:val="00F61A89"/>
    <w:rsid w:val="00F627C0"/>
    <w:rsid w:val="00F63955"/>
    <w:rsid w:val="00F64287"/>
    <w:rsid w:val="00F651BC"/>
    <w:rsid w:val="00F66714"/>
    <w:rsid w:val="00F67355"/>
    <w:rsid w:val="00F6768C"/>
    <w:rsid w:val="00F67CCA"/>
    <w:rsid w:val="00F67E5F"/>
    <w:rsid w:val="00F67FA4"/>
    <w:rsid w:val="00F702B4"/>
    <w:rsid w:val="00F703BF"/>
    <w:rsid w:val="00F70415"/>
    <w:rsid w:val="00F7071C"/>
    <w:rsid w:val="00F70AC4"/>
    <w:rsid w:val="00F70B2D"/>
    <w:rsid w:val="00F70B9C"/>
    <w:rsid w:val="00F71605"/>
    <w:rsid w:val="00F719E6"/>
    <w:rsid w:val="00F729AD"/>
    <w:rsid w:val="00F72C4B"/>
    <w:rsid w:val="00F73BE0"/>
    <w:rsid w:val="00F74562"/>
    <w:rsid w:val="00F74CF3"/>
    <w:rsid w:val="00F74E2A"/>
    <w:rsid w:val="00F754D5"/>
    <w:rsid w:val="00F75864"/>
    <w:rsid w:val="00F7607B"/>
    <w:rsid w:val="00F765B8"/>
    <w:rsid w:val="00F7673F"/>
    <w:rsid w:val="00F76753"/>
    <w:rsid w:val="00F77BCB"/>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87317"/>
    <w:rsid w:val="00F9062E"/>
    <w:rsid w:val="00F90937"/>
    <w:rsid w:val="00F90A32"/>
    <w:rsid w:val="00F90BF8"/>
    <w:rsid w:val="00F939F8"/>
    <w:rsid w:val="00F9428F"/>
    <w:rsid w:val="00F95744"/>
    <w:rsid w:val="00F95AA3"/>
    <w:rsid w:val="00F95FEA"/>
    <w:rsid w:val="00F96996"/>
    <w:rsid w:val="00F9713C"/>
    <w:rsid w:val="00F97A57"/>
    <w:rsid w:val="00F97A99"/>
    <w:rsid w:val="00F97C7F"/>
    <w:rsid w:val="00FA0C63"/>
    <w:rsid w:val="00FA1420"/>
    <w:rsid w:val="00FA2430"/>
    <w:rsid w:val="00FA283D"/>
    <w:rsid w:val="00FA30A3"/>
    <w:rsid w:val="00FA3375"/>
    <w:rsid w:val="00FA3767"/>
    <w:rsid w:val="00FA4462"/>
    <w:rsid w:val="00FA45A1"/>
    <w:rsid w:val="00FA46DF"/>
    <w:rsid w:val="00FA5E02"/>
    <w:rsid w:val="00FA69B8"/>
    <w:rsid w:val="00FA71CF"/>
    <w:rsid w:val="00FA7580"/>
    <w:rsid w:val="00FB0C75"/>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6A4"/>
    <w:rsid w:val="00FC083E"/>
    <w:rsid w:val="00FC0A2B"/>
    <w:rsid w:val="00FC0AC7"/>
    <w:rsid w:val="00FC13CE"/>
    <w:rsid w:val="00FC1AA8"/>
    <w:rsid w:val="00FC1E9E"/>
    <w:rsid w:val="00FC298C"/>
    <w:rsid w:val="00FC2B12"/>
    <w:rsid w:val="00FC445C"/>
    <w:rsid w:val="00FC49D3"/>
    <w:rsid w:val="00FC5451"/>
    <w:rsid w:val="00FC576C"/>
    <w:rsid w:val="00FC5FCB"/>
    <w:rsid w:val="00FC6292"/>
    <w:rsid w:val="00FC6A09"/>
    <w:rsid w:val="00FC6C20"/>
    <w:rsid w:val="00FC727D"/>
    <w:rsid w:val="00FC769C"/>
    <w:rsid w:val="00FC7972"/>
    <w:rsid w:val="00FD047C"/>
    <w:rsid w:val="00FD059E"/>
    <w:rsid w:val="00FD0773"/>
    <w:rsid w:val="00FD18B2"/>
    <w:rsid w:val="00FD2A88"/>
    <w:rsid w:val="00FD2AA0"/>
    <w:rsid w:val="00FD35E2"/>
    <w:rsid w:val="00FD3C8C"/>
    <w:rsid w:val="00FD4802"/>
    <w:rsid w:val="00FD4A6F"/>
    <w:rsid w:val="00FD53C0"/>
    <w:rsid w:val="00FD59F0"/>
    <w:rsid w:val="00FD66D7"/>
    <w:rsid w:val="00FD726F"/>
    <w:rsid w:val="00FE08AC"/>
    <w:rsid w:val="00FE122D"/>
    <w:rsid w:val="00FE164A"/>
    <w:rsid w:val="00FE1B3A"/>
    <w:rsid w:val="00FE27FA"/>
    <w:rsid w:val="00FE2991"/>
    <w:rsid w:val="00FE2ECD"/>
    <w:rsid w:val="00FE327A"/>
    <w:rsid w:val="00FE3AA6"/>
    <w:rsid w:val="00FE3F4C"/>
    <w:rsid w:val="00FE3F69"/>
    <w:rsid w:val="00FE403B"/>
    <w:rsid w:val="00FE4661"/>
    <w:rsid w:val="00FE47B0"/>
    <w:rsid w:val="00FE4D63"/>
    <w:rsid w:val="00FE6398"/>
    <w:rsid w:val="00FE6608"/>
    <w:rsid w:val="00FE7611"/>
    <w:rsid w:val="00FE7C3E"/>
    <w:rsid w:val="00FF0263"/>
    <w:rsid w:val="00FF026D"/>
    <w:rsid w:val="00FF155B"/>
    <w:rsid w:val="00FF2213"/>
    <w:rsid w:val="00FF244B"/>
    <w:rsid w:val="00FF2F0B"/>
    <w:rsid w:val="00FF3F3A"/>
    <w:rsid w:val="00FF4631"/>
    <w:rsid w:val="00FF4763"/>
    <w:rsid w:val="00FF4A43"/>
    <w:rsid w:val="00FF54D0"/>
    <w:rsid w:val="00FF55B8"/>
    <w:rsid w:val="00FF5B44"/>
    <w:rsid w:val="00FF5F8A"/>
    <w:rsid w:val="00FF6948"/>
    <w:rsid w:val="00FF6A40"/>
    <w:rsid w:val="0B66E202"/>
    <w:rsid w:val="1BFB15B8"/>
    <w:rsid w:val="1DE3546B"/>
    <w:rsid w:val="2E13AC09"/>
    <w:rsid w:val="33129DF2"/>
    <w:rsid w:val="6D93630C"/>
    <w:rsid w:val="7116E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F272"/>
  <w15:docId w15:val="{35DCBFEA-750A-4153-A785-520A5D7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D7"/>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Bahnschrift SemiBold SemiConden" w:eastAsia="Times New Roman" w:hAnsi="Bahnschrift SemiBold SemiConden" w:cs="Times New Roman" w:hint="default"/>
        <w:b/>
        <w:bCs/>
      </w:rPr>
    </w:tblStylePr>
    <w:tblStylePr w:type="lastCol">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 w:type="character" w:styleId="Mention">
    <w:name w:val="Mention"/>
    <w:basedOn w:val="DefaultParagraphFont"/>
    <w:uiPriority w:val="99"/>
    <w:unhideWhenUsed/>
    <w:rsid w:val="00DE7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41136880">
      <w:bodyDiv w:val="1"/>
      <w:marLeft w:val="0"/>
      <w:marRight w:val="0"/>
      <w:marTop w:val="0"/>
      <w:marBottom w:val="0"/>
      <w:divBdr>
        <w:top w:val="none" w:sz="0" w:space="0" w:color="auto"/>
        <w:left w:val="none" w:sz="0" w:space="0" w:color="auto"/>
        <w:bottom w:val="none" w:sz="0" w:space="0" w:color="auto"/>
        <w:right w:val="none" w:sz="0" w:space="0" w:color="auto"/>
      </w:divBdr>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6281221">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ites.ed.gov/idea/how-the-department-made-determin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maps.ed.gov/suit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ites.ed.gov/idea/how-the-department-made-determinations/"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files/FFY2023-Part-C-SPP-APR-Reformatted-Measurement-Table.pdf" TargetMode="External"/><Relationship Id="rId22" Type="http://schemas.openxmlformats.org/officeDocument/2006/relationships/hyperlink" Target="https://sites.ed.gov/idea/how-the-department-made-determination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11" ma:contentTypeDescription="Create a new document." ma:contentTypeScope="" ma:versionID="db441c4053a2524f622df63b47750384">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07241a755f9d7dc6433dc1321f08eba0"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b4311169-ef95-4eb4-ad55-0b8e815ccd7b" xsi:nil="true"/>
    <Priority xmlns="b4311169-ef95-4eb4-ad55-0b8e815ccd7b" xsi:nil="true"/>
    <Remediation_x0020_Date xmlns="b4311169-ef95-4eb4-ad55-0b8e815ccd7b">2026-07-01T16:32:52+00:00</Remediation_x0020_Date>
  </documentManagement>
</p:properties>
</file>

<file path=customXml/itemProps1.xml><?xml version="1.0" encoding="utf-8"?>
<ds:datastoreItem xmlns:ds="http://schemas.openxmlformats.org/officeDocument/2006/customXml" ds:itemID="{B1903D80-10FB-45F7-8852-95EE361673E4}"/>
</file>

<file path=customXml/itemProps2.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2</TotalTime>
  <Pages>73</Pages>
  <Words>39618</Words>
  <Characters>225828</Characters>
  <Application>Microsoft Office Word</Application>
  <DocSecurity>0</DocSecurity>
  <Lines>1881</Lines>
  <Paragraphs>529</Paragraphs>
  <ScaleCrop>false</ScaleCrop>
  <HeadingPairs>
    <vt:vector size="2" baseType="variant">
      <vt:variant>
        <vt:lpstr>Title</vt:lpstr>
      </vt:variant>
      <vt:variant>
        <vt:i4>1</vt:i4>
      </vt:variant>
    </vt:vector>
  </HeadingPairs>
  <TitlesOfParts>
    <vt:vector size="1" baseType="lpstr">
      <vt:lpstr>2025 SPP/APR and State Determination Letters, Part C</vt:lpstr>
    </vt:vector>
  </TitlesOfParts>
  <Manager/>
  <Company/>
  <LinksUpToDate>false</LinksUpToDate>
  <CharactersWithSpaces>264917</CharactersWithSpaces>
  <SharedDoc>false</SharedDoc>
  <HLinks>
    <vt:vector size="60" baseType="variant">
      <vt:variant>
        <vt:i4>852039</vt:i4>
      </vt:variant>
      <vt:variant>
        <vt:i4>18</vt:i4>
      </vt:variant>
      <vt:variant>
        <vt:i4>0</vt:i4>
      </vt:variant>
      <vt:variant>
        <vt:i4>5</vt:i4>
      </vt:variant>
      <vt:variant>
        <vt:lpwstr>https://compcenternetwork.org/states</vt:lpwstr>
      </vt:variant>
      <vt:variant>
        <vt:lpwstr/>
      </vt:variant>
      <vt:variant>
        <vt:i4>7471146</vt:i4>
      </vt:variant>
      <vt:variant>
        <vt:i4>15</vt:i4>
      </vt:variant>
      <vt:variant>
        <vt:i4>0</vt:i4>
      </vt:variant>
      <vt:variant>
        <vt:i4>5</vt:i4>
      </vt:variant>
      <vt:variant>
        <vt:lpwstr>https://sites.ed.gov/idea/topic-areas/</vt:lpwstr>
      </vt:variant>
      <vt:variant>
        <vt:lpwstr/>
      </vt:variant>
      <vt:variant>
        <vt:i4>3670114</vt:i4>
      </vt:variant>
      <vt:variant>
        <vt:i4>12</vt:i4>
      </vt:variant>
      <vt:variant>
        <vt:i4>0</vt:i4>
      </vt:variant>
      <vt:variant>
        <vt:i4>5</vt:i4>
      </vt:variant>
      <vt:variant>
        <vt:lpwstr>https://osepideasthatwork.org/resources-grantees/program-areas/monitoring-and-state-improvement-planning-msip?tab=pa-resources</vt:lpwstr>
      </vt:variant>
      <vt:variant>
        <vt:lpwstr/>
      </vt:variant>
      <vt:variant>
        <vt:i4>2621501</vt:i4>
      </vt:variant>
      <vt:variant>
        <vt:i4>9</vt:i4>
      </vt:variant>
      <vt:variant>
        <vt:i4>0</vt:i4>
      </vt:variant>
      <vt:variant>
        <vt:i4>5</vt:i4>
      </vt:variant>
      <vt:variant>
        <vt:lpwstr>https://emaps.ed.gov/suite/</vt:lpwstr>
      </vt:variant>
      <vt:variant>
        <vt:lpwstr/>
      </vt:variant>
      <vt:variant>
        <vt:i4>4980757</vt:i4>
      </vt:variant>
      <vt:variant>
        <vt:i4>6</vt:i4>
      </vt:variant>
      <vt:variant>
        <vt:i4>0</vt:i4>
      </vt:variant>
      <vt:variant>
        <vt:i4>5</vt:i4>
      </vt:variant>
      <vt:variant>
        <vt:lpwstr>https://sites.ed.gov/idea/how-the-department-made-determinations/</vt:lpwstr>
      </vt:variant>
      <vt:variant>
        <vt:lpwstr/>
      </vt:variant>
      <vt:variant>
        <vt:i4>4063348</vt:i4>
      </vt:variant>
      <vt:variant>
        <vt:i4>0</vt:i4>
      </vt:variant>
      <vt:variant>
        <vt:i4>0</vt:i4>
      </vt:variant>
      <vt:variant>
        <vt:i4>5</vt:i4>
      </vt:variant>
      <vt:variant>
        <vt:lpwstr>https://sites.ed.gov/idea/files/2025_Part-C_SPP-APR_Measurement_Table.pdf</vt:lpwstr>
      </vt:variant>
      <vt:variant>
        <vt:lpwstr/>
      </vt:variant>
      <vt:variant>
        <vt:i4>2097189</vt:i4>
      </vt:variant>
      <vt:variant>
        <vt:i4>6</vt:i4>
      </vt:variant>
      <vt:variant>
        <vt:i4>0</vt:i4>
      </vt:variant>
      <vt:variant>
        <vt:i4>5</vt:i4>
      </vt:variant>
      <vt:variant>
        <vt:lpwstr>http://www.ed.gov/</vt:lpwstr>
      </vt:variant>
      <vt:variant>
        <vt:lpwstr/>
      </vt:variant>
      <vt:variant>
        <vt:i4>917558</vt:i4>
      </vt:variant>
      <vt:variant>
        <vt:i4>6</vt:i4>
      </vt:variant>
      <vt:variant>
        <vt:i4>0</vt:i4>
      </vt:variant>
      <vt:variant>
        <vt:i4>5</vt:i4>
      </vt:variant>
      <vt:variant>
        <vt:lpwstr>mailto:RColeman@aemcorp.com</vt:lpwstr>
      </vt:variant>
      <vt:variant>
        <vt:lpwstr/>
      </vt:variant>
      <vt:variant>
        <vt:i4>917558</vt:i4>
      </vt:variant>
      <vt:variant>
        <vt:i4>3</vt:i4>
      </vt:variant>
      <vt:variant>
        <vt:i4>0</vt:i4>
      </vt:variant>
      <vt:variant>
        <vt:i4>5</vt:i4>
      </vt:variant>
      <vt:variant>
        <vt:lpwstr>mailto:RColeman@aemcorp.com</vt:lpwstr>
      </vt:variant>
      <vt:variant>
        <vt:lpwstr/>
      </vt:variant>
      <vt:variant>
        <vt:i4>2818139</vt:i4>
      </vt:variant>
      <vt:variant>
        <vt:i4>0</vt:i4>
      </vt:variant>
      <vt:variant>
        <vt:i4>0</vt:i4>
      </vt:variant>
      <vt:variant>
        <vt:i4>5</vt:i4>
      </vt:variant>
      <vt:variant>
        <vt:lpwstr>mailto:Christine.Pilgrim@ed.gov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"turnbulm"</cp:lastModifiedBy>
  <cp:revision>2</cp:revision>
  <cp:lastPrinted>2014-08-20T01:56:00Z</cp:lastPrinted>
  <dcterms:created xsi:type="dcterms:W3CDTF">2026-07-01T16:27:00Z</dcterms:created>
  <dcterms:modified xsi:type="dcterms:W3CDTF">2026-07-01T16:27:00Z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docLang">
    <vt:lpwstr>en</vt:lpwstr>
  </property>
</Properties>
</file>