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84F" w:rsidRDefault="00447330">
      <w:pPr>
        <w:widowControl w:val="0"/>
        <w:pBdr>
          <w:top w:val="nil"/>
          <w:left w:val="nil"/>
          <w:bottom w:val="nil"/>
          <w:right w:val="nil"/>
          <w:between w:val="nil"/>
        </w:pBdr>
        <w:spacing w:line="240" w:lineRule="auto"/>
        <w:ind w:right="1219"/>
        <w:jc w:val="right"/>
        <w:rPr>
          <w:rFonts w:ascii="Calibri" w:eastAsia="Calibri" w:hAnsi="Calibri" w:cs="Calibri"/>
          <w:b/>
          <w:color w:val="1B75BC"/>
          <w:sz w:val="48"/>
          <w:szCs w:val="48"/>
        </w:rPr>
      </w:pPr>
      <w:bookmarkStart w:id="0" w:name="_GoBack"/>
      <w:bookmarkEnd w:id="0"/>
      <w:r>
        <w:rPr>
          <w:rFonts w:ascii="Calibri" w:eastAsia="Calibri" w:hAnsi="Calibri" w:cs="Calibri"/>
          <w:b/>
          <w:color w:val="1B75BC"/>
          <w:sz w:val="48"/>
          <w:szCs w:val="48"/>
        </w:rPr>
        <w:t xml:space="preserve">State Performance Plan (SPP) </w:t>
      </w:r>
      <w:r>
        <w:rPr>
          <w:noProof/>
        </w:rPr>
        <w:drawing>
          <wp:anchor distT="19050" distB="19050" distL="19050" distR="19050" simplePos="0" relativeHeight="251658240" behindDoc="0" locked="0" layoutInCell="1" hidden="0" allowOverlap="1">
            <wp:simplePos x="0" y="0"/>
            <wp:positionH relativeFrom="column">
              <wp:posOffset>19050</wp:posOffset>
            </wp:positionH>
            <wp:positionV relativeFrom="paragraph">
              <wp:posOffset>21793</wp:posOffset>
            </wp:positionV>
            <wp:extent cx="1076960" cy="1145337"/>
            <wp:effectExtent l="0" t="0" r="8890" b="0"/>
            <wp:wrapSquare wrapText="right" distT="19050" distB="19050" distL="19050" distR="19050"/>
            <wp:docPr id="1" name="image1.png" title="ODE Logo"/>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76960" cy="1145337"/>
                    </a:xfrm>
                    <a:prstGeom prst="rect">
                      <a:avLst/>
                    </a:prstGeom>
                    <a:ln/>
                  </pic:spPr>
                </pic:pic>
              </a:graphicData>
            </a:graphic>
          </wp:anchor>
        </w:drawing>
      </w:r>
    </w:p>
    <w:p w:rsidR="00C4384F" w:rsidRDefault="00447330">
      <w:pPr>
        <w:widowControl w:val="0"/>
        <w:pBdr>
          <w:top w:val="nil"/>
          <w:left w:val="nil"/>
          <w:bottom w:val="nil"/>
          <w:right w:val="nil"/>
          <w:between w:val="nil"/>
        </w:pBdr>
        <w:spacing w:before="24" w:line="240" w:lineRule="auto"/>
        <w:ind w:right="3010"/>
        <w:jc w:val="right"/>
        <w:rPr>
          <w:rFonts w:ascii="Calibri" w:eastAsia="Calibri" w:hAnsi="Calibri" w:cs="Calibri"/>
          <w:b/>
          <w:color w:val="1B75BC"/>
          <w:sz w:val="48"/>
          <w:szCs w:val="48"/>
        </w:rPr>
      </w:pPr>
      <w:r>
        <w:rPr>
          <w:rFonts w:ascii="Calibri" w:eastAsia="Calibri" w:hAnsi="Calibri" w:cs="Calibri"/>
          <w:b/>
          <w:color w:val="1B75BC"/>
          <w:sz w:val="48"/>
          <w:szCs w:val="48"/>
        </w:rPr>
        <w:t xml:space="preserve">Fact Sheet </w:t>
      </w:r>
    </w:p>
    <w:p w:rsidR="00C4384F" w:rsidRDefault="00447330">
      <w:pPr>
        <w:widowControl w:val="0"/>
        <w:pBdr>
          <w:top w:val="nil"/>
          <w:left w:val="nil"/>
          <w:bottom w:val="nil"/>
          <w:right w:val="nil"/>
          <w:between w:val="nil"/>
        </w:pBdr>
        <w:spacing w:before="240" w:line="240" w:lineRule="auto"/>
        <w:ind w:right="858"/>
        <w:jc w:val="right"/>
        <w:rPr>
          <w:rFonts w:ascii="Calibri" w:eastAsia="Calibri" w:hAnsi="Calibri" w:cs="Calibri"/>
          <w:b/>
          <w:color w:val="1B75BC"/>
          <w:sz w:val="31"/>
          <w:szCs w:val="31"/>
        </w:rPr>
      </w:pPr>
      <w:r>
        <w:rPr>
          <w:rFonts w:ascii="Calibri" w:eastAsia="Calibri" w:hAnsi="Calibri" w:cs="Calibri"/>
          <w:b/>
          <w:color w:val="1B75BC"/>
          <w:sz w:val="32"/>
          <w:szCs w:val="32"/>
        </w:rPr>
        <w:t xml:space="preserve">Indicator B17: </w:t>
      </w:r>
      <w:r>
        <w:rPr>
          <w:rFonts w:ascii="Calibri" w:eastAsia="Calibri" w:hAnsi="Calibri" w:cs="Calibri"/>
          <w:b/>
          <w:color w:val="1B75BC"/>
          <w:sz w:val="31"/>
          <w:szCs w:val="31"/>
        </w:rPr>
        <w:t xml:space="preserve">State Systemic Improvement Plan </w:t>
      </w:r>
    </w:p>
    <w:p w:rsidR="00C4384F" w:rsidRDefault="00447330">
      <w:pPr>
        <w:widowControl w:val="0"/>
        <w:pBdr>
          <w:top w:val="nil"/>
          <w:left w:val="nil"/>
          <w:bottom w:val="nil"/>
          <w:right w:val="nil"/>
          <w:between w:val="nil"/>
        </w:pBdr>
        <w:spacing w:before="426" w:line="240" w:lineRule="auto"/>
        <w:ind w:left="122"/>
        <w:rPr>
          <w:rFonts w:ascii="Calibri" w:eastAsia="Calibri" w:hAnsi="Calibri" w:cs="Calibri"/>
          <w:b/>
          <w:color w:val="1B75BC"/>
          <w:sz w:val="32"/>
          <w:szCs w:val="32"/>
        </w:rPr>
      </w:pPr>
      <w:r>
        <w:rPr>
          <w:rFonts w:ascii="Calibri" w:eastAsia="Calibri" w:hAnsi="Calibri" w:cs="Calibri"/>
          <w:b/>
          <w:color w:val="1B75BC"/>
          <w:sz w:val="32"/>
          <w:szCs w:val="32"/>
        </w:rPr>
        <w:t xml:space="preserve">Oregon State Performance Plan </w:t>
      </w:r>
    </w:p>
    <w:p w:rsidR="00C4384F" w:rsidRDefault="00447330">
      <w:pPr>
        <w:widowControl w:val="0"/>
        <w:pBdr>
          <w:top w:val="nil"/>
          <w:left w:val="nil"/>
          <w:bottom w:val="nil"/>
          <w:right w:val="nil"/>
          <w:between w:val="nil"/>
        </w:pBdr>
        <w:spacing w:before="16" w:line="244" w:lineRule="auto"/>
        <w:ind w:left="113" w:right="82" w:firstLine="14"/>
        <w:rPr>
          <w:rFonts w:ascii="Calibri" w:eastAsia="Calibri" w:hAnsi="Calibri" w:cs="Calibri"/>
          <w:color w:val="000000"/>
        </w:rPr>
      </w:pPr>
      <w:r>
        <w:rPr>
          <w:rFonts w:ascii="Calibri" w:eastAsia="Calibri" w:hAnsi="Calibri" w:cs="Calibri"/>
          <w:color w:val="000000"/>
        </w:rPr>
        <w:t xml:space="preserve">Under the Individuals with Disabilities Education Act of 2004 (IDEA), the Oregon Department of Education  (ODE) is required to submit a six-year State Performance Plan (SPP) to the Office of Special Education Programs  (OSEP). The OSEP has developed key performance measures, known as indicators, to measure </w:t>
      </w:r>
      <w:proofErr w:type="gramStart"/>
      <w:r>
        <w:rPr>
          <w:rFonts w:ascii="Calibri" w:eastAsia="Calibri" w:hAnsi="Calibri" w:cs="Calibri"/>
          <w:color w:val="000000"/>
        </w:rPr>
        <w:t>both  compliance</w:t>
      </w:r>
      <w:proofErr w:type="gramEnd"/>
      <w:r>
        <w:rPr>
          <w:rFonts w:ascii="Calibri" w:eastAsia="Calibri" w:hAnsi="Calibri" w:cs="Calibri"/>
          <w:color w:val="000000"/>
        </w:rPr>
        <w:t xml:space="preserve"> and results. The OSEP sets the targets for compliance indicators and the ODE sets targets for </w:t>
      </w:r>
      <w:proofErr w:type="gramStart"/>
      <w:r>
        <w:rPr>
          <w:rFonts w:ascii="Calibri" w:eastAsia="Calibri" w:hAnsi="Calibri" w:cs="Calibri"/>
          <w:color w:val="000000"/>
        </w:rPr>
        <w:t>the  results</w:t>
      </w:r>
      <w:proofErr w:type="gramEnd"/>
      <w:r>
        <w:rPr>
          <w:rFonts w:ascii="Calibri" w:eastAsia="Calibri" w:hAnsi="Calibri" w:cs="Calibri"/>
          <w:color w:val="000000"/>
        </w:rPr>
        <w:t xml:space="preserve"> indicators. The SPP must include targets for each results indicator. The ODE reports on progress </w:t>
      </w:r>
      <w:proofErr w:type="gramStart"/>
      <w:r>
        <w:rPr>
          <w:rFonts w:ascii="Calibri" w:eastAsia="Calibri" w:hAnsi="Calibri" w:cs="Calibri"/>
          <w:color w:val="000000"/>
        </w:rPr>
        <w:t>made  toward</w:t>
      </w:r>
      <w:proofErr w:type="gramEnd"/>
      <w:r>
        <w:rPr>
          <w:rFonts w:ascii="Calibri" w:eastAsia="Calibri" w:hAnsi="Calibri" w:cs="Calibri"/>
          <w:color w:val="000000"/>
        </w:rPr>
        <w:t xml:space="preserve"> these indicators each year in the Annual Performance Report (APR). Every six years the ODE </w:t>
      </w:r>
      <w:proofErr w:type="gramStart"/>
      <w:r>
        <w:rPr>
          <w:rFonts w:ascii="Calibri" w:eastAsia="Calibri" w:hAnsi="Calibri" w:cs="Calibri"/>
          <w:color w:val="000000"/>
        </w:rPr>
        <w:t>must  review</w:t>
      </w:r>
      <w:proofErr w:type="gramEnd"/>
      <w:r>
        <w:rPr>
          <w:rFonts w:ascii="Calibri" w:eastAsia="Calibri" w:hAnsi="Calibri" w:cs="Calibri"/>
          <w:color w:val="000000"/>
        </w:rPr>
        <w:t xml:space="preserve"> results targets and engage key partners in the development of new targets. ODE is currently </w:t>
      </w:r>
      <w:proofErr w:type="gramStart"/>
      <w:r>
        <w:rPr>
          <w:rFonts w:ascii="Calibri" w:eastAsia="Calibri" w:hAnsi="Calibri" w:cs="Calibri"/>
          <w:color w:val="000000"/>
        </w:rPr>
        <w:t>seeking  input</w:t>
      </w:r>
      <w:proofErr w:type="gramEnd"/>
      <w:r>
        <w:rPr>
          <w:rFonts w:ascii="Calibri" w:eastAsia="Calibri" w:hAnsi="Calibri" w:cs="Calibri"/>
          <w:color w:val="000000"/>
        </w:rPr>
        <w:t xml:space="preserve"> related to the indicators for which targets must be established and will be holding a public input session  to discuss data related to this indicator in December 2021. Please see the </w:t>
      </w:r>
      <w:r>
        <w:rPr>
          <w:rFonts w:ascii="Calibri" w:eastAsia="Calibri" w:hAnsi="Calibri" w:cs="Calibri"/>
          <w:color w:val="0563C1"/>
          <w:u w:val="single"/>
        </w:rPr>
        <w:t xml:space="preserve">ODE State Performance Plan </w:t>
      </w:r>
      <w:proofErr w:type="gramStart"/>
      <w:r>
        <w:rPr>
          <w:rFonts w:ascii="Calibri" w:eastAsia="Calibri" w:hAnsi="Calibri" w:cs="Calibri"/>
          <w:color w:val="0563C1"/>
          <w:u w:val="single"/>
        </w:rPr>
        <w:t xml:space="preserve">and </w:t>
      </w:r>
      <w:r>
        <w:rPr>
          <w:rFonts w:ascii="Calibri" w:eastAsia="Calibri" w:hAnsi="Calibri" w:cs="Calibri"/>
          <w:color w:val="0563C1"/>
        </w:rPr>
        <w:t xml:space="preserve"> </w:t>
      </w:r>
      <w:r>
        <w:rPr>
          <w:rFonts w:ascii="Calibri" w:eastAsia="Calibri" w:hAnsi="Calibri" w:cs="Calibri"/>
          <w:color w:val="0563C1"/>
          <w:u w:val="single"/>
        </w:rPr>
        <w:t>Annual</w:t>
      </w:r>
      <w:proofErr w:type="gramEnd"/>
      <w:r>
        <w:rPr>
          <w:rFonts w:ascii="Calibri" w:eastAsia="Calibri" w:hAnsi="Calibri" w:cs="Calibri"/>
          <w:color w:val="0563C1"/>
          <w:u w:val="single"/>
        </w:rPr>
        <w:t xml:space="preserve"> Reports for Special Education webpage </w:t>
      </w:r>
      <w:r>
        <w:rPr>
          <w:rFonts w:ascii="Calibri" w:eastAsia="Calibri" w:hAnsi="Calibri" w:cs="Calibri"/>
          <w:color w:val="000000"/>
        </w:rPr>
        <w:t xml:space="preserve">for more information and to register for the public input  session. You can also provide input without attending the session through </w:t>
      </w:r>
      <w:r>
        <w:rPr>
          <w:rFonts w:ascii="Calibri" w:eastAsia="Calibri" w:hAnsi="Calibri" w:cs="Calibri"/>
          <w:color w:val="0563C1"/>
          <w:u w:val="single"/>
        </w:rPr>
        <w:t>this survey</w:t>
      </w:r>
      <w:r>
        <w:rPr>
          <w:rFonts w:ascii="Calibri" w:eastAsia="Calibri" w:hAnsi="Calibri" w:cs="Calibri"/>
          <w:color w:val="000000"/>
        </w:rPr>
        <w:t xml:space="preserve">. </w:t>
      </w:r>
    </w:p>
    <w:p w:rsidR="00C4384F" w:rsidRDefault="00447330">
      <w:pPr>
        <w:widowControl w:val="0"/>
        <w:pBdr>
          <w:top w:val="nil"/>
          <w:left w:val="nil"/>
          <w:bottom w:val="nil"/>
          <w:right w:val="nil"/>
          <w:between w:val="nil"/>
        </w:pBdr>
        <w:spacing w:before="239" w:line="244" w:lineRule="auto"/>
        <w:ind w:left="116" w:right="90"/>
        <w:rPr>
          <w:rFonts w:ascii="Calibri" w:eastAsia="Calibri" w:hAnsi="Calibri" w:cs="Calibri"/>
          <w:color w:val="000000"/>
        </w:rPr>
      </w:pPr>
      <w:r>
        <w:rPr>
          <w:rFonts w:ascii="Calibri" w:eastAsia="Calibri" w:hAnsi="Calibri" w:cs="Calibri"/>
          <w:b/>
          <w:color w:val="1B75BC"/>
          <w:sz w:val="32"/>
          <w:szCs w:val="32"/>
        </w:rPr>
        <w:t xml:space="preserve">What does this indicator measure and why is it important? </w:t>
      </w:r>
      <w:r>
        <w:rPr>
          <w:rFonts w:ascii="Calibri" w:eastAsia="Calibri" w:hAnsi="Calibri" w:cs="Calibri"/>
          <w:color w:val="000000"/>
        </w:rPr>
        <w:t>Indicator 17 of the State Performance Plan (SPP), the State Systemic Improvement Plan (SSIP), is a multi-</w:t>
      </w:r>
      <w:proofErr w:type="gramStart"/>
      <w:r>
        <w:rPr>
          <w:rFonts w:ascii="Calibri" w:eastAsia="Calibri" w:hAnsi="Calibri" w:cs="Calibri"/>
          <w:color w:val="000000"/>
        </w:rPr>
        <w:t>year  plan</w:t>
      </w:r>
      <w:proofErr w:type="gramEnd"/>
      <w:r>
        <w:rPr>
          <w:rFonts w:ascii="Calibri" w:eastAsia="Calibri" w:hAnsi="Calibri" w:cs="Calibri"/>
          <w:color w:val="000000"/>
        </w:rPr>
        <w:t xml:space="preserve"> for how the state improves outcomes for children experiencing disabilities served under IDEA. Though the  SSIP is part of the Office of Special Education Programs’ (OSEP) Results Driven Accountability framework, it is a  state-developed plan focuses on the use of evidence-based scalable improvement strategies aimed at  improving one identified focus area of student-level results. </w:t>
      </w:r>
    </w:p>
    <w:p w:rsidR="00C4384F" w:rsidRDefault="00447330">
      <w:pPr>
        <w:widowControl w:val="0"/>
        <w:pBdr>
          <w:top w:val="nil"/>
          <w:left w:val="nil"/>
          <w:bottom w:val="nil"/>
          <w:right w:val="nil"/>
          <w:between w:val="nil"/>
        </w:pBdr>
        <w:spacing w:before="164" w:line="244" w:lineRule="auto"/>
        <w:ind w:left="115" w:right="426" w:firstLine="4"/>
        <w:rPr>
          <w:rFonts w:ascii="Calibri" w:eastAsia="Calibri" w:hAnsi="Calibri" w:cs="Calibri"/>
          <w:color w:val="000000"/>
        </w:rPr>
      </w:pPr>
      <w:r>
        <w:rPr>
          <w:rFonts w:ascii="Calibri" w:eastAsia="Calibri" w:hAnsi="Calibri" w:cs="Calibri"/>
          <w:color w:val="000000"/>
        </w:rPr>
        <w:t xml:space="preserve">Oregon selected early reading as a priority focus area in FFY 2013 and developed the State </w:t>
      </w:r>
      <w:proofErr w:type="gramStart"/>
      <w:r>
        <w:rPr>
          <w:rFonts w:ascii="Calibri" w:eastAsia="Calibri" w:hAnsi="Calibri" w:cs="Calibri"/>
          <w:color w:val="000000"/>
        </w:rPr>
        <w:t>Identified  Measurable</w:t>
      </w:r>
      <w:proofErr w:type="gramEnd"/>
      <w:r>
        <w:rPr>
          <w:rFonts w:ascii="Calibri" w:eastAsia="Calibri" w:hAnsi="Calibri" w:cs="Calibri"/>
          <w:color w:val="000000"/>
        </w:rPr>
        <w:t xml:space="preserve"> Result (SIMR) and SSIP to support statewide improvement in this area. This indicator </w:t>
      </w:r>
      <w:proofErr w:type="gramStart"/>
      <w:r>
        <w:rPr>
          <w:rFonts w:ascii="Calibri" w:eastAsia="Calibri" w:hAnsi="Calibri" w:cs="Calibri"/>
          <w:color w:val="000000"/>
        </w:rPr>
        <w:t>measures  progress</w:t>
      </w:r>
      <w:proofErr w:type="gramEnd"/>
      <w:r>
        <w:rPr>
          <w:rFonts w:ascii="Calibri" w:eastAsia="Calibri" w:hAnsi="Calibri" w:cs="Calibri"/>
          <w:color w:val="000000"/>
        </w:rPr>
        <w:t xml:space="preserve"> toward increasing the percentage of students experiencing disability who are reading at or above  grade level. Reading proficiency by grade three is a key indicator of future academic success for students.  </w:t>
      </w:r>
    </w:p>
    <w:p w:rsidR="00C4384F" w:rsidRDefault="00447330">
      <w:pPr>
        <w:widowControl w:val="0"/>
        <w:pBdr>
          <w:top w:val="nil"/>
          <w:left w:val="nil"/>
          <w:bottom w:val="nil"/>
          <w:right w:val="nil"/>
          <w:between w:val="nil"/>
        </w:pBdr>
        <w:spacing w:before="169" w:line="243" w:lineRule="auto"/>
        <w:ind w:left="113" w:right="100" w:firstLine="14"/>
        <w:rPr>
          <w:rFonts w:ascii="Calibri" w:eastAsia="Calibri" w:hAnsi="Calibri" w:cs="Calibri"/>
          <w:color w:val="000000"/>
        </w:rPr>
      </w:pPr>
      <w:r>
        <w:rPr>
          <w:rFonts w:ascii="Calibri" w:eastAsia="Calibri" w:hAnsi="Calibri" w:cs="Calibri"/>
          <w:color w:val="000000"/>
        </w:rPr>
        <w:t xml:space="preserve">Especially for students for whom the system has historically underserved, the early intervention of schools </w:t>
      </w:r>
      <w:proofErr w:type="gramStart"/>
      <w:r>
        <w:rPr>
          <w:rFonts w:ascii="Calibri" w:eastAsia="Calibri" w:hAnsi="Calibri" w:cs="Calibri"/>
          <w:color w:val="000000"/>
        </w:rPr>
        <w:t>and  their</w:t>
      </w:r>
      <w:proofErr w:type="gramEnd"/>
      <w:r>
        <w:rPr>
          <w:rFonts w:ascii="Calibri" w:eastAsia="Calibri" w:hAnsi="Calibri" w:cs="Calibri"/>
          <w:color w:val="000000"/>
        </w:rPr>
        <w:t xml:space="preserve"> provision of support for students to become proficient readers by grade three in order to change future  academic trajectories is imperative. </w:t>
      </w:r>
    </w:p>
    <w:p w:rsidR="00C4384F" w:rsidRDefault="00447330">
      <w:pPr>
        <w:widowControl w:val="0"/>
        <w:pBdr>
          <w:top w:val="nil"/>
          <w:left w:val="nil"/>
          <w:bottom w:val="nil"/>
          <w:right w:val="nil"/>
          <w:between w:val="nil"/>
        </w:pBdr>
        <w:spacing w:before="245" w:line="240" w:lineRule="auto"/>
        <w:ind w:left="132"/>
        <w:rPr>
          <w:rFonts w:ascii="Calibri" w:eastAsia="Calibri" w:hAnsi="Calibri" w:cs="Calibri"/>
          <w:b/>
          <w:color w:val="1B75BC"/>
          <w:sz w:val="32"/>
          <w:szCs w:val="32"/>
        </w:rPr>
      </w:pPr>
      <w:r>
        <w:rPr>
          <w:rFonts w:ascii="Calibri" w:eastAsia="Calibri" w:hAnsi="Calibri" w:cs="Calibri"/>
          <w:b/>
          <w:color w:val="1B75BC"/>
          <w:sz w:val="32"/>
          <w:szCs w:val="32"/>
        </w:rPr>
        <w:t xml:space="preserve">How </w:t>
      </w:r>
      <w:proofErr w:type="gramStart"/>
      <w:r>
        <w:rPr>
          <w:rFonts w:ascii="Calibri" w:eastAsia="Calibri" w:hAnsi="Calibri" w:cs="Calibri"/>
          <w:b/>
          <w:color w:val="1B75BC"/>
          <w:sz w:val="32"/>
          <w:szCs w:val="32"/>
        </w:rPr>
        <w:t>is this indicator measured</w:t>
      </w:r>
      <w:proofErr w:type="gramEnd"/>
      <w:r>
        <w:rPr>
          <w:rFonts w:ascii="Calibri" w:eastAsia="Calibri" w:hAnsi="Calibri" w:cs="Calibri"/>
          <w:b/>
          <w:color w:val="1B75BC"/>
          <w:sz w:val="32"/>
          <w:szCs w:val="32"/>
        </w:rPr>
        <w:t xml:space="preserve">? </w:t>
      </w:r>
    </w:p>
    <w:p w:rsidR="00C4384F" w:rsidRDefault="00447330">
      <w:pPr>
        <w:widowControl w:val="0"/>
        <w:pBdr>
          <w:top w:val="nil"/>
          <w:left w:val="nil"/>
          <w:bottom w:val="nil"/>
          <w:right w:val="nil"/>
          <w:between w:val="nil"/>
        </w:pBdr>
        <w:spacing w:before="21" w:line="245" w:lineRule="auto"/>
        <w:ind w:left="118" w:right="550" w:hanging="7"/>
        <w:jc w:val="both"/>
        <w:rPr>
          <w:rFonts w:ascii="Calibri" w:eastAsia="Calibri" w:hAnsi="Calibri" w:cs="Calibri"/>
          <w:color w:val="000000"/>
        </w:rPr>
      </w:pPr>
      <w:r>
        <w:rPr>
          <w:rFonts w:ascii="Calibri" w:eastAsia="Calibri" w:hAnsi="Calibri" w:cs="Calibri"/>
          <w:color w:val="000000"/>
        </w:rPr>
        <w:t xml:space="preserve">This indicator is measured using reading assessment data for grade three students experiencing disability.  Progress toward this indicator is measured using a combination of data sources including student </w:t>
      </w:r>
      <w:proofErr w:type="gramStart"/>
      <w:r>
        <w:rPr>
          <w:rFonts w:ascii="Calibri" w:eastAsia="Calibri" w:hAnsi="Calibri" w:cs="Calibri"/>
          <w:color w:val="000000"/>
        </w:rPr>
        <w:t>reading  screening</w:t>
      </w:r>
      <w:proofErr w:type="gramEnd"/>
      <w:r>
        <w:rPr>
          <w:rFonts w:ascii="Calibri" w:eastAsia="Calibri" w:hAnsi="Calibri" w:cs="Calibri"/>
          <w:color w:val="000000"/>
        </w:rPr>
        <w:t xml:space="preserve"> and interim assessment data and staff fidelity of implementation data.  </w:t>
      </w:r>
    </w:p>
    <w:p w:rsidR="00C4384F" w:rsidRDefault="00447330">
      <w:pPr>
        <w:widowControl w:val="0"/>
        <w:pBdr>
          <w:top w:val="nil"/>
          <w:left w:val="nil"/>
          <w:bottom w:val="nil"/>
          <w:right w:val="nil"/>
          <w:between w:val="nil"/>
        </w:pBdr>
        <w:spacing w:before="238" w:line="240" w:lineRule="auto"/>
        <w:ind w:left="116"/>
        <w:rPr>
          <w:rFonts w:ascii="Calibri" w:eastAsia="Calibri" w:hAnsi="Calibri" w:cs="Calibri"/>
          <w:b/>
          <w:color w:val="1B75BC"/>
          <w:sz w:val="32"/>
          <w:szCs w:val="32"/>
        </w:rPr>
      </w:pPr>
      <w:r>
        <w:rPr>
          <w:rFonts w:ascii="Calibri" w:eastAsia="Calibri" w:hAnsi="Calibri" w:cs="Calibri"/>
          <w:b/>
          <w:color w:val="1B75BC"/>
          <w:sz w:val="32"/>
          <w:szCs w:val="32"/>
        </w:rPr>
        <w:t xml:space="preserve">What is the data source? </w:t>
      </w:r>
    </w:p>
    <w:p w:rsidR="00C4384F" w:rsidRDefault="00447330">
      <w:pPr>
        <w:widowControl w:val="0"/>
        <w:pBdr>
          <w:top w:val="nil"/>
          <w:left w:val="nil"/>
          <w:bottom w:val="nil"/>
          <w:right w:val="nil"/>
          <w:between w:val="nil"/>
        </w:pBdr>
        <w:spacing w:before="21" w:line="240" w:lineRule="auto"/>
        <w:ind w:left="111"/>
        <w:rPr>
          <w:rFonts w:ascii="Calibri" w:eastAsia="Calibri" w:hAnsi="Calibri" w:cs="Calibri"/>
          <w:color w:val="000000"/>
        </w:rPr>
      </w:pPr>
      <w:r>
        <w:rPr>
          <w:rFonts w:ascii="Calibri" w:eastAsia="Calibri" w:hAnsi="Calibri" w:cs="Calibri"/>
          <w:color w:val="000000"/>
        </w:rPr>
        <w:t xml:space="preserve">The primary data source is grade three student Smarter Balanced Assessment (SBAC) scores. </w:t>
      </w:r>
    </w:p>
    <w:p w:rsidR="00C4384F" w:rsidRDefault="00447330">
      <w:pPr>
        <w:widowControl w:val="0"/>
        <w:pBdr>
          <w:top w:val="nil"/>
          <w:left w:val="nil"/>
          <w:bottom w:val="nil"/>
          <w:right w:val="nil"/>
          <w:between w:val="nil"/>
        </w:pBdr>
        <w:spacing w:before="248" w:line="246" w:lineRule="auto"/>
        <w:ind w:left="113" w:right="339" w:firstLine="18"/>
        <w:rPr>
          <w:rFonts w:ascii="Calibri" w:eastAsia="Calibri" w:hAnsi="Calibri" w:cs="Calibri"/>
          <w:color w:val="000000"/>
        </w:rPr>
      </w:pPr>
      <w:r>
        <w:rPr>
          <w:rFonts w:ascii="Calibri" w:eastAsia="Calibri" w:hAnsi="Calibri" w:cs="Calibri"/>
          <w:b/>
          <w:color w:val="1B75BC"/>
          <w:sz w:val="32"/>
          <w:szCs w:val="32"/>
        </w:rPr>
        <w:t xml:space="preserve">Does the baseline need to be set or </w:t>
      </w:r>
      <w:proofErr w:type="gramStart"/>
      <w:r>
        <w:rPr>
          <w:rFonts w:ascii="Calibri" w:eastAsia="Calibri" w:hAnsi="Calibri" w:cs="Calibri"/>
          <w:b/>
          <w:color w:val="1B75BC"/>
          <w:sz w:val="32"/>
          <w:szCs w:val="32"/>
        </w:rPr>
        <w:t>reset</w:t>
      </w:r>
      <w:proofErr w:type="gramEnd"/>
      <w:r>
        <w:rPr>
          <w:rFonts w:ascii="Calibri" w:eastAsia="Calibri" w:hAnsi="Calibri" w:cs="Calibri"/>
          <w:b/>
          <w:color w:val="1B75BC"/>
          <w:sz w:val="32"/>
          <w:szCs w:val="32"/>
        </w:rPr>
        <w:t xml:space="preserve"> for this indicator? </w:t>
      </w:r>
      <w:r>
        <w:rPr>
          <w:rFonts w:ascii="Calibri" w:eastAsia="Calibri" w:hAnsi="Calibri" w:cs="Calibri"/>
          <w:color w:val="000000"/>
        </w:rPr>
        <w:t xml:space="preserve">Yes. The baseline set during Phase I of the SSIP was set using OAKS, a state summative assessment that is </w:t>
      </w:r>
      <w:proofErr w:type="gramStart"/>
      <w:r>
        <w:rPr>
          <w:rFonts w:ascii="Calibri" w:eastAsia="Calibri" w:hAnsi="Calibri" w:cs="Calibri"/>
          <w:color w:val="000000"/>
        </w:rPr>
        <w:t>no  longer</w:t>
      </w:r>
      <w:proofErr w:type="gramEnd"/>
      <w:r>
        <w:rPr>
          <w:rFonts w:ascii="Calibri" w:eastAsia="Calibri" w:hAnsi="Calibri" w:cs="Calibri"/>
          <w:color w:val="000000"/>
        </w:rPr>
        <w:t xml:space="preserve"> offered in Oregon. ODE is proposing using a baseline of </w:t>
      </w:r>
      <w:r>
        <w:rPr>
          <w:rFonts w:ascii="Calibri" w:eastAsia="Calibri" w:hAnsi="Calibri" w:cs="Calibri"/>
          <w:b/>
          <w:color w:val="000000"/>
        </w:rPr>
        <w:t xml:space="preserve">24.4% </w:t>
      </w:r>
      <w:r>
        <w:rPr>
          <w:rFonts w:ascii="Calibri" w:eastAsia="Calibri" w:hAnsi="Calibri" w:cs="Calibri"/>
          <w:color w:val="000000"/>
        </w:rPr>
        <w:t xml:space="preserve">of grade three students </w:t>
      </w:r>
      <w:proofErr w:type="gramStart"/>
      <w:r>
        <w:rPr>
          <w:rFonts w:ascii="Calibri" w:eastAsia="Calibri" w:hAnsi="Calibri" w:cs="Calibri"/>
          <w:color w:val="000000"/>
        </w:rPr>
        <w:t>experiencing  disability</w:t>
      </w:r>
      <w:proofErr w:type="gramEnd"/>
      <w:r>
        <w:rPr>
          <w:rFonts w:ascii="Calibri" w:eastAsia="Calibri" w:hAnsi="Calibri" w:cs="Calibri"/>
          <w:color w:val="000000"/>
        </w:rPr>
        <w:t xml:space="preserve"> performing at or above proficiency on the ELA Smarter Balanced Assessment.</w:t>
      </w:r>
    </w:p>
    <w:p w:rsidR="00C4384F" w:rsidRDefault="00447330">
      <w:pPr>
        <w:widowControl w:val="0"/>
        <w:pBdr>
          <w:top w:val="nil"/>
          <w:left w:val="nil"/>
          <w:bottom w:val="nil"/>
          <w:right w:val="nil"/>
          <w:between w:val="nil"/>
        </w:pBdr>
        <w:spacing w:before="646" w:line="240" w:lineRule="auto"/>
        <w:ind w:left="117"/>
        <w:rPr>
          <w:rFonts w:ascii="Calibri" w:eastAsia="Calibri" w:hAnsi="Calibri" w:cs="Calibri"/>
          <w:color w:val="000000"/>
        </w:rPr>
      </w:pPr>
      <w:r>
        <w:rPr>
          <w:rFonts w:ascii="Calibri" w:eastAsia="Calibri" w:hAnsi="Calibri" w:cs="Calibri"/>
          <w:color w:val="000000"/>
        </w:rPr>
        <w:lastRenderedPageBreak/>
        <w:t xml:space="preserve">State Performance Plan Fact Sheet – Indicator B17 1 </w:t>
      </w:r>
    </w:p>
    <w:p w:rsidR="00C4384F" w:rsidRDefault="00447330" w:rsidP="00447330">
      <w:pPr>
        <w:widowControl w:val="0"/>
        <w:pBdr>
          <w:top w:val="nil"/>
          <w:left w:val="nil"/>
          <w:bottom w:val="nil"/>
          <w:right w:val="nil"/>
          <w:between w:val="nil"/>
        </w:pBdr>
        <w:spacing w:line="271" w:lineRule="auto"/>
        <w:ind w:right="174"/>
        <w:rPr>
          <w:rFonts w:ascii="Calibri" w:eastAsia="Calibri" w:hAnsi="Calibri" w:cs="Calibri"/>
          <w:b/>
          <w:color w:val="1B75BC"/>
          <w:sz w:val="32"/>
          <w:szCs w:val="32"/>
        </w:rPr>
      </w:pPr>
      <w:r>
        <w:rPr>
          <w:rFonts w:ascii="Calibri" w:eastAsia="Calibri" w:hAnsi="Calibri" w:cs="Calibri"/>
          <w:b/>
          <w:color w:val="1B75BC"/>
          <w:sz w:val="32"/>
          <w:szCs w:val="32"/>
        </w:rPr>
        <w:t xml:space="preserve">What are the historical targets and how has Oregon performed over time? </w:t>
      </w:r>
      <w:r>
        <w:rPr>
          <w:rFonts w:ascii="Calibri" w:eastAsia="Calibri" w:hAnsi="Calibri" w:cs="Calibri"/>
          <w:b/>
          <w:noProof/>
          <w:color w:val="1B75BC"/>
          <w:sz w:val="32"/>
          <w:szCs w:val="32"/>
        </w:rPr>
        <w:drawing>
          <wp:inline distT="19050" distB="19050" distL="19050" distR="19050">
            <wp:extent cx="5577459" cy="3421379"/>
            <wp:effectExtent l="0" t="0" r="4445" b="8255"/>
            <wp:docPr id="2" name="image2.png" title="B17 SSIP Data and Targets Graph"/>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577459" cy="3421379"/>
                    </a:xfrm>
                    <a:prstGeom prst="rect">
                      <a:avLst/>
                    </a:prstGeom>
                    <a:ln/>
                  </pic:spPr>
                </pic:pic>
              </a:graphicData>
            </a:graphic>
          </wp:inline>
        </w:drawing>
      </w:r>
    </w:p>
    <w:tbl>
      <w:tblPr>
        <w:tblStyle w:val="a"/>
        <w:tblW w:w="101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FFY 2013-2019 Oregon's Historical Targets"/>
      </w:tblPr>
      <w:tblGrid>
        <w:gridCol w:w="894"/>
        <w:gridCol w:w="1259"/>
        <w:gridCol w:w="1331"/>
        <w:gridCol w:w="1336"/>
        <w:gridCol w:w="1331"/>
        <w:gridCol w:w="1336"/>
        <w:gridCol w:w="1331"/>
        <w:gridCol w:w="1336"/>
      </w:tblGrid>
      <w:tr w:rsidR="00C4384F" w:rsidTr="00447330">
        <w:trPr>
          <w:trHeight w:val="280"/>
          <w:tblHeader/>
        </w:trPr>
        <w:tc>
          <w:tcPr>
            <w:tcW w:w="89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FFY </w:t>
            </w:r>
          </w:p>
        </w:tc>
        <w:tc>
          <w:tcPr>
            <w:tcW w:w="126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2013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2014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2015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2016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2017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2018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2019</w:t>
            </w:r>
          </w:p>
        </w:tc>
      </w:tr>
      <w:tr w:rsidR="00C4384F">
        <w:trPr>
          <w:trHeight w:val="280"/>
        </w:trPr>
        <w:tc>
          <w:tcPr>
            <w:tcW w:w="89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Target ≥ </w:t>
            </w:r>
          </w:p>
        </w:tc>
        <w:tc>
          <w:tcPr>
            <w:tcW w:w="126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i/>
                <w:color w:val="000000"/>
              </w:rPr>
            </w:pPr>
            <w:r>
              <w:rPr>
                <w:rFonts w:ascii="Calibri" w:eastAsia="Calibri" w:hAnsi="Calibri" w:cs="Calibri"/>
                <w:i/>
                <w:color w:val="000000"/>
              </w:rPr>
              <w:t xml:space="preserve">Baseline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43.5% OAKS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44.5% OAKS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45.5% OAKS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29% SBAC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33% SBAC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35% SBAC</w:t>
            </w:r>
          </w:p>
        </w:tc>
      </w:tr>
      <w:tr w:rsidR="00C4384F">
        <w:trPr>
          <w:trHeight w:val="280"/>
        </w:trPr>
        <w:tc>
          <w:tcPr>
            <w:tcW w:w="89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Data </w:t>
            </w:r>
          </w:p>
        </w:tc>
        <w:tc>
          <w:tcPr>
            <w:tcW w:w="126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42.8% OAKS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30.57% SBAC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25.22% SBAC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23.04% SBAC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24.08% SBAC </w:t>
            </w:r>
          </w:p>
        </w:tc>
        <w:tc>
          <w:tcPr>
            <w:tcW w:w="133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24.45% SBAC </w:t>
            </w:r>
          </w:p>
        </w:tc>
        <w:tc>
          <w:tcPr>
            <w:tcW w:w="133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N/A</w:t>
            </w:r>
          </w:p>
        </w:tc>
      </w:tr>
    </w:tbl>
    <w:p w:rsidR="00C4384F" w:rsidRDefault="00C4384F">
      <w:pPr>
        <w:widowControl w:val="0"/>
        <w:pBdr>
          <w:top w:val="nil"/>
          <w:left w:val="nil"/>
          <w:bottom w:val="nil"/>
          <w:right w:val="nil"/>
          <w:between w:val="nil"/>
        </w:pBdr>
        <w:rPr>
          <w:color w:val="000000"/>
        </w:rPr>
      </w:pPr>
    </w:p>
    <w:p w:rsidR="00C4384F" w:rsidRDefault="00C4384F">
      <w:pPr>
        <w:widowControl w:val="0"/>
        <w:pBdr>
          <w:top w:val="nil"/>
          <w:left w:val="nil"/>
          <w:bottom w:val="nil"/>
          <w:right w:val="nil"/>
          <w:between w:val="nil"/>
        </w:pBdr>
        <w:rPr>
          <w:color w:val="000000"/>
        </w:rPr>
      </w:pPr>
    </w:p>
    <w:p w:rsidR="00C4384F" w:rsidRDefault="00447330">
      <w:pPr>
        <w:widowControl w:val="0"/>
        <w:pBdr>
          <w:top w:val="nil"/>
          <w:left w:val="nil"/>
          <w:bottom w:val="nil"/>
          <w:right w:val="nil"/>
          <w:between w:val="nil"/>
        </w:pBdr>
        <w:spacing w:line="240" w:lineRule="auto"/>
        <w:ind w:left="116"/>
        <w:rPr>
          <w:rFonts w:ascii="Calibri" w:eastAsia="Calibri" w:hAnsi="Calibri" w:cs="Calibri"/>
          <w:b/>
          <w:color w:val="1B75BC"/>
          <w:sz w:val="32"/>
          <w:szCs w:val="32"/>
        </w:rPr>
      </w:pPr>
      <w:r>
        <w:rPr>
          <w:rFonts w:ascii="Calibri" w:eastAsia="Calibri" w:hAnsi="Calibri" w:cs="Calibri"/>
          <w:b/>
          <w:color w:val="1B75BC"/>
          <w:sz w:val="32"/>
          <w:szCs w:val="32"/>
        </w:rPr>
        <w:t xml:space="preserve">What are the proposed targets? </w:t>
      </w:r>
    </w:p>
    <w:p w:rsidR="00C4384F" w:rsidRDefault="00447330">
      <w:pPr>
        <w:widowControl w:val="0"/>
        <w:pBdr>
          <w:top w:val="nil"/>
          <w:left w:val="nil"/>
          <w:bottom w:val="nil"/>
          <w:right w:val="nil"/>
          <w:between w:val="nil"/>
        </w:pBdr>
        <w:spacing w:before="16" w:line="240" w:lineRule="auto"/>
        <w:ind w:left="480"/>
        <w:rPr>
          <w:rFonts w:ascii="Calibri" w:eastAsia="Calibri" w:hAnsi="Calibri" w:cs="Calibri"/>
          <w:color w:val="000000"/>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rPr>
        <w:t xml:space="preserve">Targets should be rigorous, yet attainable. </w:t>
      </w:r>
    </w:p>
    <w:p w:rsidR="00C4384F" w:rsidRDefault="00447330">
      <w:pPr>
        <w:widowControl w:val="0"/>
        <w:pBdr>
          <w:top w:val="nil"/>
          <w:left w:val="nil"/>
          <w:bottom w:val="nil"/>
          <w:right w:val="nil"/>
          <w:between w:val="nil"/>
        </w:pBdr>
        <w:spacing w:before="13" w:line="245" w:lineRule="auto"/>
        <w:ind w:left="846" w:right="586" w:hanging="366"/>
        <w:rPr>
          <w:rFonts w:ascii="Calibri" w:eastAsia="Calibri" w:hAnsi="Calibri" w:cs="Calibri"/>
          <w:color w:val="000000"/>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rPr>
        <w:t xml:space="preserve">Targets may remain the same several years in a row, though the final target year (FFY 2025) </w:t>
      </w:r>
      <w:proofErr w:type="gramStart"/>
      <w:r>
        <w:rPr>
          <w:rFonts w:ascii="Calibri" w:eastAsia="Calibri" w:hAnsi="Calibri" w:cs="Calibri"/>
          <w:color w:val="000000"/>
        </w:rPr>
        <w:t>must  reflect</w:t>
      </w:r>
      <w:proofErr w:type="gramEnd"/>
      <w:r>
        <w:rPr>
          <w:rFonts w:ascii="Calibri" w:eastAsia="Calibri" w:hAnsi="Calibri" w:cs="Calibri"/>
          <w:color w:val="000000"/>
        </w:rPr>
        <w:t xml:space="preserve"> improvement over baseline. </w:t>
      </w:r>
    </w:p>
    <w:p w:rsidR="00C4384F" w:rsidRDefault="00447330">
      <w:pPr>
        <w:widowControl w:val="0"/>
        <w:pBdr>
          <w:top w:val="nil"/>
          <w:left w:val="nil"/>
          <w:bottom w:val="nil"/>
          <w:right w:val="nil"/>
          <w:between w:val="nil"/>
        </w:pBdr>
        <w:spacing w:before="3" w:line="240" w:lineRule="auto"/>
        <w:ind w:left="480"/>
        <w:rPr>
          <w:rFonts w:ascii="Calibri" w:eastAsia="Calibri" w:hAnsi="Calibri" w:cs="Calibri"/>
          <w:color w:val="000000"/>
        </w:rPr>
      </w:pPr>
      <w:r>
        <w:rPr>
          <w:rFonts w:ascii="Noto Sans Symbols" w:eastAsia="Noto Sans Symbols" w:hAnsi="Noto Sans Symbols" w:cs="Noto Sans Symbols"/>
          <w:color w:val="000000"/>
          <w:sz w:val="20"/>
          <w:szCs w:val="20"/>
        </w:rPr>
        <w:t xml:space="preserve">• </w:t>
      </w:r>
      <w:r>
        <w:rPr>
          <w:rFonts w:ascii="Calibri" w:eastAsia="Calibri" w:hAnsi="Calibri" w:cs="Calibri"/>
          <w:color w:val="000000"/>
        </w:rPr>
        <w:t xml:space="preserve">The goal for this indicator is to be at or above the target. </w:t>
      </w:r>
    </w:p>
    <w:p w:rsidR="00C4384F" w:rsidRDefault="00447330">
      <w:pPr>
        <w:widowControl w:val="0"/>
        <w:pBdr>
          <w:top w:val="nil"/>
          <w:left w:val="nil"/>
          <w:bottom w:val="nil"/>
          <w:right w:val="nil"/>
          <w:between w:val="nil"/>
        </w:pBdr>
        <w:spacing w:before="308" w:line="240" w:lineRule="auto"/>
        <w:ind w:left="119"/>
        <w:rPr>
          <w:rFonts w:ascii="Calibri" w:eastAsia="Calibri" w:hAnsi="Calibri" w:cs="Calibri"/>
          <w:b/>
          <w:color w:val="408740"/>
          <w:sz w:val="24"/>
          <w:szCs w:val="24"/>
        </w:rPr>
      </w:pPr>
      <w:r>
        <w:rPr>
          <w:rFonts w:ascii="Calibri" w:eastAsia="Calibri" w:hAnsi="Calibri" w:cs="Calibri"/>
          <w:b/>
          <w:color w:val="408740"/>
          <w:sz w:val="24"/>
          <w:szCs w:val="24"/>
        </w:rPr>
        <w:t xml:space="preserve">Option A </w:t>
      </w:r>
    </w:p>
    <w:tbl>
      <w:tblPr>
        <w:tblStyle w:val="a0"/>
        <w:tblW w:w="9929"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Option A For New Target"/>
      </w:tblPr>
      <w:tblGrid>
        <w:gridCol w:w="2228"/>
        <w:gridCol w:w="1281"/>
        <w:gridCol w:w="1285"/>
        <w:gridCol w:w="1285"/>
        <w:gridCol w:w="1285"/>
        <w:gridCol w:w="1280"/>
        <w:gridCol w:w="1285"/>
      </w:tblGrid>
      <w:tr w:rsidR="00C4384F" w:rsidTr="00447330">
        <w:trPr>
          <w:trHeight w:val="274"/>
          <w:tblHeader/>
        </w:trPr>
        <w:tc>
          <w:tcPr>
            <w:tcW w:w="2226"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FFY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2021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2022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2023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2024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2025</w:t>
            </w:r>
          </w:p>
        </w:tc>
      </w:tr>
      <w:tr w:rsidR="00C4384F">
        <w:trPr>
          <w:trHeight w:val="280"/>
        </w:trPr>
        <w:tc>
          <w:tcPr>
            <w:tcW w:w="2226"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ind w:left="116"/>
              <w:rPr>
                <w:rFonts w:ascii="Calibri" w:eastAsia="Calibri" w:hAnsi="Calibri" w:cs="Calibri"/>
                <w:color w:val="000000"/>
              </w:rPr>
            </w:pPr>
            <w:r>
              <w:rPr>
                <w:rFonts w:ascii="Calibri" w:eastAsia="Calibri" w:hAnsi="Calibri" w:cs="Calibri"/>
                <w:color w:val="000000"/>
              </w:rPr>
              <w:t xml:space="preserve">Targets ≥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25.00%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27.00%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29.00%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31.00%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33.00%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35.00%</w:t>
            </w:r>
          </w:p>
        </w:tc>
      </w:tr>
    </w:tbl>
    <w:p w:rsidR="00C4384F" w:rsidRDefault="00C4384F">
      <w:pPr>
        <w:widowControl w:val="0"/>
        <w:pBdr>
          <w:top w:val="nil"/>
          <w:left w:val="nil"/>
          <w:bottom w:val="nil"/>
          <w:right w:val="nil"/>
          <w:between w:val="nil"/>
        </w:pBdr>
        <w:rPr>
          <w:color w:val="000000"/>
        </w:rPr>
      </w:pPr>
    </w:p>
    <w:p w:rsidR="00C4384F" w:rsidRDefault="00C4384F">
      <w:pPr>
        <w:widowControl w:val="0"/>
        <w:pBdr>
          <w:top w:val="nil"/>
          <w:left w:val="nil"/>
          <w:bottom w:val="nil"/>
          <w:right w:val="nil"/>
          <w:between w:val="nil"/>
        </w:pBdr>
        <w:rPr>
          <w:color w:val="000000"/>
        </w:rPr>
      </w:pPr>
    </w:p>
    <w:p w:rsidR="00C4384F" w:rsidRDefault="00447330">
      <w:pPr>
        <w:widowControl w:val="0"/>
        <w:pBdr>
          <w:top w:val="nil"/>
          <w:left w:val="nil"/>
          <w:bottom w:val="nil"/>
          <w:right w:val="nil"/>
          <w:between w:val="nil"/>
        </w:pBdr>
        <w:spacing w:line="245" w:lineRule="auto"/>
        <w:ind w:left="118" w:right="258" w:firstLine="1"/>
        <w:rPr>
          <w:rFonts w:ascii="Calibri" w:eastAsia="Calibri" w:hAnsi="Calibri" w:cs="Calibri"/>
          <w:color w:val="000000"/>
        </w:rPr>
      </w:pPr>
      <w:r>
        <w:rPr>
          <w:rFonts w:ascii="Calibri" w:eastAsia="Calibri" w:hAnsi="Calibri" w:cs="Calibri"/>
          <w:color w:val="000000"/>
        </w:rPr>
        <w:t xml:space="preserve">Option A presents a more conservative set of targets. These targets start close to the proficiency rate </w:t>
      </w:r>
      <w:proofErr w:type="gramStart"/>
      <w:r>
        <w:rPr>
          <w:rFonts w:ascii="Calibri" w:eastAsia="Calibri" w:hAnsi="Calibri" w:cs="Calibri"/>
          <w:color w:val="000000"/>
        </w:rPr>
        <w:t>of  students</w:t>
      </w:r>
      <w:proofErr w:type="gramEnd"/>
      <w:r>
        <w:rPr>
          <w:rFonts w:ascii="Calibri" w:eastAsia="Calibri" w:hAnsi="Calibri" w:cs="Calibri"/>
          <w:color w:val="000000"/>
        </w:rPr>
        <w:t xml:space="preserve"> at the most recent assessment window and increase at a greater rate over time. The final </w:t>
      </w:r>
      <w:proofErr w:type="gramStart"/>
      <w:r>
        <w:rPr>
          <w:rFonts w:ascii="Calibri" w:eastAsia="Calibri" w:hAnsi="Calibri" w:cs="Calibri"/>
          <w:color w:val="000000"/>
        </w:rPr>
        <w:t>target  represents</w:t>
      </w:r>
      <w:proofErr w:type="gramEnd"/>
      <w:r>
        <w:rPr>
          <w:rFonts w:ascii="Calibri" w:eastAsia="Calibri" w:hAnsi="Calibri" w:cs="Calibri"/>
          <w:color w:val="000000"/>
        </w:rPr>
        <w:t xml:space="preserve"> doubling the percentage of students who perform at or above proficiency over the next five years. </w:t>
      </w:r>
    </w:p>
    <w:p w:rsidR="00C4384F" w:rsidRDefault="00447330">
      <w:pPr>
        <w:widowControl w:val="0"/>
        <w:pBdr>
          <w:top w:val="nil"/>
          <w:left w:val="nil"/>
          <w:bottom w:val="nil"/>
          <w:right w:val="nil"/>
          <w:between w:val="nil"/>
        </w:pBdr>
        <w:spacing w:before="163" w:line="240" w:lineRule="auto"/>
        <w:ind w:left="119"/>
        <w:rPr>
          <w:rFonts w:ascii="Calibri" w:eastAsia="Calibri" w:hAnsi="Calibri" w:cs="Calibri"/>
          <w:b/>
          <w:color w:val="408740"/>
          <w:sz w:val="24"/>
          <w:szCs w:val="24"/>
        </w:rPr>
      </w:pPr>
      <w:r>
        <w:rPr>
          <w:rFonts w:ascii="Calibri" w:eastAsia="Calibri" w:hAnsi="Calibri" w:cs="Calibri"/>
          <w:b/>
          <w:color w:val="408740"/>
          <w:sz w:val="24"/>
          <w:szCs w:val="24"/>
        </w:rPr>
        <w:t xml:space="preserve">Option B </w:t>
      </w:r>
    </w:p>
    <w:tbl>
      <w:tblPr>
        <w:tblStyle w:val="a1"/>
        <w:tblW w:w="9929" w:type="dxa"/>
        <w:tblInd w:w="2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Caption w:val="Option B for New Target"/>
      </w:tblPr>
      <w:tblGrid>
        <w:gridCol w:w="2228"/>
        <w:gridCol w:w="1281"/>
        <w:gridCol w:w="1285"/>
        <w:gridCol w:w="1285"/>
        <w:gridCol w:w="1285"/>
        <w:gridCol w:w="1280"/>
        <w:gridCol w:w="1285"/>
      </w:tblGrid>
      <w:tr w:rsidR="00C4384F" w:rsidTr="00447330">
        <w:trPr>
          <w:trHeight w:val="280"/>
          <w:tblHeader/>
        </w:trPr>
        <w:tc>
          <w:tcPr>
            <w:tcW w:w="2226"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lastRenderedPageBreak/>
              <w:t xml:space="preserve">FFY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2021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2022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2023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 xml:space="preserve">2024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b/>
                <w:color w:val="000000"/>
              </w:rPr>
            </w:pPr>
            <w:r>
              <w:rPr>
                <w:rFonts w:ascii="Calibri" w:eastAsia="Calibri" w:hAnsi="Calibri" w:cs="Calibri"/>
                <w:b/>
                <w:color w:val="000000"/>
              </w:rPr>
              <w:t>2025</w:t>
            </w:r>
          </w:p>
        </w:tc>
      </w:tr>
      <w:tr w:rsidR="00C4384F">
        <w:trPr>
          <w:trHeight w:val="275"/>
        </w:trPr>
        <w:tc>
          <w:tcPr>
            <w:tcW w:w="2226"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ind w:left="116"/>
              <w:rPr>
                <w:rFonts w:ascii="Calibri" w:eastAsia="Calibri" w:hAnsi="Calibri" w:cs="Calibri"/>
                <w:color w:val="000000"/>
              </w:rPr>
            </w:pPr>
            <w:r>
              <w:rPr>
                <w:rFonts w:ascii="Calibri" w:eastAsia="Calibri" w:hAnsi="Calibri" w:cs="Calibri"/>
                <w:color w:val="000000"/>
              </w:rPr>
              <w:t xml:space="preserve">Target ≥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48.00%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54.00%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61.00%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67.00% </w:t>
            </w:r>
          </w:p>
        </w:tc>
        <w:tc>
          <w:tcPr>
            <w:tcW w:w="1280"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 xml:space="preserve">74.00% </w:t>
            </w:r>
          </w:p>
        </w:tc>
        <w:tc>
          <w:tcPr>
            <w:tcW w:w="1285" w:type="dxa"/>
            <w:shd w:val="clear" w:color="auto" w:fill="auto"/>
            <w:tcMar>
              <w:top w:w="100" w:type="dxa"/>
              <w:left w:w="100" w:type="dxa"/>
              <w:bottom w:w="100" w:type="dxa"/>
              <w:right w:w="100" w:type="dxa"/>
            </w:tcMar>
          </w:tcPr>
          <w:p w:rsidR="00C4384F" w:rsidRDefault="00447330">
            <w:pPr>
              <w:widowControl w:val="0"/>
              <w:pBdr>
                <w:top w:val="nil"/>
                <w:left w:val="nil"/>
                <w:bottom w:val="nil"/>
                <w:right w:val="nil"/>
                <w:between w:val="nil"/>
              </w:pBdr>
              <w:spacing w:line="240" w:lineRule="auto"/>
              <w:jc w:val="center"/>
              <w:rPr>
                <w:rFonts w:ascii="Calibri" w:eastAsia="Calibri" w:hAnsi="Calibri" w:cs="Calibri"/>
                <w:color w:val="000000"/>
              </w:rPr>
            </w:pPr>
            <w:r>
              <w:rPr>
                <w:rFonts w:ascii="Calibri" w:eastAsia="Calibri" w:hAnsi="Calibri" w:cs="Calibri"/>
                <w:color w:val="000000"/>
              </w:rPr>
              <w:t>80.00%</w:t>
            </w:r>
          </w:p>
        </w:tc>
      </w:tr>
    </w:tbl>
    <w:p w:rsidR="00C4384F" w:rsidRDefault="00C4384F">
      <w:pPr>
        <w:widowControl w:val="0"/>
        <w:pBdr>
          <w:top w:val="nil"/>
          <w:left w:val="nil"/>
          <w:bottom w:val="nil"/>
          <w:right w:val="nil"/>
          <w:between w:val="nil"/>
        </w:pBdr>
        <w:rPr>
          <w:color w:val="000000"/>
        </w:rPr>
      </w:pPr>
    </w:p>
    <w:p w:rsidR="00C4384F" w:rsidRDefault="00C4384F">
      <w:pPr>
        <w:widowControl w:val="0"/>
        <w:pBdr>
          <w:top w:val="nil"/>
          <w:left w:val="nil"/>
          <w:bottom w:val="nil"/>
          <w:right w:val="nil"/>
          <w:between w:val="nil"/>
        </w:pBdr>
        <w:rPr>
          <w:color w:val="000000"/>
        </w:rPr>
      </w:pPr>
    </w:p>
    <w:p w:rsidR="00C4384F" w:rsidRDefault="00447330">
      <w:pPr>
        <w:widowControl w:val="0"/>
        <w:pBdr>
          <w:top w:val="nil"/>
          <w:left w:val="nil"/>
          <w:bottom w:val="nil"/>
          <w:right w:val="nil"/>
          <w:between w:val="nil"/>
        </w:pBdr>
        <w:spacing w:line="243" w:lineRule="auto"/>
        <w:ind w:left="113" w:right="188" w:firstLine="6"/>
        <w:rPr>
          <w:rFonts w:ascii="Calibri" w:eastAsia="Calibri" w:hAnsi="Calibri" w:cs="Calibri"/>
          <w:color w:val="000000"/>
        </w:rPr>
      </w:pPr>
      <w:r>
        <w:rPr>
          <w:rFonts w:ascii="Calibri" w:eastAsia="Calibri" w:hAnsi="Calibri" w:cs="Calibri"/>
          <w:color w:val="000000"/>
        </w:rPr>
        <w:t xml:space="preserve">Option B presents a more ambitious set of targets. Option B uses the annual targets for school </w:t>
      </w:r>
      <w:proofErr w:type="gramStart"/>
      <w:r>
        <w:rPr>
          <w:rFonts w:ascii="Calibri" w:eastAsia="Calibri" w:hAnsi="Calibri" w:cs="Calibri"/>
          <w:color w:val="000000"/>
        </w:rPr>
        <w:t>accountability  indicators</w:t>
      </w:r>
      <w:proofErr w:type="gramEnd"/>
      <w:r>
        <w:rPr>
          <w:rFonts w:ascii="Calibri" w:eastAsia="Calibri" w:hAnsi="Calibri" w:cs="Calibri"/>
          <w:color w:val="000000"/>
        </w:rPr>
        <w:t xml:space="preserve"> for ELA performance for students experiencing disability as required by the Every Student Succeeds  Act (ESSA). These targets were set using the baseline performance of 22% of students experiencing </w:t>
      </w:r>
      <w:proofErr w:type="gramStart"/>
      <w:r>
        <w:rPr>
          <w:rFonts w:ascii="Calibri" w:eastAsia="Calibri" w:hAnsi="Calibri" w:cs="Calibri"/>
          <w:color w:val="000000"/>
        </w:rPr>
        <w:t>disability  performing</w:t>
      </w:r>
      <w:proofErr w:type="gramEnd"/>
      <w:r>
        <w:rPr>
          <w:rFonts w:ascii="Calibri" w:eastAsia="Calibri" w:hAnsi="Calibri" w:cs="Calibri"/>
          <w:color w:val="000000"/>
        </w:rPr>
        <w:t xml:space="preserve"> at or above proficiency in ELA in 2015-2016 as measured by the Smarter Balanced Assessment. </w:t>
      </w:r>
    </w:p>
    <w:p w:rsidR="00C4384F" w:rsidRDefault="00447330">
      <w:pPr>
        <w:widowControl w:val="0"/>
        <w:pBdr>
          <w:top w:val="nil"/>
          <w:left w:val="nil"/>
          <w:bottom w:val="nil"/>
          <w:right w:val="nil"/>
          <w:between w:val="nil"/>
        </w:pBdr>
        <w:spacing w:before="169" w:line="240" w:lineRule="auto"/>
        <w:jc w:val="center"/>
        <w:rPr>
          <w:rFonts w:ascii="Calibri" w:eastAsia="Calibri" w:hAnsi="Calibri" w:cs="Calibri"/>
          <w:b/>
          <w:color w:val="407641"/>
        </w:rPr>
      </w:pPr>
      <w:r>
        <w:rPr>
          <w:rFonts w:ascii="Calibri" w:eastAsia="Calibri" w:hAnsi="Calibri" w:cs="Calibri"/>
          <w:b/>
          <w:color w:val="407641"/>
        </w:rPr>
        <w:t xml:space="preserve">If you need more information in order to provide input, please contact: </w:t>
      </w:r>
    </w:p>
    <w:p w:rsidR="00C4384F" w:rsidRDefault="00447330">
      <w:pPr>
        <w:widowControl w:val="0"/>
        <w:pBdr>
          <w:top w:val="nil"/>
          <w:left w:val="nil"/>
          <w:bottom w:val="nil"/>
          <w:right w:val="nil"/>
          <w:between w:val="nil"/>
        </w:pBdr>
        <w:spacing w:before="13" w:line="240" w:lineRule="auto"/>
        <w:jc w:val="center"/>
        <w:rPr>
          <w:rFonts w:ascii="Calibri" w:eastAsia="Calibri" w:hAnsi="Calibri" w:cs="Calibri"/>
          <w:b/>
          <w:color w:val="0563C1"/>
          <w:u w:val="single"/>
        </w:rPr>
      </w:pPr>
      <w:r>
        <w:rPr>
          <w:rFonts w:ascii="Calibri" w:eastAsia="Calibri" w:hAnsi="Calibri" w:cs="Calibri"/>
          <w:b/>
          <w:color w:val="407641"/>
        </w:rPr>
        <w:t xml:space="preserve">Sarah </w:t>
      </w:r>
      <w:proofErr w:type="spellStart"/>
      <w:r>
        <w:rPr>
          <w:rFonts w:ascii="Calibri" w:eastAsia="Calibri" w:hAnsi="Calibri" w:cs="Calibri"/>
          <w:b/>
          <w:color w:val="407641"/>
        </w:rPr>
        <w:t>Soltz</w:t>
      </w:r>
      <w:proofErr w:type="spellEnd"/>
      <w:r>
        <w:rPr>
          <w:rFonts w:ascii="Calibri" w:eastAsia="Calibri" w:hAnsi="Calibri" w:cs="Calibri"/>
          <w:b/>
          <w:color w:val="407641"/>
        </w:rPr>
        <w:t xml:space="preserve">, Education Specialist, at </w:t>
      </w:r>
      <w:r>
        <w:rPr>
          <w:rFonts w:ascii="Calibri" w:eastAsia="Calibri" w:hAnsi="Calibri" w:cs="Calibri"/>
          <w:b/>
          <w:color w:val="0563C1"/>
          <w:u w:val="single"/>
        </w:rPr>
        <w:t>sarah.soltz@state.or.us</w:t>
      </w:r>
    </w:p>
    <w:p w:rsidR="00C4384F" w:rsidRDefault="00447330">
      <w:pPr>
        <w:widowControl w:val="0"/>
        <w:pBdr>
          <w:top w:val="nil"/>
          <w:left w:val="nil"/>
          <w:bottom w:val="nil"/>
          <w:right w:val="nil"/>
          <w:between w:val="nil"/>
        </w:pBdr>
        <w:spacing w:before="568" w:line="240" w:lineRule="auto"/>
        <w:ind w:left="117"/>
        <w:rPr>
          <w:rFonts w:ascii="Calibri" w:eastAsia="Calibri" w:hAnsi="Calibri" w:cs="Calibri"/>
          <w:color w:val="000000"/>
        </w:rPr>
      </w:pPr>
      <w:r>
        <w:rPr>
          <w:rFonts w:ascii="Calibri" w:eastAsia="Calibri" w:hAnsi="Calibri" w:cs="Calibri"/>
          <w:color w:val="000000"/>
        </w:rPr>
        <w:t xml:space="preserve">State Performance Plan Fact Sheet – Indicator B17 2 </w:t>
      </w:r>
    </w:p>
    <w:sectPr w:rsidR="00C4384F">
      <w:pgSz w:w="12240" w:h="15840"/>
      <w:pgMar w:top="705" w:right="1045" w:bottom="775" w:left="10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4F"/>
    <w:rsid w:val="00447330"/>
    <w:rsid w:val="00545C84"/>
    <w:rsid w:val="009859E8"/>
    <w:rsid w:val="00C43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2737E7-7829-4639-9B5E-33BD9A924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4E3A0F89BB9954C8B253FD585569827" ma:contentTypeVersion="7" ma:contentTypeDescription="Create a new document." ma:contentTypeScope="" ma:versionID="a81cf9d4b13597e61b9efcf1db968191">
  <xsd:schema xmlns:xsd="http://www.w3.org/2001/XMLSchema" xmlns:xs="http://www.w3.org/2001/XMLSchema" xmlns:p="http://schemas.microsoft.com/office/2006/metadata/properties" xmlns:ns1="http://schemas.microsoft.com/sharepoint/v3" xmlns:ns2="b4311169-ef95-4eb4-ad55-0b8e815ccd7b" xmlns:ns3="626a857a-181d-4963-b522-a6055312c9f6" targetNamespace="http://schemas.microsoft.com/office/2006/metadata/properties" ma:root="true" ma:fieldsID="502f16f298c31747db7e96094745dff6" ns1:_="" ns2:_="" ns3:_="">
    <xsd:import namespace="http://schemas.microsoft.com/sharepoint/v3"/>
    <xsd:import namespace="b4311169-ef95-4eb4-ad55-0b8e815ccd7b"/>
    <xsd:import namespace="626a857a-181d-4963-b522-a6055312c9f6"/>
    <xsd:element name="properties">
      <xsd:complexType>
        <xsd:sequence>
          <xsd:element name="documentManagement">
            <xsd:complexType>
              <xsd:all>
                <xsd:element ref="ns1:PublishingStartDate" minOccurs="0"/>
                <xsd:element ref="ns1:PublishingExpirationDate" minOccurs="0"/>
                <xsd:element ref="ns2:Estimated_x0020_Creation_x0020_Date" minOccurs="0"/>
                <xsd:element ref="ns2:Remediation_x0020_Date" minOccurs="0"/>
                <xsd:element ref="ns2:Priority"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311169-ef95-4eb4-ad55-0b8e815ccd7b" elementFormDefault="qualified">
    <xsd:import namespace="http://schemas.microsoft.com/office/2006/documentManagement/types"/>
    <xsd:import namespace="http://schemas.microsoft.com/office/infopath/2007/PartnerControls"/>
    <xsd:element name="Estimated_x0020_Creation_x0020_Date" ma:index="6" nillable="true" ma:displayName="Estimated Creation Date" ma:format="DateOnly" ma:internalName="Estimated_x0020_Creation_x0020_Date" ma:readOnly="false">
      <xsd:simpleType>
        <xsd:restriction base="dms:DateTime"/>
      </xsd:simpleType>
    </xsd:element>
    <xsd:element name="Remediation_x0020_Date" ma:index="7" nillable="true" ma:displayName="Remediation Date" ma:default="[today]" ma:format="DateOnly" ma:internalName="Remediation_x0020_Date" ma:readOnly="false">
      <xsd:simpleType>
        <xsd:restriction base="dms:DateTime"/>
      </xsd:simpleType>
    </xsd:element>
    <xsd:element name="Priority" ma:index="8" nillable="true" ma:displayName="Priority" ma:default="New" ma:description="What Priority Level Is This Document?" ma:format="RadioButtons" ma:internalName="Priority" ma:readOnly="false">
      <xsd:simpleType>
        <xsd:restriction base="dms:Choice">
          <xsd:enumeration value="New"/>
          <xsd:enumeration value="Legacy"/>
          <xsd:enumeration value="Tier 1"/>
          <xsd:enumeration value="Tier 2"/>
          <xsd:enumeration value="Tier 3"/>
        </xsd:restriction>
      </xsd:simpleType>
    </xsd:element>
  </xsd:schema>
  <xsd:schema xmlns:xsd="http://www.w3.org/2001/XMLSchema" xmlns:xs="http://www.w3.org/2001/XMLSchema" xmlns:dms="http://schemas.microsoft.com/office/2006/documentManagement/types" xmlns:pc="http://schemas.microsoft.com/office/infopath/2007/PartnerControls" targetNamespace="626a857a-181d-4963-b522-a6055312c9f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stimated_x0020_Creation_x0020_Date xmlns="b4311169-ef95-4eb4-ad55-0b8e815ccd7b" xsi:nil="true"/>
    <PublishingExpirationDate xmlns="http://schemas.microsoft.com/sharepoint/v3" xsi:nil="true"/>
    <PublishingStartDate xmlns="http://schemas.microsoft.com/sharepoint/v3" xsi:nil="true"/>
    <Priority xmlns="b4311169-ef95-4eb4-ad55-0b8e815ccd7b">New</Priority>
    <Remediation_x0020_Date xmlns="b4311169-ef95-4eb4-ad55-0b8e815ccd7b">2021-12-17T21:32:43+00:00</Remediation_x0020_Date>
  </documentManagement>
</p:properties>
</file>

<file path=customXml/itemProps1.xml><?xml version="1.0" encoding="utf-8"?>
<ds:datastoreItem xmlns:ds="http://schemas.openxmlformats.org/officeDocument/2006/customXml" ds:itemID="{B75958FA-8EB6-464C-BD61-1338A833CEEA}"/>
</file>

<file path=customXml/itemProps2.xml><?xml version="1.0" encoding="utf-8"?>
<ds:datastoreItem xmlns:ds="http://schemas.openxmlformats.org/officeDocument/2006/customXml" ds:itemID="{2AD7F456-A90E-48ED-855F-D380AE54372A}"/>
</file>

<file path=customXml/itemProps3.xml><?xml version="1.0" encoding="utf-8"?>
<ds:datastoreItem xmlns:ds="http://schemas.openxmlformats.org/officeDocument/2006/customXml" ds:itemID="{60D29475-7213-48A2-9730-74EA807B209C}"/>
</file>

<file path=docProps/app.xml><?xml version="1.0" encoding="utf-8"?>
<Properties xmlns="http://schemas.openxmlformats.org/officeDocument/2006/extended-properties" xmlns:vt="http://schemas.openxmlformats.org/officeDocument/2006/docPropsVTypes">
  <Template>Normal</Template>
  <TotalTime>1</TotalTime>
  <Pages>3</Pages>
  <Words>767</Words>
  <Characters>4373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TURNBULL Mariana * ODE</dc:creator>
  <cp:lastModifiedBy>TURNBULL Mariana * ODE</cp:lastModifiedBy>
  <cp:revision>2</cp:revision>
  <dcterms:created xsi:type="dcterms:W3CDTF">2021-12-17T21:13:00Z</dcterms:created>
  <dcterms:modified xsi:type="dcterms:W3CDTF">2021-12-17T21:13:00Z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0x01010054E3A0F89BB9954C8B253FD585569827</vt:lpwstr>
  </property>
</Properties>
</file>