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tructural Table"/>
        <w:tblDescription w:val="This table is included to give structure to the document's heading. It is a two column table with the left column containing the title and the right column containing the ODE logo."/>
      </w:tblPr>
      <w:tblGrid>
        <w:gridCol w:w="2160"/>
        <w:gridCol w:w="324"/>
        <w:gridCol w:w="2484"/>
        <w:gridCol w:w="2484"/>
        <w:gridCol w:w="2484"/>
      </w:tblGrid>
      <w:tr w:rsidR="1B7C5E0B" w14:paraId="084C1F72" w14:textId="77777777" w:rsidTr="003554B6">
        <w:trPr>
          <w:tblHeader/>
        </w:trPr>
        <w:tc>
          <w:tcPr>
            <w:tcW w:w="2160" w:type="dxa"/>
            <w:vAlign w:val="center"/>
          </w:tcPr>
          <w:p w14:paraId="57AF7FFA" w14:textId="77777777" w:rsidR="1B7C5E0B" w:rsidRDefault="1B7C5E0B" w:rsidP="1B7C5E0B">
            <w:pPr>
              <w:spacing w:after="200"/>
              <w:jc w:val="center"/>
              <w:rPr>
                <w:rFonts w:eastAsia="Arial"/>
                <w:b/>
                <w:bCs/>
                <w:color w:val="082A75"/>
                <w:sz w:val="36"/>
                <w:szCs w:val="36"/>
              </w:rPr>
            </w:pPr>
            <w:bookmarkStart w:id="0" w:name="_GoBack"/>
            <w:bookmarkEnd w:id="0"/>
            <w:r>
              <w:rPr>
                <w:noProof/>
              </w:rPr>
              <w:drawing>
                <wp:inline distT="0" distB="0" distL="0" distR="0" wp14:anchorId="2310871B" wp14:editId="7BCFE3E0">
                  <wp:extent cx="1077554" cy="1145969"/>
                  <wp:effectExtent l="0" t="0" r="8890" b="0"/>
                  <wp:docPr id="102924986" name="Picture 1944659586" descr="Logotipo de ODE" title="Logotipo de 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4659586"/>
                          <pic:cNvPicPr/>
                        </pic:nvPicPr>
                        <pic:blipFill>
                          <a:blip r:embed="rId10">
                            <a:extLst>
                              <a:ext uri="{28A0092B-C50C-407E-A947-70E740481C1C}">
                                <a14:useLocalDpi xmlns:a14="http://schemas.microsoft.com/office/drawing/2010/main" val="0"/>
                              </a:ext>
                            </a:extLst>
                          </a:blip>
                          <a:stretch>
                            <a:fillRect/>
                          </a:stretch>
                        </pic:blipFill>
                        <pic:spPr>
                          <a:xfrm>
                            <a:off x="0" y="0"/>
                            <a:ext cx="1077554" cy="1145969"/>
                          </a:xfrm>
                          <a:prstGeom prst="rect">
                            <a:avLst/>
                          </a:prstGeom>
                        </pic:spPr>
                      </pic:pic>
                    </a:graphicData>
                  </a:graphic>
                </wp:inline>
              </w:drawing>
            </w:r>
          </w:p>
        </w:tc>
        <w:tc>
          <w:tcPr>
            <w:tcW w:w="7776" w:type="dxa"/>
            <w:gridSpan w:val="4"/>
            <w:vAlign w:val="center"/>
          </w:tcPr>
          <w:p w14:paraId="72F2D8A2" w14:textId="77777777" w:rsidR="004F6C8F" w:rsidRPr="007C77D4" w:rsidRDefault="004F6C8F" w:rsidP="004F6C8F">
            <w:pPr>
              <w:pStyle w:val="Title"/>
              <w:spacing w:after="200"/>
              <w:jc w:val="center"/>
              <w:rPr>
                <w:rFonts w:asciiTheme="minorHAnsi" w:eastAsia="Arial" w:hAnsiTheme="minorHAnsi" w:cstheme="minorBidi"/>
                <w:b/>
                <w:bCs/>
                <w:color w:val="1B75BC"/>
                <w:sz w:val="48"/>
                <w:szCs w:val="48"/>
              </w:rPr>
            </w:pPr>
            <w:r>
              <w:rPr>
                <w:rFonts w:asciiTheme="minorHAnsi" w:eastAsia="Arial" w:hAnsiTheme="minorHAnsi" w:cstheme="minorBidi"/>
                <w:b/>
                <w:bCs/>
                <w:color w:val="1B75BC"/>
                <w:sz w:val="48"/>
                <w:szCs w:val="48"/>
                <w:lang w:val="es-PR"/>
              </w:rPr>
              <w:t>Plan de desempeño estatal (SPP)</w:t>
            </w:r>
          </w:p>
          <w:p w14:paraId="2F0F70D4" w14:textId="696DA8F3" w:rsidR="1B7C5E0B" w:rsidRDefault="004F6C8F" w:rsidP="004F6C8F">
            <w:pPr>
              <w:pStyle w:val="Title"/>
              <w:spacing w:after="200"/>
              <w:jc w:val="center"/>
              <w:rPr>
                <w:rFonts w:asciiTheme="minorHAnsi" w:eastAsia="Arial" w:hAnsiTheme="minorHAnsi" w:cstheme="minorBidi"/>
                <w:b/>
                <w:bCs/>
                <w:color w:val="082A75"/>
                <w:sz w:val="48"/>
                <w:szCs w:val="48"/>
              </w:rPr>
            </w:pPr>
            <w:r>
              <w:rPr>
                <w:rFonts w:asciiTheme="minorHAnsi" w:eastAsia="Arial" w:hAnsiTheme="minorHAnsi" w:cstheme="minorBidi"/>
                <w:b/>
                <w:bCs/>
                <w:color w:val="1B75BC"/>
                <w:sz w:val="48"/>
                <w:szCs w:val="48"/>
                <w:lang w:val="es-PR"/>
              </w:rPr>
              <w:t>Hoja de datos</w:t>
            </w:r>
          </w:p>
          <w:p w14:paraId="2846B97B" w14:textId="70C34184" w:rsidR="1B7C5E0B" w:rsidRDefault="1B7C5E0B" w:rsidP="1B7C5E0B">
            <w:pPr>
              <w:pStyle w:val="Title"/>
              <w:spacing w:after="200"/>
              <w:jc w:val="center"/>
              <w:rPr>
                <w:rFonts w:asciiTheme="minorHAnsi" w:eastAsia="Arial" w:hAnsiTheme="minorHAnsi" w:cstheme="minorBidi"/>
                <w:b/>
                <w:bCs/>
                <w:color w:val="082A75"/>
                <w:sz w:val="32"/>
                <w:szCs w:val="32"/>
              </w:rPr>
            </w:pPr>
            <w:r>
              <w:rPr>
                <w:rFonts w:asciiTheme="minorHAnsi" w:eastAsia="Arial" w:hAnsiTheme="minorHAnsi" w:cstheme="minorBidi"/>
                <w:b/>
                <w:bCs/>
                <w:color w:val="1B75BC"/>
                <w:sz w:val="32"/>
                <w:szCs w:val="32"/>
                <w:lang w:val="es-PR"/>
              </w:rPr>
              <w:t>Indicador B4A: Suspensión y expulsión</w:t>
            </w:r>
          </w:p>
        </w:tc>
      </w:tr>
      <w:tr w:rsidR="1B7C5E0B" w14:paraId="2E1D28EB" w14:textId="77777777" w:rsidTr="1B7C5E0B">
        <w:trPr>
          <w:trHeight w:val="72"/>
        </w:trPr>
        <w:tc>
          <w:tcPr>
            <w:tcW w:w="2484" w:type="dxa"/>
            <w:gridSpan w:val="2"/>
            <w:shd w:val="clear" w:color="auto" w:fill="9F2065"/>
          </w:tcPr>
          <w:p w14:paraId="4F3C832A" w14:textId="77777777" w:rsidR="1B7C5E0B" w:rsidRDefault="1B7C5E0B" w:rsidP="1B7C5E0B">
            <w:pPr>
              <w:rPr>
                <w:noProof/>
              </w:rPr>
            </w:pPr>
          </w:p>
        </w:tc>
        <w:tc>
          <w:tcPr>
            <w:tcW w:w="2484" w:type="dxa"/>
            <w:shd w:val="clear" w:color="auto" w:fill="E26B2A"/>
          </w:tcPr>
          <w:p w14:paraId="1561D28A" w14:textId="77777777" w:rsidR="1B7C5E0B" w:rsidRDefault="1B7C5E0B" w:rsidP="1B7C5E0B">
            <w:pPr>
              <w:pStyle w:val="Title"/>
              <w:rPr>
                <w:rFonts w:asciiTheme="minorHAnsi" w:eastAsia="Arial" w:hAnsiTheme="minorHAnsi" w:cstheme="minorBidi"/>
                <w:b/>
                <w:bCs/>
                <w:color w:val="082974"/>
                <w:sz w:val="22"/>
                <w:szCs w:val="22"/>
              </w:rPr>
            </w:pPr>
          </w:p>
        </w:tc>
        <w:tc>
          <w:tcPr>
            <w:tcW w:w="2484" w:type="dxa"/>
            <w:shd w:val="clear" w:color="auto" w:fill="1B75BC"/>
          </w:tcPr>
          <w:p w14:paraId="628B44D2" w14:textId="77777777" w:rsidR="1B7C5E0B" w:rsidRDefault="1B7C5E0B" w:rsidP="1B7C5E0B">
            <w:pPr>
              <w:pStyle w:val="Title"/>
              <w:rPr>
                <w:rFonts w:asciiTheme="minorHAnsi" w:eastAsia="Arial" w:hAnsiTheme="minorHAnsi" w:cstheme="minorBidi"/>
                <w:b/>
                <w:bCs/>
                <w:color w:val="082974"/>
                <w:sz w:val="22"/>
                <w:szCs w:val="22"/>
              </w:rPr>
            </w:pPr>
          </w:p>
        </w:tc>
        <w:tc>
          <w:tcPr>
            <w:tcW w:w="2484" w:type="dxa"/>
            <w:shd w:val="clear" w:color="auto" w:fill="408740"/>
          </w:tcPr>
          <w:p w14:paraId="062CAE25" w14:textId="46579079" w:rsidR="1B7C5E0B" w:rsidRDefault="1B7C5E0B" w:rsidP="1B7C5E0B">
            <w:pPr>
              <w:pStyle w:val="Title"/>
              <w:rPr>
                <w:rFonts w:asciiTheme="minorHAnsi" w:eastAsia="Arial" w:hAnsiTheme="minorHAnsi" w:cstheme="minorBidi"/>
                <w:b/>
                <w:bCs/>
                <w:color w:val="082974"/>
                <w:sz w:val="22"/>
                <w:szCs w:val="22"/>
              </w:rPr>
            </w:pPr>
          </w:p>
        </w:tc>
      </w:tr>
    </w:tbl>
    <w:p w14:paraId="4FF6F2F1" w14:textId="0C6F4ABE" w:rsidR="2E477674" w:rsidRPr="004F6C8F" w:rsidRDefault="2E477674" w:rsidP="001010B9">
      <w:pPr>
        <w:pStyle w:val="Heading1"/>
        <w:rPr>
          <w:rFonts w:ascii="Calibri" w:eastAsia="Calibri" w:hAnsi="Calibri" w:cs="Calibri"/>
          <w:color w:val="1B75BC"/>
        </w:rPr>
      </w:pPr>
      <w:r>
        <w:rPr>
          <w:rFonts w:ascii="Calibri" w:eastAsia="Calibri" w:hAnsi="Calibri" w:cs="Calibri"/>
          <w:b/>
          <w:bCs/>
          <w:color w:val="1B75BC"/>
          <w:lang w:val="es-PR"/>
        </w:rPr>
        <w:t>Plan de desempeño del estado de Oregon</w:t>
      </w:r>
    </w:p>
    <w:p w14:paraId="54D091D1" w14:textId="2E4BBF14" w:rsidR="003931A2" w:rsidRDefault="003931A2" w:rsidP="003931A2">
      <w:pPr>
        <w:spacing w:line="240" w:lineRule="auto"/>
        <w:rPr>
          <w:rFonts w:ascii="Calibri" w:eastAsia="Calibri" w:hAnsi="Calibri" w:cs="Calibri"/>
          <w:color w:val="000000" w:themeColor="text1"/>
        </w:rPr>
      </w:pPr>
      <w:r>
        <w:rPr>
          <w:rFonts w:ascii="Calibri" w:eastAsia="Calibri" w:hAnsi="Calibri" w:cs="Calibri"/>
          <w:color w:val="000000" w:themeColor="text1"/>
          <w:lang w:val="es-PR"/>
        </w:rPr>
        <w:t xml:space="preserve">Bajo la Ley de Educación para Personas con Discapacidades de 2004 (IDEA), el Departamento de Educación de Oregon (ODE) debe presentar un Plan de Desempeño Estatal (SPP) de seis años a la Oficina de Programas de Educación Especial (OSEP). La OSEP ha desarrollado medidas clave de desempeño, conocidas como indicadores, para medir tanto el cumplimiento como los resultados. La OSEP establece los objetivos para los indicadores de cumplimiento y el ODE establece los objetivos para los indicadores de resultados. El SPP debe incluir objetivos para cada indicador de resultados. El ODE informa sobre el progreso realizado hacia estos indicadores cada año en el Informe de desempeño anual (APR). Cada seis años, la ODE debe revisar los objetivos de resultados e involucrar a los socios clave en el desarrollo de nuevos objetivos. Actualmente, el ODE está buscando información relacionada con los indicadores para los cuales se deben establecer objetivos y llevará a cabo una sesión de información pública para discutir los datos relacionados con este indicador en diciembre de 2021. Por favor, consulte la página web del </w:t>
      </w:r>
      <w:hyperlink r:id="rId11">
        <w:r>
          <w:rPr>
            <w:rStyle w:val="Hyperlink"/>
            <w:rFonts w:ascii="Calibri" w:eastAsia="Calibri" w:hAnsi="Calibri" w:cs="Calibri"/>
            <w:lang w:val="es-PR"/>
          </w:rPr>
          <w:t>Plan de desempeño estatal y los informes anuales de educación especial de ODE</w:t>
        </w:r>
      </w:hyperlink>
      <w:r>
        <w:rPr>
          <w:rFonts w:ascii="Calibri" w:eastAsia="Calibri" w:hAnsi="Calibri" w:cs="Calibri"/>
          <w:color w:val="000000" w:themeColor="text1"/>
          <w:lang w:val="es-PR"/>
        </w:rPr>
        <w:t xml:space="preserve"> para obtener más información y para registrarse para la sesión de comentarios del público. También puede proporcionar información sin asistir a la sesión a través de </w:t>
      </w:r>
      <w:hyperlink r:id="rId12">
        <w:r>
          <w:rPr>
            <w:rStyle w:val="Hyperlink"/>
            <w:rFonts w:ascii="Calibri" w:eastAsia="Calibri" w:hAnsi="Calibri" w:cs="Calibri"/>
            <w:lang w:val="es-PR"/>
          </w:rPr>
          <w:t>esta encuesta</w:t>
        </w:r>
      </w:hyperlink>
      <w:r>
        <w:rPr>
          <w:rFonts w:ascii="Calibri" w:eastAsia="Calibri" w:hAnsi="Calibri" w:cs="Calibri"/>
          <w:color w:val="000000" w:themeColor="text1"/>
          <w:lang w:val="es-PR"/>
        </w:rPr>
        <w:t xml:space="preserve">. </w:t>
      </w:r>
    </w:p>
    <w:p w14:paraId="4B73E1C3" w14:textId="0BC52818" w:rsidR="000E4FA0" w:rsidRPr="004F6C8F" w:rsidRDefault="00CA3BE5" w:rsidP="001010B9">
      <w:pPr>
        <w:pStyle w:val="Heading1"/>
        <w:rPr>
          <w:rFonts w:asciiTheme="minorHAnsi" w:hAnsiTheme="minorHAnsi" w:cstheme="minorBidi"/>
          <w:b/>
          <w:bCs/>
          <w:color w:val="1B75BC"/>
        </w:rPr>
      </w:pPr>
      <w:r>
        <w:rPr>
          <w:rFonts w:asciiTheme="minorHAnsi" w:hAnsiTheme="minorHAnsi" w:cstheme="minorBidi"/>
          <w:b/>
          <w:bCs/>
          <w:color w:val="1B75BC"/>
          <w:lang w:val="es-PR"/>
        </w:rPr>
        <w:t>¿Qué mide este indicador y por qué es importante?</w:t>
      </w:r>
    </w:p>
    <w:p w14:paraId="7556F5CC" w14:textId="5D8E6EE6" w:rsidR="0B99F1C1" w:rsidRDefault="39725B81" w:rsidP="00D762C9">
      <w:pPr>
        <w:spacing w:after="0"/>
        <w:rPr>
          <w:rFonts w:ascii="Calibri" w:eastAsia="Calibri" w:hAnsi="Calibri" w:cs="Calibri"/>
          <w:color w:val="000000" w:themeColor="text1"/>
        </w:rPr>
      </w:pPr>
      <w:r>
        <w:rPr>
          <w:lang w:val="es-PR"/>
        </w:rPr>
        <w:t xml:space="preserve">El indicador B4 se divide en dos categorías. El indicador B4A es un indicador de desempeño que aborda </w:t>
      </w:r>
      <w:r>
        <w:rPr>
          <w:rFonts w:ascii="Calibri" w:hAnsi="Calibri"/>
          <w:color w:val="000000" w:themeColor="text1"/>
          <w:lang w:val="es-PR"/>
        </w:rPr>
        <w:t>una Educación Pública Apropiada y Gratuita (FAPE) en el Ambiente Menos Restrictivo (LRE)</w:t>
      </w:r>
      <w:r>
        <w:rPr>
          <w:lang w:val="es-PR"/>
        </w:rPr>
        <w:t xml:space="preserve"> midiendo el porcentaje d</w:t>
      </w:r>
      <w:r>
        <w:rPr>
          <w:color w:val="000000" w:themeColor="text1"/>
          <w:lang w:val="es-PR"/>
        </w:rPr>
        <w:t xml:space="preserve">e distritos que tienen una discrepancia significativa en la tasa de suspensiones y expulsiones de más de 10 días en una escuela. año para niños con IEPs (Programas de Educación Individualizados). </w:t>
      </w:r>
      <w:r>
        <w:rPr>
          <w:lang w:val="es-PR"/>
        </w:rPr>
        <w:t>El indicador B4B mide las t</w:t>
      </w:r>
      <w:r>
        <w:rPr>
          <w:color w:val="000000" w:themeColor="text1"/>
          <w:lang w:val="es-PR"/>
        </w:rPr>
        <w:t xml:space="preserve">asas de suspensión y expulsión por raza/etnia, es un indicador de cumplimiento y requiere una meta del 0%. </w:t>
      </w:r>
      <w:r>
        <w:rPr>
          <w:rFonts w:ascii="Calibri" w:hAnsi="Calibri"/>
          <w:color w:val="000000" w:themeColor="text1"/>
          <w:lang w:val="es-PR"/>
        </w:rPr>
        <w:t>El indicador B4 es un indicador de equidad crítico que examina la tasa de suspensión / expulsión de niños con discapacidades en comparación con la tasa de suspensión/expulsión a nivel de distrito para niños sin discapacidades. Habla de la capacidad de Oregon para educar a los niños que experimentan una discapacidad sin utilizar una disciplina excluyente.</w:t>
      </w:r>
    </w:p>
    <w:p w14:paraId="21AABC0C" w14:textId="359082F6" w:rsidR="6CBDC2CC" w:rsidRPr="004F6C8F" w:rsidRDefault="00356BE5" w:rsidP="594D45D0">
      <w:pPr>
        <w:pStyle w:val="Heading1"/>
        <w:rPr>
          <w:rFonts w:asciiTheme="minorHAnsi" w:hAnsiTheme="minorHAnsi" w:cstheme="minorBidi"/>
          <w:b/>
          <w:bCs/>
          <w:color w:val="1B75BC"/>
        </w:rPr>
      </w:pPr>
      <w:r>
        <w:rPr>
          <w:rFonts w:asciiTheme="minorHAnsi" w:hAnsiTheme="minorHAnsi" w:cstheme="minorBidi"/>
          <w:b/>
          <w:bCs/>
          <w:color w:val="1B75BC"/>
          <w:lang w:val="es-PR"/>
        </w:rPr>
        <w:t>¿Cuál es la fuente de datos para el indicador 4?</w:t>
      </w:r>
    </w:p>
    <w:p w14:paraId="547500C5" w14:textId="083F6790" w:rsidR="0D0A4BA7" w:rsidRDefault="5216D46F" w:rsidP="1B7C5E0B">
      <w:pPr>
        <w:rPr>
          <w:rFonts w:eastAsiaTheme="minorEastAsia"/>
          <w:color w:val="000000" w:themeColor="text1"/>
        </w:rPr>
      </w:pPr>
      <w:r>
        <w:rPr>
          <w:rFonts w:eastAsiaTheme="minorEastAsia"/>
          <w:color w:val="000000" w:themeColor="text1"/>
          <w:lang w:val="es-PR"/>
        </w:rPr>
        <w:t>El indicador B4 (tanto B4A como B4B) utiliza los datos de disciplina del estado, incluido el análisis del estado de los datos de disciplina del estado recopilados según la sección 618 de IDEA. La discrepancia se puede calcular comparando las tasas de suspensiones y expulsiones de niños con IEPs con las tasas de niños sin discapacidades dentro de la LEA o comparando las tasas de suspensiones y expulsiones de niños con IEPs entre las LEAs dentro del estado. En Oregon, estos datos se calculan comparando las tasas de suspensiones y expulsiones de niños con IEP con las tasas de niños sin discapacidades dentro de la LEA.</w:t>
      </w:r>
    </w:p>
    <w:p w14:paraId="397FDAF9" w14:textId="632789CB" w:rsidR="001010B9" w:rsidRPr="004F6C8F" w:rsidRDefault="001010B9" w:rsidP="001010B9">
      <w:pPr>
        <w:pStyle w:val="Heading1"/>
        <w:rPr>
          <w:rFonts w:asciiTheme="minorHAnsi" w:hAnsiTheme="minorHAnsi" w:cstheme="minorBidi"/>
          <w:b/>
          <w:bCs/>
          <w:color w:val="1B75BC"/>
        </w:rPr>
      </w:pPr>
      <w:r>
        <w:rPr>
          <w:rFonts w:asciiTheme="minorHAnsi" w:hAnsiTheme="minorHAnsi" w:cstheme="minorBidi"/>
          <w:b/>
          <w:bCs/>
          <w:color w:val="1B75BC"/>
          <w:lang w:val="es-PR"/>
        </w:rPr>
        <w:t>¿Es necesario establecer o restablecer la línea de base para este indicador?</w:t>
      </w:r>
    </w:p>
    <w:p w14:paraId="26E510EF" w14:textId="4B9CC52F" w:rsidR="001010B9" w:rsidRPr="003931A2" w:rsidRDefault="00D762C9" w:rsidP="003931A2">
      <w:r>
        <w:rPr>
          <w:lang w:val="es-PR"/>
        </w:rPr>
        <w:t>Sí, ODE propone usar el objetivo establecido más recientemente (62.00%, en 2019) como una nueva línea de base para este indicador para el Plan de Desempeño Estatal del AF 2020-2025.</w:t>
      </w:r>
    </w:p>
    <w:p w14:paraId="0A61ADA5" w14:textId="616C03DB" w:rsidR="00C06C4E" w:rsidRPr="004F6C8F" w:rsidRDefault="137D2887" w:rsidP="0E16BC08">
      <w:pPr>
        <w:pStyle w:val="Heading1"/>
        <w:spacing w:after="120"/>
        <w:rPr>
          <w:rFonts w:asciiTheme="minorHAnsi" w:hAnsiTheme="minorHAnsi" w:cstheme="minorBidi"/>
          <w:b/>
          <w:bCs/>
          <w:color w:val="1B75BC"/>
        </w:rPr>
      </w:pPr>
      <w:r>
        <w:rPr>
          <w:rFonts w:asciiTheme="minorHAnsi" w:hAnsiTheme="minorHAnsi" w:cstheme="minorBidi"/>
          <w:b/>
          <w:bCs/>
          <w:color w:val="1B75BC"/>
          <w:lang w:val="es-PR"/>
        </w:rPr>
        <w:lastRenderedPageBreak/>
        <w:t>¿Cómo se ha desempeñado Oregon a lo largo del tiempo?</w:t>
      </w:r>
    </w:p>
    <w:p w14:paraId="206EE662" w14:textId="7B1CBA5C" w:rsidR="00D762C9" w:rsidRDefault="00DE49CF" w:rsidP="005A7631">
      <w:pPr>
        <w:jc w:val="center"/>
        <w:rPr>
          <w:rFonts w:ascii="Arial" w:eastAsia="Arial" w:hAnsi="Arial" w:cs="Arial"/>
          <w:b/>
          <w:bCs/>
          <w:color w:val="000000" w:themeColor="text1"/>
          <w:sz w:val="16"/>
          <w:szCs w:val="16"/>
        </w:rPr>
      </w:pPr>
      <w:r>
        <w:rPr>
          <w:noProof/>
        </w:rPr>
        <mc:AlternateContent>
          <mc:Choice Requires="wps">
            <w:drawing>
              <wp:anchor distT="0" distB="0" distL="114300" distR="114300" simplePos="0" relativeHeight="251661312" behindDoc="0" locked="0" layoutInCell="1" allowOverlap="1" wp14:anchorId="41CC8100" wp14:editId="57049F25">
                <wp:simplePos x="0" y="0"/>
                <wp:positionH relativeFrom="column">
                  <wp:posOffset>1156914</wp:posOffset>
                </wp:positionH>
                <wp:positionV relativeFrom="paragraph">
                  <wp:posOffset>819785</wp:posOffset>
                </wp:positionV>
                <wp:extent cx="1144270" cy="683895"/>
                <wp:effectExtent l="0" t="0" r="17780" b="20955"/>
                <wp:wrapNone/>
                <wp:docPr id="5" name="Rectangle 4"/>
                <wp:cNvGraphicFramePr/>
                <a:graphic xmlns:a="http://schemas.openxmlformats.org/drawingml/2006/main">
                  <a:graphicData uri="http://schemas.microsoft.com/office/word/2010/wordprocessingShape">
                    <wps:wsp>
                      <wps:cNvSpPr/>
                      <wps:spPr>
                        <a:xfrm>
                          <a:off x="0" y="0"/>
                          <a:ext cx="1144270" cy="68389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D0BF4B7" w14:textId="77777777" w:rsidR="00800630" w:rsidRPr="00800630" w:rsidRDefault="00800630" w:rsidP="00800630">
                            <w:pPr>
                              <w:pStyle w:val="NormalWeb"/>
                              <w:spacing w:before="0" w:beforeAutospacing="0" w:after="0" w:afterAutospacing="0"/>
                              <w:jc w:val="center"/>
                              <w:rPr>
                                <w:sz w:val="20"/>
                              </w:rPr>
                            </w:pPr>
                            <w:r>
                              <w:rPr>
                                <w:rFonts w:asciiTheme="minorHAnsi" w:hAnsiTheme="minorHAnsi" w:cstheme="minorBidi"/>
                                <w:color w:val="FFFFFF" w:themeColor="light1"/>
                                <w:sz w:val="18"/>
                                <w:szCs w:val="22"/>
                                <w:lang w:val="es-PR"/>
                              </w:rPr>
                              <w:t>Estos porcentajes se calcularon utilizando todos los distritos independientemente del tamaño de n.</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c="http://schemas.openxmlformats.org/drawingml/2006/chart">
            <w:pict>
              <v:rect id="Rectangle 4" style="position:absolute;left:0;text-align:left;margin-left:91.1pt;margin-top:64.55pt;width:90.1pt;height:5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4472c4 [3204]" strokecolor="#1f3763 [1604]" strokeweight="1pt" w14:anchorId="41CC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">
                <v:textbox>
                  <w:txbxContent>
                    <w:p w:rsidRPr="00800630" w:rsidR="00800630" w:rsidP="00800630" w:rsidRDefault="00800630" w14:paraId="2D0BF4B7" w14:textId="77777777">
                      <w:pPr>
                        <w:pStyle w:val="NormalWeb"/>
                        <w:spacing w:before="0" w:beforeAutospacing="0" w:after="0" w:afterAutospacing="0"/>
                        <w:jc w:val="center"/>
                        <w:rPr>
                          <w:sz w:val="20"/>
                        </w:rPr>
                        <w:bidi w:val="0"/>
                      </w:pPr>
                      <w:r>
                        <w:rPr>
                          <w:rFonts w:asciiTheme="minorHAnsi" w:cstheme="minorBidi" w:hAnsiTheme="minorHAnsi"/>
                          <w:color w:val="FFFFFF" w:themeColor="light1"/>
                          <w:sz w:val="18"/>
                          <w:szCs w:val="22"/>
                          <w:lang w:val="es-pr"/>
                          <w:b w:val="0"/>
                          <w:bCs w:val="0"/>
                          <w:i w:val="0"/>
                          <w:iCs w:val="0"/>
                          <w:u w:val="none"/>
                          <w:vertAlign w:val="baseline"/>
                          <w:rtl w:val="0"/>
                        </w:rPr>
                        <w:t xml:space="preserve">Estos porcentajes se calcularon utilizando todos los distritos independientemente del tamaño de n.</w:t>
                      </w:r>
                    </w:p>
                  </w:txbxContent>
                </v:textbox>
              </v:rect>
            </w:pict>
          </mc:Fallback>
        </mc:AlternateContent>
      </w:r>
      <w:r>
        <w:rPr>
          <w:b/>
          <w:bCs/>
          <w:noProof/>
          <w:color w:val="000000" w:themeColor="text1"/>
          <w:sz w:val="16"/>
          <w:szCs w:val="16"/>
        </w:rPr>
        <mc:AlternateContent>
          <mc:Choice Requires="wps">
            <w:drawing>
              <wp:anchor distT="0" distB="0" distL="114300" distR="114300" simplePos="0" relativeHeight="251659264" behindDoc="0" locked="0" layoutInCell="1" allowOverlap="1" wp14:anchorId="51424591" wp14:editId="26862874">
                <wp:simplePos x="0" y="0"/>
                <wp:positionH relativeFrom="column">
                  <wp:posOffset>2784580</wp:posOffset>
                </wp:positionH>
                <wp:positionV relativeFrom="paragraph">
                  <wp:posOffset>470535</wp:posOffset>
                </wp:positionV>
                <wp:extent cx="0" cy="2322195"/>
                <wp:effectExtent l="0" t="0" r="19050" b="20955"/>
                <wp:wrapNone/>
                <wp:docPr id="3" name="Straight Connector 3" descr="Esta es una línea vertical en la parte superior del gráfico que muestra los objetivos estatales de Oregón y los datos reales para el indicador B4A. La línea se encuentra en una brecha en los datos entre 2015 y 2016, lo que representa un cambio en los datos de línea de base que usa Oregon para el indicador B4A." title="Línea de cambio de fase"/>
                <wp:cNvGraphicFramePr/>
                <a:graphic xmlns:a="http://schemas.openxmlformats.org/drawingml/2006/main">
                  <a:graphicData uri="http://schemas.microsoft.com/office/word/2010/wordprocessingShape">
                    <wps:wsp>
                      <wps:cNvCnPr/>
                      <wps:spPr>
                        <a:xfrm>
                          <a:off x="0" y="0"/>
                          <a:ext cx="0" cy="2322195"/>
                        </a:xfrm>
                        <a:prstGeom prst="line">
                          <a:avLst/>
                        </a:prstGeom>
                        <a:ln w="19050" cap="flat" cmpd="sng" algn="ctr">
                          <a:solidFill>
                            <a:srgbClr val="1B75BC"/>
                          </a:solidFill>
                          <a:prstDash val="solid"/>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c="http://schemas.openxmlformats.org/drawingml/2006/chart">
            <w:pict>
              <v:line id="Straight Connector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Title: Phase Change Line - Description: This is a vertical line on top of the graph showing Oregon's statewide targets and actual data for Indicator B4A. The line sits in a gap in the data between 2015 and 2016, representing a change in the baseline data Oregon uses for indicator B4A." o:spid="_x0000_s1026" strokecolor="#1b75bc" strokeweight="1.5pt" from="219.25pt,37.05pt" to="219.25pt,219.9pt" w14:anchorId="27515A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"/>
            </w:pict>
          </mc:Fallback>
        </mc:AlternateContent>
      </w:r>
      <w:r>
        <w:rPr>
          <w:noProof/>
        </w:rPr>
        <mc:AlternateContent>
          <mc:Choice Requires="wps">
            <w:drawing>
              <wp:anchor distT="0" distB="0" distL="114300" distR="114300" simplePos="0" relativeHeight="251663360" behindDoc="0" locked="0" layoutInCell="1" allowOverlap="1" wp14:anchorId="5266A3E6" wp14:editId="18265602">
                <wp:simplePos x="0" y="0"/>
                <wp:positionH relativeFrom="column">
                  <wp:posOffset>3486746</wp:posOffset>
                </wp:positionH>
                <wp:positionV relativeFrom="paragraph">
                  <wp:posOffset>1818332</wp:posOffset>
                </wp:positionV>
                <wp:extent cx="1470792" cy="819150"/>
                <wp:effectExtent l="0" t="0" r="15240" b="19050"/>
                <wp:wrapNone/>
                <wp:docPr id="6" name="Rectangle 5"/>
                <wp:cNvGraphicFramePr/>
                <a:graphic xmlns:a="http://schemas.openxmlformats.org/drawingml/2006/main">
                  <a:graphicData uri="http://schemas.microsoft.com/office/word/2010/wordprocessingShape">
                    <wps:wsp>
                      <wps:cNvSpPr/>
                      <wps:spPr>
                        <a:xfrm>
                          <a:off x="0" y="0"/>
                          <a:ext cx="1470792" cy="819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98C6622" w14:textId="77777777" w:rsidR="00800630" w:rsidRDefault="00800630" w:rsidP="00800630">
                            <w:pPr>
                              <w:pStyle w:val="NormalWeb"/>
                              <w:spacing w:before="0" w:beforeAutospacing="0" w:after="0" w:afterAutospacing="0"/>
                              <w:jc w:val="center"/>
                            </w:pPr>
                            <w:r>
                              <w:rPr>
                                <w:rFonts w:asciiTheme="minorHAnsi" w:hAnsiTheme="minorHAnsi" w:cstheme="minorBidi"/>
                                <w:color w:val="FFFFFF" w:themeColor="light1"/>
                                <w:sz w:val="22"/>
                                <w:szCs w:val="22"/>
                                <w:lang w:val="es-PR"/>
                              </w:rPr>
                              <w:t>En 2016, el ODE estableció una nueva línea de base para tener en cuenta el tamaño n.</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c="http://schemas.openxmlformats.org/drawingml/2006/chart">
            <w:pict>
              <v:rect id="Rectangle 5" style="position:absolute;left:0;text-align:left;margin-left:274.55pt;margin-top:143.2pt;width:115.8pt;height:64.5pt;z-index:251663360;visibility:visible;mso-wrap-style:square;mso-wrap-distance-left:9pt;mso-wrap-distance-top:0;mso-wrap-distance-right:9pt;mso-wrap-distance-bottom:0;mso-position-horizontal:absolute;mso-position-horizontal-relative:text;mso-position-vertical:absolute;mso-position-vertical-relative:text;v-text-anchor:top" o:spid="_x0000_s1027" fillcolor="#4472c4 [3204]" strokecolor="#1f3763 [1604]" strokeweight="1pt" w14:anchorId="5266A3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">
                <v:textbox>
                  <w:txbxContent>
                    <w:p w:rsidR="00800630" w:rsidP="00800630" w:rsidRDefault="00800630" w14:paraId="398C6622" w14:textId="77777777">
                      <w:pPr>
                        <w:pStyle w:val="NormalWeb"/>
                        <w:spacing w:before="0" w:beforeAutospacing="0" w:after="0" w:afterAutospacing="0"/>
                        <w:jc w:val="center"/>
                        <w:bidi w:val="0"/>
                      </w:pPr>
                      <w:r>
                        <w:rPr>
                          <w:rFonts w:asciiTheme="minorHAnsi" w:cstheme="minorBidi" w:hAnsiTheme="minorHAnsi"/>
                          <w:color w:val="FFFFFF" w:themeColor="light1"/>
                          <w:sz w:val="22"/>
                          <w:szCs w:val="22"/>
                          <w:lang w:val="es-pr"/>
                          <w:b w:val="0"/>
                          <w:bCs w:val="0"/>
                          <w:i w:val="0"/>
                          <w:iCs w:val="0"/>
                          <w:u w:val="none"/>
                          <w:vertAlign w:val="baseline"/>
                          <w:rtl w:val="0"/>
                        </w:rPr>
                        <w:t xml:space="preserve">En 2016, el ODE estableció una nueva línea de base para tener en cuenta el tamaño n.</w:t>
                      </w:r>
                    </w:p>
                  </w:txbxContent>
                </v:textbox>
              </v:rect>
            </w:pict>
          </mc:Fallback>
        </mc:AlternateContent>
      </w:r>
      <w:r>
        <w:rPr>
          <w:noProof/>
        </w:rPr>
        <w:drawing>
          <wp:inline distT="0" distB="0" distL="0" distR="0" wp14:anchorId="17E698DF" wp14:editId="296B51DC">
            <wp:extent cx="5315357" cy="3383280"/>
            <wp:effectExtent l="0" t="0" r="0" b="7620"/>
            <wp:docPr id="1" name="Chart 1" descr="Este cuadro muestra los objetivos de Oregon y los datos estatales reales de 2014 a 2019.  Existe una brecha entre 2015 y 2016, con una línea vertical para representar dos fases diferentes de datos. Los datos del lado derecho de la línea utilizan la línea de base SPP actual para el Indicador B4B, que se estableció en 2016." title="Datos del indicador B4A (suspensión / expulsión) de Oregon"/>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bl>
      <w:tblPr>
        <w:tblStyle w:val="TableGrid"/>
        <w:tblW w:w="7915" w:type="dxa"/>
        <w:jc w:val="center"/>
        <w:tblLayout w:type="fixed"/>
        <w:tblLook w:val="04A0" w:firstRow="1" w:lastRow="0" w:firstColumn="1" w:lastColumn="0" w:noHBand="0" w:noVBand="1"/>
        <w:tblCaption w:val="Oregon's Indicator B4B Data"/>
        <w:tblDescription w:val="This table shows the statewide targets and actual data for Oregon for Indicator B4B."/>
      </w:tblPr>
      <w:tblGrid>
        <w:gridCol w:w="989"/>
        <w:gridCol w:w="989"/>
        <w:gridCol w:w="990"/>
        <w:gridCol w:w="989"/>
        <w:gridCol w:w="989"/>
        <w:gridCol w:w="990"/>
        <w:gridCol w:w="989"/>
        <w:gridCol w:w="990"/>
      </w:tblGrid>
      <w:tr w:rsidR="005A7631" w14:paraId="70744F58" w14:textId="77777777" w:rsidTr="00344E90">
        <w:trPr>
          <w:tblHeader/>
          <w:jc w:val="center"/>
        </w:trPr>
        <w:tc>
          <w:tcPr>
            <w:tcW w:w="989" w:type="dxa"/>
          </w:tcPr>
          <w:p w14:paraId="1F0AF2BE" w14:textId="77777777" w:rsidR="005A7631" w:rsidRPr="00B542E4" w:rsidRDefault="005A7631" w:rsidP="00137C0D">
            <w:pPr>
              <w:jc w:val="center"/>
              <w:rPr>
                <w:b/>
              </w:rPr>
            </w:pPr>
            <w:r>
              <w:rPr>
                <w:b/>
                <w:bCs/>
                <w:lang w:val="es-PR"/>
              </w:rPr>
              <w:t>Años fiscales</w:t>
            </w:r>
          </w:p>
        </w:tc>
        <w:tc>
          <w:tcPr>
            <w:tcW w:w="989" w:type="dxa"/>
          </w:tcPr>
          <w:p w14:paraId="020F2BDC" w14:textId="7C00AFA8" w:rsidR="005A7631" w:rsidRPr="00B542E4" w:rsidRDefault="005A7631" w:rsidP="00137C0D">
            <w:pPr>
              <w:jc w:val="center"/>
              <w:rPr>
                <w:b/>
                <w:bCs/>
              </w:rPr>
            </w:pPr>
            <w:r>
              <w:rPr>
                <w:b/>
                <w:bCs/>
                <w:lang w:val="es-PR"/>
              </w:rPr>
              <w:t>2016</w:t>
            </w:r>
          </w:p>
        </w:tc>
        <w:tc>
          <w:tcPr>
            <w:tcW w:w="990" w:type="dxa"/>
            <w:tcBorders>
              <w:right w:val="single" w:sz="4" w:space="0" w:color="auto"/>
            </w:tcBorders>
            <w:shd w:val="clear" w:color="auto" w:fill="auto"/>
          </w:tcPr>
          <w:p w14:paraId="1B123951" w14:textId="77777777" w:rsidR="005A7631" w:rsidRPr="00DE49CF" w:rsidRDefault="005A7631" w:rsidP="00137C0D">
            <w:pPr>
              <w:jc w:val="center"/>
              <w:rPr>
                <w:b/>
              </w:rPr>
            </w:pPr>
            <w:r>
              <w:rPr>
                <w:b/>
                <w:bCs/>
                <w:lang w:val="es-PR"/>
              </w:rPr>
              <w:t>2014</w:t>
            </w:r>
          </w:p>
        </w:tc>
        <w:tc>
          <w:tcPr>
            <w:tcW w:w="989" w:type="dxa"/>
            <w:tcBorders>
              <w:top w:val="single" w:sz="4" w:space="0" w:color="auto"/>
              <w:left w:val="single" w:sz="4" w:space="0" w:color="auto"/>
              <w:bottom w:val="single" w:sz="4" w:space="0" w:color="auto"/>
              <w:right w:val="single" w:sz="18" w:space="0" w:color="1B75BC"/>
            </w:tcBorders>
            <w:shd w:val="clear" w:color="auto" w:fill="auto"/>
          </w:tcPr>
          <w:p w14:paraId="252D9A38" w14:textId="77777777" w:rsidR="005A7631" w:rsidRPr="00DE49CF" w:rsidRDefault="005A7631" w:rsidP="00137C0D">
            <w:pPr>
              <w:jc w:val="center"/>
              <w:rPr>
                <w:b/>
              </w:rPr>
            </w:pPr>
            <w:r>
              <w:rPr>
                <w:b/>
                <w:bCs/>
                <w:lang w:val="es-PR"/>
              </w:rPr>
              <w:t>2015</w:t>
            </w:r>
          </w:p>
        </w:tc>
        <w:tc>
          <w:tcPr>
            <w:tcW w:w="989" w:type="dxa"/>
            <w:tcBorders>
              <w:top w:val="single" w:sz="4" w:space="0" w:color="auto"/>
              <w:left w:val="single" w:sz="18" w:space="0" w:color="1B75BC"/>
              <w:bottom w:val="single" w:sz="4" w:space="0" w:color="auto"/>
              <w:right w:val="single" w:sz="4" w:space="0" w:color="auto"/>
            </w:tcBorders>
          </w:tcPr>
          <w:p w14:paraId="61820CE4" w14:textId="77777777" w:rsidR="005A7631" w:rsidRPr="00B542E4" w:rsidRDefault="005A7631" w:rsidP="00137C0D">
            <w:pPr>
              <w:jc w:val="center"/>
              <w:rPr>
                <w:b/>
              </w:rPr>
            </w:pPr>
            <w:r>
              <w:rPr>
                <w:b/>
                <w:bCs/>
                <w:lang w:val="es-PR"/>
              </w:rPr>
              <w:t>2016</w:t>
            </w:r>
          </w:p>
        </w:tc>
        <w:tc>
          <w:tcPr>
            <w:tcW w:w="990" w:type="dxa"/>
            <w:tcBorders>
              <w:left w:val="single" w:sz="4" w:space="0" w:color="auto"/>
            </w:tcBorders>
          </w:tcPr>
          <w:p w14:paraId="553569A8" w14:textId="77777777" w:rsidR="005A7631" w:rsidRPr="00B542E4" w:rsidRDefault="005A7631" w:rsidP="00137C0D">
            <w:pPr>
              <w:jc w:val="center"/>
              <w:rPr>
                <w:b/>
              </w:rPr>
            </w:pPr>
            <w:r>
              <w:rPr>
                <w:b/>
                <w:bCs/>
                <w:lang w:val="es-PR"/>
              </w:rPr>
              <w:t>2017</w:t>
            </w:r>
          </w:p>
        </w:tc>
        <w:tc>
          <w:tcPr>
            <w:tcW w:w="989" w:type="dxa"/>
          </w:tcPr>
          <w:p w14:paraId="7D234245" w14:textId="77777777" w:rsidR="005A7631" w:rsidRPr="00B542E4" w:rsidRDefault="005A7631" w:rsidP="00137C0D">
            <w:pPr>
              <w:jc w:val="center"/>
              <w:rPr>
                <w:b/>
              </w:rPr>
            </w:pPr>
            <w:r>
              <w:rPr>
                <w:b/>
                <w:bCs/>
                <w:lang w:val="es-PR"/>
              </w:rPr>
              <w:t>2018</w:t>
            </w:r>
          </w:p>
        </w:tc>
        <w:tc>
          <w:tcPr>
            <w:tcW w:w="990" w:type="dxa"/>
          </w:tcPr>
          <w:p w14:paraId="4CB25504" w14:textId="77777777" w:rsidR="005A7631" w:rsidRDefault="005A7631" w:rsidP="00137C0D">
            <w:pPr>
              <w:jc w:val="center"/>
              <w:rPr>
                <w:b/>
                <w:bCs/>
              </w:rPr>
            </w:pPr>
            <w:r>
              <w:rPr>
                <w:b/>
                <w:bCs/>
                <w:lang w:val="es-PR"/>
              </w:rPr>
              <w:t>2019</w:t>
            </w:r>
          </w:p>
        </w:tc>
      </w:tr>
      <w:tr w:rsidR="005A7631" w14:paraId="0592D3BD" w14:textId="77777777" w:rsidTr="00344E90">
        <w:trPr>
          <w:jc w:val="center"/>
        </w:trPr>
        <w:tc>
          <w:tcPr>
            <w:tcW w:w="989" w:type="dxa"/>
          </w:tcPr>
          <w:p w14:paraId="3914DB74" w14:textId="0825AA61" w:rsidR="005A7631" w:rsidRDefault="005A7631" w:rsidP="005A7631">
            <w:r>
              <w:rPr>
                <w:lang w:val="es-PR"/>
              </w:rPr>
              <w:t>Objetivo ≤</w:t>
            </w:r>
          </w:p>
        </w:tc>
        <w:tc>
          <w:tcPr>
            <w:tcW w:w="989" w:type="dxa"/>
          </w:tcPr>
          <w:p w14:paraId="7033CDF9" w14:textId="77777777" w:rsidR="005A7631" w:rsidRPr="00373050" w:rsidRDefault="005A7631" w:rsidP="005A7631">
            <w:pPr>
              <w:jc w:val="center"/>
              <w:rPr>
                <w:i/>
              </w:rPr>
            </w:pPr>
            <w:r>
              <w:rPr>
                <w:i/>
                <w:iCs/>
                <w:lang w:val="es-PR"/>
              </w:rPr>
              <w:t>Línea de base</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E71CBB0" w14:textId="2D5498D5" w:rsidR="005A7631" w:rsidRPr="00DE49CF" w:rsidRDefault="005A7631" w:rsidP="005A7631">
            <w:pPr>
              <w:jc w:val="center"/>
            </w:pPr>
            <w:r>
              <w:rPr>
                <w:lang w:val="es-PR"/>
              </w:rPr>
              <w:t>7.20%</w:t>
            </w:r>
          </w:p>
        </w:tc>
        <w:tc>
          <w:tcPr>
            <w:tcW w:w="989" w:type="dxa"/>
            <w:tcBorders>
              <w:top w:val="single" w:sz="4" w:space="0" w:color="auto"/>
              <w:left w:val="single" w:sz="4" w:space="0" w:color="auto"/>
              <w:bottom w:val="single" w:sz="4" w:space="0" w:color="auto"/>
              <w:right w:val="single" w:sz="18" w:space="0" w:color="1B75BC"/>
            </w:tcBorders>
            <w:shd w:val="clear" w:color="auto" w:fill="auto"/>
          </w:tcPr>
          <w:p w14:paraId="3E9FC6BA" w14:textId="2177F547" w:rsidR="005A7631" w:rsidRPr="00DE49CF" w:rsidRDefault="005A7631" w:rsidP="005A7631">
            <w:pPr>
              <w:jc w:val="center"/>
            </w:pPr>
            <w:r>
              <w:rPr>
                <w:lang w:val="es-PR"/>
              </w:rPr>
              <w:t>6.70%</w:t>
            </w:r>
          </w:p>
        </w:tc>
        <w:tc>
          <w:tcPr>
            <w:tcW w:w="989" w:type="dxa"/>
            <w:tcBorders>
              <w:top w:val="single" w:sz="4" w:space="0" w:color="auto"/>
              <w:left w:val="single" w:sz="18" w:space="0" w:color="1B75BC"/>
              <w:bottom w:val="single" w:sz="4" w:space="0" w:color="auto"/>
              <w:right w:val="single" w:sz="4" w:space="0" w:color="auto"/>
            </w:tcBorders>
            <w:shd w:val="clear" w:color="auto" w:fill="auto"/>
          </w:tcPr>
          <w:p w14:paraId="1297925C" w14:textId="12096CBA" w:rsidR="005A7631" w:rsidRDefault="005A7631" w:rsidP="005A7631">
            <w:pPr>
              <w:jc w:val="center"/>
            </w:pPr>
            <w:r>
              <w:rPr>
                <w:lang w:val="es-PR"/>
              </w:rPr>
              <w:t>68.65%</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BD67D28" w14:textId="0E9CDD70" w:rsidR="005A7631" w:rsidRDefault="005A7631" w:rsidP="005A7631">
            <w:pPr>
              <w:jc w:val="center"/>
            </w:pPr>
            <w:r>
              <w:rPr>
                <w:lang w:val="es-PR"/>
              </w:rPr>
              <w:t>68.15%</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E8C480A" w14:textId="32E7B834" w:rsidR="005A7631" w:rsidRDefault="005A7631" w:rsidP="005A7631">
            <w:pPr>
              <w:jc w:val="center"/>
            </w:pPr>
            <w:r>
              <w:rPr>
                <w:lang w:val="es-PR"/>
              </w:rPr>
              <w:t>67.65%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6B47FAC" w14:textId="23C29C89" w:rsidR="005A7631" w:rsidRDefault="005A7631" w:rsidP="005A7631">
            <w:pPr>
              <w:jc w:val="center"/>
            </w:pPr>
            <w:r>
              <w:rPr>
                <w:lang w:val="es-PR"/>
              </w:rPr>
              <w:t>62.00%</w:t>
            </w:r>
          </w:p>
        </w:tc>
      </w:tr>
      <w:tr w:rsidR="005A7631" w14:paraId="3C801418" w14:textId="77777777" w:rsidTr="00344E90">
        <w:trPr>
          <w:jc w:val="center"/>
        </w:trPr>
        <w:tc>
          <w:tcPr>
            <w:tcW w:w="989" w:type="dxa"/>
          </w:tcPr>
          <w:p w14:paraId="6CD19CA6" w14:textId="77777777" w:rsidR="005A7631" w:rsidRDefault="005A7631" w:rsidP="005A7631">
            <w:r>
              <w:rPr>
                <w:lang w:val="es-PR"/>
              </w:rPr>
              <w:t>Data</w:t>
            </w:r>
          </w:p>
        </w:tc>
        <w:tc>
          <w:tcPr>
            <w:tcW w:w="989" w:type="dxa"/>
          </w:tcPr>
          <w:p w14:paraId="407385D7" w14:textId="66CEF3D9" w:rsidR="005A7631" w:rsidRDefault="005A7631" w:rsidP="005A7631">
            <w:pPr>
              <w:jc w:val="center"/>
            </w:pPr>
            <w:r>
              <w:rPr>
                <w:lang w:val="es-PR"/>
              </w:rPr>
              <w:t>62.96%</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AE2548F" w14:textId="7E92644D" w:rsidR="005A7631" w:rsidRPr="00DE49CF" w:rsidRDefault="005A7631" w:rsidP="005A7631">
            <w:pPr>
              <w:jc w:val="center"/>
            </w:pPr>
            <w:r>
              <w:rPr>
                <w:lang w:val="es-PR"/>
              </w:rPr>
              <w:t>13.71%</w:t>
            </w:r>
          </w:p>
        </w:tc>
        <w:tc>
          <w:tcPr>
            <w:tcW w:w="989" w:type="dxa"/>
            <w:tcBorders>
              <w:top w:val="single" w:sz="4" w:space="0" w:color="auto"/>
              <w:left w:val="single" w:sz="4" w:space="0" w:color="auto"/>
              <w:bottom w:val="single" w:sz="4" w:space="0" w:color="auto"/>
              <w:right w:val="single" w:sz="18" w:space="0" w:color="1B75BC"/>
            </w:tcBorders>
            <w:shd w:val="clear" w:color="auto" w:fill="auto"/>
          </w:tcPr>
          <w:p w14:paraId="47D2C86B" w14:textId="511ECDC4" w:rsidR="005A7631" w:rsidRPr="00DE49CF" w:rsidRDefault="005A7631" w:rsidP="005A7631">
            <w:pPr>
              <w:jc w:val="center"/>
            </w:pPr>
            <w:r>
              <w:rPr>
                <w:lang w:val="es-PR"/>
              </w:rPr>
              <w:t>8.63%</w:t>
            </w:r>
          </w:p>
        </w:tc>
        <w:tc>
          <w:tcPr>
            <w:tcW w:w="989" w:type="dxa"/>
            <w:tcBorders>
              <w:top w:val="single" w:sz="4" w:space="0" w:color="auto"/>
              <w:left w:val="single" w:sz="18" w:space="0" w:color="1B75BC"/>
              <w:bottom w:val="single" w:sz="4" w:space="0" w:color="auto"/>
              <w:right w:val="single" w:sz="4" w:space="0" w:color="auto"/>
            </w:tcBorders>
            <w:shd w:val="clear" w:color="auto" w:fill="auto"/>
          </w:tcPr>
          <w:p w14:paraId="7C5F7BDF" w14:textId="25C8B258" w:rsidR="005A7631" w:rsidRDefault="005A7631" w:rsidP="005A7631">
            <w:pPr>
              <w:jc w:val="center"/>
            </w:pPr>
            <w:r>
              <w:rPr>
                <w:lang w:val="es-PR"/>
              </w:rPr>
              <w:t>62.96%</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6201364" w14:textId="1F6EA127" w:rsidR="005A7631" w:rsidRDefault="005A7631" w:rsidP="005A7631">
            <w:pPr>
              <w:jc w:val="center"/>
            </w:pPr>
            <w:r>
              <w:rPr>
                <w:lang w:val="es-PR"/>
              </w:rPr>
              <w:t>66.67%</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794ED6C" w14:textId="72291E12" w:rsidR="005A7631" w:rsidRDefault="005A7631" w:rsidP="005A7631">
            <w:pPr>
              <w:jc w:val="center"/>
            </w:pPr>
            <w:r>
              <w:rPr>
                <w:lang w:val="es-PR"/>
              </w:rPr>
              <w:t>53.13%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7651915" w14:textId="093AEA0A" w:rsidR="005A7631" w:rsidRDefault="005A7631" w:rsidP="005A7631">
            <w:pPr>
              <w:jc w:val="center"/>
            </w:pPr>
            <w:r>
              <w:rPr>
                <w:lang w:val="es-PR"/>
              </w:rPr>
              <w:t>67.74%</w:t>
            </w:r>
          </w:p>
        </w:tc>
      </w:tr>
    </w:tbl>
    <w:p w14:paraId="57E819B6" w14:textId="01C032CB" w:rsidR="4BBB7754" w:rsidRPr="004F6C8F" w:rsidRDefault="4BBB7754" w:rsidP="11458547">
      <w:pPr>
        <w:pStyle w:val="Heading1"/>
        <w:rPr>
          <w:rFonts w:ascii="Calibri" w:eastAsia="Calibri" w:hAnsi="Calibri" w:cs="Calibri"/>
          <w:color w:val="1B75BC"/>
        </w:rPr>
      </w:pPr>
      <w:r>
        <w:rPr>
          <w:rFonts w:ascii="Calibri" w:eastAsia="Calibri" w:hAnsi="Calibri" w:cs="Calibri"/>
          <w:b/>
          <w:bCs/>
          <w:color w:val="1B75BC"/>
          <w:lang w:val="es-PR"/>
        </w:rPr>
        <w:t>¿Cuáles son los nuevos objetivos?</w:t>
      </w:r>
    </w:p>
    <w:p w14:paraId="22ADC927" w14:textId="32B5F5D1" w:rsidR="4BBB7754" w:rsidRPr="00F84723" w:rsidRDefault="4BBB7754" w:rsidP="00F14F43">
      <w:pPr>
        <w:spacing w:after="0"/>
        <w:rPr>
          <w:rFonts w:ascii="Calibri" w:eastAsia="Calibri" w:hAnsi="Calibri" w:cs="Calibri"/>
          <w:color w:val="000000" w:themeColor="text1"/>
        </w:rPr>
      </w:pPr>
      <w:r>
        <w:rPr>
          <w:rFonts w:ascii="Calibri" w:eastAsia="Calibri" w:hAnsi="Calibri" w:cs="Calibri"/>
          <w:color w:val="000000" w:themeColor="text1"/>
          <w:lang w:val="es-PR"/>
        </w:rPr>
        <w:t>El ODE no establecerá nuevos objetivos hasta que tengamos noticias de nuestros socios. Hay varias formas de establecer nuevos objetivos. Podría ser una disminución porcentual, comenzar con el final del juego en mente o examinar las tendencias a lo largo del tiempo y hacer predicciones basadas en las tendencias. Alguna información útil sobre cómo establecer objetivos:</w:t>
      </w:r>
    </w:p>
    <w:p w14:paraId="4551AD98" w14:textId="77777777" w:rsidR="001D55B0" w:rsidRPr="00F84723" w:rsidRDefault="001D55B0" w:rsidP="001D55B0">
      <w:pPr>
        <w:pStyle w:val="ListParagraph"/>
        <w:numPr>
          <w:ilvl w:val="0"/>
          <w:numId w:val="1"/>
        </w:numPr>
        <w:rPr>
          <w:rFonts w:ascii="Calibri" w:eastAsia="Calibri" w:hAnsi="Calibri" w:cs="Calibri"/>
          <w:color w:val="000000" w:themeColor="text1"/>
        </w:rPr>
      </w:pPr>
      <w:r>
        <w:rPr>
          <w:rFonts w:ascii="Calibri" w:eastAsia="Calibri" w:hAnsi="Calibri" w:cs="Calibri"/>
          <w:color w:val="000000" w:themeColor="text1"/>
          <w:lang w:val="es-PR"/>
        </w:rPr>
        <w:t xml:space="preserve">Los objetivos están destinados a respaldar mejores resultados y consecuencias para los niños y las familias. Deberían estar al alcance pero aún mostrar crecimiento. </w:t>
      </w:r>
    </w:p>
    <w:p w14:paraId="1E4FA14B" w14:textId="640BD67D" w:rsidR="4BBB7754" w:rsidRPr="00F84723" w:rsidRDefault="001D55B0" w:rsidP="001D55B0">
      <w:pPr>
        <w:pStyle w:val="ListParagraph"/>
        <w:numPr>
          <w:ilvl w:val="0"/>
          <w:numId w:val="1"/>
        </w:numPr>
        <w:rPr>
          <w:rFonts w:ascii="Calibri" w:eastAsia="Calibri" w:hAnsi="Calibri" w:cs="Calibri"/>
          <w:color w:val="000000" w:themeColor="text1"/>
        </w:rPr>
      </w:pPr>
      <w:r>
        <w:rPr>
          <w:rFonts w:ascii="Calibri" w:eastAsia="Calibri" w:hAnsi="Calibri" w:cs="Calibri"/>
          <w:color w:val="000000" w:themeColor="text1"/>
          <w:lang w:val="es-PR"/>
        </w:rPr>
        <w:t>El cambio lleva tiempo. Los objetivos se pueden crear con este entendimiento en mente. Por ejemplo, los objetivos pueden permanecer iguales durante varios años seguidos y luego disminuir ligeramente durante el año objetivo final (año fiscal 2025). Alternativamente, los objetivos podrían mostrar una ligera disminución cada año.</w:t>
      </w:r>
    </w:p>
    <w:p w14:paraId="477534C5" w14:textId="1B5E3036" w:rsidR="547E444A" w:rsidRPr="00F84723" w:rsidRDefault="547E444A" w:rsidP="00BC1904">
      <w:pPr>
        <w:pStyle w:val="ListParagraph"/>
        <w:numPr>
          <w:ilvl w:val="0"/>
          <w:numId w:val="1"/>
        </w:numPr>
        <w:spacing w:after="120"/>
        <w:rPr>
          <w:color w:val="000000" w:themeColor="text1"/>
        </w:rPr>
      </w:pPr>
      <w:r>
        <w:rPr>
          <w:rFonts w:ascii="Calibri" w:eastAsia="Calibri" w:hAnsi="Calibri" w:cs="Calibri"/>
          <w:b/>
          <w:bCs/>
          <w:i/>
          <w:iCs/>
          <w:lang w:val="es-PR"/>
        </w:rPr>
        <w:t>Los datos de disciplina del año fiscal 2020 y el año fiscal 2021 se ven afectados por COVID-19.</w:t>
      </w:r>
    </w:p>
    <w:p w14:paraId="08B9EDF3" w14:textId="099234F4" w:rsidR="4BBB7754" w:rsidRDefault="4BBB7754" w:rsidP="00BC1904">
      <w:pPr>
        <w:spacing w:after="120"/>
        <w:rPr>
          <w:rFonts w:ascii="Calibri" w:eastAsia="Calibri" w:hAnsi="Calibri" w:cs="Calibri"/>
          <w:color w:val="408740"/>
          <w:sz w:val="24"/>
          <w:szCs w:val="24"/>
        </w:rPr>
      </w:pPr>
      <w:r>
        <w:rPr>
          <w:rFonts w:ascii="Calibri" w:eastAsia="Calibri" w:hAnsi="Calibri" w:cs="Calibri"/>
          <w:b/>
          <w:bCs/>
          <w:color w:val="408740"/>
          <w:sz w:val="24"/>
          <w:szCs w:val="24"/>
          <w:lang w:val="es-PR"/>
        </w:rPr>
        <w:t xml:space="preserve">Ejemplo A para objetivos B4A: Año de línea de base 2019 con un objetivo del 62% </w:t>
      </w:r>
    </w:p>
    <w:tbl>
      <w:tblPr>
        <w:tblStyle w:val="TableGrid"/>
        <w:tblW w:w="0" w:type="auto"/>
        <w:tblLayout w:type="fixed"/>
        <w:tblLook w:val="04A0" w:firstRow="1" w:lastRow="0" w:firstColumn="1" w:lastColumn="0" w:noHBand="0" w:noVBand="1"/>
        <w:tblCaption w:val="Example Targets"/>
        <w:tblDescription w:val="This table shows one possible set of targets Oregon could use for this indicator."/>
      </w:tblPr>
      <w:tblGrid>
        <w:gridCol w:w="2220"/>
        <w:gridCol w:w="1275"/>
        <w:gridCol w:w="1275"/>
        <w:gridCol w:w="1275"/>
        <w:gridCol w:w="1275"/>
        <w:gridCol w:w="1275"/>
        <w:gridCol w:w="1275"/>
      </w:tblGrid>
      <w:tr w:rsidR="11458547" w14:paraId="5D98BE62" w14:textId="77777777" w:rsidTr="003554B6">
        <w:trPr>
          <w:tblHeader/>
        </w:trPr>
        <w:tc>
          <w:tcPr>
            <w:tcW w:w="2220" w:type="dxa"/>
          </w:tcPr>
          <w:p w14:paraId="761F74D5" w14:textId="23EBD312" w:rsidR="11458547" w:rsidRDefault="11458547" w:rsidP="11458547">
            <w:pPr>
              <w:spacing w:line="259" w:lineRule="auto"/>
              <w:jc w:val="center"/>
              <w:rPr>
                <w:rFonts w:ascii="Calibri" w:eastAsia="Calibri" w:hAnsi="Calibri" w:cs="Calibri"/>
              </w:rPr>
            </w:pPr>
            <w:r>
              <w:rPr>
                <w:rFonts w:ascii="Calibri" w:eastAsia="Calibri" w:hAnsi="Calibri" w:cs="Calibri"/>
                <w:b/>
                <w:bCs/>
                <w:lang w:val="es-PR"/>
              </w:rPr>
              <w:t>Años fiscales</w:t>
            </w:r>
          </w:p>
        </w:tc>
        <w:tc>
          <w:tcPr>
            <w:tcW w:w="1275" w:type="dxa"/>
          </w:tcPr>
          <w:p w14:paraId="6FF289AD" w14:textId="064B2D84" w:rsidR="11458547" w:rsidRDefault="6A5506BC" w:rsidP="1B7C5E0B">
            <w:pPr>
              <w:spacing w:line="259" w:lineRule="auto"/>
              <w:jc w:val="center"/>
              <w:rPr>
                <w:rFonts w:ascii="Calibri" w:eastAsia="Calibri" w:hAnsi="Calibri" w:cs="Calibri"/>
              </w:rPr>
            </w:pPr>
            <w:r>
              <w:rPr>
                <w:rFonts w:ascii="Calibri" w:eastAsia="Calibri" w:hAnsi="Calibri" w:cs="Calibri"/>
                <w:b/>
                <w:bCs/>
                <w:lang w:val="es-PR"/>
              </w:rPr>
              <w:t>2020</w:t>
            </w:r>
          </w:p>
        </w:tc>
        <w:tc>
          <w:tcPr>
            <w:tcW w:w="1275" w:type="dxa"/>
          </w:tcPr>
          <w:p w14:paraId="5F13C07F" w14:textId="224FB439" w:rsidR="11458547" w:rsidRDefault="6A5506BC" w:rsidP="1B7C5E0B">
            <w:pPr>
              <w:spacing w:line="259" w:lineRule="auto"/>
              <w:jc w:val="center"/>
              <w:rPr>
                <w:rFonts w:ascii="Calibri" w:eastAsia="Calibri" w:hAnsi="Calibri" w:cs="Calibri"/>
              </w:rPr>
            </w:pPr>
            <w:r>
              <w:rPr>
                <w:rFonts w:ascii="Calibri" w:eastAsia="Calibri" w:hAnsi="Calibri" w:cs="Calibri"/>
                <w:b/>
                <w:bCs/>
                <w:lang w:val="es-PR"/>
              </w:rPr>
              <w:t>2021</w:t>
            </w:r>
          </w:p>
        </w:tc>
        <w:tc>
          <w:tcPr>
            <w:tcW w:w="1275" w:type="dxa"/>
          </w:tcPr>
          <w:p w14:paraId="4C2A8153" w14:textId="1DBED9FF" w:rsidR="11458547" w:rsidRDefault="11458547" w:rsidP="11458547">
            <w:pPr>
              <w:spacing w:line="259" w:lineRule="auto"/>
              <w:jc w:val="center"/>
              <w:rPr>
                <w:rFonts w:ascii="Calibri" w:eastAsia="Calibri" w:hAnsi="Calibri" w:cs="Calibri"/>
              </w:rPr>
            </w:pPr>
            <w:r>
              <w:rPr>
                <w:rFonts w:ascii="Calibri" w:eastAsia="Calibri" w:hAnsi="Calibri" w:cs="Calibri"/>
                <w:b/>
                <w:bCs/>
                <w:lang w:val="es-PR"/>
              </w:rPr>
              <w:t>2022</w:t>
            </w:r>
          </w:p>
        </w:tc>
        <w:tc>
          <w:tcPr>
            <w:tcW w:w="1275" w:type="dxa"/>
          </w:tcPr>
          <w:p w14:paraId="06D8CCF0" w14:textId="49AB4782" w:rsidR="11458547" w:rsidRDefault="11458547" w:rsidP="11458547">
            <w:pPr>
              <w:spacing w:line="259" w:lineRule="auto"/>
              <w:jc w:val="center"/>
              <w:rPr>
                <w:rFonts w:ascii="Calibri" w:eastAsia="Calibri" w:hAnsi="Calibri" w:cs="Calibri"/>
              </w:rPr>
            </w:pPr>
            <w:r>
              <w:rPr>
                <w:rFonts w:ascii="Calibri" w:eastAsia="Calibri" w:hAnsi="Calibri" w:cs="Calibri"/>
                <w:b/>
                <w:bCs/>
                <w:lang w:val="es-PR"/>
              </w:rPr>
              <w:t>2023</w:t>
            </w:r>
          </w:p>
        </w:tc>
        <w:tc>
          <w:tcPr>
            <w:tcW w:w="1275" w:type="dxa"/>
          </w:tcPr>
          <w:p w14:paraId="21F7EA2C" w14:textId="2DF08A33" w:rsidR="11458547" w:rsidRDefault="11458547" w:rsidP="11458547">
            <w:pPr>
              <w:spacing w:line="259" w:lineRule="auto"/>
              <w:jc w:val="center"/>
              <w:rPr>
                <w:rFonts w:ascii="Calibri" w:eastAsia="Calibri" w:hAnsi="Calibri" w:cs="Calibri"/>
              </w:rPr>
            </w:pPr>
            <w:r>
              <w:rPr>
                <w:rFonts w:ascii="Calibri" w:eastAsia="Calibri" w:hAnsi="Calibri" w:cs="Calibri"/>
                <w:b/>
                <w:bCs/>
                <w:lang w:val="es-PR"/>
              </w:rPr>
              <w:t>2024</w:t>
            </w:r>
          </w:p>
        </w:tc>
        <w:tc>
          <w:tcPr>
            <w:tcW w:w="1275" w:type="dxa"/>
          </w:tcPr>
          <w:p w14:paraId="149E4E9B" w14:textId="51328839" w:rsidR="11458547" w:rsidRDefault="11458547" w:rsidP="11458547">
            <w:pPr>
              <w:spacing w:line="259" w:lineRule="auto"/>
              <w:jc w:val="center"/>
              <w:rPr>
                <w:rFonts w:ascii="Calibri" w:eastAsia="Calibri" w:hAnsi="Calibri" w:cs="Calibri"/>
              </w:rPr>
            </w:pPr>
            <w:r>
              <w:rPr>
                <w:rFonts w:ascii="Calibri" w:eastAsia="Calibri" w:hAnsi="Calibri" w:cs="Calibri"/>
                <w:b/>
                <w:bCs/>
                <w:lang w:val="es-PR"/>
              </w:rPr>
              <w:t>2025</w:t>
            </w:r>
          </w:p>
        </w:tc>
      </w:tr>
      <w:tr w:rsidR="11458547" w14:paraId="6AF5CF9A" w14:textId="77777777" w:rsidTr="00BB6EA2">
        <w:trPr>
          <w:trHeight w:val="107"/>
        </w:trPr>
        <w:tc>
          <w:tcPr>
            <w:tcW w:w="2220" w:type="dxa"/>
          </w:tcPr>
          <w:p w14:paraId="069109CF" w14:textId="3A51A624" w:rsidR="439FDF39" w:rsidRDefault="439FDF39" w:rsidP="00300D8D">
            <w:pPr>
              <w:spacing w:line="259" w:lineRule="auto"/>
              <w:rPr>
                <w:rFonts w:ascii="Calibri" w:eastAsia="Calibri" w:hAnsi="Calibri" w:cs="Calibri"/>
              </w:rPr>
            </w:pPr>
            <w:r>
              <w:rPr>
                <w:rFonts w:ascii="Calibri" w:eastAsia="Calibri" w:hAnsi="Calibri" w:cs="Calibri"/>
                <w:lang w:val="es-PR"/>
              </w:rPr>
              <w:t>Objetivos 4A ≤</w:t>
            </w:r>
          </w:p>
        </w:tc>
        <w:tc>
          <w:tcPr>
            <w:tcW w:w="1275" w:type="dxa"/>
          </w:tcPr>
          <w:p w14:paraId="0DC7BE9E" w14:textId="70593578" w:rsidR="11458547" w:rsidRDefault="06953851" w:rsidP="1B7C5E0B">
            <w:pPr>
              <w:spacing w:line="259" w:lineRule="auto"/>
              <w:jc w:val="center"/>
              <w:rPr>
                <w:rFonts w:ascii="Calibri" w:eastAsia="Calibri" w:hAnsi="Calibri" w:cs="Calibri"/>
              </w:rPr>
            </w:pPr>
            <w:r>
              <w:rPr>
                <w:rFonts w:ascii="Calibri" w:eastAsia="Calibri" w:hAnsi="Calibri" w:cs="Calibri"/>
                <w:lang w:val="es-PR"/>
              </w:rPr>
              <w:t>62.00%</w:t>
            </w:r>
          </w:p>
        </w:tc>
        <w:tc>
          <w:tcPr>
            <w:tcW w:w="1275" w:type="dxa"/>
          </w:tcPr>
          <w:p w14:paraId="0F18F025" w14:textId="3F02F31B" w:rsidR="11458547" w:rsidRDefault="06953851" w:rsidP="1B7C5E0B">
            <w:pPr>
              <w:spacing w:line="259" w:lineRule="auto"/>
              <w:jc w:val="center"/>
              <w:rPr>
                <w:rFonts w:ascii="Calibri" w:eastAsia="Calibri" w:hAnsi="Calibri" w:cs="Calibri"/>
              </w:rPr>
            </w:pPr>
            <w:r>
              <w:rPr>
                <w:rFonts w:ascii="Calibri" w:eastAsia="Calibri" w:hAnsi="Calibri" w:cs="Calibri"/>
                <w:lang w:val="es-PR"/>
              </w:rPr>
              <w:t>62.00%</w:t>
            </w:r>
          </w:p>
        </w:tc>
        <w:tc>
          <w:tcPr>
            <w:tcW w:w="1275" w:type="dxa"/>
          </w:tcPr>
          <w:p w14:paraId="201861D7" w14:textId="0FE27410" w:rsidR="11458547" w:rsidRDefault="06953851" w:rsidP="1B7C5E0B">
            <w:pPr>
              <w:spacing w:line="259" w:lineRule="auto"/>
              <w:jc w:val="center"/>
              <w:rPr>
                <w:rFonts w:ascii="Calibri" w:eastAsia="Calibri" w:hAnsi="Calibri" w:cs="Calibri"/>
              </w:rPr>
            </w:pPr>
            <w:r>
              <w:rPr>
                <w:rFonts w:ascii="Calibri" w:eastAsia="Calibri" w:hAnsi="Calibri" w:cs="Calibri"/>
                <w:lang w:val="es-PR"/>
              </w:rPr>
              <w:t>61.75%</w:t>
            </w:r>
          </w:p>
        </w:tc>
        <w:tc>
          <w:tcPr>
            <w:tcW w:w="1275" w:type="dxa"/>
          </w:tcPr>
          <w:p w14:paraId="75B0C0F7" w14:textId="6256E394" w:rsidR="11458547" w:rsidRDefault="06953851" w:rsidP="00BB6EA2">
            <w:pPr>
              <w:spacing w:line="259" w:lineRule="auto"/>
              <w:jc w:val="center"/>
              <w:rPr>
                <w:rFonts w:ascii="Calibri" w:eastAsia="Calibri" w:hAnsi="Calibri" w:cs="Calibri"/>
              </w:rPr>
            </w:pPr>
            <w:r>
              <w:rPr>
                <w:rFonts w:ascii="Calibri" w:eastAsia="Calibri" w:hAnsi="Calibri" w:cs="Calibri"/>
                <w:lang w:val="es-PR"/>
              </w:rPr>
              <w:t>61.50%</w:t>
            </w:r>
          </w:p>
        </w:tc>
        <w:tc>
          <w:tcPr>
            <w:tcW w:w="1275" w:type="dxa"/>
          </w:tcPr>
          <w:p w14:paraId="5D752F71" w14:textId="6F93A730" w:rsidR="11458547" w:rsidRDefault="06953851" w:rsidP="00BB6EA2">
            <w:pPr>
              <w:spacing w:line="259" w:lineRule="auto"/>
              <w:jc w:val="center"/>
              <w:rPr>
                <w:rFonts w:ascii="Calibri" w:eastAsia="Calibri" w:hAnsi="Calibri" w:cs="Calibri"/>
              </w:rPr>
            </w:pPr>
            <w:r>
              <w:rPr>
                <w:rFonts w:ascii="Calibri" w:eastAsia="Calibri" w:hAnsi="Calibri" w:cs="Calibri"/>
                <w:lang w:val="es-PR"/>
              </w:rPr>
              <w:t>61.25%</w:t>
            </w:r>
          </w:p>
        </w:tc>
        <w:tc>
          <w:tcPr>
            <w:tcW w:w="1275" w:type="dxa"/>
          </w:tcPr>
          <w:p w14:paraId="29839416" w14:textId="66DE3A84" w:rsidR="11458547" w:rsidRDefault="06953851" w:rsidP="1B7C5E0B">
            <w:pPr>
              <w:spacing w:line="259" w:lineRule="auto"/>
              <w:jc w:val="center"/>
              <w:rPr>
                <w:rFonts w:ascii="Calibri" w:eastAsia="Calibri" w:hAnsi="Calibri" w:cs="Calibri"/>
              </w:rPr>
            </w:pPr>
            <w:r>
              <w:rPr>
                <w:rFonts w:ascii="Calibri" w:eastAsia="Calibri" w:hAnsi="Calibri" w:cs="Calibri"/>
                <w:lang w:val="es-PR"/>
              </w:rPr>
              <w:t>61.00%</w:t>
            </w:r>
          </w:p>
        </w:tc>
      </w:tr>
    </w:tbl>
    <w:p w14:paraId="7C2E7CBC" w14:textId="4B65C366" w:rsidR="255201E7" w:rsidRDefault="255201E7" w:rsidP="00BC1904">
      <w:pPr>
        <w:spacing w:after="120"/>
        <w:rPr>
          <w:rFonts w:ascii="Calibri" w:eastAsia="Calibri" w:hAnsi="Calibri" w:cs="Calibri"/>
          <w:color w:val="000000" w:themeColor="text1"/>
        </w:rPr>
      </w:pPr>
      <w:r>
        <w:rPr>
          <w:rFonts w:ascii="Calibri" w:eastAsia="Calibri" w:hAnsi="Calibri" w:cs="Calibri"/>
          <w:color w:val="000000" w:themeColor="text1"/>
          <w:lang w:val="es-PR"/>
        </w:rPr>
        <w:t>El ejemplo A muestra una mejora gradual.</w:t>
      </w:r>
    </w:p>
    <w:p w14:paraId="39B5FF48" w14:textId="4E940495" w:rsidR="255201E7" w:rsidRDefault="255201E7" w:rsidP="00BC1904">
      <w:pPr>
        <w:spacing w:after="120"/>
        <w:rPr>
          <w:rFonts w:ascii="Calibri" w:eastAsia="Calibri" w:hAnsi="Calibri" w:cs="Calibri"/>
          <w:color w:val="408740"/>
          <w:sz w:val="24"/>
          <w:szCs w:val="24"/>
        </w:rPr>
      </w:pPr>
      <w:r>
        <w:rPr>
          <w:rFonts w:ascii="Calibri" w:eastAsia="Calibri" w:hAnsi="Calibri" w:cs="Calibri"/>
          <w:b/>
          <w:bCs/>
          <w:color w:val="408740"/>
          <w:sz w:val="24"/>
          <w:szCs w:val="24"/>
          <w:lang w:val="es-PR"/>
        </w:rPr>
        <w:t>Ejemplo B para objetivos B4A: Año de línea de base 2019 con un objetivo del 62%</w:t>
      </w:r>
    </w:p>
    <w:tbl>
      <w:tblPr>
        <w:tblStyle w:val="TableGrid"/>
        <w:tblW w:w="0" w:type="auto"/>
        <w:tblLayout w:type="fixed"/>
        <w:tblLook w:val="04A0" w:firstRow="1" w:lastRow="0" w:firstColumn="1" w:lastColumn="0" w:noHBand="0" w:noVBand="1"/>
        <w:tblCaption w:val="Example Targets"/>
        <w:tblDescription w:val="This table shows one possible set of targets Oregon could use for this indicator."/>
      </w:tblPr>
      <w:tblGrid>
        <w:gridCol w:w="2220"/>
        <w:gridCol w:w="1275"/>
        <w:gridCol w:w="1275"/>
        <w:gridCol w:w="1275"/>
        <w:gridCol w:w="1275"/>
        <w:gridCol w:w="1275"/>
        <w:gridCol w:w="1275"/>
      </w:tblGrid>
      <w:tr w:rsidR="11458547" w14:paraId="0FAC3656" w14:textId="77777777" w:rsidTr="003554B6">
        <w:trPr>
          <w:tblHeader/>
        </w:trPr>
        <w:tc>
          <w:tcPr>
            <w:tcW w:w="2220" w:type="dxa"/>
          </w:tcPr>
          <w:p w14:paraId="0F4C8285" w14:textId="6E1B46F2" w:rsidR="11458547" w:rsidRDefault="11458547" w:rsidP="11458547">
            <w:pPr>
              <w:spacing w:line="259" w:lineRule="auto"/>
              <w:jc w:val="center"/>
              <w:rPr>
                <w:rFonts w:ascii="Calibri" w:eastAsia="Calibri" w:hAnsi="Calibri" w:cs="Calibri"/>
              </w:rPr>
            </w:pPr>
            <w:r>
              <w:rPr>
                <w:rFonts w:ascii="Calibri" w:eastAsia="Calibri" w:hAnsi="Calibri" w:cs="Calibri"/>
                <w:b/>
                <w:bCs/>
                <w:lang w:val="es-PR"/>
              </w:rPr>
              <w:lastRenderedPageBreak/>
              <w:t>Años fiscales</w:t>
            </w:r>
          </w:p>
        </w:tc>
        <w:tc>
          <w:tcPr>
            <w:tcW w:w="1275" w:type="dxa"/>
          </w:tcPr>
          <w:p w14:paraId="051D9902" w14:textId="04C3D9DF" w:rsidR="11458547" w:rsidRDefault="11458547" w:rsidP="11458547">
            <w:pPr>
              <w:spacing w:line="259" w:lineRule="auto"/>
              <w:jc w:val="center"/>
              <w:rPr>
                <w:rFonts w:ascii="Calibri" w:eastAsia="Calibri" w:hAnsi="Calibri" w:cs="Calibri"/>
              </w:rPr>
            </w:pPr>
            <w:r>
              <w:rPr>
                <w:rFonts w:ascii="Calibri" w:eastAsia="Calibri" w:hAnsi="Calibri" w:cs="Calibri"/>
                <w:b/>
                <w:bCs/>
                <w:lang w:val="es-PR"/>
              </w:rPr>
              <w:t>2020</w:t>
            </w:r>
          </w:p>
        </w:tc>
        <w:tc>
          <w:tcPr>
            <w:tcW w:w="1275" w:type="dxa"/>
          </w:tcPr>
          <w:p w14:paraId="2CAB0210" w14:textId="2CAE7552" w:rsidR="11458547" w:rsidRDefault="11458547" w:rsidP="11458547">
            <w:pPr>
              <w:spacing w:line="259" w:lineRule="auto"/>
              <w:jc w:val="center"/>
              <w:rPr>
                <w:rFonts w:ascii="Calibri" w:eastAsia="Calibri" w:hAnsi="Calibri" w:cs="Calibri"/>
              </w:rPr>
            </w:pPr>
            <w:r>
              <w:rPr>
                <w:rFonts w:ascii="Calibri" w:eastAsia="Calibri" w:hAnsi="Calibri" w:cs="Calibri"/>
                <w:b/>
                <w:bCs/>
                <w:lang w:val="es-PR"/>
              </w:rPr>
              <w:t>2021</w:t>
            </w:r>
          </w:p>
        </w:tc>
        <w:tc>
          <w:tcPr>
            <w:tcW w:w="1275" w:type="dxa"/>
          </w:tcPr>
          <w:p w14:paraId="041A0AB9" w14:textId="358BD01F" w:rsidR="11458547" w:rsidRDefault="11458547" w:rsidP="11458547">
            <w:pPr>
              <w:spacing w:line="259" w:lineRule="auto"/>
              <w:jc w:val="center"/>
              <w:rPr>
                <w:rFonts w:ascii="Calibri" w:eastAsia="Calibri" w:hAnsi="Calibri" w:cs="Calibri"/>
              </w:rPr>
            </w:pPr>
            <w:r>
              <w:rPr>
                <w:rFonts w:ascii="Calibri" w:eastAsia="Calibri" w:hAnsi="Calibri" w:cs="Calibri"/>
                <w:b/>
                <w:bCs/>
                <w:lang w:val="es-PR"/>
              </w:rPr>
              <w:t>2022</w:t>
            </w:r>
          </w:p>
        </w:tc>
        <w:tc>
          <w:tcPr>
            <w:tcW w:w="1275" w:type="dxa"/>
          </w:tcPr>
          <w:p w14:paraId="47295C0D" w14:textId="6165BA72" w:rsidR="11458547" w:rsidRDefault="11458547" w:rsidP="11458547">
            <w:pPr>
              <w:spacing w:line="259" w:lineRule="auto"/>
              <w:jc w:val="center"/>
              <w:rPr>
                <w:rFonts w:ascii="Calibri" w:eastAsia="Calibri" w:hAnsi="Calibri" w:cs="Calibri"/>
              </w:rPr>
            </w:pPr>
            <w:r>
              <w:rPr>
                <w:rFonts w:ascii="Calibri" w:eastAsia="Calibri" w:hAnsi="Calibri" w:cs="Calibri"/>
                <w:b/>
                <w:bCs/>
                <w:lang w:val="es-PR"/>
              </w:rPr>
              <w:t>2023</w:t>
            </w:r>
          </w:p>
        </w:tc>
        <w:tc>
          <w:tcPr>
            <w:tcW w:w="1275" w:type="dxa"/>
          </w:tcPr>
          <w:p w14:paraId="0186D260" w14:textId="4B386DA3" w:rsidR="11458547" w:rsidRDefault="11458547" w:rsidP="11458547">
            <w:pPr>
              <w:spacing w:line="259" w:lineRule="auto"/>
              <w:jc w:val="center"/>
              <w:rPr>
                <w:rFonts w:ascii="Calibri" w:eastAsia="Calibri" w:hAnsi="Calibri" w:cs="Calibri"/>
              </w:rPr>
            </w:pPr>
            <w:r>
              <w:rPr>
                <w:rFonts w:ascii="Calibri" w:eastAsia="Calibri" w:hAnsi="Calibri" w:cs="Calibri"/>
                <w:b/>
                <w:bCs/>
                <w:lang w:val="es-PR"/>
              </w:rPr>
              <w:t>2024</w:t>
            </w:r>
          </w:p>
        </w:tc>
        <w:tc>
          <w:tcPr>
            <w:tcW w:w="1275" w:type="dxa"/>
          </w:tcPr>
          <w:p w14:paraId="478A199B" w14:textId="048C9FA8" w:rsidR="11458547" w:rsidRDefault="11458547" w:rsidP="11458547">
            <w:pPr>
              <w:spacing w:line="259" w:lineRule="auto"/>
              <w:jc w:val="center"/>
              <w:rPr>
                <w:rFonts w:ascii="Calibri" w:eastAsia="Calibri" w:hAnsi="Calibri" w:cs="Calibri"/>
              </w:rPr>
            </w:pPr>
            <w:r>
              <w:rPr>
                <w:rFonts w:ascii="Calibri" w:eastAsia="Calibri" w:hAnsi="Calibri" w:cs="Calibri"/>
                <w:b/>
                <w:bCs/>
                <w:lang w:val="es-PR"/>
              </w:rPr>
              <w:t>2025</w:t>
            </w:r>
          </w:p>
        </w:tc>
      </w:tr>
      <w:tr w:rsidR="11458547" w14:paraId="631770DF" w14:textId="77777777" w:rsidTr="1B7C5E0B">
        <w:tc>
          <w:tcPr>
            <w:tcW w:w="2220" w:type="dxa"/>
          </w:tcPr>
          <w:p w14:paraId="39F47907" w14:textId="09D5DE17" w:rsidR="11458547" w:rsidRDefault="11458547" w:rsidP="00300D8D">
            <w:pPr>
              <w:spacing w:line="259" w:lineRule="auto"/>
              <w:rPr>
                <w:rFonts w:ascii="Calibri" w:eastAsia="Calibri" w:hAnsi="Calibri" w:cs="Calibri"/>
              </w:rPr>
            </w:pPr>
            <w:r>
              <w:rPr>
                <w:rFonts w:ascii="Calibri" w:eastAsia="Calibri" w:hAnsi="Calibri" w:cs="Calibri"/>
                <w:lang w:val="es-PR"/>
              </w:rPr>
              <w:t>Objetivos 4A ≤</w:t>
            </w:r>
          </w:p>
        </w:tc>
        <w:tc>
          <w:tcPr>
            <w:tcW w:w="1275" w:type="dxa"/>
          </w:tcPr>
          <w:p w14:paraId="1BE3574C" w14:textId="6396B2D1" w:rsidR="11458547" w:rsidRDefault="00BB6EA2" w:rsidP="1B7C5E0B">
            <w:pPr>
              <w:spacing w:line="259" w:lineRule="auto"/>
              <w:jc w:val="center"/>
              <w:rPr>
                <w:rFonts w:ascii="Calibri" w:eastAsia="Calibri" w:hAnsi="Calibri" w:cs="Calibri"/>
              </w:rPr>
            </w:pPr>
            <w:r>
              <w:rPr>
                <w:rFonts w:ascii="Calibri" w:eastAsia="Calibri" w:hAnsi="Calibri" w:cs="Calibri"/>
                <w:lang w:val="es-PR"/>
              </w:rPr>
              <w:t>62.00%</w:t>
            </w:r>
          </w:p>
        </w:tc>
        <w:tc>
          <w:tcPr>
            <w:tcW w:w="1275" w:type="dxa"/>
          </w:tcPr>
          <w:p w14:paraId="27B9FB50" w14:textId="6EA0F2D7" w:rsidR="11458547" w:rsidRDefault="00BB6EA2" w:rsidP="00BB6EA2">
            <w:pPr>
              <w:spacing w:line="259" w:lineRule="auto"/>
              <w:jc w:val="center"/>
              <w:rPr>
                <w:rFonts w:ascii="Calibri" w:eastAsia="Calibri" w:hAnsi="Calibri" w:cs="Calibri"/>
              </w:rPr>
            </w:pPr>
            <w:r>
              <w:rPr>
                <w:rFonts w:ascii="Calibri" w:eastAsia="Calibri" w:hAnsi="Calibri" w:cs="Calibri"/>
                <w:lang w:val="es-PR"/>
              </w:rPr>
              <w:t>62.00%</w:t>
            </w:r>
          </w:p>
        </w:tc>
        <w:tc>
          <w:tcPr>
            <w:tcW w:w="1275" w:type="dxa"/>
          </w:tcPr>
          <w:p w14:paraId="5E5CA2C5" w14:textId="1BEA0AFC" w:rsidR="11458547" w:rsidRDefault="00BB6EA2" w:rsidP="00BB6EA2">
            <w:pPr>
              <w:spacing w:line="259" w:lineRule="auto"/>
              <w:jc w:val="center"/>
              <w:rPr>
                <w:rFonts w:ascii="Calibri" w:eastAsia="Calibri" w:hAnsi="Calibri" w:cs="Calibri"/>
              </w:rPr>
            </w:pPr>
            <w:r>
              <w:rPr>
                <w:rFonts w:ascii="Calibri" w:eastAsia="Calibri" w:hAnsi="Calibri" w:cs="Calibri"/>
                <w:lang w:val="es-PR"/>
              </w:rPr>
              <w:t>61.50%</w:t>
            </w:r>
          </w:p>
        </w:tc>
        <w:tc>
          <w:tcPr>
            <w:tcW w:w="1275" w:type="dxa"/>
          </w:tcPr>
          <w:p w14:paraId="39CD7664" w14:textId="7B358D02" w:rsidR="11458547" w:rsidRDefault="148FBD78" w:rsidP="1B7C5E0B">
            <w:pPr>
              <w:spacing w:line="259" w:lineRule="auto"/>
              <w:jc w:val="center"/>
              <w:rPr>
                <w:rFonts w:ascii="Calibri" w:eastAsia="Calibri" w:hAnsi="Calibri" w:cs="Calibri"/>
              </w:rPr>
            </w:pPr>
            <w:r>
              <w:rPr>
                <w:rFonts w:ascii="Calibri" w:eastAsia="Calibri" w:hAnsi="Calibri" w:cs="Calibri"/>
                <w:lang w:val="es-PR"/>
              </w:rPr>
              <w:t>61.25%</w:t>
            </w:r>
          </w:p>
        </w:tc>
        <w:tc>
          <w:tcPr>
            <w:tcW w:w="1275" w:type="dxa"/>
          </w:tcPr>
          <w:p w14:paraId="4E98C006" w14:textId="06C47462" w:rsidR="11458547" w:rsidRDefault="148FBD78" w:rsidP="1B7C5E0B">
            <w:pPr>
              <w:spacing w:line="259" w:lineRule="auto"/>
              <w:jc w:val="center"/>
              <w:rPr>
                <w:rFonts w:ascii="Calibri" w:eastAsia="Calibri" w:hAnsi="Calibri" w:cs="Calibri"/>
              </w:rPr>
            </w:pPr>
            <w:r>
              <w:rPr>
                <w:rFonts w:ascii="Calibri" w:eastAsia="Calibri" w:hAnsi="Calibri" w:cs="Calibri"/>
                <w:lang w:val="es-PR"/>
              </w:rPr>
              <w:t>61.00%</w:t>
            </w:r>
          </w:p>
        </w:tc>
        <w:tc>
          <w:tcPr>
            <w:tcW w:w="1275" w:type="dxa"/>
          </w:tcPr>
          <w:p w14:paraId="2900B4A7" w14:textId="13B9272D" w:rsidR="11458547" w:rsidRDefault="148FBD78" w:rsidP="1B7C5E0B">
            <w:pPr>
              <w:spacing w:line="259" w:lineRule="auto"/>
              <w:jc w:val="center"/>
              <w:rPr>
                <w:rFonts w:ascii="Calibri" w:eastAsia="Calibri" w:hAnsi="Calibri" w:cs="Calibri"/>
              </w:rPr>
            </w:pPr>
            <w:r>
              <w:rPr>
                <w:rFonts w:ascii="Calibri" w:eastAsia="Calibri" w:hAnsi="Calibri" w:cs="Calibri"/>
                <w:lang w:val="es-PR"/>
              </w:rPr>
              <w:t>60.50%</w:t>
            </w:r>
          </w:p>
        </w:tc>
      </w:tr>
    </w:tbl>
    <w:p w14:paraId="5F35CFE9" w14:textId="4479FC23" w:rsidR="255201E7" w:rsidRPr="00F14F43" w:rsidRDefault="00BB6EA2" w:rsidP="00BC1904">
      <w:pPr>
        <w:spacing w:after="120"/>
        <w:rPr>
          <w:rFonts w:ascii="Calibri" w:eastAsia="Calibri" w:hAnsi="Calibri" w:cs="Calibri"/>
          <w:color w:val="000000" w:themeColor="text1"/>
        </w:rPr>
      </w:pPr>
      <w:r>
        <w:rPr>
          <w:rFonts w:ascii="Calibri" w:eastAsia="Calibri" w:hAnsi="Calibri" w:cs="Calibri"/>
          <w:color w:val="000000" w:themeColor="text1"/>
          <w:lang w:val="es-PR"/>
        </w:rPr>
        <w:t>El ejemplo B muestra una mayor mejora.</w:t>
      </w:r>
    </w:p>
    <w:p w14:paraId="0DD861B0" w14:textId="60A93722" w:rsidR="134DEFB0" w:rsidRDefault="134DEFB0" w:rsidP="00863AC2">
      <w:pPr>
        <w:jc w:val="center"/>
        <w:rPr>
          <w:rFonts w:ascii="Calibri" w:eastAsia="Calibri" w:hAnsi="Calibri" w:cs="Calibri"/>
          <w:b/>
          <w:bCs/>
          <w:color w:val="000000" w:themeColor="text1"/>
        </w:rPr>
      </w:pPr>
      <w:r>
        <w:rPr>
          <w:rFonts w:ascii="Calibri" w:eastAsia="Calibri" w:hAnsi="Calibri" w:cs="Calibri"/>
          <w:b/>
          <w:bCs/>
          <w:color w:val="538135" w:themeColor="accent6" w:themeShade="BF"/>
          <w:lang w:val="es-PR"/>
        </w:rPr>
        <w:t>Si necesita más información para proporcionar su opinión, comuníquese con:</w:t>
      </w:r>
      <w:r>
        <w:rPr>
          <w:rFonts w:ascii="Calibri" w:eastAsia="Calibri" w:hAnsi="Calibri" w:cs="Calibri"/>
          <w:color w:val="538135" w:themeColor="accent6" w:themeShade="BF"/>
          <w:lang w:val="es-PR"/>
        </w:rPr>
        <w:br/>
      </w:r>
      <w:r>
        <w:rPr>
          <w:rFonts w:ascii="Calibri" w:eastAsia="Calibri" w:hAnsi="Calibri" w:cs="Calibri"/>
          <w:b/>
          <w:bCs/>
          <w:color w:val="538135" w:themeColor="accent6" w:themeShade="BF"/>
          <w:lang w:val="es-PR"/>
        </w:rPr>
        <w:t xml:space="preserve">Lisa Bateman, especialista en educación, en </w:t>
      </w:r>
      <w:r>
        <w:rPr>
          <w:rFonts w:ascii="Calibri" w:eastAsia="Calibri" w:hAnsi="Calibri" w:cs="Calibri"/>
          <w:b/>
          <w:bCs/>
          <w:color w:val="000000" w:themeColor="text1"/>
          <w:lang w:val="es-PR"/>
        </w:rPr>
        <w:t xml:space="preserve"> </w:t>
      </w:r>
      <w:r>
        <w:rPr>
          <w:rStyle w:val="Hyperlink"/>
          <w:rFonts w:ascii="Calibri" w:eastAsia="Calibri" w:hAnsi="Calibri" w:cs="Calibri"/>
          <w:b/>
          <w:bCs/>
          <w:lang w:val="es-PR"/>
        </w:rPr>
        <w:t>lisa.bateman@state.or.us</w:t>
      </w:r>
      <w:r>
        <w:rPr>
          <w:rFonts w:ascii="Calibri" w:eastAsia="Calibri" w:hAnsi="Calibri" w:cs="Calibri"/>
          <w:b/>
          <w:bCs/>
          <w:color w:val="000000" w:themeColor="text1"/>
          <w:lang w:val="es-PR"/>
        </w:rPr>
        <w:t>.</w:t>
      </w:r>
    </w:p>
    <w:sectPr w:rsidR="134DEFB0">
      <w:footerReference w:type="default" r:id="rId14"/>
      <w:pgSz w:w="12240" w:h="15840"/>
      <w:pgMar w:top="720" w:right="1152" w:bottom="720" w:left="1152"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63537E2" w16cex:dateUtc="2021-09-30T16:48:29.124Z"/>
  <w16cex:commentExtensible w16cex:durableId="2C54C23B" w16cex:dateUtc="2021-10-22T21:27:57.772Z"/>
  <w16cex:commentExtensible w16cex:durableId="47EFBACE" w16cex:dateUtc="2021-10-27T22:42:28.867Z"/>
  <w16cex:commentExtensible w16cex:durableId="514AA64B" w16cex:dateUtc="2021-10-27T23:05:23.482Z"/>
  <w16cex:commentExtensible w16cex:durableId="5DA1DA20" w16cex:dateUtc="2021-10-27T23:12:29.758Z"/>
  <w16cex:commentExtensible w16cex:durableId="0809BADB" w16cex:dateUtc="2021-10-27T23:14:30.952Z"/>
  <w16cex:commentExtensible w16cex:durableId="35DC038D" w16cex:dateUtc="2021-10-28T14:40:17.032Z"/>
  <w16cex:commentExtensible w16cex:durableId="755C7E5E" w16cex:dateUtc="2021-10-28T17:18:29.949Z"/>
  <w16cex:commentExtensible w16cex:durableId="565C575A" w16cex:dateUtc="2021-10-28T19:10:12.661Z"/>
  <w16cex:commentExtensible w16cex:durableId="2A8EE975" w16cex:dateUtc="2021-10-28T19:32:42.363Z"/>
  <w16cex:commentExtensible w16cex:durableId="4CA68027" w16cex:dateUtc="2021-10-28T19:36:45.52Z"/>
  <w16cex:commentExtensible w16cex:durableId="76C903E6" w16cex:dateUtc="2021-10-28T19:38:09.594Z"/>
  <w16cex:commentExtensible w16cex:durableId="0E600804" w16cex:dateUtc="2021-10-28T19:38:44.087Z"/>
  <w16cex:commentExtensible w16cex:durableId="189B0EAC" w16cex:dateUtc="2021-10-28T19:39:48.667Z"/>
  <w16cex:commentExtensible w16cex:durableId="353F2969" w16cex:dateUtc="2021-10-28T19:45:08.592Z"/>
  <w16cex:commentExtensible w16cex:durableId="19BC0117" w16cex:dateUtc="2021-10-28T19:50:03.743Z"/>
  <w16cex:commentExtensible w16cex:durableId="419CD883" w16cex:dateUtc="2021-10-28T21:04:41.18Z"/>
</w16cex:commentsExtensible>
</file>

<file path=word/commentsIds.xml><?xml version="1.0" encoding="utf-8"?>
<w16cid:commentsIds xmlns:mc="http://schemas.openxmlformats.org/markup-compatibility/2006" xmlns:w16cid="http://schemas.microsoft.com/office/word/2016/wordml/cid" mc:Ignorable="w16cid">
  <w16cid:commentId w16cid:paraId="3ED90CD6" w16cid:durableId="363537E2"/>
  <w16cid:commentId w16cid:paraId="63147020" w16cid:durableId="2C54C23B"/>
  <w16cid:commentId w16cid:paraId="5A533345" w16cid:durableId="47EFBACE"/>
  <w16cid:commentId w16cid:paraId="676EC8C6" w16cid:durableId="514AA64B"/>
  <w16cid:commentId w16cid:paraId="0F1382A1" w16cid:durableId="5DA1DA20"/>
  <w16cid:commentId w16cid:paraId="4C4ED607" w16cid:durableId="0809BADB"/>
  <w16cid:commentId w16cid:paraId="62CF947E" w16cid:durableId="35DC038D"/>
  <w16cid:commentId w16cid:paraId="30518992" w16cid:durableId="755C7E5E"/>
  <w16cid:commentId w16cid:paraId="7D82625F" w16cid:durableId="565C575A"/>
  <w16cid:commentId w16cid:paraId="7A52A996" w16cid:durableId="2A8EE975"/>
  <w16cid:commentId w16cid:paraId="641DCB94" w16cid:durableId="4CA68027"/>
  <w16cid:commentId w16cid:paraId="13946A0C" w16cid:durableId="76C903E6"/>
  <w16cid:commentId w16cid:paraId="15214D45" w16cid:durableId="0E600804"/>
  <w16cid:commentId w16cid:paraId="396649E6" w16cid:durableId="189B0EAC"/>
  <w16cid:commentId w16cid:paraId="02762ED8" w16cid:durableId="353F2969"/>
  <w16cid:commentId w16cid:paraId="5267B635" w16cid:durableId="19BC0117"/>
  <w16cid:commentId w16cid:paraId="105E0DDF" w16cid:durableId="419CD88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1EDEC" w14:textId="77777777" w:rsidR="007911BE" w:rsidRDefault="007911BE" w:rsidP="00A015AF">
      <w:pPr>
        <w:spacing w:after="0" w:line="240" w:lineRule="auto"/>
      </w:pPr>
      <w:r>
        <w:separator/>
      </w:r>
    </w:p>
  </w:endnote>
  <w:endnote w:type="continuationSeparator" w:id="0">
    <w:p w14:paraId="73E62A6C" w14:textId="77777777" w:rsidR="007911BE" w:rsidRDefault="007911BE" w:rsidP="00A015AF">
      <w:pPr>
        <w:spacing w:after="0" w:line="240" w:lineRule="auto"/>
      </w:pPr>
      <w:r>
        <w:continuationSeparator/>
      </w:r>
    </w:p>
  </w:endnote>
  <w:endnote w:type="continuationNotice" w:id="1">
    <w:p w14:paraId="09B8C67A" w14:textId="77777777" w:rsidR="007911BE" w:rsidRDefault="007911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44D70" w14:textId="2D7DC7D6" w:rsidR="11458547" w:rsidRDefault="00BB6EA2" w:rsidP="11458547">
    <w:pPr>
      <w:pStyle w:val="Footer"/>
    </w:pPr>
    <w:r>
      <w:rPr>
        <w:lang w:val="es-PR"/>
      </w:rPr>
      <w:t>Hoja de datos del plan estatal de desempeño - Indicador B4A</w:t>
    </w:r>
    <w:r>
      <w:rPr>
        <w:lang w:val="es-PR"/>
      </w:rPr>
      <w:tab/>
    </w:r>
    <w:r>
      <w:rPr>
        <w:lang w:val="es-PR"/>
      </w:rPr>
      <w:tab/>
    </w:r>
    <w:r>
      <w:rPr>
        <w:lang w:val="es-PR"/>
      </w:rPr>
      <w:fldChar w:fldCharType="begin"/>
    </w:r>
    <w:r>
      <w:rPr>
        <w:lang w:val="es-PR"/>
      </w:rPr>
      <w:instrText xml:space="preserve"> PAGE   \* MERGEFORMAT </w:instrText>
    </w:r>
    <w:r>
      <w:rPr>
        <w:lang w:val="es-PR"/>
      </w:rPr>
      <w:fldChar w:fldCharType="separate"/>
    </w:r>
    <w:r w:rsidR="00426B7C">
      <w:rPr>
        <w:noProof/>
        <w:lang w:val="es-PR"/>
      </w:rPr>
      <w:t>2</w:t>
    </w:r>
    <w:r>
      <w:rPr>
        <w:noProof/>
        <w:lang w:val="es-P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3E105" w14:textId="77777777" w:rsidR="007911BE" w:rsidRDefault="007911BE" w:rsidP="00A015AF">
      <w:pPr>
        <w:spacing w:after="0" w:line="240" w:lineRule="auto"/>
      </w:pPr>
      <w:r>
        <w:separator/>
      </w:r>
    </w:p>
  </w:footnote>
  <w:footnote w:type="continuationSeparator" w:id="0">
    <w:p w14:paraId="048D3ED5" w14:textId="77777777" w:rsidR="007911BE" w:rsidRDefault="007911BE" w:rsidP="00A015AF">
      <w:pPr>
        <w:spacing w:after="0" w:line="240" w:lineRule="auto"/>
      </w:pPr>
      <w:r>
        <w:continuationSeparator/>
      </w:r>
    </w:p>
  </w:footnote>
  <w:footnote w:type="continuationNotice" w:id="1">
    <w:p w14:paraId="36828BB9" w14:textId="77777777" w:rsidR="007911BE" w:rsidRDefault="007911B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E6D0A"/>
    <w:multiLevelType w:val="hybridMultilevel"/>
    <w:tmpl w:val="CB366504"/>
    <w:lvl w:ilvl="0" w:tplc="D9485534">
      <w:start w:val="1"/>
      <w:numFmt w:val="decimal"/>
      <w:lvlText w:val="%1."/>
      <w:lvlJc w:val="left"/>
      <w:pPr>
        <w:ind w:left="720" w:hanging="360"/>
      </w:pPr>
    </w:lvl>
    <w:lvl w:ilvl="1" w:tplc="06E24E52">
      <w:start w:val="1"/>
      <w:numFmt w:val="lowerLetter"/>
      <w:lvlText w:val="%2."/>
      <w:lvlJc w:val="left"/>
      <w:pPr>
        <w:ind w:left="1440" w:hanging="360"/>
      </w:pPr>
    </w:lvl>
    <w:lvl w:ilvl="2" w:tplc="0ADAABC6">
      <w:start w:val="1"/>
      <w:numFmt w:val="lowerRoman"/>
      <w:lvlText w:val="%3."/>
      <w:lvlJc w:val="right"/>
      <w:pPr>
        <w:ind w:left="2160" w:hanging="180"/>
      </w:pPr>
    </w:lvl>
    <w:lvl w:ilvl="3" w:tplc="6EBC895C">
      <w:start w:val="1"/>
      <w:numFmt w:val="decimal"/>
      <w:lvlText w:val="%4."/>
      <w:lvlJc w:val="left"/>
      <w:pPr>
        <w:ind w:left="2880" w:hanging="360"/>
      </w:pPr>
    </w:lvl>
    <w:lvl w:ilvl="4" w:tplc="17C66768">
      <w:start w:val="1"/>
      <w:numFmt w:val="lowerLetter"/>
      <w:lvlText w:val="%5."/>
      <w:lvlJc w:val="left"/>
      <w:pPr>
        <w:ind w:left="3600" w:hanging="360"/>
      </w:pPr>
    </w:lvl>
    <w:lvl w:ilvl="5" w:tplc="9334BD54">
      <w:start w:val="1"/>
      <w:numFmt w:val="lowerRoman"/>
      <w:lvlText w:val="%6."/>
      <w:lvlJc w:val="right"/>
      <w:pPr>
        <w:ind w:left="4320" w:hanging="180"/>
      </w:pPr>
    </w:lvl>
    <w:lvl w:ilvl="6" w:tplc="CA7E028E">
      <w:start w:val="1"/>
      <w:numFmt w:val="decimal"/>
      <w:lvlText w:val="%7."/>
      <w:lvlJc w:val="left"/>
      <w:pPr>
        <w:ind w:left="5040" w:hanging="360"/>
      </w:pPr>
    </w:lvl>
    <w:lvl w:ilvl="7" w:tplc="63CC1BD8">
      <w:start w:val="1"/>
      <w:numFmt w:val="lowerLetter"/>
      <w:lvlText w:val="%8."/>
      <w:lvlJc w:val="left"/>
      <w:pPr>
        <w:ind w:left="5760" w:hanging="360"/>
      </w:pPr>
    </w:lvl>
    <w:lvl w:ilvl="8" w:tplc="8E7CBC80">
      <w:start w:val="1"/>
      <w:numFmt w:val="lowerRoman"/>
      <w:lvlText w:val="%9."/>
      <w:lvlJc w:val="right"/>
      <w:pPr>
        <w:ind w:left="6480" w:hanging="180"/>
      </w:pPr>
    </w:lvl>
  </w:abstractNum>
  <w:abstractNum w:abstractNumId="1" w15:restartNumberingAfterBreak="0">
    <w:nsid w:val="18F653A0"/>
    <w:multiLevelType w:val="hybridMultilevel"/>
    <w:tmpl w:val="EEE8E74A"/>
    <w:lvl w:ilvl="0" w:tplc="B180FCD8">
      <w:start w:val="1"/>
      <w:numFmt w:val="bullet"/>
      <w:lvlText w:val=""/>
      <w:lvlJc w:val="left"/>
      <w:pPr>
        <w:ind w:left="720" w:hanging="360"/>
      </w:pPr>
      <w:rPr>
        <w:rFonts w:ascii="Symbol" w:hAnsi="Symbol" w:hint="default"/>
      </w:rPr>
    </w:lvl>
    <w:lvl w:ilvl="1" w:tplc="704EBD6C">
      <w:start w:val="1"/>
      <w:numFmt w:val="bullet"/>
      <w:lvlText w:val="o"/>
      <w:lvlJc w:val="left"/>
      <w:pPr>
        <w:ind w:left="1440" w:hanging="360"/>
      </w:pPr>
      <w:rPr>
        <w:rFonts w:ascii="Courier New" w:hAnsi="Courier New" w:hint="default"/>
      </w:rPr>
    </w:lvl>
    <w:lvl w:ilvl="2" w:tplc="8948F59E">
      <w:start w:val="1"/>
      <w:numFmt w:val="bullet"/>
      <w:lvlText w:val=""/>
      <w:lvlJc w:val="left"/>
      <w:pPr>
        <w:ind w:left="2160" w:hanging="360"/>
      </w:pPr>
      <w:rPr>
        <w:rFonts w:ascii="Wingdings" w:hAnsi="Wingdings" w:hint="default"/>
      </w:rPr>
    </w:lvl>
    <w:lvl w:ilvl="3" w:tplc="63F8AA60">
      <w:start w:val="1"/>
      <w:numFmt w:val="bullet"/>
      <w:lvlText w:val=""/>
      <w:lvlJc w:val="left"/>
      <w:pPr>
        <w:ind w:left="2880" w:hanging="360"/>
      </w:pPr>
      <w:rPr>
        <w:rFonts w:ascii="Symbol" w:hAnsi="Symbol" w:hint="default"/>
      </w:rPr>
    </w:lvl>
    <w:lvl w:ilvl="4" w:tplc="BCF0FE88">
      <w:start w:val="1"/>
      <w:numFmt w:val="bullet"/>
      <w:lvlText w:val="o"/>
      <w:lvlJc w:val="left"/>
      <w:pPr>
        <w:ind w:left="3600" w:hanging="360"/>
      </w:pPr>
      <w:rPr>
        <w:rFonts w:ascii="Courier New" w:hAnsi="Courier New" w:hint="default"/>
      </w:rPr>
    </w:lvl>
    <w:lvl w:ilvl="5" w:tplc="75CC9C96">
      <w:start w:val="1"/>
      <w:numFmt w:val="bullet"/>
      <w:lvlText w:val=""/>
      <w:lvlJc w:val="left"/>
      <w:pPr>
        <w:ind w:left="4320" w:hanging="360"/>
      </w:pPr>
      <w:rPr>
        <w:rFonts w:ascii="Wingdings" w:hAnsi="Wingdings" w:hint="default"/>
      </w:rPr>
    </w:lvl>
    <w:lvl w:ilvl="6" w:tplc="BF3602FC">
      <w:start w:val="1"/>
      <w:numFmt w:val="bullet"/>
      <w:lvlText w:val=""/>
      <w:lvlJc w:val="left"/>
      <w:pPr>
        <w:ind w:left="5040" w:hanging="360"/>
      </w:pPr>
      <w:rPr>
        <w:rFonts w:ascii="Symbol" w:hAnsi="Symbol" w:hint="default"/>
      </w:rPr>
    </w:lvl>
    <w:lvl w:ilvl="7" w:tplc="E5626470">
      <w:start w:val="1"/>
      <w:numFmt w:val="bullet"/>
      <w:lvlText w:val="o"/>
      <w:lvlJc w:val="left"/>
      <w:pPr>
        <w:ind w:left="5760" w:hanging="360"/>
      </w:pPr>
      <w:rPr>
        <w:rFonts w:ascii="Courier New" w:hAnsi="Courier New" w:hint="default"/>
      </w:rPr>
    </w:lvl>
    <w:lvl w:ilvl="8" w:tplc="A3905C88">
      <w:start w:val="1"/>
      <w:numFmt w:val="bullet"/>
      <w:lvlText w:val=""/>
      <w:lvlJc w:val="left"/>
      <w:pPr>
        <w:ind w:left="6480" w:hanging="360"/>
      </w:pPr>
      <w:rPr>
        <w:rFonts w:ascii="Wingdings" w:hAnsi="Wingdings" w:hint="default"/>
      </w:rPr>
    </w:lvl>
  </w:abstractNum>
  <w:abstractNum w:abstractNumId="2" w15:restartNumberingAfterBreak="0">
    <w:nsid w:val="1A9507BA"/>
    <w:multiLevelType w:val="hybridMultilevel"/>
    <w:tmpl w:val="103C20F4"/>
    <w:lvl w:ilvl="0" w:tplc="9A6235A4">
      <w:start w:val="1"/>
      <w:numFmt w:val="bullet"/>
      <w:lvlText w:val=""/>
      <w:lvlJc w:val="left"/>
      <w:pPr>
        <w:ind w:left="720" w:hanging="360"/>
      </w:pPr>
      <w:rPr>
        <w:rFonts w:ascii="Symbol" w:hAnsi="Symbol" w:hint="default"/>
      </w:rPr>
    </w:lvl>
    <w:lvl w:ilvl="1" w:tplc="5AE45B18">
      <w:start w:val="1"/>
      <w:numFmt w:val="bullet"/>
      <w:lvlText w:val="o"/>
      <w:lvlJc w:val="left"/>
      <w:pPr>
        <w:ind w:left="1440" w:hanging="360"/>
      </w:pPr>
      <w:rPr>
        <w:rFonts w:ascii="Courier New" w:hAnsi="Courier New" w:hint="default"/>
      </w:rPr>
    </w:lvl>
    <w:lvl w:ilvl="2" w:tplc="43208416">
      <w:start w:val="1"/>
      <w:numFmt w:val="bullet"/>
      <w:lvlText w:val=""/>
      <w:lvlJc w:val="left"/>
      <w:pPr>
        <w:ind w:left="2160" w:hanging="360"/>
      </w:pPr>
      <w:rPr>
        <w:rFonts w:ascii="Wingdings" w:hAnsi="Wingdings" w:hint="default"/>
      </w:rPr>
    </w:lvl>
    <w:lvl w:ilvl="3" w:tplc="9ED61AF4">
      <w:start w:val="1"/>
      <w:numFmt w:val="bullet"/>
      <w:lvlText w:val=""/>
      <w:lvlJc w:val="left"/>
      <w:pPr>
        <w:ind w:left="2880" w:hanging="360"/>
      </w:pPr>
      <w:rPr>
        <w:rFonts w:ascii="Symbol" w:hAnsi="Symbol" w:hint="default"/>
      </w:rPr>
    </w:lvl>
    <w:lvl w:ilvl="4" w:tplc="6FCEAAF2">
      <w:start w:val="1"/>
      <w:numFmt w:val="bullet"/>
      <w:lvlText w:val="o"/>
      <w:lvlJc w:val="left"/>
      <w:pPr>
        <w:ind w:left="3600" w:hanging="360"/>
      </w:pPr>
      <w:rPr>
        <w:rFonts w:ascii="Courier New" w:hAnsi="Courier New" w:hint="default"/>
      </w:rPr>
    </w:lvl>
    <w:lvl w:ilvl="5" w:tplc="BBC63AAA">
      <w:start w:val="1"/>
      <w:numFmt w:val="bullet"/>
      <w:lvlText w:val=""/>
      <w:lvlJc w:val="left"/>
      <w:pPr>
        <w:ind w:left="4320" w:hanging="360"/>
      </w:pPr>
      <w:rPr>
        <w:rFonts w:ascii="Wingdings" w:hAnsi="Wingdings" w:hint="default"/>
      </w:rPr>
    </w:lvl>
    <w:lvl w:ilvl="6" w:tplc="1ADCD408">
      <w:start w:val="1"/>
      <w:numFmt w:val="bullet"/>
      <w:lvlText w:val=""/>
      <w:lvlJc w:val="left"/>
      <w:pPr>
        <w:ind w:left="5040" w:hanging="360"/>
      </w:pPr>
      <w:rPr>
        <w:rFonts w:ascii="Symbol" w:hAnsi="Symbol" w:hint="default"/>
      </w:rPr>
    </w:lvl>
    <w:lvl w:ilvl="7" w:tplc="F57E92FA">
      <w:start w:val="1"/>
      <w:numFmt w:val="bullet"/>
      <w:lvlText w:val="o"/>
      <w:lvlJc w:val="left"/>
      <w:pPr>
        <w:ind w:left="5760" w:hanging="360"/>
      </w:pPr>
      <w:rPr>
        <w:rFonts w:ascii="Courier New" w:hAnsi="Courier New" w:hint="default"/>
      </w:rPr>
    </w:lvl>
    <w:lvl w:ilvl="8" w:tplc="1EB6848C">
      <w:start w:val="1"/>
      <w:numFmt w:val="bullet"/>
      <w:lvlText w:val=""/>
      <w:lvlJc w:val="left"/>
      <w:pPr>
        <w:ind w:left="6480" w:hanging="360"/>
      </w:pPr>
      <w:rPr>
        <w:rFonts w:ascii="Wingdings" w:hAnsi="Wingdings" w:hint="default"/>
      </w:rPr>
    </w:lvl>
  </w:abstractNum>
  <w:abstractNum w:abstractNumId="3" w15:restartNumberingAfterBreak="0">
    <w:nsid w:val="1E6D79B9"/>
    <w:multiLevelType w:val="hybridMultilevel"/>
    <w:tmpl w:val="F0CEB0B4"/>
    <w:lvl w:ilvl="0" w:tplc="64A464E2">
      <w:start w:val="1"/>
      <w:numFmt w:val="bullet"/>
      <w:lvlText w:val=""/>
      <w:lvlJc w:val="left"/>
      <w:pPr>
        <w:ind w:left="720" w:hanging="360"/>
      </w:pPr>
      <w:rPr>
        <w:rFonts w:ascii="Symbol" w:hAnsi="Symbol" w:hint="default"/>
      </w:rPr>
    </w:lvl>
    <w:lvl w:ilvl="1" w:tplc="B31CE896">
      <w:start w:val="1"/>
      <w:numFmt w:val="bullet"/>
      <w:lvlText w:val="o"/>
      <w:lvlJc w:val="left"/>
      <w:pPr>
        <w:ind w:left="1440" w:hanging="360"/>
      </w:pPr>
      <w:rPr>
        <w:rFonts w:ascii="Courier New" w:hAnsi="Courier New" w:hint="default"/>
      </w:rPr>
    </w:lvl>
    <w:lvl w:ilvl="2" w:tplc="6ECAB0AC">
      <w:start w:val="1"/>
      <w:numFmt w:val="bullet"/>
      <w:lvlText w:val=""/>
      <w:lvlJc w:val="left"/>
      <w:pPr>
        <w:ind w:left="2160" w:hanging="360"/>
      </w:pPr>
      <w:rPr>
        <w:rFonts w:ascii="Wingdings" w:hAnsi="Wingdings" w:hint="default"/>
      </w:rPr>
    </w:lvl>
    <w:lvl w:ilvl="3" w:tplc="2E72509E">
      <w:start w:val="1"/>
      <w:numFmt w:val="bullet"/>
      <w:lvlText w:val=""/>
      <w:lvlJc w:val="left"/>
      <w:pPr>
        <w:ind w:left="2880" w:hanging="360"/>
      </w:pPr>
      <w:rPr>
        <w:rFonts w:ascii="Symbol" w:hAnsi="Symbol" w:hint="default"/>
      </w:rPr>
    </w:lvl>
    <w:lvl w:ilvl="4" w:tplc="456CA1DC">
      <w:start w:val="1"/>
      <w:numFmt w:val="bullet"/>
      <w:lvlText w:val="o"/>
      <w:lvlJc w:val="left"/>
      <w:pPr>
        <w:ind w:left="3600" w:hanging="360"/>
      </w:pPr>
      <w:rPr>
        <w:rFonts w:ascii="Courier New" w:hAnsi="Courier New" w:hint="default"/>
      </w:rPr>
    </w:lvl>
    <w:lvl w:ilvl="5" w:tplc="F59297F0">
      <w:start w:val="1"/>
      <w:numFmt w:val="bullet"/>
      <w:lvlText w:val=""/>
      <w:lvlJc w:val="left"/>
      <w:pPr>
        <w:ind w:left="4320" w:hanging="360"/>
      </w:pPr>
      <w:rPr>
        <w:rFonts w:ascii="Wingdings" w:hAnsi="Wingdings" w:hint="default"/>
      </w:rPr>
    </w:lvl>
    <w:lvl w:ilvl="6" w:tplc="61B6F44C">
      <w:start w:val="1"/>
      <w:numFmt w:val="bullet"/>
      <w:lvlText w:val=""/>
      <w:lvlJc w:val="left"/>
      <w:pPr>
        <w:ind w:left="5040" w:hanging="360"/>
      </w:pPr>
      <w:rPr>
        <w:rFonts w:ascii="Symbol" w:hAnsi="Symbol" w:hint="default"/>
      </w:rPr>
    </w:lvl>
    <w:lvl w:ilvl="7" w:tplc="8D9ACD00">
      <w:start w:val="1"/>
      <w:numFmt w:val="bullet"/>
      <w:lvlText w:val="o"/>
      <w:lvlJc w:val="left"/>
      <w:pPr>
        <w:ind w:left="5760" w:hanging="360"/>
      </w:pPr>
      <w:rPr>
        <w:rFonts w:ascii="Courier New" w:hAnsi="Courier New" w:hint="default"/>
      </w:rPr>
    </w:lvl>
    <w:lvl w:ilvl="8" w:tplc="08F84D88">
      <w:start w:val="1"/>
      <w:numFmt w:val="bullet"/>
      <w:lvlText w:val=""/>
      <w:lvlJc w:val="left"/>
      <w:pPr>
        <w:ind w:left="6480" w:hanging="360"/>
      </w:pPr>
      <w:rPr>
        <w:rFonts w:ascii="Wingdings" w:hAnsi="Wingdings" w:hint="default"/>
      </w:rPr>
    </w:lvl>
  </w:abstractNum>
  <w:abstractNum w:abstractNumId="4" w15:restartNumberingAfterBreak="0">
    <w:nsid w:val="21190251"/>
    <w:multiLevelType w:val="hybridMultilevel"/>
    <w:tmpl w:val="F64EB6AE"/>
    <w:lvl w:ilvl="0" w:tplc="9FC8314A">
      <w:start w:val="1"/>
      <w:numFmt w:val="decimal"/>
      <w:lvlText w:val="%1."/>
      <w:lvlJc w:val="left"/>
      <w:pPr>
        <w:ind w:left="720" w:hanging="360"/>
      </w:pPr>
    </w:lvl>
    <w:lvl w:ilvl="1" w:tplc="620E3B7A">
      <w:start w:val="1"/>
      <w:numFmt w:val="lowerLetter"/>
      <w:lvlText w:val="%2."/>
      <w:lvlJc w:val="left"/>
      <w:pPr>
        <w:ind w:left="1440" w:hanging="360"/>
      </w:pPr>
    </w:lvl>
    <w:lvl w:ilvl="2" w:tplc="105279A0">
      <w:start w:val="1"/>
      <w:numFmt w:val="lowerRoman"/>
      <w:lvlText w:val="%3."/>
      <w:lvlJc w:val="right"/>
      <w:pPr>
        <w:ind w:left="2160" w:hanging="180"/>
      </w:pPr>
    </w:lvl>
    <w:lvl w:ilvl="3" w:tplc="90D8484C">
      <w:start w:val="1"/>
      <w:numFmt w:val="decimal"/>
      <w:lvlText w:val="%4."/>
      <w:lvlJc w:val="left"/>
      <w:pPr>
        <w:ind w:left="2880" w:hanging="360"/>
      </w:pPr>
    </w:lvl>
    <w:lvl w:ilvl="4" w:tplc="D77E7944">
      <w:start w:val="1"/>
      <w:numFmt w:val="lowerLetter"/>
      <w:lvlText w:val="%5."/>
      <w:lvlJc w:val="left"/>
      <w:pPr>
        <w:ind w:left="3600" w:hanging="360"/>
      </w:pPr>
    </w:lvl>
    <w:lvl w:ilvl="5" w:tplc="B832E7AE">
      <w:start w:val="1"/>
      <w:numFmt w:val="lowerRoman"/>
      <w:lvlText w:val="%6."/>
      <w:lvlJc w:val="right"/>
      <w:pPr>
        <w:ind w:left="4320" w:hanging="180"/>
      </w:pPr>
    </w:lvl>
    <w:lvl w:ilvl="6" w:tplc="7C1A6136">
      <w:start w:val="1"/>
      <w:numFmt w:val="decimal"/>
      <w:lvlText w:val="%7."/>
      <w:lvlJc w:val="left"/>
      <w:pPr>
        <w:ind w:left="5040" w:hanging="360"/>
      </w:pPr>
    </w:lvl>
    <w:lvl w:ilvl="7" w:tplc="CF5E0548">
      <w:start w:val="1"/>
      <w:numFmt w:val="lowerLetter"/>
      <w:lvlText w:val="%8."/>
      <w:lvlJc w:val="left"/>
      <w:pPr>
        <w:ind w:left="5760" w:hanging="360"/>
      </w:pPr>
    </w:lvl>
    <w:lvl w:ilvl="8" w:tplc="DCE84088">
      <w:start w:val="1"/>
      <w:numFmt w:val="lowerRoman"/>
      <w:lvlText w:val="%9."/>
      <w:lvlJc w:val="right"/>
      <w:pPr>
        <w:ind w:left="6480" w:hanging="180"/>
      </w:pPr>
    </w:lvl>
  </w:abstractNum>
  <w:abstractNum w:abstractNumId="5" w15:restartNumberingAfterBreak="0">
    <w:nsid w:val="21E6376E"/>
    <w:multiLevelType w:val="hybridMultilevel"/>
    <w:tmpl w:val="584CEB0C"/>
    <w:lvl w:ilvl="0" w:tplc="EEE0BDFC">
      <w:start w:val="1"/>
      <w:numFmt w:val="bullet"/>
      <w:lvlText w:val=""/>
      <w:lvlJc w:val="left"/>
      <w:pPr>
        <w:ind w:left="720" w:hanging="360"/>
      </w:pPr>
      <w:rPr>
        <w:rFonts w:ascii="Symbol" w:hAnsi="Symbol" w:hint="default"/>
      </w:rPr>
    </w:lvl>
    <w:lvl w:ilvl="1" w:tplc="F7841D52">
      <w:start w:val="1"/>
      <w:numFmt w:val="bullet"/>
      <w:lvlText w:val="o"/>
      <w:lvlJc w:val="left"/>
      <w:pPr>
        <w:ind w:left="1440" w:hanging="360"/>
      </w:pPr>
      <w:rPr>
        <w:rFonts w:ascii="Courier New" w:hAnsi="Courier New" w:hint="default"/>
      </w:rPr>
    </w:lvl>
    <w:lvl w:ilvl="2" w:tplc="4BA66D66">
      <w:start w:val="1"/>
      <w:numFmt w:val="bullet"/>
      <w:lvlText w:val=""/>
      <w:lvlJc w:val="left"/>
      <w:pPr>
        <w:ind w:left="2160" w:hanging="360"/>
      </w:pPr>
      <w:rPr>
        <w:rFonts w:ascii="Wingdings" w:hAnsi="Wingdings" w:hint="default"/>
      </w:rPr>
    </w:lvl>
    <w:lvl w:ilvl="3" w:tplc="6082BDB6">
      <w:start w:val="1"/>
      <w:numFmt w:val="bullet"/>
      <w:lvlText w:val=""/>
      <w:lvlJc w:val="left"/>
      <w:pPr>
        <w:ind w:left="2880" w:hanging="360"/>
      </w:pPr>
      <w:rPr>
        <w:rFonts w:ascii="Symbol" w:hAnsi="Symbol" w:hint="default"/>
      </w:rPr>
    </w:lvl>
    <w:lvl w:ilvl="4" w:tplc="924A8938">
      <w:start w:val="1"/>
      <w:numFmt w:val="bullet"/>
      <w:lvlText w:val="o"/>
      <w:lvlJc w:val="left"/>
      <w:pPr>
        <w:ind w:left="3600" w:hanging="360"/>
      </w:pPr>
      <w:rPr>
        <w:rFonts w:ascii="Courier New" w:hAnsi="Courier New" w:hint="default"/>
      </w:rPr>
    </w:lvl>
    <w:lvl w:ilvl="5" w:tplc="A1945BA0">
      <w:start w:val="1"/>
      <w:numFmt w:val="bullet"/>
      <w:lvlText w:val=""/>
      <w:lvlJc w:val="left"/>
      <w:pPr>
        <w:ind w:left="4320" w:hanging="360"/>
      </w:pPr>
      <w:rPr>
        <w:rFonts w:ascii="Wingdings" w:hAnsi="Wingdings" w:hint="default"/>
      </w:rPr>
    </w:lvl>
    <w:lvl w:ilvl="6" w:tplc="8FDA0312">
      <w:start w:val="1"/>
      <w:numFmt w:val="bullet"/>
      <w:lvlText w:val=""/>
      <w:lvlJc w:val="left"/>
      <w:pPr>
        <w:ind w:left="5040" w:hanging="360"/>
      </w:pPr>
      <w:rPr>
        <w:rFonts w:ascii="Symbol" w:hAnsi="Symbol" w:hint="default"/>
      </w:rPr>
    </w:lvl>
    <w:lvl w:ilvl="7" w:tplc="3C2A8DFA">
      <w:start w:val="1"/>
      <w:numFmt w:val="bullet"/>
      <w:lvlText w:val="o"/>
      <w:lvlJc w:val="left"/>
      <w:pPr>
        <w:ind w:left="5760" w:hanging="360"/>
      </w:pPr>
      <w:rPr>
        <w:rFonts w:ascii="Courier New" w:hAnsi="Courier New" w:hint="default"/>
      </w:rPr>
    </w:lvl>
    <w:lvl w:ilvl="8" w:tplc="3C1C784A">
      <w:start w:val="1"/>
      <w:numFmt w:val="bullet"/>
      <w:lvlText w:val=""/>
      <w:lvlJc w:val="left"/>
      <w:pPr>
        <w:ind w:left="6480" w:hanging="360"/>
      </w:pPr>
      <w:rPr>
        <w:rFonts w:ascii="Wingdings" w:hAnsi="Wingdings" w:hint="default"/>
      </w:rPr>
    </w:lvl>
  </w:abstractNum>
  <w:abstractNum w:abstractNumId="6" w15:restartNumberingAfterBreak="0">
    <w:nsid w:val="3B987060"/>
    <w:multiLevelType w:val="hybridMultilevel"/>
    <w:tmpl w:val="BE78B5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351352"/>
    <w:multiLevelType w:val="hybridMultilevel"/>
    <w:tmpl w:val="CB1C77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DD4815"/>
    <w:multiLevelType w:val="multilevel"/>
    <w:tmpl w:val="48CC2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731ABB"/>
    <w:multiLevelType w:val="hybridMultilevel"/>
    <w:tmpl w:val="4282F3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C766BB"/>
    <w:multiLevelType w:val="hybridMultilevel"/>
    <w:tmpl w:val="9E407996"/>
    <w:lvl w:ilvl="0" w:tplc="126879B8">
      <w:start w:val="1"/>
      <w:numFmt w:val="bullet"/>
      <w:lvlText w:val=""/>
      <w:lvlJc w:val="left"/>
      <w:pPr>
        <w:ind w:left="720" w:hanging="360"/>
      </w:pPr>
      <w:rPr>
        <w:rFonts w:ascii="Symbol" w:hAnsi="Symbol" w:hint="default"/>
      </w:rPr>
    </w:lvl>
    <w:lvl w:ilvl="1" w:tplc="F8EC3D40">
      <w:start w:val="1"/>
      <w:numFmt w:val="bullet"/>
      <w:lvlText w:val="o"/>
      <w:lvlJc w:val="left"/>
      <w:pPr>
        <w:ind w:left="1440" w:hanging="360"/>
      </w:pPr>
      <w:rPr>
        <w:rFonts w:ascii="Courier New" w:hAnsi="Courier New" w:hint="default"/>
      </w:rPr>
    </w:lvl>
    <w:lvl w:ilvl="2" w:tplc="50B82F96">
      <w:start w:val="1"/>
      <w:numFmt w:val="bullet"/>
      <w:lvlText w:val=""/>
      <w:lvlJc w:val="left"/>
      <w:pPr>
        <w:ind w:left="2160" w:hanging="360"/>
      </w:pPr>
      <w:rPr>
        <w:rFonts w:ascii="Wingdings" w:hAnsi="Wingdings" w:hint="default"/>
      </w:rPr>
    </w:lvl>
    <w:lvl w:ilvl="3" w:tplc="1624A04C">
      <w:start w:val="1"/>
      <w:numFmt w:val="bullet"/>
      <w:lvlText w:val=""/>
      <w:lvlJc w:val="left"/>
      <w:pPr>
        <w:ind w:left="2880" w:hanging="360"/>
      </w:pPr>
      <w:rPr>
        <w:rFonts w:ascii="Symbol" w:hAnsi="Symbol" w:hint="default"/>
      </w:rPr>
    </w:lvl>
    <w:lvl w:ilvl="4" w:tplc="20385178">
      <w:start w:val="1"/>
      <w:numFmt w:val="bullet"/>
      <w:lvlText w:val="o"/>
      <w:lvlJc w:val="left"/>
      <w:pPr>
        <w:ind w:left="3600" w:hanging="360"/>
      </w:pPr>
      <w:rPr>
        <w:rFonts w:ascii="Courier New" w:hAnsi="Courier New" w:hint="default"/>
      </w:rPr>
    </w:lvl>
    <w:lvl w:ilvl="5" w:tplc="DCDA59CA">
      <w:start w:val="1"/>
      <w:numFmt w:val="bullet"/>
      <w:lvlText w:val=""/>
      <w:lvlJc w:val="left"/>
      <w:pPr>
        <w:ind w:left="4320" w:hanging="360"/>
      </w:pPr>
      <w:rPr>
        <w:rFonts w:ascii="Wingdings" w:hAnsi="Wingdings" w:hint="default"/>
      </w:rPr>
    </w:lvl>
    <w:lvl w:ilvl="6" w:tplc="04EE8CE4">
      <w:start w:val="1"/>
      <w:numFmt w:val="bullet"/>
      <w:lvlText w:val=""/>
      <w:lvlJc w:val="left"/>
      <w:pPr>
        <w:ind w:left="5040" w:hanging="360"/>
      </w:pPr>
      <w:rPr>
        <w:rFonts w:ascii="Symbol" w:hAnsi="Symbol" w:hint="default"/>
      </w:rPr>
    </w:lvl>
    <w:lvl w:ilvl="7" w:tplc="75A22714">
      <w:start w:val="1"/>
      <w:numFmt w:val="bullet"/>
      <w:lvlText w:val="o"/>
      <w:lvlJc w:val="left"/>
      <w:pPr>
        <w:ind w:left="5760" w:hanging="360"/>
      </w:pPr>
      <w:rPr>
        <w:rFonts w:ascii="Courier New" w:hAnsi="Courier New" w:hint="default"/>
      </w:rPr>
    </w:lvl>
    <w:lvl w:ilvl="8" w:tplc="73D29E7E">
      <w:start w:val="1"/>
      <w:numFmt w:val="bullet"/>
      <w:lvlText w:val=""/>
      <w:lvlJc w:val="left"/>
      <w:pPr>
        <w:ind w:left="6480" w:hanging="360"/>
      </w:pPr>
      <w:rPr>
        <w:rFonts w:ascii="Wingdings" w:hAnsi="Wingdings" w:hint="default"/>
      </w:rPr>
    </w:lvl>
  </w:abstractNum>
  <w:abstractNum w:abstractNumId="11" w15:restartNumberingAfterBreak="0">
    <w:nsid w:val="67903EB3"/>
    <w:multiLevelType w:val="hybridMultilevel"/>
    <w:tmpl w:val="FAF8BA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082AB2"/>
    <w:multiLevelType w:val="hybridMultilevel"/>
    <w:tmpl w:val="4282F3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10"/>
  </w:num>
  <w:num w:numId="4">
    <w:abstractNumId w:val="5"/>
  </w:num>
  <w:num w:numId="5">
    <w:abstractNumId w:val="4"/>
  </w:num>
  <w:num w:numId="6">
    <w:abstractNumId w:val="0"/>
  </w:num>
  <w:num w:numId="7">
    <w:abstractNumId w:val="2"/>
  </w:num>
  <w:num w:numId="8">
    <w:abstractNumId w:val="8"/>
  </w:num>
  <w:num w:numId="9">
    <w:abstractNumId w:val="9"/>
  </w:num>
  <w:num w:numId="10">
    <w:abstractNumId w:val="6"/>
  </w:num>
  <w:num w:numId="11">
    <w:abstractNumId w:val="7"/>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CD70CBB"/>
    <w:rsid w:val="000B7B51"/>
    <w:rsid w:val="000E4FA0"/>
    <w:rsid w:val="001010B9"/>
    <w:rsid w:val="001B52CA"/>
    <w:rsid w:val="001D55B0"/>
    <w:rsid w:val="0022411C"/>
    <w:rsid w:val="0026797A"/>
    <w:rsid w:val="0027587A"/>
    <w:rsid w:val="002A100A"/>
    <w:rsid w:val="002D66CC"/>
    <w:rsid w:val="00300812"/>
    <w:rsid w:val="00300D8D"/>
    <w:rsid w:val="00300F93"/>
    <w:rsid w:val="00327EB0"/>
    <w:rsid w:val="00344E90"/>
    <w:rsid w:val="003554B6"/>
    <w:rsid w:val="0035696D"/>
    <w:rsid w:val="00356BE5"/>
    <w:rsid w:val="00373050"/>
    <w:rsid w:val="003931A2"/>
    <w:rsid w:val="003B2D38"/>
    <w:rsid w:val="003F29AA"/>
    <w:rsid w:val="00426B7C"/>
    <w:rsid w:val="00458732"/>
    <w:rsid w:val="00472F13"/>
    <w:rsid w:val="00485E63"/>
    <w:rsid w:val="00496DD9"/>
    <w:rsid w:val="004C5ABE"/>
    <w:rsid w:val="004F6C8F"/>
    <w:rsid w:val="00506FC3"/>
    <w:rsid w:val="00551272"/>
    <w:rsid w:val="0059714F"/>
    <w:rsid w:val="005A7631"/>
    <w:rsid w:val="005D6523"/>
    <w:rsid w:val="006231FB"/>
    <w:rsid w:val="00665A1E"/>
    <w:rsid w:val="00686AA4"/>
    <w:rsid w:val="006B3525"/>
    <w:rsid w:val="00770DA0"/>
    <w:rsid w:val="007911BE"/>
    <w:rsid w:val="00800077"/>
    <w:rsid w:val="00800630"/>
    <w:rsid w:val="00863AC2"/>
    <w:rsid w:val="008707C4"/>
    <w:rsid w:val="00872B58"/>
    <w:rsid w:val="00872BA4"/>
    <w:rsid w:val="00887339"/>
    <w:rsid w:val="008E65C5"/>
    <w:rsid w:val="00963CE4"/>
    <w:rsid w:val="00976EA9"/>
    <w:rsid w:val="00980D00"/>
    <w:rsid w:val="009A23AC"/>
    <w:rsid w:val="009C5702"/>
    <w:rsid w:val="00A015AF"/>
    <w:rsid w:val="00A106D4"/>
    <w:rsid w:val="00A42905"/>
    <w:rsid w:val="00AB54F2"/>
    <w:rsid w:val="00AD794D"/>
    <w:rsid w:val="00AF0B40"/>
    <w:rsid w:val="00B30905"/>
    <w:rsid w:val="00B51C91"/>
    <w:rsid w:val="00B542E4"/>
    <w:rsid w:val="00B56658"/>
    <w:rsid w:val="00B77D28"/>
    <w:rsid w:val="00B87EF5"/>
    <w:rsid w:val="00B9167F"/>
    <w:rsid w:val="00BB0B34"/>
    <w:rsid w:val="00BB6EA2"/>
    <w:rsid w:val="00BC1904"/>
    <w:rsid w:val="00BD5AD6"/>
    <w:rsid w:val="00BD6B54"/>
    <w:rsid w:val="00C06C4E"/>
    <w:rsid w:val="00C41661"/>
    <w:rsid w:val="00C43BD2"/>
    <w:rsid w:val="00C53B82"/>
    <w:rsid w:val="00CA1046"/>
    <w:rsid w:val="00CA3BE5"/>
    <w:rsid w:val="00CB4075"/>
    <w:rsid w:val="00CD2C98"/>
    <w:rsid w:val="00D330A6"/>
    <w:rsid w:val="00D71053"/>
    <w:rsid w:val="00D762C9"/>
    <w:rsid w:val="00D9277C"/>
    <w:rsid w:val="00DB37A5"/>
    <w:rsid w:val="00DC5156"/>
    <w:rsid w:val="00DD086F"/>
    <w:rsid w:val="00DE49CF"/>
    <w:rsid w:val="00E0137B"/>
    <w:rsid w:val="00E441BE"/>
    <w:rsid w:val="00E63F8D"/>
    <w:rsid w:val="00EA4E02"/>
    <w:rsid w:val="00EC75DD"/>
    <w:rsid w:val="00EF0C9F"/>
    <w:rsid w:val="00F14F43"/>
    <w:rsid w:val="00F46949"/>
    <w:rsid w:val="00F84723"/>
    <w:rsid w:val="00FB5DC0"/>
    <w:rsid w:val="00FC0AA2"/>
    <w:rsid w:val="017A6FA3"/>
    <w:rsid w:val="01ED20D3"/>
    <w:rsid w:val="02251F92"/>
    <w:rsid w:val="0365F255"/>
    <w:rsid w:val="044F1072"/>
    <w:rsid w:val="045BF1AD"/>
    <w:rsid w:val="05A836D4"/>
    <w:rsid w:val="0643A2AB"/>
    <w:rsid w:val="06953851"/>
    <w:rsid w:val="07C9D6E0"/>
    <w:rsid w:val="07D04B2D"/>
    <w:rsid w:val="081C60CA"/>
    <w:rsid w:val="082CC511"/>
    <w:rsid w:val="09335D90"/>
    <w:rsid w:val="0A003D7F"/>
    <w:rsid w:val="0A2CDC34"/>
    <w:rsid w:val="0AAD7BC6"/>
    <w:rsid w:val="0ABE3CF3"/>
    <w:rsid w:val="0B11FEFA"/>
    <w:rsid w:val="0B773283"/>
    <w:rsid w:val="0B8E293D"/>
    <w:rsid w:val="0B99F1C1"/>
    <w:rsid w:val="0C2DCDBC"/>
    <w:rsid w:val="0C34B4F6"/>
    <w:rsid w:val="0C8156BD"/>
    <w:rsid w:val="0CD70CBB"/>
    <w:rsid w:val="0D0A4BA7"/>
    <w:rsid w:val="0E04191D"/>
    <w:rsid w:val="0E16BC08"/>
    <w:rsid w:val="0EBFA8C5"/>
    <w:rsid w:val="0ECBA6C1"/>
    <w:rsid w:val="0F2C8211"/>
    <w:rsid w:val="0FF4EC02"/>
    <w:rsid w:val="100626D9"/>
    <w:rsid w:val="1039C8F6"/>
    <w:rsid w:val="10508FBE"/>
    <w:rsid w:val="11458547"/>
    <w:rsid w:val="118102CB"/>
    <w:rsid w:val="118B1692"/>
    <w:rsid w:val="12CF9C68"/>
    <w:rsid w:val="12ECAFE9"/>
    <w:rsid w:val="13031F34"/>
    <w:rsid w:val="1304DF78"/>
    <w:rsid w:val="134DEFB0"/>
    <w:rsid w:val="137D2887"/>
    <w:rsid w:val="13DAC150"/>
    <w:rsid w:val="143B419E"/>
    <w:rsid w:val="148FBD78"/>
    <w:rsid w:val="15CE0E12"/>
    <w:rsid w:val="15E78A03"/>
    <w:rsid w:val="1651B394"/>
    <w:rsid w:val="1666A711"/>
    <w:rsid w:val="16F3CB71"/>
    <w:rsid w:val="1711FEE5"/>
    <w:rsid w:val="17495722"/>
    <w:rsid w:val="19776AF4"/>
    <w:rsid w:val="19CC8DFF"/>
    <w:rsid w:val="1ABF8DB2"/>
    <w:rsid w:val="1B7C5E0B"/>
    <w:rsid w:val="1BB44B0B"/>
    <w:rsid w:val="1E2A045C"/>
    <w:rsid w:val="1E97D5E6"/>
    <w:rsid w:val="1F270DDB"/>
    <w:rsid w:val="1F7457EA"/>
    <w:rsid w:val="1F95CBF4"/>
    <w:rsid w:val="1F9C634C"/>
    <w:rsid w:val="1FD708CF"/>
    <w:rsid w:val="201CF74B"/>
    <w:rsid w:val="213833AD"/>
    <w:rsid w:val="21966300"/>
    <w:rsid w:val="234DB5E1"/>
    <w:rsid w:val="236B4709"/>
    <w:rsid w:val="2458AF87"/>
    <w:rsid w:val="255201E7"/>
    <w:rsid w:val="25807E8A"/>
    <w:rsid w:val="25EDCB23"/>
    <w:rsid w:val="275154E9"/>
    <w:rsid w:val="27576571"/>
    <w:rsid w:val="2822FAC6"/>
    <w:rsid w:val="282E2091"/>
    <w:rsid w:val="2AA4BDA7"/>
    <w:rsid w:val="2AC8B079"/>
    <w:rsid w:val="2AD1A3FE"/>
    <w:rsid w:val="2B71373A"/>
    <w:rsid w:val="2C6CDE68"/>
    <w:rsid w:val="2D51159C"/>
    <w:rsid w:val="2D7FEF55"/>
    <w:rsid w:val="2E410E00"/>
    <w:rsid w:val="2E477674"/>
    <w:rsid w:val="2E952437"/>
    <w:rsid w:val="2EECE5FD"/>
    <w:rsid w:val="2FF0FDBA"/>
    <w:rsid w:val="3041410F"/>
    <w:rsid w:val="30CDEACE"/>
    <w:rsid w:val="30E407B3"/>
    <w:rsid w:val="31D54F44"/>
    <w:rsid w:val="328E971D"/>
    <w:rsid w:val="32B1B4D3"/>
    <w:rsid w:val="32E87EF7"/>
    <w:rsid w:val="3378E1D1"/>
    <w:rsid w:val="351280C1"/>
    <w:rsid w:val="38171751"/>
    <w:rsid w:val="386E153C"/>
    <w:rsid w:val="38B71D6A"/>
    <w:rsid w:val="39648390"/>
    <w:rsid w:val="396D877D"/>
    <w:rsid w:val="39725B81"/>
    <w:rsid w:val="39F1CCBC"/>
    <w:rsid w:val="3A6FAE9D"/>
    <w:rsid w:val="3C0A79D6"/>
    <w:rsid w:val="3C0B83B4"/>
    <w:rsid w:val="3CD7CCF5"/>
    <w:rsid w:val="3CE68E41"/>
    <w:rsid w:val="3D2BDA56"/>
    <w:rsid w:val="3E64F3E0"/>
    <w:rsid w:val="3EA8BBDF"/>
    <w:rsid w:val="3EFAF9E1"/>
    <w:rsid w:val="404F61D3"/>
    <w:rsid w:val="41B2989F"/>
    <w:rsid w:val="427FB747"/>
    <w:rsid w:val="428E0291"/>
    <w:rsid w:val="433DFD85"/>
    <w:rsid w:val="43596AE6"/>
    <w:rsid w:val="439FDF39"/>
    <w:rsid w:val="43F249A9"/>
    <w:rsid w:val="45222427"/>
    <w:rsid w:val="45C3E30F"/>
    <w:rsid w:val="46837A4F"/>
    <w:rsid w:val="476173B4"/>
    <w:rsid w:val="47C83790"/>
    <w:rsid w:val="47CEB289"/>
    <w:rsid w:val="48378762"/>
    <w:rsid w:val="48E7518B"/>
    <w:rsid w:val="49F4EE38"/>
    <w:rsid w:val="4A194456"/>
    <w:rsid w:val="4A54C733"/>
    <w:rsid w:val="4A9B697A"/>
    <w:rsid w:val="4AB86F41"/>
    <w:rsid w:val="4B11191C"/>
    <w:rsid w:val="4B4F307A"/>
    <w:rsid w:val="4BBB7754"/>
    <w:rsid w:val="4CCE58BB"/>
    <w:rsid w:val="4D7D2065"/>
    <w:rsid w:val="4DC759FD"/>
    <w:rsid w:val="4E6A8F31"/>
    <w:rsid w:val="4F3BF885"/>
    <w:rsid w:val="4FEDB4EA"/>
    <w:rsid w:val="507C7E08"/>
    <w:rsid w:val="5111616E"/>
    <w:rsid w:val="51370D45"/>
    <w:rsid w:val="51F994DB"/>
    <w:rsid w:val="5216D46F"/>
    <w:rsid w:val="5279CFC6"/>
    <w:rsid w:val="52BF22C0"/>
    <w:rsid w:val="53EEDAD6"/>
    <w:rsid w:val="547E444A"/>
    <w:rsid w:val="547FFAE0"/>
    <w:rsid w:val="557B9F8C"/>
    <w:rsid w:val="557DB8F8"/>
    <w:rsid w:val="5625A594"/>
    <w:rsid w:val="56277CA2"/>
    <w:rsid w:val="56B4A16F"/>
    <w:rsid w:val="585071D0"/>
    <w:rsid w:val="5878D708"/>
    <w:rsid w:val="59405C85"/>
    <w:rsid w:val="594A8349"/>
    <w:rsid w:val="594D45D0"/>
    <w:rsid w:val="59BADF24"/>
    <w:rsid w:val="5ADC2CE6"/>
    <w:rsid w:val="5BB66BB1"/>
    <w:rsid w:val="5BCF6986"/>
    <w:rsid w:val="5C37FD43"/>
    <w:rsid w:val="5CBBFCC9"/>
    <w:rsid w:val="5E4C9A5B"/>
    <w:rsid w:val="5F88197C"/>
    <w:rsid w:val="6002AB7F"/>
    <w:rsid w:val="6010CC80"/>
    <w:rsid w:val="6079BFEB"/>
    <w:rsid w:val="62059022"/>
    <w:rsid w:val="62289522"/>
    <w:rsid w:val="6240FA37"/>
    <w:rsid w:val="634338B4"/>
    <w:rsid w:val="6444DFAF"/>
    <w:rsid w:val="6551DB58"/>
    <w:rsid w:val="6575746A"/>
    <w:rsid w:val="65943897"/>
    <w:rsid w:val="65DFD2A5"/>
    <w:rsid w:val="65E9D2E5"/>
    <w:rsid w:val="66777201"/>
    <w:rsid w:val="66D90145"/>
    <w:rsid w:val="67A7E7A3"/>
    <w:rsid w:val="693027CC"/>
    <w:rsid w:val="695994BF"/>
    <w:rsid w:val="695A588D"/>
    <w:rsid w:val="6A5506BC"/>
    <w:rsid w:val="6AF553B1"/>
    <w:rsid w:val="6B2CB8EF"/>
    <w:rsid w:val="6B5ECC4A"/>
    <w:rsid w:val="6BE21697"/>
    <w:rsid w:val="6C8AFDEF"/>
    <w:rsid w:val="6CBDC2CC"/>
    <w:rsid w:val="6D11706C"/>
    <w:rsid w:val="6D1B4991"/>
    <w:rsid w:val="6D33F6A2"/>
    <w:rsid w:val="6E3A6498"/>
    <w:rsid w:val="6E79A38F"/>
    <w:rsid w:val="6F8C3B8E"/>
    <w:rsid w:val="6F923161"/>
    <w:rsid w:val="6F9DEAC1"/>
    <w:rsid w:val="700CE321"/>
    <w:rsid w:val="70350FDD"/>
    <w:rsid w:val="70622CEC"/>
    <w:rsid w:val="7222B9C5"/>
    <w:rsid w:val="73B2F60B"/>
    <w:rsid w:val="73F7DBF8"/>
    <w:rsid w:val="75B1BA69"/>
    <w:rsid w:val="761FB338"/>
    <w:rsid w:val="768742F6"/>
    <w:rsid w:val="790F151A"/>
    <w:rsid w:val="79577504"/>
    <w:rsid w:val="798C1E3F"/>
    <w:rsid w:val="79F41046"/>
    <w:rsid w:val="7ADECC18"/>
    <w:rsid w:val="7B475C77"/>
    <w:rsid w:val="7BDE2E06"/>
    <w:rsid w:val="7D5128D7"/>
    <w:rsid w:val="7D7C76F4"/>
    <w:rsid w:val="7D880A16"/>
    <w:rsid w:val="7DF0AAE8"/>
    <w:rsid w:val="7F204854"/>
    <w:rsid w:val="7FE72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CD70CBB"/>
  <w15:chartTrackingRefBased/>
  <w15:docId w15:val="{0C6D3EE7-1CFE-4D4D-8CBD-615200823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A01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15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5AF"/>
  </w:style>
  <w:style w:type="paragraph" w:styleId="Footer">
    <w:name w:val="footer"/>
    <w:basedOn w:val="Normal"/>
    <w:link w:val="FooterChar"/>
    <w:uiPriority w:val="99"/>
    <w:unhideWhenUsed/>
    <w:rsid w:val="00A015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5AF"/>
  </w:style>
  <w:style w:type="table" w:customStyle="1" w:styleId="TableGrid1">
    <w:name w:val="Table Grid1"/>
    <w:basedOn w:val="TableNormal"/>
    <w:next w:val="TableGrid"/>
    <w:uiPriority w:val="39"/>
    <w:rsid w:val="00BB0B34"/>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96D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DD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46949"/>
    <w:rPr>
      <w:b/>
      <w:bCs/>
    </w:rPr>
  </w:style>
  <w:style w:type="character" w:customStyle="1" w:styleId="CommentSubjectChar">
    <w:name w:val="Comment Subject Char"/>
    <w:basedOn w:val="CommentTextChar"/>
    <w:link w:val="CommentSubject"/>
    <w:uiPriority w:val="99"/>
    <w:semiHidden/>
    <w:rsid w:val="00F46949"/>
    <w:rPr>
      <w:b/>
      <w:bCs/>
      <w:sz w:val="20"/>
      <w:szCs w:val="20"/>
    </w:rPr>
  </w:style>
  <w:style w:type="paragraph" w:styleId="NormalWeb">
    <w:name w:val="Normal (Web)"/>
    <w:basedOn w:val="Normal"/>
    <w:uiPriority w:val="99"/>
    <w:semiHidden/>
    <w:unhideWhenUsed/>
    <w:rsid w:val="00800630"/>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438771">
      <w:bodyDiv w:val="1"/>
      <w:marLeft w:val="0"/>
      <w:marRight w:val="0"/>
      <w:marTop w:val="0"/>
      <w:marBottom w:val="0"/>
      <w:divBdr>
        <w:top w:val="none" w:sz="0" w:space="0" w:color="auto"/>
        <w:left w:val="none" w:sz="0" w:space="0" w:color="auto"/>
        <w:bottom w:val="none" w:sz="0" w:space="0" w:color="auto"/>
        <w:right w:val="none" w:sz="0" w:space="0" w:color="auto"/>
      </w:divBdr>
    </w:div>
    <w:div w:id="852382569">
      <w:bodyDiv w:val="1"/>
      <w:marLeft w:val="0"/>
      <w:marRight w:val="0"/>
      <w:marTop w:val="0"/>
      <w:marBottom w:val="0"/>
      <w:divBdr>
        <w:top w:val="none" w:sz="0" w:space="0" w:color="auto"/>
        <w:left w:val="none" w:sz="0" w:space="0" w:color="auto"/>
        <w:bottom w:val="none" w:sz="0" w:space="0" w:color="auto"/>
        <w:right w:val="none" w:sz="0" w:space="0" w:color="auto"/>
      </w:divBdr>
    </w:div>
    <w:div w:id="942809801">
      <w:bodyDiv w:val="1"/>
      <w:marLeft w:val="0"/>
      <w:marRight w:val="0"/>
      <w:marTop w:val="0"/>
      <w:marBottom w:val="0"/>
      <w:divBdr>
        <w:top w:val="none" w:sz="0" w:space="0" w:color="auto"/>
        <w:left w:val="none" w:sz="0" w:space="0" w:color="auto"/>
        <w:bottom w:val="none" w:sz="0" w:space="0" w:color="auto"/>
        <w:right w:val="none" w:sz="0" w:space="0" w:color="auto"/>
      </w:divBdr>
      <w:divsChild>
        <w:div w:id="17856542">
          <w:marLeft w:val="-108"/>
          <w:marRight w:val="0"/>
          <w:marTop w:val="0"/>
          <w:marBottom w:val="0"/>
          <w:divBdr>
            <w:top w:val="none" w:sz="0" w:space="0" w:color="auto"/>
            <w:left w:val="none" w:sz="0" w:space="0" w:color="auto"/>
            <w:bottom w:val="none" w:sz="0" w:space="0" w:color="auto"/>
            <w:right w:val="none" w:sz="0" w:space="0" w:color="auto"/>
          </w:divBdr>
        </w:div>
      </w:divsChild>
    </w:div>
    <w:div w:id="158147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pp.smartsheet.com/b/publish?EQBCT=f3071e8bc3114363b078314a6e577265" TargetMode="External"/><Relationship Id="R2535d6b105a54938" Type="http://schemas.microsoft.com/office/2016/09/relationships/commentsIds" Target="commentsIds.xml"/><Relationship Id="R3e1c7752420540fa"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regon.gov/ode/reports-and-data/SpEdReports/Pages/State-Performance-Plan-and-Annual-Performance-Report-for-Special-Education.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https://odemail-my.sharepoint.com/personal/wellse_ode_state_or_us/Documents/SPP%20Data%20for%20Survey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rtl="0">
              <a:defRPr sz="1400" b="0" i="0" u="none" strike="noStrike" kern="1200" spc="0" baseline="0">
                <a:solidFill>
                  <a:schemeClr val="tx1">
                    <a:lumMod val="65000"/>
                    <a:lumOff val="35000"/>
                  </a:schemeClr>
                </a:solidFill>
                <a:latin typeface="+mn-lt"/>
                <a:ea typeface="+mn-ea"/>
                <a:cs typeface="+mn-cs"/>
              </a:defRPr>
            </a:pPr>
            <a:r>
              <a:rPr lang="es-pr" b="1" i="0" u="none" baseline="0">
                <a:solidFill>
                  <a:srgbClr val="1B75BC"/>
                </a:solidFill>
              </a:rPr>
              <a:t>Datos del indicador B4A (suspensión/expulsión) de Oregon</a:t>
            </a:r>
          </a:p>
        </c:rich>
      </c:tx>
      <c:layout/>
      <c:overlay val="0"/>
      <c:spPr>
        <a:noFill/>
        <a:ln>
          <a:noFill/>
        </a:ln>
        <a:effectLst/>
      </c:spPr>
      <c:txPr>
        <a:bodyPr rot="0" spcFirstLastPara="1" vertOverflow="ellipsis" vert="horz" wrap="square" anchor="ctr" anchorCtr="1"/>
        <a:lstStyle/>
        <a:p>
          <a:pPr rtl="0">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B4A!$A$2</c:f>
              <c:strCache>
                <c:ptCount val="1"/>
                <c:pt idx="0">
                  <c:v>Data</c:v>
                </c:pt>
              </c:strCache>
            </c:strRef>
          </c:tx>
          <c:spPr>
            <a:ln w="28575" cap="rnd">
              <a:solidFill>
                <a:srgbClr val="1B75BC"/>
              </a:solidFill>
              <a:round/>
            </a:ln>
            <a:effectLst/>
          </c:spPr>
          <c:marker>
            <c:symbol val="none"/>
          </c:marker>
          <c:dLbls>
            <c:dLbl>
              <c:idx val="0"/>
              <c:layout>
                <c:manualLayout>
                  <c:x val="-4.4456279584309387E-2"/>
                  <c:y val="-3.6440793915207589E-2"/>
                </c:manualLayout>
              </c:layout>
              <c:dLblPos val="r"/>
              <c:showLegendKey val="0"/>
              <c:showVal val="1"/>
              <c:showCatName val="0"/>
              <c:showSerName val="0"/>
              <c:showPercent val="0"/>
              <c:showBubbleSize val="0"/>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5="http://schemas.microsoft.com/office/drawing/2012/chart" uri="{CE6537A1-D6FC-4f65-9D91-7224C49458BB}">
                  <c15:layout/>
                </c:ext>
                <c:ext xmlns:c16="http://schemas.microsoft.com/office/drawing/2014/chart" uri="{C3380CC4-5D6E-409C-BE32-E72D297353CC}">
                  <c16:uniqueId val="{00000000-5451-427F-89F8-A20F0FD84EFE}"/>
                </c:ext>
              </c:extLst>
            </c:dLbl>
            <c:dLbl>
              <c:idx val="1"/>
              <c:layout>
                <c:manualLayout>
                  <c:x val="-5.6029368281796874E-2"/>
                  <c:y val="-4.2782448298039781E-2"/>
                </c:manualLayout>
              </c:layout>
              <c:dLblPos val="r"/>
              <c:showLegendKey val="0"/>
              <c:showVal val="1"/>
              <c:showCatName val="0"/>
              <c:showSerName val="0"/>
              <c:showPercent val="0"/>
              <c:showBubbleSize val="0"/>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5="http://schemas.microsoft.com/office/drawing/2012/chart" uri="{CE6537A1-D6FC-4f65-9D91-7224C49458BB}">
                  <c15:layout/>
                </c:ext>
                <c:ext xmlns:c16="http://schemas.microsoft.com/office/drawing/2014/chart" uri="{C3380CC4-5D6E-409C-BE32-E72D297353CC}">
                  <c16:uniqueId val="{00000001-5451-427F-89F8-A20F0FD84EFE}"/>
                </c:ext>
              </c:extLst>
            </c:dLbl>
            <c:dLbl>
              <c:idx val="3"/>
              <c:layout>
                <c:manualLayout>
                  <c:x val="-3.4339943310281895E-2"/>
                  <c:y val="6.5025676210107505E-2"/>
                </c:manualLayout>
              </c:layout>
              <c:dLblPos val="r"/>
              <c:showLegendKey val="0"/>
              <c:showVal val="1"/>
              <c:showCatName val="0"/>
              <c:showSerName val="0"/>
              <c:showPercent val="0"/>
              <c:showBubbleSize val="0"/>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5="http://schemas.microsoft.com/office/drawing/2012/chart" uri="{CE6537A1-D6FC-4f65-9D91-7224C49458BB}">
                  <c15:layout/>
                </c:ext>
                <c:ext xmlns:c16="http://schemas.microsoft.com/office/drawing/2014/chart" uri="{C3380CC4-5D6E-409C-BE32-E72D297353CC}">
                  <c16:uniqueId val="{00000002-5451-427F-89F8-A20F0FD84EFE}"/>
                </c:ext>
              </c:extLst>
            </c:dLbl>
            <c:dLbl>
              <c:idx val="4"/>
              <c:layout>
                <c:manualLayout>
                  <c:x val="-5.0526081348725882E-2"/>
                  <c:y val="3.648823148736257E-2"/>
                </c:manualLayout>
              </c:layout>
              <c:dLblPos val="r"/>
              <c:showLegendKey val="0"/>
              <c:showVal val="1"/>
              <c:showCatName val="0"/>
              <c:showSerName val="0"/>
              <c:showPercent val="0"/>
              <c:showBubbleSize val="0"/>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5="http://schemas.microsoft.com/office/drawing/2012/chart" uri="{CE6537A1-D6FC-4f65-9D91-7224C49458BB}">
                  <c15:layout/>
                </c:ext>
                <c:ext xmlns:c16="http://schemas.microsoft.com/office/drawing/2014/chart" uri="{C3380CC4-5D6E-409C-BE32-E72D297353CC}">
                  <c16:uniqueId val="{00000003-5451-427F-89F8-A20F0FD84EFE}"/>
                </c:ext>
              </c:extLst>
            </c:dLbl>
            <c:spPr>
              <a:noFill/>
              <a:ln>
                <a:noFill/>
              </a:ln>
              <a:effectLst/>
            </c:spPr>
            <c:txPr>
              <a:bodyPr rot="0" spcFirstLastPara="1" vertOverflow="ellipsis" vert="horz" wrap="square" lIns="38100" tIns="19050" rIns="38100" bIns="19050" anchor="ctr" anchorCtr="1">
                <a:spAutoFit/>
              </a:bodyPr>
              <a:lstStyle/>
              <a:p>
                <a:pPr rtl="0">
                  <a:defRPr sz="900" b="0" i="0" u="none" strike="noStrike" kern="1200" baseline="0">
                    <a:solidFill>
                      <a:srgbClr val="1B75BC"/>
                    </a:solidFill>
                    <a:latin typeface="+mn-lt"/>
                    <a:ea typeface="+mn-ea"/>
                    <a:cs typeface="+mn-cs"/>
                  </a:defRPr>
                </a:pPr>
                <a:endParaRPr lang="en-US"/>
              </a:p>
            </c:txPr>
            <c:dLblPos val="t"/>
            <c:showLegendKey val="0"/>
            <c:showVal val="1"/>
            <c:showCatName val="0"/>
            <c:showSerName val="0"/>
            <c:showPercent val="0"/>
            <c:showBubbleSize val="0"/>
            <c:showLeaderLines val="0"/>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5="http://schemas.microsoft.com/office/drawing/2012/chart" uri="{CE6537A1-D6FC-4f65-9D91-7224C49458BB}">
                <c15:layout/>
                <c15:showLeaderLines val="0"/>
              </c:ext>
            </c:extLst>
          </c:dLbls>
          <c:cat>
            <c:numRef>
              <c:f>B4A!$B$1:$H$1</c:f>
              <c:numCache>
                <c:formatCode>General</c:formatCode>
                <c:ptCount val="7"/>
                <c:pt idx="0">
                  <c:v>2014</c:v>
                </c:pt>
                <c:pt idx="1">
                  <c:v>2015</c:v>
                </c:pt>
                <c:pt idx="3">
                  <c:v>2016</c:v>
                </c:pt>
                <c:pt idx="4">
                  <c:v>2017</c:v>
                </c:pt>
                <c:pt idx="5">
                  <c:v>2018</c:v>
                </c:pt>
                <c:pt idx="6">
                  <c:v>2019</c:v>
                </c:pt>
              </c:numCache>
            </c:numRef>
          </c:cat>
          <c:val>
            <c:numRef>
              <c:f>B4A!$B$2:$H$2</c:f>
              <c:numCache>
                <c:formatCode>0.00%</c:formatCode>
                <c:ptCount val="7"/>
                <c:pt idx="0">
                  <c:v>0.1371</c:v>
                </c:pt>
                <c:pt idx="1">
                  <c:v>8.6300000000000002E-2</c:v>
                </c:pt>
                <c:pt idx="3">
                  <c:v>0.62960000000000005</c:v>
                </c:pt>
                <c:pt idx="4">
                  <c:v>0.66669999999999996</c:v>
                </c:pt>
                <c:pt idx="5">
                  <c:v>0.53129999999999999</c:v>
                </c:pt>
                <c:pt idx="6">
                  <c:v>0.6774</c:v>
                </c:pt>
              </c:numCache>
            </c:numRef>
          </c:val>
          <c:smooth val="0"/>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http://schemas.microsoft.com/office/drawing/2014/chart" uri="{C3380CC4-5D6E-409C-BE32-E72D297353CC}">
              <c16:uniqueId val="{00000004-5451-427F-89F8-A20F0FD84EFE}"/>
            </c:ext>
          </c:extLst>
        </c:ser>
        <c:ser>
          <c:idx val="1"/>
          <c:order val="1"/>
          <c:tx>
            <c:strRef>
              <c:f>B4A!$A$3</c:f>
              <c:strCache>
                <c:ptCount val="1"/>
                <c:pt idx="0">
                  <c:v>Target &lt;=</c:v>
                </c:pt>
              </c:strCache>
            </c:strRef>
          </c:tx>
          <c:spPr>
            <a:ln w="28575" cap="rnd">
              <a:solidFill>
                <a:srgbClr val="408740"/>
              </a:solidFill>
              <a:round/>
            </a:ln>
            <a:effectLst/>
          </c:spPr>
          <c:marker>
            <c:symbol val="none"/>
          </c:marker>
          <c:dLbls>
            <c:dLbl>
              <c:idx val="0"/>
              <c:layout>
                <c:manualLayout>
                  <c:x val="-4.046024709987741E-2"/>
                  <c:y val="-2.6928312340959413E-2"/>
                </c:manualLayout>
              </c:layout>
              <c:dLblPos val="r"/>
              <c:showLegendKey val="0"/>
              <c:showVal val="1"/>
              <c:showCatName val="0"/>
              <c:showSerName val="0"/>
              <c:showPercent val="0"/>
              <c:showBubbleSize val="0"/>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5="http://schemas.microsoft.com/office/drawing/2012/chart" uri="{CE6537A1-D6FC-4f65-9D91-7224C49458BB}">
                  <c15:layout/>
                </c:ext>
                <c:ext xmlns:c16="http://schemas.microsoft.com/office/drawing/2014/chart" uri="{C3380CC4-5D6E-409C-BE32-E72D297353CC}">
                  <c16:uniqueId val="{00000005-5451-427F-89F8-A20F0FD84EFE}"/>
                </c:ext>
              </c:extLst>
            </c:dLbl>
            <c:dLbl>
              <c:idx val="1"/>
              <c:layout>
                <c:manualLayout>
                  <c:x val="-1.011123827779495E-2"/>
                  <c:y val="4.779959573201667E-3"/>
                </c:manualLayout>
              </c:layout>
              <c:dLblPos val="r"/>
              <c:showLegendKey val="0"/>
              <c:showVal val="1"/>
              <c:showCatName val="0"/>
              <c:showSerName val="0"/>
              <c:showPercent val="0"/>
              <c:showBubbleSize val="0"/>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5="http://schemas.microsoft.com/office/drawing/2012/chart" uri="{CE6537A1-D6FC-4f65-9D91-7224C49458BB}">
                  <c15:layout/>
                </c:ext>
                <c:ext xmlns:c16="http://schemas.microsoft.com/office/drawing/2014/chart" uri="{C3380CC4-5D6E-409C-BE32-E72D297353CC}">
                  <c16:uniqueId val="{00000006-5451-427F-89F8-A20F0FD84EFE}"/>
                </c:ext>
              </c:extLst>
            </c:dLbl>
            <c:dLbl>
              <c:idx val="4"/>
              <c:layout>
                <c:manualLayout>
                  <c:x val="-3.2933692912000941E-2"/>
                  <c:y val="-4.2782448298039781E-2"/>
                </c:manualLayout>
              </c:layout>
              <c:dLblPos val="r"/>
              <c:showLegendKey val="0"/>
              <c:showVal val="1"/>
              <c:showCatName val="0"/>
              <c:showSerName val="0"/>
              <c:showPercent val="0"/>
              <c:showBubbleSize val="0"/>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5="http://schemas.microsoft.com/office/drawing/2012/chart" uri="{CE6537A1-D6FC-4f65-9D91-7224C49458BB}">
                  <c15:layout/>
                </c:ext>
                <c:ext xmlns:c16="http://schemas.microsoft.com/office/drawing/2014/chart" uri="{C3380CC4-5D6E-409C-BE32-E72D297353CC}">
                  <c16:uniqueId val="{00000007-5451-427F-89F8-A20F0FD84EFE}"/>
                </c:ext>
              </c:extLst>
            </c:dLbl>
            <c:dLbl>
              <c:idx val="6"/>
              <c:layout>
                <c:manualLayout>
                  <c:x val="-3.4956960166806439E-2"/>
                  <c:y val="2.6975749913114282E-2"/>
                </c:manualLayout>
              </c:layout>
              <c:dLblPos val="r"/>
              <c:showLegendKey val="0"/>
              <c:showVal val="1"/>
              <c:showCatName val="0"/>
              <c:showSerName val="0"/>
              <c:showPercent val="0"/>
              <c:showBubbleSize val="0"/>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5="http://schemas.microsoft.com/office/drawing/2012/chart" uri="{CE6537A1-D6FC-4f65-9D91-7224C49458BB}">
                  <c15:layout/>
                </c:ext>
                <c:ext xmlns:c16="http://schemas.microsoft.com/office/drawing/2014/chart" uri="{C3380CC4-5D6E-409C-BE32-E72D297353CC}">
                  <c16:uniqueId val="{00000008-5451-427F-89F8-A20F0FD84EFE}"/>
                </c:ext>
              </c:extLst>
            </c:dLbl>
            <c:spPr>
              <a:noFill/>
              <a:ln>
                <a:noFill/>
              </a:ln>
              <a:effectLst/>
            </c:spPr>
            <c:txPr>
              <a:bodyPr rot="0" spcFirstLastPara="1" vertOverflow="ellipsis" vert="horz" wrap="square" lIns="38100" tIns="19050" rIns="38100" bIns="19050" anchor="ctr" anchorCtr="1">
                <a:spAutoFit/>
              </a:bodyPr>
              <a:lstStyle/>
              <a:p>
                <a:pPr rtl="0">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5="http://schemas.microsoft.com/office/drawing/2012/chart" uri="{CE6537A1-D6FC-4f65-9D91-7224C49458BB}">
                <c15:showLeaderLines val="0"/>
              </c:ext>
            </c:extLst>
          </c:dLbls>
          <c:cat>
            <c:numRef>
              <c:f>B4A!$B$1:$H$1</c:f>
              <c:numCache>
                <c:formatCode>General</c:formatCode>
                <c:ptCount val="7"/>
                <c:pt idx="0">
                  <c:v>2014</c:v>
                </c:pt>
                <c:pt idx="1">
                  <c:v>2015</c:v>
                </c:pt>
                <c:pt idx="3">
                  <c:v>2016</c:v>
                </c:pt>
                <c:pt idx="4">
                  <c:v>2017</c:v>
                </c:pt>
                <c:pt idx="5">
                  <c:v>2018</c:v>
                </c:pt>
                <c:pt idx="6">
                  <c:v>2019</c:v>
                </c:pt>
              </c:numCache>
            </c:numRef>
          </c:cat>
          <c:val>
            <c:numRef>
              <c:f>B4A!$B$3:$H$3</c:f>
              <c:numCache>
                <c:formatCode>0.00%</c:formatCode>
                <c:ptCount val="7"/>
                <c:pt idx="0">
                  <c:v>7.1999999999999995E-2</c:v>
                </c:pt>
                <c:pt idx="1">
                  <c:v>6.7000000000000004E-2</c:v>
                </c:pt>
                <c:pt idx="3">
                  <c:v>0.6865</c:v>
                </c:pt>
                <c:pt idx="4">
                  <c:v>0.68149999999999999</c:v>
                </c:pt>
                <c:pt idx="5">
                  <c:v>0.67649999999999999</c:v>
                </c:pt>
                <c:pt idx="6">
                  <c:v>0.62</c:v>
                </c:pt>
              </c:numCache>
            </c:numRef>
          </c:val>
          <c:smooth val="0"/>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http://schemas.microsoft.com/office/drawing/2014/chart" uri="{C3380CC4-5D6E-409C-BE32-E72D297353CC}">
              <c16:uniqueId val="{00000009-5451-427F-89F8-A20F0FD84EFE}"/>
            </c:ext>
          </c:extLst>
        </c:ser>
        <c:ser>
          <c:idx val="2"/>
          <c:order val="2"/>
          <c:tx>
            <c:strRef>
              <c:f>B4A!$A$4</c:f>
              <c:strCache>
                <c:ptCount val="1"/>
                <c:pt idx="0">
                  <c:v>Phase</c:v>
                </c:pt>
              </c:strCache>
            </c:strRef>
          </c:tx>
          <c:spPr>
            <a:ln w="28575" cap="rnd">
              <a:solidFill>
                <a:schemeClr val="accent3"/>
              </a:solidFill>
              <a:round/>
            </a:ln>
            <a:effectLst/>
          </c:spPr>
          <c:marker>
            <c:symbol val="none"/>
          </c:marker>
          <c:dLbls>
            <c:delete val="1"/>
          </c:dLbls>
          <c:cat>
            <c:numRef>
              <c:f>B4A!$B$1:$H$1</c:f>
              <c:numCache>
                <c:formatCode>General</c:formatCode>
                <c:ptCount val="7"/>
                <c:pt idx="0">
                  <c:v>2014</c:v>
                </c:pt>
                <c:pt idx="1">
                  <c:v>2015</c:v>
                </c:pt>
                <c:pt idx="3">
                  <c:v>2016</c:v>
                </c:pt>
                <c:pt idx="4">
                  <c:v>2017</c:v>
                </c:pt>
                <c:pt idx="5">
                  <c:v>2018</c:v>
                </c:pt>
                <c:pt idx="6">
                  <c:v>2019</c:v>
                </c:pt>
              </c:numCache>
            </c:numRef>
          </c:cat>
          <c:val>
            <c:numRef>
              <c:f>B4A!$B$4:$H$4</c:f>
              <c:numCache>
                <c:formatCode>General</c:formatCode>
                <c:ptCount val="7"/>
                <c:pt idx="2" formatCode="0%">
                  <c:v>1</c:v>
                </c:pt>
              </c:numCache>
            </c:numRef>
          </c:val>
          <c:smooth val="0"/>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http://schemas.microsoft.com/office/drawing/2014/chart" uri="{C3380CC4-5D6E-409C-BE32-E72D297353CC}">
              <c16:uniqueId val="{0000000A-5451-427F-89F8-A20F0FD84EFE}"/>
            </c:ext>
          </c:extLst>
        </c:ser>
        <c:dLbls>
          <c:dLblPos val="t"/>
          <c:showLegendKey val="0"/>
          <c:showVal val="1"/>
          <c:showCatName val="0"/>
          <c:showSerName val="0"/>
          <c:showPercent val="0"/>
          <c:showBubbleSize val="0"/>
        </c:dLbls>
        <c:smooth val="0"/>
        <c:axId val="589473048"/>
        <c:axId val="589473704"/>
      </c:lineChart>
      <c:catAx>
        <c:axId val="589473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crossAx val="589473704"/>
        <c:crosses val="autoZero"/>
        <c:auto val="1"/>
        <c:lblAlgn val="ctr"/>
        <c:lblOffset val="100"/>
        <c:noMultiLvlLbl val="0"/>
      </c:catAx>
      <c:valAx>
        <c:axId val="589473704"/>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in"/>
        <c:minorTickMark val="none"/>
        <c:tickLblPos val="nextTo"/>
        <c:spPr>
          <a:noFill/>
          <a:ln>
            <a:solidFill>
              <a:schemeClr val="accent1"/>
            </a:solidFill>
          </a:ln>
          <a:effectLst/>
        </c:spPr>
        <c:txPr>
          <a:bodyPr rot="-6000000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crossAx val="589473048"/>
        <c:crosses val="autoZero"/>
        <c:crossBetween val="between"/>
        <c:majorUnit val="0.1"/>
      </c:valAx>
      <c:spPr>
        <a:noFill/>
        <a:ln>
          <a:noFill/>
        </a:ln>
        <a:effectLst/>
      </c:spPr>
    </c:plotArea>
    <c:legend>
      <c:legendPos val="b"/>
      <c:legendEntry>
        <c:idx val="2"/>
        <c:delete val="1"/>
      </c:legendEntry>
      <c:layout/>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26a857a-181d-4963-b522-a6055312c9f6">
      <UserInfo>
        <DisplayName>WELLS Eric * ODE</DisplayName>
        <AccountId>3</AccountId>
        <AccountType/>
      </UserInfo>
    </SharedWithUsers>
    <Estimated_x0020_Creation_x0020_Date xmlns="b4311169-ef95-4eb4-ad55-0b8e815ccd7b" xsi:nil="true"/>
    <PublishingExpirationDate xmlns="http://schemas.microsoft.com/sharepoint/v3" xsi:nil="true"/>
    <PublishingStartDate xmlns="http://schemas.microsoft.com/sharepoint/v3" xsi:nil="true"/>
    <Priority xmlns="b4311169-ef95-4eb4-ad55-0b8e815ccd7b">New</Priority>
    <Remediation_x0020_Date xmlns="b4311169-ef95-4eb4-ad55-0b8e815ccd7b">2021-12-17T00:31:55+00:00</Remediation_x0020_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E3A0F89BB9954C8B253FD585569827" ma:contentTypeVersion="7" ma:contentTypeDescription="Create a new document." ma:contentTypeScope="" ma:versionID="a81cf9d4b13597e61b9efcf1db968191">
  <xsd:schema xmlns:xsd="http://www.w3.org/2001/XMLSchema" xmlns:xs="http://www.w3.org/2001/XMLSchema" xmlns:p="http://schemas.microsoft.com/office/2006/metadata/properties" xmlns:ns1="http://schemas.microsoft.com/sharepoint/v3" xmlns:ns2="b4311169-ef95-4eb4-ad55-0b8e815ccd7b" xmlns:ns3="626a857a-181d-4963-b522-a6055312c9f6" targetNamespace="http://schemas.microsoft.com/office/2006/metadata/properties" ma:root="true" ma:fieldsID="502f16f298c31747db7e96094745dff6" ns1:_="" ns2:_="" ns3:_="">
    <xsd:import namespace="http://schemas.microsoft.com/sharepoint/v3"/>
    <xsd:import namespace="b4311169-ef95-4eb4-ad55-0b8e815ccd7b"/>
    <xsd:import namespace="626a857a-181d-4963-b522-a6055312c9f6"/>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311169-ef95-4eb4-ad55-0b8e815ccd7b"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626a857a-181d-4963-b522-a6055312c9f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F8720C-5962-4E5E-8C0C-E9B105BD9479}">
  <ds:schemaRefs>
    <ds:schemaRef ds:uri="http://schemas.microsoft.com/sharepoint/v3/contenttype/forms"/>
  </ds:schemaRefs>
</ds:datastoreItem>
</file>

<file path=customXml/itemProps2.xml><?xml version="1.0" encoding="utf-8"?>
<ds:datastoreItem xmlns:ds="http://schemas.openxmlformats.org/officeDocument/2006/customXml" ds:itemID="{85CC21F9-4EE9-4382-8358-CB255CA66444}">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b47477c3-cea5-4644-a2b9-72f12b741c16"/>
    <ds:schemaRef ds:uri="7f305cf4-7e8c-42e6-816c-ef6b646f0adc"/>
    <ds:schemaRef ds:uri="http://www.w3.org/XML/1998/namespace"/>
  </ds:schemaRefs>
</ds:datastoreItem>
</file>

<file path=customXml/itemProps3.xml><?xml version="1.0" encoding="utf-8"?>
<ds:datastoreItem xmlns:ds="http://schemas.openxmlformats.org/officeDocument/2006/customXml" ds:itemID="{7E0F2823-3332-4C2E-A8C6-975C15B67CB1}"/>
</file>

<file path=docProps/app.xml><?xml version="1.0" encoding="utf-8"?>
<Properties xmlns="http://schemas.openxmlformats.org/officeDocument/2006/extended-properties" xmlns:vt="http://schemas.openxmlformats.org/officeDocument/2006/docPropsVTypes">
  <Template>Normal</Template>
  <TotalTime>0</TotalTime>
  <Pages>3</Pages>
  <Words>815</Words>
  <Characters>4648</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AICHLMAYR Mary * ODE</dc:creator>
  <cp:keywords/>
  <dc:description/>
  <cp:lastModifiedBy>TURNBULL Mariana * ODE</cp:lastModifiedBy>
  <cp:revision>2</cp:revision>
  <dcterms:created xsi:type="dcterms:W3CDTF">2021-12-16T17:54:00Z</dcterms:created>
  <dcterms:modified xsi:type="dcterms:W3CDTF">2021-12-16T17:54:00Z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0x01010054E3A0F89BB9954C8B253FD585569827</vt:lpwstr>
  </property>
</Properties>
</file>