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63F338C1" w:rsidRPr="0000093E" w14:paraId="2362F9A3" w14:textId="77777777" w:rsidTr="00142906">
        <w:trPr>
          <w:trHeight w:val="1890"/>
          <w:tblHeader/>
        </w:trPr>
        <w:tc>
          <w:tcPr>
            <w:tcW w:w="2160" w:type="dxa"/>
            <w:vAlign w:val="center"/>
          </w:tcPr>
          <w:p w14:paraId="07BA5F50" w14:textId="77777777" w:rsidR="63F338C1" w:rsidRDefault="63F338C1" w:rsidP="6DA97DB0">
            <w:pPr>
              <w:jc w:val="center"/>
              <w:rPr>
                <w:rFonts w:eastAsia="Arial"/>
                <w:b/>
                <w:bCs/>
                <w:color w:val="082A75"/>
                <w:sz w:val="36"/>
                <w:szCs w:val="36"/>
              </w:rPr>
            </w:pPr>
            <w:r>
              <w:rPr>
                <w:noProof/>
              </w:rPr>
              <w:drawing>
                <wp:inline distT="0" distB="0" distL="0" distR="0" wp14:anchorId="3904A0C5" wp14:editId="1593ED58">
                  <wp:extent cx="1077554" cy="1145969"/>
                  <wp:effectExtent l="0" t="0" r="8890" b="0"/>
                  <wp:docPr id="1338568022" name="Picture 1944659586" descr="Logotipo de ODE" title="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153AFCD7" w14:textId="77777777" w:rsidR="63F338C1" w:rsidRPr="0000093E" w:rsidRDefault="63F338C1" w:rsidP="006B64E1">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Plan de desempeño estatal (SPP)</w:t>
            </w:r>
          </w:p>
          <w:p w14:paraId="0B2EB097" w14:textId="4B3797DB" w:rsidR="63F338C1" w:rsidRPr="0000093E" w:rsidRDefault="63F338C1" w:rsidP="006B64E1">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Hoja de datos</w:t>
            </w:r>
          </w:p>
          <w:p w14:paraId="7B586D5B" w14:textId="5F36ED86" w:rsidR="63F338C1" w:rsidRPr="0000093E" w:rsidRDefault="63F338C1" w:rsidP="006B64E1">
            <w:pPr>
              <w:pStyle w:val="Title"/>
              <w:spacing w:after="200"/>
              <w:jc w:val="center"/>
              <w:rPr>
                <w:rFonts w:asciiTheme="minorHAnsi" w:eastAsia="Arial" w:hAnsiTheme="minorHAnsi" w:cstheme="minorBidi"/>
                <w:b/>
                <w:bCs/>
                <w:color w:val="082A75"/>
                <w:sz w:val="48"/>
                <w:szCs w:val="48"/>
                <w:lang w:val="es-MX"/>
              </w:rPr>
            </w:pPr>
            <w:r>
              <w:rPr>
                <w:rFonts w:asciiTheme="minorHAnsi" w:eastAsia="Arial" w:hAnsiTheme="minorHAnsi" w:cstheme="minorBidi"/>
                <w:b/>
                <w:bCs/>
                <w:color w:val="1B75BC"/>
                <w:sz w:val="32"/>
                <w:szCs w:val="32"/>
                <w:lang w:val="es-PR"/>
              </w:rPr>
              <w:t>Indicador B5: Colocación en el entorno menos restrictivo (LRE)</w:t>
            </w:r>
          </w:p>
        </w:tc>
      </w:tr>
      <w:tr w:rsidR="63F338C1" w:rsidRPr="0000093E" w14:paraId="097EB651" w14:textId="77777777" w:rsidTr="63F338C1">
        <w:trPr>
          <w:trHeight w:val="72"/>
        </w:trPr>
        <w:tc>
          <w:tcPr>
            <w:tcW w:w="2484" w:type="dxa"/>
            <w:gridSpan w:val="2"/>
            <w:shd w:val="clear" w:color="auto" w:fill="9F2065"/>
          </w:tcPr>
          <w:p w14:paraId="4B3BB040" w14:textId="77777777" w:rsidR="63F338C1" w:rsidRPr="0000093E" w:rsidRDefault="63F338C1" w:rsidP="006B64E1">
            <w:pPr>
              <w:rPr>
                <w:noProof/>
                <w:lang w:val="es-MX"/>
              </w:rPr>
            </w:pPr>
          </w:p>
        </w:tc>
        <w:tc>
          <w:tcPr>
            <w:tcW w:w="2484" w:type="dxa"/>
            <w:shd w:val="clear" w:color="auto" w:fill="E26B2A"/>
          </w:tcPr>
          <w:p w14:paraId="5C38AC29" w14:textId="77777777" w:rsidR="63F338C1" w:rsidRPr="0000093E" w:rsidRDefault="63F338C1" w:rsidP="006B64E1">
            <w:pPr>
              <w:pStyle w:val="Title"/>
              <w:rPr>
                <w:rFonts w:asciiTheme="minorHAnsi" w:eastAsia="Arial" w:hAnsiTheme="minorHAnsi" w:cstheme="minorBidi"/>
                <w:b/>
                <w:bCs/>
                <w:color w:val="082974"/>
                <w:sz w:val="22"/>
                <w:szCs w:val="22"/>
                <w:lang w:val="es-MX"/>
              </w:rPr>
            </w:pPr>
          </w:p>
        </w:tc>
        <w:tc>
          <w:tcPr>
            <w:tcW w:w="2484" w:type="dxa"/>
            <w:shd w:val="clear" w:color="auto" w:fill="1B75BC"/>
          </w:tcPr>
          <w:p w14:paraId="3C205EEA" w14:textId="77777777" w:rsidR="63F338C1" w:rsidRPr="0000093E" w:rsidRDefault="63F338C1" w:rsidP="006B64E1">
            <w:pPr>
              <w:pStyle w:val="Title"/>
              <w:rPr>
                <w:rFonts w:asciiTheme="minorHAnsi" w:eastAsia="Arial" w:hAnsiTheme="minorHAnsi" w:cstheme="minorBidi"/>
                <w:b/>
                <w:bCs/>
                <w:color w:val="082974"/>
                <w:sz w:val="22"/>
                <w:szCs w:val="22"/>
                <w:lang w:val="es-MX"/>
              </w:rPr>
            </w:pPr>
          </w:p>
        </w:tc>
        <w:tc>
          <w:tcPr>
            <w:tcW w:w="2484" w:type="dxa"/>
            <w:shd w:val="clear" w:color="auto" w:fill="408740"/>
          </w:tcPr>
          <w:p w14:paraId="1E122F27" w14:textId="46579079" w:rsidR="63F338C1" w:rsidRPr="0000093E" w:rsidRDefault="63F338C1" w:rsidP="006B64E1">
            <w:pPr>
              <w:pStyle w:val="Title"/>
              <w:rPr>
                <w:rFonts w:asciiTheme="minorHAnsi" w:eastAsia="Arial" w:hAnsiTheme="minorHAnsi" w:cstheme="minorBidi"/>
                <w:b/>
                <w:bCs/>
                <w:color w:val="082974"/>
                <w:sz w:val="22"/>
                <w:szCs w:val="22"/>
                <w:lang w:val="es-MX"/>
              </w:rPr>
            </w:pPr>
          </w:p>
        </w:tc>
      </w:tr>
    </w:tbl>
    <w:p w14:paraId="7F0A3134" w14:textId="010B405A" w:rsidR="7D38885E" w:rsidRPr="0000093E" w:rsidRDefault="7D38885E" w:rsidP="00EC6A35">
      <w:pPr>
        <w:pStyle w:val="Heading1"/>
        <w:spacing w:before="120" w:line="240" w:lineRule="auto"/>
        <w:rPr>
          <w:rFonts w:ascii="Calibri" w:eastAsia="Calibri" w:hAnsi="Calibri" w:cs="Calibri"/>
          <w:color w:val="1B75BC"/>
          <w:lang w:val="es-MX"/>
        </w:rPr>
      </w:pPr>
      <w:r>
        <w:rPr>
          <w:rFonts w:ascii="Calibri" w:eastAsia="Calibri" w:hAnsi="Calibri" w:cs="Calibri"/>
          <w:b/>
          <w:bCs/>
          <w:color w:val="1B75BC"/>
          <w:lang w:val="es-PR"/>
        </w:rPr>
        <w:t>Plan de desempeño del estado de Oregon</w:t>
      </w:r>
    </w:p>
    <w:p w14:paraId="24F98428" w14:textId="1E6EEA9B" w:rsidR="7D38885E" w:rsidRPr="0000093E" w:rsidRDefault="00585E53" w:rsidP="006B64E1">
      <w:pPr>
        <w:spacing w:after="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los objetivos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Actualmente, el ODE está buscando información relacionada con los indicadores para los cuales se deben establecer objetivos y llevará a cabo una sesión de información pública para discutir los datos relacionados con este indicador en diciembre de 2021. Por favor, consulte la página web del </w:t>
      </w:r>
      <w:hyperlink r:id="rId12">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3"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w:t>
      </w:r>
    </w:p>
    <w:p w14:paraId="08C77820" w14:textId="38489BE4" w:rsidR="38171751" w:rsidRPr="0000093E" w:rsidRDefault="00CA3BE5" w:rsidP="00EC6A35">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¿Qué mide este indicador y por qué es importante?</w:t>
      </w:r>
    </w:p>
    <w:p w14:paraId="78905488" w14:textId="70212DAF" w:rsidR="00CB50E1" w:rsidRPr="0000093E" w:rsidRDefault="00CB50E1" w:rsidP="00CB50E1">
      <w:pPr>
        <w:spacing w:after="0" w:line="240" w:lineRule="auto"/>
        <w:rPr>
          <w:lang w:val="es-MX"/>
        </w:rPr>
      </w:pPr>
      <w:r>
        <w:rPr>
          <w:lang w:val="es-PR"/>
        </w:rPr>
        <w:t xml:space="preserve">El indicador B5 </w:t>
      </w:r>
      <w:r>
        <w:rPr>
          <w:rFonts w:ascii="Calibri" w:hAnsi="Calibri"/>
          <w:color w:val="000000" w:themeColor="text1"/>
          <w:lang w:val="es-PR"/>
        </w:rPr>
        <w:t>aborda una Educación Pública Apropiada y Gratuita (FAPE) en el Ambiente Menos Restrictivo, o LRE como se le llama más comúnmente, midiendo el porcentaje de niños con IEPs de 5 años que están inscritos en el jardín de infantes y de 6 a 21 años que reciben servicios/son educado:</w:t>
      </w:r>
    </w:p>
    <w:p w14:paraId="5407DB44" w14:textId="77777777" w:rsidR="00CB50E1" w:rsidRPr="0000093E" w:rsidRDefault="00CB50E1" w:rsidP="00CB50E1">
      <w:pPr>
        <w:pStyle w:val="ListParagraph"/>
        <w:numPr>
          <w:ilvl w:val="0"/>
          <w:numId w:val="9"/>
        </w:numPr>
        <w:spacing w:line="240" w:lineRule="auto"/>
        <w:rPr>
          <w:lang w:val="es-MX"/>
        </w:rPr>
      </w:pPr>
      <w:r>
        <w:rPr>
          <w:lang w:val="es-PR"/>
        </w:rPr>
        <w:t>Dentro de la clase regular el 80% o más del día;</w:t>
      </w:r>
    </w:p>
    <w:p w14:paraId="4C73B544" w14:textId="77777777" w:rsidR="00CB50E1" w:rsidRPr="0000093E" w:rsidRDefault="00CB50E1" w:rsidP="00CB50E1">
      <w:pPr>
        <w:pStyle w:val="ListParagraph"/>
        <w:numPr>
          <w:ilvl w:val="0"/>
          <w:numId w:val="9"/>
        </w:numPr>
        <w:spacing w:line="240" w:lineRule="auto"/>
        <w:rPr>
          <w:lang w:val="es-MX"/>
        </w:rPr>
      </w:pPr>
      <w:r>
        <w:rPr>
          <w:lang w:val="es-PR"/>
        </w:rPr>
        <w:t>Dentro de la clase regular menos del 40% del día; y</w:t>
      </w:r>
    </w:p>
    <w:p w14:paraId="0DFDCB52" w14:textId="77777777" w:rsidR="00CB50E1" w:rsidRPr="0000093E" w:rsidRDefault="00CB50E1" w:rsidP="00EC6A35">
      <w:pPr>
        <w:pStyle w:val="ListParagraph"/>
        <w:numPr>
          <w:ilvl w:val="0"/>
          <w:numId w:val="9"/>
        </w:numPr>
        <w:spacing w:after="120" w:line="240" w:lineRule="auto"/>
        <w:rPr>
          <w:lang w:val="es-MX"/>
        </w:rPr>
      </w:pPr>
      <w:r>
        <w:rPr>
          <w:lang w:val="es-PR"/>
        </w:rPr>
        <w:t>En escuelas separadas, instalaciones residenciales o colocaciones en el hogar/hospital.</w:t>
      </w:r>
    </w:p>
    <w:p w14:paraId="586A9EB6" w14:textId="668E53B7" w:rsidR="006317DA" w:rsidRPr="0000093E" w:rsidRDefault="00CB50E1" w:rsidP="00EC6A35">
      <w:pPr>
        <w:spacing w:after="120" w:line="240" w:lineRule="auto"/>
        <w:rPr>
          <w:lang w:val="es-MX"/>
        </w:rPr>
      </w:pPr>
      <w:r>
        <w:rPr>
          <w:rFonts w:ascii="Calibri" w:hAnsi="Calibri"/>
          <w:lang w:val="es-PR"/>
        </w:rPr>
        <w:t>En términos básicos, LRE</w:t>
      </w:r>
      <w:r>
        <w:rPr>
          <w:rStyle w:val="FootnoteReference"/>
          <w:rFonts w:ascii="Calibri" w:eastAsia="Calibri" w:hAnsi="Calibri" w:cs="Calibri"/>
          <w:lang w:val="es-PR"/>
        </w:rPr>
        <w:footnoteReference w:id="2"/>
      </w:r>
      <w:r>
        <w:rPr>
          <w:rFonts w:ascii="Calibri" w:hAnsi="Calibri"/>
          <w:lang w:val="es-PR"/>
        </w:rPr>
        <w:t xml:space="preserve"> se refiere al entorno en el que un niño con una discapacidad puede recibir una educación adecuada diseñada para satisfacer sus necesidades educativas, junto con sus compañeros sin discapacidades en la medida de lo posible. LRE es un elemento fundamental en la construcción de un IEP apropiado que puede mejorar los resultados de un niño, en la escuela y en la vida. </w:t>
      </w:r>
      <w:r>
        <w:rPr>
          <w:lang w:val="es-PR"/>
        </w:rPr>
        <w:t xml:space="preserve">Para que ocurra la FAPE en el LRE, el desarrollo del IEP (o la aceptación del estudiante transferido) </w:t>
      </w:r>
      <w:r>
        <w:rPr>
          <w:u w:val="single"/>
          <w:lang w:val="es-PR"/>
        </w:rPr>
        <w:t>debe preceder a la decisión de colocación</w:t>
      </w:r>
      <w:r>
        <w:rPr>
          <w:lang w:val="es-PR"/>
        </w:rPr>
        <w:t>. Los niveles actuales de desempeño académico y funcional proporcionan los antecedentes para la colocación del niño y para el LRE. La “declaración de no participación” en el IEP contribuye a la colocación, pero en sí misma no es la colocación.</w:t>
      </w:r>
    </w:p>
    <w:p w14:paraId="507CB3DD" w14:textId="3B0AA18E" w:rsidR="002D66CC" w:rsidRPr="0000093E" w:rsidRDefault="00CB50E1" w:rsidP="004D196C">
      <w:pPr>
        <w:spacing w:after="0" w:line="240" w:lineRule="auto"/>
        <w:rPr>
          <w:lang w:val="es-MX"/>
        </w:rPr>
      </w:pPr>
      <w:r>
        <w:rPr>
          <w:rFonts w:ascii="Calibri" w:eastAsia="Calibri" w:hAnsi="Calibri" w:cs="Calibri"/>
          <w:lang w:val="es-PR"/>
        </w:rPr>
        <w:t>Los requisitos de LRE en IDEA expresan una fuerte preferencia, no un mandato, para educar a los niños con discapacidades en clases regulares junto con sus compañeros sin discapacidades. (71 Fed. Reg. 46585) LRE es uno de varios componentes vitales en el desarrollo del Programa de Educación Individualizada (IEP) de un niño y juega un papel fundamental, influyendo en:</w:t>
      </w:r>
    </w:p>
    <w:p w14:paraId="1BC25546" w14:textId="5DE08701" w:rsidR="002D66CC" w:rsidRPr="0000093E" w:rsidRDefault="78694CE0" w:rsidP="006B64E1">
      <w:pPr>
        <w:pStyle w:val="ListParagraph"/>
        <w:numPr>
          <w:ilvl w:val="0"/>
          <w:numId w:val="1"/>
        </w:numPr>
        <w:spacing w:line="240" w:lineRule="auto"/>
        <w:rPr>
          <w:rFonts w:eastAsiaTheme="minorEastAsia"/>
          <w:lang w:val="es-MX"/>
        </w:rPr>
      </w:pPr>
      <w:r>
        <w:rPr>
          <w:rFonts w:ascii="Calibri" w:eastAsia="Calibri" w:hAnsi="Calibri" w:cs="Calibri"/>
          <w:lang w:val="es-PR"/>
        </w:rPr>
        <w:t xml:space="preserve">Donde un niño pasa su tiempo en la escuela, </w:t>
      </w:r>
    </w:p>
    <w:p w14:paraId="51922E9D" w14:textId="77777777" w:rsidR="00F25E0F" w:rsidRPr="0000093E" w:rsidRDefault="78694CE0" w:rsidP="00F777C1">
      <w:pPr>
        <w:pStyle w:val="ListParagraph"/>
        <w:numPr>
          <w:ilvl w:val="0"/>
          <w:numId w:val="1"/>
        </w:numPr>
        <w:spacing w:line="240" w:lineRule="auto"/>
        <w:rPr>
          <w:rFonts w:eastAsiaTheme="minorEastAsia"/>
          <w:lang w:val="es-MX"/>
        </w:rPr>
      </w:pPr>
      <w:r>
        <w:rPr>
          <w:rFonts w:ascii="Calibri" w:eastAsia="Calibri" w:hAnsi="Calibri" w:cs="Calibri"/>
          <w:lang w:val="es-PR"/>
        </w:rPr>
        <w:t xml:space="preserve">Cómo se brindan los servicios, y </w:t>
      </w:r>
    </w:p>
    <w:p w14:paraId="3A0D7B08" w14:textId="64FBF775" w:rsidR="002D66CC" w:rsidRPr="0000093E" w:rsidRDefault="00F25E0F" w:rsidP="00F777C1">
      <w:pPr>
        <w:pStyle w:val="ListParagraph"/>
        <w:numPr>
          <w:ilvl w:val="0"/>
          <w:numId w:val="1"/>
        </w:numPr>
        <w:spacing w:line="240" w:lineRule="auto"/>
        <w:rPr>
          <w:rFonts w:eastAsiaTheme="minorEastAsia"/>
          <w:lang w:val="es-MX"/>
        </w:rPr>
      </w:pPr>
      <w:r>
        <w:rPr>
          <w:rFonts w:ascii="Calibri" w:eastAsia="Calibri" w:hAnsi="Calibri" w:cs="Calibri"/>
          <w:lang w:val="es-PR"/>
        </w:rPr>
        <w:t>Las relaciones que el niño desarrolla dentro de la escuela y la comunidad.</w:t>
      </w:r>
    </w:p>
    <w:p w14:paraId="21AABC0C" w14:textId="1D2468F7" w:rsidR="6CBDC2CC" w:rsidRPr="0000093E" w:rsidRDefault="00356BE5" w:rsidP="006B64E1">
      <w:pPr>
        <w:pStyle w:val="Heading1"/>
        <w:spacing w:before="0" w:line="240" w:lineRule="auto"/>
        <w:rPr>
          <w:rFonts w:asciiTheme="minorHAnsi" w:hAnsiTheme="minorHAnsi" w:cstheme="minorBidi"/>
          <w:b/>
          <w:bCs/>
          <w:color w:val="1B75BC"/>
          <w:lang w:val="es-MX"/>
        </w:rPr>
      </w:pPr>
      <w:r>
        <w:rPr>
          <w:rFonts w:asciiTheme="minorHAnsi" w:hAnsiTheme="minorHAnsi" w:cstheme="minorBidi"/>
          <w:b/>
          <w:bCs/>
          <w:color w:val="1B75BC"/>
          <w:lang w:val="es-PR"/>
        </w:rPr>
        <w:lastRenderedPageBreak/>
        <w:t>¿Cuál es la fuente de datos?</w:t>
      </w:r>
    </w:p>
    <w:p w14:paraId="1EC3E2F7" w14:textId="5D409012" w:rsidR="005EE846" w:rsidRPr="0000093E" w:rsidRDefault="005EE846" w:rsidP="44B23A45">
      <w:pPr>
        <w:spacing w:line="240" w:lineRule="auto"/>
        <w:rPr>
          <w:rFonts w:ascii="Calibri" w:eastAsia="Calibri" w:hAnsi="Calibri" w:cs="Calibri"/>
          <w:lang w:val="es-MX"/>
        </w:rPr>
      </w:pPr>
      <w:r>
        <w:rPr>
          <w:rFonts w:ascii="Calibri" w:eastAsia="Calibri" w:hAnsi="Calibri" w:cs="Calibri"/>
          <w:color w:val="201F1E"/>
          <w:lang w:val="es-PR"/>
        </w:rPr>
        <w:t xml:space="preserve">Los datos para este indicador provienen de la recopilación del recuento de niños de educación especial de diciembre, específicamente </w:t>
      </w:r>
      <w:r>
        <w:rPr>
          <w:rFonts w:ascii="Calibri" w:eastAsia="Calibri" w:hAnsi="Calibri" w:cs="Calibri"/>
          <w:color w:val="000000" w:themeColor="text1"/>
          <w:lang w:val="es-PR"/>
        </w:rPr>
        <w:t xml:space="preserve">en la sección 618 de IDEA Datos en el archivo EDFacts </w:t>
      </w:r>
      <w:hyperlink r:id="rId14">
        <w:r>
          <w:rPr>
            <w:rStyle w:val="Hyperlink"/>
            <w:rFonts w:ascii="Calibri" w:eastAsia="Calibri" w:hAnsi="Calibri" w:cs="Calibri"/>
            <w:lang w:val="es-PR"/>
          </w:rPr>
          <w:t>FS002 - Niños con discapacidades (IDEA) en edad escolar</w:t>
        </w:r>
      </w:hyperlink>
      <w:r>
        <w:rPr>
          <w:rFonts w:ascii="Calibri" w:eastAsia="Calibri" w:hAnsi="Calibri" w:cs="Calibri"/>
          <w:color w:val="000000" w:themeColor="text1"/>
          <w:lang w:val="es-PR"/>
        </w:rPr>
        <w:t>. Los datos se recopilan anualmente de cada distrito escolar a través de la información del Código Federal de Colocación reportada en el Conteo de Niños de Educación Especial de diciembre (SECC). El SECC recopila datos sobre los estudiantes elegibles para los servicios de educación especial a partir del 1 de diciembre.</w:t>
      </w:r>
    </w:p>
    <w:p w14:paraId="1E592187" w14:textId="77777777" w:rsidR="00B40ECE" w:rsidRPr="0000093E" w:rsidRDefault="00B40ECE" w:rsidP="00B40ECE">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t>¿Es necesario establecer o restablecer la línea de base para este indicador?</w:t>
      </w:r>
    </w:p>
    <w:p w14:paraId="5C67ED04" w14:textId="1613A9F6" w:rsidR="00B40ECE" w:rsidRPr="0000093E" w:rsidRDefault="00B40ECE" w:rsidP="00B40ECE">
      <w:pPr>
        <w:spacing w:line="240" w:lineRule="auto"/>
        <w:rPr>
          <w:lang w:val="es-MX"/>
        </w:rPr>
      </w:pPr>
      <w:r>
        <w:rPr>
          <w:lang w:val="es-PR"/>
        </w:rPr>
        <w:t>Sí, la línea de base anterior usó datos de colocación para estudiantes K-12 de 6 a 21 años. La medición actual requiere que el ODE informe los datos de colocación de los estudiantes de K-12 de 5 a 21 años. Por lo tanto, el ODE debe establecer una nueva línea de base para este indicador. El ODE propone usar nuestros objetivos más recientes como una nueva línea de base para este indicador para el Plan de desempeño estatal del año fiscal 2020-2025, de la siguiente manera:</w:t>
      </w:r>
    </w:p>
    <w:tbl>
      <w:tblPr>
        <w:tblStyle w:val="TableGrid"/>
        <w:tblW w:w="5234" w:type="dxa"/>
        <w:jc w:val="center"/>
        <w:tblLook w:val="04A0" w:firstRow="1" w:lastRow="0" w:firstColumn="1" w:lastColumn="0" w:noHBand="0" w:noVBand="1"/>
        <w:tblCaption w:val="Proposed Baselines for Indicator 5"/>
        <w:tblDescription w:val="This table contains the proposed baseline data for Indicator 5."/>
      </w:tblPr>
      <w:tblGrid>
        <w:gridCol w:w="1308"/>
        <w:gridCol w:w="1309"/>
        <w:gridCol w:w="1308"/>
        <w:gridCol w:w="1309"/>
      </w:tblGrid>
      <w:tr w:rsidR="00B40ECE" w14:paraId="3BE9E556" w14:textId="77777777" w:rsidTr="44B23A45">
        <w:trPr>
          <w:tblHeader/>
          <w:jc w:val="center"/>
        </w:trPr>
        <w:tc>
          <w:tcPr>
            <w:tcW w:w="1308" w:type="dxa"/>
            <w:shd w:val="clear" w:color="auto" w:fill="5B9BD5" w:themeFill="accent5"/>
          </w:tcPr>
          <w:p w14:paraId="19FC9C68" w14:textId="77777777" w:rsidR="00B40ECE" w:rsidRDefault="00B40ECE" w:rsidP="00D41862">
            <w:pPr>
              <w:jc w:val="center"/>
              <w:rPr>
                <w:b/>
                <w:bCs/>
              </w:rPr>
            </w:pPr>
            <w:r>
              <w:rPr>
                <w:b/>
                <w:bCs/>
                <w:lang w:val="es-PR"/>
              </w:rPr>
              <w:t>Línea de base</w:t>
            </w:r>
          </w:p>
        </w:tc>
        <w:tc>
          <w:tcPr>
            <w:tcW w:w="1309" w:type="dxa"/>
            <w:shd w:val="clear" w:color="auto" w:fill="5B9BD5" w:themeFill="accent5"/>
          </w:tcPr>
          <w:p w14:paraId="0B08EF1E" w14:textId="77777777" w:rsidR="00B40ECE" w:rsidRDefault="00B40ECE" w:rsidP="00D41862">
            <w:pPr>
              <w:jc w:val="center"/>
              <w:rPr>
                <w:b/>
                <w:bCs/>
              </w:rPr>
            </w:pPr>
            <w:r>
              <w:rPr>
                <w:b/>
                <w:bCs/>
                <w:lang w:val="es-PR"/>
              </w:rPr>
              <w:t>5A</w:t>
            </w:r>
          </w:p>
        </w:tc>
        <w:tc>
          <w:tcPr>
            <w:tcW w:w="1308" w:type="dxa"/>
            <w:shd w:val="clear" w:color="auto" w:fill="5B9BD5" w:themeFill="accent5"/>
          </w:tcPr>
          <w:p w14:paraId="70CA0140" w14:textId="77777777" w:rsidR="00B40ECE" w:rsidRDefault="00B40ECE" w:rsidP="00D41862">
            <w:pPr>
              <w:jc w:val="center"/>
              <w:rPr>
                <w:b/>
                <w:bCs/>
              </w:rPr>
            </w:pPr>
            <w:r>
              <w:rPr>
                <w:b/>
                <w:bCs/>
                <w:lang w:val="es-PR"/>
              </w:rPr>
              <w:t>5B</w:t>
            </w:r>
          </w:p>
        </w:tc>
        <w:tc>
          <w:tcPr>
            <w:tcW w:w="1309" w:type="dxa"/>
            <w:shd w:val="clear" w:color="auto" w:fill="5B9BD5" w:themeFill="accent5"/>
          </w:tcPr>
          <w:p w14:paraId="109EECAA" w14:textId="77777777" w:rsidR="00B40ECE" w:rsidRPr="28D2AC4E" w:rsidRDefault="00B40ECE" w:rsidP="00D41862">
            <w:pPr>
              <w:jc w:val="center"/>
              <w:rPr>
                <w:b/>
                <w:bCs/>
              </w:rPr>
            </w:pPr>
            <w:r>
              <w:rPr>
                <w:b/>
                <w:bCs/>
                <w:lang w:val="es-PR"/>
              </w:rPr>
              <w:t>5C</w:t>
            </w:r>
          </w:p>
        </w:tc>
      </w:tr>
      <w:tr w:rsidR="00B40ECE" w14:paraId="2A335A6B" w14:textId="77777777" w:rsidTr="44B23A45">
        <w:trPr>
          <w:jc w:val="center"/>
        </w:trPr>
        <w:tc>
          <w:tcPr>
            <w:tcW w:w="1308" w:type="dxa"/>
          </w:tcPr>
          <w:p w14:paraId="170FFB32" w14:textId="77777777" w:rsidR="00B40ECE" w:rsidRDefault="00B40ECE" w:rsidP="00D41862">
            <w:pPr>
              <w:jc w:val="center"/>
            </w:pPr>
            <w:r>
              <w:rPr>
                <w:lang w:val="es-PR"/>
              </w:rPr>
              <w:t>Año fiscal 2019</w:t>
            </w:r>
          </w:p>
        </w:tc>
        <w:tc>
          <w:tcPr>
            <w:tcW w:w="1309" w:type="dxa"/>
          </w:tcPr>
          <w:p w14:paraId="5B2476AB" w14:textId="77777777" w:rsidR="00B40ECE" w:rsidRDefault="00B40ECE" w:rsidP="00D41862">
            <w:pPr>
              <w:jc w:val="center"/>
            </w:pPr>
            <w:r>
              <w:rPr>
                <w:lang w:val="es-PR"/>
              </w:rPr>
              <w:t>75.00%</w:t>
            </w:r>
          </w:p>
        </w:tc>
        <w:tc>
          <w:tcPr>
            <w:tcW w:w="1308" w:type="dxa"/>
          </w:tcPr>
          <w:p w14:paraId="20E95F3B" w14:textId="27BB7E1E" w:rsidR="00B40ECE" w:rsidRDefault="5A5F3C2B" w:rsidP="00D41862">
            <w:pPr>
              <w:jc w:val="center"/>
            </w:pPr>
            <w:r>
              <w:rPr>
                <w:lang w:val="es-PR"/>
              </w:rPr>
              <w:t>9.25%</w:t>
            </w:r>
          </w:p>
        </w:tc>
        <w:tc>
          <w:tcPr>
            <w:tcW w:w="1309" w:type="dxa"/>
          </w:tcPr>
          <w:p w14:paraId="33F71D7F" w14:textId="77777777" w:rsidR="00B40ECE" w:rsidRDefault="00B40ECE" w:rsidP="00D41862">
            <w:pPr>
              <w:jc w:val="center"/>
            </w:pPr>
            <w:r>
              <w:rPr>
                <w:lang w:val="es-PR"/>
              </w:rPr>
              <w:t>1.80%</w:t>
            </w:r>
          </w:p>
        </w:tc>
      </w:tr>
    </w:tbl>
    <w:p w14:paraId="31C3B5A6" w14:textId="088698C0" w:rsidR="00C41661" w:rsidRPr="0000093E" w:rsidRDefault="4197FFC0" w:rsidP="00A448C8">
      <w:pPr>
        <w:pStyle w:val="Heading1"/>
        <w:spacing w:after="120" w:line="240" w:lineRule="auto"/>
        <w:rPr>
          <w:rFonts w:asciiTheme="minorHAnsi" w:hAnsiTheme="minorHAnsi" w:cstheme="minorBidi"/>
          <w:b/>
          <w:bCs/>
          <w:color w:val="1B75BC"/>
          <w:lang w:val="es-MX"/>
        </w:rPr>
      </w:pPr>
      <w:r>
        <w:rPr>
          <w:rFonts w:asciiTheme="minorHAnsi" w:hAnsiTheme="minorHAnsi" w:cstheme="minorBidi"/>
          <w:b/>
          <w:bCs/>
          <w:color w:val="1B75BC"/>
          <w:lang w:val="es-PR"/>
        </w:rPr>
        <w:t>¿Cómo se ha desempeñado Oregon a lo largo del tiempo?</w:t>
      </w:r>
    </w:p>
    <w:p w14:paraId="13D744B7" w14:textId="7921DAE9" w:rsidR="00B11C99" w:rsidRPr="0000093E" w:rsidRDefault="00D570CE" w:rsidP="00892BE5">
      <w:pPr>
        <w:pStyle w:val="ListParagraph"/>
        <w:numPr>
          <w:ilvl w:val="0"/>
          <w:numId w:val="13"/>
        </w:numPr>
        <w:spacing w:after="120" w:line="240" w:lineRule="auto"/>
        <w:contextualSpacing w:val="0"/>
        <w:rPr>
          <w:lang w:val="es-MX"/>
        </w:rPr>
      </w:pPr>
      <w:r>
        <w:rPr>
          <w:lang w:val="es-PR"/>
        </w:rPr>
        <w:t>Porcentaje de niños con IEP de K5-21 años de edad que reciben servicios dentro de la clase regular el 80% o más del día</w:t>
      </w:r>
    </w:p>
    <w:p w14:paraId="03CCC25D" w14:textId="17591182" w:rsidR="00DA5C74" w:rsidRDefault="00665A7D" w:rsidP="00892BE5">
      <w:pPr>
        <w:pStyle w:val="ListParagraph"/>
        <w:spacing w:after="120" w:line="240" w:lineRule="auto"/>
        <w:ind w:left="360"/>
        <w:contextualSpacing w:val="0"/>
        <w:jc w:val="center"/>
      </w:pPr>
      <w:r>
        <w:rPr>
          <w:noProof/>
        </w:rPr>
        <w:drawing>
          <wp:inline distT="0" distB="0" distL="0" distR="0" wp14:anchorId="4F016CDC" wp14:editId="3835C826">
            <wp:extent cx="5486400" cy="2743200"/>
            <wp:effectExtent l="0" t="0" r="0" b="0"/>
            <wp:docPr id="1" name="Chart 1" title="Datos del indicador B5 de Oregon (edad escolar L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A."/>
      </w:tblPr>
      <w:tblGrid>
        <w:gridCol w:w="1147"/>
        <w:gridCol w:w="1148"/>
        <w:gridCol w:w="1147"/>
        <w:gridCol w:w="1148"/>
        <w:gridCol w:w="1147"/>
        <w:gridCol w:w="1148"/>
        <w:gridCol w:w="1147"/>
        <w:gridCol w:w="1148"/>
      </w:tblGrid>
      <w:tr w:rsidR="00B11C99" w14:paraId="39258389" w14:textId="77777777" w:rsidTr="00142906">
        <w:trPr>
          <w:tblHeader/>
        </w:trPr>
        <w:tc>
          <w:tcPr>
            <w:tcW w:w="1147" w:type="dxa"/>
            <w:shd w:val="clear" w:color="auto" w:fill="FFC000" w:themeFill="accent4"/>
          </w:tcPr>
          <w:p w14:paraId="3519F430" w14:textId="77694B36" w:rsidR="00B11C99" w:rsidRDefault="00B11C99" w:rsidP="00892BE5">
            <w:pPr>
              <w:pStyle w:val="ListParagraph"/>
              <w:ind w:left="0"/>
              <w:contextualSpacing w:val="0"/>
              <w:jc w:val="center"/>
            </w:pPr>
            <w:r>
              <w:rPr>
                <w:b/>
                <w:bCs/>
                <w:lang w:val="es-PR"/>
              </w:rPr>
              <w:t>Años fiscales</w:t>
            </w:r>
          </w:p>
        </w:tc>
        <w:tc>
          <w:tcPr>
            <w:tcW w:w="1148" w:type="dxa"/>
            <w:shd w:val="clear" w:color="auto" w:fill="FFC000" w:themeFill="accent4"/>
          </w:tcPr>
          <w:p w14:paraId="3FB9A72F" w14:textId="1D775373" w:rsidR="00B11C99" w:rsidRDefault="00B11C99" w:rsidP="00892BE5">
            <w:pPr>
              <w:pStyle w:val="ListParagraph"/>
              <w:ind w:left="0"/>
              <w:contextualSpacing w:val="0"/>
              <w:jc w:val="center"/>
            </w:pPr>
            <w:r>
              <w:rPr>
                <w:b/>
                <w:bCs/>
                <w:lang w:val="es-PR"/>
              </w:rPr>
              <w:t>2005</w:t>
            </w:r>
          </w:p>
        </w:tc>
        <w:tc>
          <w:tcPr>
            <w:tcW w:w="1147" w:type="dxa"/>
            <w:shd w:val="clear" w:color="auto" w:fill="FFC000" w:themeFill="accent4"/>
          </w:tcPr>
          <w:p w14:paraId="504F966E" w14:textId="05C92DEF" w:rsidR="00B11C99" w:rsidRDefault="00B11C99" w:rsidP="00892BE5">
            <w:pPr>
              <w:pStyle w:val="ListParagraph"/>
              <w:ind w:left="0"/>
              <w:contextualSpacing w:val="0"/>
              <w:jc w:val="center"/>
            </w:pPr>
            <w:r>
              <w:rPr>
                <w:b/>
                <w:bCs/>
                <w:lang w:val="es-PR"/>
              </w:rPr>
              <w:t>2014</w:t>
            </w:r>
          </w:p>
        </w:tc>
        <w:tc>
          <w:tcPr>
            <w:tcW w:w="1148" w:type="dxa"/>
            <w:shd w:val="clear" w:color="auto" w:fill="FFC000" w:themeFill="accent4"/>
          </w:tcPr>
          <w:p w14:paraId="184AEA6E" w14:textId="11F3E46C" w:rsidR="00B11C99" w:rsidRDefault="00B11C99" w:rsidP="00892BE5">
            <w:pPr>
              <w:pStyle w:val="ListParagraph"/>
              <w:ind w:left="0"/>
              <w:contextualSpacing w:val="0"/>
              <w:jc w:val="center"/>
            </w:pPr>
            <w:r>
              <w:rPr>
                <w:b/>
                <w:bCs/>
                <w:lang w:val="es-PR"/>
              </w:rPr>
              <w:t>2015</w:t>
            </w:r>
          </w:p>
        </w:tc>
        <w:tc>
          <w:tcPr>
            <w:tcW w:w="1147" w:type="dxa"/>
            <w:shd w:val="clear" w:color="auto" w:fill="FFC000" w:themeFill="accent4"/>
          </w:tcPr>
          <w:p w14:paraId="0D104A17" w14:textId="548EB85C" w:rsidR="00B11C99" w:rsidRDefault="00B11C99" w:rsidP="00892BE5">
            <w:pPr>
              <w:pStyle w:val="ListParagraph"/>
              <w:ind w:left="0"/>
              <w:contextualSpacing w:val="0"/>
              <w:jc w:val="center"/>
            </w:pPr>
            <w:r>
              <w:rPr>
                <w:b/>
                <w:bCs/>
                <w:lang w:val="es-PR"/>
              </w:rPr>
              <w:t>2016</w:t>
            </w:r>
          </w:p>
        </w:tc>
        <w:tc>
          <w:tcPr>
            <w:tcW w:w="1148" w:type="dxa"/>
            <w:shd w:val="clear" w:color="auto" w:fill="FFC000" w:themeFill="accent4"/>
          </w:tcPr>
          <w:p w14:paraId="44F71CD0" w14:textId="024372F3" w:rsidR="00B11C99" w:rsidRDefault="00B11C99" w:rsidP="00892BE5">
            <w:pPr>
              <w:pStyle w:val="ListParagraph"/>
              <w:ind w:left="0"/>
              <w:contextualSpacing w:val="0"/>
              <w:jc w:val="center"/>
            </w:pPr>
            <w:r>
              <w:rPr>
                <w:b/>
                <w:bCs/>
                <w:lang w:val="es-PR"/>
              </w:rPr>
              <w:t>2017</w:t>
            </w:r>
          </w:p>
        </w:tc>
        <w:tc>
          <w:tcPr>
            <w:tcW w:w="1147" w:type="dxa"/>
            <w:shd w:val="clear" w:color="auto" w:fill="FFC000" w:themeFill="accent4"/>
          </w:tcPr>
          <w:p w14:paraId="571923D7" w14:textId="709D795D" w:rsidR="00B11C99" w:rsidRDefault="00B11C99" w:rsidP="00892BE5">
            <w:pPr>
              <w:pStyle w:val="ListParagraph"/>
              <w:ind w:left="0"/>
              <w:contextualSpacing w:val="0"/>
              <w:jc w:val="center"/>
            </w:pPr>
            <w:r>
              <w:rPr>
                <w:b/>
                <w:bCs/>
                <w:lang w:val="es-PR"/>
              </w:rPr>
              <w:t>2018</w:t>
            </w:r>
          </w:p>
        </w:tc>
        <w:tc>
          <w:tcPr>
            <w:tcW w:w="1148" w:type="dxa"/>
            <w:shd w:val="clear" w:color="auto" w:fill="FFC000" w:themeFill="accent4"/>
          </w:tcPr>
          <w:p w14:paraId="7A80C57F" w14:textId="6445E19E" w:rsidR="00B11C99" w:rsidRDefault="00B11C99" w:rsidP="00892BE5">
            <w:pPr>
              <w:pStyle w:val="ListParagraph"/>
              <w:ind w:left="0"/>
              <w:contextualSpacing w:val="0"/>
              <w:jc w:val="center"/>
            </w:pPr>
            <w:r>
              <w:rPr>
                <w:b/>
                <w:bCs/>
                <w:lang w:val="es-PR"/>
              </w:rPr>
              <w:t>2019</w:t>
            </w:r>
          </w:p>
        </w:tc>
      </w:tr>
      <w:tr w:rsidR="00B11C99" w14:paraId="12D2EE46" w14:textId="77777777" w:rsidTr="00624234">
        <w:tc>
          <w:tcPr>
            <w:tcW w:w="1147" w:type="dxa"/>
          </w:tcPr>
          <w:p w14:paraId="6F33F5E9" w14:textId="67ED4C7A" w:rsidR="00B11C99" w:rsidRDefault="00B11C99" w:rsidP="00892BE5">
            <w:pPr>
              <w:pStyle w:val="ListParagraph"/>
              <w:ind w:left="0"/>
              <w:contextualSpacing w:val="0"/>
              <w:jc w:val="center"/>
            </w:pPr>
            <w:r>
              <w:rPr>
                <w:lang w:val="es-PR"/>
              </w:rPr>
              <w:t>Objetivo ≥</w:t>
            </w:r>
          </w:p>
        </w:tc>
        <w:tc>
          <w:tcPr>
            <w:tcW w:w="1148" w:type="dxa"/>
          </w:tcPr>
          <w:p w14:paraId="376DCF00" w14:textId="159BDB9C" w:rsidR="00B11C99" w:rsidRDefault="00B11C99" w:rsidP="00892BE5">
            <w:pPr>
              <w:pStyle w:val="ListParagraph"/>
              <w:ind w:left="0"/>
              <w:contextualSpacing w:val="0"/>
              <w:jc w:val="center"/>
            </w:pPr>
            <w:r>
              <w:rPr>
                <w:i/>
                <w:iCs/>
                <w:lang w:val="es-PR"/>
              </w:rPr>
              <w:t>Línea de base</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AAB0773" w14:textId="1744A9BE" w:rsidR="00B11C99" w:rsidRDefault="00B11C99" w:rsidP="00892BE5">
            <w:pPr>
              <w:pStyle w:val="ListParagraph"/>
              <w:ind w:left="0"/>
              <w:contextualSpacing w:val="0"/>
              <w:jc w:val="center"/>
            </w:pPr>
            <w:r>
              <w:rPr>
                <w:rFonts w:cs="Arial"/>
                <w:color w:val="000000" w:themeColor="text1"/>
                <w:szCs w:val="16"/>
                <w:lang w:val="es-PR"/>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496F16" w14:textId="4030AF19" w:rsidR="00B11C99" w:rsidRDefault="00B11C99" w:rsidP="00892BE5">
            <w:pPr>
              <w:pStyle w:val="ListParagraph"/>
              <w:ind w:left="0"/>
              <w:contextualSpacing w:val="0"/>
              <w:jc w:val="center"/>
            </w:pPr>
            <w:r>
              <w:rPr>
                <w:rFonts w:cs="Arial"/>
                <w:color w:val="000000" w:themeColor="text1"/>
                <w:szCs w:val="16"/>
                <w:lang w:val="es-PR"/>
              </w:rPr>
              <w:t>72.00%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237948E" w14:textId="26BA1A17" w:rsidR="00B11C99" w:rsidRDefault="00B11C99" w:rsidP="00892BE5">
            <w:pPr>
              <w:pStyle w:val="ListParagraph"/>
              <w:ind w:left="0"/>
              <w:contextualSpacing w:val="0"/>
              <w:jc w:val="center"/>
            </w:pPr>
            <w:r>
              <w:rPr>
                <w:rFonts w:cs="Arial"/>
                <w:color w:val="000000" w:themeColor="text1"/>
                <w:szCs w:val="16"/>
                <w:lang w:val="es-PR"/>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4AE533" w14:textId="4C87AD2F" w:rsidR="00B11C99" w:rsidRDefault="00B11C99" w:rsidP="00892BE5">
            <w:pPr>
              <w:pStyle w:val="ListParagraph"/>
              <w:ind w:left="0"/>
              <w:contextualSpacing w:val="0"/>
              <w:jc w:val="center"/>
            </w:pPr>
            <w:r>
              <w:rPr>
                <w:rFonts w:cs="Arial"/>
                <w:color w:val="000000" w:themeColor="text1"/>
                <w:szCs w:val="16"/>
                <w:lang w:val="es-PR"/>
              </w:rPr>
              <w:t>73.00%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47B8A8" w14:textId="0C0BD332" w:rsidR="00B11C99" w:rsidRDefault="00B11C99" w:rsidP="00892BE5">
            <w:pPr>
              <w:pStyle w:val="ListParagraph"/>
              <w:ind w:left="0"/>
              <w:contextualSpacing w:val="0"/>
              <w:jc w:val="center"/>
            </w:pPr>
            <w:r>
              <w:rPr>
                <w:rFonts w:cs="Arial"/>
                <w:color w:val="000000" w:themeColor="text1"/>
                <w:szCs w:val="16"/>
                <w:lang w:val="es-PR"/>
              </w:rPr>
              <w:t>73.00%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83EAC9" w14:textId="3CB1E6F4" w:rsidR="00B11C99" w:rsidRDefault="00B11C99" w:rsidP="00892BE5">
            <w:pPr>
              <w:pStyle w:val="ListParagraph"/>
              <w:ind w:left="0"/>
              <w:contextualSpacing w:val="0"/>
              <w:jc w:val="center"/>
            </w:pPr>
            <w:r>
              <w:rPr>
                <w:rFonts w:eastAsiaTheme="minorEastAsia"/>
                <w:color w:val="000000" w:themeColor="text1"/>
                <w:lang w:val="es-PR"/>
              </w:rPr>
              <w:t>75.00%</w:t>
            </w:r>
          </w:p>
        </w:tc>
      </w:tr>
    </w:tbl>
    <w:p w14:paraId="77F96CA5" w14:textId="5A44C826" w:rsidR="00CD2C98" w:rsidRPr="0000093E" w:rsidRDefault="00D570CE" w:rsidP="00892BE5">
      <w:pPr>
        <w:pStyle w:val="ListParagraph"/>
        <w:numPr>
          <w:ilvl w:val="0"/>
          <w:numId w:val="13"/>
        </w:numPr>
        <w:spacing w:before="120" w:after="120" w:line="240" w:lineRule="auto"/>
        <w:contextualSpacing w:val="0"/>
        <w:rPr>
          <w:lang w:val="es-MX"/>
        </w:rPr>
      </w:pPr>
      <w:r>
        <w:rPr>
          <w:lang w:val="es-PR"/>
        </w:rPr>
        <w:t>Porcentaje de niños con IEP de K5-21 años que reciben servicios dentro de la clase regular menos del 40% del día</w:t>
      </w:r>
    </w:p>
    <w:p w14:paraId="190C40F0" w14:textId="01D2A016" w:rsidR="00CC7930" w:rsidRDefault="00665A7D" w:rsidP="00892BE5">
      <w:pPr>
        <w:pStyle w:val="ListParagraph"/>
        <w:spacing w:after="120" w:line="240" w:lineRule="auto"/>
        <w:ind w:left="360"/>
        <w:contextualSpacing w:val="0"/>
        <w:jc w:val="center"/>
      </w:pPr>
      <w:r>
        <w:rPr>
          <w:noProof/>
        </w:rPr>
        <w:lastRenderedPageBreak/>
        <w:drawing>
          <wp:inline distT="0" distB="0" distL="0" distR="0" wp14:anchorId="08540BC4" wp14:editId="08840E40">
            <wp:extent cx="5486400" cy="2743200"/>
            <wp:effectExtent l="0" t="0" r="0" b="0"/>
            <wp:docPr id="4" name="Chart 4" title="Datos del indicador B5 de Oregon (edad escolar L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Ind w:w="535" w:type="dxa"/>
        <w:tblLook w:val="04A0" w:firstRow="1" w:lastRow="0" w:firstColumn="1" w:lastColumn="0" w:noHBand="0" w:noVBand="1"/>
        <w:tblCaption w:val="Indicator Data Table"/>
        <w:tblDescription w:val="This table shows statewide targets and actual data for Oregon for Indicator B5B."/>
      </w:tblPr>
      <w:tblGrid>
        <w:gridCol w:w="1147"/>
        <w:gridCol w:w="1148"/>
        <w:gridCol w:w="1147"/>
        <w:gridCol w:w="1148"/>
        <w:gridCol w:w="1147"/>
        <w:gridCol w:w="1148"/>
        <w:gridCol w:w="1147"/>
        <w:gridCol w:w="1148"/>
      </w:tblGrid>
      <w:tr w:rsidR="00892BE5" w14:paraId="3CAB1A6A" w14:textId="77777777" w:rsidTr="00142906">
        <w:trPr>
          <w:tblHeader/>
        </w:trPr>
        <w:tc>
          <w:tcPr>
            <w:tcW w:w="1147" w:type="dxa"/>
            <w:shd w:val="clear" w:color="auto" w:fill="ED7D31" w:themeFill="accent2"/>
          </w:tcPr>
          <w:p w14:paraId="70B56E66" w14:textId="51A248B6" w:rsidR="00892BE5" w:rsidRDefault="00892BE5" w:rsidP="00892BE5">
            <w:pPr>
              <w:pStyle w:val="ListParagraph"/>
              <w:ind w:left="0"/>
              <w:contextualSpacing w:val="0"/>
              <w:jc w:val="center"/>
            </w:pPr>
            <w:r>
              <w:rPr>
                <w:b/>
                <w:bCs/>
                <w:lang w:val="es-PR"/>
              </w:rPr>
              <w:t>Años fiscales</w:t>
            </w:r>
          </w:p>
        </w:tc>
        <w:tc>
          <w:tcPr>
            <w:tcW w:w="1148" w:type="dxa"/>
            <w:shd w:val="clear" w:color="auto" w:fill="ED7D31" w:themeFill="accent2"/>
          </w:tcPr>
          <w:p w14:paraId="7B5934D7" w14:textId="0E3904F0" w:rsidR="00892BE5" w:rsidRDefault="00892BE5" w:rsidP="00892BE5">
            <w:pPr>
              <w:pStyle w:val="ListParagraph"/>
              <w:ind w:left="0"/>
              <w:contextualSpacing w:val="0"/>
              <w:jc w:val="center"/>
            </w:pPr>
            <w:r>
              <w:rPr>
                <w:b/>
                <w:bCs/>
                <w:lang w:val="es-PR"/>
              </w:rPr>
              <w:t>2005</w:t>
            </w:r>
          </w:p>
        </w:tc>
        <w:tc>
          <w:tcPr>
            <w:tcW w:w="1147" w:type="dxa"/>
            <w:shd w:val="clear" w:color="auto" w:fill="ED7D31" w:themeFill="accent2"/>
          </w:tcPr>
          <w:p w14:paraId="284D0AA0" w14:textId="724CC27F" w:rsidR="00892BE5" w:rsidRDefault="00892BE5" w:rsidP="00892BE5">
            <w:pPr>
              <w:pStyle w:val="ListParagraph"/>
              <w:ind w:left="0"/>
              <w:contextualSpacing w:val="0"/>
              <w:jc w:val="center"/>
            </w:pPr>
            <w:r>
              <w:rPr>
                <w:b/>
                <w:bCs/>
                <w:lang w:val="es-PR"/>
              </w:rPr>
              <w:t>2014</w:t>
            </w:r>
          </w:p>
        </w:tc>
        <w:tc>
          <w:tcPr>
            <w:tcW w:w="1148" w:type="dxa"/>
            <w:shd w:val="clear" w:color="auto" w:fill="ED7D31" w:themeFill="accent2"/>
          </w:tcPr>
          <w:p w14:paraId="2E9D72F8" w14:textId="5F624A3B" w:rsidR="00892BE5" w:rsidRDefault="00892BE5" w:rsidP="00892BE5">
            <w:pPr>
              <w:pStyle w:val="ListParagraph"/>
              <w:ind w:left="0"/>
              <w:contextualSpacing w:val="0"/>
              <w:jc w:val="center"/>
            </w:pPr>
            <w:r>
              <w:rPr>
                <w:b/>
                <w:bCs/>
                <w:lang w:val="es-PR"/>
              </w:rPr>
              <w:t>2015</w:t>
            </w:r>
          </w:p>
        </w:tc>
        <w:tc>
          <w:tcPr>
            <w:tcW w:w="1147" w:type="dxa"/>
            <w:shd w:val="clear" w:color="auto" w:fill="ED7D31" w:themeFill="accent2"/>
          </w:tcPr>
          <w:p w14:paraId="69505B93" w14:textId="54A81AA1" w:rsidR="00892BE5" w:rsidRDefault="00892BE5" w:rsidP="00892BE5">
            <w:pPr>
              <w:pStyle w:val="ListParagraph"/>
              <w:ind w:left="0"/>
              <w:contextualSpacing w:val="0"/>
              <w:jc w:val="center"/>
            </w:pPr>
            <w:r>
              <w:rPr>
                <w:b/>
                <w:bCs/>
                <w:lang w:val="es-PR"/>
              </w:rPr>
              <w:t>2016</w:t>
            </w:r>
          </w:p>
        </w:tc>
        <w:tc>
          <w:tcPr>
            <w:tcW w:w="1148" w:type="dxa"/>
            <w:shd w:val="clear" w:color="auto" w:fill="ED7D31" w:themeFill="accent2"/>
          </w:tcPr>
          <w:p w14:paraId="4AD5FB2E" w14:textId="6C5FD4DE" w:rsidR="00892BE5" w:rsidRDefault="00892BE5" w:rsidP="00892BE5">
            <w:pPr>
              <w:pStyle w:val="ListParagraph"/>
              <w:ind w:left="0"/>
              <w:contextualSpacing w:val="0"/>
              <w:jc w:val="center"/>
            </w:pPr>
            <w:r>
              <w:rPr>
                <w:b/>
                <w:bCs/>
                <w:lang w:val="es-PR"/>
              </w:rPr>
              <w:t>2017</w:t>
            </w:r>
          </w:p>
        </w:tc>
        <w:tc>
          <w:tcPr>
            <w:tcW w:w="1147" w:type="dxa"/>
            <w:shd w:val="clear" w:color="auto" w:fill="ED7D31" w:themeFill="accent2"/>
          </w:tcPr>
          <w:p w14:paraId="0E11F951" w14:textId="5AF28F15" w:rsidR="00892BE5" w:rsidRDefault="00892BE5" w:rsidP="00892BE5">
            <w:pPr>
              <w:pStyle w:val="ListParagraph"/>
              <w:ind w:left="0"/>
              <w:contextualSpacing w:val="0"/>
              <w:jc w:val="center"/>
            </w:pPr>
            <w:r>
              <w:rPr>
                <w:b/>
                <w:bCs/>
                <w:lang w:val="es-PR"/>
              </w:rPr>
              <w:t>2018</w:t>
            </w:r>
          </w:p>
        </w:tc>
        <w:tc>
          <w:tcPr>
            <w:tcW w:w="1148" w:type="dxa"/>
            <w:shd w:val="clear" w:color="auto" w:fill="ED7D31" w:themeFill="accent2"/>
          </w:tcPr>
          <w:p w14:paraId="62965797" w14:textId="7F8837D6" w:rsidR="00892BE5" w:rsidRDefault="00892BE5" w:rsidP="00892BE5">
            <w:pPr>
              <w:pStyle w:val="ListParagraph"/>
              <w:ind w:left="0"/>
              <w:contextualSpacing w:val="0"/>
              <w:jc w:val="center"/>
            </w:pPr>
            <w:r>
              <w:rPr>
                <w:b/>
                <w:bCs/>
                <w:lang w:val="es-PR"/>
              </w:rPr>
              <w:t>2019</w:t>
            </w:r>
          </w:p>
        </w:tc>
      </w:tr>
      <w:tr w:rsidR="00892BE5" w14:paraId="0BC7059F" w14:textId="77777777" w:rsidTr="00CA3BBE">
        <w:tc>
          <w:tcPr>
            <w:tcW w:w="1147" w:type="dxa"/>
          </w:tcPr>
          <w:p w14:paraId="0B213731" w14:textId="65FAD937" w:rsidR="00892BE5" w:rsidRDefault="00892BE5" w:rsidP="00892BE5">
            <w:pPr>
              <w:pStyle w:val="ListParagraph"/>
              <w:ind w:left="0"/>
              <w:contextualSpacing w:val="0"/>
              <w:jc w:val="center"/>
            </w:pPr>
            <w:r>
              <w:rPr>
                <w:lang w:val="es-PR"/>
              </w:rPr>
              <w:t>Objetivo ≤</w:t>
            </w:r>
          </w:p>
        </w:tc>
        <w:tc>
          <w:tcPr>
            <w:tcW w:w="1148" w:type="dxa"/>
          </w:tcPr>
          <w:p w14:paraId="144F0EBF" w14:textId="4049105D" w:rsidR="00892BE5" w:rsidRDefault="00892BE5" w:rsidP="00892BE5">
            <w:pPr>
              <w:pStyle w:val="ListParagraph"/>
              <w:ind w:left="0"/>
              <w:contextualSpacing w:val="0"/>
              <w:jc w:val="center"/>
            </w:pPr>
            <w:r>
              <w:rPr>
                <w:i/>
                <w:iCs/>
                <w:lang w:val="es-PR"/>
              </w:rPr>
              <w:t>Línea de base</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7F574DA" w14:textId="482B3D90" w:rsidR="00892BE5" w:rsidRDefault="00892BE5" w:rsidP="00892BE5">
            <w:pPr>
              <w:pStyle w:val="ListParagraph"/>
              <w:ind w:left="0"/>
              <w:contextualSpacing w:val="0"/>
              <w:jc w:val="center"/>
            </w:pPr>
            <w:r>
              <w:rPr>
                <w:rFonts w:cs="Arial"/>
                <w:color w:val="000000" w:themeColor="text1"/>
                <w:szCs w:val="16"/>
                <w:lang w:val="es-PR"/>
              </w:rPr>
              <w:t>10.80%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90A343" w14:textId="2DA210CC" w:rsidR="00892BE5" w:rsidRDefault="00892BE5" w:rsidP="00892BE5">
            <w:pPr>
              <w:pStyle w:val="ListParagraph"/>
              <w:ind w:left="0"/>
              <w:contextualSpacing w:val="0"/>
              <w:jc w:val="center"/>
            </w:pPr>
            <w:r>
              <w:rPr>
                <w:rFonts w:cs="Arial"/>
                <w:color w:val="000000" w:themeColor="text1"/>
                <w:szCs w:val="16"/>
                <w:lang w:val="es-PR"/>
              </w:rPr>
              <w:t>10.70%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DD439E6" w14:textId="521936CA" w:rsidR="00892BE5" w:rsidRDefault="00892BE5" w:rsidP="00892BE5">
            <w:pPr>
              <w:pStyle w:val="ListParagraph"/>
              <w:ind w:left="0"/>
              <w:contextualSpacing w:val="0"/>
              <w:jc w:val="center"/>
            </w:pPr>
            <w:r>
              <w:rPr>
                <w:rFonts w:cs="Arial"/>
                <w:color w:val="000000" w:themeColor="text1"/>
                <w:szCs w:val="16"/>
                <w:lang w:val="es-PR"/>
              </w:rPr>
              <w:t>10.70%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1BE105D" w14:textId="3F560A9C" w:rsidR="00892BE5" w:rsidRDefault="00892BE5" w:rsidP="00892BE5">
            <w:pPr>
              <w:pStyle w:val="ListParagraph"/>
              <w:ind w:left="0"/>
              <w:contextualSpacing w:val="0"/>
              <w:jc w:val="center"/>
            </w:pPr>
            <w:r>
              <w:rPr>
                <w:rFonts w:cs="Arial"/>
                <w:color w:val="000000" w:themeColor="text1"/>
                <w:szCs w:val="16"/>
                <w:lang w:val="es-PR"/>
              </w:rPr>
              <w:t>10.60%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867129" w14:textId="0C684FB1" w:rsidR="00892BE5" w:rsidRDefault="00892BE5" w:rsidP="00892BE5">
            <w:pPr>
              <w:pStyle w:val="ListParagraph"/>
              <w:ind w:left="0"/>
              <w:contextualSpacing w:val="0"/>
              <w:jc w:val="center"/>
            </w:pPr>
            <w:r>
              <w:rPr>
                <w:rFonts w:cs="Arial"/>
                <w:color w:val="000000" w:themeColor="text1"/>
                <w:szCs w:val="16"/>
                <w:lang w:val="es-PR"/>
              </w:rPr>
              <w:t>10.60%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026A4" w14:textId="79FA1867" w:rsidR="00892BE5" w:rsidRDefault="00892BE5" w:rsidP="00892BE5">
            <w:pPr>
              <w:pStyle w:val="ListParagraph"/>
              <w:ind w:left="0"/>
              <w:contextualSpacing w:val="0"/>
              <w:jc w:val="center"/>
            </w:pPr>
            <w:r>
              <w:rPr>
                <w:rFonts w:eastAsiaTheme="minorEastAsia"/>
                <w:color w:val="000000" w:themeColor="text1"/>
                <w:lang w:val="es-PR"/>
              </w:rPr>
              <w:t>10.60%</w:t>
            </w:r>
          </w:p>
        </w:tc>
      </w:tr>
    </w:tbl>
    <w:p w14:paraId="36C9E955" w14:textId="6BECA69C" w:rsidR="00CD2C98" w:rsidRPr="0000093E" w:rsidRDefault="00D570CE" w:rsidP="00892BE5">
      <w:pPr>
        <w:pStyle w:val="ListParagraph"/>
        <w:numPr>
          <w:ilvl w:val="0"/>
          <w:numId w:val="13"/>
        </w:numPr>
        <w:spacing w:after="120" w:line="240" w:lineRule="auto"/>
        <w:contextualSpacing w:val="0"/>
        <w:rPr>
          <w:lang w:val="es-MX"/>
        </w:rPr>
      </w:pPr>
      <w:r>
        <w:rPr>
          <w:lang w:val="es-PR"/>
        </w:rPr>
        <w:t>Porcentaje de niños con IEPs de K5-21 años de edad que reciben servicios en escuelas separadas, instalaciones residenciales o colocaciones en el hogar/hospital</w:t>
      </w:r>
    </w:p>
    <w:p w14:paraId="3D9E301D" w14:textId="5C544034" w:rsidR="00FA3257" w:rsidRPr="000E4FA0" w:rsidRDefault="00665A7D" w:rsidP="00FA3257">
      <w:pPr>
        <w:spacing w:after="120" w:line="240" w:lineRule="auto"/>
        <w:jc w:val="center"/>
      </w:pPr>
      <w:bookmarkStart w:id="0" w:name="_GoBack"/>
      <w:r>
        <w:rPr>
          <w:noProof/>
        </w:rPr>
        <w:drawing>
          <wp:inline distT="0" distB="0" distL="0" distR="0" wp14:anchorId="272FE9FA" wp14:editId="33922A71">
            <wp:extent cx="5486400" cy="2743200"/>
            <wp:effectExtent l="0" t="0" r="0" b="0"/>
            <wp:docPr id="5" name="Chart 5" title="Datos del indicador B5 de Oregon (edad escolar L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tbl>
      <w:tblPr>
        <w:tblStyle w:val="TableGrid"/>
        <w:tblW w:w="9223" w:type="dxa"/>
        <w:jc w:val="center"/>
        <w:tblLook w:val="04A0" w:firstRow="1" w:lastRow="0" w:firstColumn="1" w:lastColumn="0" w:noHBand="0" w:noVBand="1"/>
        <w:tblCaption w:val="Indicator Data Table"/>
        <w:tblDescription w:val="This table shows statewide targets and actual data for Oregon for Indicator B5C."/>
      </w:tblPr>
      <w:tblGrid>
        <w:gridCol w:w="1152"/>
        <w:gridCol w:w="1153"/>
        <w:gridCol w:w="1153"/>
        <w:gridCol w:w="1153"/>
        <w:gridCol w:w="1153"/>
        <w:gridCol w:w="1153"/>
        <w:gridCol w:w="1153"/>
        <w:gridCol w:w="1153"/>
      </w:tblGrid>
      <w:tr w:rsidR="00551272" w:rsidRPr="00B542E4" w14:paraId="72DFE977" w14:textId="77777777" w:rsidTr="00142906">
        <w:trPr>
          <w:tblHeader/>
          <w:jc w:val="center"/>
        </w:trPr>
        <w:tc>
          <w:tcPr>
            <w:tcW w:w="1152" w:type="dxa"/>
            <w:shd w:val="clear" w:color="auto" w:fill="A5A5A5" w:themeFill="accent3"/>
          </w:tcPr>
          <w:p w14:paraId="586CEB51" w14:textId="6AEB8F39" w:rsidR="00551272" w:rsidRPr="00B542E4" w:rsidRDefault="00551272" w:rsidP="00FA3257">
            <w:pPr>
              <w:jc w:val="center"/>
              <w:rPr>
                <w:b/>
              </w:rPr>
            </w:pPr>
            <w:r>
              <w:rPr>
                <w:b/>
                <w:bCs/>
                <w:lang w:val="es-PR"/>
              </w:rPr>
              <w:t>Años fiscales</w:t>
            </w:r>
          </w:p>
        </w:tc>
        <w:tc>
          <w:tcPr>
            <w:tcW w:w="1153" w:type="dxa"/>
            <w:shd w:val="clear" w:color="auto" w:fill="A5A5A5" w:themeFill="accent3"/>
          </w:tcPr>
          <w:p w14:paraId="658C6B19" w14:textId="2FFE162E" w:rsidR="00551272" w:rsidRPr="00B542E4" w:rsidRDefault="00686AA4" w:rsidP="00892BE5">
            <w:pPr>
              <w:jc w:val="center"/>
              <w:rPr>
                <w:b/>
              </w:rPr>
            </w:pPr>
            <w:r>
              <w:rPr>
                <w:b/>
                <w:bCs/>
                <w:lang w:val="es-PR"/>
              </w:rPr>
              <w:t>2005</w:t>
            </w:r>
          </w:p>
        </w:tc>
        <w:tc>
          <w:tcPr>
            <w:tcW w:w="1153" w:type="dxa"/>
            <w:shd w:val="clear" w:color="auto" w:fill="A5A5A5" w:themeFill="accent3"/>
          </w:tcPr>
          <w:p w14:paraId="56F594C4" w14:textId="7194A6AA" w:rsidR="00551272" w:rsidRPr="00B542E4" w:rsidRDefault="00551272" w:rsidP="00892BE5">
            <w:pPr>
              <w:jc w:val="center"/>
              <w:rPr>
                <w:b/>
              </w:rPr>
            </w:pPr>
            <w:r>
              <w:rPr>
                <w:b/>
                <w:bCs/>
                <w:lang w:val="es-PR"/>
              </w:rPr>
              <w:t>2014</w:t>
            </w:r>
          </w:p>
        </w:tc>
        <w:tc>
          <w:tcPr>
            <w:tcW w:w="1153" w:type="dxa"/>
            <w:shd w:val="clear" w:color="auto" w:fill="A5A5A5" w:themeFill="accent3"/>
          </w:tcPr>
          <w:p w14:paraId="2659189E" w14:textId="660CFA01" w:rsidR="00551272" w:rsidRPr="00B542E4" w:rsidRDefault="00551272" w:rsidP="00892BE5">
            <w:pPr>
              <w:jc w:val="center"/>
              <w:rPr>
                <w:b/>
              </w:rPr>
            </w:pPr>
            <w:r>
              <w:rPr>
                <w:b/>
                <w:bCs/>
                <w:lang w:val="es-PR"/>
              </w:rPr>
              <w:t>2015</w:t>
            </w:r>
          </w:p>
        </w:tc>
        <w:tc>
          <w:tcPr>
            <w:tcW w:w="1153" w:type="dxa"/>
            <w:shd w:val="clear" w:color="auto" w:fill="A5A5A5" w:themeFill="accent3"/>
          </w:tcPr>
          <w:p w14:paraId="43123113" w14:textId="6B7184C8" w:rsidR="00551272" w:rsidRPr="00B542E4" w:rsidRDefault="00551272" w:rsidP="00892BE5">
            <w:pPr>
              <w:jc w:val="center"/>
              <w:rPr>
                <w:b/>
              </w:rPr>
            </w:pPr>
            <w:r>
              <w:rPr>
                <w:b/>
                <w:bCs/>
                <w:lang w:val="es-PR"/>
              </w:rPr>
              <w:t>2016</w:t>
            </w:r>
          </w:p>
        </w:tc>
        <w:tc>
          <w:tcPr>
            <w:tcW w:w="1153" w:type="dxa"/>
            <w:shd w:val="clear" w:color="auto" w:fill="A5A5A5" w:themeFill="accent3"/>
          </w:tcPr>
          <w:p w14:paraId="2BF19147" w14:textId="0480FBE8" w:rsidR="00551272" w:rsidRPr="00B542E4" w:rsidRDefault="00551272" w:rsidP="00892BE5">
            <w:pPr>
              <w:jc w:val="center"/>
              <w:rPr>
                <w:b/>
              </w:rPr>
            </w:pPr>
            <w:r>
              <w:rPr>
                <w:b/>
                <w:bCs/>
                <w:lang w:val="es-PR"/>
              </w:rPr>
              <w:t>2017</w:t>
            </w:r>
          </w:p>
        </w:tc>
        <w:tc>
          <w:tcPr>
            <w:tcW w:w="1153" w:type="dxa"/>
            <w:shd w:val="clear" w:color="auto" w:fill="A5A5A5" w:themeFill="accent3"/>
          </w:tcPr>
          <w:p w14:paraId="6D5F0F6E" w14:textId="44980E38" w:rsidR="00551272" w:rsidRPr="00B542E4" w:rsidRDefault="00551272" w:rsidP="00892BE5">
            <w:pPr>
              <w:jc w:val="center"/>
              <w:rPr>
                <w:b/>
              </w:rPr>
            </w:pPr>
            <w:r>
              <w:rPr>
                <w:b/>
                <w:bCs/>
                <w:lang w:val="es-PR"/>
              </w:rPr>
              <w:t>2018</w:t>
            </w:r>
          </w:p>
        </w:tc>
        <w:tc>
          <w:tcPr>
            <w:tcW w:w="1153" w:type="dxa"/>
            <w:shd w:val="clear" w:color="auto" w:fill="A5A5A5" w:themeFill="accent3"/>
          </w:tcPr>
          <w:p w14:paraId="2EB4A908" w14:textId="4463AF10" w:rsidR="66070FEE" w:rsidRDefault="66070FEE" w:rsidP="00892BE5">
            <w:pPr>
              <w:jc w:val="center"/>
              <w:rPr>
                <w:b/>
                <w:bCs/>
              </w:rPr>
            </w:pPr>
            <w:r>
              <w:rPr>
                <w:b/>
                <w:bCs/>
                <w:lang w:val="es-PR"/>
              </w:rPr>
              <w:t>2019</w:t>
            </w:r>
          </w:p>
        </w:tc>
      </w:tr>
      <w:tr w:rsidR="00686AA4" w14:paraId="64D8B226" w14:textId="77777777" w:rsidTr="00FA3257">
        <w:trPr>
          <w:jc w:val="center"/>
        </w:trPr>
        <w:tc>
          <w:tcPr>
            <w:tcW w:w="1152" w:type="dxa"/>
          </w:tcPr>
          <w:p w14:paraId="130C79D6" w14:textId="2408945A" w:rsidR="00686AA4" w:rsidRDefault="00686AA4" w:rsidP="00892BE5">
            <w:r>
              <w:rPr>
                <w:lang w:val="es-PR"/>
              </w:rPr>
              <w:t>Objetivo ≤</w:t>
            </w:r>
          </w:p>
        </w:tc>
        <w:tc>
          <w:tcPr>
            <w:tcW w:w="1153" w:type="dxa"/>
          </w:tcPr>
          <w:p w14:paraId="60AAC71B" w14:textId="44073C53" w:rsidR="00686AA4" w:rsidRPr="00373050" w:rsidRDefault="00686AA4" w:rsidP="00892BE5">
            <w:pPr>
              <w:jc w:val="center"/>
              <w:rPr>
                <w:i/>
              </w:rPr>
            </w:pPr>
            <w:r>
              <w:rPr>
                <w:i/>
                <w:iCs/>
                <w:lang w:val="es-PR"/>
              </w:rPr>
              <w:t>Línea de base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512C013B" w:rsidR="00686AA4" w:rsidRDefault="00686AA4" w:rsidP="00892BE5">
            <w:pPr>
              <w:jc w:val="center"/>
            </w:pPr>
            <w:r>
              <w:rPr>
                <w:rFonts w:cs="Arial"/>
                <w:color w:val="000000" w:themeColor="text1"/>
                <w:szCs w:val="16"/>
                <w:lang w:val="es-PR"/>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22F2ABD0" w:rsidR="00686AA4" w:rsidRDefault="00686AA4" w:rsidP="00892BE5">
            <w:pPr>
              <w:jc w:val="center"/>
            </w:pPr>
            <w:r>
              <w:rPr>
                <w:rFonts w:cs="Arial"/>
                <w:color w:val="000000" w:themeColor="text1"/>
                <w:szCs w:val="16"/>
                <w:lang w:val="es-PR"/>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C1EA8F3" w:rsidR="00686AA4" w:rsidRDefault="00686AA4" w:rsidP="00892BE5">
            <w:pPr>
              <w:jc w:val="center"/>
            </w:pPr>
            <w:r>
              <w:rPr>
                <w:rFonts w:cs="Arial"/>
                <w:color w:val="000000" w:themeColor="text1"/>
                <w:szCs w:val="16"/>
                <w:lang w:val="es-PR"/>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A87C84D" w:rsidR="00686AA4" w:rsidRDefault="00686AA4" w:rsidP="00892BE5">
            <w:pPr>
              <w:jc w:val="center"/>
            </w:pPr>
            <w:r>
              <w:rPr>
                <w:rFonts w:cs="Arial"/>
                <w:color w:val="000000" w:themeColor="text1"/>
                <w:szCs w:val="16"/>
                <w:lang w:val="es-PR"/>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F8A7EE1" w:rsidR="00686AA4" w:rsidRDefault="00686AA4" w:rsidP="00892BE5">
            <w:pPr>
              <w:jc w:val="center"/>
            </w:pPr>
            <w:r>
              <w:rPr>
                <w:rFonts w:cs="Arial"/>
                <w:color w:val="000000" w:themeColor="text1"/>
                <w:szCs w:val="16"/>
                <w:lang w:val="es-PR"/>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61D8D52" w14:textId="088BC576" w:rsidR="21770B4B" w:rsidRDefault="4B25BF0C" w:rsidP="00892BE5">
            <w:pPr>
              <w:jc w:val="center"/>
              <w:rPr>
                <w:rFonts w:eastAsiaTheme="minorEastAsia"/>
                <w:color w:val="000000" w:themeColor="text1"/>
              </w:rPr>
            </w:pPr>
            <w:r>
              <w:rPr>
                <w:rFonts w:eastAsiaTheme="minorEastAsia"/>
                <w:color w:val="000000" w:themeColor="text1"/>
                <w:lang w:val="es-PR"/>
              </w:rPr>
              <w:t>1.80%</w:t>
            </w:r>
          </w:p>
        </w:tc>
      </w:tr>
    </w:tbl>
    <w:p w14:paraId="56E0148F" w14:textId="049432CB" w:rsidR="119B5B48" w:rsidRPr="0000093E" w:rsidRDefault="119B5B48" w:rsidP="006A1017">
      <w:pPr>
        <w:spacing w:before="240" w:after="0" w:line="240" w:lineRule="auto"/>
        <w:rPr>
          <w:rFonts w:ascii="Calibri" w:eastAsia="Calibri" w:hAnsi="Calibri" w:cs="Calibri"/>
          <w:color w:val="1B75BC"/>
          <w:sz w:val="32"/>
          <w:szCs w:val="32"/>
          <w:lang w:val="es-MX"/>
        </w:rPr>
      </w:pPr>
      <w:r>
        <w:rPr>
          <w:rFonts w:ascii="Calibri" w:eastAsia="Calibri" w:hAnsi="Calibri" w:cs="Calibri"/>
          <w:b/>
          <w:bCs/>
          <w:color w:val="1B75BC"/>
          <w:sz w:val="32"/>
          <w:szCs w:val="32"/>
          <w:lang w:val="es-PR"/>
        </w:rPr>
        <w:t>¿Cuáles son los nuevos objetivos?</w:t>
      </w:r>
    </w:p>
    <w:p w14:paraId="23ABEACA" w14:textId="58D718AE" w:rsidR="119B5B48" w:rsidRDefault="119B5B48" w:rsidP="004B1A85">
      <w:pPr>
        <w:spacing w:after="0" w:line="240" w:lineRule="auto"/>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final del juego en mente o examinar las tendencias a lo largo del tiempo y hacer predicciones basadas en las tendencias. Alguna información útil sobre cómo establecer objetivos:</w:t>
      </w:r>
    </w:p>
    <w:p w14:paraId="4073F793" w14:textId="77777777" w:rsidR="0082151C" w:rsidRPr="006E77C6" w:rsidRDefault="0082151C" w:rsidP="006B64E1">
      <w:pPr>
        <w:pStyle w:val="ListParagraph"/>
        <w:numPr>
          <w:ilvl w:val="0"/>
          <w:numId w:val="8"/>
        </w:numPr>
        <w:spacing w:line="240" w:lineRule="auto"/>
        <w:rPr>
          <w:rFonts w:eastAsiaTheme="minorEastAsia"/>
          <w:color w:val="000000" w:themeColor="text1"/>
        </w:rPr>
      </w:pPr>
      <w:r>
        <w:rPr>
          <w:rFonts w:ascii="Calibri" w:eastAsia="Calibri" w:hAnsi="Calibri" w:cs="Calibri"/>
          <w:color w:val="000000" w:themeColor="text1"/>
          <w:lang w:val="es-PR"/>
        </w:rPr>
        <w:t>Los objetivos están destinados a respaldar mejores resultados y consecuencias para los niños y las familias. Deberían estar al alcance pero aún mostrar crecimiento. </w:t>
      </w:r>
    </w:p>
    <w:p w14:paraId="47FBA14B" w14:textId="3BED89E2" w:rsidR="119B5B48" w:rsidRPr="0000093E" w:rsidRDefault="0082151C" w:rsidP="006B64E1">
      <w:pPr>
        <w:pStyle w:val="ListParagraph"/>
        <w:numPr>
          <w:ilvl w:val="0"/>
          <w:numId w:val="8"/>
        </w:numPr>
        <w:spacing w:line="240" w:lineRule="auto"/>
        <w:rPr>
          <w:rFonts w:eastAsiaTheme="minorEastAsia"/>
          <w:color w:val="000000" w:themeColor="text1"/>
          <w:sz w:val="24"/>
          <w:szCs w:val="24"/>
          <w:lang w:val="es-MX"/>
        </w:rPr>
      </w:pPr>
      <w:r>
        <w:rPr>
          <w:rFonts w:ascii="Calibri" w:eastAsia="Calibri" w:hAnsi="Calibri" w:cs="Calibri"/>
          <w:color w:val="000000" w:themeColor="text1"/>
          <w:lang w:val="es-PR"/>
        </w:rPr>
        <w:lastRenderedPageBreak/>
        <w:t>El cambio lleva tiempo. Los objetivos se pueden crear con este entendimiento en mente. Por ejemplo, los objetivos pueden permanecer iguales durante varios años seguidos y luego mejorar ligeramente durante el año objetivo final (año fiscal 2025). Alternativamente, los objetivos podrían mostrar una ligera mejora cada año.</w:t>
      </w:r>
    </w:p>
    <w:p w14:paraId="387F1C07" w14:textId="31FE2C8B" w:rsidR="67DF3AF9" w:rsidRDefault="67DF3AF9" w:rsidP="006B64E1">
      <w:pPr>
        <w:spacing w:after="0" w:line="240" w:lineRule="auto"/>
        <w:rPr>
          <w:b/>
          <w:bCs/>
          <w:color w:val="408740"/>
          <w:sz w:val="24"/>
          <w:szCs w:val="24"/>
        </w:rPr>
      </w:pPr>
      <w:r>
        <w:rPr>
          <w:b/>
          <w:bCs/>
          <w:color w:val="408740"/>
          <w:sz w:val="24"/>
          <w:szCs w:val="24"/>
          <w:lang w:val="es-PR"/>
        </w:rPr>
        <w:t>Ejemplo A</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B87EF5" w:rsidRPr="00B542E4" w14:paraId="4D622EFE" w14:textId="77777777" w:rsidTr="44B23A45">
        <w:trPr>
          <w:tblHeader/>
        </w:trPr>
        <w:tc>
          <w:tcPr>
            <w:tcW w:w="2224" w:type="dxa"/>
            <w:shd w:val="clear" w:color="auto" w:fill="FFC000" w:themeFill="accent4"/>
          </w:tcPr>
          <w:p w14:paraId="259B6FD7" w14:textId="77777777" w:rsidR="00B87EF5" w:rsidRPr="00B542E4" w:rsidRDefault="00B87EF5" w:rsidP="006B64E1">
            <w:pPr>
              <w:jc w:val="center"/>
              <w:rPr>
                <w:b/>
              </w:rPr>
            </w:pPr>
            <w:r>
              <w:rPr>
                <w:b/>
                <w:bCs/>
                <w:lang w:val="es-PR"/>
              </w:rPr>
              <w:t>Años fiscales</w:t>
            </w:r>
          </w:p>
        </w:tc>
        <w:tc>
          <w:tcPr>
            <w:tcW w:w="1283" w:type="dxa"/>
            <w:shd w:val="clear" w:color="auto" w:fill="FFC000" w:themeFill="accent4"/>
          </w:tcPr>
          <w:p w14:paraId="571E5A61" w14:textId="4B8CDFBC" w:rsidR="00B87EF5" w:rsidRPr="00B542E4" w:rsidRDefault="00B87EF5" w:rsidP="006B64E1">
            <w:pPr>
              <w:jc w:val="center"/>
              <w:rPr>
                <w:b/>
                <w:bCs/>
              </w:rPr>
            </w:pPr>
            <w:r>
              <w:rPr>
                <w:b/>
                <w:bCs/>
                <w:lang w:val="es-PR"/>
              </w:rPr>
              <w:t>2020</w:t>
            </w:r>
          </w:p>
        </w:tc>
        <w:tc>
          <w:tcPr>
            <w:tcW w:w="1284" w:type="dxa"/>
            <w:shd w:val="clear" w:color="auto" w:fill="FFC000" w:themeFill="accent4"/>
          </w:tcPr>
          <w:p w14:paraId="427E1BD2" w14:textId="5A275B5D" w:rsidR="00B87EF5" w:rsidRPr="00B542E4" w:rsidRDefault="00872B58" w:rsidP="006B64E1">
            <w:pPr>
              <w:jc w:val="center"/>
              <w:rPr>
                <w:b/>
                <w:bCs/>
              </w:rPr>
            </w:pPr>
            <w:r>
              <w:rPr>
                <w:b/>
                <w:bCs/>
                <w:lang w:val="es-PR"/>
              </w:rPr>
              <w:t>2021</w:t>
            </w:r>
          </w:p>
        </w:tc>
        <w:tc>
          <w:tcPr>
            <w:tcW w:w="1284" w:type="dxa"/>
            <w:shd w:val="clear" w:color="auto" w:fill="FFC000" w:themeFill="accent4"/>
          </w:tcPr>
          <w:p w14:paraId="7AFE264B" w14:textId="76EB2E2E" w:rsidR="00B87EF5" w:rsidRPr="00B542E4" w:rsidRDefault="00872B58" w:rsidP="006B64E1">
            <w:pPr>
              <w:jc w:val="center"/>
              <w:rPr>
                <w:b/>
                <w:bCs/>
              </w:rPr>
            </w:pPr>
            <w:r>
              <w:rPr>
                <w:b/>
                <w:bCs/>
                <w:lang w:val="es-PR"/>
              </w:rPr>
              <w:t>2022</w:t>
            </w:r>
          </w:p>
        </w:tc>
        <w:tc>
          <w:tcPr>
            <w:tcW w:w="1283" w:type="dxa"/>
            <w:shd w:val="clear" w:color="auto" w:fill="FFC000" w:themeFill="accent4"/>
          </w:tcPr>
          <w:p w14:paraId="031017BE" w14:textId="24647B68" w:rsidR="00B87EF5" w:rsidRPr="00B542E4" w:rsidRDefault="00872B58" w:rsidP="006B64E1">
            <w:pPr>
              <w:jc w:val="center"/>
              <w:rPr>
                <w:b/>
                <w:bCs/>
              </w:rPr>
            </w:pPr>
            <w:r>
              <w:rPr>
                <w:b/>
                <w:bCs/>
                <w:lang w:val="es-PR"/>
              </w:rPr>
              <w:t>2023</w:t>
            </w:r>
          </w:p>
        </w:tc>
        <w:tc>
          <w:tcPr>
            <w:tcW w:w="1284" w:type="dxa"/>
            <w:shd w:val="clear" w:color="auto" w:fill="FFC000" w:themeFill="accent4"/>
          </w:tcPr>
          <w:p w14:paraId="1B6B7751" w14:textId="4BB78077" w:rsidR="00B87EF5" w:rsidRPr="00B542E4" w:rsidRDefault="00872B58" w:rsidP="006B64E1">
            <w:pPr>
              <w:jc w:val="center"/>
              <w:rPr>
                <w:b/>
                <w:bCs/>
              </w:rPr>
            </w:pPr>
            <w:r>
              <w:rPr>
                <w:b/>
                <w:bCs/>
                <w:lang w:val="es-PR"/>
              </w:rPr>
              <w:t>2024</w:t>
            </w:r>
          </w:p>
        </w:tc>
        <w:tc>
          <w:tcPr>
            <w:tcW w:w="1284" w:type="dxa"/>
            <w:shd w:val="clear" w:color="auto" w:fill="FFC000" w:themeFill="accent4"/>
          </w:tcPr>
          <w:p w14:paraId="04CD271D" w14:textId="6028741B" w:rsidR="00B87EF5" w:rsidRPr="00B542E4" w:rsidRDefault="00872B58" w:rsidP="006B64E1">
            <w:pPr>
              <w:jc w:val="center"/>
              <w:rPr>
                <w:b/>
                <w:bCs/>
              </w:rPr>
            </w:pPr>
            <w:r>
              <w:rPr>
                <w:b/>
                <w:bCs/>
                <w:lang w:val="es-PR"/>
              </w:rPr>
              <w:t>2025</w:t>
            </w:r>
          </w:p>
        </w:tc>
      </w:tr>
      <w:tr w:rsidR="002A100A" w14:paraId="45E14FEF" w14:textId="77777777" w:rsidTr="44B23A45">
        <w:tc>
          <w:tcPr>
            <w:tcW w:w="2224" w:type="dxa"/>
          </w:tcPr>
          <w:p w14:paraId="5A93EBDE" w14:textId="3907B647" w:rsidR="002A100A" w:rsidRDefault="002A100A" w:rsidP="006B64E1">
            <w:r>
              <w:rPr>
                <w:lang w:val="es-PR"/>
              </w:rPr>
              <w:t>Objetivos para 5A ≥</w:t>
            </w:r>
          </w:p>
        </w:tc>
        <w:tc>
          <w:tcPr>
            <w:tcW w:w="1283" w:type="dxa"/>
          </w:tcPr>
          <w:p w14:paraId="77CC9AB5" w14:textId="2C6AF05C" w:rsidR="002A100A" w:rsidRPr="00B87EF5" w:rsidRDefault="001C230C" w:rsidP="006B64E1">
            <w:pPr>
              <w:jc w:val="center"/>
            </w:pPr>
            <w:r>
              <w:rPr>
                <w:lang w:val="es-PR"/>
              </w:rPr>
              <w:t>75.00%</w:t>
            </w:r>
          </w:p>
        </w:tc>
        <w:tc>
          <w:tcPr>
            <w:tcW w:w="1284" w:type="dxa"/>
          </w:tcPr>
          <w:p w14:paraId="7F5803A4" w14:textId="009D04A2" w:rsidR="002A100A" w:rsidRDefault="001C230C" w:rsidP="006B64E1">
            <w:pPr>
              <w:jc w:val="center"/>
            </w:pPr>
            <w:r>
              <w:rPr>
                <w:lang w:val="es-PR"/>
              </w:rPr>
              <w:t>75.00%</w:t>
            </w:r>
          </w:p>
        </w:tc>
        <w:tc>
          <w:tcPr>
            <w:tcW w:w="1284" w:type="dxa"/>
          </w:tcPr>
          <w:p w14:paraId="6E90AE60" w14:textId="4B4D195E" w:rsidR="002A100A" w:rsidRDefault="001C230C" w:rsidP="006B64E1">
            <w:pPr>
              <w:jc w:val="center"/>
            </w:pPr>
            <w:r>
              <w:rPr>
                <w:lang w:val="es-PR"/>
              </w:rPr>
              <w:t>76.00%</w:t>
            </w:r>
          </w:p>
        </w:tc>
        <w:tc>
          <w:tcPr>
            <w:tcW w:w="1283" w:type="dxa"/>
          </w:tcPr>
          <w:p w14:paraId="3F7E8632" w14:textId="67D30A01" w:rsidR="002A100A" w:rsidRDefault="001C230C" w:rsidP="006B64E1">
            <w:pPr>
              <w:jc w:val="center"/>
            </w:pPr>
            <w:r>
              <w:rPr>
                <w:lang w:val="es-PR"/>
              </w:rPr>
              <w:t>76.00%</w:t>
            </w:r>
          </w:p>
        </w:tc>
        <w:tc>
          <w:tcPr>
            <w:tcW w:w="1284" w:type="dxa"/>
          </w:tcPr>
          <w:p w14:paraId="73EF069A" w14:textId="2633C6EB" w:rsidR="002A100A" w:rsidRDefault="001C230C" w:rsidP="006B64E1">
            <w:pPr>
              <w:jc w:val="center"/>
            </w:pPr>
            <w:r>
              <w:rPr>
                <w:lang w:val="es-PR"/>
              </w:rPr>
              <w:t>78.00%</w:t>
            </w:r>
          </w:p>
        </w:tc>
        <w:tc>
          <w:tcPr>
            <w:tcW w:w="1284" w:type="dxa"/>
          </w:tcPr>
          <w:p w14:paraId="33DD2500" w14:textId="5C024C20" w:rsidR="002A100A" w:rsidRDefault="001C230C" w:rsidP="006B64E1">
            <w:pPr>
              <w:jc w:val="center"/>
            </w:pPr>
            <w:r>
              <w:rPr>
                <w:lang w:val="es-PR"/>
              </w:rPr>
              <w:t>78.00%</w:t>
            </w:r>
          </w:p>
        </w:tc>
      </w:tr>
      <w:tr w:rsidR="00B87EF5" w14:paraId="4570D8F1" w14:textId="77777777" w:rsidTr="44B23A45">
        <w:tc>
          <w:tcPr>
            <w:tcW w:w="2224" w:type="dxa"/>
          </w:tcPr>
          <w:p w14:paraId="4AB1AD99" w14:textId="355A249F" w:rsidR="00B87EF5" w:rsidRDefault="002A100A" w:rsidP="006B64E1">
            <w:r>
              <w:rPr>
                <w:lang w:val="es-PR"/>
              </w:rPr>
              <w:t>Objetivos para 5B ≤</w:t>
            </w:r>
          </w:p>
        </w:tc>
        <w:tc>
          <w:tcPr>
            <w:tcW w:w="1283" w:type="dxa"/>
          </w:tcPr>
          <w:p w14:paraId="1D5DB2EE" w14:textId="38DB08C7" w:rsidR="00B87EF5" w:rsidRPr="00B87EF5" w:rsidRDefault="61B5A5E7" w:rsidP="006B64E1">
            <w:pPr>
              <w:jc w:val="center"/>
            </w:pPr>
            <w:r>
              <w:rPr>
                <w:lang w:val="es-PR"/>
              </w:rPr>
              <w:t>9.25%</w:t>
            </w:r>
          </w:p>
        </w:tc>
        <w:tc>
          <w:tcPr>
            <w:tcW w:w="1284" w:type="dxa"/>
          </w:tcPr>
          <w:p w14:paraId="2EA620F7" w14:textId="4E63285D" w:rsidR="00B87EF5" w:rsidRDefault="7DA57115" w:rsidP="006B64E1">
            <w:pPr>
              <w:jc w:val="center"/>
            </w:pPr>
            <w:r>
              <w:rPr>
                <w:lang w:val="es-PR"/>
              </w:rPr>
              <w:t>8.90%</w:t>
            </w:r>
          </w:p>
        </w:tc>
        <w:tc>
          <w:tcPr>
            <w:tcW w:w="1284" w:type="dxa"/>
          </w:tcPr>
          <w:p w14:paraId="364B68AA" w14:textId="5F2C60FC" w:rsidR="00B87EF5" w:rsidRDefault="2035640F" w:rsidP="006B64E1">
            <w:pPr>
              <w:jc w:val="center"/>
            </w:pPr>
            <w:r>
              <w:rPr>
                <w:lang w:val="es-PR"/>
              </w:rPr>
              <w:t>8.80%</w:t>
            </w:r>
          </w:p>
        </w:tc>
        <w:tc>
          <w:tcPr>
            <w:tcW w:w="1283" w:type="dxa"/>
          </w:tcPr>
          <w:p w14:paraId="05FB1FCC" w14:textId="0D76C5CE" w:rsidR="00B87EF5" w:rsidRDefault="204521A1" w:rsidP="006B64E1">
            <w:pPr>
              <w:jc w:val="center"/>
            </w:pPr>
            <w:r>
              <w:rPr>
                <w:lang w:val="es-PR"/>
              </w:rPr>
              <w:t>8.70%</w:t>
            </w:r>
          </w:p>
        </w:tc>
        <w:tc>
          <w:tcPr>
            <w:tcW w:w="1284" w:type="dxa"/>
          </w:tcPr>
          <w:p w14:paraId="0DFF8704" w14:textId="421151B3" w:rsidR="00B87EF5" w:rsidRDefault="4E3D92FD" w:rsidP="006B64E1">
            <w:pPr>
              <w:jc w:val="center"/>
            </w:pPr>
            <w:r>
              <w:rPr>
                <w:lang w:val="es-PR"/>
              </w:rPr>
              <w:t>8.60%</w:t>
            </w:r>
          </w:p>
        </w:tc>
        <w:tc>
          <w:tcPr>
            <w:tcW w:w="1284" w:type="dxa"/>
          </w:tcPr>
          <w:p w14:paraId="1EEB56E2" w14:textId="103F98C0" w:rsidR="00B87EF5" w:rsidRDefault="71E30A59" w:rsidP="006B64E1">
            <w:pPr>
              <w:jc w:val="center"/>
            </w:pPr>
            <w:r>
              <w:rPr>
                <w:lang w:val="es-PR"/>
              </w:rPr>
              <w:t>8.50%</w:t>
            </w:r>
          </w:p>
        </w:tc>
      </w:tr>
      <w:tr w:rsidR="00B87EF5" w14:paraId="44F2654E" w14:textId="77777777" w:rsidTr="44B23A45">
        <w:tc>
          <w:tcPr>
            <w:tcW w:w="2224" w:type="dxa"/>
          </w:tcPr>
          <w:p w14:paraId="153F8246" w14:textId="356803A7" w:rsidR="00B87EF5" w:rsidRDefault="002A100A" w:rsidP="006B64E1">
            <w:r>
              <w:rPr>
                <w:lang w:val="es-PR"/>
              </w:rPr>
              <w:t>Objetivos para 5C ≤</w:t>
            </w:r>
          </w:p>
        </w:tc>
        <w:tc>
          <w:tcPr>
            <w:tcW w:w="1283" w:type="dxa"/>
          </w:tcPr>
          <w:p w14:paraId="40758069" w14:textId="7FDAD6F3" w:rsidR="00B87EF5" w:rsidRDefault="001C230C" w:rsidP="006B64E1">
            <w:pPr>
              <w:jc w:val="center"/>
            </w:pPr>
            <w:r>
              <w:rPr>
                <w:lang w:val="es-PR"/>
              </w:rPr>
              <w:t>1.80%</w:t>
            </w:r>
          </w:p>
        </w:tc>
        <w:tc>
          <w:tcPr>
            <w:tcW w:w="1284" w:type="dxa"/>
          </w:tcPr>
          <w:p w14:paraId="76CC12D5" w14:textId="5394C904" w:rsidR="00B87EF5" w:rsidRDefault="004B1A85" w:rsidP="006B64E1">
            <w:pPr>
              <w:jc w:val="center"/>
            </w:pPr>
            <w:r>
              <w:rPr>
                <w:lang w:val="es-PR"/>
              </w:rPr>
              <w:t>1.80%</w:t>
            </w:r>
          </w:p>
        </w:tc>
        <w:tc>
          <w:tcPr>
            <w:tcW w:w="1284" w:type="dxa"/>
          </w:tcPr>
          <w:p w14:paraId="0DFB7BA7" w14:textId="0DF08B2D" w:rsidR="00B87EF5" w:rsidRDefault="004B1A85" w:rsidP="006B64E1">
            <w:pPr>
              <w:jc w:val="center"/>
            </w:pPr>
            <w:r>
              <w:rPr>
                <w:lang w:val="es-PR"/>
              </w:rPr>
              <w:t>1.80%</w:t>
            </w:r>
          </w:p>
        </w:tc>
        <w:tc>
          <w:tcPr>
            <w:tcW w:w="1283" w:type="dxa"/>
          </w:tcPr>
          <w:p w14:paraId="03C37C54" w14:textId="60180654" w:rsidR="00B87EF5" w:rsidRDefault="004B1A85" w:rsidP="006B64E1">
            <w:pPr>
              <w:jc w:val="center"/>
            </w:pPr>
            <w:r>
              <w:rPr>
                <w:lang w:val="es-PR"/>
              </w:rPr>
              <w:t>1.80%</w:t>
            </w:r>
          </w:p>
        </w:tc>
        <w:tc>
          <w:tcPr>
            <w:tcW w:w="1284" w:type="dxa"/>
          </w:tcPr>
          <w:p w14:paraId="7D856101" w14:textId="14B79B36" w:rsidR="00B87EF5" w:rsidRDefault="004B1A85" w:rsidP="006B64E1">
            <w:pPr>
              <w:jc w:val="center"/>
            </w:pPr>
            <w:r>
              <w:rPr>
                <w:lang w:val="es-PR"/>
              </w:rPr>
              <w:t>1.80%</w:t>
            </w:r>
          </w:p>
        </w:tc>
        <w:tc>
          <w:tcPr>
            <w:tcW w:w="1284" w:type="dxa"/>
          </w:tcPr>
          <w:p w14:paraId="00E74FF0" w14:textId="7F40B1E9" w:rsidR="00B87EF5" w:rsidRDefault="004B1A85" w:rsidP="006B64E1">
            <w:pPr>
              <w:jc w:val="center"/>
            </w:pPr>
            <w:r>
              <w:rPr>
                <w:lang w:val="es-PR"/>
              </w:rPr>
              <w:t>1.75%</w:t>
            </w:r>
          </w:p>
        </w:tc>
      </w:tr>
    </w:tbl>
    <w:p w14:paraId="47B083D4" w14:textId="08B25E31" w:rsidR="700C4117" w:rsidRPr="0000093E" w:rsidRDefault="700C4117" w:rsidP="006B64E1">
      <w:pPr>
        <w:spacing w:before="120" w:after="0" w:line="240" w:lineRule="auto"/>
        <w:rPr>
          <w:sz w:val="24"/>
          <w:szCs w:val="24"/>
          <w:lang w:val="es-MX"/>
        </w:rPr>
      </w:pPr>
      <w:r>
        <w:rPr>
          <w:sz w:val="24"/>
          <w:szCs w:val="24"/>
          <w:lang w:val="es-PR"/>
        </w:rPr>
        <w:t>El ejemplo A muestra una mejora gradual.</w:t>
      </w:r>
    </w:p>
    <w:p w14:paraId="759F8B3E" w14:textId="0F87C6B3" w:rsidR="002A100A" w:rsidRDefault="0CC85973" w:rsidP="004B1A85">
      <w:pPr>
        <w:spacing w:before="120" w:after="0" w:line="240" w:lineRule="auto"/>
        <w:rPr>
          <w:b/>
          <w:bCs/>
          <w:color w:val="408740"/>
          <w:sz w:val="24"/>
          <w:szCs w:val="24"/>
        </w:rPr>
      </w:pPr>
      <w:r>
        <w:rPr>
          <w:b/>
          <w:bCs/>
          <w:color w:val="408740"/>
          <w:sz w:val="24"/>
          <w:szCs w:val="24"/>
          <w:lang w:val="es-PR"/>
        </w:rPr>
        <w:t>Ejemplo B</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27587A" w:rsidRPr="00B542E4" w14:paraId="7E8BE661" w14:textId="77777777" w:rsidTr="44B23A45">
        <w:trPr>
          <w:tblHeader/>
        </w:trPr>
        <w:tc>
          <w:tcPr>
            <w:tcW w:w="2224" w:type="dxa"/>
            <w:shd w:val="clear" w:color="auto" w:fill="ED7D31" w:themeFill="accent2"/>
          </w:tcPr>
          <w:p w14:paraId="258604EF" w14:textId="77777777" w:rsidR="0027587A" w:rsidRPr="00B542E4" w:rsidRDefault="0027587A" w:rsidP="006B64E1">
            <w:pPr>
              <w:jc w:val="center"/>
              <w:rPr>
                <w:b/>
              </w:rPr>
            </w:pPr>
            <w:r>
              <w:rPr>
                <w:b/>
                <w:bCs/>
                <w:lang w:val="es-PR"/>
              </w:rPr>
              <w:t>Años fiscales</w:t>
            </w:r>
          </w:p>
        </w:tc>
        <w:tc>
          <w:tcPr>
            <w:tcW w:w="1283" w:type="dxa"/>
            <w:shd w:val="clear" w:color="auto" w:fill="ED7D31" w:themeFill="accent2"/>
          </w:tcPr>
          <w:p w14:paraId="6A923617" w14:textId="4B8CDFBC" w:rsidR="343894AB" w:rsidRDefault="343894AB" w:rsidP="006B64E1">
            <w:pPr>
              <w:jc w:val="center"/>
              <w:rPr>
                <w:b/>
                <w:bCs/>
              </w:rPr>
            </w:pPr>
            <w:r>
              <w:rPr>
                <w:b/>
                <w:bCs/>
                <w:lang w:val="es-PR"/>
              </w:rPr>
              <w:t>2020</w:t>
            </w:r>
          </w:p>
        </w:tc>
        <w:tc>
          <w:tcPr>
            <w:tcW w:w="1284" w:type="dxa"/>
            <w:shd w:val="clear" w:color="auto" w:fill="ED7D31" w:themeFill="accent2"/>
          </w:tcPr>
          <w:p w14:paraId="13B9C4DC" w14:textId="5A275B5D" w:rsidR="343894AB" w:rsidRDefault="343894AB" w:rsidP="006B64E1">
            <w:pPr>
              <w:jc w:val="center"/>
              <w:rPr>
                <w:b/>
                <w:bCs/>
              </w:rPr>
            </w:pPr>
            <w:r>
              <w:rPr>
                <w:b/>
                <w:bCs/>
                <w:lang w:val="es-PR"/>
              </w:rPr>
              <w:t>2021</w:t>
            </w:r>
          </w:p>
        </w:tc>
        <w:tc>
          <w:tcPr>
            <w:tcW w:w="1284" w:type="dxa"/>
            <w:shd w:val="clear" w:color="auto" w:fill="ED7D31" w:themeFill="accent2"/>
          </w:tcPr>
          <w:p w14:paraId="70D43688" w14:textId="76EB2E2E" w:rsidR="343894AB" w:rsidRDefault="343894AB" w:rsidP="006B64E1">
            <w:pPr>
              <w:jc w:val="center"/>
              <w:rPr>
                <w:b/>
                <w:bCs/>
              </w:rPr>
            </w:pPr>
            <w:r>
              <w:rPr>
                <w:b/>
                <w:bCs/>
                <w:lang w:val="es-PR"/>
              </w:rPr>
              <w:t>2022</w:t>
            </w:r>
          </w:p>
        </w:tc>
        <w:tc>
          <w:tcPr>
            <w:tcW w:w="1283" w:type="dxa"/>
            <w:shd w:val="clear" w:color="auto" w:fill="ED7D31" w:themeFill="accent2"/>
          </w:tcPr>
          <w:p w14:paraId="3E957E52" w14:textId="24647B68" w:rsidR="343894AB" w:rsidRDefault="343894AB" w:rsidP="006B64E1">
            <w:pPr>
              <w:jc w:val="center"/>
              <w:rPr>
                <w:b/>
                <w:bCs/>
              </w:rPr>
            </w:pPr>
            <w:r>
              <w:rPr>
                <w:b/>
                <w:bCs/>
                <w:lang w:val="es-PR"/>
              </w:rPr>
              <w:t>2023</w:t>
            </w:r>
          </w:p>
        </w:tc>
        <w:tc>
          <w:tcPr>
            <w:tcW w:w="1284" w:type="dxa"/>
            <w:shd w:val="clear" w:color="auto" w:fill="ED7D31" w:themeFill="accent2"/>
          </w:tcPr>
          <w:p w14:paraId="77E535CC" w14:textId="4BB78077" w:rsidR="343894AB" w:rsidRDefault="343894AB" w:rsidP="006B64E1">
            <w:pPr>
              <w:jc w:val="center"/>
              <w:rPr>
                <w:b/>
                <w:bCs/>
              </w:rPr>
            </w:pPr>
            <w:r>
              <w:rPr>
                <w:b/>
                <w:bCs/>
                <w:lang w:val="es-PR"/>
              </w:rPr>
              <w:t>2024</w:t>
            </w:r>
          </w:p>
        </w:tc>
        <w:tc>
          <w:tcPr>
            <w:tcW w:w="1284" w:type="dxa"/>
            <w:shd w:val="clear" w:color="auto" w:fill="ED7D31" w:themeFill="accent2"/>
          </w:tcPr>
          <w:p w14:paraId="5E08DBF0" w14:textId="6028741B" w:rsidR="343894AB" w:rsidRDefault="343894AB" w:rsidP="006B64E1">
            <w:pPr>
              <w:jc w:val="center"/>
              <w:rPr>
                <w:b/>
                <w:bCs/>
              </w:rPr>
            </w:pPr>
            <w:r>
              <w:rPr>
                <w:b/>
                <w:bCs/>
                <w:lang w:val="es-PR"/>
              </w:rPr>
              <w:t>2025</w:t>
            </w:r>
          </w:p>
        </w:tc>
      </w:tr>
      <w:tr w:rsidR="00B40ECE" w14:paraId="3AB52173" w14:textId="77777777" w:rsidTr="44B23A45">
        <w:trPr>
          <w:tblHeader/>
        </w:trPr>
        <w:tc>
          <w:tcPr>
            <w:tcW w:w="2224" w:type="dxa"/>
          </w:tcPr>
          <w:p w14:paraId="58122095" w14:textId="3199082C" w:rsidR="00B40ECE" w:rsidRDefault="00B40ECE" w:rsidP="00B40ECE">
            <w:r>
              <w:rPr>
                <w:lang w:val="es-PR"/>
              </w:rPr>
              <w:t>Objetivos para 5A ≥</w:t>
            </w:r>
          </w:p>
        </w:tc>
        <w:tc>
          <w:tcPr>
            <w:tcW w:w="1283" w:type="dxa"/>
          </w:tcPr>
          <w:p w14:paraId="4A78CC05" w14:textId="30C7F991" w:rsidR="00B40ECE" w:rsidRPr="00B87EF5" w:rsidRDefault="00B40ECE" w:rsidP="00B40ECE">
            <w:pPr>
              <w:jc w:val="center"/>
            </w:pPr>
            <w:r>
              <w:rPr>
                <w:lang w:val="es-PR"/>
              </w:rPr>
              <w:t>75.00%</w:t>
            </w:r>
          </w:p>
        </w:tc>
        <w:tc>
          <w:tcPr>
            <w:tcW w:w="1284" w:type="dxa"/>
          </w:tcPr>
          <w:p w14:paraId="1737B822" w14:textId="00F0565D" w:rsidR="00B40ECE" w:rsidRDefault="00B40ECE" w:rsidP="00B40ECE">
            <w:pPr>
              <w:jc w:val="center"/>
            </w:pPr>
            <w:r>
              <w:rPr>
                <w:lang w:val="es-PR"/>
              </w:rPr>
              <w:t>76.00%</w:t>
            </w:r>
          </w:p>
        </w:tc>
        <w:tc>
          <w:tcPr>
            <w:tcW w:w="1284" w:type="dxa"/>
          </w:tcPr>
          <w:p w14:paraId="4F9F9B6F" w14:textId="3EEB1038" w:rsidR="00B40ECE" w:rsidRDefault="00B40ECE" w:rsidP="00B40ECE">
            <w:pPr>
              <w:jc w:val="center"/>
            </w:pPr>
            <w:r>
              <w:rPr>
                <w:lang w:val="es-PR"/>
              </w:rPr>
              <w:t>77.00%</w:t>
            </w:r>
          </w:p>
        </w:tc>
        <w:tc>
          <w:tcPr>
            <w:tcW w:w="1283" w:type="dxa"/>
          </w:tcPr>
          <w:p w14:paraId="391ADC2C" w14:textId="7A4683E1" w:rsidR="00B40ECE" w:rsidRDefault="00B40ECE" w:rsidP="00B40ECE">
            <w:pPr>
              <w:jc w:val="center"/>
            </w:pPr>
            <w:r>
              <w:rPr>
                <w:lang w:val="es-PR"/>
              </w:rPr>
              <w:t>77.00%</w:t>
            </w:r>
          </w:p>
        </w:tc>
        <w:tc>
          <w:tcPr>
            <w:tcW w:w="1284" w:type="dxa"/>
          </w:tcPr>
          <w:p w14:paraId="567D5E92" w14:textId="2C99EF04" w:rsidR="00B40ECE" w:rsidRDefault="00B40ECE" w:rsidP="00B40ECE">
            <w:pPr>
              <w:jc w:val="center"/>
            </w:pPr>
            <w:r>
              <w:rPr>
                <w:lang w:val="es-PR"/>
              </w:rPr>
              <w:t>78.00%</w:t>
            </w:r>
          </w:p>
        </w:tc>
        <w:tc>
          <w:tcPr>
            <w:tcW w:w="1284" w:type="dxa"/>
          </w:tcPr>
          <w:p w14:paraId="22A1F808" w14:textId="08A51513" w:rsidR="00B40ECE" w:rsidRDefault="00B40ECE" w:rsidP="00B40ECE">
            <w:pPr>
              <w:jc w:val="center"/>
            </w:pPr>
            <w:r>
              <w:rPr>
                <w:lang w:val="es-PR"/>
              </w:rPr>
              <w:t>79.00%</w:t>
            </w:r>
          </w:p>
        </w:tc>
      </w:tr>
      <w:tr w:rsidR="00B40ECE" w14:paraId="68678970" w14:textId="77777777" w:rsidTr="44B23A45">
        <w:trPr>
          <w:tblHeader/>
        </w:trPr>
        <w:tc>
          <w:tcPr>
            <w:tcW w:w="2224" w:type="dxa"/>
          </w:tcPr>
          <w:p w14:paraId="51D10AC0" w14:textId="0C23D1FD" w:rsidR="00B40ECE" w:rsidRDefault="00B40ECE" w:rsidP="00B40ECE">
            <w:r>
              <w:rPr>
                <w:lang w:val="es-PR"/>
              </w:rPr>
              <w:t>Objetivos para 5B ≤</w:t>
            </w:r>
          </w:p>
        </w:tc>
        <w:tc>
          <w:tcPr>
            <w:tcW w:w="1283" w:type="dxa"/>
          </w:tcPr>
          <w:p w14:paraId="5B9636A6" w14:textId="6BE651BF" w:rsidR="00B40ECE" w:rsidRPr="00B87EF5" w:rsidRDefault="36774705" w:rsidP="00B40ECE">
            <w:pPr>
              <w:jc w:val="center"/>
            </w:pPr>
            <w:r>
              <w:rPr>
                <w:lang w:val="es-PR"/>
              </w:rPr>
              <w:t>9.25%</w:t>
            </w:r>
          </w:p>
        </w:tc>
        <w:tc>
          <w:tcPr>
            <w:tcW w:w="1284" w:type="dxa"/>
          </w:tcPr>
          <w:p w14:paraId="2CBB6269" w14:textId="2F6F7177" w:rsidR="00B40ECE" w:rsidRDefault="0227E71E" w:rsidP="00B40ECE">
            <w:pPr>
              <w:jc w:val="center"/>
            </w:pPr>
            <w:r>
              <w:rPr>
                <w:lang w:val="es-PR"/>
              </w:rPr>
              <w:t>9.00%</w:t>
            </w:r>
          </w:p>
        </w:tc>
        <w:tc>
          <w:tcPr>
            <w:tcW w:w="1284" w:type="dxa"/>
          </w:tcPr>
          <w:p w14:paraId="2BBB2366" w14:textId="0860A9D9" w:rsidR="00B40ECE" w:rsidRDefault="45230FCC" w:rsidP="00B40ECE">
            <w:pPr>
              <w:jc w:val="center"/>
            </w:pPr>
            <w:r>
              <w:rPr>
                <w:lang w:val="es-PR"/>
              </w:rPr>
              <w:t>8.70%</w:t>
            </w:r>
          </w:p>
        </w:tc>
        <w:tc>
          <w:tcPr>
            <w:tcW w:w="1283" w:type="dxa"/>
          </w:tcPr>
          <w:p w14:paraId="4549BDF2" w14:textId="6755C9B9" w:rsidR="00B40ECE" w:rsidRDefault="21BAB9BD" w:rsidP="00B40ECE">
            <w:pPr>
              <w:jc w:val="center"/>
            </w:pPr>
            <w:r>
              <w:rPr>
                <w:lang w:val="es-PR"/>
              </w:rPr>
              <w:t>8.40%</w:t>
            </w:r>
          </w:p>
        </w:tc>
        <w:tc>
          <w:tcPr>
            <w:tcW w:w="1284" w:type="dxa"/>
          </w:tcPr>
          <w:p w14:paraId="3908C81A" w14:textId="4BCAAAC9" w:rsidR="00B40ECE" w:rsidRDefault="2D6EDFE7" w:rsidP="00B40ECE">
            <w:pPr>
              <w:jc w:val="center"/>
            </w:pPr>
            <w:r>
              <w:rPr>
                <w:lang w:val="es-PR"/>
              </w:rPr>
              <w:t>8.00%</w:t>
            </w:r>
          </w:p>
        </w:tc>
        <w:tc>
          <w:tcPr>
            <w:tcW w:w="1284" w:type="dxa"/>
          </w:tcPr>
          <w:p w14:paraId="20F16976" w14:textId="387CD414" w:rsidR="00B40ECE" w:rsidRDefault="53775DCB" w:rsidP="00B40ECE">
            <w:pPr>
              <w:jc w:val="center"/>
            </w:pPr>
            <w:r>
              <w:rPr>
                <w:lang w:val="es-PR"/>
              </w:rPr>
              <w:t>7.80%</w:t>
            </w:r>
          </w:p>
        </w:tc>
      </w:tr>
      <w:tr w:rsidR="00B40ECE" w14:paraId="4A566C0A" w14:textId="77777777" w:rsidTr="44B23A45">
        <w:trPr>
          <w:tblHeader/>
        </w:trPr>
        <w:tc>
          <w:tcPr>
            <w:tcW w:w="2224" w:type="dxa"/>
          </w:tcPr>
          <w:p w14:paraId="67108904" w14:textId="6A553152" w:rsidR="00B40ECE" w:rsidRDefault="00B40ECE" w:rsidP="00B40ECE">
            <w:r>
              <w:rPr>
                <w:lang w:val="es-PR"/>
              </w:rPr>
              <w:t>Objetivos para 5C ≤</w:t>
            </w:r>
          </w:p>
        </w:tc>
        <w:tc>
          <w:tcPr>
            <w:tcW w:w="1283" w:type="dxa"/>
          </w:tcPr>
          <w:p w14:paraId="00655DE9" w14:textId="1C762552" w:rsidR="00B40ECE" w:rsidRDefault="00B40ECE" w:rsidP="00B40ECE">
            <w:pPr>
              <w:jc w:val="center"/>
            </w:pPr>
            <w:r>
              <w:rPr>
                <w:lang w:val="es-PR"/>
              </w:rPr>
              <w:t>1.80%</w:t>
            </w:r>
          </w:p>
        </w:tc>
        <w:tc>
          <w:tcPr>
            <w:tcW w:w="1284" w:type="dxa"/>
          </w:tcPr>
          <w:p w14:paraId="4BD065FF" w14:textId="391F42F3" w:rsidR="00B40ECE" w:rsidRDefault="00B40ECE" w:rsidP="00B40ECE">
            <w:pPr>
              <w:jc w:val="center"/>
            </w:pPr>
            <w:r>
              <w:rPr>
                <w:lang w:val="es-PR"/>
              </w:rPr>
              <w:t>1.70%</w:t>
            </w:r>
          </w:p>
        </w:tc>
        <w:tc>
          <w:tcPr>
            <w:tcW w:w="1284" w:type="dxa"/>
          </w:tcPr>
          <w:p w14:paraId="14E5C3E1" w14:textId="76F7DAB5" w:rsidR="00B40ECE" w:rsidRDefault="00B40ECE" w:rsidP="00B40ECE">
            <w:pPr>
              <w:jc w:val="center"/>
            </w:pPr>
            <w:r>
              <w:rPr>
                <w:lang w:val="es-PR"/>
              </w:rPr>
              <w:t>1.60%</w:t>
            </w:r>
          </w:p>
        </w:tc>
        <w:tc>
          <w:tcPr>
            <w:tcW w:w="1283" w:type="dxa"/>
          </w:tcPr>
          <w:p w14:paraId="4D98413D" w14:textId="74A39B83" w:rsidR="00B40ECE" w:rsidRDefault="00B40ECE" w:rsidP="00B40ECE">
            <w:pPr>
              <w:jc w:val="center"/>
            </w:pPr>
            <w:r>
              <w:rPr>
                <w:lang w:val="es-PR"/>
              </w:rPr>
              <w:t>1.60%</w:t>
            </w:r>
          </w:p>
        </w:tc>
        <w:tc>
          <w:tcPr>
            <w:tcW w:w="1284" w:type="dxa"/>
          </w:tcPr>
          <w:p w14:paraId="650BAB55" w14:textId="4E262C38" w:rsidR="00B40ECE" w:rsidRDefault="00B40ECE" w:rsidP="00B40ECE">
            <w:pPr>
              <w:jc w:val="center"/>
            </w:pPr>
            <w:r>
              <w:rPr>
                <w:lang w:val="es-PR"/>
              </w:rPr>
              <w:t>1.50%</w:t>
            </w:r>
          </w:p>
        </w:tc>
        <w:tc>
          <w:tcPr>
            <w:tcW w:w="1284" w:type="dxa"/>
          </w:tcPr>
          <w:p w14:paraId="0BB8C47B" w14:textId="2808D02F" w:rsidR="00B40ECE" w:rsidRDefault="00B40ECE" w:rsidP="00B40ECE">
            <w:pPr>
              <w:jc w:val="center"/>
            </w:pPr>
            <w:r>
              <w:rPr>
                <w:lang w:val="es-PR"/>
              </w:rPr>
              <w:t>1.40%</w:t>
            </w:r>
          </w:p>
        </w:tc>
      </w:tr>
    </w:tbl>
    <w:p w14:paraId="2EB33A43" w14:textId="23E47598" w:rsidR="2684202B" w:rsidRPr="0000093E" w:rsidRDefault="2684202B" w:rsidP="004B1A85">
      <w:pPr>
        <w:spacing w:before="120" w:line="240" w:lineRule="auto"/>
        <w:rPr>
          <w:rFonts w:ascii="Calibri" w:eastAsia="Calibri" w:hAnsi="Calibri" w:cs="Calibri"/>
          <w:color w:val="000000" w:themeColor="text1"/>
          <w:sz w:val="24"/>
          <w:szCs w:val="24"/>
          <w:lang w:val="es-MX"/>
        </w:rPr>
      </w:pPr>
      <w:r>
        <w:rPr>
          <w:rFonts w:ascii="Calibri" w:eastAsia="Calibri" w:hAnsi="Calibri" w:cs="Calibri"/>
          <w:color w:val="000000" w:themeColor="text1"/>
          <w:sz w:val="24"/>
          <w:szCs w:val="24"/>
          <w:lang w:val="es-PR"/>
        </w:rPr>
        <w:t>El ejemplo B muestra una mejora más ambiciosa.</w:t>
      </w:r>
    </w:p>
    <w:p w14:paraId="34338265" w14:textId="77777777" w:rsidR="0098789A" w:rsidRPr="0000093E" w:rsidRDefault="00585E53" w:rsidP="006B64E1">
      <w:pPr>
        <w:spacing w:after="0" w:line="240" w:lineRule="auto"/>
        <w:jc w:val="center"/>
        <w:rPr>
          <w:rFonts w:ascii="Calibri" w:eastAsia="Calibri" w:hAnsi="Calibri" w:cs="Calibri"/>
          <w:b/>
          <w:color w:val="407641"/>
          <w:lang w:val="es-MX"/>
        </w:rPr>
      </w:pPr>
      <w:r>
        <w:rPr>
          <w:rFonts w:ascii="Calibri" w:eastAsia="Calibri" w:hAnsi="Calibri" w:cs="Calibri"/>
          <w:b/>
          <w:bCs/>
          <w:color w:val="407641"/>
          <w:lang w:val="es-PR"/>
        </w:rPr>
        <w:t>Si necesita más información para proporcionar información, comuníquese con:</w:t>
      </w:r>
    </w:p>
    <w:p w14:paraId="3E60CB3D" w14:textId="60B4E586" w:rsidR="003429A7" w:rsidRPr="0000093E" w:rsidRDefault="00EA562A" w:rsidP="006B64E1">
      <w:pPr>
        <w:spacing w:after="0" w:line="240" w:lineRule="auto"/>
        <w:jc w:val="center"/>
        <w:rPr>
          <w:rFonts w:ascii="Calibri" w:eastAsia="Calibri" w:hAnsi="Calibri" w:cs="Calibri"/>
          <w:b/>
          <w:color w:val="000000" w:themeColor="text1"/>
          <w:lang w:val="es-MX"/>
        </w:rPr>
      </w:pPr>
      <w:r>
        <w:rPr>
          <w:rFonts w:ascii="Calibri" w:hAnsi="Calibri"/>
          <w:b/>
          <w:bCs/>
          <w:color w:val="407641"/>
          <w:lang w:val="es-PR"/>
        </w:rPr>
        <w:t>Rae Ann Ray, especialista en educación, en</w:t>
      </w:r>
      <w:r>
        <w:rPr>
          <w:b/>
          <w:bCs/>
          <w:lang w:val="es-PR"/>
        </w:rPr>
        <w:t xml:space="preserve"> </w:t>
      </w:r>
      <w:hyperlink r:id="rId18">
        <w:r>
          <w:rPr>
            <w:rStyle w:val="Hyperlink"/>
            <w:rFonts w:ascii="Calibri" w:eastAsia="Calibri" w:hAnsi="Calibri" w:cs="Calibri"/>
            <w:b/>
            <w:bCs/>
            <w:lang w:val="es-PR"/>
          </w:rPr>
          <w:t>raeann.ray@state.or.us</w:t>
        </w:r>
      </w:hyperlink>
    </w:p>
    <w:p w14:paraId="7C6663B4" w14:textId="77777777" w:rsidR="003429A7" w:rsidRPr="0000093E" w:rsidRDefault="003429A7" w:rsidP="003429A7">
      <w:pPr>
        <w:rPr>
          <w:rFonts w:ascii="Calibri" w:eastAsia="Calibri" w:hAnsi="Calibri" w:cs="Calibri"/>
          <w:lang w:val="es-MX"/>
        </w:rPr>
      </w:pPr>
    </w:p>
    <w:p w14:paraId="16D61DE0" w14:textId="5E40FC4D" w:rsidR="21770B4B" w:rsidRPr="0000093E" w:rsidRDefault="003429A7" w:rsidP="003429A7">
      <w:pPr>
        <w:tabs>
          <w:tab w:val="left" w:pos="4062"/>
        </w:tabs>
        <w:rPr>
          <w:rFonts w:ascii="Calibri" w:eastAsia="Calibri" w:hAnsi="Calibri" w:cs="Calibri"/>
          <w:lang w:val="es-MX"/>
        </w:rPr>
      </w:pPr>
      <w:r>
        <w:rPr>
          <w:lang w:val="es-PR"/>
        </w:rPr>
        <w:tab/>
      </w:r>
    </w:p>
    <w:sectPr w:rsidR="21770B4B" w:rsidRPr="0000093E" w:rsidSect="006A1017">
      <w:footerReference w:type="default" r:id="rId19"/>
      <w:pgSz w:w="12240" w:h="15840" w:code="1"/>
      <w:pgMar w:top="720"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787A" w14:textId="77777777" w:rsidR="00AD399D" w:rsidRDefault="00AD399D" w:rsidP="00A015AF">
      <w:pPr>
        <w:spacing w:after="0" w:line="240" w:lineRule="auto"/>
      </w:pPr>
      <w:r>
        <w:separator/>
      </w:r>
    </w:p>
  </w:endnote>
  <w:endnote w:type="continuationSeparator" w:id="0">
    <w:p w14:paraId="40F13CD0" w14:textId="77777777" w:rsidR="00AD399D" w:rsidRDefault="00AD399D" w:rsidP="00A015AF">
      <w:pPr>
        <w:spacing w:after="0" w:line="240" w:lineRule="auto"/>
      </w:pPr>
      <w:r>
        <w:continuationSeparator/>
      </w:r>
    </w:p>
  </w:endnote>
  <w:endnote w:type="continuationNotice" w:id="1">
    <w:p w14:paraId="5FC5547B" w14:textId="77777777" w:rsidR="00AD399D" w:rsidRDefault="00AD3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9893" w14:textId="53850A7E" w:rsidR="003429A7" w:rsidRPr="0000093E" w:rsidRDefault="003429A7">
    <w:pPr>
      <w:pStyle w:val="Footer"/>
      <w:rPr>
        <w:lang w:val="es-MX"/>
      </w:rPr>
    </w:pPr>
    <w:r>
      <w:rPr>
        <w:lang w:val="es-PR"/>
      </w:rPr>
      <w:t>Hoja de datos del plan estatal de desempeño - Indicador B5</w:t>
    </w:r>
    <w:r>
      <w:rPr>
        <w:lang w:val="es-PR"/>
      </w:rPr>
      <w:tab/>
    </w:r>
    <w:r>
      <w:rPr>
        <w:lang w:val="es-PR"/>
      </w:rPr>
      <w:tab/>
    </w:r>
    <w:r>
      <w:rPr>
        <w:lang w:val="es-PR"/>
      </w:rPr>
      <w:fldChar w:fldCharType="begin"/>
    </w:r>
    <w:r>
      <w:rPr>
        <w:lang w:val="es-PR"/>
      </w:rPr>
      <w:instrText xml:space="preserve"> PAGE   \* MERGEFORMAT </w:instrText>
    </w:r>
    <w:r>
      <w:rPr>
        <w:lang w:val="es-PR"/>
      </w:rPr>
      <w:fldChar w:fldCharType="separate"/>
    </w:r>
    <w:r w:rsidR="00FF6FF2">
      <w:rPr>
        <w:noProof/>
        <w:lang w:val="es-PR"/>
      </w:rPr>
      <w:t>4</w:t>
    </w:r>
    <w:r>
      <w:rPr>
        <w:noProof/>
        <w:lang w:val="es-P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584B" w14:textId="77777777" w:rsidR="00AD399D" w:rsidRDefault="00AD399D" w:rsidP="00A015AF">
      <w:pPr>
        <w:spacing w:after="0" w:line="240" w:lineRule="auto"/>
      </w:pPr>
      <w:r>
        <w:separator/>
      </w:r>
    </w:p>
  </w:footnote>
  <w:footnote w:type="continuationSeparator" w:id="0">
    <w:p w14:paraId="17180ADD" w14:textId="77777777" w:rsidR="00AD399D" w:rsidRDefault="00AD399D" w:rsidP="00A015AF">
      <w:pPr>
        <w:spacing w:after="0" w:line="240" w:lineRule="auto"/>
      </w:pPr>
      <w:r>
        <w:continuationSeparator/>
      </w:r>
    </w:p>
  </w:footnote>
  <w:footnote w:type="continuationNotice" w:id="1">
    <w:p w14:paraId="20F9BBCA" w14:textId="77777777" w:rsidR="00AD399D" w:rsidRDefault="00AD399D">
      <w:pPr>
        <w:spacing w:after="0" w:line="240" w:lineRule="auto"/>
      </w:pPr>
    </w:p>
  </w:footnote>
  <w:footnote w:id="2">
    <w:p w14:paraId="7D2E7316" w14:textId="3189D450" w:rsidR="00B74338" w:rsidRPr="00053B0A" w:rsidRDefault="00B74338" w:rsidP="00B74338">
      <w:pPr>
        <w:pStyle w:val="FootnoteText"/>
        <w:rPr>
          <w:sz w:val="18"/>
        </w:rPr>
      </w:pPr>
      <w:r>
        <w:rPr>
          <w:rStyle w:val="FootnoteReference"/>
          <w:sz w:val="18"/>
          <w:lang w:val="es-PR"/>
        </w:rPr>
        <w:footnoteRef/>
      </w:r>
      <w:r>
        <w:rPr>
          <w:sz w:val="18"/>
          <w:lang w:val="es-PR"/>
        </w:rPr>
        <w:t xml:space="preserve"> La información de esta sección fue adaptada de: Centro de información y recursos para padres. (n.d.). Teniendo en cuenta el LRE en las decisiones de colocación. Obtenido de </w:t>
      </w:r>
      <w:hyperlink r:id="rId1" w:history="1">
        <w:r>
          <w:rPr>
            <w:rStyle w:val="Hyperlink"/>
            <w:sz w:val="18"/>
            <w:lang w:val="es-PR"/>
          </w:rPr>
          <w:t>https://www.parentcenterhub.org/placement-lre/</w:t>
        </w:r>
      </w:hyperlink>
      <w:r>
        <w:rPr>
          <w:sz w:val="18"/>
          <w:lang w:val="es-P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2C63147"/>
    <w:multiLevelType w:val="hybridMultilevel"/>
    <w:tmpl w:val="610C8B08"/>
    <w:lvl w:ilvl="0" w:tplc="26ACDFB6">
      <w:start w:val="1"/>
      <w:numFmt w:val="bullet"/>
      <w:lvlText w:val=""/>
      <w:lvlJc w:val="left"/>
      <w:pPr>
        <w:ind w:left="720" w:hanging="360"/>
      </w:pPr>
      <w:rPr>
        <w:rFonts w:ascii="Symbol" w:hAnsi="Symbol" w:hint="default"/>
      </w:rPr>
    </w:lvl>
    <w:lvl w:ilvl="1" w:tplc="0008B5A0">
      <w:start w:val="1"/>
      <w:numFmt w:val="bullet"/>
      <w:lvlText w:val="o"/>
      <w:lvlJc w:val="left"/>
      <w:pPr>
        <w:ind w:left="1440" w:hanging="360"/>
      </w:pPr>
      <w:rPr>
        <w:rFonts w:ascii="Courier New" w:hAnsi="Courier New" w:hint="default"/>
      </w:rPr>
    </w:lvl>
    <w:lvl w:ilvl="2" w:tplc="4BA8DB16">
      <w:start w:val="1"/>
      <w:numFmt w:val="bullet"/>
      <w:lvlText w:val=""/>
      <w:lvlJc w:val="left"/>
      <w:pPr>
        <w:ind w:left="2160" w:hanging="360"/>
      </w:pPr>
      <w:rPr>
        <w:rFonts w:ascii="Wingdings" w:hAnsi="Wingdings" w:hint="default"/>
      </w:rPr>
    </w:lvl>
    <w:lvl w:ilvl="3" w:tplc="8CFC1E24">
      <w:start w:val="1"/>
      <w:numFmt w:val="bullet"/>
      <w:lvlText w:val=""/>
      <w:lvlJc w:val="left"/>
      <w:pPr>
        <w:ind w:left="2880" w:hanging="360"/>
      </w:pPr>
      <w:rPr>
        <w:rFonts w:ascii="Symbol" w:hAnsi="Symbol" w:hint="default"/>
      </w:rPr>
    </w:lvl>
    <w:lvl w:ilvl="4" w:tplc="C61EE07C">
      <w:start w:val="1"/>
      <w:numFmt w:val="bullet"/>
      <w:lvlText w:val="o"/>
      <w:lvlJc w:val="left"/>
      <w:pPr>
        <w:ind w:left="3600" w:hanging="360"/>
      </w:pPr>
      <w:rPr>
        <w:rFonts w:ascii="Courier New" w:hAnsi="Courier New" w:hint="default"/>
      </w:rPr>
    </w:lvl>
    <w:lvl w:ilvl="5" w:tplc="71E042D8">
      <w:start w:val="1"/>
      <w:numFmt w:val="bullet"/>
      <w:lvlText w:val=""/>
      <w:lvlJc w:val="left"/>
      <w:pPr>
        <w:ind w:left="4320" w:hanging="360"/>
      </w:pPr>
      <w:rPr>
        <w:rFonts w:ascii="Wingdings" w:hAnsi="Wingdings" w:hint="default"/>
      </w:rPr>
    </w:lvl>
    <w:lvl w:ilvl="6" w:tplc="A71ECD4C">
      <w:start w:val="1"/>
      <w:numFmt w:val="bullet"/>
      <w:lvlText w:val=""/>
      <w:lvlJc w:val="left"/>
      <w:pPr>
        <w:ind w:left="5040" w:hanging="360"/>
      </w:pPr>
      <w:rPr>
        <w:rFonts w:ascii="Symbol" w:hAnsi="Symbol" w:hint="default"/>
      </w:rPr>
    </w:lvl>
    <w:lvl w:ilvl="7" w:tplc="6EE845DE">
      <w:start w:val="1"/>
      <w:numFmt w:val="bullet"/>
      <w:lvlText w:val="o"/>
      <w:lvlJc w:val="left"/>
      <w:pPr>
        <w:ind w:left="5760" w:hanging="360"/>
      </w:pPr>
      <w:rPr>
        <w:rFonts w:ascii="Courier New" w:hAnsi="Courier New" w:hint="default"/>
      </w:rPr>
    </w:lvl>
    <w:lvl w:ilvl="8" w:tplc="DFAE9020">
      <w:start w:val="1"/>
      <w:numFmt w:val="bullet"/>
      <w:lvlText w:val=""/>
      <w:lvlJc w:val="left"/>
      <w:pPr>
        <w:ind w:left="6480" w:hanging="360"/>
      </w:pPr>
      <w:rPr>
        <w:rFonts w:ascii="Wingdings" w:hAnsi="Wingdings" w:hint="default"/>
      </w:rPr>
    </w:lvl>
  </w:abstractNum>
  <w:abstractNum w:abstractNumId="6"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2252B"/>
    <w:multiLevelType w:val="hybridMultilevel"/>
    <w:tmpl w:val="5CE8B9F2"/>
    <w:lvl w:ilvl="0" w:tplc="FFFFFFFF">
      <w:start w:val="1"/>
      <w:numFmt w:val="bullet"/>
      <w:lvlText w:val=""/>
      <w:lvlJc w:val="left"/>
      <w:pPr>
        <w:ind w:left="720" w:hanging="360"/>
      </w:pPr>
      <w:rPr>
        <w:rFonts w:ascii="Symbol" w:hAnsi="Symbol" w:hint="default"/>
      </w:rPr>
    </w:lvl>
    <w:lvl w:ilvl="1" w:tplc="D46AA1F0">
      <w:start w:val="1"/>
      <w:numFmt w:val="bullet"/>
      <w:lvlText w:val="o"/>
      <w:lvlJc w:val="left"/>
      <w:pPr>
        <w:ind w:left="1440" w:hanging="360"/>
      </w:pPr>
      <w:rPr>
        <w:rFonts w:ascii="Courier New" w:hAnsi="Courier New" w:hint="default"/>
      </w:rPr>
    </w:lvl>
    <w:lvl w:ilvl="2" w:tplc="1E143228">
      <w:start w:val="1"/>
      <w:numFmt w:val="bullet"/>
      <w:lvlText w:val=""/>
      <w:lvlJc w:val="left"/>
      <w:pPr>
        <w:ind w:left="2160" w:hanging="360"/>
      </w:pPr>
      <w:rPr>
        <w:rFonts w:ascii="Wingdings" w:hAnsi="Wingdings" w:hint="default"/>
      </w:rPr>
    </w:lvl>
    <w:lvl w:ilvl="3" w:tplc="7B4A5182">
      <w:start w:val="1"/>
      <w:numFmt w:val="bullet"/>
      <w:lvlText w:val=""/>
      <w:lvlJc w:val="left"/>
      <w:pPr>
        <w:ind w:left="2880" w:hanging="360"/>
      </w:pPr>
      <w:rPr>
        <w:rFonts w:ascii="Symbol" w:hAnsi="Symbol" w:hint="default"/>
      </w:rPr>
    </w:lvl>
    <w:lvl w:ilvl="4" w:tplc="56F42A96">
      <w:start w:val="1"/>
      <w:numFmt w:val="bullet"/>
      <w:lvlText w:val="o"/>
      <w:lvlJc w:val="left"/>
      <w:pPr>
        <w:ind w:left="3600" w:hanging="360"/>
      </w:pPr>
      <w:rPr>
        <w:rFonts w:ascii="Courier New" w:hAnsi="Courier New" w:hint="default"/>
      </w:rPr>
    </w:lvl>
    <w:lvl w:ilvl="5" w:tplc="18C21FE0">
      <w:start w:val="1"/>
      <w:numFmt w:val="bullet"/>
      <w:lvlText w:val=""/>
      <w:lvlJc w:val="left"/>
      <w:pPr>
        <w:ind w:left="4320" w:hanging="360"/>
      </w:pPr>
      <w:rPr>
        <w:rFonts w:ascii="Wingdings" w:hAnsi="Wingdings" w:hint="default"/>
      </w:rPr>
    </w:lvl>
    <w:lvl w:ilvl="6" w:tplc="512EC5F4">
      <w:start w:val="1"/>
      <w:numFmt w:val="bullet"/>
      <w:lvlText w:val=""/>
      <w:lvlJc w:val="left"/>
      <w:pPr>
        <w:ind w:left="5040" w:hanging="360"/>
      </w:pPr>
      <w:rPr>
        <w:rFonts w:ascii="Symbol" w:hAnsi="Symbol" w:hint="default"/>
      </w:rPr>
    </w:lvl>
    <w:lvl w:ilvl="7" w:tplc="B45CA3C6">
      <w:start w:val="1"/>
      <w:numFmt w:val="bullet"/>
      <w:lvlText w:val="o"/>
      <w:lvlJc w:val="left"/>
      <w:pPr>
        <w:ind w:left="5760" w:hanging="360"/>
      </w:pPr>
      <w:rPr>
        <w:rFonts w:ascii="Courier New" w:hAnsi="Courier New" w:hint="default"/>
      </w:rPr>
    </w:lvl>
    <w:lvl w:ilvl="8" w:tplc="8B909BF2">
      <w:start w:val="1"/>
      <w:numFmt w:val="bullet"/>
      <w:lvlText w:val=""/>
      <w:lvlJc w:val="left"/>
      <w:pPr>
        <w:ind w:left="6480" w:hanging="360"/>
      </w:pPr>
      <w:rPr>
        <w:rFonts w:ascii="Wingdings" w:hAnsi="Wingdings" w:hint="default"/>
      </w:rPr>
    </w:lvl>
  </w:abstractNum>
  <w:abstractNum w:abstractNumId="14" w15:restartNumberingAfterBreak="0">
    <w:nsid w:val="7B082AB2"/>
    <w:multiLevelType w:val="hybridMultilevel"/>
    <w:tmpl w:val="4282F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2"/>
  </w:num>
  <w:num w:numId="8">
    <w:abstractNumId w:val="10"/>
  </w:num>
  <w:num w:numId="9">
    <w:abstractNumId w:val="11"/>
  </w:num>
  <w:num w:numId="10">
    <w:abstractNumId w:val="7"/>
  </w:num>
  <w:num w:numId="11">
    <w:abstractNumId w:val="9"/>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093E"/>
    <w:rsid w:val="00053B0A"/>
    <w:rsid w:val="000922AC"/>
    <w:rsid w:val="000B7B51"/>
    <w:rsid w:val="000D21BD"/>
    <w:rsid w:val="000E4FA0"/>
    <w:rsid w:val="00142906"/>
    <w:rsid w:val="00165294"/>
    <w:rsid w:val="001B2159"/>
    <w:rsid w:val="001B52CA"/>
    <w:rsid w:val="001C230C"/>
    <w:rsid w:val="002240F9"/>
    <w:rsid w:val="0026797A"/>
    <w:rsid w:val="0027587A"/>
    <w:rsid w:val="00297026"/>
    <w:rsid w:val="002A100A"/>
    <w:rsid w:val="002D66CC"/>
    <w:rsid w:val="00300812"/>
    <w:rsid w:val="00300F93"/>
    <w:rsid w:val="00327EB0"/>
    <w:rsid w:val="003429A7"/>
    <w:rsid w:val="00356BE5"/>
    <w:rsid w:val="00373050"/>
    <w:rsid w:val="003E6550"/>
    <w:rsid w:val="003E715C"/>
    <w:rsid w:val="004677EF"/>
    <w:rsid w:val="00472F13"/>
    <w:rsid w:val="00496DD9"/>
    <w:rsid w:val="004B1A85"/>
    <w:rsid w:val="004D196C"/>
    <w:rsid w:val="00506FC3"/>
    <w:rsid w:val="00551272"/>
    <w:rsid w:val="00585E53"/>
    <w:rsid w:val="005A0F03"/>
    <w:rsid w:val="005D6523"/>
    <w:rsid w:val="005E1EB5"/>
    <w:rsid w:val="005EE846"/>
    <w:rsid w:val="006231FB"/>
    <w:rsid w:val="00626549"/>
    <w:rsid w:val="006317DA"/>
    <w:rsid w:val="00665A1E"/>
    <w:rsid w:val="00665A7D"/>
    <w:rsid w:val="006858DD"/>
    <w:rsid w:val="00686AA4"/>
    <w:rsid w:val="0069529E"/>
    <w:rsid w:val="006A1017"/>
    <w:rsid w:val="006B3525"/>
    <w:rsid w:val="006B64E1"/>
    <w:rsid w:val="00770DA0"/>
    <w:rsid w:val="007911BE"/>
    <w:rsid w:val="007B0DF0"/>
    <w:rsid w:val="007E32D1"/>
    <w:rsid w:val="00800077"/>
    <w:rsid w:val="0081178B"/>
    <w:rsid w:val="0082151C"/>
    <w:rsid w:val="008417A7"/>
    <w:rsid w:val="00843EA9"/>
    <w:rsid w:val="00856496"/>
    <w:rsid w:val="008707C4"/>
    <w:rsid w:val="00872B58"/>
    <w:rsid w:val="00872BA4"/>
    <w:rsid w:val="00892BE5"/>
    <w:rsid w:val="008A3D08"/>
    <w:rsid w:val="008B0A37"/>
    <w:rsid w:val="00926556"/>
    <w:rsid w:val="00963CE4"/>
    <w:rsid w:val="009712AB"/>
    <w:rsid w:val="00976EA9"/>
    <w:rsid w:val="00980D00"/>
    <w:rsid w:val="0098789A"/>
    <w:rsid w:val="009A20B4"/>
    <w:rsid w:val="009A23AC"/>
    <w:rsid w:val="009C5702"/>
    <w:rsid w:val="00A015AF"/>
    <w:rsid w:val="00A106D4"/>
    <w:rsid w:val="00A42905"/>
    <w:rsid w:val="00A448C8"/>
    <w:rsid w:val="00AD399D"/>
    <w:rsid w:val="00AD794D"/>
    <w:rsid w:val="00B11C99"/>
    <w:rsid w:val="00B40ECE"/>
    <w:rsid w:val="00B51C91"/>
    <w:rsid w:val="00B542E4"/>
    <w:rsid w:val="00B74338"/>
    <w:rsid w:val="00B77D28"/>
    <w:rsid w:val="00B87EF5"/>
    <w:rsid w:val="00B9167F"/>
    <w:rsid w:val="00BB0B34"/>
    <w:rsid w:val="00BD24E9"/>
    <w:rsid w:val="00C00F89"/>
    <w:rsid w:val="00C34D83"/>
    <w:rsid w:val="00C41661"/>
    <w:rsid w:val="00C43BD2"/>
    <w:rsid w:val="00C53B82"/>
    <w:rsid w:val="00C73044"/>
    <w:rsid w:val="00C83E06"/>
    <w:rsid w:val="00CA3BE5"/>
    <w:rsid w:val="00CB50E1"/>
    <w:rsid w:val="00CC7930"/>
    <w:rsid w:val="00CD2C98"/>
    <w:rsid w:val="00D330A6"/>
    <w:rsid w:val="00D570CE"/>
    <w:rsid w:val="00DA5C74"/>
    <w:rsid w:val="00DB37A5"/>
    <w:rsid w:val="00DC5156"/>
    <w:rsid w:val="00E441BE"/>
    <w:rsid w:val="00E653D7"/>
    <w:rsid w:val="00E77AD9"/>
    <w:rsid w:val="00EA562A"/>
    <w:rsid w:val="00EC6A35"/>
    <w:rsid w:val="00EC75DD"/>
    <w:rsid w:val="00F25E0F"/>
    <w:rsid w:val="00F64069"/>
    <w:rsid w:val="00FA2039"/>
    <w:rsid w:val="00FA3257"/>
    <w:rsid w:val="00FA7F31"/>
    <w:rsid w:val="00FB5DC0"/>
    <w:rsid w:val="00FC0AA2"/>
    <w:rsid w:val="00FF6FF2"/>
    <w:rsid w:val="0125A55A"/>
    <w:rsid w:val="01A2B81C"/>
    <w:rsid w:val="0227E71E"/>
    <w:rsid w:val="025542C6"/>
    <w:rsid w:val="0272751E"/>
    <w:rsid w:val="0472B718"/>
    <w:rsid w:val="04DE0762"/>
    <w:rsid w:val="04E1EFBC"/>
    <w:rsid w:val="05866975"/>
    <w:rsid w:val="085480F3"/>
    <w:rsid w:val="088CC861"/>
    <w:rsid w:val="09335D90"/>
    <w:rsid w:val="09726327"/>
    <w:rsid w:val="0A003D7F"/>
    <w:rsid w:val="0A5323CF"/>
    <w:rsid w:val="0B5AB25B"/>
    <w:rsid w:val="0B773283"/>
    <w:rsid w:val="0B8E293D"/>
    <w:rsid w:val="0CC85973"/>
    <w:rsid w:val="0CD5B911"/>
    <w:rsid w:val="0CD70CBB"/>
    <w:rsid w:val="0ECBA6C1"/>
    <w:rsid w:val="0F12433F"/>
    <w:rsid w:val="104AC015"/>
    <w:rsid w:val="106B2583"/>
    <w:rsid w:val="118102CB"/>
    <w:rsid w:val="119B5B48"/>
    <w:rsid w:val="11A2033A"/>
    <w:rsid w:val="12EE0490"/>
    <w:rsid w:val="1304DF78"/>
    <w:rsid w:val="159691D8"/>
    <w:rsid w:val="1CA39A28"/>
    <w:rsid w:val="1DB4C8A3"/>
    <w:rsid w:val="1E2A045C"/>
    <w:rsid w:val="1E3F6A89"/>
    <w:rsid w:val="1EAE068D"/>
    <w:rsid w:val="1EB829FD"/>
    <w:rsid w:val="2035640F"/>
    <w:rsid w:val="204521A1"/>
    <w:rsid w:val="20D199BD"/>
    <w:rsid w:val="21770B4B"/>
    <w:rsid w:val="21966300"/>
    <w:rsid w:val="21BAB9BD"/>
    <w:rsid w:val="224492A3"/>
    <w:rsid w:val="229435D9"/>
    <w:rsid w:val="2378DFE0"/>
    <w:rsid w:val="23CC61E0"/>
    <w:rsid w:val="246FC506"/>
    <w:rsid w:val="2657EB39"/>
    <w:rsid w:val="2684202B"/>
    <w:rsid w:val="26B2BF7E"/>
    <w:rsid w:val="27F19F83"/>
    <w:rsid w:val="2822FAC6"/>
    <w:rsid w:val="28D2AC4E"/>
    <w:rsid w:val="28DA0FC2"/>
    <w:rsid w:val="2CEC3CB9"/>
    <w:rsid w:val="2D6EDFE7"/>
    <w:rsid w:val="2DAD80E5"/>
    <w:rsid w:val="2DB1B8EE"/>
    <w:rsid w:val="2F10BF66"/>
    <w:rsid w:val="328E971D"/>
    <w:rsid w:val="32B1B4D3"/>
    <w:rsid w:val="33A77FB4"/>
    <w:rsid w:val="343894AB"/>
    <w:rsid w:val="36546427"/>
    <w:rsid w:val="36774705"/>
    <w:rsid w:val="38171751"/>
    <w:rsid w:val="38E5542A"/>
    <w:rsid w:val="3989F7B2"/>
    <w:rsid w:val="39ED81BF"/>
    <w:rsid w:val="3B7B6261"/>
    <w:rsid w:val="3DDA1A46"/>
    <w:rsid w:val="3E64F3E0"/>
    <w:rsid w:val="3EA8BBDF"/>
    <w:rsid w:val="4041EECB"/>
    <w:rsid w:val="4166CF76"/>
    <w:rsid w:val="4191B4F3"/>
    <w:rsid w:val="4197FFC0"/>
    <w:rsid w:val="428E0291"/>
    <w:rsid w:val="433DFD85"/>
    <w:rsid w:val="43C75885"/>
    <w:rsid w:val="44B23A45"/>
    <w:rsid w:val="44ED2CD0"/>
    <w:rsid w:val="45230FCC"/>
    <w:rsid w:val="46425BA2"/>
    <w:rsid w:val="46904438"/>
    <w:rsid w:val="476173B4"/>
    <w:rsid w:val="47DDEE75"/>
    <w:rsid w:val="4858A9BD"/>
    <w:rsid w:val="49B0D08D"/>
    <w:rsid w:val="4A9B697A"/>
    <w:rsid w:val="4AB86F41"/>
    <w:rsid w:val="4B25BF0C"/>
    <w:rsid w:val="4B6399F0"/>
    <w:rsid w:val="4DC759FD"/>
    <w:rsid w:val="4DE8448B"/>
    <w:rsid w:val="4E3D92FD"/>
    <w:rsid w:val="50D06FED"/>
    <w:rsid w:val="5167A7CA"/>
    <w:rsid w:val="51858176"/>
    <w:rsid w:val="51A4F020"/>
    <w:rsid w:val="52BF22C0"/>
    <w:rsid w:val="53775DCB"/>
    <w:rsid w:val="53AECD9E"/>
    <w:rsid w:val="558CC5A0"/>
    <w:rsid w:val="56277CA2"/>
    <w:rsid w:val="573AC1FB"/>
    <w:rsid w:val="59405C85"/>
    <w:rsid w:val="5A5F3C2B"/>
    <w:rsid w:val="5ADC2CE6"/>
    <w:rsid w:val="5BB66BB1"/>
    <w:rsid w:val="5BC29325"/>
    <w:rsid w:val="5BE2DEC7"/>
    <w:rsid w:val="5C77B02C"/>
    <w:rsid w:val="5C9AB292"/>
    <w:rsid w:val="5E4C75F0"/>
    <w:rsid w:val="5E4C9A5B"/>
    <w:rsid w:val="6002AB7F"/>
    <w:rsid w:val="6010CC80"/>
    <w:rsid w:val="61B5A5E7"/>
    <w:rsid w:val="6279D87B"/>
    <w:rsid w:val="63F338C1"/>
    <w:rsid w:val="6444DFAF"/>
    <w:rsid w:val="645D0DD6"/>
    <w:rsid w:val="6551DB58"/>
    <w:rsid w:val="65943897"/>
    <w:rsid w:val="65A702EB"/>
    <w:rsid w:val="65DFD2A5"/>
    <w:rsid w:val="65E9D2E5"/>
    <w:rsid w:val="66070FEE"/>
    <w:rsid w:val="668F60E7"/>
    <w:rsid w:val="67A7E7A3"/>
    <w:rsid w:val="67DF3AF9"/>
    <w:rsid w:val="684EE510"/>
    <w:rsid w:val="68CCD5D3"/>
    <w:rsid w:val="6B5ECC4A"/>
    <w:rsid w:val="6CBDC2CC"/>
    <w:rsid w:val="6D1B4991"/>
    <w:rsid w:val="6DA97DB0"/>
    <w:rsid w:val="6DB65252"/>
    <w:rsid w:val="6E81DDE3"/>
    <w:rsid w:val="6F86DE72"/>
    <w:rsid w:val="700C4117"/>
    <w:rsid w:val="70622CEC"/>
    <w:rsid w:val="715E5209"/>
    <w:rsid w:val="71BE29BA"/>
    <w:rsid w:val="71E30A59"/>
    <w:rsid w:val="720FB56A"/>
    <w:rsid w:val="73B2F60B"/>
    <w:rsid w:val="740C01FC"/>
    <w:rsid w:val="76987877"/>
    <w:rsid w:val="77424371"/>
    <w:rsid w:val="77BCFB6C"/>
    <w:rsid w:val="78694CE0"/>
    <w:rsid w:val="7A91C5E6"/>
    <w:rsid w:val="7C24399A"/>
    <w:rsid w:val="7D0F0BDA"/>
    <w:rsid w:val="7D38885E"/>
    <w:rsid w:val="7D5128D7"/>
    <w:rsid w:val="7D6215D6"/>
    <w:rsid w:val="7D7C76F4"/>
    <w:rsid w:val="7DA57115"/>
    <w:rsid w:val="7DF0AAE8"/>
    <w:rsid w:val="7ED458BF"/>
    <w:rsid w:val="7EFA0357"/>
    <w:rsid w:val="7F20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B74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fca53ef22137471da61ffd303d6ad426" TargetMode="External"/><Relationship Id="rId18" Type="http://schemas.openxmlformats.org/officeDocument/2006/relationships/hyperlink" Target="mailto:raeann.ray@state.o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file-specifica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entcenterhub.org/placement-l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200" b="0" i="0" u="none" baseline="0"/>
              <a:t>Datos del indicador B5 de Oregon (edad escolar LRE)</a:t>
            </a:r>
          </a:p>
          <a:p>
            <a:pPr rtl="0">
              <a:defRPr/>
            </a:pPr>
            <a:r>
              <a:rPr lang="es-pr" sz="1200" b="0" i="0" u="none" baseline="0"/>
              <a:t>Dentro de la clase regular 80% o más del día (edades K5-21)</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'B5'!$G$10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'B5'!$G$11:$G$17</c:f>
              <c:numCache>
                <c:formatCode>0.00%</c:formatCode>
                <c:ptCount val="7"/>
                <c:pt idx="0">
                  <c:v>0.73150684931506849</c:v>
                </c:pt>
                <c:pt idx="1">
                  <c:v>0.73683936474876333</c:v>
                </c:pt>
                <c:pt idx="2">
                  <c:v>0.73767379816325485</c:v>
                </c:pt>
                <c:pt idx="3">
                  <c:v>0.73954886074023352</c:v>
                </c:pt>
                <c:pt idx="4">
                  <c:v>0.742155253866428</c:v>
                </c:pt>
                <c:pt idx="5">
                  <c:v>0.7459386062751564</c:v>
                </c:pt>
                <c:pt idx="6">
                  <c:v>0.75310220350454993</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6C51-4134-A808-8200DD706C42}"/>
            </c:ext>
          </c:extLst>
        </c:ser>
        <c:dLbls>
          <c:dLblPos val="t"/>
          <c:showLegendKey val="0"/>
          <c:showVal val="1"/>
          <c:showCatName val="0"/>
          <c:showSerName val="0"/>
          <c:showPercent val="0"/>
          <c:showBubbleSize val="0"/>
        </c:dLbls>
        <c:marker val="1"/>
        <c:smooth val="0"/>
        <c:axId val="610854992"/>
        <c:axId val="610855320"/>
      </c:lineChart>
      <c:catAx>
        <c:axId val="61085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610855320"/>
        <c:crosses val="autoZero"/>
        <c:auto val="1"/>
        <c:lblAlgn val="ctr"/>
        <c:lblOffset val="100"/>
        <c:noMultiLvlLbl val="0"/>
      </c:catAx>
      <c:valAx>
        <c:axId val="610855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61085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200" b="0" i="0" u="none" baseline="0"/>
              <a:t>Datos del indicador B5 de Oregon (edad escolar LRE)</a:t>
            </a:r>
          </a:p>
          <a:p>
            <a:pPr rtl="0">
              <a:defRPr/>
            </a:pPr>
            <a:r>
              <a:rPr lang="es-pr" sz="1200" b="0" i="0" u="none" baseline="0"/>
              <a:t>Dentro de la clase regular menos del 40% del día (edades K5-21)</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'B5'!$H$10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'B5'!$H$11:$H$17</c:f>
              <c:numCache>
                <c:formatCode>0.00%</c:formatCode>
                <c:ptCount val="7"/>
                <c:pt idx="0">
                  <c:v>0.10695468914646997</c:v>
                </c:pt>
                <c:pt idx="1">
                  <c:v>0.10170528508200989</c:v>
                </c:pt>
                <c:pt idx="2">
                  <c:v>9.969986147452671E-2</c:v>
                </c:pt>
                <c:pt idx="3">
                  <c:v>9.9002117488937072E-2</c:v>
                </c:pt>
                <c:pt idx="4">
                  <c:v>9.7332040379929388E-2</c:v>
                </c:pt>
                <c:pt idx="5">
                  <c:v>9.5630667765869745E-2</c:v>
                </c:pt>
                <c:pt idx="6">
                  <c:v>9.2690080469278791E-2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4E82-4250-AC19-7D0F65AF391B}"/>
            </c:ext>
          </c:extLst>
        </c:ser>
        <c:dLbls>
          <c:dLblPos val="t"/>
          <c:showLegendKey val="0"/>
          <c:showVal val="1"/>
          <c:showCatName val="0"/>
          <c:showSerName val="0"/>
          <c:showPercent val="0"/>
          <c:showBubbleSize val="0"/>
        </c:dLbls>
        <c:marker val="1"/>
        <c:smooth val="0"/>
        <c:axId val="534640640"/>
        <c:axId val="534641624"/>
      </c:lineChart>
      <c:catAx>
        <c:axId val="53464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34641624"/>
        <c:crosses val="autoZero"/>
        <c:auto val="1"/>
        <c:lblAlgn val="ctr"/>
        <c:lblOffset val="100"/>
        <c:noMultiLvlLbl val="0"/>
      </c:catAx>
      <c:valAx>
        <c:axId val="534641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3464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200" b="0" i="0" u="none" baseline="0"/>
              <a:t>Datos del indicador B5 de Oregon (edad escolar LRE)</a:t>
            </a:r>
          </a:p>
          <a:p>
            <a:pPr rtl="0">
              <a:defRPr/>
            </a:pPr>
            <a:r>
              <a:rPr lang="es-pr" sz="1200" b="0" i="0" u="none" baseline="0"/>
              <a:t>En escuelas separadas, instalaciones residenciales o </a:t>
            </a:r>
          </a:p>
          <a:p>
            <a:pPr rtl="0">
              <a:defRPr/>
            </a:pPr>
            <a:r>
              <a:rPr lang="es-pr" sz="1200" b="0" i="0" u="none" baseline="0"/>
              <a:t>Confinado en casa/hospital (edades K5-21)</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'B5'!$I$10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'B5'!$I$11:$I$17</c:f>
              <c:numCache>
                <c:formatCode>0.00%</c:formatCode>
                <c:ptCount val="7"/>
                <c:pt idx="0">
                  <c:v>1.375131717597471E-2</c:v>
                </c:pt>
                <c:pt idx="1">
                  <c:v>1.162457693309034E-2</c:v>
                </c:pt>
                <c:pt idx="2">
                  <c:v>1.1620748037555795E-2</c:v>
                </c:pt>
                <c:pt idx="3">
                  <c:v>1.3985570644249179E-2</c:v>
                </c:pt>
                <c:pt idx="4">
                  <c:v>1.6833258739867719E-2</c:v>
                </c:pt>
                <c:pt idx="5">
                  <c:v>1.7858008825954126E-2</c:v>
                </c:pt>
                <c:pt idx="6">
                  <c:v>1.5517284600536462E-2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1692-44B0-B722-46739E5092BA}"/>
            </c:ext>
          </c:extLst>
        </c:ser>
        <c:dLbls>
          <c:dLblPos val="t"/>
          <c:showLegendKey val="0"/>
          <c:showVal val="1"/>
          <c:showCatName val="0"/>
          <c:showSerName val="0"/>
          <c:showPercent val="0"/>
          <c:showBubbleSize val="0"/>
        </c:dLbls>
        <c:marker val="1"/>
        <c:smooth val="0"/>
        <c:axId val="324722896"/>
        <c:axId val="324722240"/>
      </c:lineChart>
      <c:catAx>
        <c:axId val="32472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324722240"/>
        <c:crosses val="autoZero"/>
        <c:auto val="1"/>
        <c:lblAlgn val="ctr"/>
        <c:lblOffset val="100"/>
        <c:noMultiLvlLbl val="0"/>
      </c:catAx>
      <c:valAx>
        <c:axId val="32472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32472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2021-12-17T00:31:56+00:00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BDB1798E-B74D-4EFA-AAA7-F7CF8B51617B}"/>
</file>

<file path=customXml/itemProps3.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schemas.microsoft.com/office/2006/documentManagement/types"/>
    <ds:schemaRef ds:uri="http://purl.org/dc/terms/"/>
    <ds:schemaRef ds:uri="http://schemas.openxmlformats.org/package/2006/metadata/core-properties"/>
    <ds:schemaRef ds:uri="7f305cf4-7e8c-42e6-816c-ef6b646f0adc"/>
    <ds:schemaRef ds:uri="http://www.w3.org/XML/1998/namespace"/>
  </ds:schemaRefs>
</ds:datastoreItem>
</file>

<file path=customXml/itemProps4.xml><?xml version="1.0" encoding="utf-8"?>
<ds:datastoreItem xmlns:ds="http://schemas.openxmlformats.org/officeDocument/2006/customXml" ds:itemID="{CE5D9D91-8CF3-420B-8A10-861DDDF6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cp:lastPrinted>2021-11-02T01:50:00Z</cp:lastPrinted>
  <dcterms:created xsi:type="dcterms:W3CDTF">2021-12-16T17:55:00Z</dcterms:created>
  <dcterms:modified xsi:type="dcterms:W3CDTF">2021-12-16T17:55:00Z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