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26187FF" w14:paraId="5531DE85" w14:textId="77777777" w:rsidTr="00E50925">
        <w:trPr>
          <w:tblHeader/>
        </w:trPr>
        <w:tc>
          <w:tcPr>
            <w:tcW w:w="2160" w:type="dxa"/>
            <w:vAlign w:val="center"/>
          </w:tcPr>
          <w:p w14:paraId="55A78B50" w14:textId="77777777" w:rsidR="226187FF" w:rsidRDefault="226187FF" w:rsidP="226187FF">
            <w:pPr>
              <w:jc w:val="center"/>
              <w:rPr>
                <w:rFonts w:eastAsia="Arial"/>
                <w:b/>
                <w:bCs/>
                <w:color w:val="082A75"/>
                <w:sz w:val="36"/>
                <w:szCs w:val="36"/>
              </w:rPr>
            </w:pPr>
            <w:r>
              <w:rPr>
                <w:noProof/>
                <w:color w:val="2B579A"/>
                <w:shd w:val="clear" w:color="auto" w:fill="E6E6E6"/>
              </w:rPr>
              <w:drawing>
                <wp:inline distT="0" distB="0" distL="0" distR="0" wp14:anchorId="35B6AA04" wp14:editId="6003BB36">
                  <wp:extent cx="1077554" cy="1145969"/>
                  <wp:effectExtent l="0" t="0" r="8890" b="0"/>
                  <wp:docPr id="160784795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224D2F8" w14:textId="77777777" w:rsidR="226187FF" w:rsidRPr="007E66CA" w:rsidRDefault="226187FF" w:rsidP="226187FF">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lang w:val="es-PR"/>
              </w:rPr>
              <w:t>Plan de desempeño estatal (SPP)</w:t>
            </w:r>
          </w:p>
          <w:p w14:paraId="4B342FD8" w14:textId="4B3797DB" w:rsidR="226187FF" w:rsidRPr="007E66CA" w:rsidRDefault="226187FF" w:rsidP="226187FF">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lang w:val="es-PR"/>
              </w:rPr>
              <w:t>Hoja de datos</w:t>
            </w:r>
          </w:p>
          <w:p w14:paraId="33BA0D48" w14:textId="74F745EB" w:rsidR="226187FF" w:rsidRDefault="226187FF" w:rsidP="226187FF">
            <w:pPr>
              <w:pStyle w:val="Title"/>
              <w:spacing w:after="200"/>
              <w:jc w:val="center"/>
              <w:rPr>
                <w:rFonts w:asciiTheme="minorHAnsi" w:eastAsia="Arial" w:hAnsiTheme="minorHAnsi" w:cstheme="minorBidi"/>
                <w:b/>
                <w:bCs/>
                <w:color w:val="082A75"/>
                <w:sz w:val="32"/>
                <w:szCs w:val="32"/>
              </w:rPr>
            </w:pPr>
            <w:r>
              <w:rPr>
                <w:rFonts w:asciiTheme="minorHAnsi" w:eastAsia="Arial" w:hAnsiTheme="minorHAnsi" w:cstheme="minorBidi"/>
                <w:b/>
                <w:bCs/>
                <w:color w:val="1B75BC"/>
                <w:sz w:val="32"/>
                <w:szCs w:val="32"/>
                <w:lang w:val="es-PR"/>
              </w:rPr>
              <w:t>Indicador B6: Ambientes preescolares</w:t>
            </w:r>
          </w:p>
        </w:tc>
      </w:tr>
      <w:tr w:rsidR="226187FF" w14:paraId="7A462BA3" w14:textId="77777777" w:rsidTr="226187FF">
        <w:trPr>
          <w:trHeight w:val="72"/>
        </w:trPr>
        <w:tc>
          <w:tcPr>
            <w:tcW w:w="2484" w:type="dxa"/>
            <w:gridSpan w:val="2"/>
            <w:shd w:val="clear" w:color="auto" w:fill="9F2065"/>
          </w:tcPr>
          <w:p w14:paraId="324A88BF" w14:textId="77777777" w:rsidR="226187FF" w:rsidRDefault="226187FF" w:rsidP="226187FF">
            <w:pPr>
              <w:rPr>
                <w:noProof/>
              </w:rPr>
            </w:pPr>
          </w:p>
        </w:tc>
        <w:tc>
          <w:tcPr>
            <w:tcW w:w="2484" w:type="dxa"/>
            <w:shd w:val="clear" w:color="auto" w:fill="E26B2A"/>
          </w:tcPr>
          <w:p w14:paraId="766BF308"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1B75BC"/>
          </w:tcPr>
          <w:p w14:paraId="64CE9337"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408740"/>
          </w:tcPr>
          <w:p w14:paraId="5A804B9A" w14:textId="46579079" w:rsidR="226187FF" w:rsidRDefault="226187FF" w:rsidP="226187FF">
            <w:pPr>
              <w:pStyle w:val="Title"/>
              <w:rPr>
                <w:rFonts w:asciiTheme="minorHAnsi" w:eastAsia="Arial" w:hAnsiTheme="minorHAnsi" w:cstheme="minorBidi"/>
                <w:b/>
                <w:bCs/>
                <w:color w:val="082974"/>
                <w:sz w:val="22"/>
                <w:szCs w:val="22"/>
              </w:rPr>
            </w:pPr>
          </w:p>
        </w:tc>
      </w:tr>
    </w:tbl>
    <w:p w14:paraId="21678DA0" w14:textId="0FE10594" w:rsidR="3B25DF22" w:rsidRDefault="3B25DF22" w:rsidP="226187FF">
      <w:pPr>
        <w:pStyle w:val="Heading1"/>
        <w:spacing w:before="0"/>
        <w:rPr>
          <w:rFonts w:ascii="Calibri" w:eastAsia="Calibri" w:hAnsi="Calibri" w:cs="Calibri"/>
        </w:rPr>
      </w:pPr>
      <w:r>
        <w:rPr>
          <w:rFonts w:ascii="Calibri" w:eastAsia="Calibri" w:hAnsi="Calibri" w:cs="Calibri"/>
          <w:b/>
          <w:bCs/>
          <w:lang w:val="es-PR"/>
        </w:rPr>
        <w:t>Plan de desempeño del estado de Oregon</w:t>
      </w:r>
    </w:p>
    <w:p w14:paraId="78E93DE2" w14:textId="7E29F8BA" w:rsidR="3B25DF22" w:rsidRDefault="3B25DF22" w:rsidP="6272B19D">
      <w:pPr>
        <w:spacing w:after="0"/>
        <w:rPr>
          <w:rFonts w:ascii="Calibri" w:eastAsia="Calibri" w:hAnsi="Calibri" w:cs="Calibri"/>
          <w:color w:val="000000" w:themeColor="text1"/>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el ODE establece los objetivos para los indicadores de resultados. El SPP debe incluir objetivos para cada indicador de resultados. El ODE informa sobre el progreso realizado hacia estos indicadores cada año en el Informe de desempeño anual (APR). Cada seis años, el ODE debe revisar los objetivos de resultados e involucrar a los socios clave en el desarrollo de nuevos objetivos. Por favor, consulte la página web del </w:t>
      </w:r>
      <w:hyperlink r:id="rId11">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2" w:history="1">
        <w:r>
          <w:rPr>
            <w:rStyle w:val="Hyperlink"/>
            <w:rFonts w:ascii="Calibri" w:eastAsia="Calibri" w:hAnsi="Calibri" w:cs="Calibri"/>
            <w:lang w:val="es-PR"/>
          </w:rPr>
          <w:t>esta encuesta</w:t>
        </w:r>
      </w:hyperlink>
      <w:r>
        <w:rPr>
          <w:rFonts w:ascii="Calibri" w:eastAsia="Calibri" w:hAnsi="Calibri" w:cs="Calibri"/>
          <w:color w:val="000000" w:themeColor="text1"/>
          <w:lang w:val="es-PR"/>
        </w:rPr>
        <w:t>.</w:t>
      </w:r>
    </w:p>
    <w:p w14:paraId="4B73E1C3" w14:textId="0BC52818" w:rsidR="000E4FA0" w:rsidRPr="00C06C4E" w:rsidRDefault="00CA3BE5" w:rsidP="008C4B4B">
      <w:pPr>
        <w:pStyle w:val="Heading1"/>
        <w:spacing w:before="120"/>
        <w:rPr>
          <w:rFonts w:asciiTheme="minorHAnsi" w:hAnsiTheme="minorHAnsi" w:cstheme="minorBidi"/>
          <w:b/>
          <w:bCs/>
        </w:rPr>
      </w:pPr>
      <w:r>
        <w:rPr>
          <w:rFonts w:asciiTheme="minorHAnsi" w:hAnsiTheme="minorHAnsi" w:cstheme="minorBidi"/>
          <w:b/>
          <w:bCs/>
          <w:lang w:val="es-PR"/>
        </w:rPr>
        <w:t>¿Qué mide este indicador y por qué es importante?</w:t>
      </w:r>
    </w:p>
    <w:p w14:paraId="1C92DF4F" w14:textId="432CC40E" w:rsidR="2C586C10" w:rsidRDefault="2C586C10" w:rsidP="440AB443">
      <w:pPr>
        <w:spacing w:after="0"/>
        <w:rPr>
          <w:rFonts w:eastAsiaTheme="minorEastAsia"/>
          <w:color w:val="000000" w:themeColor="text1"/>
        </w:rPr>
      </w:pPr>
      <w:r>
        <w:rPr>
          <w:lang w:val="es-PR"/>
        </w:rPr>
        <w:t xml:space="preserve">El indicador B6 </w:t>
      </w:r>
      <w:r>
        <w:rPr>
          <w:rFonts w:ascii="Calibri" w:hAnsi="Calibri"/>
          <w:color w:val="000000" w:themeColor="text1"/>
          <w:lang w:val="es-PR"/>
        </w:rPr>
        <w:t xml:space="preserve">aborda una Educación Pública Apropiada y Gratuita (FAPE) en el Ambiente Menos Restrictivo (LRE) </w:t>
      </w:r>
      <w:r>
        <w:rPr>
          <w:lang w:val="es-PR"/>
        </w:rPr>
        <w:t xml:space="preserve">midiendo </w:t>
      </w:r>
      <w:r>
        <w:rPr>
          <w:color w:val="000000" w:themeColor="text1"/>
          <w:lang w:val="es-PR"/>
        </w:rPr>
        <w:t>los ambientes preescolares: Porcentaje de niños de 3 a 5 años con programas de educación individualizada (IEP) que asisten a:</w:t>
      </w:r>
    </w:p>
    <w:p w14:paraId="5764F86C" w14:textId="31ECD420" w:rsidR="2C586C10" w:rsidRDefault="2BCC4040" w:rsidP="4D0E0F7D">
      <w:pPr>
        <w:pStyle w:val="ListParagraph"/>
        <w:numPr>
          <w:ilvl w:val="0"/>
          <w:numId w:val="5"/>
        </w:numPr>
        <w:rPr>
          <w:rFonts w:eastAsiaTheme="minorEastAsia"/>
          <w:color w:val="000000" w:themeColor="text1"/>
        </w:rPr>
      </w:pPr>
      <w:r>
        <w:rPr>
          <w:rFonts w:eastAsiaTheme="minorEastAsia"/>
          <w:color w:val="000000" w:themeColor="text1"/>
          <w:lang w:val="es-PR"/>
        </w:rPr>
        <w:t>A. Programa regular de infancia temprana y recibir la mayoría de educación especial y servicios relacionados en el programa regular de la infancia temprana.</w:t>
      </w:r>
    </w:p>
    <w:p w14:paraId="135E641E" w14:textId="095E4FF8" w:rsidR="2C586C10" w:rsidRDefault="5A28C5A5" w:rsidP="4D0E0F7D">
      <w:pPr>
        <w:pStyle w:val="ListParagraph"/>
        <w:numPr>
          <w:ilvl w:val="0"/>
          <w:numId w:val="5"/>
        </w:numPr>
        <w:rPr>
          <w:rFonts w:eastAsiaTheme="minorEastAsia"/>
          <w:color w:val="000000" w:themeColor="text1"/>
        </w:rPr>
      </w:pPr>
      <w:r>
        <w:rPr>
          <w:rFonts w:eastAsiaTheme="minorEastAsia"/>
          <w:color w:val="000000" w:themeColor="text1"/>
          <w:lang w:val="es-PR"/>
        </w:rPr>
        <w:t xml:space="preserve">B. Clase de educación especial separada, escuela separada o instalación residencial. </w:t>
      </w:r>
    </w:p>
    <w:p w14:paraId="66B5028C" w14:textId="2E08F26A" w:rsidR="2C586C10" w:rsidRDefault="29A74D69" w:rsidP="440AB443">
      <w:pPr>
        <w:pStyle w:val="ListParagraph"/>
        <w:numPr>
          <w:ilvl w:val="0"/>
          <w:numId w:val="5"/>
        </w:numPr>
        <w:spacing w:after="80"/>
        <w:rPr>
          <w:rFonts w:eastAsiaTheme="minorEastAsia"/>
          <w:color w:val="000000" w:themeColor="text1"/>
        </w:rPr>
      </w:pPr>
      <w:r>
        <w:rPr>
          <w:rFonts w:eastAsiaTheme="minorEastAsia"/>
          <w:lang w:val="es-PR"/>
        </w:rPr>
        <w:t>C. Recibir educación especial y servicios relacionados en el hogar.</w:t>
      </w:r>
      <w:r>
        <w:rPr>
          <w:rFonts w:eastAsiaTheme="minorEastAsia"/>
          <w:b/>
          <w:bCs/>
          <w:lang w:val="es-PR"/>
        </w:rPr>
        <w:t xml:space="preserve"> (Esta es una nueva área de establecimiento de objetivos y 2020 es el año de línea de base).</w:t>
      </w:r>
    </w:p>
    <w:p w14:paraId="701E8C94" w14:textId="26138DBA" w:rsidR="5D405C7A" w:rsidRDefault="5D405C7A" w:rsidP="440AB443">
      <w:pPr>
        <w:spacing w:after="80"/>
        <w:rPr>
          <w:rFonts w:eastAsiaTheme="minorEastAsia"/>
          <w:color w:val="000000" w:themeColor="text1"/>
        </w:rPr>
      </w:pPr>
      <w:r>
        <w:rPr>
          <w:color w:val="000000" w:themeColor="text1"/>
          <w:lang w:val="es-PR"/>
        </w:rPr>
        <w:t xml:space="preserve">Uno de los principios principales de IDEA es el derecho a </w:t>
      </w:r>
      <w:r>
        <w:rPr>
          <w:rFonts w:ascii="Calibri" w:hAnsi="Calibri"/>
          <w:color w:val="000000" w:themeColor="text1"/>
          <w:lang w:val="es-PR"/>
        </w:rPr>
        <w:t xml:space="preserve">una Educación Pública Apropiada y Gratuita (FAPE) en el Ambiente Menos Restrictivo (LRE). </w:t>
      </w:r>
      <w:r>
        <w:rPr>
          <w:color w:val="000000" w:themeColor="text1"/>
          <w:lang w:val="es-PR"/>
        </w:rPr>
        <w:t>Más de treinta años de investigación indican que cuando los niños con discapacidades son educados en el entorno menos restrictivo con compañeros de la misma edad, se obtienen mejores resultados de aprendizaje, comportamiento, sociales y de salud que duran toda la vida. Los programas, en asociación con los proveedores de Educación y Cuidado Temprano, pueden trabajar juntos para garantizar que la mayoría de los servicios y el apoyo se brinden en el programa regular de la primera infancia. Esto asegura que, desde una edad temprana, el niño y la familia establezcan relaciones y un profundo sentido de pertenencia a su comunidad.</w:t>
      </w:r>
    </w:p>
    <w:p w14:paraId="21AABC0C" w14:textId="1D2468F7" w:rsidR="6CBDC2CC" w:rsidRDefault="00356BE5" w:rsidP="440AB443">
      <w:pPr>
        <w:pStyle w:val="Heading1"/>
        <w:spacing w:before="0"/>
        <w:rPr>
          <w:rFonts w:asciiTheme="minorHAnsi" w:hAnsiTheme="minorHAnsi" w:cstheme="minorBidi"/>
          <w:b/>
          <w:bCs/>
        </w:rPr>
      </w:pPr>
      <w:r>
        <w:rPr>
          <w:rFonts w:asciiTheme="minorHAnsi" w:hAnsiTheme="minorHAnsi" w:cstheme="minorBidi"/>
          <w:b/>
          <w:bCs/>
          <w:lang w:val="es-PR"/>
        </w:rPr>
        <w:t>¿Cuál es la fuente de datos?</w:t>
      </w:r>
    </w:p>
    <w:p w14:paraId="54EFF341" w14:textId="60E3A0C5" w:rsidR="67687AE3" w:rsidRDefault="5E132CBB" w:rsidP="440AB443">
      <w:pPr>
        <w:spacing w:after="80"/>
        <w:rPr>
          <w:rFonts w:eastAsiaTheme="minorEastAsia"/>
          <w:color w:val="000000" w:themeColor="text1"/>
        </w:rPr>
      </w:pPr>
      <w:r>
        <w:rPr>
          <w:rFonts w:eastAsiaTheme="minorEastAsia"/>
          <w:color w:val="000000" w:themeColor="text1"/>
          <w:lang w:val="es-PR"/>
        </w:rPr>
        <w:t>Los mismos datos que se utilizan para informar al Departamento según la sección 618 de IDEA, utilizando las definiciones en la especificación del archivo EDFacts FS089.</w:t>
      </w:r>
    </w:p>
    <w:p w14:paraId="0E57F4FB" w14:textId="77777777" w:rsidR="00310CA0" w:rsidRDefault="00310CA0" w:rsidP="0085558C">
      <w:pPr>
        <w:pStyle w:val="Heading1"/>
        <w:spacing w:before="0" w:line="240" w:lineRule="auto"/>
        <w:rPr>
          <w:rFonts w:asciiTheme="minorHAnsi" w:hAnsiTheme="minorHAnsi" w:cstheme="minorBidi"/>
          <w:b/>
          <w:bCs/>
        </w:rPr>
      </w:pPr>
      <w:r>
        <w:rPr>
          <w:rFonts w:asciiTheme="minorHAnsi" w:hAnsiTheme="minorHAnsi" w:cstheme="minorBidi"/>
          <w:b/>
          <w:bCs/>
          <w:lang w:val="es-PR"/>
        </w:rPr>
        <w:t>¿Es necesario establecer o restablecer la línea de base para este indicador?</w:t>
      </w:r>
    </w:p>
    <w:p w14:paraId="5F5E07EA" w14:textId="77777777" w:rsidR="00310CA0" w:rsidRPr="00E56E85" w:rsidRDefault="00310CA0" w:rsidP="00310CA0">
      <w:pPr>
        <w:spacing w:after="80"/>
        <w:rPr>
          <w:color w:val="000000" w:themeColor="text1"/>
        </w:rPr>
      </w:pPr>
      <w:r>
        <w:rPr>
          <w:lang w:val="es-PR"/>
        </w:rPr>
        <w:t xml:space="preserve">Sí, dados los cambios en los que se ha incluido históricamente a los estudiantes en esta recopilación de datos (hasta 2019, los estudiantes de jardín de niños estaban incluidos en la recopilación de datos), se debe </w:t>
      </w:r>
      <w:r>
        <w:rPr>
          <w:lang w:val="es-PR"/>
        </w:rPr>
        <w:lastRenderedPageBreak/>
        <w:t xml:space="preserve">establecer una nueva línea de base para las áreas objetivo A y B. Esta nueva línea de base refleja la cantidad de estudiantes de preescolar niños de edad avanzada (3-5 años) que reciben servicios de educación especial para la primera infancia a través del continuo de opciones de colocación descritas anteriormente. </w:t>
      </w:r>
      <w:r>
        <w:rPr>
          <w:rFonts w:ascii="Calibri" w:hAnsi="Calibri"/>
          <w:color w:val="000000" w:themeColor="text1"/>
          <w:lang w:val="es-PR"/>
        </w:rPr>
        <w:t xml:space="preserve">Además, </w:t>
      </w:r>
      <w:r>
        <w:rPr>
          <w:lang w:val="es-PR"/>
        </w:rPr>
        <w:t xml:space="preserve">el área objetivo </w:t>
      </w:r>
      <w:r>
        <w:rPr>
          <w:b/>
          <w:bCs/>
          <w:lang w:val="es-PR"/>
        </w:rPr>
        <w:t>C</w:t>
      </w:r>
      <w:r>
        <w:rPr>
          <w:lang w:val="es-PR"/>
        </w:rPr>
        <w:t xml:space="preserve"> es nueva en 2020 y 2020 es el año de línea de base.</w:t>
      </w:r>
      <w:r>
        <w:rPr>
          <w:rFonts w:ascii="Calibri" w:hAnsi="Calibri"/>
          <w:color w:val="000000" w:themeColor="text1"/>
          <w:lang w:val="es-PR"/>
        </w:rPr>
        <w:t xml:space="preserve"> </w:t>
      </w:r>
    </w:p>
    <w:p w14:paraId="2ED74D39" w14:textId="2BC3AD20" w:rsidR="105B6A3F" w:rsidRDefault="105B6A3F">
      <w:r>
        <w:rPr>
          <w:lang w:val="es-PR"/>
        </w:rPr>
        <w:br w:type="page"/>
      </w:r>
    </w:p>
    <w:p w14:paraId="0A61ADA5" w14:textId="5172996B" w:rsidR="00C06C4E" w:rsidRPr="00C06C4E" w:rsidRDefault="47EB34E2" w:rsidP="440AB443">
      <w:pPr>
        <w:pStyle w:val="Heading1"/>
        <w:spacing w:before="0"/>
        <w:rPr>
          <w:rFonts w:asciiTheme="minorHAnsi" w:hAnsiTheme="minorHAnsi" w:cstheme="minorBidi"/>
          <w:b/>
          <w:bCs/>
        </w:rPr>
      </w:pPr>
      <w:r>
        <w:rPr>
          <w:rFonts w:asciiTheme="minorHAnsi" w:hAnsiTheme="minorHAnsi" w:cstheme="minorBidi"/>
          <w:b/>
          <w:bCs/>
          <w:lang w:val="es-PR"/>
        </w:rPr>
        <w:lastRenderedPageBreak/>
        <w:t>¿Cómo se ha desempeñado Oregon a lo largo del tiempo?</w:t>
      </w:r>
    </w:p>
    <w:p w14:paraId="4DEA1827" w14:textId="14216111" w:rsidR="717A2B49" w:rsidRDefault="717A2B49" w:rsidP="105B6A3F">
      <w:pPr>
        <w:pStyle w:val="ListParagraph"/>
        <w:numPr>
          <w:ilvl w:val="0"/>
          <w:numId w:val="1"/>
        </w:numPr>
        <w:spacing w:after="0"/>
        <w:rPr>
          <w:rFonts w:eastAsiaTheme="minorEastAsia"/>
          <w:color w:val="000000" w:themeColor="text1"/>
        </w:rPr>
      </w:pPr>
      <w:r>
        <w:rPr>
          <w:rFonts w:eastAsiaTheme="minorEastAsia"/>
          <w:color w:val="000000" w:themeColor="text1"/>
          <w:lang w:val="es-PR"/>
        </w:rPr>
        <w:t>Programa regular para la infancia temprana y recibir la mayoría de educación especial y servicios relacionados en el programa regular para la infancia temprana.</w:t>
      </w:r>
    </w:p>
    <w:p w14:paraId="4CABC3F1" w14:textId="19A44DB2" w:rsidR="57AE5FD7" w:rsidRDefault="57AE5FD7" w:rsidP="105B6A3F">
      <w:pPr>
        <w:jc w:val="center"/>
      </w:pPr>
      <w:r>
        <w:rPr>
          <w:noProof/>
          <w:color w:val="2B579A"/>
          <w:shd w:val="clear" w:color="auto" w:fill="E6E6E6"/>
        </w:rPr>
        <w:drawing>
          <wp:inline distT="0" distB="0" distL="0" distR="0" wp14:anchorId="2131EBD8" wp14:editId="4C0DFDBD">
            <wp:extent cx="4697621" cy="3004520"/>
            <wp:effectExtent l="0" t="0" r="0" b="0"/>
            <wp:docPr id="126238950" name="Picture 126238950" descr="Gráfico que muestra el desempeño de Oregon en el indicador B6 A de 2014 a 2019." title="Indicador B6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97621" cy="3004520"/>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or B6 Data table"/>
      </w:tblPr>
      <w:tblGrid>
        <w:gridCol w:w="1245"/>
        <w:gridCol w:w="1439"/>
        <w:gridCol w:w="1259"/>
        <w:gridCol w:w="1140"/>
        <w:gridCol w:w="1215"/>
        <w:gridCol w:w="1229"/>
        <w:gridCol w:w="1140"/>
        <w:gridCol w:w="1259"/>
      </w:tblGrid>
      <w:tr w:rsidR="105B6A3F" w14:paraId="51AAE5B4" w14:textId="77777777" w:rsidTr="00E50925">
        <w:trPr>
          <w:trHeight w:val="300"/>
          <w:tblHeader/>
          <w:jc w:val="center"/>
        </w:trPr>
        <w:tc>
          <w:tcPr>
            <w:tcW w:w="1245" w:type="dxa"/>
            <w:shd w:val="clear" w:color="auto" w:fill="FFD966" w:themeFill="accent4" w:themeFillTint="99"/>
          </w:tcPr>
          <w:p w14:paraId="192B5EC0" w14:textId="1E8C7C9C" w:rsidR="105B6A3F" w:rsidRDefault="105B6A3F" w:rsidP="105B6A3F">
            <w:pPr>
              <w:spacing w:line="259" w:lineRule="auto"/>
              <w:jc w:val="center"/>
              <w:rPr>
                <w:rFonts w:ascii="Calibri" w:eastAsia="Calibri" w:hAnsi="Calibri" w:cs="Calibri"/>
              </w:rPr>
            </w:pPr>
            <w:r>
              <w:rPr>
                <w:rFonts w:ascii="Calibri" w:eastAsia="Calibri" w:hAnsi="Calibri" w:cs="Calibri"/>
                <w:b/>
                <w:bCs/>
                <w:lang w:val="es-PR"/>
              </w:rPr>
              <w:t>Años fiscales</w:t>
            </w:r>
          </w:p>
        </w:tc>
        <w:tc>
          <w:tcPr>
            <w:tcW w:w="1440" w:type="dxa"/>
            <w:shd w:val="clear" w:color="auto" w:fill="FFD966" w:themeFill="accent4" w:themeFillTint="99"/>
          </w:tcPr>
          <w:p w14:paraId="389FCDF1" w14:textId="3CA85135" w:rsidR="0D66CEB0" w:rsidRDefault="0D66CEB0" w:rsidP="105B6A3F">
            <w:pPr>
              <w:spacing w:line="259" w:lineRule="auto"/>
              <w:jc w:val="center"/>
              <w:rPr>
                <w:rFonts w:ascii="Calibri" w:eastAsia="Calibri" w:hAnsi="Calibri" w:cs="Calibri"/>
                <w:b/>
                <w:bCs/>
              </w:rPr>
            </w:pPr>
            <w:r>
              <w:rPr>
                <w:rFonts w:ascii="Calibri" w:eastAsia="Calibri" w:hAnsi="Calibri" w:cs="Calibri"/>
                <w:b/>
                <w:bCs/>
                <w:lang w:val="es-PR"/>
              </w:rPr>
              <w:t>2011</w:t>
            </w:r>
          </w:p>
        </w:tc>
        <w:tc>
          <w:tcPr>
            <w:tcW w:w="1260" w:type="dxa"/>
            <w:shd w:val="clear" w:color="auto" w:fill="FFD966" w:themeFill="accent4" w:themeFillTint="99"/>
          </w:tcPr>
          <w:p w14:paraId="59D77794" w14:textId="7194A6AA" w:rsidR="105B6A3F" w:rsidRDefault="105B6A3F" w:rsidP="105B6A3F">
            <w:pPr>
              <w:jc w:val="center"/>
              <w:rPr>
                <w:b/>
                <w:bCs/>
              </w:rPr>
            </w:pPr>
            <w:r>
              <w:rPr>
                <w:b/>
                <w:bCs/>
                <w:lang w:val="es-PR"/>
              </w:rPr>
              <w:t>2014</w:t>
            </w:r>
          </w:p>
        </w:tc>
        <w:tc>
          <w:tcPr>
            <w:tcW w:w="1140" w:type="dxa"/>
            <w:shd w:val="clear" w:color="auto" w:fill="FFD966" w:themeFill="accent4" w:themeFillTint="99"/>
          </w:tcPr>
          <w:p w14:paraId="7A9B48FC" w14:textId="660CFA01" w:rsidR="105B6A3F" w:rsidRDefault="105B6A3F" w:rsidP="105B6A3F">
            <w:pPr>
              <w:jc w:val="center"/>
              <w:rPr>
                <w:b/>
                <w:bCs/>
              </w:rPr>
            </w:pPr>
            <w:r>
              <w:rPr>
                <w:b/>
                <w:bCs/>
                <w:lang w:val="es-PR"/>
              </w:rPr>
              <w:t>2015</w:t>
            </w:r>
          </w:p>
        </w:tc>
        <w:tc>
          <w:tcPr>
            <w:tcW w:w="1215" w:type="dxa"/>
            <w:shd w:val="clear" w:color="auto" w:fill="FFD966" w:themeFill="accent4" w:themeFillTint="99"/>
          </w:tcPr>
          <w:p w14:paraId="3B50E969" w14:textId="6B7184C8" w:rsidR="105B6A3F" w:rsidRDefault="105B6A3F" w:rsidP="105B6A3F">
            <w:pPr>
              <w:jc w:val="center"/>
              <w:rPr>
                <w:b/>
                <w:bCs/>
              </w:rPr>
            </w:pPr>
            <w:r>
              <w:rPr>
                <w:b/>
                <w:bCs/>
                <w:lang w:val="es-PR"/>
              </w:rPr>
              <w:t>2016</w:t>
            </w:r>
          </w:p>
        </w:tc>
        <w:tc>
          <w:tcPr>
            <w:tcW w:w="1230" w:type="dxa"/>
            <w:shd w:val="clear" w:color="auto" w:fill="FFD966" w:themeFill="accent4" w:themeFillTint="99"/>
          </w:tcPr>
          <w:p w14:paraId="3A8751AE" w14:textId="0480FBE8" w:rsidR="105B6A3F" w:rsidRDefault="105B6A3F" w:rsidP="105B6A3F">
            <w:pPr>
              <w:jc w:val="center"/>
              <w:rPr>
                <w:b/>
                <w:bCs/>
              </w:rPr>
            </w:pPr>
            <w:r>
              <w:rPr>
                <w:b/>
                <w:bCs/>
                <w:lang w:val="es-PR"/>
              </w:rPr>
              <w:t>2017</w:t>
            </w:r>
          </w:p>
        </w:tc>
        <w:tc>
          <w:tcPr>
            <w:tcW w:w="1140" w:type="dxa"/>
            <w:shd w:val="clear" w:color="auto" w:fill="FFD966" w:themeFill="accent4" w:themeFillTint="99"/>
          </w:tcPr>
          <w:p w14:paraId="31DAC9AE" w14:textId="44980E38" w:rsidR="105B6A3F" w:rsidRDefault="105B6A3F" w:rsidP="105B6A3F">
            <w:pPr>
              <w:jc w:val="center"/>
              <w:rPr>
                <w:b/>
                <w:bCs/>
              </w:rPr>
            </w:pPr>
            <w:r>
              <w:rPr>
                <w:b/>
                <w:bCs/>
                <w:lang w:val="es-PR"/>
              </w:rPr>
              <w:t>2018</w:t>
            </w:r>
          </w:p>
        </w:tc>
        <w:tc>
          <w:tcPr>
            <w:tcW w:w="1260" w:type="dxa"/>
            <w:shd w:val="clear" w:color="auto" w:fill="FFD966" w:themeFill="accent4" w:themeFillTint="99"/>
          </w:tcPr>
          <w:p w14:paraId="0E71ADB1" w14:textId="3D0F1A82" w:rsidR="105B6A3F" w:rsidRDefault="105B6A3F" w:rsidP="105B6A3F">
            <w:pPr>
              <w:jc w:val="center"/>
              <w:rPr>
                <w:b/>
                <w:bCs/>
              </w:rPr>
            </w:pPr>
            <w:r>
              <w:rPr>
                <w:b/>
                <w:bCs/>
                <w:lang w:val="es-PR"/>
              </w:rPr>
              <w:t>2019</w:t>
            </w:r>
          </w:p>
        </w:tc>
      </w:tr>
      <w:tr w:rsidR="105B6A3F" w14:paraId="170B05A3" w14:textId="77777777" w:rsidTr="105B6A3F">
        <w:trPr>
          <w:trHeight w:val="300"/>
          <w:jc w:val="center"/>
        </w:trPr>
        <w:tc>
          <w:tcPr>
            <w:tcW w:w="1245" w:type="dxa"/>
          </w:tcPr>
          <w:p w14:paraId="317DD9DE" w14:textId="0FD05FFD" w:rsidR="105B6A3F" w:rsidRDefault="105B6A3F" w:rsidP="105B6A3F">
            <w:pPr>
              <w:spacing w:line="259" w:lineRule="auto"/>
              <w:rPr>
                <w:rFonts w:ascii="Calibri" w:eastAsia="Calibri" w:hAnsi="Calibri" w:cs="Calibri"/>
              </w:rPr>
            </w:pPr>
            <w:r>
              <w:rPr>
                <w:rFonts w:ascii="Calibri" w:eastAsia="Calibri" w:hAnsi="Calibri" w:cs="Calibri"/>
                <w:lang w:val="es-PR"/>
              </w:rPr>
              <w:t>Objetivos ≥</w:t>
            </w:r>
          </w:p>
        </w:tc>
        <w:tc>
          <w:tcPr>
            <w:tcW w:w="1440" w:type="dxa"/>
          </w:tcPr>
          <w:p w14:paraId="783567D4" w14:textId="35582C7F" w:rsidR="29E79F05" w:rsidRDefault="29E79F05" w:rsidP="105B6A3F">
            <w:pPr>
              <w:spacing w:line="259" w:lineRule="auto"/>
              <w:jc w:val="center"/>
              <w:rPr>
                <w:rFonts w:ascii="Calibri" w:eastAsia="Calibri" w:hAnsi="Calibri" w:cs="Calibri"/>
                <w:i/>
                <w:iCs/>
              </w:rPr>
            </w:pPr>
            <w:r>
              <w:rPr>
                <w:rFonts w:ascii="Calibri" w:eastAsia="Calibri" w:hAnsi="Calibri" w:cs="Calibri"/>
                <w:i/>
                <w:iCs/>
                <w:lang w:val="es-PR"/>
              </w:rPr>
              <w:t>Línea de base</w:t>
            </w:r>
          </w:p>
        </w:tc>
        <w:tc>
          <w:tcPr>
            <w:tcW w:w="1260" w:type="dxa"/>
          </w:tcPr>
          <w:p w14:paraId="4FFDD61B" w14:textId="7BDC8723" w:rsidR="105B6A3F" w:rsidRDefault="105B6A3F" w:rsidP="105B6A3F">
            <w:pPr>
              <w:jc w:val="center"/>
            </w:pPr>
            <w:r>
              <w:rPr>
                <w:lang w:val="es-PR"/>
              </w:rPr>
              <w:t>35.00%</w:t>
            </w:r>
          </w:p>
        </w:tc>
        <w:tc>
          <w:tcPr>
            <w:tcW w:w="1140" w:type="dxa"/>
          </w:tcPr>
          <w:p w14:paraId="71EB6966" w14:textId="6E455C7A" w:rsidR="105B6A3F" w:rsidRDefault="105B6A3F" w:rsidP="105B6A3F">
            <w:pPr>
              <w:jc w:val="center"/>
            </w:pPr>
            <w:r>
              <w:rPr>
                <w:lang w:val="es-PR"/>
              </w:rPr>
              <w:t>35.50%</w:t>
            </w:r>
          </w:p>
        </w:tc>
        <w:tc>
          <w:tcPr>
            <w:tcW w:w="1215" w:type="dxa"/>
          </w:tcPr>
          <w:p w14:paraId="4ADDF17A" w14:textId="783DDE49" w:rsidR="105B6A3F" w:rsidRDefault="105B6A3F" w:rsidP="105B6A3F">
            <w:pPr>
              <w:jc w:val="center"/>
            </w:pPr>
            <w:r>
              <w:rPr>
                <w:lang w:val="es-PR"/>
              </w:rPr>
              <w:t>35.50%</w:t>
            </w:r>
          </w:p>
        </w:tc>
        <w:tc>
          <w:tcPr>
            <w:tcW w:w="1230" w:type="dxa"/>
          </w:tcPr>
          <w:p w14:paraId="1E3524D1" w14:textId="7AF5AF9A" w:rsidR="105B6A3F" w:rsidRDefault="105B6A3F" w:rsidP="105B6A3F">
            <w:pPr>
              <w:jc w:val="center"/>
            </w:pPr>
            <w:r>
              <w:rPr>
                <w:lang w:val="es-PR"/>
              </w:rPr>
              <w:t>36.00%</w:t>
            </w:r>
          </w:p>
        </w:tc>
        <w:tc>
          <w:tcPr>
            <w:tcW w:w="1140" w:type="dxa"/>
          </w:tcPr>
          <w:p w14:paraId="27172C8D" w14:textId="36AA96D3" w:rsidR="105B6A3F" w:rsidRDefault="105B6A3F" w:rsidP="105B6A3F">
            <w:pPr>
              <w:jc w:val="center"/>
            </w:pPr>
            <w:r>
              <w:rPr>
                <w:lang w:val="es-PR"/>
              </w:rPr>
              <w:t>36.00%</w:t>
            </w:r>
          </w:p>
        </w:tc>
        <w:tc>
          <w:tcPr>
            <w:tcW w:w="1260" w:type="dxa"/>
          </w:tcPr>
          <w:p w14:paraId="198DE43A" w14:textId="63A099B1" w:rsidR="105B6A3F" w:rsidRDefault="105B6A3F" w:rsidP="105B6A3F">
            <w:pPr>
              <w:jc w:val="center"/>
            </w:pPr>
            <w:r>
              <w:rPr>
                <w:lang w:val="es-PR"/>
              </w:rPr>
              <w:t>36.00%</w:t>
            </w:r>
          </w:p>
        </w:tc>
      </w:tr>
      <w:tr w:rsidR="105B6A3F" w14:paraId="3539D9EF" w14:textId="77777777" w:rsidTr="105B6A3F">
        <w:trPr>
          <w:trHeight w:val="300"/>
          <w:jc w:val="center"/>
        </w:trPr>
        <w:tc>
          <w:tcPr>
            <w:tcW w:w="1245" w:type="dxa"/>
          </w:tcPr>
          <w:p w14:paraId="3829584D" w14:textId="15B2E0A4" w:rsidR="51AC50F4" w:rsidRDefault="51AC50F4" w:rsidP="105B6A3F">
            <w:pPr>
              <w:spacing w:line="259" w:lineRule="auto"/>
              <w:rPr>
                <w:rFonts w:ascii="Calibri" w:eastAsia="Calibri" w:hAnsi="Calibri" w:cs="Calibri"/>
              </w:rPr>
            </w:pPr>
            <w:r>
              <w:rPr>
                <w:rFonts w:ascii="Calibri" w:eastAsia="Calibri" w:hAnsi="Calibri" w:cs="Calibri"/>
                <w:lang w:val="es-PR"/>
              </w:rPr>
              <w:t>Datos</w:t>
            </w:r>
          </w:p>
        </w:tc>
        <w:tc>
          <w:tcPr>
            <w:tcW w:w="1440" w:type="dxa"/>
          </w:tcPr>
          <w:p w14:paraId="1FB44D3F" w14:textId="4A99B48E" w:rsidR="39F2FD07" w:rsidRDefault="39F2FD07" w:rsidP="105B6A3F">
            <w:pPr>
              <w:jc w:val="center"/>
              <w:rPr>
                <w:b/>
                <w:bCs/>
                <w:color w:val="FF0000"/>
              </w:rPr>
            </w:pPr>
            <w:r>
              <w:rPr>
                <w:b/>
                <w:bCs/>
                <w:color w:val="FF0000"/>
                <w:lang w:val="es-PR"/>
              </w:rPr>
              <w:t>32.70%</w:t>
            </w:r>
          </w:p>
        </w:tc>
        <w:tc>
          <w:tcPr>
            <w:tcW w:w="1260" w:type="dxa"/>
          </w:tcPr>
          <w:p w14:paraId="6619D1FD" w14:textId="691ADFA9" w:rsidR="105B6A3F" w:rsidRDefault="105B6A3F" w:rsidP="105B6A3F">
            <w:pPr>
              <w:jc w:val="center"/>
            </w:pPr>
            <w:r>
              <w:rPr>
                <w:lang w:val="es-PR"/>
              </w:rPr>
              <w:t>37.00%</w:t>
            </w:r>
          </w:p>
        </w:tc>
        <w:tc>
          <w:tcPr>
            <w:tcW w:w="1140" w:type="dxa"/>
          </w:tcPr>
          <w:p w14:paraId="3E274CE9" w14:textId="71BCDF81" w:rsidR="105B6A3F" w:rsidRDefault="105B6A3F" w:rsidP="105B6A3F">
            <w:pPr>
              <w:jc w:val="center"/>
            </w:pPr>
            <w:r>
              <w:rPr>
                <w:lang w:val="es-PR"/>
              </w:rPr>
              <w:t>39.91%</w:t>
            </w:r>
          </w:p>
        </w:tc>
        <w:tc>
          <w:tcPr>
            <w:tcW w:w="1215" w:type="dxa"/>
          </w:tcPr>
          <w:p w14:paraId="47A883A9" w14:textId="685BAB6F" w:rsidR="105B6A3F" w:rsidRDefault="105B6A3F" w:rsidP="105B6A3F">
            <w:pPr>
              <w:jc w:val="center"/>
            </w:pPr>
            <w:r>
              <w:rPr>
                <w:lang w:val="es-PR"/>
              </w:rPr>
              <w:t>45.25%</w:t>
            </w:r>
          </w:p>
        </w:tc>
        <w:tc>
          <w:tcPr>
            <w:tcW w:w="1230" w:type="dxa"/>
          </w:tcPr>
          <w:p w14:paraId="5D7C18C8" w14:textId="53684A3B" w:rsidR="105B6A3F" w:rsidRDefault="105B6A3F" w:rsidP="105B6A3F">
            <w:pPr>
              <w:jc w:val="center"/>
            </w:pPr>
            <w:r>
              <w:rPr>
                <w:lang w:val="es-PR"/>
              </w:rPr>
              <w:t>45.05%</w:t>
            </w:r>
          </w:p>
        </w:tc>
        <w:tc>
          <w:tcPr>
            <w:tcW w:w="1140" w:type="dxa"/>
          </w:tcPr>
          <w:p w14:paraId="21A609E7" w14:textId="7FC7EC7E" w:rsidR="105B6A3F" w:rsidRDefault="105B6A3F" w:rsidP="105B6A3F">
            <w:pPr>
              <w:jc w:val="center"/>
            </w:pPr>
            <w:r>
              <w:rPr>
                <w:lang w:val="es-PR"/>
              </w:rPr>
              <w:t>44.57%</w:t>
            </w:r>
          </w:p>
        </w:tc>
        <w:tc>
          <w:tcPr>
            <w:tcW w:w="1260" w:type="dxa"/>
          </w:tcPr>
          <w:p w14:paraId="4F5DCE9A" w14:textId="14FA4A6C" w:rsidR="105B6A3F" w:rsidRDefault="105B6A3F" w:rsidP="105B6A3F">
            <w:pPr>
              <w:jc w:val="center"/>
            </w:pPr>
            <w:r>
              <w:rPr>
                <w:lang w:val="es-PR"/>
              </w:rPr>
              <w:t>48.16%</w:t>
            </w:r>
          </w:p>
        </w:tc>
      </w:tr>
    </w:tbl>
    <w:p w14:paraId="496C805C" w14:textId="6D1E4007" w:rsidR="48CEF0CD" w:rsidRDefault="48CEF0CD" w:rsidP="105B6A3F">
      <w:pPr>
        <w:pStyle w:val="ListParagraph"/>
        <w:numPr>
          <w:ilvl w:val="0"/>
          <w:numId w:val="1"/>
        </w:numPr>
        <w:spacing w:before="240" w:after="0"/>
        <w:rPr>
          <w:rFonts w:eastAsiaTheme="minorEastAsia"/>
        </w:rPr>
      </w:pPr>
      <w:r>
        <w:rPr>
          <w:rFonts w:eastAsiaTheme="minorEastAsia"/>
          <w:color w:val="000000" w:themeColor="text1"/>
          <w:lang w:val="es-PR"/>
        </w:rPr>
        <w:t>Porcentaje que asiste a una clase de educación especial, una escuela separada o una instalación residencial.</w:t>
      </w:r>
    </w:p>
    <w:p w14:paraId="7126B8D4" w14:textId="7AB91EF9" w:rsidR="183F3469" w:rsidRDefault="183F3469" w:rsidP="105B6A3F">
      <w:pPr>
        <w:spacing w:after="0"/>
        <w:jc w:val="center"/>
      </w:pPr>
      <w:r>
        <w:rPr>
          <w:noProof/>
          <w:color w:val="2B579A"/>
          <w:shd w:val="clear" w:color="auto" w:fill="E6E6E6"/>
        </w:rPr>
        <w:drawing>
          <wp:inline distT="0" distB="0" distL="0" distR="0" wp14:anchorId="65094C98" wp14:editId="0FF1482C">
            <wp:extent cx="4703650" cy="3008376"/>
            <wp:effectExtent l="0" t="0" r="1905" b="1905"/>
            <wp:docPr id="352252036" name="Picture 352252036" title="Oregon's Indicator B6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703650" cy="3008376"/>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or B6 Data table"/>
      </w:tblPr>
      <w:tblGrid>
        <w:gridCol w:w="1245"/>
        <w:gridCol w:w="1439"/>
        <w:gridCol w:w="1259"/>
        <w:gridCol w:w="1140"/>
        <w:gridCol w:w="1215"/>
        <w:gridCol w:w="1229"/>
        <w:gridCol w:w="1140"/>
        <w:gridCol w:w="1259"/>
      </w:tblGrid>
      <w:tr w:rsidR="105B6A3F" w14:paraId="32877098" w14:textId="77777777" w:rsidTr="00E50925">
        <w:trPr>
          <w:trHeight w:val="300"/>
          <w:tblHeader/>
          <w:jc w:val="center"/>
        </w:trPr>
        <w:tc>
          <w:tcPr>
            <w:tcW w:w="1245" w:type="dxa"/>
            <w:shd w:val="clear" w:color="auto" w:fill="9CC2E5" w:themeFill="accent5" w:themeFillTint="99"/>
          </w:tcPr>
          <w:p w14:paraId="3BDFEB4E" w14:textId="1E8C7C9C" w:rsidR="105B6A3F" w:rsidRDefault="105B6A3F" w:rsidP="105B6A3F">
            <w:pPr>
              <w:spacing w:line="259" w:lineRule="auto"/>
              <w:jc w:val="center"/>
              <w:rPr>
                <w:rFonts w:ascii="Calibri" w:eastAsia="Calibri" w:hAnsi="Calibri" w:cs="Calibri"/>
              </w:rPr>
            </w:pPr>
            <w:r>
              <w:rPr>
                <w:rFonts w:ascii="Calibri" w:eastAsia="Calibri" w:hAnsi="Calibri" w:cs="Calibri"/>
                <w:b/>
                <w:bCs/>
                <w:lang w:val="es-PR"/>
              </w:rPr>
              <w:lastRenderedPageBreak/>
              <w:t>Años fiscales</w:t>
            </w:r>
          </w:p>
        </w:tc>
        <w:tc>
          <w:tcPr>
            <w:tcW w:w="1440" w:type="dxa"/>
            <w:shd w:val="clear" w:color="auto" w:fill="9CC2E5" w:themeFill="accent5" w:themeFillTint="99"/>
          </w:tcPr>
          <w:p w14:paraId="5E4B1BB7" w14:textId="3CA85135" w:rsidR="105B6A3F" w:rsidRDefault="105B6A3F" w:rsidP="105B6A3F">
            <w:pPr>
              <w:spacing w:line="259" w:lineRule="auto"/>
              <w:jc w:val="center"/>
              <w:rPr>
                <w:rFonts w:ascii="Calibri" w:eastAsia="Calibri" w:hAnsi="Calibri" w:cs="Calibri"/>
                <w:b/>
                <w:bCs/>
              </w:rPr>
            </w:pPr>
            <w:r>
              <w:rPr>
                <w:rFonts w:ascii="Calibri" w:eastAsia="Calibri" w:hAnsi="Calibri" w:cs="Calibri"/>
                <w:b/>
                <w:bCs/>
                <w:lang w:val="es-PR"/>
              </w:rPr>
              <w:t>2011</w:t>
            </w:r>
          </w:p>
        </w:tc>
        <w:tc>
          <w:tcPr>
            <w:tcW w:w="1260" w:type="dxa"/>
            <w:shd w:val="clear" w:color="auto" w:fill="9CC2E5" w:themeFill="accent5" w:themeFillTint="99"/>
          </w:tcPr>
          <w:p w14:paraId="6529AE7D" w14:textId="7194A6AA" w:rsidR="105B6A3F" w:rsidRDefault="105B6A3F" w:rsidP="105B6A3F">
            <w:pPr>
              <w:jc w:val="center"/>
              <w:rPr>
                <w:b/>
                <w:bCs/>
              </w:rPr>
            </w:pPr>
            <w:r>
              <w:rPr>
                <w:b/>
                <w:bCs/>
                <w:lang w:val="es-PR"/>
              </w:rPr>
              <w:t>2014</w:t>
            </w:r>
          </w:p>
        </w:tc>
        <w:tc>
          <w:tcPr>
            <w:tcW w:w="1140" w:type="dxa"/>
            <w:shd w:val="clear" w:color="auto" w:fill="9CC2E5" w:themeFill="accent5" w:themeFillTint="99"/>
          </w:tcPr>
          <w:p w14:paraId="223D32A4" w14:textId="660CFA01" w:rsidR="105B6A3F" w:rsidRDefault="105B6A3F" w:rsidP="105B6A3F">
            <w:pPr>
              <w:jc w:val="center"/>
              <w:rPr>
                <w:b/>
                <w:bCs/>
              </w:rPr>
            </w:pPr>
            <w:r>
              <w:rPr>
                <w:b/>
                <w:bCs/>
                <w:lang w:val="es-PR"/>
              </w:rPr>
              <w:t>2015</w:t>
            </w:r>
          </w:p>
        </w:tc>
        <w:tc>
          <w:tcPr>
            <w:tcW w:w="1215" w:type="dxa"/>
            <w:shd w:val="clear" w:color="auto" w:fill="9CC2E5" w:themeFill="accent5" w:themeFillTint="99"/>
          </w:tcPr>
          <w:p w14:paraId="75D68033" w14:textId="6B7184C8" w:rsidR="105B6A3F" w:rsidRDefault="105B6A3F" w:rsidP="105B6A3F">
            <w:pPr>
              <w:jc w:val="center"/>
              <w:rPr>
                <w:b/>
                <w:bCs/>
              </w:rPr>
            </w:pPr>
            <w:r>
              <w:rPr>
                <w:b/>
                <w:bCs/>
                <w:lang w:val="es-PR"/>
              </w:rPr>
              <w:t>2016</w:t>
            </w:r>
          </w:p>
        </w:tc>
        <w:tc>
          <w:tcPr>
            <w:tcW w:w="1230" w:type="dxa"/>
            <w:shd w:val="clear" w:color="auto" w:fill="9CC2E5" w:themeFill="accent5" w:themeFillTint="99"/>
          </w:tcPr>
          <w:p w14:paraId="24EBA6FF" w14:textId="0480FBE8" w:rsidR="105B6A3F" w:rsidRDefault="105B6A3F" w:rsidP="105B6A3F">
            <w:pPr>
              <w:jc w:val="center"/>
              <w:rPr>
                <w:b/>
                <w:bCs/>
              </w:rPr>
            </w:pPr>
            <w:r>
              <w:rPr>
                <w:b/>
                <w:bCs/>
                <w:lang w:val="es-PR"/>
              </w:rPr>
              <w:t>2017</w:t>
            </w:r>
          </w:p>
        </w:tc>
        <w:tc>
          <w:tcPr>
            <w:tcW w:w="1140" w:type="dxa"/>
            <w:shd w:val="clear" w:color="auto" w:fill="9CC2E5" w:themeFill="accent5" w:themeFillTint="99"/>
          </w:tcPr>
          <w:p w14:paraId="04578C93" w14:textId="44980E38" w:rsidR="105B6A3F" w:rsidRDefault="105B6A3F" w:rsidP="105B6A3F">
            <w:pPr>
              <w:jc w:val="center"/>
              <w:rPr>
                <w:b/>
                <w:bCs/>
              </w:rPr>
            </w:pPr>
            <w:r>
              <w:rPr>
                <w:b/>
                <w:bCs/>
                <w:lang w:val="es-PR"/>
              </w:rPr>
              <w:t>2018</w:t>
            </w:r>
          </w:p>
        </w:tc>
        <w:tc>
          <w:tcPr>
            <w:tcW w:w="1260" w:type="dxa"/>
            <w:shd w:val="clear" w:color="auto" w:fill="9CC2E5" w:themeFill="accent5" w:themeFillTint="99"/>
          </w:tcPr>
          <w:p w14:paraId="673B445E" w14:textId="3D0F1A82" w:rsidR="105B6A3F" w:rsidRDefault="105B6A3F" w:rsidP="105B6A3F">
            <w:pPr>
              <w:jc w:val="center"/>
              <w:rPr>
                <w:b/>
                <w:bCs/>
              </w:rPr>
            </w:pPr>
            <w:r>
              <w:rPr>
                <w:b/>
                <w:bCs/>
                <w:lang w:val="es-PR"/>
              </w:rPr>
              <w:t>2019</w:t>
            </w:r>
          </w:p>
        </w:tc>
      </w:tr>
      <w:tr w:rsidR="105B6A3F" w14:paraId="6B866DF9" w14:textId="77777777" w:rsidTr="105B6A3F">
        <w:trPr>
          <w:trHeight w:val="300"/>
          <w:jc w:val="center"/>
        </w:trPr>
        <w:tc>
          <w:tcPr>
            <w:tcW w:w="1245" w:type="dxa"/>
          </w:tcPr>
          <w:p w14:paraId="1D6E5412" w14:textId="0FD05FFD" w:rsidR="105B6A3F" w:rsidRDefault="105B6A3F" w:rsidP="105B6A3F">
            <w:pPr>
              <w:spacing w:line="259" w:lineRule="auto"/>
              <w:rPr>
                <w:rFonts w:ascii="Calibri" w:eastAsia="Calibri" w:hAnsi="Calibri" w:cs="Calibri"/>
              </w:rPr>
            </w:pPr>
            <w:r>
              <w:rPr>
                <w:rFonts w:ascii="Calibri" w:eastAsia="Calibri" w:hAnsi="Calibri" w:cs="Calibri"/>
                <w:lang w:val="es-PR"/>
              </w:rPr>
              <w:t>Objetivos ≥</w:t>
            </w:r>
          </w:p>
        </w:tc>
        <w:tc>
          <w:tcPr>
            <w:tcW w:w="1440" w:type="dxa"/>
          </w:tcPr>
          <w:p w14:paraId="24FA09E5" w14:textId="35582C7F" w:rsidR="105B6A3F" w:rsidRDefault="105B6A3F" w:rsidP="105B6A3F">
            <w:pPr>
              <w:spacing w:line="259" w:lineRule="auto"/>
              <w:jc w:val="center"/>
              <w:rPr>
                <w:rFonts w:ascii="Calibri" w:eastAsia="Calibri" w:hAnsi="Calibri" w:cs="Calibri"/>
                <w:i/>
                <w:iCs/>
              </w:rPr>
            </w:pPr>
            <w:r>
              <w:rPr>
                <w:rFonts w:ascii="Calibri" w:eastAsia="Calibri" w:hAnsi="Calibri" w:cs="Calibri"/>
                <w:i/>
                <w:iCs/>
                <w:lang w:val="es-PR"/>
              </w:rPr>
              <w:t>Línea de base</w:t>
            </w:r>
          </w:p>
        </w:tc>
        <w:tc>
          <w:tcPr>
            <w:tcW w:w="1260" w:type="dxa"/>
          </w:tcPr>
          <w:p w14:paraId="4AB2822A" w14:textId="37D5D269" w:rsidR="105B6A3F" w:rsidRDefault="105B6A3F" w:rsidP="105B6A3F">
            <w:pPr>
              <w:jc w:val="center"/>
            </w:pPr>
            <w:r>
              <w:rPr>
                <w:lang w:val="es-PR"/>
              </w:rPr>
              <w:t>24.60%</w:t>
            </w:r>
          </w:p>
        </w:tc>
        <w:tc>
          <w:tcPr>
            <w:tcW w:w="1140" w:type="dxa"/>
          </w:tcPr>
          <w:p w14:paraId="29635960" w14:textId="226E6016" w:rsidR="105B6A3F" w:rsidRDefault="105B6A3F" w:rsidP="105B6A3F">
            <w:pPr>
              <w:jc w:val="center"/>
            </w:pPr>
            <w:r>
              <w:rPr>
                <w:lang w:val="es-PR"/>
              </w:rPr>
              <w:t>24.00%</w:t>
            </w:r>
          </w:p>
        </w:tc>
        <w:tc>
          <w:tcPr>
            <w:tcW w:w="1215" w:type="dxa"/>
          </w:tcPr>
          <w:p w14:paraId="534EB3FF" w14:textId="17000279" w:rsidR="105B6A3F" w:rsidRDefault="105B6A3F" w:rsidP="105B6A3F">
            <w:pPr>
              <w:jc w:val="center"/>
            </w:pPr>
            <w:r>
              <w:rPr>
                <w:lang w:val="es-PR"/>
              </w:rPr>
              <w:t>24.00%</w:t>
            </w:r>
          </w:p>
        </w:tc>
        <w:tc>
          <w:tcPr>
            <w:tcW w:w="1230" w:type="dxa"/>
          </w:tcPr>
          <w:p w14:paraId="7B933F0E" w14:textId="369D0462" w:rsidR="105B6A3F" w:rsidRDefault="105B6A3F" w:rsidP="105B6A3F">
            <w:pPr>
              <w:jc w:val="center"/>
            </w:pPr>
            <w:r>
              <w:rPr>
                <w:lang w:val="es-PR"/>
              </w:rPr>
              <w:t>23.50%</w:t>
            </w:r>
          </w:p>
        </w:tc>
        <w:tc>
          <w:tcPr>
            <w:tcW w:w="1140" w:type="dxa"/>
          </w:tcPr>
          <w:p w14:paraId="19E5C64D" w14:textId="282FAE95" w:rsidR="105B6A3F" w:rsidRDefault="105B6A3F" w:rsidP="105B6A3F">
            <w:pPr>
              <w:jc w:val="center"/>
            </w:pPr>
            <w:r>
              <w:rPr>
                <w:lang w:val="es-PR"/>
              </w:rPr>
              <w:t>23.50%</w:t>
            </w:r>
          </w:p>
        </w:tc>
        <w:tc>
          <w:tcPr>
            <w:tcW w:w="1260" w:type="dxa"/>
          </w:tcPr>
          <w:p w14:paraId="31C34836" w14:textId="1FED79DB" w:rsidR="105B6A3F" w:rsidRDefault="105B6A3F" w:rsidP="105B6A3F">
            <w:pPr>
              <w:jc w:val="center"/>
            </w:pPr>
            <w:r>
              <w:rPr>
                <w:lang w:val="es-PR"/>
              </w:rPr>
              <w:t>23.50%</w:t>
            </w:r>
          </w:p>
        </w:tc>
      </w:tr>
      <w:tr w:rsidR="105B6A3F" w14:paraId="2DA32B89" w14:textId="77777777" w:rsidTr="105B6A3F">
        <w:trPr>
          <w:trHeight w:val="300"/>
          <w:jc w:val="center"/>
        </w:trPr>
        <w:tc>
          <w:tcPr>
            <w:tcW w:w="1245" w:type="dxa"/>
          </w:tcPr>
          <w:p w14:paraId="5894A800" w14:textId="15B2E0A4" w:rsidR="105B6A3F" w:rsidRDefault="105B6A3F" w:rsidP="105B6A3F">
            <w:pPr>
              <w:spacing w:line="259" w:lineRule="auto"/>
              <w:rPr>
                <w:rFonts w:ascii="Calibri" w:eastAsia="Calibri" w:hAnsi="Calibri" w:cs="Calibri"/>
              </w:rPr>
            </w:pPr>
            <w:r>
              <w:rPr>
                <w:rFonts w:ascii="Calibri" w:eastAsia="Calibri" w:hAnsi="Calibri" w:cs="Calibri"/>
                <w:lang w:val="es-PR"/>
              </w:rPr>
              <w:t>Datos</w:t>
            </w:r>
          </w:p>
        </w:tc>
        <w:tc>
          <w:tcPr>
            <w:tcW w:w="1440" w:type="dxa"/>
          </w:tcPr>
          <w:p w14:paraId="38A1F49F" w14:textId="054435D1" w:rsidR="0973F848" w:rsidRDefault="0973F848" w:rsidP="105B6A3F">
            <w:pPr>
              <w:spacing w:line="259" w:lineRule="auto"/>
              <w:jc w:val="center"/>
              <w:rPr>
                <w:b/>
                <w:bCs/>
                <w:color w:val="FF0000"/>
              </w:rPr>
            </w:pPr>
            <w:r>
              <w:rPr>
                <w:b/>
                <w:bCs/>
                <w:color w:val="FF0000"/>
                <w:lang w:val="es-PR"/>
              </w:rPr>
              <w:t>25.56%</w:t>
            </w:r>
          </w:p>
        </w:tc>
        <w:tc>
          <w:tcPr>
            <w:tcW w:w="1260" w:type="dxa"/>
          </w:tcPr>
          <w:p w14:paraId="50DF630D" w14:textId="24671E2C" w:rsidR="105B6A3F" w:rsidRDefault="105B6A3F" w:rsidP="105B6A3F">
            <w:pPr>
              <w:jc w:val="center"/>
            </w:pPr>
            <w:r>
              <w:rPr>
                <w:lang w:val="es-PR"/>
              </w:rPr>
              <w:t>22.93%</w:t>
            </w:r>
          </w:p>
        </w:tc>
        <w:tc>
          <w:tcPr>
            <w:tcW w:w="1140" w:type="dxa"/>
          </w:tcPr>
          <w:p w14:paraId="04A0BE0D" w14:textId="42F78481" w:rsidR="105B6A3F" w:rsidRDefault="105B6A3F" w:rsidP="105B6A3F">
            <w:pPr>
              <w:jc w:val="center"/>
            </w:pPr>
            <w:r>
              <w:rPr>
                <w:lang w:val="es-PR"/>
              </w:rPr>
              <w:t>23.30%</w:t>
            </w:r>
          </w:p>
        </w:tc>
        <w:tc>
          <w:tcPr>
            <w:tcW w:w="1215" w:type="dxa"/>
          </w:tcPr>
          <w:p w14:paraId="1770568B" w14:textId="3666BE7B" w:rsidR="105B6A3F" w:rsidRDefault="105B6A3F" w:rsidP="105B6A3F">
            <w:pPr>
              <w:jc w:val="center"/>
            </w:pPr>
            <w:r>
              <w:rPr>
                <w:lang w:val="es-PR"/>
              </w:rPr>
              <w:t>19.80%</w:t>
            </w:r>
          </w:p>
        </w:tc>
        <w:tc>
          <w:tcPr>
            <w:tcW w:w="1230" w:type="dxa"/>
          </w:tcPr>
          <w:p w14:paraId="0CDDAF70" w14:textId="22720EEE" w:rsidR="105B6A3F" w:rsidRDefault="105B6A3F" w:rsidP="105B6A3F">
            <w:pPr>
              <w:jc w:val="center"/>
            </w:pPr>
            <w:r>
              <w:rPr>
                <w:lang w:val="es-PR"/>
              </w:rPr>
              <w:t>19.03%</w:t>
            </w:r>
          </w:p>
        </w:tc>
        <w:tc>
          <w:tcPr>
            <w:tcW w:w="1140" w:type="dxa"/>
          </w:tcPr>
          <w:p w14:paraId="4D0F2FC1" w14:textId="173FB98F" w:rsidR="105B6A3F" w:rsidRDefault="105B6A3F" w:rsidP="105B6A3F">
            <w:pPr>
              <w:jc w:val="center"/>
            </w:pPr>
            <w:r>
              <w:rPr>
                <w:lang w:val="es-PR"/>
              </w:rPr>
              <w:t>19.17%</w:t>
            </w:r>
          </w:p>
        </w:tc>
        <w:tc>
          <w:tcPr>
            <w:tcW w:w="1260" w:type="dxa"/>
          </w:tcPr>
          <w:p w14:paraId="3E53F812" w14:textId="738E34FB" w:rsidR="105B6A3F" w:rsidRDefault="105B6A3F" w:rsidP="105B6A3F">
            <w:pPr>
              <w:jc w:val="center"/>
            </w:pPr>
            <w:r>
              <w:rPr>
                <w:lang w:val="es-PR"/>
              </w:rPr>
              <w:t>24.52%</w:t>
            </w:r>
          </w:p>
        </w:tc>
      </w:tr>
    </w:tbl>
    <w:p w14:paraId="6E803FF7" w14:textId="5D5B1793" w:rsidR="105B6A3F" w:rsidRDefault="105B6A3F" w:rsidP="105B6A3F">
      <w:pPr>
        <w:spacing w:after="0"/>
        <w:rPr>
          <w:rFonts w:eastAsiaTheme="minorEastAsia"/>
          <w:color w:val="000000" w:themeColor="text1"/>
        </w:rPr>
      </w:pPr>
    </w:p>
    <w:p w14:paraId="33F32983" w14:textId="67732E8A" w:rsidR="105B6A3F" w:rsidRDefault="105B6A3F">
      <w:r>
        <w:rPr>
          <w:lang w:val="es-PR"/>
        </w:rPr>
        <w:br w:type="page"/>
      </w:r>
    </w:p>
    <w:p w14:paraId="2CA38853" w14:textId="732E1DCA" w:rsidR="0E6BE1FC" w:rsidRDefault="0E6BE1FC" w:rsidP="440AB443">
      <w:pPr>
        <w:pStyle w:val="Heading1"/>
        <w:spacing w:before="0"/>
        <w:rPr>
          <w:rFonts w:ascii="Calibri" w:eastAsia="Calibri" w:hAnsi="Calibri" w:cs="Calibri"/>
        </w:rPr>
      </w:pPr>
      <w:r>
        <w:rPr>
          <w:rFonts w:ascii="Calibri" w:eastAsia="Calibri" w:hAnsi="Calibri" w:cs="Calibri"/>
          <w:b/>
          <w:bCs/>
          <w:lang w:val="es-PR"/>
        </w:rPr>
        <w:lastRenderedPageBreak/>
        <w:t>¿Cuáles son los nuevos objetivos?</w:t>
      </w:r>
    </w:p>
    <w:p w14:paraId="602EC1B4" w14:textId="6DC5B851" w:rsidR="0E6BE1FC" w:rsidRDefault="60D43FE7" w:rsidP="105B6A3F">
      <w:pPr>
        <w:spacing w:after="0"/>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 aumento porcentual, comenzar con el final del juego en mente o examinar las tendencias a lo largo del tiempo y hacer predicciones basadas en las tendencias. Alguna información útil sobre cómo establecer objetivos:</w:t>
      </w:r>
    </w:p>
    <w:p w14:paraId="432898C8" w14:textId="71B97563" w:rsidR="0E6BE1FC" w:rsidRDefault="0E6BE1FC" w:rsidP="4D0E0F7D">
      <w:pPr>
        <w:pStyle w:val="ListParagraph"/>
        <w:numPr>
          <w:ilvl w:val="0"/>
          <w:numId w:val="4"/>
        </w:numPr>
        <w:rPr>
          <w:rFonts w:eastAsiaTheme="minorEastAsia"/>
          <w:color w:val="000000" w:themeColor="text1"/>
          <w:sz w:val="24"/>
          <w:szCs w:val="24"/>
        </w:rPr>
      </w:pPr>
      <w:r>
        <w:rPr>
          <w:rFonts w:ascii="Calibri" w:eastAsia="Calibri" w:hAnsi="Calibri" w:cs="Calibri"/>
          <w:color w:val="000000" w:themeColor="text1"/>
          <w:sz w:val="24"/>
          <w:szCs w:val="24"/>
          <w:lang w:val="es-PR"/>
        </w:rPr>
        <w:t>Los objetivos están destinados a respaldar mejores resultados y consecuencias para los niños y las familias. Deberían estar al alcance pero aún mostrar crecimiento. </w:t>
      </w:r>
    </w:p>
    <w:p w14:paraId="3BC35269" w14:textId="12D1CC77" w:rsidR="0E6BE1FC" w:rsidRDefault="0E6BE1FC" w:rsidP="4D0E0F7D">
      <w:pPr>
        <w:pStyle w:val="ListParagraph"/>
        <w:numPr>
          <w:ilvl w:val="0"/>
          <w:numId w:val="4"/>
        </w:numPr>
        <w:rPr>
          <w:rFonts w:eastAsiaTheme="minorEastAsia"/>
          <w:color w:val="000000" w:themeColor="text1"/>
          <w:sz w:val="24"/>
          <w:szCs w:val="24"/>
        </w:rPr>
      </w:pPr>
      <w:r>
        <w:rPr>
          <w:rFonts w:ascii="Calibri" w:eastAsia="Calibri" w:hAnsi="Calibri" w:cs="Calibri"/>
          <w:color w:val="000000" w:themeColor="text1"/>
          <w:sz w:val="24"/>
          <w:szCs w:val="24"/>
          <w:lang w:val="es-PR"/>
        </w:rPr>
        <w:t>El cambio lleva tiempo. Los objetivos se pueden crear con este entendimiento en mente. Por ejemplo, los objetivos pueden permanecer iguales durante varios años seguidos y luego aumentar ligeramente durante el año objetivo final (año fiscal 2025). O muestra un ligero aumento cada año.</w:t>
      </w:r>
    </w:p>
    <w:p w14:paraId="29ACC891" w14:textId="193ECA44" w:rsidR="0E6BE1FC" w:rsidRDefault="0E6BE1FC" w:rsidP="563487A3">
      <w:pPr>
        <w:pStyle w:val="ListParagraph"/>
        <w:numPr>
          <w:ilvl w:val="0"/>
          <w:numId w:val="4"/>
        </w:numPr>
        <w:rPr>
          <w:rFonts w:eastAsiaTheme="minorEastAsia"/>
          <w:color w:val="000000" w:themeColor="text1"/>
          <w:sz w:val="24"/>
          <w:szCs w:val="24"/>
        </w:rPr>
      </w:pPr>
      <w:r>
        <w:rPr>
          <w:rFonts w:ascii="Calibri" w:eastAsia="Calibri" w:hAnsi="Calibri" w:cs="Calibri"/>
          <w:color w:val="000000" w:themeColor="text1"/>
          <w:sz w:val="24"/>
          <w:szCs w:val="24"/>
          <w:lang w:val="es-PR"/>
        </w:rPr>
        <w:t xml:space="preserve">El objetivo de este indicador es estar en o por encima del objetivo para el área </w:t>
      </w:r>
      <w:r>
        <w:rPr>
          <w:rFonts w:ascii="Calibri" w:eastAsia="Calibri" w:hAnsi="Calibri" w:cs="Calibri"/>
          <w:b/>
          <w:bCs/>
          <w:color w:val="000000" w:themeColor="text1"/>
          <w:sz w:val="24"/>
          <w:szCs w:val="24"/>
          <w:lang w:val="es-PR"/>
        </w:rPr>
        <w:t>A</w:t>
      </w:r>
      <w:r>
        <w:rPr>
          <w:rFonts w:ascii="Calibri" w:eastAsia="Calibri" w:hAnsi="Calibri" w:cs="Calibri"/>
          <w:color w:val="000000" w:themeColor="text1"/>
          <w:sz w:val="24"/>
          <w:szCs w:val="24"/>
          <w:lang w:val="es-PR"/>
        </w:rPr>
        <w:t xml:space="preserve">, y en o por debajo del objetivo para las áreas </w:t>
      </w:r>
      <w:r>
        <w:rPr>
          <w:rFonts w:ascii="Calibri" w:eastAsia="Calibri" w:hAnsi="Calibri" w:cs="Calibri"/>
          <w:b/>
          <w:bCs/>
          <w:color w:val="000000" w:themeColor="text1"/>
          <w:sz w:val="24"/>
          <w:szCs w:val="24"/>
          <w:lang w:val="es-PR"/>
        </w:rPr>
        <w:t>B</w:t>
      </w:r>
      <w:r>
        <w:rPr>
          <w:rFonts w:ascii="Calibri" w:eastAsia="Calibri" w:hAnsi="Calibri" w:cs="Calibri"/>
          <w:color w:val="000000" w:themeColor="text1"/>
          <w:sz w:val="24"/>
          <w:szCs w:val="24"/>
          <w:lang w:val="es-PR"/>
        </w:rPr>
        <w:t xml:space="preserve"> y </w:t>
      </w:r>
      <w:r>
        <w:rPr>
          <w:rFonts w:ascii="Calibri" w:eastAsia="Calibri" w:hAnsi="Calibri" w:cs="Calibri"/>
          <w:b/>
          <w:bCs/>
          <w:color w:val="000000" w:themeColor="text1"/>
          <w:sz w:val="24"/>
          <w:szCs w:val="24"/>
          <w:lang w:val="es-PR"/>
        </w:rPr>
        <w:t>C</w:t>
      </w:r>
      <w:r>
        <w:rPr>
          <w:rFonts w:ascii="Calibri" w:eastAsia="Calibri" w:hAnsi="Calibri" w:cs="Calibri"/>
          <w:color w:val="000000" w:themeColor="text1"/>
          <w:sz w:val="24"/>
          <w:szCs w:val="24"/>
          <w:lang w:val="es-PR"/>
        </w:rPr>
        <w:t xml:space="preserve">.  </w:t>
      </w:r>
    </w:p>
    <w:p w14:paraId="754BDB68" w14:textId="3D70C1F3" w:rsidR="0E6BE1FC" w:rsidRDefault="260FF05A" w:rsidP="45AF07F7">
      <w:pPr>
        <w:pStyle w:val="ListParagraph"/>
        <w:numPr>
          <w:ilvl w:val="0"/>
          <w:numId w:val="4"/>
        </w:numPr>
        <w:rPr>
          <w:rFonts w:eastAsiaTheme="minorEastAsia"/>
          <w:color w:val="000000" w:themeColor="text1"/>
          <w:sz w:val="24"/>
          <w:szCs w:val="24"/>
        </w:rPr>
      </w:pPr>
      <w:r>
        <w:rPr>
          <w:rFonts w:ascii="Calibri" w:eastAsia="Calibri" w:hAnsi="Calibri" w:cs="Calibri"/>
          <w:color w:val="000000" w:themeColor="text1"/>
          <w:sz w:val="24"/>
          <w:szCs w:val="24"/>
          <w:lang w:val="es-PR"/>
        </w:rPr>
        <w:t>Actualmente, la colocación en el hogar para la prestación de servicios de educación especial es del 10.25%.  Los objetivos para el futuro deben estar en este nivel o por debajo de él.</w:t>
      </w:r>
    </w:p>
    <w:p w14:paraId="650662D1" w14:textId="3C938B49" w:rsidR="0900F060" w:rsidRDefault="0900F060" w:rsidP="45AF07F7">
      <w:pPr>
        <w:pStyle w:val="ListParagraph"/>
        <w:numPr>
          <w:ilvl w:val="0"/>
          <w:numId w:val="4"/>
        </w:numPr>
        <w:rPr>
          <w:color w:val="000000" w:themeColor="text1"/>
          <w:sz w:val="24"/>
          <w:szCs w:val="24"/>
        </w:rPr>
      </w:pPr>
      <w:r>
        <w:rPr>
          <w:rFonts w:ascii="Calibri" w:eastAsia="Calibri" w:hAnsi="Calibri" w:cs="Calibri"/>
          <w:color w:val="000000" w:themeColor="text1"/>
          <w:sz w:val="24"/>
          <w:szCs w:val="24"/>
          <w:lang w:val="es-PR"/>
        </w:rPr>
        <w:t>Este indicador se ha visto afectado por las restricciones de COVID-19 y hubo una reducción de las colocaciones en sitios comunitarios y un aumento en las colocaciones en otros sitios el año pasado.</w:t>
      </w:r>
    </w:p>
    <w:p w14:paraId="74CA71EE" w14:textId="34D585F6" w:rsidR="0E6BE1FC" w:rsidRDefault="0E6BE1FC" w:rsidP="440AB443">
      <w:pPr>
        <w:spacing w:after="0"/>
        <w:rPr>
          <w:rFonts w:ascii="Calibri" w:eastAsia="Calibri" w:hAnsi="Calibri" w:cs="Calibri"/>
          <w:color w:val="408740"/>
          <w:sz w:val="24"/>
          <w:szCs w:val="24"/>
        </w:rPr>
      </w:pPr>
      <w:r>
        <w:rPr>
          <w:rFonts w:ascii="Calibri" w:eastAsia="Calibri" w:hAnsi="Calibri" w:cs="Calibri"/>
          <w:b/>
          <w:bCs/>
          <w:color w:val="408740"/>
          <w:sz w:val="24"/>
          <w:szCs w:val="24"/>
          <w:lang w:val="es-PR"/>
        </w:rPr>
        <w:t>Ejemplo A</w:t>
      </w:r>
    </w:p>
    <w:tbl>
      <w:tblPr>
        <w:tblStyle w:val="TableGrid"/>
        <w:tblW w:w="0" w:type="auto"/>
        <w:tblLayout w:type="fixed"/>
        <w:tblLook w:val="04A0" w:firstRow="1" w:lastRow="0" w:firstColumn="1" w:lastColumn="0" w:noHBand="0" w:noVBand="1"/>
        <w:tblCaption w:val="Ejemplo A"/>
      </w:tblPr>
      <w:tblGrid>
        <w:gridCol w:w="2220"/>
        <w:gridCol w:w="1275"/>
        <w:gridCol w:w="1275"/>
        <w:gridCol w:w="1275"/>
        <w:gridCol w:w="1275"/>
        <w:gridCol w:w="1275"/>
        <w:gridCol w:w="1275"/>
      </w:tblGrid>
      <w:tr w:rsidR="4D0E0F7D" w14:paraId="3DEB0825" w14:textId="77777777" w:rsidTr="00E50925">
        <w:trPr>
          <w:tblHeader/>
        </w:trPr>
        <w:tc>
          <w:tcPr>
            <w:tcW w:w="2220" w:type="dxa"/>
            <w:shd w:val="clear" w:color="auto" w:fill="FFD966" w:themeFill="accent4" w:themeFillTint="99"/>
          </w:tcPr>
          <w:p w14:paraId="34DFB917" w14:textId="1E8C7C9C"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Años fiscales</w:t>
            </w:r>
          </w:p>
        </w:tc>
        <w:tc>
          <w:tcPr>
            <w:tcW w:w="1275" w:type="dxa"/>
            <w:shd w:val="clear" w:color="auto" w:fill="FFD966" w:themeFill="accent4" w:themeFillTint="99"/>
          </w:tcPr>
          <w:p w14:paraId="37E8E5E5" w14:textId="246A30BD"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2020</w:t>
            </w:r>
          </w:p>
        </w:tc>
        <w:tc>
          <w:tcPr>
            <w:tcW w:w="1275" w:type="dxa"/>
            <w:shd w:val="clear" w:color="auto" w:fill="FFD966" w:themeFill="accent4" w:themeFillTint="99"/>
          </w:tcPr>
          <w:p w14:paraId="61EDA470" w14:textId="3421E923"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2021</w:t>
            </w:r>
          </w:p>
        </w:tc>
        <w:tc>
          <w:tcPr>
            <w:tcW w:w="1275" w:type="dxa"/>
            <w:shd w:val="clear" w:color="auto" w:fill="FFD966" w:themeFill="accent4" w:themeFillTint="99"/>
          </w:tcPr>
          <w:p w14:paraId="02B49ED1" w14:textId="1FE62FD4"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2022</w:t>
            </w:r>
          </w:p>
        </w:tc>
        <w:tc>
          <w:tcPr>
            <w:tcW w:w="1275" w:type="dxa"/>
            <w:shd w:val="clear" w:color="auto" w:fill="FFD966" w:themeFill="accent4" w:themeFillTint="99"/>
          </w:tcPr>
          <w:p w14:paraId="5BFEAA9C" w14:textId="3481E9B6"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2023</w:t>
            </w:r>
          </w:p>
        </w:tc>
        <w:tc>
          <w:tcPr>
            <w:tcW w:w="1275" w:type="dxa"/>
            <w:shd w:val="clear" w:color="auto" w:fill="FFD966" w:themeFill="accent4" w:themeFillTint="99"/>
          </w:tcPr>
          <w:p w14:paraId="47A82655" w14:textId="0331CC3A"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2024</w:t>
            </w:r>
          </w:p>
        </w:tc>
        <w:tc>
          <w:tcPr>
            <w:tcW w:w="1275" w:type="dxa"/>
            <w:shd w:val="clear" w:color="auto" w:fill="FFD966" w:themeFill="accent4" w:themeFillTint="99"/>
          </w:tcPr>
          <w:p w14:paraId="3BB163EC" w14:textId="40D67193"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2025</w:t>
            </w:r>
          </w:p>
        </w:tc>
      </w:tr>
      <w:tr w:rsidR="4D0E0F7D" w14:paraId="2633055E" w14:textId="77777777" w:rsidTr="77603532">
        <w:tc>
          <w:tcPr>
            <w:tcW w:w="2220" w:type="dxa"/>
          </w:tcPr>
          <w:p w14:paraId="6DA72857" w14:textId="0EBFC09B" w:rsidR="4D0E0F7D" w:rsidRDefault="1F4311E1" w:rsidP="563487A3">
            <w:pPr>
              <w:spacing w:line="259" w:lineRule="auto"/>
              <w:rPr>
                <w:rFonts w:ascii="Calibri" w:eastAsia="Calibri" w:hAnsi="Calibri" w:cs="Calibri"/>
              </w:rPr>
            </w:pPr>
            <w:r>
              <w:rPr>
                <w:rFonts w:ascii="Calibri" w:eastAsia="Calibri" w:hAnsi="Calibri" w:cs="Calibri"/>
                <w:lang w:val="es-PR"/>
              </w:rPr>
              <w:t>A: Objetivos ≥</w:t>
            </w:r>
          </w:p>
        </w:tc>
        <w:tc>
          <w:tcPr>
            <w:tcW w:w="1275" w:type="dxa"/>
          </w:tcPr>
          <w:p w14:paraId="0DF61BF0" w14:textId="61643800" w:rsidR="4D0E0F7D" w:rsidRDefault="1826E863" w:rsidP="2C436F9F">
            <w:pPr>
              <w:spacing w:line="259" w:lineRule="auto"/>
              <w:jc w:val="center"/>
              <w:rPr>
                <w:rFonts w:ascii="Calibri" w:eastAsia="Calibri" w:hAnsi="Calibri" w:cs="Calibri"/>
              </w:rPr>
            </w:pPr>
            <w:r>
              <w:rPr>
                <w:rFonts w:ascii="Calibri" w:eastAsia="Calibri" w:hAnsi="Calibri" w:cs="Calibri"/>
                <w:lang w:val="es-PR"/>
              </w:rPr>
              <w:t>Línea de base: 48.16%</w:t>
            </w:r>
          </w:p>
        </w:tc>
        <w:tc>
          <w:tcPr>
            <w:tcW w:w="1275" w:type="dxa"/>
          </w:tcPr>
          <w:p w14:paraId="71CFA088" w14:textId="513A4123" w:rsidR="4D0E0F7D" w:rsidRDefault="7AA0F911" w:rsidP="2C436F9F">
            <w:pPr>
              <w:spacing w:line="259" w:lineRule="auto"/>
              <w:jc w:val="center"/>
              <w:rPr>
                <w:rFonts w:ascii="Calibri" w:eastAsia="Calibri" w:hAnsi="Calibri" w:cs="Calibri"/>
              </w:rPr>
            </w:pPr>
            <w:r>
              <w:rPr>
                <w:rFonts w:ascii="Calibri" w:eastAsia="Calibri" w:hAnsi="Calibri" w:cs="Calibri"/>
                <w:lang w:val="es-PR"/>
              </w:rPr>
              <w:t>48.16%</w:t>
            </w:r>
          </w:p>
        </w:tc>
        <w:tc>
          <w:tcPr>
            <w:tcW w:w="1275" w:type="dxa"/>
          </w:tcPr>
          <w:p w14:paraId="70A84EB4" w14:textId="69837454" w:rsidR="4D0E0F7D" w:rsidRDefault="7AA0F911" w:rsidP="2C436F9F">
            <w:pPr>
              <w:spacing w:line="259" w:lineRule="auto"/>
              <w:jc w:val="center"/>
              <w:rPr>
                <w:rFonts w:ascii="Calibri" w:eastAsia="Calibri" w:hAnsi="Calibri" w:cs="Calibri"/>
              </w:rPr>
            </w:pPr>
            <w:r>
              <w:rPr>
                <w:rFonts w:ascii="Calibri" w:eastAsia="Calibri" w:hAnsi="Calibri" w:cs="Calibri"/>
                <w:lang w:val="es-PR"/>
              </w:rPr>
              <w:t>48.16%</w:t>
            </w:r>
          </w:p>
        </w:tc>
        <w:tc>
          <w:tcPr>
            <w:tcW w:w="1275" w:type="dxa"/>
          </w:tcPr>
          <w:p w14:paraId="2BA54887" w14:textId="360DDE9E" w:rsidR="4D0E0F7D" w:rsidRDefault="7AA0F911" w:rsidP="2C436F9F">
            <w:pPr>
              <w:spacing w:line="259" w:lineRule="auto"/>
              <w:jc w:val="center"/>
              <w:rPr>
                <w:rFonts w:ascii="Calibri" w:eastAsia="Calibri" w:hAnsi="Calibri" w:cs="Calibri"/>
              </w:rPr>
            </w:pPr>
            <w:r>
              <w:rPr>
                <w:rFonts w:ascii="Calibri" w:eastAsia="Calibri" w:hAnsi="Calibri" w:cs="Calibri"/>
                <w:lang w:val="es-PR"/>
              </w:rPr>
              <w:t>48.50%</w:t>
            </w:r>
          </w:p>
        </w:tc>
        <w:tc>
          <w:tcPr>
            <w:tcW w:w="1275" w:type="dxa"/>
          </w:tcPr>
          <w:p w14:paraId="273F7B53" w14:textId="1A0401FE" w:rsidR="4D0E0F7D" w:rsidRDefault="7AA0F911" w:rsidP="2C436F9F">
            <w:pPr>
              <w:spacing w:line="259" w:lineRule="auto"/>
              <w:jc w:val="center"/>
              <w:rPr>
                <w:rFonts w:ascii="Calibri" w:eastAsia="Calibri" w:hAnsi="Calibri" w:cs="Calibri"/>
              </w:rPr>
            </w:pPr>
            <w:r>
              <w:rPr>
                <w:rFonts w:ascii="Calibri" w:eastAsia="Calibri" w:hAnsi="Calibri" w:cs="Calibri"/>
                <w:lang w:val="es-PR"/>
              </w:rPr>
              <w:t>48.50%</w:t>
            </w:r>
          </w:p>
        </w:tc>
        <w:tc>
          <w:tcPr>
            <w:tcW w:w="1275" w:type="dxa"/>
          </w:tcPr>
          <w:p w14:paraId="636B64B3" w14:textId="50A01A3C" w:rsidR="4D0E0F7D" w:rsidRDefault="7AA0F911" w:rsidP="2C436F9F">
            <w:pPr>
              <w:spacing w:line="259" w:lineRule="auto"/>
              <w:jc w:val="center"/>
              <w:rPr>
                <w:rFonts w:ascii="Calibri" w:eastAsia="Calibri" w:hAnsi="Calibri" w:cs="Calibri"/>
              </w:rPr>
            </w:pPr>
            <w:r>
              <w:rPr>
                <w:rFonts w:ascii="Calibri" w:eastAsia="Calibri" w:hAnsi="Calibri" w:cs="Calibri"/>
                <w:lang w:val="es-PR"/>
              </w:rPr>
              <w:t>49.00%</w:t>
            </w:r>
          </w:p>
        </w:tc>
      </w:tr>
      <w:tr w:rsidR="563487A3" w14:paraId="1C2A89E1" w14:textId="77777777" w:rsidTr="77603532">
        <w:trPr>
          <w:trHeight w:val="300"/>
        </w:trPr>
        <w:tc>
          <w:tcPr>
            <w:tcW w:w="2220" w:type="dxa"/>
          </w:tcPr>
          <w:p w14:paraId="0C87EC69" w14:textId="3DE21DFC" w:rsidR="0C876602" w:rsidRDefault="0C876602" w:rsidP="2C436F9F">
            <w:pPr>
              <w:spacing w:line="259" w:lineRule="auto"/>
              <w:rPr>
                <w:rFonts w:ascii="Calibri" w:eastAsia="Calibri" w:hAnsi="Calibri" w:cs="Calibri"/>
              </w:rPr>
            </w:pPr>
            <w:r>
              <w:rPr>
                <w:rFonts w:ascii="Calibri" w:eastAsia="Calibri" w:hAnsi="Calibri" w:cs="Calibri"/>
                <w:lang w:val="es-PR"/>
              </w:rPr>
              <w:t>B: Objetivo ≤</w:t>
            </w:r>
          </w:p>
        </w:tc>
        <w:tc>
          <w:tcPr>
            <w:tcW w:w="1275" w:type="dxa"/>
          </w:tcPr>
          <w:p w14:paraId="2E6F675F" w14:textId="01F1E50E" w:rsidR="10BB1120" w:rsidRDefault="1F250579" w:rsidP="2C436F9F">
            <w:pPr>
              <w:spacing w:line="259" w:lineRule="auto"/>
              <w:jc w:val="center"/>
              <w:rPr>
                <w:rFonts w:ascii="Calibri" w:eastAsia="Calibri" w:hAnsi="Calibri" w:cs="Calibri"/>
              </w:rPr>
            </w:pPr>
            <w:r>
              <w:rPr>
                <w:rFonts w:ascii="Calibri" w:eastAsia="Calibri" w:hAnsi="Calibri" w:cs="Calibri"/>
                <w:lang w:val="es-PR"/>
              </w:rPr>
              <w:t>Línea de base: 23.50%</w:t>
            </w:r>
          </w:p>
        </w:tc>
        <w:tc>
          <w:tcPr>
            <w:tcW w:w="1275" w:type="dxa"/>
          </w:tcPr>
          <w:p w14:paraId="05693603" w14:textId="65F1CB10" w:rsidR="10BB1120" w:rsidRDefault="10BB1120" w:rsidP="2C436F9F">
            <w:pPr>
              <w:spacing w:line="259" w:lineRule="auto"/>
              <w:jc w:val="center"/>
              <w:rPr>
                <w:rFonts w:ascii="Calibri" w:eastAsia="Calibri" w:hAnsi="Calibri" w:cs="Calibri"/>
              </w:rPr>
            </w:pPr>
            <w:r>
              <w:rPr>
                <w:rFonts w:ascii="Calibri" w:eastAsia="Calibri" w:hAnsi="Calibri" w:cs="Calibri"/>
                <w:lang w:val="es-PR"/>
              </w:rPr>
              <w:t>23.50%</w:t>
            </w:r>
          </w:p>
        </w:tc>
        <w:tc>
          <w:tcPr>
            <w:tcW w:w="1275" w:type="dxa"/>
          </w:tcPr>
          <w:p w14:paraId="65BFC708" w14:textId="693D50BD" w:rsidR="10BB1120" w:rsidRDefault="10BB1120" w:rsidP="2C436F9F">
            <w:pPr>
              <w:spacing w:line="259" w:lineRule="auto"/>
              <w:jc w:val="center"/>
              <w:rPr>
                <w:rFonts w:ascii="Calibri" w:eastAsia="Calibri" w:hAnsi="Calibri" w:cs="Calibri"/>
              </w:rPr>
            </w:pPr>
            <w:r>
              <w:rPr>
                <w:rFonts w:ascii="Calibri" w:eastAsia="Calibri" w:hAnsi="Calibri" w:cs="Calibri"/>
                <w:lang w:val="es-PR"/>
              </w:rPr>
              <w:t>23.50%</w:t>
            </w:r>
          </w:p>
        </w:tc>
        <w:tc>
          <w:tcPr>
            <w:tcW w:w="1275" w:type="dxa"/>
          </w:tcPr>
          <w:p w14:paraId="3476696D" w14:textId="00B0521D" w:rsidR="10BB1120" w:rsidRDefault="10BB1120" w:rsidP="2C436F9F">
            <w:pPr>
              <w:spacing w:line="259" w:lineRule="auto"/>
              <w:jc w:val="center"/>
              <w:rPr>
                <w:rFonts w:ascii="Calibri" w:eastAsia="Calibri" w:hAnsi="Calibri" w:cs="Calibri"/>
              </w:rPr>
            </w:pPr>
            <w:r>
              <w:rPr>
                <w:rFonts w:ascii="Calibri" w:eastAsia="Calibri" w:hAnsi="Calibri" w:cs="Calibri"/>
                <w:lang w:val="es-PR"/>
              </w:rPr>
              <w:t>23.00%</w:t>
            </w:r>
          </w:p>
        </w:tc>
        <w:tc>
          <w:tcPr>
            <w:tcW w:w="1275" w:type="dxa"/>
          </w:tcPr>
          <w:p w14:paraId="63E0E9DC" w14:textId="1923848F" w:rsidR="10BB1120" w:rsidRDefault="10BB1120" w:rsidP="2C436F9F">
            <w:pPr>
              <w:spacing w:line="259" w:lineRule="auto"/>
              <w:jc w:val="center"/>
              <w:rPr>
                <w:rFonts w:ascii="Calibri" w:eastAsia="Calibri" w:hAnsi="Calibri" w:cs="Calibri"/>
              </w:rPr>
            </w:pPr>
            <w:r>
              <w:rPr>
                <w:rFonts w:ascii="Calibri" w:eastAsia="Calibri" w:hAnsi="Calibri" w:cs="Calibri"/>
                <w:lang w:val="es-PR"/>
              </w:rPr>
              <w:t>23.00%</w:t>
            </w:r>
          </w:p>
        </w:tc>
        <w:tc>
          <w:tcPr>
            <w:tcW w:w="1275" w:type="dxa"/>
          </w:tcPr>
          <w:p w14:paraId="469E9451" w14:textId="4717CD16" w:rsidR="10BB1120" w:rsidRDefault="10BB1120" w:rsidP="2C436F9F">
            <w:pPr>
              <w:spacing w:line="259" w:lineRule="auto"/>
              <w:jc w:val="center"/>
              <w:rPr>
                <w:rFonts w:ascii="Calibri" w:eastAsia="Calibri" w:hAnsi="Calibri" w:cs="Calibri"/>
              </w:rPr>
            </w:pPr>
            <w:r>
              <w:rPr>
                <w:rFonts w:ascii="Calibri" w:eastAsia="Calibri" w:hAnsi="Calibri" w:cs="Calibri"/>
                <w:lang w:val="es-PR"/>
              </w:rPr>
              <w:t>22.50%</w:t>
            </w:r>
          </w:p>
        </w:tc>
      </w:tr>
      <w:tr w:rsidR="563487A3" w14:paraId="09F5C738" w14:textId="77777777" w:rsidTr="77603532">
        <w:tc>
          <w:tcPr>
            <w:tcW w:w="2220" w:type="dxa"/>
          </w:tcPr>
          <w:p w14:paraId="20AB3F5A" w14:textId="2CBD8B10" w:rsidR="40C215C7" w:rsidRDefault="40C215C7" w:rsidP="563487A3">
            <w:pPr>
              <w:spacing w:line="259" w:lineRule="auto"/>
              <w:rPr>
                <w:rFonts w:ascii="Arial" w:eastAsia="Arial" w:hAnsi="Arial" w:cs="Arial"/>
                <w:sz w:val="16"/>
                <w:szCs w:val="16"/>
              </w:rPr>
            </w:pPr>
            <w:r>
              <w:rPr>
                <w:rFonts w:ascii="Calibri" w:eastAsia="Calibri" w:hAnsi="Calibri" w:cs="Calibri"/>
                <w:lang w:val="es-PR"/>
              </w:rPr>
              <w:t>C: Objetivo ≤</w:t>
            </w:r>
          </w:p>
        </w:tc>
        <w:tc>
          <w:tcPr>
            <w:tcW w:w="1275" w:type="dxa"/>
          </w:tcPr>
          <w:p w14:paraId="134C4CCF" w14:textId="0F84CC02" w:rsidR="3D9D1780" w:rsidRDefault="79DC1EF6" w:rsidP="105B6A3F">
            <w:pPr>
              <w:spacing w:line="259" w:lineRule="auto"/>
              <w:jc w:val="center"/>
              <w:rPr>
                <w:rFonts w:ascii="Calibri" w:eastAsia="Calibri" w:hAnsi="Calibri" w:cs="Calibri"/>
              </w:rPr>
            </w:pPr>
            <w:r>
              <w:rPr>
                <w:rFonts w:ascii="Calibri" w:eastAsia="Calibri" w:hAnsi="Calibri" w:cs="Calibri"/>
                <w:lang w:val="es-PR"/>
              </w:rPr>
              <w:t>Línea de base: 10.25%</w:t>
            </w:r>
          </w:p>
        </w:tc>
        <w:tc>
          <w:tcPr>
            <w:tcW w:w="1275" w:type="dxa"/>
          </w:tcPr>
          <w:p w14:paraId="7935ED3B" w14:textId="10E60B33" w:rsidR="76CB5D30" w:rsidRDefault="76CB5D30" w:rsidP="2C436F9F">
            <w:pPr>
              <w:spacing w:line="259" w:lineRule="auto"/>
              <w:jc w:val="center"/>
              <w:rPr>
                <w:rFonts w:ascii="Calibri" w:eastAsia="Calibri" w:hAnsi="Calibri" w:cs="Calibri"/>
              </w:rPr>
            </w:pPr>
            <w:r>
              <w:rPr>
                <w:rFonts w:ascii="Calibri" w:eastAsia="Calibri" w:hAnsi="Calibri" w:cs="Calibri"/>
                <w:lang w:val="es-PR"/>
              </w:rPr>
              <w:t>10.25%</w:t>
            </w:r>
          </w:p>
        </w:tc>
        <w:tc>
          <w:tcPr>
            <w:tcW w:w="1275" w:type="dxa"/>
          </w:tcPr>
          <w:p w14:paraId="701AC79A" w14:textId="1A7274E0" w:rsidR="76CB5D30" w:rsidRDefault="76CB5D30" w:rsidP="2C436F9F">
            <w:pPr>
              <w:spacing w:line="259" w:lineRule="auto"/>
              <w:jc w:val="center"/>
              <w:rPr>
                <w:rFonts w:ascii="Calibri" w:eastAsia="Calibri" w:hAnsi="Calibri" w:cs="Calibri"/>
              </w:rPr>
            </w:pPr>
            <w:r>
              <w:rPr>
                <w:rFonts w:ascii="Calibri" w:eastAsia="Calibri" w:hAnsi="Calibri" w:cs="Calibri"/>
                <w:lang w:val="es-PR"/>
              </w:rPr>
              <w:t>10.25%</w:t>
            </w:r>
          </w:p>
        </w:tc>
        <w:tc>
          <w:tcPr>
            <w:tcW w:w="1275" w:type="dxa"/>
          </w:tcPr>
          <w:p w14:paraId="6EED264C" w14:textId="34051E1B" w:rsidR="76CB5D30" w:rsidRDefault="76CB5D30" w:rsidP="2C436F9F">
            <w:pPr>
              <w:spacing w:line="259" w:lineRule="auto"/>
              <w:jc w:val="center"/>
              <w:rPr>
                <w:rFonts w:ascii="Calibri" w:eastAsia="Calibri" w:hAnsi="Calibri" w:cs="Calibri"/>
              </w:rPr>
            </w:pPr>
            <w:r>
              <w:rPr>
                <w:rFonts w:ascii="Calibri" w:eastAsia="Calibri" w:hAnsi="Calibri" w:cs="Calibri"/>
                <w:lang w:val="es-PR"/>
              </w:rPr>
              <w:t>10.00%</w:t>
            </w:r>
          </w:p>
        </w:tc>
        <w:tc>
          <w:tcPr>
            <w:tcW w:w="1275" w:type="dxa"/>
          </w:tcPr>
          <w:p w14:paraId="6AD646D6" w14:textId="65F81EB2" w:rsidR="76CB5D30" w:rsidRDefault="76CB5D30" w:rsidP="2C436F9F">
            <w:pPr>
              <w:spacing w:line="259" w:lineRule="auto"/>
              <w:jc w:val="center"/>
              <w:rPr>
                <w:rFonts w:ascii="Calibri" w:eastAsia="Calibri" w:hAnsi="Calibri" w:cs="Calibri"/>
              </w:rPr>
            </w:pPr>
            <w:r>
              <w:rPr>
                <w:rFonts w:ascii="Calibri" w:eastAsia="Calibri" w:hAnsi="Calibri" w:cs="Calibri"/>
                <w:lang w:val="es-PR"/>
              </w:rPr>
              <w:t>10.00%</w:t>
            </w:r>
          </w:p>
        </w:tc>
        <w:tc>
          <w:tcPr>
            <w:tcW w:w="1275" w:type="dxa"/>
          </w:tcPr>
          <w:p w14:paraId="0C919CD9" w14:textId="67FF0C51" w:rsidR="76CB5D30" w:rsidRDefault="76CB5D30" w:rsidP="2C436F9F">
            <w:pPr>
              <w:spacing w:line="259" w:lineRule="auto"/>
              <w:jc w:val="center"/>
              <w:rPr>
                <w:rFonts w:ascii="Calibri" w:eastAsia="Calibri" w:hAnsi="Calibri" w:cs="Calibri"/>
              </w:rPr>
            </w:pPr>
            <w:r>
              <w:rPr>
                <w:rFonts w:ascii="Calibri" w:eastAsia="Calibri" w:hAnsi="Calibri" w:cs="Calibri"/>
                <w:lang w:val="es-PR"/>
              </w:rPr>
              <w:t>9.75%</w:t>
            </w:r>
          </w:p>
        </w:tc>
      </w:tr>
    </w:tbl>
    <w:p w14:paraId="518172A2" w14:textId="142A57B1" w:rsidR="617D639D" w:rsidRDefault="617D639D" w:rsidP="4D0E0F7D">
      <w:pPr>
        <w:rPr>
          <w:rFonts w:ascii="Calibri" w:eastAsia="Calibri" w:hAnsi="Calibri" w:cs="Calibri"/>
          <w:color w:val="000000" w:themeColor="text1"/>
        </w:rPr>
      </w:pPr>
      <w:r>
        <w:rPr>
          <w:rFonts w:ascii="Calibri" w:eastAsia="Calibri" w:hAnsi="Calibri" w:cs="Calibri"/>
          <w:color w:val="000000" w:themeColor="text1"/>
          <w:lang w:val="es-PR"/>
        </w:rPr>
        <w:t>El ejemplo A muestra un aumento gradual.</w:t>
      </w:r>
    </w:p>
    <w:p w14:paraId="418E8CF8" w14:textId="4CD38DD6" w:rsidR="617D639D" w:rsidRDefault="617D639D" w:rsidP="440AB443">
      <w:pPr>
        <w:spacing w:after="0"/>
        <w:rPr>
          <w:rFonts w:ascii="Calibri" w:eastAsia="Calibri" w:hAnsi="Calibri" w:cs="Calibri"/>
          <w:color w:val="408740"/>
          <w:sz w:val="24"/>
          <w:szCs w:val="24"/>
        </w:rPr>
      </w:pPr>
      <w:r>
        <w:rPr>
          <w:rFonts w:ascii="Calibri" w:eastAsia="Calibri" w:hAnsi="Calibri" w:cs="Calibri"/>
          <w:b/>
          <w:bCs/>
          <w:color w:val="408740"/>
          <w:sz w:val="24"/>
          <w:szCs w:val="24"/>
          <w:lang w:val="es-PR"/>
        </w:rPr>
        <w:t>Ejemplo B</w:t>
      </w:r>
    </w:p>
    <w:tbl>
      <w:tblPr>
        <w:tblStyle w:val="TableGrid"/>
        <w:tblW w:w="0" w:type="auto"/>
        <w:tblLayout w:type="fixed"/>
        <w:tblLook w:val="04A0" w:firstRow="1" w:lastRow="0" w:firstColumn="1" w:lastColumn="0" w:noHBand="0" w:noVBand="1"/>
        <w:tblCaption w:val="Ejemplo B"/>
      </w:tblPr>
      <w:tblGrid>
        <w:gridCol w:w="2220"/>
        <w:gridCol w:w="1275"/>
        <w:gridCol w:w="1275"/>
        <w:gridCol w:w="1275"/>
        <w:gridCol w:w="1275"/>
        <w:gridCol w:w="1275"/>
        <w:gridCol w:w="1275"/>
      </w:tblGrid>
      <w:tr w:rsidR="4D0E0F7D" w14:paraId="5BF5BE6E" w14:textId="77777777" w:rsidTr="00E50925">
        <w:trPr>
          <w:tblHeader/>
        </w:trPr>
        <w:tc>
          <w:tcPr>
            <w:tcW w:w="2220" w:type="dxa"/>
            <w:shd w:val="clear" w:color="auto" w:fill="8496B0" w:themeFill="text2" w:themeFillTint="99"/>
          </w:tcPr>
          <w:p w14:paraId="36F59048" w14:textId="46664171" w:rsidR="4D0E0F7D" w:rsidRDefault="4D0E0F7D" w:rsidP="4D0E0F7D">
            <w:pPr>
              <w:spacing w:line="259" w:lineRule="auto"/>
              <w:jc w:val="center"/>
              <w:rPr>
                <w:rFonts w:ascii="Calibri" w:eastAsia="Calibri" w:hAnsi="Calibri" w:cs="Calibri"/>
              </w:rPr>
            </w:pPr>
            <w:bookmarkStart w:id="0" w:name="_GoBack" w:colFirst="0" w:colLast="7"/>
            <w:r>
              <w:rPr>
                <w:rFonts w:ascii="Calibri" w:eastAsia="Calibri" w:hAnsi="Calibri" w:cs="Calibri"/>
                <w:b/>
                <w:bCs/>
                <w:lang w:val="es-PR"/>
              </w:rPr>
              <w:t>Años fiscales</w:t>
            </w:r>
          </w:p>
        </w:tc>
        <w:tc>
          <w:tcPr>
            <w:tcW w:w="1275" w:type="dxa"/>
            <w:shd w:val="clear" w:color="auto" w:fill="8496B0" w:themeFill="text2" w:themeFillTint="99"/>
          </w:tcPr>
          <w:p w14:paraId="1F6337A3" w14:textId="02A84C5E"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2020</w:t>
            </w:r>
          </w:p>
        </w:tc>
        <w:tc>
          <w:tcPr>
            <w:tcW w:w="1275" w:type="dxa"/>
            <w:shd w:val="clear" w:color="auto" w:fill="8496B0" w:themeFill="text2" w:themeFillTint="99"/>
          </w:tcPr>
          <w:p w14:paraId="333819BF" w14:textId="2A195DEB"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2021</w:t>
            </w:r>
          </w:p>
        </w:tc>
        <w:tc>
          <w:tcPr>
            <w:tcW w:w="1275" w:type="dxa"/>
            <w:shd w:val="clear" w:color="auto" w:fill="8496B0" w:themeFill="text2" w:themeFillTint="99"/>
          </w:tcPr>
          <w:p w14:paraId="11F33FF2" w14:textId="5AB82B68"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2022</w:t>
            </w:r>
          </w:p>
        </w:tc>
        <w:tc>
          <w:tcPr>
            <w:tcW w:w="1275" w:type="dxa"/>
            <w:shd w:val="clear" w:color="auto" w:fill="8496B0" w:themeFill="text2" w:themeFillTint="99"/>
          </w:tcPr>
          <w:p w14:paraId="7EAB2695" w14:textId="6AABBC4C"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2023</w:t>
            </w:r>
          </w:p>
        </w:tc>
        <w:tc>
          <w:tcPr>
            <w:tcW w:w="1275" w:type="dxa"/>
            <w:shd w:val="clear" w:color="auto" w:fill="8496B0" w:themeFill="text2" w:themeFillTint="99"/>
          </w:tcPr>
          <w:p w14:paraId="36A2A0C2" w14:textId="00278846"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2024</w:t>
            </w:r>
          </w:p>
        </w:tc>
        <w:tc>
          <w:tcPr>
            <w:tcW w:w="1275" w:type="dxa"/>
            <w:shd w:val="clear" w:color="auto" w:fill="8496B0" w:themeFill="text2" w:themeFillTint="99"/>
          </w:tcPr>
          <w:p w14:paraId="60713094" w14:textId="1598A251" w:rsidR="4D0E0F7D" w:rsidRDefault="4D0E0F7D" w:rsidP="4D0E0F7D">
            <w:pPr>
              <w:spacing w:line="259" w:lineRule="auto"/>
              <w:jc w:val="center"/>
              <w:rPr>
                <w:rFonts w:ascii="Calibri" w:eastAsia="Calibri" w:hAnsi="Calibri" w:cs="Calibri"/>
              </w:rPr>
            </w:pPr>
            <w:r>
              <w:rPr>
                <w:rFonts w:ascii="Calibri" w:eastAsia="Calibri" w:hAnsi="Calibri" w:cs="Calibri"/>
                <w:b/>
                <w:bCs/>
                <w:lang w:val="es-PR"/>
              </w:rPr>
              <w:t>2025</w:t>
            </w:r>
          </w:p>
        </w:tc>
      </w:tr>
      <w:bookmarkEnd w:id="0"/>
      <w:tr w:rsidR="4D0E0F7D" w14:paraId="1DA51015" w14:textId="77777777" w:rsidTr="2C436F9F">
        <w:tc>
          <w:tcPr>
            <w:tcW w:w="2220" w:type="dxa"/>
          </w:tcPr>
          <w:p w14:paraId="24EDBB91" w14:textId="49112826" w:rsidR="4D0E0F7D" w:rsidRDefault="4961E004" w:rsidP="563487A3">
            <w:pPr>
              <w:spacing w:line="259" w:lineRule="auto"/>
              <w:rPr>
                <w:rFonts w:ascii="Calibri" w:eastAsia="Calibri" w:hAnsi="Calibri" w:cs="Calibri"/>
              </w:rPr>
            </w:pPr>
            <w:r>
              <w:rPr>
                <w:rFonts w:ascii="Calibri" w:eastAsia="Calibri" w:hAnsi="Calibri" w:cs="Calibri"/>
                <w:lang w:val="es-PR"/>
              </w:rPr>
              <w:t>A: Objetivo ≥</w:t>
            </w:r>
          </w:p>
        </w:tc>
        <w:tc>
          <w:tcPr>
            <w:tcW w:w="1275" w:type="dxa"/>
          </w:tcPr>
          <w:p w14:paraId="0B8F77F6" w14:textId="59B39B0C" w:rsidR="4D0E0F7D" w:rsidRDefault="171C7E67" w:rsidP="2C436F9F">
            <w:pPr>
              <w:spacing w:line="259" w:lineRule="auto"/>
              <w:jc w:val="center"/>
              <w:rPr>
                <w:rFonts w:ascii="Calibri" w:eastAsia="Calibri" w:hAnsi="Calibri" w:cs="Calibri"/>
              </w:rPr>
            </w:pPr>
            <w:r>
              <w:rPr>
                <w:rFonts w:ascii="Calibri" w:eastAsia="Calibri" w:hAnsi="Calibri" w:cs="Calibri"/>
                <w:lang w:val="es-PR"/>
              </w:rPr>
              <w:t>Línea de base: 48.16%</w:t>
            </w:r>
          </w:p>
        </w:tc>
        <w:tc>
          <w:tcPr>
            <w:tcW w:w="1275" w:type="dxa"/>
          </w:tcPr>
          <w:p w14:paraId="32C063F0" w14:textId="63C8EA6B" w:rsidR="4D0E0F7D" w:rsidRDefault="7C007190" w:rsidP="2C436F9F">
            <w:pPr>
              <w:spacing w:line="259" w:lineRule="auto"/>
              <w:jc w:val="center"/>
              <w:rPr>
                <w:rFonts w:ascii="Calibri" w:eastAsia="Calibri" w:hAnsi="Calibri" w:cs="Calibri"/>
              </w:rPr>
            </w:pPr>
            <w:r>
              <w:rPr>
                <w:rFonts w:ascii="Calibri" w:eastAsia="Calibri" w:hAnsi="Calibri" w:cs="Calibri"/>
                <w:lang w:val="es-PR"/>
              </w:rPr>
              <w:t>48.16%</w:t>
            </w:r>
          </w:p>
        </w:tc>
        <w:tc>
          <w:tcPr>
            <w:tcW w:w="1275" w:type="dxa"/>
          </w:tcPr>
          <w:p w14:paraId="252A4181" w14:textId="35F2C20E" w:rsidR="4D0E0F7D" w:rsidRDefault="0B477588" w:rsidP="2C436F9F">
            <w:pPr>
              <w:spacing w:line="259" w:lineRule="auto"/>
              <w:jc w:val="center"/>
              <w:rPr>
                <w:rFonts w:ascii="Calibri" w:eastAsia="Calibri" w:hAnsi="Calibri" w:cs="Calibri"/>
              </w:rPr>
            </w:pPr>
            <w:r>
              <w:rPr>
                <w:rFonts w:ascii="Calibri" w:eastAsia="Calibri" w:hAnsi="Calibri" w:cs="Calibri"/>
                <w:lang w:val="es-PR"/>
              </w:rPr>
              <w:t>48.00 %</w:t>
            </w:r>
          </w:p>
        </w:tc>
        <w:tc>
          <w:tcPr>
            <w:tcW w:w="1275" w:type="dxa"/>
          </w:tcPr>
          <w:p w14:paraId="15B8CD89" w14:textId="592FB55F" w:rsidR="4D0E0F7D" w:rsidRDefault="18BC89EC" w:rsidP="2C436F9F">
            <w:pPr>
              <w:spacing w:line="259" w:lineRule="auto"/>
              <w:jc w:val="center"/>
              <w:rPr>
                <w:rFonts w:ascii="Calibri" w:eastAsia="Calibri" w:hAnsi="Calibri" w:cs="Calibri"/>
              </w:rPr>
            </w:pPr>
            <w:r>
              <w:rPr>
                <w:rFonts w:ascii="Calibri" w:eastAsia="Calibri" w:hAnsi="Calibri" w:cs="Calibri"/>
                <w:lang w:val="es-PR"/>
              </w:rPr>
              <w:t>48.00%</w:t>
            </w:r>
          </w:p>
        </w:tc>
        <w:tc>
          <w:tcPr>
            <w:tcW w:w="1275" w:type="dxa"/>
          </w:tcPr>
          <w:p w14:paraId="01BE5110" w14:textId="16E44723" w:rsidR="4D0E0F7D" w:rsidRDefault="55C68CB5" w:rsidP="2C436F9F">
            <w:pPr>
              <w:spacing w:line="259" w:lineRule="auto"/>
              <w:jc w:val="center"/>
              <w:rPr>
                <w:rFonts w:ascii="Calibri" w:eastAsia="Calibri" w:hAnsi="Calibri" w:cs="Calibri"/>
              </w:rPr>
            </w:pPr>
            <w:r>
              <w:rPr>
                <w:rFonts w:ascii="Calibri" w:eastAsia="Calibri" w:hAnsi="Calibri" w:cs="Calibri"/>
                <w:lang w:val="es-PR"/>
              </w:rPr>
              <w:t>49.00%</w:t>
            </w:r>
          </w:p>
        </w:tc>
        <w:tc>
          <w:tcPr>
            <w:tcW w:w="1275" w:type="dxa"/>
          </w:tcPr>
          <w:p w14:paraId="72168331" w14:textId="679F75DE" w:rsidR="4D0E0F7D" w:rsidRDefault="26CCFC22" w:rsidP="2C436F9F">
            <w:pPr>
              <w:spacing w:line="259" w:lineRule="auto"/>
              <w:jc w:val="center"/>
              <w:rPr>
                <w:rFonts w:ascii="Calibri" w:eastAsia="Calibri" w:hAnsi="Calibri" w:cs="Calibri"/>
              </w:rPr>
            </w:pPr>
            <w:r>
              <w:rPr>
                <w:rFonts w:ascii="Calibri" w:eastAsia="Calibri" w:hAnsi="Calibri" w:cs="Calibri"/>
                <w:lang w:val="es-PR"/>
              </w:rPr>
              <w:t>50.00%</w:t>
            </w:r>
          </w:p>
        </w:tc>
      </w:tr>
      <w:tr w:rsidR="563487A3" w14:paraId="01BE53AD" w14:textId="77777777" w:rsidTr="2C436F9F">
        <w:tc>
          <w:tcPr>
            <w:tcW w:w="2220" w:type="dxa"/>
          </w:tcPr>
          <w:p w14:paraId="02321D79" w14:textId="00C206AF" w:rsidR="2FF0482B" w:rsidRDefault="2FF0482B" w:rsidP="563487A3">
            <w:pPr>
              <w:spacing w:line="259" w:lineRule="auto"/>
              <w:rPr>
                <w:rFonts w:ascii="Arial" w:eastAsia="Arial" w:hAnsi="Arial" w:cs="Arial"/>
                <w:sz w:val="16"/>
                <w:szCs w:val="16"/>
              </w:rPr>
            </w:pPr>
            <w:r>
              <w:rPr>
                <w:rFonts w:ascii="Calibri" w:hAnsi="Calibri"/>
                <w:lang w:val="es-PR"/>
              </w:rPr>
              <w:t>B: Objetivo</w:t>
            </w:r>
            <w:r>
              <w:rPr>
                <w:rFonts w:ascii="Arial" w:hAnsi="Arial"/>
                <w:sz w:val="16"/>
                <w:szCs w:val="16"/>
                <w:lang w:val="es-PR"/>
              </w:rPr>
              <w:t xml:space="preserve"> ≤</w:t>
            </w:r>
          </w:p>
        </w:tc>
        <w:tc>
          <w:tcPr>
            <w:tcW w:w="1275" w:type="dxa"/>
          </w:tcPr>
          <w:p w14:paraId="762DC97D" w14:textId="7F16DF57" w:rsidR="77E32A3D" w:rsidRDefault="338609A0" w:rsidP="2C436F9F">
            <w:pPr>
              <w:spacing w:line="259" w:lineRule="auto"/>
              <w:jc w:val="center"/>
              <w:rPr>
                <w:rFonts w:ascii="Calibri" w:eastAsia="Calibri" w:hAnsi="Calibri" w:cs="Calibri"/>
              </w:rPr>
            </w:pPr>
            <w:r>
              <w:rPr>
                <w:rFonts w:ascii="Calibri" w:eastAsia="Calibri" w:hAnsi="Calibri" w:cs="Calibri"/>
                <w:lang w:val="es-PR"/>
              </w:rPr>
              <w:t>Línea de base: 23.50%</w:t>
            </w:r>
          </w:p>
        </w:tc>
        <w:tc>
          <w:tcPr>
            <w:tcW w:w="1275" w:type="dxa"/>
          </w:tcPr>
          <w:p w14:paraId="67ECB9E7" w14:textId="68D65438" w:rsidR="5BD65965" w:rsidRDefault="5BD65965" w:rsidP="2C436F9F">
            <w:pPr>
              <w:spacing w:line="259" w:lineRule="auto"/>
              <w:jc w:val="center"/>
              <w:rPr>
                <w:rFonts w:ascii="Calibri" w:eastAsia="Calibri" w:hAnsi="Calibri" w:cs="Calibri"/>
              </w:rPr>
            </w:pPr>
            <w:r>
              <w:rPr>
                <w:rFonts w:ascii="Calibri" w:eastAsia="Calibri" w:hAnsi="Calibri" w:cs="Calibri"/>
                <w:lang w:val="es-PR"/>
              </w:rPr>
              <w:t>23.50%</w:t>
            </w:r>
          </w:p>
        </w:tc>
        <w:tc>
          <w:tcPr>
            <w:tcW w:w="1275" w:type="dxa"/>
          </w:tcPr>
          <w:p w14:paraId="22458CF2" w14:textId="06F32078" w:rsidR="155F6890" w:rsidRDefault="155F6890" w:rsidP="2C436F9F">
            <w:pPr>
              <w:spacing w:line="259" w:lineRule="auto"/>
              <w:jc w:val="center"/>
              <w:rPr>
                <w:rFonts w:ascii="Calibri" w:eastAsia="Calibri" w:hAnsi="Calibri" w:cs="Calibri"/>
              </w:rPr>
            </w:pPr>
            <w:r>
              <w:rPr>
                <w:rFonts w:ascii="Calibri" w:eastAsia="Calibri" w:hAnsi="Calibri" w:cs="Calibri"/>
                <w:lang w:val="es-PR"/>
              </w:rPr>
              <w:t>23.00%</w:t>
            </w:r>
          </w:p>
        </w:tc>
        <w:tc>
          <w:tcPr>
            <w:tcW w:w="1275" w:type="dxa"/>
          </w:tcPr>
          <w:p w14:paraId="2CD924EA" w14:textId="741814AB" w:rsidR="3AA8473B" w:rsidRDefault="3AA8473B" w:rsidP="2C436F9F">
            <w:pPr>
              <w:spacing w:line="259" w:lineRule="auto"/>
              <w:jc w:val="center"/>
              <w:rPr>
                <w:rFonts w:ascii="Calibri" w:eastAsia="Calibri" w:hAnsi="Calibri" w:cs="Calibri"/>
              </w:rPr>
            </w:pPr>
            <w:r>
              <w:rPr>
                <w:rFonts w:ascii="Calibri" w:eastAsia="Calibri" w:hAnsi="Calibri" w:cs="Calibri"/>
                <w:lang w:val="es-PR"/>
              </w:rPr>
              <w:t>23.00%</w:t>
            </w:r>
          </w:p>
        </w:tc>
        <w:tc>
          <w:tcPr>
            <w:tcW w:w="1275" w:type="dxa"/>
          </w:tcPr>
          <w:p w14:paraId="660D3401" w14:textId="0FB00572" w:rsidR="2759E963" w:rsidRDefault="2759E963" w:rsidP="2C436F9F">
            <w:pPr>
              <w:spacing w:line="259" w:lineRule="auto"/>
              <w:jc w:val="center"/>
              <w:rPr>
                <w:rFonts w:ascii="Calibri" w:eastAsia="Calibri" w:hAnsi="Calibri" w:cs="Calibri"/>
              </w:rPr>
            </w:pPr>
            <w:r>
              <w:rPr>
                <w:rFonts w:ascii="Calibri" w:eastAsia="Calibri" w:hAnsi="Calibri" w:cs="Calibri"/>
                <w:lang w:val="es-PR"/>
              </w:rPr>
              <w:t>22.00%</w:t>
            </w:r>
          </w:p>
        </w:tc>
        <w:tc>
          <w:tcPr>
            <w:tcW w:w="1275" w:type="dxa"/>
          </w:tcPr>
          <w:p w14:paraId="6B249D38" w14:textId="0526E3E9" w:rsidR="2F213194" w:rsidRDefault="2F213194" w:rsidP="2C436F9F">
            <w:pPr>
              <w:spacing w:line="259" w:lineRule="auto"/>
              <w:jc w:val="center"/>
              <w:rPr>
                <w:rFonts w:ascii="Calibri" w:eastAsia="Calibri" w:hAnsi="Calibri" w:cs="Calibri"/>
              </w:rPr>
            </w:pPr>
            <w:r>
              <w:rPr>
                <w:rFonts w:ascii="Calibri" w:eastAsia="Calibri" w:hAnsi="Calibri" w:cs="Calibri"/>
                <w:lang w:val="es-PR"/>
              </w:rPr>
              <w:t>21.00%</w:t>
            </w:r>
          </w:p>
        </w:tc>
      </w:tr>
      <w:tr w:rsidR="563487A3" w14:paraId="6E31753F" w14:textId="77777777" w:rsidTr="2C436F9F">
        <w:tc>
          <w:tcPr>
            <w:tcW w:w="2220" w:type="dxa"/>
          </w:tcPr>
          <w:p w14:paraId="3E813D08" w14:textId="65FC2C5A" w:rsidR="2FF0482B" w:rsidRDefault="2FF0482B" w:rsidP="563487A3">
            <w:pPr>
              <w:spacing w:line="259" w:lineRule="auto"/>
              <w:rPr>
                <w:rFonts w:ascii="Arial" w:eastAsia="Arial" w:hAnsi="Arial" w:cs="Arial"/>
                <w:sz w:val="16"/>
                <w:szCs w:val="16"/>
              </w:rPr>
            </w:pPr>
            <w:r>
              <w:rPr>
                <w:rFonts w:ascii="Calibri" w:hAnsi="Calibri"/>
                <w:lang w:val="es-PR"/>
              </w:rPr>
              <w:t>C: Objetivo</w:t>
            </w:r>
            <w:r>
              <w:rPr>
                <w:rFonts w:ascii="Arial" w:hAnsi="Arial"/>
                <w:sz w:val="16"/>
                <w:szCs w:val="16"/>
                <w:lang w:val="es-PR"/>
              </w:rPr>
              <w:t xml:space="preserve"> ≤</w:t>
            </w:r>
          </w:p>
        </w:tc>
        <w:tc>
          <w:tcPr>
            <w:tcW w:w="1275" w:type="dxa"/>
          </w:tcPr>
          <w:p w14:paraId="1604C1CB" w14:textId="19F4A74D" w:rsidR="2FF0482B" w:rsidRDefault="2FF0482B" w:rsidP="563487A3">
            <w:pPr>
              <w:spacing w:line="259" w:lineRule="auto"/>
              <w:jc w:val="center"/>
              <w:rPr>
                <w:rFonts w:ascii="Calibri" w:eastAsia="Calibri" w:hAnsi="Calibri" w:cs="Calibri"/>
              </w:rPr>
            </w:pPr>
            <w:r>
              <w:rPr>
                <w:rFonts w:ascii="Calibri" w:eastAsia="Calibri" w:hAnsi="Calibri" w:cs="Calibri"/>
                <w:lang w:val="es-PR"/>
              </w:rPr>
              <w:t>Línea de base: 10.25%</w:t>
            </w:r>
          </w:p>
        </w:tc>
        <w:tc>
          <w:tcPr>
            <w:tcW w:w="1275" w:type="dxa"/>
          </w:tcPr>
          <w:p w14:paraId="1F281EBC" w14:textId="4CEE5747" w:rsidR="2F602488" w:rsidRDefault="2F602488" w:rsidP="2C436F9F">
            <w:pPr>
              <w:spacing w:line="259" w:lineRule="auto"/>
              <w:jc w:val="center"/>
              <w:rPr>
                <w:rFonts w:ascii="Calibri" w:eastAsia="Calibri" w:hAnsi="Calibri" w:cs="Calibri"/>
              </w:rPr>
            </w:pPr>
            <w:r>
              <w:rPr>
                <w:rFonts w:ascii="Calibri" w:eastAsia="Calibri" w:hAnsi="Calibri" w:cs="Calibri"/>
                <w:lang w:val="es-PR"/>
              </w:rPr>
              <w:t>10.25%</w:t>
            </w:r>
          </w:p>
        </w:tc>
        <w:tc>
          <w:tcPr>
            <w:tcW w:w="1275" w:type="dxa"/>
          </w:tcPr>
          <w:p w14:paraId="7875F5F4" w14:textId="651FE532" w:rsidR="4C763C71" w:rsidRDefault="4C763C71" w:rsidP="2C436F9F">
            <w:pPr>
              <w:spacing w:line="259" w:lineRule="auto"/>
              <w:jc w:val="center"/>
              <w:rPr>
                <w:rFonts w:ascii="Calibri" w:eastAsia="Calibri" w:hAnsi="Calibri" w:cs="Calibri"/>
              </w:rPr>
            </w:pPr>
            <w:r>
              <w:rPr>
                <w:rFonts w:ascii="Calibri" w:eastAsia="Calibri" w:hAnsi="Calibri" w:cs="Calibri"/>
                <w:lang w:val="es-PR"/>
              </w:rPr>
              <w:t>10.00%</w:t>
            </w:r>
          </w:p>
        </w:tc>
        <w:tc>
          <w:tcPr>
            <w:tcW w:w="1275" w:type="dxa"/>
          </w:tcPr>
          <w:p w14:paraId="79ADB44B" w14:textId="1210E798" w:rsidR="2AB6DDDC" w:rsidRDefault="2AB6DDDC" w:rsidP="2C436F9F">
            <w:pPr>
              <w:spacing w:line="259" w:lineRule="auto"/>
              <w:jc w:val="center"/>
              <w:rPr>
                <w:rFonts w:ascii="Calibri" w:eastAsia="Calibri" w:hAnsi="Calibri" w:cs="Calibri"/>
              </w:rPr>
            </w:pPr>
            <w:r>
              <w:rPr>
                <w:rFonts w:ascii="Calibri" w:eastAsia="Calibri" w:hAnsi="Calibri" w:cs="Calibri"/>
                <w:lang w:val="es-PR"/>
              </w:rPr>
              <w:t>10.00%</w:t>
            </w:r>
          </w:p>
        </w:tc>
        <w:tc>
          <w:tcPr>
            <w:tcW w:w="1275" w:type="dxa"/>
          </w:tcPr>
          <w:p w14:paraId="5C6B4C84" w14:textId="449DF700" w:rsidR="5BCEB4D2" w:rsidRDefault="5BCEB4D2" w:rsidP="2C436F9F">
            <w:pPr>
              <w:spacing w:line="259" w:lineRule="auto"/>
              <w:jc w:val="center"/>
              <w:rPr>
                <w:rFonts w:ascii="Calibri" w:eastAsia="Calibri" w:hAnsi="Calibri" w:cs="Calibri"/>
              </w:rPr>
            </w:pPr>
            <w:r>
              <w:rPr>
                <w:rFonts w:ascii="Calibri" w:eastAsia="Calibri" w:hAnsi="Calibri" w:cs="Calibri"/>
                <w:lang w:val="es-PR"/>
              </w:rPr>
              <w:t>9.50%</w:t>
            </w:r>
          </w:p>
        </w:tc>
        <w:tc>
          <w:tcPr>
            <w:tcW w:w="1275" w:type="dxa"/>
          </w:tcPr>
          <w:p w14:paraId="66E8393A" w14:textId="143C5E92" w:rsidR="0ADEE78D" w:rsidRDefault="0ADEE78D" w:rsidP="2C436F9F">
            <w:pPr>
              <w:spacing w:line="259" w:lineRule="auto"/>
              <w:jc w:val="center"/>
              <w:rPr>
                <w:rFonts w:ascii="Calibri" w:eastAsia="Calibri" w:hAnsi="Calibri" w:cs="Calibri"/>
              </w:rPr>
            </w:pPr>
            <w:r>
              <w:rPr>
                <w:rFonts w:ascii="Calibri" w:eastAsia="Calibri" w:hAnsi="Calibri" w:cs="Calibri"/>
                <w:lang w:val="es-PR"/>
              </w:rPr>
              <w:t>9.00%</w:t>
            </w:r>
          </w:p>
        </w:tc>
      </w:tr>
    </w:tbl>
    <w:p w14:paraId="76E97FB1" w14:textId="698D046C" w:rsidR="617D639D" w:rsidRPr="008F727F" w:rsidRDefault="617D639D" w:rsidP="20F6DFA2">
      <w:pPr>
        <w:rPr>
          <w:rFonts w:ascii="Calibri" w:eastAsia="Calibri" w:hAnsi="Calibri" w:cs="Calibri"/>
          <w:color w:val="000000" w:themeColor="text1"/>
        </w:rPr>
      </w:pPr>
      <w:r>
        <w:rPr>
          <w:rFonts w:ascii="Calibri" w:eastAsia="Calibri" w:hAnsi="Calibri" w:cs="Calibri"/>
          <w:color w:val="000000" w:themeColor="text1"/>
          <w:lang w:val="es-PR"/>
        </w:rPr>
        <w:t xml:space="preserve">El ejemplo B muestra un conjunto de objetivos más sólido. </w:t>
      </w:r>
    </w:p>
    <w:p w14:paraId="5D989595" w14:textId="5D57F0CF" w:rsidR="617D639D" w:rsidRDefault="4EF629B4" w:rsidP="440AB443">
      <w:pPr>
        <w:spacing w:after="0"/>
        <w:jc w:val="center"/>
        <w:rPr>
          <w:rFonts w:ascii="Calibri" w:eastAsia="Calibri" w:hAnsi="Calibri" w:cs="Calibri"/>
          <w:b/>
          <w:bCs/>
        </w:rPr>
      </w:pPr>
      <w:r>
        <w:rPr>
          <w:rFonts w:ascii="Calibri" w:eastAsia="Calibri" w:hAnsi="Calibri" w:cs="Calibri"/>
          <w:b/>
          <w:bCs/>
          <w:color w:val="538135" w:themeColor="accent6" w:themeShade="BF"/>
          <w:lang w:val="es-PR"/>
        </w:rPr>
        <w:lastRenderedPageBreak/>
        <w:t xml:space="preserve">Si necesita más información para brindar su opinión, comuníquese con Meredith Villines en </w:t>
      </w:r>
      <w:hyperlink r:id="rId15">
        <w:r>
          <w:rPr>
            <w:rStyle w:val="Hyperlink"/>
            <w:rFonts w:ascii="Calibri" w:eastAsia="Calibri" w:hAnsi="Calibri" w:cs="Calibri"/>
            <w:b/>
            <w:bCs/>
            <w:lang w:val="es-PR"/>
          </w:rPr>
          <w:t>meredith.villines@state.or.us</w:t>
        </w:r>
      </w:hyperlink>
      <w:r>
        <w:rPr>
          <w:rFonts w:ascii="Calibri" w:eastAsia="Calibri" w:hAnsi="Calibri" w:cs="Calibri"/>
          <w:b/>
          <w:bCs/>
          <w:lang w:val="es-PR"/>
        </w:rPr>
        <w:t xml:space="preserve">. </w:t>
      </w:r>
    </w:p>
    <w:p w14:paraId="723EA37E" w14:textId="68F8B4EE" w:rsidR="617D639D" w:rsidRDefault="617D639D" w:rsidP="600DFCD9">
      <w:pPr>
        <w:rPr>
          <w:rFonts w:ascii="Calibri" w:eastAsia="Calibri" w:hAnsi="Calibri" w:cs="Calibri"/>
          <w:color w:val="000000" w:themeColor="text1"/>
          <w:sz w:val="24"/>
          <w:szCs w:val="24"/>
        </w:rPr>
      </w:pPr>
    </w:p>
    <w:sectPr w:rsidR="617D639D">
      <w:headerReference w:type="even" r:id="rId16"/>
      <w:headerReference w:type="default" r:id="rId17"/>
      <w:footerReference w:type="even" r:id="rId18"/>
      <w:footerReference w:type="default" r:id="rId19"/>
      <w:headerReference w:type="first" r:id="rId20"/>
      <w:footerReference w:type="first" r:id="rId21"/>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F5EC" w14:textId="77777777" w:rsidR="007911BE" w:rsidRDefault="007911BE" w:rsidP="00A015AF">
      <w:pPr>
        <w:spacing w:after="0" w:line="240" w:lineRule="auto"/>
      </w:pPr>
      <w:r>
        <w:separator/>
      </w:r>
    </w:p>
  </w:endnote>
  <w:endnote w:type="continuationSeparator" w:id="0">
    <w:p w14:paraId="0FEA6C38" w14:textId="77777777" w:rsidR="007911BE" w:rsidRDefault="007911BE" w:rsidP="00A015AF">
      <w:pPr>
        <w:spacing w:after="0" w:line="240" w:lineRule="auto"/>
      </w:pPr>
      <w:r>
        <w:continuationSeparator/>
      </w:r>
    </w:p>
  </w:endnote>
  <w:endnote w:type="continuationNotice" w:id="1">
    <w:p w14:paraId="3A2F7843"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8ADF" w14:textId="77777777" w:rsidR="00CA2F56" w:rsidRDefault="00CA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41BD" w14:textId="42B8E1B4" w:rsidR="4D0E0F7D" w:rsidRDefault="00506A1E" w:rsidP="4D0E0F7D">
    <w:pPr>
      <w:pStyle w:val="Footer"/>
    </w:pPr>
    <w:r>
      <w:rPr>
        <w:lang w:val="es-PR"/>
      </w:rPr>
      <w:t>Hoja de datos del plan estatal de desempeño - Indicador B6</w:t>
    </w:r>
    <w:r>
      <w:rPr>
        <w:lang w:val="es-PR"/>
      </w:rPr>
      <w:tab/>
    </w:r>
    <w:r>
      <w:rPr>
        <w:lang w:val="es-PR"/>
      </w:rPr>
      <w:tab/>
    </w:r>
    <w:r>
      <w:rPr>
        <w:lang w:val="es-PR"/>
      </w:rPr>
      <w:fldChar w:fldCharType="begin"/>
    </w:r>
    <w:r>
      <w:rPr>
        <w:lang w:val="es-PR"/>
      </w:rPr>
      <w:instrText xml:space="preserve"> PAGE   \* MERGEFORMAT </w:instrText>
    </w:r>
    <w:r>
      <w:rPr>
        <w:lang w:val="es-PR"/>
      </w:rPr>
      <w:fldChar w:fldCharType="separate"/>
    </w:r>
    <w:r w:rsidR="00E71F84">
      <w:rPr>
        <w:noProof/>
        <w:lang w:val="es-PR"/>
      </w:rPr>
      <w:t>6</w:t>
    </w:r>
    <w:r>
      <w:rPr>
        <w:noProof/>
        <w:lang w:val="es-P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6557" w14:textId="77777777" w:rsidR="00CA2F56" w:rsidRDefault="00CA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5465" w14:textId="77777777" w:rsidR="007911BE" w:rsidRDefault="007911BE" w:rsidP="00A015AF">
      <w:pPr>
        <w:spacing w:after="0" w:line="240" w:lineRule="auto"/>
      </w:pPr>
      <w:r>
        <w:separator/>
      </w:r>
    </w:p>
  </w:footnote>
  <w:footnote w:type="continuationSeparator" w:id="0">
    <w:p w14:paraId="7C473492" w14:textId="77777777" w:rsidR="007911BE" w:rsidRDefault="007911BE" w:rsidP="00A015AF">
      <w:pPr>
        <w:spacing w:after="0" w:line="240" w:lineRule="auto"/>
      </w:pPr>
      <w:r>
        <w:continuationSeparator/>
      </w:r>
    </w:p>
  </w:footnote>
  <w:footnote w:type="continuationNotice" w:id="1">
    <w:p w14:paraId="145CD9E5"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D17C" w14:textId="77777777" w:rsidR="00CA2F56" w:rsidRDefault="00CA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F4C5" w14:textId="77777777" w:rsidR="00CA2F56" w:rsidRDefault="00CA2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792A" w14:textId="77777777" w:rsidR="00CA2F56" w:rsidRDefault="00CA2F56">
    <w:pPr>
      <w:pStyle w:val="Header"/>
    </w:pPr>
  </w:p>
</w:hdr>
</file>

<file path=word/intelligence.xml><?xml version="1.0" encoding="utf-8"?>
<int:Intelligence xmlns:int="http://schemas.microsoft.com/office/intelligence/2019/intelligence">
  <int:IntelligenceSettings/>
  <int:Manifest>
    <int:ParagraphRange paragraphId="1881050260" textId="1983654492" start="361" length="15" invalidationStart="361" invalidationLength="15" id="0+ZBpOud"/>
  </int:Manifest>
  <int:Observations>
    <int:Content id="0+ZBpOu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2211355"/>
    <w:multiLevelType w:val="hybridMultilevel"/>
    <w:tmpl w:val="95DED630"/>
    <w:lvl w:ilvl="0" w:tplc="A7281954">
      <w:start w:val="1"/>
      <w:numFmt w:val="upperLetter"/>
      <w:lvlText w:val="%1."/>
      <w:lvlJc w:val="left"/>
      <w:pPr>
        <w:ind w:left="720" w:hanging="360"/>
      </w:pPr>
    </w:lvl>
    <w:lvl w:ilvl="1" w:tplc="0450C28A">
      <w:start w:val="1"/>
      <w:numFmt w:val="lowerLetter"/>
      <w:lvlText w:val="%2."/>
      <w:lvlJc w:val="left"/>
      <w:pPr>
        <w:ind w:left="1440" w:hanging="360"/>
      </w:pPr>
    </w:lvl>
    <w:lvl w:ilvl="2" w:tplc="CF86C4E0">
      <w:start w:val="1"/>
      <w:numFmt w:val="lowerRoman"/>
      <w:lvlText w:val="%3."/>
      <w:lvlJc w:val="right"/>
      <w:pPr>
        <w:ind w:left="2160" w:hanging="180"/>
      </w:pPr>
    </w:lvl>
    <w:lvl w:ilvl="3" w:tplc="3A68188E">
      <w:start w:val="1"/>
      <w:numFmt w:val="decimal"/>
      <w:lvlText w:val="%4."/>
      <w:lvlJc w:val="left"/>
      <w:pPr>
        <w:ind w:left="2880" w:hanging="360"/>
      </w:pPr>
    </w:lvl>
    <w:lvl w:ilvl="4" w:tplc="679A0C84">
      <w:start w:val="1"/>
      <w:numFmt w:val="lowerLetter"/>
      <w:lvlText w:val="%5."/>
      <w:lvlJc w:val="left"/>
      <w:pPr>
        <w:ind w:left="3600" w:hanging="360"/>
      </w:pPr>
    </w:lvl>
    <w:lvl w:ilvl="5" w:tplc="6E16A1CC">
      <w:start w:val="1"/>
      <w:numFmt w:val="lowerRoman"/>
      <w:lvlText w:val="%6."/>
      <w:lvlJc w:val="right"/>
      <w:pPr>
        <w:ind w:left="4320" w:hanging="180"/>
      </w:pPr>
    </w:lvl>
    <w:lvl w:ilvl="6" w:tplc="8FD436B6">
      <w:start w:val="1"/>
      <w:numFmt w:val="decimal"/>
      <w:lvlText w:val="%7."/>
      <w:lvlJc w:val="left"/>
      <w:pPr>
        <w:ind w:left="5040" w:hanging="360"/>
      </w:pPr>
    </w:lvl>
    <w:lvl w:ilvl="7" w:tplc="40766C3E">
      <w:start w:val="1"/>
      <w:numFmt w:val="lowerLetter"/>
      <w:lvlText w:val="%8."/>
      <w:lvlJc w:val="left"/>
      <w:pPr>
        <w:ind w:left="5760" w:hanging="360"/>
      </w:pPr>
    </w:lvl>
    <w:lvl w:ilvl="8" w:tplc="E3EEBF00">
      <w:start w:val="1"/>
      <w:numFmt w:val="lowerRoman"/>
      <w:lvlText w:val="%9."/>
      <w:lvlJc w:val="right"/>
      <w:pPr>
        <w:ind w:left="6480" w:hanging="180"/>
      </w:pPr>
    </w:lvl>
  </w:abstractNum>
  <w:abstractNum w:abstractNumId="5" w15:restartNumberingAfterBreak="0">
    <w:nsid w:val="2F255602"/>
    <w:multiLevelType w:val="hybridMultilevel"/>
    <w:tmpl w:val="C7D86026"/>
    <w:lvl w:ilvl="0" w:tplc="F6C46696">
      <w:start w:val="1"/>
      <w:numFmt w:val="bullet"/>
      <w:lvlText w:val=""/>
      <w:lvlJc w:val="left"/>
      <w:pPr>
        <w:ind w:left="720" w:hanging="360"/>
      </w:pPr>
      <w:rPr>
        <w:rFonts w:ascii="Symbol" w:hAnsi="Symbol" w:hint="default"/>
      </w:rPr>
    </w:lvl>
    <w:lvl w:ilvl="1" w:tplc="0B4810A0">
      <w:start w:val="1"/>
      <w:numFmt w:val="bullet"/>
      <w:lvlText w:val="o"/>
      <w:lvlJc w:val="left"/>
      <w:pPr>
        <w:ind w:left="1440" w:hanging="360"/>
      </w:pPr>
      <w:rPr>
        <w:rFonts w:ascii="Courier New" w:hAnsi="Courier New" w:hint="default"/>
      </w:rPr>
    </w:lvl>
    <w:lvl w:ilvl="2" w:tplc="4198DDCE">
      <w:start w:val="1"/>
      <w:numFmt w:val="bullet"/>
      <w:lvlText w:val=""/>
      <w:lvlJc w:val="left"/>
      <w:pPr>
        <w:ind w:left="2160" w:hanging="360"/>
      </w:pPr>
      <w:rPr>
        <w:rFonts w:ascii="Wingdings" w:hAnsi="Wingdings" w:hint="default"/>
      </w:rPr>
    </w:lvl>
    <w:lvl w:ilvl="3" w:tplc="CC8CB4AE">
      <w:start w:val="1"/>
      <w:numFmt w:val="bullet"/>
      <w:lvlText w:val=""/>
      <w:lvlJc w:val="left"/>
      <w:pPr>
        <w:ind w:left="2880" w:hanging="360"/>
      </w:pPr>
      <w:rPr>
        <w:rFonts w:ascii="Symbol" w:hAnsi="Symbol" w:hint="default"/>
      </w:rPr>
    </w:lvl>
    <w:lvl w:ilvl="4" w:tplc="04A20AA2">
      <w:start w:val="1"/>
      <w:numFmt w:val="bullet"/>
      <w:lvlText w:val="o"/>
      <w:lvlJc w:val="left"/>
      <w:pPr>
        <w:ind w:left="3600" w:hanging="360"/>
      </w:pPr>
      <w:rPr>
        <w:rFonts w:ascii="Courier New" w:hAnsi="Courier New" w:hint="default"/>
      </w:rPr>
    </w:lvl>
    <w:lvl w:ilvl="5" w:tplc="2F1A60A2">
      <w:start w:val="1"/>
      <w:numFmt w:val="bullet"/>
      <w:lvlText w:val=""/>
      <w:lvlJc w:val="left"/>
      <w:pPr>
        <w:ind w:left="4320" w:hanging="360"/>
      </w:pPr>
      <w:rPr>
        <w:rFonts w:ascii="Wingdings" w:hAnsi="Wingdings" w:hint="default"/>
      </w:rPr>
    </w:lvl>
    <w:lvl w:ilvl="6" w:tplc="C21A1B94">
      <w:start w:val="1"/>
      <w:numFmt w:val="bullet"/>
      <w:lvlText w:val=""/>
      <w:lvlJc w:val="left"/>
      <w:pPr>
        <w:ind w:left="5040" w:hanging="360"/>
      </w:pPr>
      <w:rPr>
        <w:rFonts w:ascii="Symbol" w:hAnsi="Symbol" w:hint="default"/>
      </w:rPr>
    </w:lvl>
    <w:lvl w:ilvl="7" w:tplc="4BB60368">
      <w:start w:val="1"/>
      <w:numFmt w:val="bullet"/>
      <w:lvlText w:val="o"/>
      <w:lvlJc w:val="left"/>
      <w:pPr>
        <w:ind w:left="5760" w:hanging="360"/>
      </w:pPr>
      <w:rPr>
        <w:rFonts w:ascii="Courier New" w:hAnsi="Courier New" w:hint="default"/>
      </w:rPr>
    </w:lvl>
    <w:lvl w:ilvl="8" w:tplc="F2228AC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29D8"/>
    <w:multiLevelType w:val="hybridMultilevel"/>
    <w:tmpl w:val="192C18D6"/>
    <w:lvl w:ilvl="0" w:tplc="4246D578">
      <w:start w:val="1"/>
      <w:numFmt w:val="bullet"/>
      <w:lvlText w:val=""/>
      <w:lvlJc w:val="left"/>
      <w:pPr>
        <w:ind w:left="720" w:hanging="360"/>
      </w:pPr>
      <w:rPr>
        <w:rFonts w:ascii="Symbol" w:hAnsi="Symbol" w:hint="default"/>
      </w:rPr>
    </w:lvl>
    <w:lvl w:ilvl="1" w:tplc="02061538">
      <w:start w:val="1"/>
      <w:numFmt w:val="bullet"/>
      <w:lvlText w:val="o"/>
      <w:lvlJc w:val="left"/>
      <w:pPr>
        <w:ind w:left="1440" w:hanging="360"/>
      </w:pPr>
      <w:rPr>
        <w:rFonts w:ascii="Courier New" w:hAnsi="Courier New" w:hint="default"/>
      </w:rPr>
    </w:lvl>
    <w:lvl w:ilvl="2" w:tplc="59440E2E">
      <w:start w:val="1"/>
      <w:numFmt w:val="bullet"/>
      <w:lvlText w:val=""/>
      <w:lvlJc w:val="left"/>
      <w:pPr>
        <w:ind w:left="2160" w:hanging="360"/>
      </w:pPr>
      <w:rPr>
        <w:rFonts w:ascii="Wingdings" w:hAnsi="Wingdings" w:hint="default"/>
      </w:rPr>
    </w:lvl>
    <w:lvl w:ilvl="3" w:tplc="351497B8">
      <w:start w:val="1"/>
      <w:numFmt w:val="bullet"/>
      <w:lvlText w:val=""/>
      <w:lvlJc w:val="left"/>
      <w:pPr>
        <w:ind w:left="2880" w:hanging="360"/>
      </w:pPr>
      <w:rPr>
        <w:rFonts w:ascii="Symbol" w:hAnsi="Symbol" w:hint="default"/>
      </w:rPr>
    </w:lvl>
    <w:lvl w:ilvl="4" w:tplc="D6505276">
      <w:start w:val="1"/>
      <w:numFmt w:val="bullet"/>
      <w:lvlText w:val="o"/>
      <w:lvlJc w:val="left"/>
      <w:pPr>
        <w:ind w:left="3600" w:hanging="360"/>
      </w:pPr>
      <w:rPr>
        <w:rFonts w:ascii="Courier New" w:hAnsi="Courier New" w:hint="default"/>
      </w:rPr>
    </w:lvl>
    <w:lvl w:ilvl="5" w:tplc="CB52A2F4">
      <w:start w:val="1"/>
      <w:numFmt w:val="bullet"/>
      <w:lvlText w:val=""/>
      <w:lvlJc w:val="left"/>
      <w:pPr>
        <w:ind w:left="4320" w:hanging="360"/>
      </w:pPr>
      <w:rPr>
        <w:rFonts w:ascii="Wingdings" w:hAnsi="Wingdings" w:hint="default"/>
      </w:rPr>
    </w:lvl>
    <w:lvl w:ilvl="6" w:tplc="D8584C76">
      <w:start w:val="1"/>
      <w:numFmt w:val="bullet"/>
      <w:lvlText w:val=""/>
      <w:lvlJc w:val="left"/>
      <w:pPr>
        <w:ind w:left="5040" w:hanging="360"/>
      </w:pPr>
      <w:rPr>
        <w:rFonts w:ascii="Symbol" w:hAnsi="Symbol" w:hint="default"/>
      </w:rPr>
    </w:lvl>
    <w:lvl w:ilvl="7" w:tplc="CB725720">
      <w:start w:val="1"/>
      <w:numFmt w:val="bullet"/>
      <w:lvlText w:val="o"/>
      <w:lvlJc w:val="left"/>
      <w:pPr>
        <w:ind w:left="5760" w:hanging="360"/>
      </w:pPr>
      <w:rPr>
        <w:rFonts w:ascii="Courier New" w:hAnsi="Courier New" w:hint="default"/>
      </w:rPr>
    </w:lvl>
    <w:lvl w:ilvl="8" w:tplc="C1402832">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E5068"/>
    <w:multiLevelType w:val="hybridMultilevel"/>
    <w:tmpl w:val="C2A4976E"/>
    <w:lvl w:ilvl="0" w:tplc="BD10B714">
      <w:start w:val="1"/>
      <w:numFmt w:val="upperLetter"/>
      <w:lvlText w:val="%1."/>
      <w:lvlJc w:val="left"/>
      <w:pPr>
        <w:ind w:left="720" w:hanging="360"/>
      </w:pPr>
    </w:lvl>
    <w:lvl w:ilvl="1" w:tplc="1284C638">
      <w:start w:val="1"/>
      <w:numFmt w:val="lowerLetter"/>
      <w:lvlText w:val="%2."/>
      <w:lvlJc w:val="left"/>
      <w:pPr>
        <w:ind w:left="1440" w:hanging="360"/>
      </w:pPr>
    </w:lvl>
    <w:lvl w:ilvl="2" w:tplc="D7DCA596">
      <w:start w:val="1"/>
      <w:numFmt w:val="lowerRoman"/>
      <w:lvlText w:val="%3."/>
      <w:lvlJc w:val="right"/>
      <w:pPr>
        <w:ind w:left="2160" w:hanging="180"/>
      </w:pPr>
    </w:lvl>
    <w:lvl w:ilvl="3" w:tplc="F13C1592">
      <w:start w:val="1"/>
      <w:numFmt w:val="decimal"/>
      <w:lvlText w:val="%4."/>
      <w:lvlJc w:val="left"/>
      <w:pPr>
        <w:ind w:left="2880" w:hanging="360"/>
      </w:pPr>
    </w:lvl>
    <w:lvl w:ilvl="4" w:tplc="FE162DF2">
      <w:start w:val="1"/>
      <w:numFmt w:val="lowerLetter"/>
      <w:lvlText w:val="%5."/>
      <w:lvlJc w:val="left"/>
      <w:pPr>
        <w:ind w:left="3600" w:hanging="360"/>
      </w:pPr>
    </w:lvl>
    <w:lvl w:ilvl="5" w:tplc="1EA02860">
      <w:start w:val="1"/>
      <w:numFmt w:val="lowerRoman"/>
      <w:lvlText w:val="%6."/>
      <w:lvlJc w:val="right"/>
      <w:pPr>
        <w:ind w:left="4320" w:hanging="180"/>
      </w:pPr>
    </w:lvl>
    <w:lvl w:ilvl="6" w:tplc="6F5EEAFC">
      <w:start w:val="1"/>
      <w:numFmt w:val="decimal"/>
      <w:lvlText w:val="%7."/>
      <w:lvlJc w:val="left"/>
      <w:pPr>
        <w:ind w:left="5040" w:hanging="360"/>
      </w:pPr>
    </w:lvl>
    <w:lvl w:ilvl="7" w:tplc="4A109E88">
      <w:start w:val="1"/>
      <w:numFmt w:val="lowerLetter"/>
      <w:lvlText w:val="%8."/>
      <w:lvlJc w:val="left"/>
      <w:pPr>
        <w:ind w:left="5760" w:hanging="360"/>
      </w:pPr>
    </w:lvl>
    <w:lvl w:ilvl="8" w:tplc="7584C2C4">
      <w:start w:val="1"/>
      <w:numFmt w:val="lowerRoman"/>
      <w:lvlText w:val="%9."/>
      <w:lvlJc w:val="right"/>
      <w:pPr>
        <w:ind w:left="6480" w:hanging="180"/>
      </w:pPr>
    </w:lvl>
  </w:abstractNum>
  <w:abstractNum w:abstractNumId="13" w15:restartNumberingAfterBreak="0">
    <w:nsid w:val="77A6643B"/>
    <w:multiLevelType w:val="hybridMultilevel"/>
    <w:tmpl w:val="EE6AF998"/>
    <w:lvl w:ilvl="0" w:tplc="EE54AF6C">
      <w:start w:val="1"/>
      <w:numFmt w:val="upperLetter"/>
      <w:lvlText w:val="%1."/>
      <w:lvlJc w:val="left"/>
      <w:pPr>
        <w:ind w:left="360" w:hanging="360"/>
      </w:pPr>
    </w:lvl>
    <w:lvl w:ilvl="1" w:tplc="4096413A">
      <w:start w:val="1"/>
      <w:numFmt w:val="lowerLetter"/>
      <w:lvlText w:val="%2."/>
      <w:lvlJc w:val="left"/>
      <w:pPr>
        <w:ind w:left="1080" w:hanging="360"/>
      </w:pPr>
    </w:lvl>
    <w:lvl w:ilvl="2" w:tplc="9ABEFFAA">
      <w:start w:val="1"/>
      <w:numFmt w:val="lowerRoman"/>
      <w:lvlText w:val="%3."/>
      <w:lvlJc w:val="right"/>
      <w:pPr>
        <w:ind w:left="1800" w:hanging="180"/>
      </w:pPr>
    </w:lvl>
    <w:lvl w:ilvl="3" w:tplc="B952FAF8">
      <w:start w:val="1"/>
      <w:numFmt w:val="decimal"/>
      <w:lvlText w:val="%4."/>
      <w:lvlJc w:val="left"/>
      <w:pPr>
        <w:ind w:left="2520" w:hanging="360"/>
      </w:pPr>
    </w:lvl>
    <w:lvl w:ilvl="4" w:tplc="AD8EAFA8">
      <w:start w:val="1"/>
      <w:numFmt w:val="lowerLetter"/>
      <w:lvlText w:val="%5."/>
      <w:lvlJc w:val="left"/>
      <w:pPr>
        <w:ind w:left="3240" w:hanging="360"/>
      </w:pPr>
    </w:lvl>
    <w:lvl w:ilvl="5" w:tplc="57A2542A">
      <w:start w:val="1"/>
      <w:numFmt w:val="lowerRoman"/>
      <w:lvlText w:val="%6."/>
      <w:lvlJc w:val="right"/>
      <w:pPr>
        <w:ind w:left="3960" w:hanging="180"/>
      </w:pPr>
    </w:lvl>
    <w:lvl w:ilvl="6" w:tplc="28CA1C06">
      <w:start w:val="1"/>
      <w:numFmt w:val="decimal"/>
      <w:lvlText w:val="%7."/>
      <w:lvlJc w:val="left"/>
      <w:pPr>
        <w:ind w:left="4680" w:hanging="360"/>
      </w:pPr>
    </w:lvl>
    <w:lvl w:ilvl="7" w:tplc="989ACB48">
      <w:start w:val="1"/>
      <w:numFmt w:val="lowerLetter"/>
      <w:lvlText w:val="%8."/>
      <w:lvlJc w:val="left"/>
      <w:pPr>
        <w:ind w:left="5400" w:hanging="360"/>
      </w:pPr>
    </w:lvl>
    <w:lvl w:ilvl="8" w:tplc="1624BA08">
      <w:start w:val="1"/>
      <w:numFmt w:val="lowerRoman"/>
      <w:lvlText w:val="%9."/>
      <w:lvlJc w:val="right"/>
      <w:pPr>
        <w:ind w:left="612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5"/>
  </w:num>
  <w:num w:numId="6">
    <w:abstractNumId w:val="3"/>
  </w:num>
  <w:num w:numId="7">
    <w:abstractNumId w:val="2"/>
  </w:num>
  <w:num w:numId="8">
    <w:abstractNumId w:val="0"/>
  </w:num>
  <w:num w:numId="9">
    <w:abstractNumId w:val="1"/>
  </w:num>
  <w:num w:numId="10">
    <w:abstractNumId w:val="9"/>
  </w:num>
  <w:num w:numId="11">
    <w:abstractNumId w:val="10"/>
  </w:num>
  <w:num w:numId="12">
    <w:abstractNumId w:val="6"/>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5C48"/>
    <w:rsid w:val="000B7B51"/>
    <w:rsid w:val="000E4FA0"/>
    <w:rsid w:val="001B52CA"/>
    <w:rsid w:val="0026797A"/>
    <w:rsid w:val="0027587A"/>
    <w:rsid w:val="002A100A"/>
    <w:rsid w:val="002D66CC"/>
    <w:rsid w:val="00300812"/>
    <w:rsid w:val="00300F93"/>
    <w:rsid w:val="00310CA0"/>
    <w:rsid w:val="00327566"/>
    <w:rsid w:val="00327EB0"/>
    <w:rsid w:val="00356BE5"/>
    <w:rsid w:val="00373050"/>
    <w:rsid w:val="00472F13"/>
    <w:rsid w:val="00496DD9"/>
    <w:rsid w:val="00506A1E"/>
    <w:rsid w:val="00506FC3"/>
    <w:rsid w:val="00551272"/>
    <w:rsid w:val="005B741F"/>
    <w:rsid w:val="005D6523"/>
    <w:rsid w:val="0060460F"/>
    <w:rsid w:val="006231FB"/>
    <w:rsid w:val="00665A1E"/>
    <w:rsid w:val="00686AA4"/>
    <w:rsid w:val="006B3525"/>
    <w:rsid w:val="00770DA0"/>
    <w:rsid w:val="007911BE"/>
    <w:rsid w:val="007E66CA"/>
    <w:rsid w:val="00800077"/>
    <w:rsid w:val="00827B7A"/>
    <w:rsid w:val="0085558C"/>
    <w:rsid w:val="008707C4"/>
    <w:rsid w:val="00872B58"/>
    <w:rsid w:val="00872BA4"/>
    <w:rsid w:val="008C4B4B"/>
    <w:rsid w:val="008F727F"/>
    <w:rsid w:val="00963CE4"/>
    <w:rsid w:val="00976EA9"/>
    <w:rsid w:val="00980D00"/>
    <w:rsid w:val="009A23AC"/>
    <w:rsid w:val="009C5702"/>
    <w:rsid w:val="00A015AF"/>
    <w:rsid w:val="00A106D4"/>
    <w:rsid w:val="00A42905"/>
    <w:rsid w:val="00AD794D"/>
    <w:rsid w:val="00B51C91"/>
    <w:rsid w:val="00B542E4"/>
    <w:rsid w:val="00B6AA41"/>
    <w:rsid w:val="00B77D28"/>
    <w:rsid w:val="00B87EF5"/>
    <w:rsid w:val="00B9167F"/>
    <w:rsid w:val="00BB0B34"/>
    <w:rsid w:val="00C06C4E"/>
    <w:rsid w:val="00C41661"/>
    <w:rsid w:val="00C43BD2"/>
    <w:rsid w:val="00C53B82"/>
    <w:rsid w:val="00CA2F56"/>
    <w:rsid w:val="00CA3BE5"/>
    <w:rsid w:val="00CD2C98"/>
    <w:rsid w:val="00D330A6"/>
    <w:rsid w:val="00DB37A5"/>
    <w:rsid w:val="00DC5156"/>
    <w:rsid w:val="00DF63E6"/>
    <w:rsid w:val="00E441BE"/>
    <w:rsid w:val="00E50925"/>
    <w:rsid w:val="00E56E85"/>
    <w:rsid w:val="00E71F84"/>
    <w:rsid w:val="00EC75DD"/>
    <w:rsid w:val="00FB5DC0"/>
    <w:rsid w:val="00FC0AA2"/>
    <w:rsid w:val="013E38D2"/>
    <w:rsid w:val="01C00528"/>
    <w:rsid w:val="01D9C08D"/>
    <w:rsid w:val="0236344E"/>
    <w:rsid w:val="02521B69"/>
    <w:rsid w:val="027CE19B"/>
    <w:rsid w:val="0334E29D"/>
    <w:rsid w:val="034E5C47"/>
    <w:rsid w:val="0368B5D8"/>
    <w:rsid w:val="0415BC1A"/>
    <w:rsid w:val="04DCAA4E"/>
    <w:rsid w:val="05C8BF47"/>
    <w:rsid w:val="05DE649B"/>
    <w:rsid w:val="0677A7E3"/>
    <w:rsid w:val="0681E39F"/>
    <w:rsid w:val="079B96CC"/>
    <w:rsid w:val="07F10B19"/>
    <w:rsid w:val="0895ACEF"/>
    <w:rsid w:val="08D23D5E"/>
    <w:rsid w:val="0900F060"/>
    <w:rsid w:val="09335D90"/>
    <w:rsid w:val="0936389D"/>
    <w:rsid w:val="0973F848"/>
    <w:rsid w:val="0992BD33"/>
    <w:rsid w:val="09EBC414"/>
    <w:rsid w:val="0A003D7F"/>
    <w:rsid w:val="0AB1D5BE"/>
    <w:rsid w:val="0ACAFE1B"/>
    <w:rsid w:val="0ADEE78D"/>
    <w:rsid w:val="0B477588"/>
    <w:rsid w:val="0B773283"/>
    <w:rsid w:val="0B8E293D"/>
    <w:rsid w:val="0BA7A292"/>
    <w:rsid w:val="0C13C3E4"/>
    <w:rsid w:val="0C445A63"/>
    <w:rsid w:val="0C4CB667"/>
    <w:rsid w:val="0C6E5840"/>
    <w:rsid w:val="0C876602"/>
    <w:rsid w:val="0CD70CBB"/>
    <w:rsid w:val="0D009F98"/>
    <w:rsid w:val="0D66CEB0"/>
    <w:rsid w:val="0E029EDD"/>
    <w:rsid w:val="0E292C28"/>
    <w:rsid w:val="0E6BE1FC"/>
    <w:rsid w:val="0EA60CDA"/>
    <w:rsid w:val="0ECBA6C1"/>
    <w:rsid w:val="0F6C1EE0"/>
    <w:rsid w:val="0FE17031"/>
    <w:rsid w:val="103541D5"/>
    <w:rsid w:val="105B6A3F"/>
    <w:rsid w:val="10923231"/>
    <w:rsid w:val="10BB1120"/>
    <w:rsid w:val="10F23686"/>
    <w:rsid w:val="11211742"/>
    <w:rsid w:val="118102CB"/>
    <w:rsid w:val="11E5CCF8"/>
    <w:rsid w:val="120CC5A0"/>
    <w:rsid w:val="122EBFF6"/>
    <w:rsid w:val="12428368"/>
    <w:rsid w:val="1242DBDC"/>
    <w:rsid w:val="1253CF87"/>
    <w:rsid w:val="1281EACB"/>
    <w:rsid w:val="128DA890"/>
    <w:rsid w:val="12DEBAEA"/>
    <w:rsid w:val="13007DAD"/>
    <w:rsid w:val="1304DF78"/>
    <w:rsid w:val="131CE1BB"/>
    <w:rsid w:val="131EED53"/>
    <w:rsid w:val="13A8CD5C"/>
    <w:rsid w:val="141A4C6A"/>
    <w:rsid w:val="147A8B4B"/>
    <w:rsid w:val="1492E0DA"/>
    <w:rsid w:val="1494F3FA"/>
    <w:rsid w:val="14E04DCA"/>
    <w:rsid w:val="155F6890"/>
    <w:rsid w:val="161A5538"/>
    <w:rsid w:val="16B84A94"/>
    <w:rsid w:val="16DA4DCD"/>
    <w:rsid w:val="16E87F14"/>
    <w:rsid w:val="171C7E67"/>
    <w:rsid w:val="177730C5"/>
    <w:rsid w:val="17A5E4AE"/>
    <w:rsid w:val="17D25999"/>
    <w:rsid w:val="181788A2"/>
    <w:rsid w:val="1826E863"/>
    <w:rsid w:val="183F3469"/>
    <w:rsid w:val="184AF6E2"/>
    <w:rsid w:val="18A919CC"/>
    <w:rsid w:val="18BC89EC"/>
    <w:rsid w:val="195D5F44"/>
    <w:rsid w:val="1A0A96F3"/>
    <w:rsid w:val="1A2344BD"/>
    <w:rsid w:val="1A72F6B2"/>
    <w:rsid w:val="1A8B323F"/>
    <w:rsid w:val="1AE64CE4"/>
    <w:rsid w:val="1B24E9E4"/>
    <w:rsid w:val="1B2F8D0C"/>
    <w:rsid w:val="1B6E82BF"/>
    <w:rsid w:val="1BB8F9F4"/>
    <w:rsid w:val="1C63C9E9"/>
    <w:rsid w:val="1C6B81FD"/>
    <w:rsid w:val="1CD8C805"/>
    <w:rsid w:val="1D27B694"/>
    <w:rsid w:val="1DCF596D"/>
    <w:rsid w:val="1DDE5E58"/>
    <w:rsid w:val="1E1E7585"/>
    <w:rsid w:val="1E2A045C"/>
    <w:rsid w:val="1E419B1D"/>
    <w:rsid w:val="1F250579"/>
    <w:rsid w:val="1F3F7D58"/>
    <w:rsid w:val="1F4311E1"/>
    <w:rsid w:val="1F596FC6"/>
    <w:rsid w:val="20F6DFA2"/>
    <w:rsid w:val="210EB38A"/>
    <w:rsid w:val="21601382"/>
    <w:rsid w:val="218F8DD2"/>
    <w:rsid w:val="21966300"/>
    <w:rsid w:val="21C5E5CD"/>
    <w:rsid w:val="21E6E152"/>
    <w:rsid w:val="220A26C3"/>
    <w:rsid w:val="226187FF"/>
    <w:rsid w:val="232BB6B3"/>
    <w:rsid w:val="233A587D"/>
    <w:rsid w:val="23F62630"/>
    <w:rsid w:val="2480A233"/>
    <w:rsid w:val="24C5DB00"/>
    <w:rsid w:val="250D9BEB"/>
    <w:rsid w:val="25F20B0E"/>
    <w:rsid w:val="260FF05A"/>
    <w:rsid w:val="2622B9EF"/>
    <w:rsid w:val="26578C73"/>
    <w:rsid w:val="266CE5AA"/>
    <w:rsid w:val="26885939"/>
    <w:rsid w:val="268A7AF2"/>
    <w:rsid w:val="26CCFC22"/>
    <w:rsid w:val="272E3804"/>
    <w:rsid w:val="2759E963"/>
    <w:rsid w:val="2822FAC6"/>
    <w:rsid w:val="288B9F29"/>
    <w:rsid w:val="28ED2473"/>
    <w:rsid w:val="29418584"/>
    <w:rsid w:val="29A74D69"/>
    <w:rsid w:val="29E79F05"/>
    <w:rsid w:val="2A040E4A"/>
    <w:rsid w:val="2AB6DDDC"/>
    <w:rsid w:val="2BCC4040"/>
    <w:rsid w:val="2BF57658"/>
    <w:rsid w:val="2C10AA31"/>
    <w:rsid w:val="2C27E6DF"/>
    <w:rsid w:val="2C436F9F"/>
    <w:rsid w:val="2C531686"/>
    <w:rsid w:val="2C586C10"/>
    <w:rsid w:val="2C68B2DC"/>
    <w:rsid w:val="2D0FF1AB"/>
    <w:rsid w:val="2D2EA812"/>
    <w:rsid w:val="2DC7F2CE"/>
    <w:rsid w:val="2DEB5B3C"/>
    <w:rsid w:val="2E743CC3"/>
    <w:rsid w:val="2F213194"/>
    <w:rsid w:val="2F602488"/>
    <w:rsid w:val="2F6F3A32"/>
    <w:rsid w:val="2FF0482B"/>
    <w:rsid w:val="3083DCD5"/>
    <w:rsid w:val="30DA790D"/>
    <w:rsid w:val="31C2E584"/>
    <w:rsid w:val="31D2F696"/>
    <w:rsid w:val="3232E577"/>
    <w:rsid w:val="32464CC8"/>
    <w:rsid w:val="328E971D"/>
    <w:rsid w:val="32B1B4D3"/>
    <w:rsid w:val="338609A0"/>
    <w:rsid w:val="339734B7"/>
    <w:rsid w:val="33F99A72"/>
    <w:rsid w:val="34255B1A"/>
    <w:rsid w:val="350F209D"/>
    <w:rsid w:val="35C4A063"/>
    <w:rsid w:val="3623058C"/>
    <w:rsid w:val="362D2AE8"/>
    <w:rsid w:val="36965A6E"/>
    <w:rsid w:val="36A07196"/>
    <w:rsid w:val="36CD08D9"/>
    <w:rsid w:val="3761E591"/>
    <w:rsid w:val="3787D464"/>
    <w:rsid w:val="3787DB34"/>
    <w:rsid w:val="37B35309"/>
    <w:rsid w:val="38171751"/>
    <w:rsid w:val="39F2FD07"/>
    <w:rsid w:val="3A3BB63B"/>
    <w:rsid w:val="3A4CA002"/>
    <w:rsid w:val="3A542134"/>
    <w:rsid w:val="3A8B71C8"/>
    <w:rsid w:val="3A9101F4"/>
    <w:rsid w:val="3AA8473B"/>
    <w:rsid w:val="3AC2DCC6"/>
    <w:rsid w:val="3B120262"/>
    <w:rsid w:val="3B25DF22"/>
    <w:rsid w:val="3BB70ECA"/>
    <w:rsid w:val="3BCC21B1"/>
    <w:rsid w:val="3BE6E972"/>
    <w:rsid w:val="3BF9C9C7"/>
    <w:rsid w:val="3C57B6EF"/>
    <w:rsid w:val="3C9550CF"/>
    <w:rsid w:val="3C97490D"/>
    <w:rsid w:val="3CB72B11"/>
    <w:rsid w:val="3D9D1780"/>
    <w:rsid w:val="3DC4EE3B"/>
    <w:rsid w:val="3E64F3E0"/>
    <w:rsid w:val="3EA8BBDF"/>
    <w:rsid w:val="3FBE2F7C"/>
    <w:rsid w:val="402C0641"/>
    <w:rsid w:val="40AA3A5B"/>
    <w:rsid w:val="40C215C7"/>
    <w:rsid w:val="4157F2C3"/>
    <w:rsid w:val="4159FFDD"/>
    <w:rsid w:val="41B75A4E"/>
    <w:rsid w:val="422CE2BB"/>
    <w:rsid w:val="428E0291"/>
    <w:rsid w:val="42EC6A3F"/>
    <w:rsid w:val="43081C4A"/>
    <w:rsid w:val="433DFD85"/>
    <w:rsid w:val="43FCA528"/>
    <w:rsid w:val="440AB443"/>
    <w:rsid w:val="441625AB"/>
    <w:rsid w:val="44DA367C"/>
    <w:rsid w:val="45AF07F7"/>
    <w:rsid w:val="46133743"/>
    <w:rsid w:val="464B4694"/>
    <w:rsid w:val="46E77A5D"/>
    <w:rsid w:val="470053DE"/>
    <w:rsid w:val="476173B4"/>
    <w:rsid w:val="47DCBF47"/>
    <w:rsid w:val="47EB34E2"/>
    <w:rsid w:val="4807B1A1"/>
    <w:rsid w:val="480A7C4B"/>
    <w:rsid w:val="486CE4D0"/>
    <w:rsid w:val="487069A4"/>
    <w:rsid w:val="48A41169"/>
    <w:rsid w:val="48C9D52C"/>
    <w:rsid w:val="48CEF0CD"/>
    <w:rsid w:val="48D07565"/>
    <w:rsid w:val="48FAAA62"/>
    <w:rsid w:val="4912FA00"/>
    <w:rsid w:val="4961E004"/>
    <w:rsid w:val="4989E6D9"/>
    <w:rsid w:val="4994E597"/>
    <w:rsid w:val="4A08B531"/>
    <w:rsid w:val="4A3EEEDD"/>
    <w:rsid w:val="4A3FE1CA"/>
    <w:rsid w:val="4A7BBC9F"/>
    <w:rsid w:val="4A9B697A"/>
    <w:rsid w:val="4AB86F41"/>
    <w:rsid w:val="4B40CCE0"/>
    <w:rsid w:val="4B479536"/>
    <w:rsid w:val="4BC4FF02"/>
    <w:rsid w:val="4C548086"/>
    <w:rsid w:val="4C763C71"/>
    <w:rsid w:val="4C79CDA7"/>
    <w:rsid w:val="4D0E0F7D"/>
    <w:rsid w:val="4D88B7EF"/>
    <w:rsid w:val="4DC759FD"/>
    <w:rsid w:val="4DCD42C6"/>
    <w:rsid w:val="4DDBC7FB"/>
    <w:rsid w:val="4DFDC92C"/>
    <w:rsid w:val="4E7D3DBA"/>
    <w:rsid w:val="4EF629B4"/>
    <w:rsid w:val="4EFA4815"/>
    <w:rsid w:val="4F26D5B4"/>
    <w:rsid w:val="4F6855C3"/>
    <w:rsid w:val="4F691327"/>
    <w:rsid w:val="4F754D6F"/>
    <w:rsid w:val="4FFB7BFB"/>
    <w:rsid w:val="50BDD47B"/>
    <w:rsid w:val="50F5A1B3"/>
    <w:rsid w:val="5104E388"/>
    <w:rsid w:val="5191CA9E"/>
    <w:rsid w:val="51A316D9"/>
    <w:rsid w:val="51AC50F4"/>
    <w:rsid w:val="52AA99AD"/>
    <w:rsid w:val="52BF22C0"/>
    <w:rsid w:val="53060CB8"/>
    <w:rsid w:val="530CE6DE"/>
    <w:rsid w:val="5378CB0F"/>
    <w:rsid w:val="53A2A7FD"/>
    <w:rsid w:val="53B7B6D3"/>
    <w:rsid w:val="53FB2DBF"/>
    <w:rsid w:val="55A0CD84"/>
    <w:rsid w:val="55BCA7BE"/>
    <w:rsid w:val="55C68CB5"/>
    <w:rsid w:val="5620D3B2"/>
    <w:rsid w:val="56277CA2"/>
    <w:rsid w:val="563487A3"/>
    <w:rsid w:val="569A3F58"/>
    <w:rsid w:val="572B0038"/>
    <w:rsid w:val="57784FAA"/>
    <w:rsid w:val="57A00BE4"/>
    <w:rsid w:val="57AE5FD7"/>
    <w:rsid w:val="57D15E4B"/>
    <w:rsid w:val="5826183E"/>
    <w:rsid w:val="586BDAE5"/>
    <w:rsid w:val="58B2E977"/>
    <w:rsid w:val="59405C85"/>
    <w:rsid w:val="5A166F1E"/>
    <w:rsid w:val="5A28C5A5"/>
    <w:rsid w:val="5A2DE042"/>
    <w:rsid w:val="5AB3B354"/>
    <w:rsid w:val="5ABCD2B6"/>
    <w:rsid w:val="5ADC2CE6"/>
    <w:rsid w:val="5AE3C6A7"/>
    <w:rsid w:val="5B1063F4"/>
    <w:rsid w:val="5B1620C2"/>
    <w:rsid w:val="5B3D9753"/>
    <w:rsid w:val="5BB66BB1"/>
    <w:rsid w:val="5BB940B7"/>
    <w:rsid w:val="5BCEB4D2"/>
    <w:rsid w:val="5BD65965"/>
    <w:rsid w:val="5C9F3FC8"/>
    <w:rsid w:val="5CA1F360"/>
    <w:rsid w:val="5CB1F123"/>
    <w:rsid w:val="5CD1A602"/>
    <w:rsid w:val="5D05AD78"/>
    <w:rsid w:val="5D405C7A"/>
    <w:rsid w:val="5E132CBB"/>
    <w:rsid w:val="5E137048"/>
    <w:rsid w:val="5E4C9A5B"/>
    <w:rsid w:val="5F104EB6"/>
    <w:rsid w:val="6002AB7F"/>
    <w:rsid w:val="600DFCD9"/>
    <w:rsid w:val="6010CC80"/>
    <w:rsid w:val="602A0FDF"/>
    <w:rsid w:val="60D43FE7"/>
    <w:rsid w:val="6101E47F"/>
    <w:rsid w:val="617D639D"/>
    <w:rsid w:val="618B5539"/>
    <w:rsid w:val="61EF5EB0"/>
    <w:rsid w:val="6272B19D"/>
    <w:rsid w:val="6289F09F"/>
    <w:rsid w:val="62A59CDC"/>
    <w:rsid w:val="62B34E12"/>
    <w:rsid w:val="630D6884"/>
    <w:rsid w:val="6354DA6C"/>
    <w:rsid w:val="638390E4"/>
    <w:rsid w:val="6444DFAF"/>
    <w:rsid w:val="64DF137A"/>
    <w:rsid w:val="6551DB58"/>
    <w:rsid w:val="656667DD"/>
    <w:rsid w:val="65874EC4"/>
    <w:rsid w:val="65943897"/>
    <w:rsid w:val="65DFD2A5"/>
    <w:rsid w:val="65E9D2E5"/>
    <w:rsid w:val="666E2AC5"/>
    <w:rsid w:val="668DD04F"/>
    <w:rsid w:val="66B7971A"/>
    <w:rsid w:val="66D2F3C1"/>
    <w:rsid w:val="67687AE3"/>
    <w:rsid w:val="67A7E7A3"/>
    <w:rsid w:val="67BF8BC8"/>
    <w:rsid w:val="684CD858"/>
    <w:rsid w:val="68866319"/>
    <w:rsid w:val="68E9EEDA"/>
    <w:rsid w:val="68F5F2D3"/>
    <w:rsid w:val="69BBED1D"/>
    <w:rsid w:val="6A2A55A5"/>
    <w:rsid w:val="6A324D13"/>
    <w:rsid w:val="6A6E3592"/>
    <w:rsid w:val="6A74D448"/>
    <w:rsid w:val="6AB0AEC1"/>
    <w:rsid w:val="6ACAD255"/>
    <w:rsid w:val="6B1C6255"/>
    <w:rsid w:val="6B46C3F4"/>
    <w:rsid w:val="6B5ECC4A"/>
    <w:rsid w:val="6B7F27EE"/>
    <w:rsid w:val="6B80D741"/>
    <w:rsid w:val="6C0FB1D3"/>
    <w:rsid w:val="6C32EACA"/>
    <w:rsid w:val="6CBDC2CC"/>
    <w:rsid w:val="6D1B4991"/>
    <w:rsid w:val="6D9E122D"/>
    <w:rsid w:val="6DBAC4CD"/>
    <w:rsid w:val="6E7E6512"/>
    <w:rsid w:val="6E9C33F2"/>
    <w:rsid w:val="6F5160E6"/>
    <w:rsid w:val="6F61E8F1"/>
    <w:rsid w:val="6F9F392A"/>
    <w:rsid w:val="6FAA0BD6"/>
    <w:rsid w:val="6FE1F2A0"/>
    <w:rsid w:val="70622CEC"/>
    <w:rsid w:val="7077AFB4"/>
    <w:rsid w:val="70D4D6A4"/>
    <w:rsid w:val="717A2B49"/>
    <w:rsid w:val="71C625B2"/>
    <w:rsid w:val="72074A04"/>
    <w:rsid w:val="720B084E"/>
    <w:rsid w:val="72B90B04"/>
    <w:rsid w:val="73B2F60B"/>
    <w:rsid w:val="743BE41A"/>
    <w:rsid w:val="76BB8001"/>
    <w:rsid w:val="76CB5D30"/>
    <w:rsid w:val="772ECE21"/>
    <w:rsid w:val="773AA1FC"/>
    <w:rsid w:val="77603532"/>
    <w:rsid w:val="77E32A3D"/>
    <w:rsid w:val="785D2F3A"/>
    <w:rsid w:val="78AEC438"/>
    <w:rsid w:val="79526F60"/>
    <w:rsid w:val="79955D1E"/>
    <w:rsid w:val="79DC1EF6"/>
    <w:rsid w:val="79FA0895"/>
    <w:rsid w:val="7AA0F911"/>
    <w:rsid w:val="7BA71CC5"/>
    <w:rsid w:val="7BF0D022"/>
    <w:rsid w:val="7C007190"/>
    <w:rsid w:val="7C92ACA4"/>
    <w:rsid w:val="7CA5AD87"/>
    <w:rsid w:val="7CB050AF"/>
    <w:rsid w:val="7D114904"/>
    <w:rsid w:val="7D5128D7"/>
    <w:rsid w:val="7D7C76F4"/>
    <w:rsid w:val="7DF0AAE8"/>
    <w:rsid w:val="7E0D6602"/>
    <w:rsid w:val="7E6222C8"/>
    <w:rsid w:val="7EAC9640"/>
    <w:rsid w:val="7EB568F1"/>
    <w:rsid w:val="7EFC1C04"/>
    <w:rsid w:val="7F204854"/>
    <w:rsid w:val="7FCA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pp.smartsheet.com/b/publish?EQBCT=3e97a72d3b5a4b66a7be5170d5431e2e" TargetMode="External"/><Relationship Id="rId17" Type="http://schemas.openxmlformats.org/officeDocument/2006/relationships/header" Target="header2.xml"/><Relationship Id="R2535d6b105a54938" Type="http://schemas.microsoft.com/office/2016/09/relationships/commentsIds" Target="commentsIds.xml"/><Relationship Id="R3e1c7752420540fa" Type="http://schemas.microsoft.com/office/2018/08/relationships/commentsExtensible" Target="commentsExtensible.xml"/><Relationship Id="R1d16fd1e5eda418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meredith.villines@state.or.u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2021-12-17T00:31:57+00:00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C21F9-4EE9-4382-8358-CB255CA664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7f305cf4-7e8c-42e6-816c-ef6b646f0adc"/>
    <ds:schemaRef ds:uri="http://www.w3.org/XML/1998/namespace"/>
  </ds:schemaRefs>
</ds:datastoreItem>
</file>

<file path=customXml/itemProps2.xml><?xml version="1.0" encoding="utf-8"?>
<ds:datastoreItem xmlns:ds="http://schemas.openxmlformats.org/officeDocument/2006/customXml" ds:itemID="{ED2EAFFC-5252-40E8-8828-61D93AEECAFE}"/>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5739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2021-12-16T18:34:00Z</dcterms:created>
  <dcterms:modified xsi:type="dcterms:W3CDTF">2021-12-16T18:34:00Z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