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540"/>
        <w:gridCol w:w="2700"/>
        <w:gridCol w:w="2700"/>
        <w:gridCol w:w="2700"/>
      </w:tblGrid>
      <w:tr w:rsidR="25034C54" w14:paraId="7E18F31D" w14:textId="77777777" w:rsidTr="00AC7A59">
        <w:trPr>
          <w:tblHeader/>
        </w:trPr>
        <w:tc>
          <w:tcPr>
            <w:tcW w:w="2160" w:type="dxa"/>
            <w:vAlign w:val="center"/>
          </w:tcPr>
          <w:p w14:paraId="77EBAF10" w14:textId="77777777" w:rsidR="25034C54" w:rsidRDefault="25034C54" w:rsidP="00891293">
            <w:pPr>
              <w:jc w:val="center"/>
              <w:rPr>
                <w:rFonts w:eastAsia="Arial"/>
                <w:b/>
                <w:bCs/>
                <w:color w:val="082A75"/>
                <w:sz w:val="36"/>
                <w:szCs w:val="36"/>
              </w:rPr>
            </w:pPr>
            <w:r>
              <w:rPr>
                <w:noProof/>
              </w:rPr>
              <w:drawing>
                <wp:inline distT="0" distB="0" distL="0" distR="0" wp14:anchorId="5D670538" wp14:editId="212465D7">
                  <wp:extent cx="1077554" cy="1145969"/>
                  <wp:effectExtent l="0" t="0" r="8890" b="0"/>
                  <wp:docPr id="1189748827"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8640" w:type="dxa"/>
            <w:gridSpan w:val="4"/>
            <w:vAlign w:val="center"/>
          </w:tcPr>
          <w:p w14:paraId="77304BB5" w14:textId="77777777" w:rsidR="25034C54" w:rsidRPr="002F003B" w:rsidRDefault="25034C54" w:rsidP="00891293">
            <w:pPr>
              <w:pStyle w:val="Title"/>
              <w:spacing w:after="200"/>
              <w:jc w:val="center"/>
              <w:rPr>
                <w:rFonts w:asciiTheme="minorHAnsi" w:eastAsia="Arial" w:hAnsiTheme="minorHAnsi" w:cstheme="minorBidi"/>
                <w:b/>
                <w:bCs/>
                <w:color w:val="1B75BC"/>
                <w:sz w:val="48"/>
                <w:szCs w:val="48"/>
              </w:rPr>
            </w:pPr>
            <w:r w:rsidRPr="002F003B">
              <w:rPr>
                <w:rFonts w:asciiTheme="minorHAnsi" w:eastAsia="Arial" w:hAnsiTheme="minorHAnsi" w:cstheme="minorBidi"/>
                <w:b/>
                <w:bCs/>
                <w:color w:val="1B75BC"/>
                <w:sz w:val="48"/>
                <w:szCs w:val="48"/>
              </w:rPr>
              <w:t>State Performance Plan (SPP)</w:t>
            </w:r>
          </w:p>
          <w:p w14:paraId="5AD4C7E6" w14:textId="4B3797DB" w:rsidR="25034C54" w:rsidRPr="002F003B" w:rsidRDefault="25034C54" w:rsidP="00891293">
            <w:pPr>
              <w:pStyle w:val="Title"/>
              <w:spacing w:after="200"/>
              <w:jc w:val="center"/>
              <w:rPr>
                <w:rFonts w:asciiTheme="minorHAnsi" w:eastAsia="Arial" w:hAnsiTheme="minorHAnsi" w:cstheme="minorBidi"/>
                <w:b/>
                <w:bCs/>
                <w:color w:val="1B75BC"/>
                <w:sz w:val="48"/>
                <w:szCs w:val="48"/>
              </w:rPr>
            </w:pPr>
            <w:r w:rsidRPr="002F003B">
              <w:rPr>
                <w:rFonts w:asciiTheme="minorHAnsi" w:eastAsia="Arial" w:hAnsiTheme="minorHAnsi" w:cstheme="minorBidi"/>
                <w:b/>
                <w:bCs/>
                <w:color w:val="1B75BC"/>
                <w:sz w:val="48"/>
                <w:szCs w:val="48"/>
              </w:rPr>
              <w:t>Fact Sheet</w:t>
            </w:r>
          </w:p>
          <w:p w14:paraId="7BC3E365" w14:textId="25BA095A" w:rsidR="25034C54" w:rsidRDefault="25034C54" w:rsidP="00891293">
            <w:pPr>
              <w:pStyle w:val="Title"/>
              <w:spacing w:after="200"/>
              <w:jc w:val="center"/>
              <w:rPr>
                <w:rFonts w:asciiTheme="minorHAnsi" w:eastAsia="Arial" w:hAnsiTheme="minorHAnsi" w:cstheme="minorBidi"/>
                <w:b/>
                <w:bCs/>
                <w:color w:val="082A75"/>
                <w:sz w:val="32"/>
                <w:szCs w:val="32"/>
              </w:rPr>
            </w:pPr>
            <w:r w:rsidRPr="002F003B">
              <w:rPr>
                <w:rFonts w:asciiTheme="minorHAnsi" w:eastAsia="Arial" w:hAnsiTheme="minorHAnsi" w:cstheme="minorBidi"/>
                <w:b/>
                <w:bCs/>
                <w:color w:val="1B75BC"/>
                <w:sz w:val="32"/>
                <w:szCs w:val="32"/>
              </w:rPr>
              <w:t>Indicator B7: Preschool Outcomes</w:t>
            </w:r>
          </w:p>
        </w:tc>
      </w:tr>
      <w:tr w:rsidR="25034C54" w14:paraId="6F129D18" w14:textId="77777777" w:rsidTr="00AD1A06">
        <w:trPr>
          <w:trHeight w:val="72"/>
        </w:trPr>
        <w:tc>
          <w:tcPr>
            <w:tcW w:w="2700" w:type="dxa"/>
            <w:gridSpan w:val="2"/>
            <w:shd w:val="clear" w:color="auto" w:fill="9F2065"/>
          </w:tcPr>
          <w:p w14:paraId="5C02B2E0" w14:textId="77777777" w:rsidR="25034C54" w:rsidRDefault="25034C54" w:rsidP="00891293">
            <w:pPr>
              <w:rPr>
                <w:noProof/>
              </w:rPr>
            </w:pPr>
          </w:p>
        </w:tc>
        <w:tc>
          <w:tcPr>
            <w:tcW w:w="2700" w:type="dxa"/>
            <w:shd w:val="clear" w:color="auto" w:fill="E26B2A"/>
          </w:tcPr>
          <w:p w14:paraId="35B17804" w14:textId="77777777" w:rsidR="25034C54" w:rsidRDefault="25034C54" w:rsidP="00891293">
            <w:pPr>
              <w:pStyle w:val="Title"/>
              <w:rPr>
                <w:rFonts w:asciiTheme="minorHAnsi" w:eastAsia="Arial" w:hAnsiTheme="minorHAnsi" w:cstheme="minorBidi"/>
                <w:b/>
                <w:bCs/>
                <w:color w:val="082974"/>
                <w:sz w:val="22"/>
                <w:szCs w:val="22"/>
              </w:rPr>
            </w:pPr>
          </w:p>
        </w:tc>
        <w:tc>
          <w:tcPr>
            <w:tcW w:w="2700" w:type="dxa"/>
            <w:shd w:val="clear" w:color="auto" w:fill="1B75BC"/>
          </w:tcPr>
          <w:p w14:paraId="039A0C2B" w14:textId="77777777" w:rsidR="25034C54" w:rsidRDefault="25034C54" w:rsidP="00891293">
            <w:pPr>
              <w:pStyle w:val="Title"/>
              <w:rPr>
                <w:rFonts w:asciiTheme="minorHAnsi" w:eastAsia="Arial" w:hAnsiTheme="minorHAnsi" w:cstheme="minorBidi"/>
                <w:b/>
                <w:bCs/>
                <w:color w:val="082974"/>
                <w:sz w:val="22"/>
                <w:szCs w:val="22"/>
              </w:rPr>
            </w:pPr>
          </w:p>
        </w:tc>
        <w:tc>
          <w:tcPr>
            <w:tcW w:w="2700" w:type="dxa"/>
            <w:shd w:val="clear" w:color="auto" w:fill="408740"/>
          </w:tcPr>
          <w:p w14:paraId="5D412B62" w14:textId="46579079" w:rsidR="25034C54" w:rsidRDefault="25034C54" w:rsidP="00891293">
            <w:pPr>
              <w:pStyle w:val="Title"/>
              <w:rPr>
                <w:rFonts w:asciiTheme="minorHAnsi" w:eastAsia="Arial" w:hAnsiTheme="minorHAnsi" w:cstheme="minorBidi"/>
                <w:b/>
                <w:bCs/>
                <w:color w:val="082974"/>
                <w:sz w:val="22"/>
                <w:szCs w:val="22"/>
              </w:rPr>
            </w:pPr>
          </w:p>
        </w:tc>
      </w:tr>
    </w:tbl>
    <w:p w14:paraId="052CE68D" w14:textId="1948052A" w:rsidR="6CE2FAD4" w:rsidRPr="002F003B" w:rsidRDefault="64079424" w:rsidP="00A47CF8">
      <w:pPr>
        <w:pStyle w:val="Heading1"/>
        <w:spacing w:line="240" w:lineRule="auto"/>
        <w:rPr>
          <w:rFonts w:ascii="Calibri" w:eastAsia="Calibri" w:hAnsi="Calibri" w:cs="Calibri"/>
          <w:color w:val="1B75BC"/>
        </w:rPr>
      </w:pPr>
      <w:r w:rsidRPr="002F003B">
        <w:rPr>
          <w:rFonts w:ascii="Calibri" w:eastAsia="Calibri" w:hAnsi="Calibri" w:cs="Calibri"/>
          <w:b/>
          <w:bCs/>
          <w:color w:val="1B75BC"/>
        </w:rPr>
        <w:t>O</w:t>
      </w:r>
      <w:r w:rsidR="6CE2FAD4" w:rsidRPr="002F003B">
        <w:rPr>
          <w:rFonts w:ascii="Calibri" w:eastAsia="Calibri" w:hAnsi="Calibri" w:cs="Calibri"/>
          <w:b/>
          <w:bCs/>
          <w:color w:val="1B75BC"/>
        </w:rPr>
        <w:t>regon State Performance Plan</w:t>
      </w:r>
    </w:p>
    <w:p w14:paraId="1076F075" w14:textId="55944DEB" w:rsidR="00DD3AEB" w:rsidRDefault="00DD3AEB" w:rsidP="00891293">
      <w:pPr>
        <w:spacing w:after="80" w:line="240" w:lineRule="auto"/>
        <w:rPr>
          <w:rFonts w:ascii="Calibri" w:eastAsia="Calibri" w:hAnsi="Calibri" w:cs="Calibri"/>
          <w:color w:val="000000" w:themeColor="text1"/>
        </w:rPr>
      </w:pPr>
      <w:r>
        <w:rPr>
          <w:rFonts w:ascii="Calibri" w:eastAsia="Calibri" w:hAnsi="Calibri" w:cs="Calibri"/>
          <w:color w:val="000000" w:themeColor="text1"/>
        </w:rPr>
        <w:t xml:space="preserve">Under the Individuals with Disabilities Education Act of 2004 (IDEA), the Oregon Department of Education (ODE) is required to submit a six-year State Performance Plan (SPP) to the Office of Special Education Programs (OSEP).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ODE is currently seeking input related to the indicators for which targets must be established and will be holding a public input session to discuss data related to this indicator in December 2021. Please see the </w:t>
      </w:r>
      <w:hyperlink r:id="rId11" w:history="1">
        <w:r>
          <w:rPr>
            <w:rStyle w:val="Hyperlink"/>
            <w:rFonts w:ascii="Calibri" w:eastAsia="Calibri" w:hAnsi="Calibri" w:cs="Calibri"/>
          </w:rPr>
          <w:t>ODE State Performance Plan and Annual Reports for Special Education webpage</w:t>
        </w:r>
      </w:hyperlink>
      <w:r>
        <w:rPr>
          <w:rFonts w:ascii="Calibri" w:eastAsia="Calibri" w:hAnsi="Calibri" w:cs="Calibri"/>
          <w:color w:val="000000" w:themeColor="text1"/>
        </w:rPr>
        <w:t xml:space="preserve"> for more information and to register for the public input session. You can also provide input without attending the session through </w:t>
      </w:r>
      <w:hyperlink r:id="rId12" w:history="1">
        <w:r w:rsidRPr="004546E0">
          <w:rPr>
            <w:rStyle w:val="Hyperlink"/>
            <w:rFonts w:ascii="Calibri" w:eastAsia="Calibri" w:hAnsi="Calibri" w:cs="Calibri"/>
          </w:rPr>
          <w:t>this survey</w:t>
        </w:r>
      </w:hyperlink>
      <w:r>
        <w:rPr>
          <w:rFonts w:ascii="Calibri" w:eastAsia="Calibri" w:hAnsi="Calibri" w:cs="Calibri"/>
          <w:color w:val="000000" w:themeColor="text1"/>
        </w:rPr>
        <w:t xml:space="preserve">. </w:t>
      </w:r>
    </w:p>
    <w:p w14:paraId="4B73E1C3" w14:textId="0BC52818" w:rsidR="000E4FA0" w:rsidRPr="002F003B" w:rsidRDefault="00CA3BE5" w:rsidP="00A47CF8">
      <w:pPr>
        <w:pStyle w:val="Heading1"/>
        <w:spacing w:line="240" w:lineRule="auto"/>
        <w:rPr>
          <w:rFonts w:asciiTheme="minorHAnsi" w:hAnsiTheme="minorHAnsi" w:cstheme="minorBidi"/>
          <w:b/>
          <w:bCs/>
          <w:color w:val="1B75BC"/>
        </w:rPr>
      </w:pPr>
      <w:r w:rsidRPr="002F003B">
        <w:rPr>
          <w:rFonts w:asciiTheme="minorHAnsi" w:hAnsiTheme="minorHAnsi" w:cstheme="minorBidi"/>
          <w:b/>
          <w:bCs/>
          <w:color w:val="1B75BC"/>
        </w:rPr>
        <w:t>What does this indicator measure</w:t>
      </w:r>
      <w:r w:rsidR="0ECBA6C1" w:rsidRPr="002F003B">
        <w:rPr>
          <w:rFonts w:asciiTheme="minorHAnsi" w:hAnsiTheme="minorHAnsi" w:cstheme="minorBidi"/>
          <w:b/>
          <w:bCs/>
          <w:color w:val="1B75BC"/>
        </w:rPr>
        <w:t xml:space="preserve"> and why is it important</w:t>
      </w:r>
      <w:r w:rsidRPr="002F003B">
        <w:rPr>
          <w:rFonts w:asciiTheme="minorHAnsi" w:hAnsiTheme="minorHAnsi" w:cstheme="minorBidi"/>
          <w:b/>
          <w:bCs/>
          <w:color w:val="1B75BC"/>
        </w:rPr>
        <w:t>?</w:t>
      </w:r>
    </w:p>
    <w:p w14:paraId="594CB9CE" w14:textId="24D9640D" w:rsidR="68430429" w:rsidRDefault="68430429" w:rsidP="00891293">
      <w:pPr>
        <w:spacing w:after="0" w:line="240" w:lineRule="auto"/>
        <w:rPr>
          <w:rFonts w:eastAsiaTheme="minorEastAsia"/>
          <w:color w:val="000000" w:themeColor="text1"/>
        </w:rPr>
      </w:pPr>
      <w:r>
        <w:t xml:space="preserve">Indicator B7 </w:t>
      </w:r>
      <w:r w:rsidR="62C3CB29">
        <w:t>a</w:t>
      </w:r>
      <w:r>
        <w:t xml:space="preserve">ddresses </w:t>
      </w:r>
      <w:r w:rsidR="5965F197" w:rsidRPr="712EECA8">
        <w:rPr>
          <w:rFonts w:ascii="Calibri" w:eastAsia="Calibri" w:hAnsi="Calibri" w:cs="Calibri"/>
          <w:color w:val="000000" w:themeColor="text1"/>
        </w:rPr>
        <w:t>a Free Appropriate Public Education (FAPE) in the Least Restrictive Environment (LRE)</w:t>
      </w:r>
      <w:r>
        <w:t xml:space="preserve"> by measuring</w:t>
      </w:r>
      <w:r w:rsidRPr="712EECA8">
        <w:rPr>
          <w:rFonts w:eastAsiaTheme="minorEastAsia"/>
        </w:rPr>
        <w:t xml:space="preserve"> </w:t>
      </w:r>
      <w:r w:rsidRPr="712EECA8">
        <w:rPr>
          <w:rFonts w:eastAsiaTheme="minorEastAsia"/>
          <w:color w:val="000000" w:themeColor="text1"/>
        </w:rPr>
        <w:t>Percent of preschool children aged 3 through 5 with I</w:t>
      </w:r>
      <w:r w:rsidR="763AD132" w:rsidRPr="712EECA8">
        <w:rPr>
          <w:rFonts w:eastAsiaTheme="minorEastAsia"/>
          <w:color w:val="000000" w:themeColor="text1"/>
        </w:rPr>
        <w:t>FS</w:t>
      </w:r>
      <w:r w:rsidRPr="712EECA8">
        <w:rPr>
          <w:rFonts w:eastAsiaTheme="minorEastAsia"/>
          <w:color w:val="000000" w:themeColor="text1"/>
        </w:rPr>
        <w:t>Ps who demonstrate improved:</w:t>
      </w:r>
    </w:p>
    <w:p w14:paraId="3A8ACFFC" w14:textId="2CBB6444" w:rsidR="68430429" w:rsidRDefault="68430429" w:rsidP="00891293">
      <w:pPr>
        <w:pStyle w:val="ListParagraph"/>
        <w:numPr>
          <w:ilvl w:val="0"/>
          <w:numId w:val="2"/>
        </w:numPr>
        <w:spacing w:line="240" w:lineRule="auto"/>
        <w:rPr>
          <w:rFonts w:eastAsiaTheme="minorEastAsia"/>
          <w:color w:val="000000" w:themeColor="text1"/>
        </w:rPr>
      </w:pPr>
      <w:r w:rsidRPr="15754C6C">
        <w:rPr>
          <w:rFonts w:eastAsiaTheme="minorEastAsia"/>
          <w:color w:val="000000" w:themeColor="text1"/>
        </w:rPr>
        <w:t>A. Positive social-emotional skills (including social relationships);</w:t>
      </w:r>
    </w:p>
    <w:p w14:paraId="38DD7A53" w14:textId="105C2F05" w:rsidR="68430429" w:rsidRDefault="68430429" w:rsidP="00891293">
      <w:pPr>
        <w:pStyle w:val="ListParagraph"/>
        <w:numPr>
          <w:ilvl w:val="0"/>
          <w:numId w:val="2"/>
        </w:numPr>
        <w:spacing w:line="240" w:lineRule="auto"/>
        <w:rPr>
          <w:rFonts w:eastAsiaTheme="minorEastAsia"/>
          <w:color w:val="000000" w:themeColor="text1"/>
        </w:rPr>
      </w:pPr>
      <w:r w:rsidRPr="15754C6C">
        <w:rPr>
          <w:rFonts w:eastAsiaTheme="minorEastAsia"/>
          <w:color w:val="000000" w:themeColor="text1"/>
        </w:rPr>
        <w:t>B. Acquisition and use of knowledge and skills (including early language/ communication and early literacy); and</w:t>
      </w:r>
    </w:p>
    <w:p w14:paraId="4B048890" w14:textId="3FE9323E" w:rsidR="68430429" w:rsidRDefault="68430429" w:rsidP="00891293">
      <w:pPr>
        <w:pStyle w:val="ListParagraph"/>
        <w:numPr>
          <w:ilvl w:val="0"/>
          <w:numId w:val="2"/>
        </w:numPr>
        <w:spacing w:after="80" w:line="240" w:lineRule="auto"/>
        <w:rPr>
          <w:rFonts w:eastAsiaTheme="minorEastAsia"/>
          <w:color w:val="000000" w:themeColor="text1"/>
        </w:rPr>
      </w:pPr>
      <w:r w:rsidRPr="25034C54">
        <w:rPr>
          <w:rFonts w:eastAsiaTheme="minorEastAsia"/>
          <w:color w:val="000000" w:themeColor="text1"/>
        </w:rPr>
        <w:t>C. Use of appropriate behaviors to meet their needs.</w:t>
      </w:r>
    </w:p>
    <w:p w14:paraId="070C1627" w14:textId="1A666B65" w:rsidR="48A21769" w:rsidRDefault="1C4389B5" w:rsidP="00891293">
      <w:pPr>
        <w:spacing w:after="80" w:line="240" w:lineRule="auto"/>
        <w:rPr>
          <w:rFonts w:ascii="Calibri" w:eastAsia="Calibri" w:hAnsi="Calibri" w:cs="Calibri"/>
          <w:color w:val="000000" w:themeColor="text1"/>
        </w:rPr>
      </w:pPr>
      <w:r w:rsidRPr="2F611A2E">
        <w:rPr>
          <w:rFonts w:ascii="Calibri" w:eastAsia="Calibri" w:hAnsi="Calibri" w:cs="Calibri"/>
          <w:color w:val="000000" w:themeColor="text1"/>
        </w:rPr>
        <w:t>T</w:t>
      </w:r>
      <w:r w:rsidR="48A21769" w:rsidRPr="2F611A2E">
        <w:rPr>
          <w:rFonts w:ascii="Calibri" w:eastAsia="Calibri" w:hAnsi="Calibri" w:cs="Calibri"/>
          <w:color w:val="000000" w:themeColor="text1"/>
        </w:rPr>
        <w:t>his indicator shows developmental and educational results for preschool children in our EI/ECSE programs.  These results are tied to Student Success Act funding as individual county EI/ECSE programs use these data to prioritize improvement in selected outcomes.</w:t>
      </w:r>
    </w:p>
    <w:p w14:paraId="0665E1DC" w14:textId="54E6943D" w:rsidR="0501F36D" w:rsidRPr="002F003B" w:rsidRDefault="00356BE5" w:rsidP="00A47CF8">
      <w:pPr>
        <w:pStyle w:val="Heading1"/>
        <w:spacing w:line="240" w:lineRule="auto"/>
        <w:rPr>
          <w:rFonts w:asciiTheme="minorHAnsi" w:eastAsiaTheme="minorEastAsia" w:hAnsiTheme="minorHAnsi" w:cstheme="minorBidi"/>
          <w:color w:val="1B75BC"/>
          <w:sz w:val="22"/>
          <w:szCs w:val="22"/>
        </w:rPr>
      </w:pPr>
      <w:r w:rsidRPr="002F003B">
        <w:rPr>
          <w:rFonts w:asciiTheme="minorHAnsi" w:hAnsiTheme="minorHAnsi" w:cstheme="minorBidi"/>
          <w:b/>
          <w:bCs/>
          <w:color w:val="1B75BC"/>
        </w:rPr>
        <w:t>What is the data source?</w:t>
      </w:r>
      <w:r w:rsidR="69229FB3" w:rsidRPr="002F003B">
        <w:rPr>
          <w:rFonts w:asciiTheme="minorHAnsi" w:hAnsiTheme="minorHAnsi" w:cstheme="minorBidi"/>
          <w:b/>
          <w:bCs/>
          <w:color w:val="1B75BC"/>
        </w:rPr>
        <w:t xml:space="preserve">  </w:t>
      </w:r>
    </w:p>
    <w:p w14:paraId="258FDD60" w14:textId="056F2D7C" w:rsidR="0501F36D" w:rsidRDefault="169498DA" w:rsidP="00891293">
      <w:pPr>
        <w:pStyle w:val="Heading1"/>
        <w:spacing w:before="0" w:line="240" w:lineRule="auto"/>
        <w:rPr>
          <w:rFonts w:asciiTheme="minorHAnsi" w:eastAsiaTheme="minorEastAsia" w:hAnsiTheme="minorHAnsi" w:cstheme="minorBidi"/>
          <w:color w:val="000000" w:themeColor="text1"/>
          <w:sz w:val="22"/>
          <w:szCs w:val="22"/>
        </w:rPr>
      </w:pPr>
      <w:r w:rsidRPr="5F1BD220">
        <w:rPr>
          <w:rFonts w:asciiTheme="minorHAnsi" w:eastAsiaTheme="minorEastAsia" w:hAnsiTheme="minorHAnsi" w:cstheme="minorBidi"/>
          <w:color w:val="000000" w:themeColor="text1"/>
          <w:sz w:val="22"/>
          <w:szCs w:val="22"/>
        </w:rPr>
        <w:t xml:space="preserve">Through a contractor, the </w:t>
      </w:r>
      <w:r w:rsidR="321E8029" w:rsidRPr="5F1BD220">
        <w:rPr>
          <w:rFonts w:asciiTheme="minorHAnsi" w:eastAsiaTheme="minorEastAsia" w:hAnsiTheme="minorHAnsi" w:cstheme="minorBidi"/>
          <w:color w:val="000000" w:themeColor="text1"/>
          <w:sz w:val="22"/>
          <w:szCs w:val="22"/>
        </w:rPr>
        <w:t>S</w:t>
      </w:r>
      <w:r w:rsidR="0501F36D" w:rsidRPr="5F1BD220">
        <w:rPr>
          <w:rFonts w:asciiTheme="minorHAnsi" w:eastAsiaTheme="minorEastAsia" w:hAnsiTheme="minorHAnsi" w:cstheme="minorBidi"/>
          <w:color w:val="000000" w:themeColor="text1"/>
          <w:sz w:val="22"/>
          <w:szCs w:val="22"/>
        </w:rPr>
        <w:t xml:space="preserve">tate </w:t>
      </w:r>
      <w:r w:rsidR="473B81AE" w:rsidRPr="5F1BD220">
        <w:rPr>
          <w:rFonts w:asciiTheme="minorHAnsi" w:eastAsiaTheme="minorEastAsia" w:hAnsiTheme="minorHAnsi" w:cstheme="minorBidi"/>
          <w:color w:val="000000" w:themeColor="text1"/>
          <w:sz w:val="22"/>
          <w:szCs w:val="22"/>
        </w:rPr>
        <w:t>can</w:t>
      </w:r>
      <w:r w:rsidR="01BC8D4E" w:rsidRPr="5F1BD220">
        <w:rPr>
          <w:rFonts w:asciiTheme="minorHAnsi" w:eastAsiaTheme="minorEastAsia" w:hAnsiTheme="minorHAnsi" w:cstheme="minorBidi"/>
          <w:color w:val="000000" w:themeColor="text1"/>
          <w:sz w:val="22"/>
          <w:szCs w:val="22"/>
        </w:rPr>
        <w:t xml:space="preserve"> aggregate </w:t>
      </w:r>
      <w:r w:rsidR="0501F36D" w:rsidRPr="5F1BD220">
        <w:rPr>
          <w:rFonts w:asciiTheme="minorHAnsi" w:eastAsiaTheme="minorEastAsia" w:hAnsiTheme="minorHAnsi" w:cstheme="minorBidi"/>
          <w:color w:val="000000" w:themeColor="text1"/>
          <w:sz w:val="22"/>
          <w:szCs w:val="22"/>
        </w:rPr>
        <w:t xml:space="preserve">selected data </w:t>
      </w:r>
      <w:r w:rsidR="4AB436B7" w:rsidRPr="5F1BD220">
        <w:rPr>
          <w:rFonts w:asciiTheme="minorHAnsi" w:eastAsiaTheme="minorEastAsia" w:hAnsiTheme="minorHAnsi" w:cstheme="minorBidi"/>
          <w:color w:val="000000" w:themeColor="text1"/>
          <w:sz w:val="22"/>
          <w:szCs w:val="22"/>
        </w:rPr>
        <w:t xml:space="preserve">from </w:t>
      </w:r>
      <w:r w:rsidR="49D6A4E7" w:rsidRPr="5F1BD220">
        <w:rPr>
          <w:rFonts w:asciiTheme="minorHAnsi" w:eastAsiaTheme="minorEastAsia" w:hAnsiTheme="minorHAnsi" w:cstheme="minorBidi"/>
          <w:color w:val="000000" w:themeColor="text1"/>
          <w:sz w:val="22"/>
          <w:szCs w:val="22"/>
        </w:rPr>
        <w:t xml:space="preserve">specific items within </w:t>
      </w:r>
      <w:r w:rsidR="4AB436B7" w:rsidRPr="5F1BD220">
        <w:rPr>
          <w:rFonts w:asciiTheme="minorHAnsi" w:eastAsiaTheme="minorEastAsia" w:hAnsiTheme="minorHAnsi" w:cstheme="minorBidi"/>
          <w:color w:val="000000" w:themeColor="text1"/>
          <w:sz w:val="22"/>
          <w:szCs w:val="22"/>
        </w:rPr>
        <w:t>the Assessment, Evaluation, and Programming System</w:t>
      </w:r>
      <w:r w:rsidR="67E90F15" w:rsidRPr="5F1BD220">
        <w:rPr>
          <w:rFonts w:asciiTheme="minorHAnsi" w:eastAsiaTheme="minorEastAsia" w:hAnsiTheme="minorHAnsi" w:cstheme="minorBidi"/>
          <w:color w:val="000000" w:themeColor="text1"/>
          <w:sz w:val="22"/>
          <w:szCs w:val="22"/>
        </w:rPr>
        <w:t xml:space="preserve"> (AEPS) for </w:t>
      </w:r>
      <w:r w:rsidR="53BB973E" w:rsidRPr="5F1BD220">
        <w:rPr>
          <w:rFonts w:asciiTheme="minorHAnsi" w:eastAsiaTheme="minorEastAsia" w:hAnsiTheme="minorHAnsi" w:cstheme="minorBidi"/>
          <w:color w:val="000000" w:themeColor="text1"/>
          <w:sz w:val="22"/>
          <w:szCs w:val="22"/>
        </w:rPr>
        <w:t>I</w:t>
      </w:r>
      <w:r w:rsidR="67E90F15" w:rsidRPr="5F1BD220">
        <w:rPr>
          <w:rFonts w:asciiTheme="minorHAnsi" w:eastAsiaTheme="minorEastAsia" w:hAnsiTheme="minorHAnsi" w:cstheme="minorBidi"/>
          <w:color w:val="000000" w:themeColor="text1"/>
          <w:sz w:val="22"/>
          <w:szCs w:val="22"/>
        </w:rPr>
        <w:t xml:space="preserve">nfants and </w:t>
      </w:r>
      <w:r w:rsidR="7E797721" w:rsidRPr="5F1BD220">
        <w:rPr>
          <w:rFonts w:asciiTheme="minorHAnsi" w:eastAsiaTheme="minorEastAsia" w:hAnsiTheme="minorHAnsi" w:cstheme="minorBidi"/>
          <w:color w:val="000000" w:themeColor="text1"/>
          <w:sz w:val="22"/>
          <w:szCs w:val="22"/>
        </w:rPr>
        <w:t>C</w:t>
      </w:r>
      <w:r w:rsidR="67E90F15" w:rsidRPr="5F1BD220">
        <w:rPr>
          <w:rFonts w:asciiTheme="minorHAnsi" w:eastAsiaTheme="minorEastAsia" w:hAnsiTheme="minorHAnsi" w:cstheme="minorBidi"/>
          <w:color w:val="000000" w:themeColor="text1"/>
          <w:sz w:val="22"/>
          <w:szCs w:val="22"/>
        </w:rPr>
        <w:t xml:space="preserve">hildren. This </w:t>
      </w:r>
      <w:r w:rsidR="1CECF624" w:rsidRPr="5F1BD220">
        <w:rPr>
          <w:rFonts w:asciiTheme="minorHAnsi" w:eastAsiaTheme="minorEastAsia" w:hAnsiTheme="minorHAnsi" w:cstheme="minorBidi"/>
          <w:color w:val="000000" w:themeColor="text1"/>
          <w:sz w:val="22"/>
          <w:szCs w:val="22"/>
        </w:rPr>
        <w:t>criterion-based</w:t>
      </w:r>
      <w:r w:rsidR="7D64F1FD" w:rsidRPr="5F1BD220">
        <w:rPr>
          <w:rFonts w:asciiTheme="minorHAnsi" w:eastAsiaTheme="minorEastAsia" w:hAnsiTheme="minorHAnsi" w:cstheme="minorBidi"/>
          <w:color w:val="000000" w:themeColor="text1"/>
          <w:sz w:val="22"/>
          <w:szCs w:val="22"/>
        </w:rPr>
        <w:t xml:space="preserve"> assessment has been adopted by the state and</w:t>
      </w:r>
      <w:r w:rsidR="67E90F15" w:rsidRPr="5F1BD220">
        <w:rPr>
          <w:rFonts w:asciiTheme="minorHAnsi" w:eastAsiaTheme="minorEastAsia" w:hAnsiTheme="minorHAnsi" w:cstheme="minorBidi"/>
          <w:color w:val="000000" w:themeColor="text1"/>
          <w:sz w:val="22"/>
          <w:szCs w:val="22"/>
        </w:rPr>
        <w:t xml:space="preserve"> is </w:t>
      </w:r>
      <w:r w:rsidR="4AB436B7" w:rsidRPr="5F1BD220">
        <w:rPr>
          <w:rFonts w:asciiTheme="minorHAnsi" w:eastAsiaTheme="minorEastAsia" w:hAnsiTheme="minorHAnsi" w:cstheme="minorBidi"/>
          <w:color w:val="000000" w:themeColor="text1"/>
          <w:sz w:val="22"/>
          <w:szCs w:val="22"/>
        </w:rPr>
        <w:t>u</w:t>
      </w:r>
      <w:r w:rsidR="3A6E54E6" w:rsidRPr="5F1BD220">
        <w:rPr>
          <w:rFonts w:asciiTheme="minorHAnsi" w:eastAsiaTheme="minorEastAsia" w:hAnsiTheme="minorHAnsi" w:cstheme="minorBidi"/>
          <w:color w:val="000000" w:themeColor="text1"/>
          <w:sz w:val="22"/>
          <w:szCs w:val="22"/>
        </w:rPr>
        <w:t xml:space="preserve">sed </w:t>
      </w:r>
      <w:r w:rsidR="5865ACB0" w:rsidRPr="5F1BD220">
        <w:rPr>
          <w:rFonts w:asciiTheme="minorHAnsi" w:eastAsiaTheme="minorEastAsia" w:hAnsiTheme="minorHAnsi" w:cstheme="minorBidi"/>
          <w:color w:val="000000" w:themeColor="text1"/>
          <w:sz w:val="22"/>
          <w:szCs w:val="22"/>
        </w:rPr>
        <w:t>in</w:t>
      </w:r>
      <w:r w:rsidR="3A6E54E6" w:rsidRPr="5F1BD220">
        <w:rPr>
          <w:rFonts w:asciiTheme="minorHAnsi" w:eastAsiaTheme="minorEastAsia" w:hAnsiTheme="minorHAnsi" w:cstheme="minorBidi"/>
          <w:color w:val="000000" w:themeColor="text1"/>
          <w:sz w:val="22"/>
          <w:szCs w:val="22"/>
        </w:rPr>
        <w:t xml:space="preserve"> every </w:t>
      </w:r>
      <w:r w:rsidR="3B678DCF" w:rsidRPr="5F1BD220">
        <w:rPr>
          <w:rFonts w:asciiTheme="minorHAnsi" w:eastAsiaTheme="minorEastAsia" w:hAnsiTheme="minorHAnsi" w:cstheme="minorBidi"/>
          <w:color w:val="000000" w:themeColor="text1"/>
          <w:sz w:val="22"/>
          <w:szCs w:val="22"/>
        </w:rPr>
        <w:t>Early Intervention/Early Childhood Special Education (EI/</w:t>
      </w:r>
      <w:r w:rsidR="3A6E54E6" w:rsidRPr="5F1BD220">
        <w:rPr>
          <w:rFonts w:asciiTheme="minorHAnsi" w:eastAsiaTheme="minorEastAsia" w:hAnsiTheme="minorHAnsi" w:cstheme="minorBidi"/>
          <w:color w:val="000000" w:themeColor="text1"/>
          <w:sz w:val="22"/>
          <w:szCs w:val="22"/>
        </w:rPr>
        <w:t>ECSE</w:t>
      </w:r>
      <w:r w:rsidR="6B070A78" w:rsidRPr="5F1BD220">
        <w:rPr>
          <w:rFonts w:asciiTheme="minorHAnsi" w:eastAsiaTheme="minorEastAsia" w:hAnsiTheme="minorHAnsi" w:cstheme="minorBidi"/>
          <w:color w:val="000000" w:themeColor="text1"/>
          <w:sz w:val="22"/>
          <w:szCs w:val="22"/>
        </w:rPr>
        <w:t>)</w:t>
      </w:r>
      <w:r w:rsidR="3A6E54E6" w:rsidRPr="5F1BD220">
        <w:rPr>
          <w:rFonts w:asciiTheme="minorHAnsi" w:eastAsiaTheme="minorEastAsia" w:hAnsiTheme="minorHAnsi" w:cstheme="minorBidi"/>
          <w:color w:val="000000" w:themeColor="text1"/>
          <w:sz w:val="22"/>
          <w:szCs w:val="22"/>
        </w:rPr>
        <w:t xml:space="preserve"> program </w:t>
      </w:r>
      <w:r w:rsidR="6DBD3A3D" w:rsidRPr="5F1BD220">
        <w:rPr>
          <w:rFonts w:asciiTheme="minorHAnsi" w:eastAsiaTheme="minorEastAsia" w:hAnsiTheme="minorHAnsi" w:cstheme="minorBidi"/>
          <w:color w:val="000000" w:themeColor="text1"/>
          <w:sz w:val="22"/>
          <w:szCs w:val="22"/>
        </w:rPr>
        <w:t>across</w:t>
      </w:r>
      <w:r w:rsidR="3A6E54E6" w:rsidRPr="5F1BD220">
        <w:rPr>
          <w:rFonts w:asciiTheme="minorHAnsi" w:eastAsiaTheme="minorEastAsia" w:hAnsiTheme="minorHAnsi" w:cstheme="minorBidi"/>
          <w:color w:val="000000" w:themeColor="text1"/>
          <w:sz w:val="22"/>
          <w:szCs w:val="22"/>
        </w:rPr>
        <w:t xml:space="preserve"> the State. </w:t>
      </w:r>
    </w:p>
    <w:p w14:paraId="1C1825B4" w14:textId="77777777" w:rsidR="006C7344" w:rsidRPr="002F003B" w:rsidRDefault="006C7344" w:rsidP="00A47CF8">
      <w:pPr>
        <w:pStyle w:val="Heading1"/>
        <w:spacing w:line="240" w:lineRule="auto"/>
        <w:rPr>
          <w:rFonts w:asciiTheme="minorHAnsi" w:hAnsiTheme="minorHAnsi" w:cstheme="minorBidi"/>
          <w:b/>
          <w:bCs/>
          <w:color w:val="1B75BC"/>
        </w:rPr>
      </w:pPr>
      <w:r w:rsidRPr="002F003B">
        <w:rPr>
          <w:rFonts w:asciiTheme="minorHAnsi" w:hAnsiTheme="minorHAnsi" w:cstheme="minorBidi"/>
          <w:b/>
          <w:bCs/>
          <w:color w:val="1B75BC"/>
        </w:rPr>
        <w:t>Does the baseline need to be set or reset for this indicator?</w:t>
      </w:r>
    </w:p>
    <w:p w14:paraId="10DE9E12" w14:textId="467FA6AA" w:rsidR="006C7344" w:rsidRDefault="006C7344" w:rsidP="00891293">
      <w:pPr>
        <w:spacing w:line="240" w:lineRule="auto"/>
        <w:rPr>
          <w:rFonts w:ascii="Calibri" w:eastAsia="Calibri" w:hAnsi="Calibri" w:cs="Calibri"/>
        </w:rPr>
      </w:pPr>
      <w:r w:rsidRPr="5F3139D1">
        <w:rPr>
          <w:rFonts w:ascii="Calibri" w:eastAsia="Calibri" w:hAnsi="Calibri" w:cs="Calibri"/>
        </w:rPr>
        <w:t xml:space="preserve">No, </w:t>
      </w:r>
      <w:r w:rsidR="00891521">
        <w:rPr>
          <w:rFonts w:ascii="Calibri" w:eastAsia="Calibri" w:hAnsi="Calibri" w:cs="Calibri"/>
        </w:rPr>
        <w:t xml:space="preserve">ODE does </w:t>
      </w:r>
      <w:r w:rsidRPr="5F3139D1">
        <w:rPr>
          <w:rFonts w:ascii="Calibri" w:eastAsia="Calibri" w:hAnsi="Calibri" w:cs="Calibri"/>
        </w:rPr>
        <w:t xml:space="preserve">not </w:t>
      </w:r>
      <w:r w:rsidR="00891521">
        <w:rPr>
          <w:rFonts w:ascii="Calibri" w:eastAsia="Calibri" w:hAnsi="Calibri" w:cs="Calibri"/>
        </w:rPr>
        <w:t xml:space="preserve">intend to </w:t>
      </w:r>
      <w:r w:rsidRPr="5F3139D1">
        <w:rPr>
          <w:rFonts w:ascii="Calibri" w:eastAsia="Calibri" w:hAnsi="Calibri" w:cs="Calibri"/>
        </w:rPr>
        <w:t xml:space="preserve">reset this </w:t>
      </w:r>
      <w:r w:rsidR="00891521">
        <w:rPr>
          <w:rFonts w:ascii="Calibri" w:eastAsia="Calibri" w:hAnsi="Calibri" w:cs="Calibri"/>
        </w:rPr>
        <w:t xml:space="preserve">baseline this </w:t>
      </w:r>
      <w:r w:rsidRPr="5F3139D1">
        <w:rPr>
          <w:rFonts w:ascii="Calibri" w:eastAsia="Calibri" w:hAnsi="Calibri" w:cs="Calibri"/>
        </w:rPr>
        <w:t xml:space="preserve">year. The current baseline data year is 2015 when Oregon switched to the Brookes Publishing Company Sort for AEPS I and II for the B7 Preschool Outcomes. The agency will continue with the 2015 baseline data. Since Oregon will adopt the AEPS-3 for the B7 Preschool Outcome data </w:t>
      </w:r>
      <w:r w:rsidR="0003646E">
        <w:rPr>
          <w:rFonts w:ascii="Calibri" w:eastAsia="Calibri" w:hAnsi="Calibri" w:cs="Calibri"/>
        </w:rPr>
        <w:t>by</w:t>
      </w:r>
      <w:r w:rsidRPr="5F3139D1">
        <w:rPr>
          <w:rFonts w:ascii="Calibri" w:eastAsia="Calibri" w:hAnsi="Calibri" w:cs="Calibri"/>
        </w:rPr>
        <w:t xml:space="preserve"> 2023, targets set this year will be difficult to use in the data performance in the subsequent years.</w:t>
      </w:r>
    </w:p>
    <w:p w14:paraId="63FE7C1A" w14:textId="77777777" w:rsidR="000E3321" w:rsidRPr="006C7344" w:rsidRDefault="000E3321" w:rsidP="00891293">
      <w:pPr>
        <w:spacing w:line="240" w:lineRule="auto"/>
      </w:pPr>
    </w:p>
    <w:p w14:paraId="46CD9973" w14:textId="77777777" w:rsidR="002330DF" w:rsidRDefault="002330DF" w:rsidP="00891293">
      <w:pPr>
        <w:spacing w:line="240" w:lineRule="auto"/>
        <w:rPr>
          <w:rFonts w:eastAsiaTheme="majorEastAsia"/>
          <w:b/>
          <w:bCs/>
          <w:color w:val="1B75BC"/>
          <w:sz w:val="32"/>
          <w:szCs w:val="32"/>
        </w:rPr>
      </w:pPr>
      <w:r>
        <w:rPr>
          <w:b/>
          <w:bCs/>
          <w:color w:val="1B75BC"/>
        </w:rPr>
        <w:br w:type="page"/>
      </w:r>
    </w:p>
    <w:p w14:paraId="3E8946C2" w14:textId="2EA338FA" w:rsidR="006C7344" w:rsidRDefault="67964785" w:rsidP="00891293">
      <w:pPr>
        <w:pStyle w:val="Heading1"/>
        <w:spacing w:before="120" w:line="240" w:lineRule="auto"/>
        <w:rPr>
          <w:rFonts w:asciiTheme="minorHAnsi" w:hAnsiTheme="minorHAnsi" w:cstheme="minorBidi"/>
          <w:b/>
          <w:bCs/>
          <w:color w:val="1B75BC"/>
        </w:rPr>
      </w:pPr>
      <w:r w:rsidRPr="002F003B">
        <w:rPr>
          <w:rFonts w:asciiTheme="minorHAnsi" w:hAnsiTheme="minorHAnsi" w:cstheme="minorBidi"/>
          <w:b/>
          <w:bCs/>
          <w:color w:val="1B75BC"/>
        </w:rPr>
        <w:lastRenderedPageBreak/>
        <w:t>H</w:t>
      </w:r>
      <w:r w:rsidR="00C41661" w:rsidRPr="002F003B">
        <w:rPr>
          <w:rFonts w:asciiTheme="minorHAnsi" w:hAnsiTheme="minorHAnsi" w:cstheme="minorBidi"/>
          <w:b/>
          <w:bCs/>
          <w:color w:val="1B75BC"/>
        </w:rPr>
        <w:t>ow has Oregon performed over time</w:t>
      </w:r>
      <w:r w:rsidR="00F6074C">
        <w:rPr>
          <w:rFonts w:asciiTheme="minorHAnsi" w:hAnsiTheme="minorHAnsi" w:cstheme="minorBidi"/>
          <w:b/>
          <w:bCs/>
          <w:color w:val="1B75BC"/>
        </w:rPr>
        <w:t>?</w:t>
      </w:r>
    </w:p>
    <w:p w14:paraId="6B3D13F5" w14:textId="5C1B4FC4" w:rsidR="00057550" w:rsidRPr="00057550" w:rsidRDefault="00057550" w:rsidP="00057550"/>
    <w:p w14:paraId="437EA3EA" w14:textId="02E313E7" w:rsidR="002B268E" w:rsidRDefault="00B65DAE" w:rsidP="00891293">
      <w:pPr>
        <w:spacing w:before="120" w:after="0" w:line="240" w:lineRule="auto"/>
        <w:jc w:val="center"/>
        <w:rPr>
          <w:noProof/>
        </w:rPr>
      </w:pPr>
      <w:r>
        <w:rPr>
          <w:noProof/>
        </w:rPr>
        <w:drawing>
          <wp:inline distT="0" distB="0" distL="0" distR="0" wp14:anchorId="7552268E" wp14:editId="0C63BFBA">
            <wp:extent cx="3383280" cy="3474720"/>
            <wp:effectExtent l="0" t="0" r="7620" b="11430"/>
            <wp:docPr id="9" name="Chart 9" title="Oregon's Indicator B7 (Pre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F2CEB">
        <w:rPr>
          <w:noProof/>
        </w:rPr>
        <w:drawing>
          <wp:inline distT="0" distB="0" distL="0" distR="0" wp14:anchorId="5C7F3339" wp14:editId="69BEF525">
            <wp:extent cx="3383280" cy="3474720"/>
            <wp:effectExtent l="0" t="0" r="7620" b="11430"/>
            <wp:docPr id="1" name="Chart 1" title="Oregon's Indicator B7 (Pre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A4455F" w14:textId="77777777" w:rsidR="00057550" w:rsidRDefault="00057550" w:rsidP="00891293">
      <w:pPr>
        <w:spacing w:before="120" w:after="0" w:line="240" w:lineRule="auto"/>
        <w:jc w:val="center"/>
        <w:rPr>
          <w:noProof/>
        </w:rPr>
      </w:pPr>
    </w:p>
    <w:p w14:paraId="4D83CBFC" w14:textId="6CCADCDC" w:rsidR="00696549" w:rsidRDefault="00103F34" w:rsidP="00891293">
      <w:pPr>
        <w:spacing w:before="120" w:after="0" w:line="240" w:lineRule="auto"/>
        <w:jc w:val="center"/>
        <w:rPr>
          <w:rFonts w:ascii="Calibri" w:eastAsia="Calibri" w:hAnsi="Calibri" w:cs="Calibri"/>
          <w:b/>
          <w:bCs/>
          <w:color w:val="1B75BC"/>
          <w:sz w:val="24"/>
          <w:szCs w:val="24"/>
        </w:rPr>
      </w:pPr>
      <w:r>
        <w:rPr>
          <w:noProof/>
        </w:rPr>
        <w:drawing>
          <wp:inline distT="0" distB="0" distL="0" distR="0" wp14:anchorId="76AF739C" wp14:editId="5DCF7D95">
            <wp:extent cx="3383280" cy="3474720"/>
            <wp:effectExtent l="0" t="0" r="7620" b="11430"/>
            <wp:docPr id="10" name="Chart 10" title="Oregon's Indicator B7 (Pre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t xml:space="preserve"> </w:t>
      </w:r>
      <w:r w:rsidR="00B816A3">
        <w:rPr>
          <w:noProof/>
        </w:rPr>
        <w:drawing>
          <wp:inline distT="0" distB="0" distL="0" distR="0" wp14:anchorId="3C68763F" wp14:editId="7C11A19B">
            <wp:extent cx="3383280" cy="3474720"/>
            <wp:effectExtent l="0" t="0" r="7620" b="11430"/>
            <wp:docPr id="13" name="Chart 13" title="Oregon's Indicator B7 (Pre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355976" w14:textId="766CB5F6" w:rsidR="00696549" w:rsidRDefault="00696549" w:rsidP="00891293">
      <w:pPr>
        <w:pStyle w:val="NoSpacing"/>
      </w:pPr>
    </w:p>
    <w:p w14:paraId="72FD83AC" w14:textId="2BCBEDBE" w:rsidR="009E373C" w:rsidRDefault="001500B8" w:rsidP="00891293">
      <w:pPr>
        <w:pStyle w:val="NoSpacing"/>
        <w:rPr>
          <w:noProof/>
        </w:rPr>
      </w:pPr>
      <w:r>
        <w:rPr>
          <w:noProof/>
        </w:rPr>
        <w:lastRenderedPageBreak/>
        <w:drawing>
          <wp:inline distT="0" distB="0" distL="0" distR="0" wp14:anchorId="2E3F5508" wp14:editId="4B71A767">
            <wp:extent cx="3383280" cy="3474720"/>
            <wp:effectExtent l="0" t="0" r="7620" b="11430"/>
            <wp:docPr id="14" name="Chart 14" title="Oregon's Indicator B7 (Pre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9E373C">
        <w:rPr>
          <w:noProof/>
        </w:rPr>
        <w:t xml:space="preserve"> </w:t>
      </w:r>
      <w:r>
        <w:rPr>
          <w:noProof/>
        </w:rPr>
        <w:drawing>
          <wp:inline distT="0" distB="0" distL="0" distR="0" wp14:anchorId="3BB512DC" wp14:editId="622FEA11">
            <wp:extent cx="3383280" cy="3474720"/>
            <wp:effectExtent l="0" t="0" r="7620" b="11430"/>
            <wp:docPr id="19" name="Chart 19" title="Oregon's Indicator B7 (Pre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9B8617" w14:textId="176CA938" w:rsidR="57FA87C5" w:rsidRPr="00C710C8" w:rsidRDefault="57FA87C5" w:rsidP="000E446A">
      <w:pPr>
        <w:spacing w:before="120" w:after="0" w:line="240" w:lineRule="auto"/>
        <w:rPr>
          <w:rFonts w:ascii="Calibri" w:eastAsia="Calibri" w:hAnsi="Calibri" w:cs="Calibri"/>
          <w:color w:val="1B75BC"/>
          <w:sz w:val="32"/>
          <w:szCs w:val="32"/>
        </w:rPr>
      </w:pPr>
      <w:r w:rsidRPr="00C710C8">
        <w:rPr>
          <w:rFonts w:ascii="Calibri" w:eastAsia="Calibri" w:hAnsi="Calibri" w:cs="Calibri"/>
          <w:b/>
          <w:bCs/>
          <w:color w:val="1B75BC"/>
          <w:sz w:val="32"/>
          <w:szCs w:val="32"/>
        </w:rPr>
        <w:t>What are the new targets?</w:t>
      </w:r>
    </w:p>
    <w:p w14:paraId="5C5BE7F0" w14:textId="77777777" w:rsidR="009C00DB" w:rsidRDefault="009C00DB" w:rsidP="009C00DB">
      <w:pPr>
        <w:spacing w:after="0" w:line="240" w:lineRule="auto"/>
        <w:rPr>
          <w:rFonts w:ascii="Calibri" w:eastAsia="Calibri" w:hAnsi="Calibri" w:cs="Calibri"/>
          <w:color w:val="000000" w:themeColor="text1"/>
        </w:rPr>
      </w:pPr>
      <w:r>
        <w:rPr>
          <w:rFonts w:ascii="Calibri" w:eastAsia="Calibri" w:hAnsi="Calibri" w:cs="Calibri"/>
          <w:color w:val="000000" w:themeColor="text1"/>
        </w:rPr>
        <w:t>The ODE will not set new targets until we hear from our partners. There are several ways to set new targets. It could be a percentage increase, start with the desired end in mind, or examine trends over time and make predictions based on trends. Some helpful information about setting targets:</w:t>
      </w:r>
    </w:p>
    <w:p w14:paraId="4CDDC28B" w14:textId="77777777" w:rsidR="009C00DB" w:rsidRDefault="009C00DB" w:rsidP="009C00DB">
      <w:pPr>
        <w:pStyle w:val="ListParagraph"/>
        <w:numPr>
          <w:ilvl w:val="0"/>
          <w:numId w:val="1"/>
        </w:numPr>
        <w:spacing w:line="240" w:lineRule="auto"/>
        <w:rPr>
          <w:rFonts w:eastAsiaTheme="minorEastAsia"/>
          <w:color w:val="000000" w:themeColor="text1"/>
        </w:rPr>
      </w:pPr>
      <w:r>
        <w:rPr>
          <w:rFonts w:ascii="Calibri" w:eastAsia="Calibri" w:hAnsi="Calibri" w:cs="Calibri"/>
          <w:color w:val="000000" w:themeColor="text1"/>
        </w:rPr>
        <w:t>Targets are meant to support improved results and outcomes for children and families. They should be within reach but still show growth. </w:t>
      </w:r>
    </w:p>
    <w:p w14:paraId="3E2F6365" w14:textId="727D3EF6" w:rsidR="57FA87C5" w:rsidRDefault="009C00DB" w:rsidP="00FA236C">
      <w:pPr>
        <w:pStyle w:val="ListParagraph"/>
        <w:numPr>
          <w:ilvl w:val="0"/>
          <w:numId w:val="1"/>
        </w:numPr>
        <w:spacing w:after="60" w:line="240" w:lineRule="auto"/>
        <w:rPr>
          <w:rFonts w:eastAsiaTheme="minorEastAsia"/>
          <w:color w:val="000000" w:themeColor="text1"/>
          <w:sz w:val="24"/>
          <w:szCs w:val="24"/>
        </w:rPr>
      </w:pPr>
      <w:r>
        <w:rPr>
          <w:rFonts w:ascii="Calibri" w:eastAsia="Calibri" w:hAnsi="Calibri" w:cs="Calibri"/>
          <w:color w:val="000000" w:themeColor="text1"/>
        </w:rPr>
        <w:t>Change takes time. Targets can be created with this understanding in mind. For example, targets may stay the same for several years in a row, and then improve slightly during the final target year (FFY 2025). Alternatively, targets could show a slight improvement each year.</w:t>
      </w:r>
    </w:p>
    <w:p w14:paraId="390CB6EC" w14:textId="4EB63435" w:rsidR="57FA87C5" w:rsidRDefault="57FA87C5" w:rsidP="00041319">
      <w:pPr>
        <w:spacing w:before="120" w:after="0" w:line="240" w:lineRule="auto"/>
        <w:rPr>
          <w:rFonts w:ascii="Calibri" w:eastAsia="Calibri" w:hAnsi="Calibri" w:cs="Calibri"/>
          <w:color w:val="408740"/>
          <w:sz w:val="24"/>
          <w:szCs w:val="24"/>
        </w:rPr>
      </w:pPr>
      <w:r w:rsidRPr="25034C54">
        <w:rPr>
          <w:rFonts w:ascii="Calibri" w:eastAsia="Calibri" w:hAnsi="Calibri" w:cs="Calibri"/>
          <w:b/>
          <w:bCs/>
          <w:color w:val="408740"/>
          <w:sz w:val="24"/>
          <w:szCs w:val="24"/>
        </w:rPr>
        <w:t>Example A</w:t>
      </w:r>
    </w:p>
    <w:tbl>
      <w:tblPr>
        <w:tblStyle w:val="TableGrid"/>
        <w:tblW w:w="5000" w:type="pct"/>
        <w:tblLook w:val="04A0" w:firstRow="1" w:lastRow="0" w:firstColumn="1" w:lastColumn="0" w:noHBand="0" w:noVBand="1"/>
        <w:tblCaption w:val="Example A"/>
      </w:tblPr>
      <w:tblGrid>
        <w:gridCol w:w="2565"/>
        <w:gridCol w:w="1371"/>
        <w:gridCol w:w="1371"/>
        <w:gridCol w:w="1371"/>
        <w:gridCol w:w="1371"/>
        <w:gridCol w:w="1371"/>
        <w:gridCol w:w="1370"/>
      </w:tblGrid>
      <w:tr w:rsidR="15754C6C" w14:paraId="5878021A" w14:textId="77777777" w:rsidTr="00AC7A59">
        <w:trPr>
          <w:tblHeader/>
        </w:trPr>
        <w:tc>
          <w:tcPr>
            <w:tcW w:w="1188" w:type="pct"/>
            <w:shd w:val="clear" w:color="auto" w:fill="ED7D31" w:themeFill="accent2"/>
          </w:tcPr>
          <w:p w14:paraId="03AB22CB" w14:textId="44003B8B" w:rsidR="15754C6C" w:rsidRDefault="15754C6C" w:rsidP="00891293">
            <w:pPr>
              <w:jc w:val="center"/>
              <w:rPr>
                <w:rFonts w:ascii="Calibri" w:eastAsia="Calibri" w:hAnsi="Calibri" w:cs="Calibri"/>
              </w:rPr>
            </w:pPr>
            <w:r w:rsidRPr="15754C6C">
              <w:rPr>
                <w:rFonts w:ascii="Calibri" w:eastAsia="Calibri" w:hAnsi="Calibri" w:cs="Calibri"/>
                <w:b/>
                <w:bCs/>
              </w:rPr>
              <w:t>FFY</w:t>
            </w:r>
          </w:p>
        </w:tc>
        <w:tc>
          <w:tcPr>
            <w:tcW w:w="635" w:type="pct"/>
            <w:shd w:val="clear" w:color="auto" w:fill="ED7D31" w:themeFill="accent2"/>
          </w:tcPr>
          <w:p w14:paraId="2ACD69DC" w14:textId="15E2A615" w:rsidR="15754C6C" w:rsidRDefault="15754C6C" w:rsidP="00891293">
            <w:pPr>
              <w:jc w:val="center"/>
              <w:rPr>
                <w:rFonts w:ascii="Calibri" w:eastAsia="Calibri" w:hAnsi="Calibri" w:cs="Calibri"/>
              </w:rPr>
            </w:pPr>
            <w:r w:rsidRPr="15754C6C">
              <w:rPr>
                <w:rFonts w:ascii="Calibri" w:eastAsia="Calibri" w:hAnsi="Calibri" w:cs="Calibri"/>
                <w:b/>
                <w:bCs/>
              </w:rPr>
              <w:t>2020</w:t>
            </w:r>
          </w:p>
        </w:tc>
        <w:tc>
          <w:tcPr>
            <w:tcW w:w="635" w:type="pct"/>
            <w:shd w:val="clear" w:color="auto" w:fill="ED7D31" w:themeFill="accent2"/>
          </w:tcPr>
          <w:p w14:paraId="644D8259" w14:textId="033745FC" w:rsidR="15754C6C" w:rsidRDefault="15754C6C" w:rsidP="00891293">
            <w:pPr>
              <w:jc w:val="center"/>
              <w:rPr>
                <w:rFonts w:ascii="Calibri" w:eastAsia="Calibri" w:hAnsi="Calibri" w:cs="Calibri"/>
              </w:rPr>
            </w:pPr>
            <w:r w:rsidRPr="15754C6C">
              <w:rPr>
                <w:rFonts w:ascii="Calibri" w:eastAsia="Calibri" w:hAnsi="Calibri" w:cs="Calibri"/>
                <w:b/>
                <w:bCs/>
              </w:rPr>
              <w:t>2021</w:t>
            </w:r>
          </w:p>
        </w:tc>
        <w:tc>
          <w:tcPr>
            <w:tcW w:w="635" w:type="pct"/>
            <w:shd w:val="clear" w:color="auto" w:fill="ED7D31" w:themeFill="accent2"/>
          </w:tcPr>
          <w:p w14:paraId="2C66F2B5" w14:textId="5CFA7D65" w:rsidR="15754C6C" w:rsidRDefault="15754C6C" w:rsidP="00891293">
            <w:pPr>
              <w:jc w:val="center"/>
              <w:rPr>
                <w:rFonts w:ascii="Calibri" w:eastAsia="Calibri" w:hAnsi="Calibri" w:cs="Calibri"/>
              </w:rPr>
            </w:pPr>
            <w:r w:rsidRPr="15754C6C">
              <w:rPr>
                <w:rFonts w:ascii="Calibri" w:eastAsia="Calibri" w:hAnsi="Calibri" w:cs="Calibri"/>
                <w:b/>
                <w:bCs/>
              </w:rPr>
              <w:t>2022</w:t>
            </w:r>
          </w:p>
        </w:tc>
        <w:tc>
          <w:tcPr>
            <w:tcW w:w="635" w:type="pct"/>
            <w:shd w:val="clear" w:color="auto" w:fill="ED7D31" w:themeFill="accent2"/>
          </w:tcPr>
          <w:p w14:paraId="70C13B3D" w14:textId="56363FC9" w:rsidR="15754C6C" w:rsidRDefault="15754C6C" w:rsidP="00891293">
            <w:pPr>
              <w:jc w:val="center"/>
              <w:rPr>
                <w:rFonts w:ascii="Calibri" w:eastAsia="Calibri" w:hAnsi="Calibri" w:cs="Calibri"/>
              </w:rPr>
            </w:pPr>
            <w:r w:rsidRPr="15754C6C">
              <w:rPr>
                <w:rFonts w:ascii="Calibri" w:eastAsia="Calibri" w:hAnsi="Calibri" w:cs="Calibri"/>
                <w:b/>
                <w:bCs/>
              </w:rPr>
              <w:t>2023</w:t>
            </w:r>
          </w:p>
        </w:tc>
        <w:tc>
          <w:tcPr>
            <w:tcW w:w="635" w:type="pct"/>
            <w:shd w:val="clear" w:color="auto" w:fill="ED7D31" w:themeFill="accent2"/>
          </w:tcPr>
          <w:p w14:paraId="230ABC41" w14:textId="3EE6DDCB" w:rsidR="15754C6C" w:rsidRDefault="15754C6C" w:rsidP="00891293">
            <w:pPr>
              <w:jc w:val="center"/>
              <w:rPr>
                <w:rFonts w:ascii="Calibri" w:eastAsia="Calibri" w:hAnsi="Calibri" w:cs="Calibri"/>
              </w:rPr>
            </w:pPr>
            <w:r w:rsidRPr="15754C6C">
              <w:rPr>
                <w:rFonts w:ascii="Calibri" w:eastAsia="Calibri" w:hAnsi="Calibri" w:cs="Calibri"/>
                <w:b/>
                <w:bCs/>
              </w:rPr>
              <w:t>2024</w:t>
            </w:r>
          </w:p>
        </w:tc>
        <w:tc>
          <w:tcPr>
            <w:tcW w:w="635" w:type="pct"/>
            <w:shd w:val="clear" w:color="auto" w:fill="ED7D31" w:themeFill="accent2"/>
          </w:tcPr>
          <w:p w14:paraId="3D03D3E9" w14:textId="387685E6" w:rsidR="15754C6C" w:rsidRDefault="15754C6C" w:rsidP="00891293">
            <w:pPr>
              <w:jc w:val="center"/>
              <w:rPr>
                <w:rFonts w:ascii="Calibri" w:eastAsia="Calibri" w:hAnsi="Calibri" w:cs="Calibri"/>
              </w:rPr>
            </w:pPr>
            <w:r w:rsidRPr="15754C6C">
              <w:rPr>
                <w:rFonts w:ascii="Calibri" w:eastAsia="Calibri" w:hAnsi="Calibri" w:cs="Calibri"/>
                <w:b/>
                <w:bCs/>
              </w:rPr>
              <w:t>2025</w:t>
            </w:r>
          </w:p>
        </w:tc>
      </w:tr>
      <w:tr w:rsidR="15754C6C" w14:paraId="4114FCB0" w14:textId="77777777" w:rsidTr="0003646E">
        <w:tc>
          <w:tcPr>
            <w:tcW w:w="1188" w:type="pct"/>
          </w:tcPr>
          <w:p w14:paraId="2636066D" w14:textId="47158963" w:rsidR="15754C6C" w:rsidRDefault="15754C6C" w:rsidP="00891293">
            <w:pPr>
              <w:rPr>
                <w:rFonts w:ascii="Calibri" w:eastAsia="Calibri" w:hAnsi="Calibri" w:cs="Calibri"/>
              </w:rPr>
            </w:pPr>
            <w:r w:rsidRPr="15754C6C">
              <w:rPr>
                <w:rFonts w:ascii="Calibri" w:eastAsia="Calibri" w:hAnsi="Calibri" w:cs="Calibri"/>
              </w:rPr>
              <w:t>Targets for A</w:t>
            </w:r>
            <w:r w:rsidR="6118E1F9" w:rsidRPr="15754C6C">
              <w:rPr>
                <w:rFonts w:ascii="Calibri" w:eastAsia="Calibri" w:hAnsi="Calibri" w:cs="Calibri"/>
              </w:rPr>
              <w:t>1</w:t>
            </w:r>
            <w:r w:rsidRPr="15754C6C">
              <w:rPr>
                <w:rFonts w:ascii="Calibri" w:eastAsia="Calibri" w:hAnsi="Calibri" w:cs="Calibri"/>
              </w:rPr>
              <w:t xml:space="preserve"> ≥</w:t>
            </w:r>
          </w:p>
        </w:tc>
        <w:tc>
          <w:tcPr>
            <w:tcW w:w="635" w:type="pct"/>
          </w:tcPr>
          <w:p w14:paraId="75D788EB" w14:textId="3BE3D8E3" w:rsidR="15754C6C" w:rsidRDefault="48FAB91A" w:rsidP="00891293">
            <w:pPr>
              <w:jc w:val="center"/>
              <w:rPr>
                <w:rFonts w:ascii="Calibri" w:eastAsia="Calibri" w:hAnsi="Calibri" w:cs="Calibri"/>
              </w:rPr>
            </w:pPr>
            <w:r w:rsidRPr="3EBCC824">
              <w:rPr>
                <w:rFonts w:ascii="Calibri" w:eastAsia="Calibri" w:hAnsi="Calibri" w:cs="Calibri"/>
              </w:rPr>
              <w:t>76.10%</w:t>
            </w:r>
          </w:p>
        </w:tc>
        <w:tc>
          <w:tcPr>
            <w:tcW w:w="635" w:type="pct"/>
          </w:tcPr>
          <w:p w14:paraId="10C3BBD2" w14:textId="25DA8B59" w:rsidR="15754C6C" w:rsidRDefault="24B85555" w:rsidP="00891293">
            <w:pPr>
              <w:jc w:val="center"/>
              <w:rPr>
                <w:rFonts w:ascii="Calibri" w:eastAsia="Calibri" w:hAnsi="Calibri" w:cs="Calibri"/>
              </w:rPr>
            </w:pPr>
            <w:r w:rsidRPr="3EBCC824">
              <w:rPr>
                <w:rFonts w:ascii="Calibri" w:eastAsia="Calibri" w:hAnsi="Calibri" w:cs="Calibri"/>
              </w:rPr>
              <w:t>76.20%</w:t>
            </w:r>
          </w:p>
        </w:tc>
        <w:tc>
          <w:tcPr>
            <w:tcW w:w="635" w:type="pct"/>
          </w:tcPr>
          <w:p w14:paraId="3B31B6CE" w14:textId="66763A90" w:rsidR="15754C6C" w:rsidRDefault="24B85555" w:rsidP="00891293">
            <w:pPr>
              <w:jc w:val="center"/>
              <w:rPr>
                <w:rFonts w:ascii="Calibri" w:eastAsia="Calibri" w:hAnsi="Calibri" w:cs="Calibri"/>
              </w:rPr>
            </w:pPr>
            <w:r w:rsidRPr="3EBCC824">
              <w:rPr>
                <w:rFonts w:ascii="Calibri" w:eastAsia="Calibri" w:hAnsi="Calibri" w:cs="Calibri"/>
              </w:rPr>
              <w:t>76.20%</w:t>
            </w:r>
          </w:p>
        </w:tc>
        <w:tc>
          <w:tcPr>
            <w:tcW w:w="635" w:type="pct"/>
          </w:tcPr>
          <w:p w14:paraId="7A36339E" w14:textId="2776A77A" w:rsidR="15754C6C" w:rsidRDefault="24B85555" w:rsidP="00891293">
            <w:pPr>
              <w:jc w:val="center"/>
              <w:rPr>
                <w:rFonts w:ascii="Calibri" w:eastAsia="Calibri" w:hAnsi="Calibri" w:cs="Calibri"/>
              </w:rPr>
            </w:pPr>
            <w:r w:rsidRPr="3EBCC824">
              <w:rPr>
                <w:rFonts w:ascii="Calibri" w:eastAsia="Calibri" w:hAnsi="Calibri" w:cs="Calibri"/>
              </w:rPr>
              <w:t>76.30%</w:t>
            </w:r>
          </w:p>
        </w:tc>
        <w:tc>
          <w:tcPr>
            <w:tcW w:w="635" w:type="pct"/>
          </w:tcPr>
          <w:p w14:paraId="72BA3E21" w14:textId="14AD33EF" w:rsidR="15754C6C" w:rsidRDefault="24B85555" w:rsidP="00891293">
            <w:pPr>
              <w:jc w:val="center"/>
              <w:rPr>
                <w:rFonts w:ascii="Calibri" w:eastAsia="Calibri" w:hAnsi="Calibri" w:cs="Calibri"/>
              </w:rPr>
            </w:pPr>
            <w:r w:rsidRPr="3EBCC824">
              <w:rPr>
                <w:rFonts w:ascii="Calibri" w:eastAsia="Calibri" w:hAnsi="Calibri" w:cs="Calibri"/>
              </w:rPr>
              <w:t>76.30%</w:t>
            </w:r>
          </w:p>
        </w:tc>
        <w:tc>
          <w:tcPr>
            <w:tcW w:w="635" w:type="pct"/>
          </w:tcPr>
          <w:p w14:paraId="240E72EB" w14:textId="0B9A7B5C" w:rsidR="15754C6C" w:rsidRDefault="24B85555" w:rsidP="00891293">
            <w:pPr>
              <w:jc w:val="center"/>
              <w:rPr>
                <w:rFonts w:ascii="Calibri" w:eastAsia="Calibri" w:hAnsi="Calibri" w:cs="Calibri"/>
              </w:rPr>
            </w:pPr>
            <w:r w:rsidRPr="3EBCC824">
              <w:rPr>
                <w:rFonts w:ascii="Calibri" w:eastAsia="Calibri" w:hAnsi="Calibri" w:cs="Calibri"/>
              </w:rPr>
              <w:t>76.40%</w:t>
            </w:r>
          </w:p>
        </w:tc>
      </w:tr>
      <w:tr w:rsidR="15754C6C" w14:paraId="7C409BCA" w14:textId="77777777" w:rsidTr="0003646E">
        <w:tc>
          <w:tcPr>
            <w:tcW w:w="1188" w:type="pct"/>
          </w:tcPr>
          <w:p w14:paraId="3A84D036" w14:textId="2DDFFE65" w:rsidR="15754C6C" w:rsidRDefault="15754C6C" w:rsidP="00891293">
            <w:pPr>
              <w:rPr>
                <w:rFonts w:ascii="Calibri" w:eastAsia="Calibri" w:hAnsi="Calibri" w:cs="Calibri"/>
              </w:rPr>
            </w:pPr>
            <w:r w:rsidRPr="15754C6C">
              <w:rPr>
                <w:rFonts w:ascii="Calibri" w:eastAsia="Calibri" w:hAnsi="Calibri" w:cs="Calibri"/>
              </w:rPr>
              <w:t xml:space="preserve">Targets for </w:t>
            </w:r>
            <w:r w:rsidR="4EC08513" w:rsidRPr="15754C6C">
              <w:rPr>
                <w:rFonts w:ascii="Calibri" w:eastAsia="Calibri" w:hAnsi="Calibri" w:cs="Calibri"/>
              </w:rPr>
              <w:t>A2</w:t>
            </w:r>
            <w:r w:rsidRPr="15754C6C">
              <w:rPr>
                <w:rFonts w:ascii="Calibri" w:eastAsia="Calibri" w:hAnsi="Calibri" w:cs="Calibri"/>
              </w:rPr>
              <w:t xml:space="preserve"> </w:t>
            </w:r>
            <w:r w:rsidR="00851819" w:rsidRPr="15754C6C">
              <w:rPr>
                <w:rFonts w:ascii="Calibri" w:eastAsia="Calibri" w:hAnsi="Calibri" w:cs="Calibri"/>
              </w:rPr>
              <w:t>≥</w:t>
            </w:r>
          </w:p>
        </w:tc>
        <w:tc>
          <w:tcPr>
            <w:tcW w:w="635" w:type="pct"/>
          </w:tcPr>
          <w:p w14:paraId="533C2671" w14:textId="1BCDB9A5" w:rsidR="15754C6C" w:rsidRDefault="2B16A432" w:rsidP="00891293">
            <w:pPr>
              <w:jc w:val="center"/>
              <w:rPr>
                <w:rFonts w:ascii="Calibri" w:eastAsia="Calibri" w:hAnsi="Calibri" w:cs="Calibri"/>
              </w:rPr>
            </w:pPr>
            <w:r w:rsidRPr="3EBCC824">
              <w:rPr>
                <w:rFonts w:ascii="Calibri" w:eastAsia="Calibri" w:hAnsi="Calibri" w:cs="Calibri"/>
              </w:rPr>
              <w:t>60.50%</w:t>
            </w:r>
          </w:p>
        </w:tc>
        <w:tc>
          <w:tcPr>
            <w:tcW w:w="635" w:type="pct"/>
          </w:tcPr>
          <w:p w14:paraId="1A157CE0" w14:textId="43EC1480" w:rsidR="15754C6C" w:rsidRDefault="77C1CD47" w:rsidP="00891293">
            <w:pPr>
              <w:jc w:val="center"/>
              <w:rPr>
                <w:rFonts w:ascii="Calibri" w:eastAsia="Calibri" w:hAnsi="Calibri" w:cs="Calibri"/>
              </w:rPr>
            </w:pPr>
            <w:r w:rsidRPr="3EBCC824">
              <w:rPr>
                <w:rFonts w:ascii="Calibri" w:eastAsia="Calibri" w:hAnsi="Calibri" w:cs="Calibri"/>
              </w:rPr>
              <w:t>60.60%</w:t>
            </w:r>
          </w:p>
        </w:tc>
        <w:tc>
          <w:tcPr>
            <w:tcW w:w="635" w:type="pct"/>
          </w:tcPr>
          <w:p w14:paraId="42370B46" w14:textId="25057A0A" w:rsidR="15754C6C" w:rsidRDefault="77C1CD47" w:rsidP="00891293">
            <w:pPr>
              <w:jc w:val="center"/>
              <w:rPr>
                <w:rFonts w:ascii="Calibri" w:eastAsia="Calibri" w:hAnsi="Calibri" w:cs="Calibri"/>
              </w:rPr>
            </w:pPr>
            <w:r w:rsidRPr="3EBCC824">
              <w:rPr>
                <w:rFonts w:ascii="Calibri" w:eastAsia="Calibri" w:hAnsi="Calibri" w:cs="Calibri"/>
              </w:rPr>
              <w:t>60.60%</w:t>
            </w:r>
          </w:p>
        </w:tc>
        <w:tc>
          <w:tcPr>
            <w:tcW w:w="635" w:type="pct"/>
          </w:tcPr>
          <w:p w14:paraId="0435EE2F" w14:textId="1818811D" w:rsidR="15754C6C" w:rsidRDefault="77C1CD47" w:rsidP="00891293">
            <w:pPr>
              <w:jc w:val="center"/>
              <w:rPr>
                <w:rFonts w:ascii="Calibri" w:eastAsia="Calibri" w:hAnsi="Calibri" w:cs="Calibri"/>
              </w:rPr>
            </w:pPr>
            <w:r w:rsidRPr="3EBCC824">
              <w:rPr>
                <w:rFonts w:ascii="Calibri" w:eastAsia="Calibri" w:hAnsi="Calibri" w:cs="Calibri"/>
              </w:rPr>
              <w:t>60.70%</w:t>
            </w:r>
          </w:p>
        </w:tc>
        <w:tc>
          <w:tcPr>
            <w:tcW w:w="635" w:type="pct"/>
          </w:tcPr>
          <w:p w14:paraId="27A117BF" w14:textId="046BDF0E" w:rsidR="15754C6C" w:rsidRDefault="77C1CD47" w:rsidP="00891293">
            <w:pPr>
              <w:jc w:val="center"/>
              <w:rPr>
                <w:rFonts w:ascii="Calibri" w:eastAsia="Calibri" w:hAnsi="Calibri" w:cs="Calibri"/>
              </w:rPr>
            </w:pPr>
            <w:r w:rsidRPr="3EBCC824">
              <w:rPr>
                <w:rFonts w:ascii="Calibri" w:eastAsia="Calibri" w:hAnsi="Calibri" w:cs="Calibri"/>
              </w:rPr>
              <w:t>60.70%</w:t>
            </w:r>
          </w:p>
        </w:tc>
        <w:tc>
          <w:tcPr>
            <w:tcW w:w="635" w:type="pct"/>
          </w:tcPr>
          <w:p w14:paraId="1DB6E201" w14:textId="1023E53C" w:rsidR="15754C6C" w:rsidRDefault="77C1CD47" w:rsidP="00891293">
            <w:pPr>
              <w:jc w:val="center"/>
              <w:rPr>
                <w:rFonts w:ascii="Calibri" w:eastAsia="Calibri" w:hAnsi="Calibri" w:cs="Calibri"/>
              </w:rPr>
            </w:pPr>
            <w:r w:rsidRPr="3EBCC824">
              <w:rPr>
                <w:rFonts w:ascii="Calibri" w:eastAsia="Calibri" w:hAnsi="Calibri" w:cs="Calibri"/>
              </w:rPr>
              <w:t>60.80%</w:t>
            </w:r>
          </w:p>
        </w:tc>
      </w:tr>
      <w:tr w:rsidR="15754C6C" w14:paraId="65B636B1" w14:textId="77777777" w:rsidTr="0003646E">
        <w:tc>
          <w:tcPr>
            <w:tcW w:w="1188" w:type="pct"/>
          </w:tcPr>
          <w:p w14:paraId="7ABBC616" w14:textId="3326EA49" w:rsidR="15754C6C" w:rsidRDefault="15754C6C" w:rsidP="00891293">
            <w:pPr>
              <w:rPr>
                <w:rFonts w:ascii="Calibri" w:eastAsia="Calibri" w:hAnsi="Calibri" w:cs="Calibri"/>
              </w:rPr>
            </w:pPr>
            <w:r w:rsidRPr="15754C6C">
              <w:rPr>
                <w:rFonts w:ascii="Calibri" w:eastAsia="Calibri" w:hAnsi="Calibri" w:cs="Calibri"/>
              </w:rPr>
              <w:t xml:space="preserve">Targets for </w:t>
            </w:r>
            <w:r w:rsidR="7259CB58" w:rsidRPr="15754C6C">
              <w:rPr>
                <w:rFonts w:ascii="Calibri" w:eastAsia="Calibri" w:hAnsi="Calibri" w:cs="Calibri"/>
              </w:rPr>
              <w:t>B1</w:t>
            </w:r>
            <w:r w:rsidRPr="15754C6C">
              <w:rPr>
                <w:rFonts w:ascii="Calibri" w:eastAsia="Calibri" w:hAnsi="Calibri" w:cs="Calibri"/>
              </w:rPr>
              <w:t xml:space="preserve"> </w:t>
            </w:r>
            <w:r w:rsidR="00851819" w:rsidRPr="15754C6C">
              <w:rPr>
                <w:rFonts w:ascii="Calibri" w:eastAsia="Calibri" w:hAnsi="Calibri" w:cs="Calibri"/>
              </w:rPr>
              <w:t>≥</w:t>
            </w:r>
          </w:p>
        </w:tc>
        <w:tc>
          <w:tcPr>
            <w:tcW w:w="635" w:type="pct"/>
          </w:tcPr>
          <w:p w14:paraId="13F59E6F" w14:textId="28F0C9E5" w:rsidR="15754C6C" w:rsidRDefault="32B651B2" w:rsidP="00891293">
            <w:pPr>
              <w:jc w:val="center"/>
              <w:rPr>
                <w:rFonts w:ascii="Calibri" w:eastAsia="Calibri" w:hAnsi="Calibri" w:cs="Calibri"/>
              </w:rPr>
            </w:pPr>
            <w:r w:rsidRPr="3EBCC824">
              <w:rPr>
                <w:rFonts w:ascii="Calibri" w:eastAsia="Calibri" w:hAnsi="Calibri" w:cs="Calibri"/>
              </w:rPr>
              <w:t>74.20%</w:t>
            </w:r>
          </w:p>
        </w:tc>
        <w:tc>
          <w:tcPr>
            <w:tcW w:w="635" w:type="pct"/>
          </w:tcPr>
          <w:p w14:paraId="24A64511" w14:textId="61118E80" w:rsidR="15754C6C" w:rsidRDefault="0F528EAE" w:rsidP="00891293">
            <w:pPr>
              <w:jc w:val="center"/>
              <w:rPr>
                <w:rFonts w:ascii="Calibri" w:eastAsia="Calibri" w:hAnsi="Calibri" w:cs="Calibri"/>
              </w:rPr>
            </w:pPr>
            <w:r w:rsidRPr="3EBCC824">
              <w:rPr>
                <w:rFonts w:ascii="Calibri" w:eastAsia="Calibri" w:hAnsi="Calibri" w:cs="Calibri"/>
              </w:rPr>
              <w:t>74.30%</w:t>
            </w:r>
          </w:p>
        </w:tc>
        <w:tc>
          <w:tcPr>
            <w:tcW w:w="635" w:type="pct"/>
          </w:tcPr>
          <w:p w14:paraId="2B04EE95" w14:textId="5FAD3A47" w:rsidR="15754C6C" w:rsidRDefault="0F528EAE" w:rsidP="00891293">
            <w:pPr>
              <w:jc w:val="center"/>
              <w:rPr>
                <w:rFonts w:ascii="Calibri" w:eastAsia="Calibri" w:hAnsi="Calibri" w:cs="Calibri"/>
              </w:rPr>
            </w:pPr>
            <w:r w:rsidRPr="3EBCC824">
              <w:rPr>
                <w:rFonts w:ascii="Calibri" w:eastAsia="Calibri" w:hAnsi="Calibri" w:cs="Calibri"/>
              </w:rPr>
              <w:t>74.30%</w:t>
            </w:r>
          </w:p>
        </w:tc>
        <w:tc>
          <w:tcPr>
            <w:tcW w:w="635" w:type="pct"/>
          </w:tcPr>
          <w:p w14:paraId="5E6FDBAF" w14:textId="6D7B7753" w:rsidR="15754C6C" w:rsidRDefault="0F528EAE" w:rsidP="00891293">
            <w:pPr>
              <w:jc w:val="center"/>
              <w:rPr>
                <w:rFonts w:ascii="Calibri" w:eastAsia="Calibri" w:hAnsi="Calibri" w:cs="Calibri"/>
              </w:rPr>
            </w:pPr>
            <w:r w:rsidRPr="3EBCC824">
              <w:rPr>
                <w:rFonts w:ascii="Calibri" w:eastAsia="Calibri" w:hAnsi="Calibri" w:cs="Calibri"/>
              </w:rPr>
              <w:t>74.40%</w:t>
            </w:r>
          </w:p>
        </w:tc>
        <w:tc>
          <w:tcPr>
            <w:tcW w:w="635" w:type="pct"/>
          </w:tcPr>
          <w:p w14:paraId="72FC4358" w14:textId="6E341A8D" w:rsidR="15754C6C" w:rsidRDefault="0F528EAE" w:rsidP="00891293">
            <w:pPr>
              <w:jc w:val="center"/>
              <w:rPr>
                <w:rFonts w:ascii="Calibri" w:eastAsia="Calibri" w:hAnsi="Calibri" w:cs="Calibri"/>
              </w:rPr>
            </w:pPr>
            <w:r w:rsidRPr="3EBCC824">
              <w:rPr>
                <w:rFonts w:ascii="Calibri" w:eastAsia="Calibri" w:hAnsi="Calibri" w:cs="Calibri"/>
              </w:rPr>
              <w:t>74.40%</w:t>
            </w:r>
          </w:p>
        </w:tc>
        <w:tc>
          <w:tcPr>
            <w:tcW w:w="635" w:type="pct"/>
          </w:tcPr>
          <w:p w14:paraId="2C3B60D6" w14:textId="4A8869A8" w:rsidR="15754C6C" w:rsidRDefault="0F528EAE" w:rsidP="00891293">
            <w:pPr>
              <w:jc w:val="center"/>
              <w:rPr>
                <w:rFonts w:ascii="Calibri" w:eastAsia="Calibri" w:hAnsi="Calibri" w:cs="Calibri"/>
              </w:rPr>
            </w:pPr>
            <w:r w:rsidRPr="3EBCC824">
              <w:rPr>
                <w:rFonts w:ascii="Calibri" w:eastAsia="Calibri" w:hAnsi="Calibri" w:cs="Calibri"/>
              </w:rPr>
              <w:t>74.50%</w:t>
            </w:r>
          </w:p>
        </w:tc>
      </w:tr>
      <w:tr w:rsidR="15754C6C" w14:paraId="4390088F" w14:textId="77777777" w:rsidTr="0003646E">
        <w:tc>
          <w:tcPr>
            <w:tcW w:w="1188" w:type="pct"/>
          </w:tcPr>
          <w:p w14:paraId="5A4FA8D3" w14:textId="4F942AC3" w:rsidR="024AA183" w:rsidRDefault="024AA183" w:rsidP="00891293">
            <w:pPr>
              <w:rPr>
                <w:rFonts w:ascii="Calibri" w:eastAsia="Calibri" w:hAnsi="Calibri" w:cs="Calibri"/>
              </w:rPr>
            </w:pPr>
            <w:r w:rsidRPr="15754C6C">
              <w:rPr>
                <w:rFonts w:ascii="Calibri" w:eastAsia="Calibri" w:hAnsi="Calibri" w:cs="Calibri"/>
              </w:rPr>
              <w:t xml:space="preserve">Targets for B2 </w:t>
            </w:r>
            <w:r w:rsidR="00851819" w:rsidRPr="15754C6C">
              <w:rPr>
                <w:rFonts w:ascii="Calibri" w:eastAsia="Calibri" w:hAnsi="Calibri" w:cs="Calibri"/>
              </w:rPr>
              <w:t>≥</w:t>
            </w:r>
          </w:p>
        </w:tc>
        <w:tc>
          <w:tcPr>
            <w:tcW w:w="635" w:type="pct"/>
          </w:tcPr>
          <w:p w14:paraId="3AF6F713" w14:textId="0AC24160" w:rsidR="15754C6C" w:rsidRDefault="1C188B18" w:rsidP="00891293">
            <w:pPr>
              <w:jc w:val="center"/>
              <w:rPr>
                <w:rFonts w:ascii="Calibri" w:eastAsia="Calibri" w:hAnsi="Calibri" w:cs="Calibri"/>
              </w:rPr>
            </w:pPr>
            <w:r w:rsidRPr="3EBCC824">
              <w:rPr>
                <w:rFonts w:ascii="Calibri" w:eastAsia="Calibri" w:hAnsi="Calibri" w:cs="Calibri"/>
              </w:rPr>
              <w:t>58.10%</w:t>
            </w:r>
          </w:p>
        </w:tc>
        <w:tc>
          <w:tcPr>
            <w:tcW w:w="635" w:type="pct"/>
          </w:tcPr>
          <w:p w14:paraId="19A7AD8F" w14:textId="2291C252" w:rsidR="15754C6C" w:rsidRDefault="7AEDFBEC" w:rsidP="00891293">
            <w:pPr>
              <w:jc w:val="center"/>
              <w:rPr>
                <w:rFonts w:ascii="Calibri" w:eastAsia="Calibri" w:hAnsi="Calibri" w:cs="Calibri"/>
              </w:rPr>
            </w:pPr>
            <w:r w:rsidRPr="3EBCC824">
              <w:rPr>
                <w:rFonts w:ascii="Calibri" w:eastAsia="Calibri" w:hAnsi="Calibri" w:cs="Calibri"/>
              </w:rPr>
              <w:t>58.20%</w:t>
            </w:r>
          </w:p>
        </w:tc>
        <w:tc>
          <w:tcPr>
            <w:tcW w:w="635" w:type="pct"/>
          </w:tcPr>
          <w:p w14:paraId="41842C29" w14:textId="11C5A8F1" w:rsidR="15754C6C" w:rsidRDefault="7AEDFBEC" w:rsidP="00891293">
            <w:pPr>
              <w:jc w:val="center"/>
              <w:rPr>
                <w:rFonts w:ascii="Calibri" w:eastAsia="Calibri" w:hAnsi="Calibri" w:cs="Calibri"/>
              </w:rPr>
            </w:pPr>
            <w:r w:rsidRPr="3EBCC824">
              <w:rPr>
                <w:rFonts w:ascii="Calibri" w:eastAsia="Calibri" w:hAnsi="Calibri" w:cs="Calibri"/>
              </w:rPr>
              <w:t>58.20%</w:t>
            </w:r>
          </w:p>
        </w:tc>
        <w:tc>
          <w:tcPr>
            <w:tcW w:w="635" w:type="pct"/>
          </w:tcPr>
          <w:p w14:paraId="5EEF4AC5" w14:textId="3044A79E" w:rsidR="15754C6C" w:rsidRDefault="7AEDFBEC" w:rsidP="00891293">
            <w:pPr>
              <w:jc w:val="center"/>
              <w:rPr>
                <w:rFonts w:ascii="Calibri" w:eastAsia="Calibri" w:hAnsi="Calibri" w:cs="Calibri"/>
              </w:rPr>
            </w:pPr>
            <w:r w:rsidRPr="3EBCC824">
              <w:rPr>
                <w:rFonts w:ascii="Calibri" w:eastAsia="Calibri" w:hAnsi="Calibri" w:cs="Calibri"/>
              </w:rPr>
              <w:t>58.30%</w:t>
            </w:r>
          </w:p>
        </w:tc>
        <w:tc>
          <w:tcPr>
            <w:tcW w:w="635" w:type="pct"/>
          </w:tcPr>
          <w:p w14:paraId="0D50932F" w14:textId="2B7ADCC2" w:rsidR="15754C6C" w:rsidRDefault="7AEDFBEC" w:rsidP="00891293">
            <w:pPr>
              <w:jc w:val="center"/>
              <w:rPr>
                <w:rFonts w:ascii="Calibri" w:eastAsia="Calibri" w:hAnsi="Calibri" w:cs="Calibri"/>
              </w:rPr>
            </w:pPr>
            <w:r w:rsidRPr="3EBCC824">
              <w:rPr>
                <w:rFonts w:ascii="Calibri" w:eastAsia="Calibri" w:hAnsi="Calibri" w:cs="Calibri"/>
              </w:rPr>
              <w:t>58.30%</w:t>
            </w:r>
          </w:p>
        </w:tc>
        <w:tc>
          <w:tcPr>
            <w:tcW w:w="635" w:type="pct"/>
          </w:tcPr>
          <w:p w14:paraId="71835B45" w14:textId="72A46C8A" w:rsidR="15754C6C" w:rsidRDefault="7AEDFBEC" w:rsidP="00891293">
            <w:pPr>
              <w:jc w:val="center"/>
              <w:rPr>
                <w:rFonts w:ascii="Calibri" w:eastAsia="Calibri" w:hAnsi="Calibri" w:cs="Calibri"/>
              </w:rPr>
            </w:pPr>
            <w:r w:rsidRPr="3EBCC824">
              <w:rPr>
                <w:rFonts w:ascii="Calibri" w:eastAsia="Calibri" w:hAnsi="Calibri" w:cs="Calibri"/>
              </w:rPr>
              <w:t>58.40%</w:t>
            </w:r>
          </w:p>
        </w:tc>
      </w:tr>
      <w:tr w:rsidR="15754C6C" w14:paraId="40E1689C" w14:textId="77777777" w:rsidTr="0003646E">
        <w:tc>
          <w:tcPr>
            <w:tcW w:w="1188" w:type="pct"/>
          </w:tcPr>
          <w:p w14:paraId="711008B4" w14:textId="0BB440C5" w:rsidR="024AA183" w:rsidRDefault="024AA183" w:rsidP="00891293">
            <w:pPr>
              <w:rPr>
                <w:rFonts w:ascii="Calibri" w:eastAsia="Calibri" w:hAnsi="Calibri" w:cs="Calibri"/>
              </w:rPr>
            </w:pPr>
            <w:r w:rsidRPr="15754C6C">
              <w:rPr>
                <w:rFonts w:ascii="Calibri" w:eastAsia="Calibri" w:hAnsi="Calibri" w:cs="Calibri"/>
              </w:rPr>
              <w:t xml:space="preserve">Targets for C1 </w:t>
            </w:r>
            <w:r w:rsidR="00851819" w:rsidRPr="15754C6C">
              <w:rPr>
                <w:rFonts w:ascii="Calibri" w:eastAsia="Calibri" w:hAnsi="Calibri" w:cs="Calibri"/>
              </w:rPr>
              <w:t>≥</w:t>
            </w:r>
          </w:p>
        </w:tc>
        <w:tc>
          <w:tcPr>
            <w:tcW w:w="635" w:type="pct"/>
          </w:tcPr>
          <w:p w14:paraId="7D436182" w14:textId="751E56D7" w:rsidR="15754C6C" w:rsidRDefault="248AD876" w:rsidP="00891293">
            <w:pPr>
              <w:jc w:val="center"/>
              <w:rPr>
                <w:rFonts w:ascii="Calibri" w:eastAsia="Calibri" w:hAnsi="Calibri" w:cs="Calibri"/>
              </w:rPr>
            </w:pPr>
            <w:r w:rsidRPr="3EBCC824">
              <w:rPr>
                <w:rFonts w:ascii="Calibri" w:eastAsia="Calibri" w:hAnsi="Calibri" w:cs="Calibri"/>
              </w:rPr>
              <w:t>74.10%</w:t>
            </w:r>
          </w:p>
        </w:tc>
        <w:tc>
          <w:tcPr>
            <w:tcW w:w="635" w:type="pct"/>
          </w:tcPr>
          <w:p w14:paraId="4F12B51C" w14:textId="03A33E32" w:rsidR="15754C6C" w:rsidRDefault="4BBE4006" w:rsidP="00891293">
            <w:pPr>
              <w:jc w:val="center"/>
              <w:rPr>
                <w:rFonts w:ascii="Calibri" w:eastAsia="Calibri" w:hAnsi="Calibri" w:cs="Calibri"/>
              </w:rPr>
            </w:pPr>
            <w:r w:rsidRPr="3EBCC824">
              <w:rPr>
                <w:rFonts w:ascii="Calibri" w:eastAsia="Calibri" w:hAnsi="Calibri" w:cs="Calibri"/>
              </w:rPr>
              <w:t>74.20%</w:t>
            </w:r>
          </w:p>
        </w:tc>
        <w:tc>
          <w:tcPr>
            <w:tcW w:w="635" w:type="pct"/>
          </w:tcPr>
          <w:p w14:paraId="402F26F7" w14:textId="415911A5" w:rsidR="15754C6C" w:rsidRDefault="4BBE4006" w:rsidP="00891293">
            <w:pPr>
              <w:jc w:val="center"/>
              <w:rPr>
                <w:rFonts w:ascii="Calibri" w:eastAsia="Calibri" w:hAnsi="Calibri" w:cs="Calibri"/>
              </w:rPr>
            </w:pPr>
            <w:r w:rsidRPr="3EBCC824">
              <w:rPr>
                <w:rFonts w:ascii="Calibri" w:eastAsia="Calibri" w:hAnsi="Calibri" w:cs="Calibri"/>
              </w:rPr>
              <w:t>74.20%</w:t>
            </w:r>
          </w:p>
        </w:tc>
        <w:tc>
          <w:tcPr>
            <w:tcW w:w="635" w:type="pct"/>
          </w:tcPr>
          <w:p w14:paraId="26EEFC7E" w14:textId="5E0B6348" w:rsidR="15754C6C" w:rsidRDefault="4BBE4006" w:rsidP="00891293">
            <w:pPr>
              <w:jc w:val="center"/>
              <w:rPr>
                <w:rFonts w:ascii="Calibri" w:eastAsia="Calibri" w:hAnsi="Calibri" w:cs="Calibri"/>
              </w:rPr>
            </w:pPr>
            <w:r w:rsidRPr="3EBCC824">
              <w:rPr>
                <w:rFonts w:ascii="Calibri" w:eastAsia="Calibri" w:hAnsi="Calibri" w:cs="Calibri"/>
              </w:rPr>
              <w:t>74.30%</w:t>
            </w:r>
          </w:p>
        </w:tc>
        <w:tc>
          <w:tcPr>
            <w:tcW w:w="635" w:type="pct"/>
          </w:tcPr>
          <w:p w14:paraId="230D17B3" w14:textId="3F808637" w:rsidR="15754C6C" w:rsidRDefault="4BBE4006" w:rsidP="00891293">
            <w:pPr>
              <w:jc w:val="center"/>
              <w:rPr>
                <w:rFonts w:ascii="Calibri" w:eastAsia="Calibri" w:hAnsi="Calibri" w:cs="Calibri"/>
              </w:rPr>
            </w:pPr>
            <w:r w:rsidRPr="3EBCC824">
              <w:rPr>
                <w:rFonts w:ascii="Calibri" w:eastAsia="Calibri" w:hAnsi="Calibri" w:cs="Calibri"/>
              </w:rPr>
              <w:t>74.30%</w:t>
            </w:r>
          </w:p>
        </w:tc>
        <w:tc>
          <w:tcPr>
            <w:tcW w:w="635" w:type="pct"/>
          </w:tcPr>
          <w:p w14:paraId="6C242759" w14:textId="49F8113E" w:rsidR="15754C6C" w:rsidRDefault="4BBE4006" w:rsidP="00891293">
            <w:pPr>
              <w:jc w:val="center"/>
              <w:rPr>
                <w:rFonts w:ascii="Calibri" w:eastAsia="Calibri" w:hAnsi="Calibri" w:cs="Calibri"/>
              </w:rPr>
            </w:pPr>
            <w:r w:rsidRPr="3EBCC824">
              <w:rPr>
                <w:rFonts w:ascii="Calibri" w:eastAsia="Calibri" w:hAnsi="Calibri" w:cs="Calibri"/>
              </w:rPr>
              <w:t>74.40%</w:t>
            </w:r>
          </w:p>
        </w:tc>
      </w:tr>
      <w:tr w:rsidR="15754C6C" w14:paraId="0517B699" w14:textId="77777777" w:rsidTr="0003646E">
        <w:tc>
          <w:tcPr>
            <w:tcW w:w="1188" w:type="pct"/>
          </w:tcPr>
          <w:p w14:paraId="76F66081" w14:textId="154E39CC" w:rsidR="024AA183" w:rsidRDefault="024AA183" w:rsidP="00891293">
            <w:pPr>
              <w:rPr>
                <w:rFonts w:ascii="Calibri" w:eastAsia="Calibri" w:hAnsi="Calibri" w:cs="Calibri"/>
              </w:rPr>
            </w:pPr>
            <w:r w:rsidRPr="15754C6C">
              <w:rPr>
                <w:rFonts w:ascii="Calibri" w:eastAsia="Calibri" w:hAnsi="Calibri" w:cs="Calibri"/>
              </w:rPr>
              <w:t xml:space="preserve">Targets for C2 </w:t>
            </w:r>
            <w:r w:rsidR="00851819" w:rsidRPr="15754C6C">
              <w:rPr>
                <w:rFonts w:ascii="Calibri" w:eastAsia="Calibri" w:hAnsi="Calibri" w:cs="Calibri"/>
              </w:rPr>
              <w:t>≥</w:t>
            </w:r>
          </w:p>
        </w:tc>
        <w:tc>
          <w:tcPr>
            <w:tcW w:w="635" w:type="pct"/>
          </w:tcPr>
          <w:p w14:paraId="5B71BA7D" w14:textId="03A29BCC" w:rsidR="15754C6C" w:rsidRDefault="373EEA53" w:rsidP="00891293">
            <w:pPr>
              <w:jc w:val="center"/>
              <w:rPr>
                <w:rFonts w:ascii="Calibri" w:eastAsia="Calibri" w:hAnsi="Calibri" w:cs="Calibri"/>
              </w:rPr>
            </w:pPr>
            <w:r w:rsidRPr="3EBCC824">
              <w:rPr>
                <w:rFonts w:ascii="Calibri" w:eastAsia="Calibri" w:hAnsi="Calibri" w:cs="Calibri"/>
              </w:rPr>
              <w:t>61.50%</w:t>
            </w:r>
          </w:p>
        </w:tc>
        <w:tc>
          <w:tcPr>
            <w:tcW w:w="635" w:type="pct"/>
          </w:tcPr>
          <w:p w14:paraId="799F2FA9" w14:textId="3E6A80B0" w:rsidR="15754C6C" w:rsidRDefault="0C9C5911" w:rsidP="00891293">
            <w:pPr>
              <w:jc w:val="center"/>
              <w:rPr>
                <w:rFonts w:ascii="Calibri" w:eastAsia="Calibri" w:hAnsi="Calibri" w:cs="Calibri"/>
              </w:rPr>
            </w:pPr>
            <w:r w:rsidRPr="3EBCC824">
              <w:rPr>
                <w:rFonts w:ascii="Calibri" w:eastAsia="Calibri" w:hAnsi="Calibri" w:cs="Calibri"/>
              </w:rPr>
              <w:t>61.60%</w:t>
            </w:r>
          </w:p>
        </w:tc>
        <w:tc>
          <w:tcPr>
            <w:tcW w:w="635" w:type="pct"/>
          </w:tcPr>
          <w:p w14:paraId="019FCE9F" w14:textId="517BC3C4" w:rsidR="15754C6C" w:rsidRDefault="0C9C5911" w:rsidP="00891293">
            <w:pPr>
              <w:jc w:val="center"/>
              <w:rPr>
                <w:rFonts w:ascii="Calibri" w:eastAsia="Calibri" w:hAnsi="Calibri" w:cs="Calibri"/>
              </w:rPr>
            </w:pPr>
            <w:r w:rsidRPr="3EBCC824">
              <w:rPr>
                <w:rFonts w:ascii="Calibri" w:eastAsia="Calibri" w:hAnsi="Calibri" w:cs="Calibri"/>
              </w:rPr>
              <w:t>61.60%</w:t>
            </w:r>
          </w:p>
        </w:tc>
        <w:tc>
          <w:tcPr>
            <w:tcW w:w="635" w:type="pct"/>
          </w:tcPr>
          <w:p w14:paraId="6B11FB8C" w14:textId="126F3C9F" w:rsidR="15754C6C" w:rsidRDefault="0C9C5911" w:rsidP="00891293">
            <w:pPr>
              <w:jc w:val="center"/>
              <w:rPr>
                <w:rFonts w:ascii="Calibri" w:eastAsia="Calibri" w:hAnsi="Calibri" w:cs="Calibri"/>
              </w:rPr>
            </w:pPr>
            <w:r w:rsidRPr="3EBCC824">
              <w:rPr>
                <w:rFonts w:ascii="Calibri" w:eastAsia="Calibri" w:hAnsi="Calibri" w:cs="Calibri"/>
              </w:rPr>
              <w:t>61.70%</w:t>
            </w:r>
          </w:p>
        </w:tc>
        <w:tc>
          <w:tcPr>
            <w:tcW w:w="635" w:type="pct"/>
          </w:tcPr>
          <w:p w14:paraId="5527FE80" w14:textId="1EB742F6" w:rsidR="15754C6C" w:rsidRDefault="0C9C5911" w:rsidP="00891293">
            <w:pPr>
              <w:jc w:val="center"/>
              <w:rPr>
                <w:rFonts w:ascii="Calibri" w:eastAsia="Calibri" w:hAnsi="Calibri" w:cs="Calibri"/>
              </w:rPr>
            </w:pPr>
            <w:r w:rsidRPr="3EBCC824">
              <w:rPr>
                <w:rFonts w:ascii="Calibri" w:eastAsia="Calibri" w:hAnsi="Calibri" w:cs="Calibri"/>
              </w:rPr>
              <w:t>61.70%</w:t>
            </w:r>
          </w:p>
        </w:tc>
        <w:tc>
          <w:tcPr>
            <w:tcW w:w="635" w:type="pct"/>
          </w:tcPr>
          <w:p w14:paraId="2F17DEB5" w14:textId="19D74A04" w:rsidR="15754C6C" w:rsidRDefault="0C9C5911" w:rsidP="00891293">
            <w:pPr>
              <w:jc w:val="center"/>
              <w:rPr>
                <w:rFonts w:ascii="Calibri" w:eastAsia="Calibri" w:hAnsi="Calibri" w:cs="Calibri"/>
              </w:rPr>
            </w:pPr>
            <w:r w:rsidRPr="3EBCC824">
              <w:rPr>
                <w:rFonts w:ascii="Calibri" w:eastAsia="Calibri" w:hAnsi="Calibri" w:cs="Calibri"/>
              </w:rPr>
              <w:t>61.80%</w:t>
            </w:r>
          </w:p>
        </w:tc>
      </w:tr>
    </w:tbl>
    <w:p w14:paraId="49B14BEA" w14:textId="5B49847F" w:rsidR="0BD6362E" w:rsidRDefault="0BD6362E" w:rsidP="00891293">
      <w:pPr>
        <w:spacing w:line="240" w:lineRule="auto"/>
        <w:rPr>
          <w:rFonts w:ascii="Calibri" w:eastAsia="Calibri" w:hAnsi="Calibri" w:cs="Calibri"/>
          <w:color w:val="000000" w:themeColor="text1"/>
        </w:rPr>
      </w:pPr>
      <w:r w:rsidRPr="245A08AF">
        <w:rPr>
          <w:rFonts w:ascii="Calibri" w:eastAsia="Calibri" w:hAnsi="Calibri" w:cs="Calibri"/>
          <w:color w:val="000000" w:themeColor="text1"/>
        </w:rPr>
        <w:t>Example A shows a gradual increase</w:t>
      </w:r>
      <w:r w:rsidR="401F9EFE" w:rsidRPr="245A08AF">
        <w:rPr>
          <w:rFonts w:ascii="Calibri" w:eastAsia="Calibri" w:hAnsi="Calibri" w:cs="Calibri"/>
          <w:color w:val="000000" w:themeColor="text1"/>
        </w:rPr>
        <w:t>.</w:t>
      </w:r>
    </w:p>
    <w:p w14:paraId="494C3F4B" w14:textId="134C1FA6" w:rsidR="0BD6362E" w:rsidRDefault="0BD6362E" w:rsidP="00891293">
      <w:pPr>
        <w:spacing w:after="0" w:line="240" w:lineRule="auto"/>
        <w:rPr>
          <w:rFonts w:ascii="Calibri" w:eastAsia="Calibri" w:hAnsi="Calibri" w:cs="Calibri"/>
          <w:color w:val="408740"/>
          <w:sz w:val="24"/>
          <w:szCs w:val="24"/>
        </w:rPr>
      </w:pPr>
      <w:r w:rsidRPr="25034C54">
        <w:rPr>
          <w:rFonts w:ascii="Calibri" w:eastAsia="Calibri" w:hAnsi="Calibri" w:cs="Calibri"/>
          <w:b/>
          <w:bCs/>
          <w:color w:val="408740"/>
          <w:sz w:val="24"/>
          <w:szCs w:val="24"/>
        </w:rPr>
        <w:t>Example B</w:t>
      </w:r>
    </w:p>
    <w:tbl>
      <w:tblPr>
        <w:tblStyle w:val="TableGrid"/>
        <w:tblW w:w="5000" w:type="pct"/>
        <w:tblLook w:val="04A0" w:firstRow="1" w:lastRow="0" w:firstColumn="1" w:lastColumn="0" w:noHBand="0" w:noVBand="1"/>
        <w:tblCaption w:val="Example B"/>
      </w:tblPr>
      <w:tblGrid>
        <w:gridCol w:w="2565"/>
        <w:gridCol w:w="1371"/>
        <w:gridCol w:w="1371"/>
        <w:gridCol w:w="1371"/>
        <w:gridCol w:w="1371"/>
        <w:gridCol w:w="1371"/>
        <w:gridCol w:w="1370"/>
      </w:tblGrid>
      <w:tr w:rsidR="15754C6C" w14:paraId="00C4302F" w14:textId="77777777" w:rsidTr="00AC7A59">
        <w:trPr>
          <w:tblHeader/>
        </w:trPr>
        <w:tc>
          <w:tcPr>
            <w:tcW w:w="1188" w:type="pct"/>
            <w:shd w:val="clear" w:color="auto" w:fill="FFC000" w:themeFill="accent4"/>
          </w:tcPr>
          <w:p w14:paraId="07F63D11" w14:textId="6C6647C1" w:rsidR="15754C6C" w:rsidRDefault="15754C6C" w:rsidP="00891293">
            <w:pPr>
              <w:jc w:val="center"/>
              <w:rPr>
                <w:rFonts w:ascii="Calibri" w:eastAsia="Calibri" w:hAnsi="Calibri" w:cs="Calibri"/>
              </w:rPr>
            </w:pPr>
            <w:bookmarkStart w:id="0" w:name="_GoBack" w:colFirst="0" w:colLast="7"/>
            <w:r w:rsidRPr="15754C6C">
              <w:rPr>
                <w:rFonts w:ascii="Calibri" w:eastAsia="Calibri" w:hAnsi="Calibri" w:cs="Calibri"/>
                <w:b/>
                <w:bCs/>
              </w:rPr>
              <w:t>FFY</w:t>
            </w:r>
          </w:p>
        </w:tc>
        <w:tc>
          <w:tcPr>
            <w:tcW w:w="635" w:type="pct"/>
            <w:shd w:val="clear" w:color="auto" w:fill="FFC000" w:themeFill="accent4"/>
          </w:tcPr>
          <w:p w14:paraId="49725FB0" w14:textId="68993338" w:rsidR="15754C6C" w:rsidRDefault="15754C6C" w:rsidP="00891293">
            <w:pPr>
              <w:jc w:val="center"/>
              <w:rPr>
                <w:rFonts w:ascii="Calibri" w:eastAsia="Calibri" w:hAnsi="Calibri" w:cs="Calibri"/>
              </w:rPr>
            </w:pPr>
            <w:r w:rsidRPr="15754C6C">
              <w:rPr>
                <w:rFonts w:ascii="Calibri" w:eastAsia="Calibri" w:hAnsi="Calibri" w:cs="Calibri"/>
                <w:b/>
                <w:bCs/>
              </w:rPr>
              <w:t>2020</w:t>
            </w:r>
          </w:p>
        </w:tc>
        <w:tc>
          <w:tcPr>
            <w:tcW w:w="635" w:type="pct"/>
            <w:shd w:val="clear" w:color="auto" w:fill="FFC000" w:themeFill="accent4"/>
          </w:tcPr>
          <w:p w14:paraId="14B3D26D" w14:textId="790CFA82" w:rsidR="15754C6C" w:rsidRDefault="15754C6C" w:rsidP="00891293">
            <w:pPr>
              <w:jc w:val="center"/>
              <w:rPr>
                <w:rFonts w:ascii="Calibri" w:eastAsia="Calibri" w:hAnsi="Calibri" w:cs="Calibri"/>
              </w:rPr>
            </w:pPr>
            <w:r w:rsidRPr="15754C6C">
              <w:rPr>
                <w:rFonts w:ascii="Calibri" w:eastAsia="Calibri" w:hAnsi="Calibri" w:cs="Calibri"/>
                <w:b/>
                <w:bCs/>
              </w:rPr>
              <w:t>2021</w:t>
            </w:r>
          </w:p>
        </w:tc>
        <w:tc>
          <w:tcPr>
            <w:tcW w:w="635" w:type="pct"/>
            <w:shd w:val="clear" w:color="auto" w:fill="FFC000" w:themeFill="accent4"/>
          </w:tcPr>
          <w:p w14:paraId="0A3AF785" w14:textId="3FD32765" w:rsidR="15754C6C" w:rsidRDefault="15754C6C" w:rsidP="00891293">
            <w:pPr>
              <w:jc w:val="center"/>
              <w:rPr>
                <w:rFonts w:ascii="Calibri" w:eastAsia="Calibri" w:hAnsi="Calibri" w:cs="Calibri"/>
              </w:rPr>
            </w:pPr>
            <w:r w:rsidRPr="15754C6C">
              <w:rPr>
                <w:rFonts w:ascii="Calibri" w:eastAsia="Calibri" w:hAnsi="Calibri" w:cs="Calibri"/>
                <w:b/>
                <w:bCs/>
              </w:rPr>
              <w:t>2022</w:t>
            </w:r>
          </w:p>
        </w:tc>
        <w:tc>
          <w:tcPr>
            <w:tcW w:w="635" w:type="pct"/>
            <w:shd w:val="clear" w:color="auto" w:fill="FFC000" w:themeFill="accent4"/>
          </w:tcPr>
          <w:p w14:paraId="1FF05632" w14:textId="1F9BEF83" w:rsidR="15754C6C" w:rsidRDefault="15754C6C" w:rsidP="00891293">
            <w:pPr>
              <w:jc w:val="center"/>
              <w:rPr>
                <w:rFonts w:ascii="Calibri" w:eastAsia="Calibri" w:hAnsi="Calibri" w:cs="Calibri"/>
              </w:rPr>
            </w:pPr>
            <w:r w:rsidRPr="15754C6C">
              <w:rPr>
                <w:rFonts w:ascii="Calibri" w:eastAsia="Calibri" w:hAnsi="Calibri" w:cs="Calibri"/>
                <w:b/>
                <w:bCs/>
              </w:rPr>
              <w:t>2023</w:t>
            </w:r>
          </w:p>
        </w:tc>
        <w:tc>
          <w:tcPr>
            <w:tcW w:w="635" w:type="pct"/>
            <w:shd w:val="clear" w:color="auto" w:fill="FFC000" w:themeFill="accent4"/>
          </w:tcPr>
          <w:p w14:paraId="303014E6" w14:textId="1266BA2D" w:rsidR="15754C6C" w:rsidRDefault="15754C6C" w:rsidP="00891293">
            <w:pPr>
              <w:jc w:val="center"/>
              <w:rPr>
                <w:rFonts w:ascii="Calibri" w:eastAsia="Calibri" w:hAnsi="Calibri" w:cs="Calibri"/>
              </w:rPr>
            </w:pPr>
            <w:r w:rsidRPr="15754C6C">
              <w:rPr>
                <w:rFonts w:ascii="Calibri" w:eastAsia="Calibri" w:hAnsi="Calibri" w:cs="Calibri"/>
                <w:b/>
                <w:bCs/>
              </w:rPr>
              <w:t>2024</w:t>
            </w:r>
          </w:p>
        </w:tc>
        <w:tc>
          <w:tcPr>
            <w:tcW w:w="635" w:type="pct"/>
            <w:shd w:val="clear" w:color="auto" w:fill="FFC000" w:themeFill="accent4"/>
          </w:tcPr>
          <w:p w14:paraId="5E315D52" w14:textId="64584D09" w:rsidR="15754C6C" w:rsidRDefault="15754C6C" w:rsidP="00891293">
            <w:pPr>
              <w:jc w:val="center"/>
              <w:rPr>
                <w:rFonts w:ascii="Calibri" w:eastAsia="Calibri" w:hAnsi="Calibri" w:cs="Calibri"/>
              </w:rPr>
            </w:pPr>
            <w:r w:rsidRPr="15754C6C">
              <w:rPr>
                <w:rFonts w:ascii="Calibri" w:eastAsia="Calibri" w:hAnsi="Calibri" w:cs="Calibri"/>
                <w:b/>
                <w:bCs/>
              </w:rPr>
              <w:t>2025</w:t>
            </w:r>
          </w:p>
        </w:tc>
      </w:tr>
      <w:bookmarkEnd w:id="0"/>
      <w:tr w:rsidR="15754C6C" w14:paraId="4C446DC0" w14:textId="77777777" w:rsidTr="0003646E">
        <w:tc>
          <w:tcPr>
            <w:tcW w:w="1188" w:type="pct"/>
          </w:tcPr>
          <w:p w14:paraId="37B840AD" w14:textId="47158963" w:rsidR="15754C6C" w:rsidRDefault="15754C6C" w:rsidP="00891293">
            <w:pPr>
              <w:rPr>
                <w:rFonts w:ascii="Calibri" w:eastAsia="Calibri" w:hAnsi="Calibri" w:cs="Calibri"/>
              </w:rPr>
            </w:pPr>
            <w:r w:rsidRPr="15754C6C">
              <w:rPr>
                <w:rFonts w:ascii="Calibri" w:eastAsia="Calibri" w:hAnsi="Calibri" w:cs="Calibri"/>
              </w:rPr>
              <w:t>Targets for A1 ≥</w:t>
            </w:r>
          </w:p>
        </w:tc>
        <w:tc>
          <w:tcPr>
            <w:tcW w:w="635" w:type="pct"/>
          </w:tcPr>
          <w:p w14:paraId="46A4AB4E" w14:textId="1EA6037E" w:rsidR="15754C6C" w:rsidRDefault="5954A417" w:rsidP="00891293">
            <w:pPr>
              <w:jc w:val="center"/>
              <w:rPr>
                <w:rFonts w:ascii="Calibri" w:eastAsia="Calibri" w:hAnsi="Calibri" w:cs="Calibri"/>
              </w:rPr>
            </w:pPr>
            <w:r w:rsidRPr="3EBCC824">
              <w:rPr>
                <w:rFonts w:ascii="Calibri" w:eastAsia="Calibri" w:hAnsi="Calibri" w:cs="Calibri"/>
              </w:rPr>
              <w:t>76.10%</w:t>
            </w:r>
          </w:p>
        </w:tc>
        <w:tc>
          <w:tcPr>
            <w:tcW w:w="635" w:type="pct"/>
          </w:tcPr>
          <w:p w14:paraId="56C57DA2" w14:textId="586866B2" w:rsidR="15754C6C" w:rsidRDefault="0D8F53DD" w:rsidP="00891293">
            <w:pPr>
              <w:jc w:val="center"/>
              <w:rPr>
                <w:rFonts w:ascii="Calibri" w:eastAsia="Calibri" w:hAnsi="Calibri" w:cs="Calibri"/>
              </w:rPr>
            </w:pPr>
            <w:r w:rsidRPr="3EBCC824">
              <w:rPr>
                <w:rFonts w:ascii="Calibri" w:eastAsia="Calibri" w:hAnsi="Calibri" w:cs="Calibri"/>
              </w:rPr>
              <w:t>76.30%</w:t>
            </w:r>
          </w:p>
        </w:tc>
        <w:tc>
          <w:tcPr>
            <w:tcW w:w="635" w:type="pct"/>
          </w:tcPr>
          <w:p w14:paraId="1E64FDFD" w14:textId="05CB90F7" w:rsidR="15754C6C" w:rsidRDefault="0D8F53DD" w:rsidP="00891293">
            <w:pPr>
              <w:jc w:val="center"/>
              <w:rPr>
                <w:rFonts w:ascii="Calibri" w:eastAsia="Calibri" w:hAnsi="Calibri" w:cs="Calibri"/>
              </w:rPr>
            </w:pPr>
            <w:r w:rsidRPr="3EBCC824">
              <w:rPr>
                <w:rFonts w:ascii="Calibri" w:eastAsia="Calibri" w:hAnsi="Calibri" w:cs="Calibri"/>
              </w:rPr>
              <w:t>76.50%</w:t>
            </w:r>
          </w:p>
        </w:tc>
        <w:tc>
          <w:tcPr>
            <w:tcW w:w="635" w:type="pct"/>
          </w:tcPr>
          <w:p w14:paraId="6E1CED47" w14:textId="1F9293FF" w:rsidR="15754C6C" w:rsidRDefault="0D8F53DD" w:rsidP="00891293">
            <w:pPr>
              <w:jc w:val="center"/>
              <w:rPr>
                <w:rFonts w:ascii="Calibri" w:eastAsia="Calibri" w:hAnsi="Calibri" w:cs="Calibri"/>
              </w:rPr>
            </w:pPr>
            <w:r w:rsidRPr="3EBCC824">
              <w:rPr>
                <w:rFonts w:ascii="Calibri" w:eastAsia="Calibri" w:hAnsi="Calibri" w:cs="Calibri"/>
              </w:rPr>
              <w:t>76.70%</w:t>
            </w:r>
          </w:p>
        </w:tc>
        <w:tc>
          <w:tcPr>
            <w:tcW w:w="635" w:type="pct"/>
          </w:tcPr>
          <w:p w14:paraId="08E6A1F1" w14:textId="6F884534" w:rsidR="15754C6C" w:rsidRDefault="0D8F53DD" w:rsidP="00891293">
            <w:pPr>
              <w:jc w:val="center"/>
              <w:rPr>
                <w:rFonts w:ascii="Calibri" w:eastAsia="Calibri" w:hAnsi="Calibri" w:cs="Calibri"/>
              </w:rPr>
            </w:pPr>
            <w:r w:rsidRPr="3EBCC824">
              <w:rPr>
                <w:rFonts w:ascii="Calibri" w:eastAsia="Calibri" w:hAnsi="Calibri" w:cs="Calibri"/>
              </w:rPr>
              <w:t>76.90%</w:t>
            </w:r>
          </w:p>
        </w:tc>
        <w:tc>
          <w:tcPr>
            <w:tcW w:w="635" w:type="pct"/>
          </w:tcPr>
          <w:p w14:paraId="6B31B27D" w14:textId="637D09A9" w:rsidR="15754C6C" w:rsidRDefault="0D8F53DD" w:rsidP="00891293">
            <w:pPr>
              <w:jc w:val="center"/>
              <w:rPr>
                <w:rFonts w:ascii="Calibri" w:eastAsia="Calibri" w:hAnsi="Calibri" w:cs="Calibri"/>
              </w:rPr>
            </w:pPr>
            <w:r w:rsidRPr="3EBCC824">
              <w:rPr>
                <w:rFonts w:ascii="Calibri" w:eastAsia="Calibri" w:hAnsi="Calibri" w:cs="Calibri"/>
              </w:rPr>
              <w:t>77.10%</w:t>
            </w:r>
          </w:p>
        </w:tc>
      </w:tr>
      <w:tr w:rsidR="15754C6C" w14:paraId="718DDD7A" w14:textId="77777777" w:rsidTr="0003646E">
        <w:tc>
          <w:tcPr>
            <w:tcW w:w="1188" w:type="pct"/>
          </w:tcPr>
          <w:p w14:paraId="117CBDCA" w14:textId="5A810BE8" w:rsidR="15754C6C" w:rsidRDefault="15754C6C" w:rsidP="00891293">
            <w:pPr>
              <w:rPr>
                <w:rFonts w:ascii="Calibri" w:eastAsia="Calibri" w:hAnsi="Calibri" w:cs="Calibri"/>
              </w:rPr>
            </w:pPr>
            <w:r w:rsidRPr="15754C6C">
              <w:rPr>
                <w:rFonts w:ascii="Calibri" w:eastAsia="Calibri" w:hAnsi="Calibri" w:cs="Calibri"/>
              </w:rPr>
              <w:t xml:space="preserve">Targets for A2 </w:t>
            </w:r>
            <w:r w:rsidR="00293CAB" w:rsidRPr="15754C6C">
              <w:rPr>
                <w:rFonts w:ascii="Calibri" w:eastAsia="Calibri" w:hAnsi="Calibri" w:cs="Calibri"/>
              </w:rPr>
              <w:t>≥</w:t>
            </w:r>
          </w:p>
        </w:tc>
        <w:tc>
          <w:tcPr>
            <w:tcW w:w="635" w:type="pct"/>
          </w:tcPr>
          <w:p w14:paraId="635696B8" w14:textId="448B1FEB" w:rsidR="15754C6C" w:rsidRDefault="408D246D" w:rsidP="00891293">
            <w:pPr>
              <w:jc w:val="center"/>
              <w:rPr>
                <w:rFonts w:ascii="Calibri" w:eastAsia="Calibri" w:hAnsi="Calibri" w:cs="Calibri"/>
              </w:rPr>
            </w:pPr>
            <w:r w:rsidRPr="3EBCC824">
              <w:rPr>
                <w:rFonts w:ascii="Calibri" w:eastAsia="Calibri" w:hAnsi="Calibri" w:cs="Calibri"/>
              </w:rPr>
              <w:t>60.50%</w:t>
            </w:r>
          </w:p>
        </w:tc>
        <w:tc>
          <w:tcPr>
            <w:tcW w:w="635" w:type="pct"/>
          </w:tcPr>
          <w:p w14:paraId="0538F2D0" w14:textId="1760ADAB" w:rsidR="15754C6C" w:rsidRDefault="162F1E1A" w:rsidP="00891293">
            <w:pPr>
              <w:jc w:val="center"/>
              <w:rPr>
                <w:rFonts w:ascii="Calibri" w:eastAsia="Calibri" w:hAnsi="Calibri" w:cs="Calibri"/>
              </w:rPr>
            </w:pPr>
            <w:r w:rsidRPr="3EBCC824">
              <w:rPr>
                <w:rFonts w:ascii="Calibri" w:eastAsia="Calibri" w:hAnsi="Calibri" w:cs="Calibri"/>
              </w:rPr>
              <w:t>60.70%</w:t>
            </w:r>
          </w:p>
        </w:tc>
        <w:tc>
          <w:tcPr>
            <w:tcW w:w="635" w:type="pct"/>
          </w:tcPr>
          <w:p w14:paraId="721CB51F" w14:textId="4237DF23" w:rsidR="15754C6C" w:rsidRDefault="162F1E1A" w:rsidP="00891293">
            <w:pPr>
              <w:jc w:val="center"/>
              <w:rPr>
                <w:rFonts w:ascii="Calibri" w:eastAsia="Calibri" w:hAnsi="Calibri" w:cs="Calibri"/>
              </w:rPr>
            </w:pPr>
            <w:r w:rsidRPr="3EBCC824">
              <w:rPr>
                <w:rFonts w:ascii="Calibri" w:eastAsia="Calibri" w:hAnsi="Calibri" w:cs="Calibri"/>
              </w:rPr>
              <w:t>60.90%</w:t>
            </w:r>
          </w:p>
        </w:tc>
        <w:tc>
          <w:tcPr>
            <w:tcW w:w="635" w:type="pct"/>
          </w:tcPr>
          <w:p w14:paraId="07560DBC" w14:textId="39240B71" w:rsidR="15754C6C" w:rsidRDefault="162F1E1A" w:rsidP="00891293">
            <w:pPr>
              <w:jc w:val="center"/>
              <w:rPr>
                <w:rFonts w:ascii="Calibri" w:eastAsia="Calibri" w:hAnsi="Calibri" w:cs="Calibri"/>
              </w:rPr>
            </w:pPr>
            <w:r w:rsidRPr="3EBCC824">
              <w:rPr>
                <w:rFonts w:ascii="Calibri" w:eastAsia="Calibri" w:hAnsi="Calibri" w:cs="Calibri"/>
              </w:rPr>
              <w:t>61.10%</w:t>
            </w:r>
          </w:p>
        </w:tc>
        <w:tc>
          <w:tcPr>
            <w:tcW w:w="635" w:type="pct"/>
          </w:tcPr>
          <w:p w14:paraId="1629B540" w14:textId="4F9F426D" w:rsidR="15754C6C" w:rsidRDefault="162F1E1A" w:rsidP="00891293">
            <w:pPr>
              <w:jc w:val="center"/>
              <w:rPr>
                <w:rFonts w:ascii="Calibri" w:eastAsia="Calibri" w:hAnsi="Calibri" w:cs="Calibri"/>
              </w:rPr>
            </w:pPr>
            <w:r w:rsidRPr="3EBCC824">
              <w:rPr>
                <w:rFonts w:ascii="Calibri" w:eastAsia="Calibri" w:hAnsi="Calibri" w:cs="Calibri"/>
              </w:rPr>
              <w:t>61.30%</w:t>
            </w:r>
          </w:p>
        </w:tc>
        <w:tc>
          <w:tcPr>
            <w:tcW w:w="635" w:type="pct"/>
          </w:tcPr>
          <w:p w14:paraId="27ACB9CE" w14:textId="694FF153" w:rsidR="15754C6C" w:rsidRDefault="162F1E1A" w:rsidP="00891293">
            <w:pPr>
              <w:jc w:val="center"/>
              <w:rPr>
                <w:rFonts w:ascii="Calibri" w:eastAsia="Calibri" w:hAnsi="Calibri" w:cs="Calibri"/>
              </w:rPr>
            </w:pPr>
            <w:r w:rsidRPr="3EBCC824">
              <w:rPr>
                <w:rFonts w:ascii="Calibri" w:eastAsia="Calibri" w:hAnsi="Calibri" w:cs="Calibri"/>
              </w:rPr>
              <w:t>62.50%</w:t>
            </w:r>
          </w:p>
        </w:tc>
      </w:tr>
      <w:tr w:rsidR="15754C6C" w14:paraId="7671F797" w14:textId="77777777" w:rsidTr="0003646E">
        <w:tc>
          <w:tcPr>
            <w:tcW w:w="1188" w:type="pct"/>
          </w:tcPr>
          <w:p w14:paraId="6F022D7C" w14:textId="4A8E012B" w:rsidR="15754C6C" w:rsidRDefault="15754C6C" w:rsidP="00891293">
            <w:pPr>
              <w:rPr>
                <w:rFonts w:ascii="Calibri" w:eastAsia="Calibri" w:hAnsi="Calibri" w:cs="Calibri"/>
              </w:rPr>
            </w:pPr>
            <w:r w:rsidRPr="15754C6C">
              <w:rPr>
                <w:rFonts w:ascii="Calibri" w:eastAsia="Calibri" w:hAnsi="Calibri" w:cs="Calibri"/>
              </w:rPr>
              <w:t xml:space="preserve">Targets for B1 </w:t>
            </w:r>
            <w:r w:rsidR="00293CAB" w:rsidRPr="15754C6C">
              <w:rPr>
                <w:rFonts w:ascii="Calibri" w:eastAsia="Calibri" w:hAnsi="Calibri" w:cs="Calibri"/>
              </w:rPr>
              <w:t>≥</w:t>
            </w:r>
          </w:p>
        </w:tc>
        <w:tc>
          <w:tcPr>
            <w:tcW w:w="635" w:type="pct"/>
          </w:tcPr>
          <w:p w14:paraId="0EDDD65C" w14:textId="53624DF7" w:rsidR="15754C6C" w:rsidRDefault="15AAEBF8" w:rsidP="00891293">
            <w:pPr>
              <w:jc w:val="center"/>
              <w:rPr>
                <w:rFonts w:ascii="Calibri" w:eastAsia="Calibri" w:hAnsi="Calibri" w:cs="Calibri"/>
              </w:rPr>
            </w:pPr>
            <w:r w:rsidRPr="3EBCC824">
              <w:rPr>
                <w:rFonts w:ascii="Calibri" w:eastAsia="Calibri" w:hAnsi="Calibri" w:cs="Calibri"/>
              </w:rPr>
              <w:t>74.20%</w:t>
            </w:r>
          </w:p>
        </w:tc>
        <w:tc>
          <w:tcPr>
            <w:tcW w:w="635" w:type="pct"/>
          </w:tcPr>
          <w:p w14:paraId="11263A6D" w14:textId="74343B62" w:rsidR="15754C6C" w:rsidRDefault="66FF6233" w:rsidP="00891293">
            <w:pPr>
              <w:jc w:val="center"/>
              <w:rPr>
                <w:rFonts w:ascii="Calibri" w:eastAsia="Calibri" w:hAnsi="Calibri" w:cs="Calibri"/>
              </w:rPr>
            </w:pPr>
            <w:r w:rsidRPr="3EBCC824">
              <w:rPr>
                <w:rFonts w:ascii="Calibri" w:eastAsia="Calibri" w:hAnsi="Calibri" w:cs="Calibri"/>
              </w:rPr>
              <w:t>74.40%</w:t>
            </w:r>
          </w:p>
        </w:tc>
        <w:tc>
          <w:tcPr>
            <w:tcW w:w="635" w:type="pct"/>
          </w:tcPr>
          <w:p w14:paraId="7D75B171" w14:textId="788B5A25" w:rsidR="15754C6C" w:rsidRDefault="66FF6233" w:rsidP="00891293">
            <w:pPr>
              <w:jc w:val="center"/>
              <w:rPr>
                <w:rFonts w:ascii="Calibri" w:eastAsia="Calibri" w:hAnsi="Calibri" w:cs="Calibri"/>
              </w:rPr>
            </w:pPr>
            <w:r w:rsidRPr="3EBCC824">
              <w:rPr>
                <w:rFonts w:ascii="Calibri" w:eastAsia="Calibri" w:hAnsi="Calibri" w:cs="Calibri"/>
              </w:rPr>
              <w:t>74.60%</w:t>
            </w:r>
          </w:p>
        </w:tc>
        <w:tc>
          <w:tcPr>
            <w:tcW w:w="635" w:type="pct"/>
          </w:tcPr>
          <w:p w14:paraId="5352E8CA" w14:textId="636CFD10" w:rsidR="15754C6C" w:rsidRDefault="66FF6233" w:rsidP="00891293">
            <w:pPr>
              <w:jc w:val="center"/>
              <w:rPr>
                <w:rFonts w:ascii="Calibri" w:eastAsia="Calibri" w:hAnsi="Calibri" w:cs="Calibri"/>
              </w:rPr>
            </w:pPr>
            <w:r w:rsidRPr="3EBCC824">
              <w:rPr>
                <w:rFonts w:ascii="Calibri" w:eastAsia="Calibri" w:hAnsi="Calibri" w:cs="Calibri"/>
              </w:rPr>
              <w:t>74.80%</w:t>
            </w:r>
          </w:p>
        </w:tc>
        <w:tc>
          <w:tcPr>
            <w:tcW w:w="635" w:type="pct"/>
          </w:tcPr>
          <w:p w14:paraId="5DFE0EAA" w14:textId="24C7F3E8" w:rsidR="15754C6C" w:rsidRDefault="66FF6233" w:rsidP="00891293">
            <w:pPr>
              <w:jc w:val="center"/>
              <w:rPr>
                <w:rFonts w:ascii="Calibri" w:eastAsia="Calibri" w:hAnsi="Calibri" w:cs="Calibri"/>
              </w:rPr>
            </w:pPr>
            <w:r w:rsidRPr="3EBCC824">
              <w:rPr>
                <w:rFonts w:ascii="Calibri" w:eastAsia="Calibri" w:hAnsi="Calibri" w:cs="Calibri"/>
              </w:rPr>
              <w:t>75.00%</w:t>
            </w:r>
          </w:p>
        </w:tc>
        <w:tc>
          <w:tcPr>
            <w:tcW w:w="635" w:type="pct"/>
          </w:tcPr>
          <w:p w14:paraId="767FBB9B" w14:textId="2FB6AEF8" w:rsidR="15754C6C" w:rsidRDefault="66FF6233" w:rsidP="00891293">
            <w:pPr>
              <w:jc w:val="center"/>
              <w:rPr>
                <w:rFonts w:ascii="Calibri" w:eastAsia="Calibri" w:hAnsi="Calibri" w:cs="Calibri"/>
              </w:rPr>
            </w:pPr>
            <w:r w:rsidRPr="3EBCC824">
              <w:rPr>
                <w:rFonts w:ascii="Calibri" w:eastAsia="Calibri" w:hAnsi="Calibri" w:cs="Calibri"/>
              </w:rPr>
              <w:t>75.20%</w:t>
            </w:r>
          </w:p>
        </w:tc>
      </w:tr>
      <w:tr w:rsidR="15754C6C" w14:paraId="7C4844EF" w14:textId="77777777" w:rsidTr="0003646E">
        <w:tc>
          <w:tcPr>
            <w:tcW w:w="1188" w:type="pct"/>
          </w:tcPr>
          <w:p w14:paraId="5FE4DD08" w14:textId="3C7CCCB1" w:rsidR="15754C6C" w:rsidRDefault="15754C6C" w:rsidP="00891293">
            <w:pPr>
              <w:rPr>
                <w:rFonts w:ascii="Calibri" w:eastAsia="Calibri" w:hAnsi="Calibri" w:cs="Calibri"/>
              </w:rPr>
            </w:pPr>
            <w:r w:rsidRPr="15754C6C">
              <w:rPr>
                <w:rFonts w:ascii="Calibri" w:eastAsia="Calibri" w:hAnsi="Calibri" w:cs="Calibri"/>
              </w:rPr>
              <w:t xml:space="preserve">Targets for B2 </w:t>
            </w:r>
            <w:r w:rsidR="00293CAB" w:rsidRPr="15754C6C">
              <w:rPr>
                <w:rFonts w:ascii="Calibri" w:eastAsia="Calibri" w:hAnsi="Calibri" w:cs="Calibri"/>
              </w:rPr>
              <w:t>≥</w:t>
            </w:r>
          </w:p>
        </w:tc>
        <w:tc>
          <w:tcPr>
            <w:tcW w:w="635" w:type="pct"/>
          </w:tcPr>
          <w:p w14:paraId="76ADB655" w14:textId="46B96511" w:rsidR="15754C6C" w:rsidRDefault="2A0376B5" w:rsidP="00891293">
            <w:pPr>
              <w:jc w:val="center"/>
              <w:rPr>
                <w:rFonts w:ascii="Calibri" w:eastAsia="Calibri" w:hAnsi="Calibri" w:cs="Calibri"/>
              </w:rPr>
            </w:pPr>
            <w:r w:rsidRPr="3EBCC824">
              <w:rPr>
                <w:rFonts w:ascii="Calibri" w:eastAsia="Calibri" w:hAnsi="Calibri" w:cs="Calibri"/>
              </w:rPr>
              <w:t>58.10%</w:t>
            </w:r>
          </w:p>
        </w:tc>
        <w:tc>
          <w:tcPr>
            <w:tcW w:w="635" w:type="pct"/>
          </w:tcPr>
          <w:p w14:paraId="18F8862D" w14:textId="2B951D84" w:rsidR="15754C6C" w:rsidRDefault="5DE29632" w:rsidP="00891293">
            <w:pPr>
              <w:jc w:val="center"/>
              <w:rPr>
                <w:rFonts w:ascii="Calibri" w:eastAsia="Calibri" w:hAnsi="Calibri" w:cs="Calibri"/>
              </w:rPr>
            </w:pPr>
            <w:r w:rsidRPr="3EBCC824">
              <w:rPr>
                <w:rFonts w:ascii="Calibri" w:eastAsia="Calibri" w:hAnsi="Calibri" w:cs="Calibri"/>
              </w:rPr>
              <w:t>58.30%</w:t>
            </w:r>
          </w:p>
        </w:tc>
        <w:tc>
          <w:tcPr>
            <w:tcW w:w="635" w:type="pct"/>
          </w:tcPr>
          <w:p w14:paraId="7240C662" w14:textId="57C36FC3" w:rsidR="15754C6C" w:rsidRDefault="5DE29632" w:rsidP="00891293">
            <w:pPr>
              <w:jc w:val="center"/>
              <w:rPr>
                <w:rFonts w:ascii="Calibri" w:eastAsia="Calibri" w:hAnsi="Calibri" w:cs="Calibri"/>
              </w:rPr>
            </w:pPr>
            <w:r w:rsidRPr="3EBCC824">
              <w:rPr>
                <w:rFonts w:ascii="Calibri" w:eastAsia="Calibri" w:hAnsi="Calibri" w:cs="Calibri"/>
              </w:rPr>
              <w:t>58.30%</w:t>
            </w:r>
          </w:p>
        </w:tc>
        <w:tc>
          <w:tcPr>
            <w:tcW w:w="635" w:type="pct"/>
          </w:tcPr>
          <w:p w14:paraId="72510A08" w14:textId="5668C227" w:rsidR="15754C6C" w:rsidRDefault="5DE29632" w:rsidP="00891293">
            <w:pPr>
              <w:jc w:val="center"/>
              <w:rPr>
                <w:rFonts w:ascii="Calibri" w:eastAsia="Calibri" w:hAnsi="Calibri" w:cs="Calibri"/>
              </w:rPr>
            </w:pPr>
            <w:r w:rsidRPr="3EBCC824">
              <w:rPr>
                <w:rFonts w:ascii="Calibri" w:eastAsia="Calibri" w:hAnsi="Calibri" w:cs="Calibri"/>
              </w:rPr>
              <w:t>58.50%</w:t>
            </w:r>
          </w:p>
        </w:tc>
        <w:tc>
          <w:tcPr>
            <w:tcW w:w="635" w:type="pct"/>
          </w:tcPr>
          <w:p w14:paraId="002CC6DE" w14:textId="5D26D742" w:rsidR="15754C6C" w:rsidRDefault="5DE29632" w:rsidP="00891293">
            <w:pPr>
              <w:jc w:val="center"/>
              <w:rPr>
                <w:rFonts w:ascii="Calibri" w:eastAsia="Calibri" w:hAnsi="Calibri" w:cs="Calibri"/>
              </w:rPr>
            </w:pPr>
            <w:r w:rsidRPr="3EBCC824">
              <w:rPr>
                <w:rFonts w:ascii="Calibri" w:eastAsia="Calibri" w:hAnsi="Calibri" w:cs="Calibri"/>
              </w:rPr>
              <w:t>58.70%</w:t>
            </w:r>
          </w:p>
        </w:tc>
        <w:tc>
          <w:tcPr>
            <w:tcW w:w="635" w:type="pct"/>
          </w:tcPr>
          <w:p w14:paraId="14EC9D7B" w14:textId="504F0486" w:rsidR="15754C6C" w:rsidRDefault="5DE29632" w:rsidP="00891293">
            <w:pPr>
              <w:jc w:val="center"/>
              <w:rPr>
                <w:rFonts w:ascii="Calibri" w:eastAsia="Calibri" w:hAnsi="Calibri" w:cs="Calibri"/>
              </w:rPr>
            </w:pPr>
            <w:r w:rsidRPr="3EBCC824">
              <w:rPr>
                <w:rFonts w:ascii="Calibri" w:eastAsia="Calibri" w:hAnsi="Calibri" w:cs="Calibri"/>
              </w:rPr>
              <w:t>58.90%</w:t>
            </w:r>
          </w:p>
        </w:tc>
      </w:tr>
      <w:tr w:rsidR="15754C6C" w14:paraId="3E1CEA68" w14:textId="77777777" w:rsidTr="0003646E">
        <w:tc>
          <w:tcPr>
            <w:tcW w:w="1188" w:type="pct"/>
          </w:tcPr>
          <w:p w14:paraId="2A643B7E" w14:textId="1271E7D8" w:rsidR="15754C6C" w:rsidRDefault="15754C6C" w:rsidP="00891293">
            <w:pPr>
              <w:rPr>
                <w:rFonts w:ascii="Calibri" w:eastAsia="Calibri" w:hAnsi="Calibri" w:cs="Calibri"/>
              </w:rPr>
            </w:pPr>
            <w:r w:rsidRPr="15754C6C">
              <w:rPr>
                <w:rFonts w:ascii="Calibri" w:eastAsia="Calibri" w:hAnsi="Calibri" w:cs="Calibri"/>
              </w:rPr>
              <w:t xml:space="preserve">Targets for C1 </w:t>
            </w:r>
            <w:r w:rsidR="00293CAB" w:rsidRPr="15754C6C">
              <w:rPr>
                <w:rFonts w:ascii="Calibri" w:eastAsia="Calibri" w:hAnsi="Calibri" w:cs="Calibri"/>
              </w:rPr>
              <w:t>≥</w:t>
            </w:r>
          </w:p>
        </w:tc>
        <w:tc>
          <w:tcPr>
            <w:tcW w:w="635" w:type="pct"/>
          </w:tcPr>
          <w:p w14:paraId="16A5A7A4" w14:textId="41732407" w:rsidR="15754C6C" w:rsidRDefault="17B18714" w:rsidP="00891293">
            <w:pPr>
              <w:jc w:val="center"/>
              <w:rPr>
                <w:rFonts w:ascii="Calibri" w:eastAsia="Calibri" w:hAnsi="Calibri" w:cs="Calibri"/>
              </w:rPr>
            </w:pPr>
            <w:r w:rsidRPr="3EBCC824">
              <w:rPr>
                <w:rFonts w:ascii="Calibri" w:eastAsia="Calibri" w:hAnsi="Calibri" w:cs="Calibri"/>
              </w:rPr>
              <w:t>74.10%</w:t>
            </w:r>
          </w:p>
        </w:tc>
        <w:tc>
          <w:tcPr>
            <w:tcW w:w="635" w:type="pct"/>
          </w:tcPr>
          <w:p w14:paraId="0DCB1999" w14:textId="355BE576" w:rsidR="15754C6C" w:rsidRDefault="7092273C" w:rsidP="00891293">
            <w:pPr>
              <w:jc w:val="center"/>
              <w:rPr>
                <w:rFonts w:ascii="Calibri" w:eastAsia="Calibri" w:hAnsi="Calibri" w:cs="Calibri"/>
              </w:rPr>
            </w:pPr>
            <w:r w:rsidRPr="3EBCC824">
              <w:rPr>
                <w:rFonts w:ascii="Calibri" w:eastAsia="Calibri" w:hAnsi="Calibri" w:cs="Calibri"/>
              </w:rPr>
              <w:t>74.30%</w:t>
            </w:r>
          </w:p>
        </w:tc>
        <w:tc>
          <w:tcPr>
            <w:tcW w:w="635" w:type="pct"/>
          </w:tcPr>
          <w:p w14:paraId="1AF2B278" w14:textId="429B436D" w:rsidR="15754C6C" w:rsidRDefault="7092273C" w:rsidP="00891293">
            <w:pPr>
              <w:jc w:val="center"/>
              <w:rPr>
                <w:rFonts w:ascii="Calibri" w:eastAsia="Calibri" w:hAnsi="Calibri" w:cs="Calibri"/>
              </w:rPr>
            </w:pPr>
            <w:r w:rsidRPr="3EBCC824">
              <w:rPr>
                <w:rFonts w:ascii="Calibri" w:eastAsia="Calibri" w:hAnsi="Calibri" w:cs="Calibri"/>
              </w:rPr>
              <w:t>74.50%</w:t>
            </w:r>
          </w:p>
        </w:tc>
        <w:tc>
          <w:tcPr>
            <w:tcW w:w="635" w:type="pct"/>
          </w:tcPr>
          <w:p w14:paraId="2CAA0348" w14:textId="462751E1" w:rsidR="15754C6C" w:rsidRDefault="7092273C" w:rsidP="00891293">
            <w:pPr>
              <w:jc w:val="center"/>
              <w:rPr>
                <w:rFonts w:ascii="Calibri" w:eastAsia="Calibri" w:hAnsi="Calibri" w:cs="Calibri"/>
              </w:rPr>
            </w:pPr>
            <w:r w:rsidRPr="3EBCC824">
              <w:rPr>
                <w:rFonts w:ascii="Calibri" w:eastAsia="Calibri" w:hAnsi="Calibri" w:cs="Calibri"/>
              </w:rPr>
              <w:t>74.70%</w:t>
            </w:r>
          </w:p>
        </w:tc>
        <w:tc>
          <w:tcPr>
            <w:tcW w:w="635" w:type="pct"/>
          </w:tcPr>
          <w:p w14:paraId="0AF5494E" w14:textId="6A308645" w:rsidR="15754C6C" w:rsidRDefault="7092273C" w:rsidP="00891293">
            <w:pPr>
              <w:jc w:val="center"/>
              <w:rPr>
                <w:rFonts w:ascii="Calibri" w:eastAsia="Calibri" w:hAnsi="Calibri" w:cs="Calibri"/>
              </w:rPr>
            </w:pPr>
            <w:r w:rsidRPr="3EBCC824">
              <w:rPr>
                <w:rFonts w:ascii="Calibri" w:eastAsia="Calibri" w:hAnsi="Calibri" w:cs="Calibri"/>
              </w:rPr>
              <w:t>74.90%</w:t>
            </w:r>
          </w:p>
        </w:tc>
        <w:tc>
          <w:tcPr>
            <w:tcW w:w="635" w:type="pct"/>
          </w:tcPr>
          <w:p w14:paraId="497A3FD5" w14:textId="681C02D2" w:rsidR="15754C6C" w:rsidRDefault="7092273C" w:rsidP="00891293">
            <w:pPr>
              <w:jc w:val="center"/>
              <w:rPr>
                <w:rFonts w:ascii="Calibri" w:eastAsia="Calibri" w:hAnsi="Calibri" w:cs="Calibri"/>
              </w:rPr>
            </w:pPr>
            <w:r w:rsidRPr="3EBCC824">
              <w:rPr>
                <w:rFonts w:ascii="Calibri" w:eastAsia="Calibri" w:hAnsi="Calibri" w:cs="Calibri"/>
              </w:rPr>
              <w:t>75.10%</w:t>
            </w:r>
          </w:p>
        </w:tc>
      </w:tr>
      <w:tr w:rsidR="15754C6C" w14:paraId="35B89E9B" w14:textId="77777777" w:rsidTr="0003646E">
        <w:tc>
          <w:tcPr>
            <w:tcW w:w="1188" w:type="pct"/>
          </w:tcPr>
          <w:p w14:paraId="523BCBDF" w14:textId="3FD007BD" w:rsidR="15754C6C" w:rsidRDefault="15754C6C" w:rsidP="00891293">
            <w:pPr>
              <w:rPr>
                <w:rFonts w:ascii="Calibri" w:eastAsia="Calibri" w:hAnsi="Calibri" w:cs="Calibri"/>
              </w:rPr>
            </w:pPr>
            <w:r w:rsidRPr="15754C6C">
              <w:rPr>
                <w:rFonts w:ascii="Calibri" w:eastAsia="Calibri" w:hAnsi="Calibri" w:cs="Calibri"/>
              </w:rPr>
              <w:t xml:space="preserve">Targets for C2 </w:t>
            </w:r>
            <w:r w:rsidR="00293CAB" w:rsidRPr="15754C6C">
              <w:rPr>
                <w:rFonts w:ascii="Calibri" w:eastAsia="Calibri" w:hAnsi="Calibri" w:cs="Calibri"/>
              </w:rPr>
              <w:t>≥</w:t>
            </w:r>
          </w:p>
        </w:tc>
        <w:tc>
          <w:tcPr>
            <w:tcW w:w="635" w:type="pct"/>
          </w:tcPr>
          <w:p w14:paraId="0EE55B0C" w14:textId="0E547900" w:rsidR="15754C6C" w:rsidRDefault="3E72BFEF" w:rsidP="00891293">
            <w:pPr>
              <w:jc w:val="center"/>
              <w:rPr>
                <w:rFonts w:ascii="Calibri" w:eastAsia="Calibri" w:hAnsi="Calibri" w:cs="Calibri"/>
              </w:rPr>
            </w:pPr>
            <w:r w:rsidRPr="3EBCC824">
              <w:rPr>
                <w:rFonts w:ascii="Calibri" w:eastAsia="Calibri" w:hAnsi="Calibri" w:cs="Calibri"/>
              </w:rPr>
              <w:t>61.50%</w:t>
            </w:r>
          </w:p>
        </w:tc>
        <w:tc>
          <w:tcPr>
            <w:tcW w:w="635" w:type="pct"/>
          </w:tcPr>
          <w:p w14:paraId="76153990" w14:textId="56C9C89D" w:rsidR="15754C6C" w:rsidRDefault="103E80BE" w:rsidP="00891293">
            <w:pPr>
              <w:jc w:val="center"/>
              <w:rPr>
                <w:rFonts w:ascii="Calibri" w:eastAsia="Calibri" w:hAnsi="Calibri" w:cs="Calibri"/>
              </w:rPr>
            </w:pPr>
            <w:r w:rsidRPr="3EBCC824">
              <w:rPr>
                <w:rFonts w:ascii="Calibri" w:eastAsia="Calibri" w:hAnsi="Calibri" w:cs="Calibri"/>
              </w:rPr>
              <w:t>61.70%</w:t>
            </w:r>
          </w:p>
        </w:tc>
        <w:tc>
          <w:tcPr>
            <w:tcW w:w="635" w:type="pct"/>
          </w:tcPr>
          <w:p w14:paraId="65676E09" w14:textId="1C43CEF6" w:rsidR="15754C6C" w:rsidRDefault="103E80BE" w:rsidP="00891293">
            <w:pPr>
              <w:jc w:val="center"/>
              <w:rPr>
                <w:rFonts w:ascii="Calibri" w:eastAsia="Calibri" w:hAnsi="Calibri" w:cs="Calibri"/>
              </w:rPr>
            </w:pPr>
            <w:r w:rsidRPr="3EBCC824">
              <w:rPr>
                <w:rFonts w:ascii="Calibri" w:eastAsia="Calibri" w:hAnsi="Calibri" w:cs="Calibri"/>
              </w:rPr>
              <w:t>61.90%</w:t>
            </w:r>
          </w:p>
        </w:tc>
        <w:tc>
          <w:tcPr>
            <w:tcW w:w="635" w:type="pct"/>
          </w:tcPr>
          <w:p w14:paraId="23ADFC5B" w14:textId="09704D2F" w:rsidR="15754C6C" w:rsidRDefault="103E80BE" w:rsidP="00891293">
            <w:pPr>
              <w:jc w:val="center"/>
              <w:rPr>
                <w:rFonts w:ascii="Calibri" w:eastAsia="Calibri" w:hAnsi="Calibri" w:cs="Calibri"/>
              </w:rPr>
            </w:pPr>
            <w:r w:rsidRPr="3EBCC824">
              <w:rPr>
                <w:rFonts w:ascii="Calibri" w:eastAsia="Calibri" w:hAnsi="Calibri" w:cs="Calibri"/>
              </w:rPr>
              <w:t>62.10%</w:t>
            </w:r>
          </w:p>
        </w:tc>
        <w:tc>
          <w:tcPr>
            <w:tcW w:w="635" w:type="pct"/>
          </w:tcPr>
          <w:p w14:paraId="174C170D" w14:textId="0750B6AB" w:rsidR="15754C6C" w:rsidRDefault="103E80BE" w:rsidP="00891293">
            <w:pPr>
              <w:jc w:val="center"/>
              <w:rPr>
                <w:rFonts w:ascii="Calibri" w:eastAsia="Calibri" w:hAnsi="Calibri" w:cs="Calibri"/>
              </w:rPr>
            </w:pPr>
            <w:r w:rsidRPr="3EBCC824">
              <w:rPr>
                <w:rFonts w:ascii="Calibri" w:eastAsia="Calibri" w:hAnsi="Calibri" w:cs="Calibri"/>
              </w:rPr>
              <w:t>62.30%</w:t>
            </w:r>
          </w:p>
        </w:tc>
        <w:tc>
          <w:tcPr>
            <w:tcW w:w="635" w:type="pct"/>
          </w:tcPr>
          <w:p w14:paraId="71D6B95C" w14:textId="3FC59FF4" w:rsidR="15754C6C" w:rsidRDefault="103E80BE" w:rsidP="00891293">
            <w:pPr>
              <w:jc w:val="center"/>
              <w:rPr>
                <w:rFonts w:ascii="Calibri" w:eastAsia="Calibri" w:hAnsi="Calibri" w:cs="Calibri"/>
              </w:rPr>
            </w:pPr>
            <w:r w:rsidRPr="3EBCC824">
              <w:rPr>
                <w:rFonts w:ascii="Calibri" w:eastAsia="Calibri" w:hAnsi="Calibri" w:cs="Calibri"/>
              </w:rPr>
              <w:t>62.50%</w:t>
            </w:r>
          </w:p>
        </w:tc>
      </w:tr>
    </w:tbl>
    <w:p w14:paraId="3C4D8B57" w14:textId="0B80F8D4" w:rsidR="0BD6362E" w:rsidRDefault="0BD6362E" w:rsidP="00891293">
      <w:pPr>
        <w:spacing w:line="240" w:lineRule="auto"/>
        <w:rPr>
          <w:rFonts w:ascii="Calibri" w:eastAsia="Calibri" w:hAnsi="Calibri" w:cs="Calibri"/>
          <w:color w:val="000000" w:themeColor="text1"/>
        </w:rPr>
      </w:pPr>
      <w:r w:rsidRPr="245A08AF">
        <w:rPr>
          <w:rFonts w:ascii="Calibri" w:eastAsia="Calibri" w:hAnsi="Calibri" w:cs="Calibri"/>
          <w:color w:val="000000" w:themeColor="text1"/>
        </w:rPr>
        <w:t>Example B shows more growth.</w:t>
      </w:r>
    </w:p>
    <w:p w14:paraId="74470600" w14:textId="77777777" w:rsidR="00041319" w:rsidRDefault="60E01432" w:rsidP="00891293">
      <w:pPr>
        <w:spacing w:after="0" w:line="240" w:lineRule="auto"/>
        <w:jc w:val="center"/>
        <w:rPr>
          <w:rFonts w:ascii="Calibri" w:eastAsia="Calibri" w:hAnsi="Calibri" w:cs="Calibri"/>
          <w:b/>
          <w:bCs/>
          <w:color w:val="538135" w:themeColor="accent6" w:themeShade="BF"/>
        </w:rPr>
      </w:pPr>
      <w:r w:rsidRPr="5F3139D1">
        <w:rPr>
          <w:rFonts w:ascii="Calibri" w:eastAsia="Calibri" w:hAnsi="Calibri" w:cs="Calibri"/>
          <w:b/>
          <w:bCs/>
          <w:color w:val="538135" w:themeColor="accent6" w:themeShade="BF"/>
        </w:rPr>
        <w:t>If you need more information in order t</w:t>
      </w:r>
      <w:r w:rsidR="00041319">
        <w:rPr>
          <w:rFonts w:ascii="Calibri" w:eastAsia="Calibri" w:hAnsi="Calibri" w:cs="Calibri"/>
          <w:b/>
          <w:bCs/>
          <w:color w:val="538135" w:themeColor="accent6" w:themeShade="BF"/>
        </w:rPr>
        <w:t>o provide input, please contact:</w:t>
      </w:r>
    </w:p>
    <w:p w14:paraId="34ECC461" w14:textId="08E92BEE" w:rsidR="15754C6C" w:rsidRDefault="60E01432" w:rsidP="00891293">
      <w:pPr>
        <w:spacing w:after="0" w:line="240" w:lineRule="auto"/>
        <w:jc w:val="center"/>
        <w:rPr>
          <w:rFonts w:ascii="Calibri" w:eastAsia="Calibri" w:hAnsi="Calibri" w:cs="Calibri"/>
          <w:b/>
          <w:bCs/>
        </w:rPr>
      </w:pPr>
      <w:r w:rsidRPr="5F3139D1">
        <w:rPr>
          <w:rFonts w:ascii="Calibri" w:eastAsia="Calibri" w:hAnsi="Calibri" w:cs="Calibri"/>
          <w:b/>
          <w:bCs/>
          <w:color w:val="538135" w:themeColor="accent6" w:themeShade="BF"/>
        </w:rPr>
        <w:t xml:space="preserve">Bruce Sheppard at </w:t>
      </w:r>
      <w:hyperlink r:id="rId19">
        <w:r w:rsidRPr="5F3139D1">
          <w:rPr>
            <w:rStyle w:val="Hyperlink"/>
            <w:rFonts w:ascii="Calibri" w:eastAsia="Calibri" w:hAnsi="Calibri" w:cs="Calibri"/>
            <w:b/>
            <w:bCs/>
          </w:rPr>
          <w:t>bruce.sheppard@state.or.us</w:t>
        </w:r>
      </w:hyperlink>
      <w:r w:rsidR="66C7BCDE" w:rsidRPr="5F3139D1">
        <w:rPr>
          <w:rFonts w:ascii="Calibri" w:eastAsia="Calibri" w:hAnsi="Calibri" w:cs="Calibri"/>
          <w:b/>
          <w:bCs/>
        </w:rPr>
        <w:t>.</w:t>
      </w:r>
    </w:p>
    <w:sectPr w:rsidR="15754C6C" w:rsidSect="00E85C73">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738A8" w14:textId="77777777" w:rsidR="007911BE" w:rsidRDefault="007911BE" w:rsidP="00A015AF">
      <w:pPr>
        <w:spacing w:after="0" w:line="240" w:lineRule="auto"/>
      </w:pPr>
      <w:r>
        <w:separator/>
      </w:r>
    </w:p>
  </w:endnote>
  <w:endnote w:type="continuationSeparator" w:id="0">
    <w:p w14:paraId="033FB9A7" w14:textId="77777777" w:rsidR="007911BE" w:rsidRDefault="007911BE" w:rsidP="00A015AF">
      <w:pPr>
        <w:spacing w:after="0" w:line="240" w:lineRule="auto"/>
      </w:pPr>
      <w:r>
        <w:continuationSeparator/>
      </w:r>
    </w:p>
  </w:endnote>
  <w:endnote w:type="continuationNotice" w:id="1">
    <w:p w14:paraId="2EF227C9"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2F991" w14:textId="77777777" w:rsidR="007911BE" w:rsidRDefault="007911BE" w:rsidP="00A015AF">
      <w:pPr>
        <w:spacing w:after="0" w:line="240" w:lineRule="auto"/>
      </w:pPr>
      <w:r>
        <w:separator/>
      </w:r>
    </w:p>
  </w:footnote>
  <w:footnote w:type="continuationSeparator" w:id="0">
    <w:p w14:paraId="7AA0CDE6" w14:textId="77777777" w:rsidR="007911BE" w:rsidRDefault="007911BE" w:rsidP="00A015AF">
      <w:pPr>
        <w:spacing w:after="0" w:line="240" w:lineRule="auto"/>
      </w:pPr>
      <w:r>
        <w:continuationSeparator/>
      </w:r>
    </w:p>
  </w:footnote>
  <w:footnote w:type="continuationNotice" w:id="1">
    <w:p w14:paraId="78C05ED3"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cs="Times New Roman"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cs="Times New Roman"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cs="Times New Roman"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31813C0"/>
    <w:multiLevelType w:val="hybridMultilevel"/>
    <w:tmpl w:val="BB3C89A6"/>
    <w:lvl w:ilvl="0" w:tplc="1DF6D22E">
      <w:start w:val="1"/>
      <w:numFmt w:val="bullet"/>
      <w:lvlText w:val=""/>
      <w:lvlJc w:val="left"/>
      <w:pPr>
        <w:ind w:left="720" w:hanging="360"/>
      </w:pPr>
      <w:rPr>
        <w:rFonts w:ascii="Symbol" w:hAnsi="Symbol" w:hint="default"/>
      </w:rPr>
    </w:lvl>
    <w:lvl w:ilvl="1" w:tplc="E36C363C">
      <w:start w:val="1"/>
      <w:numFmt w:val="bullet"/>
      <w:lvlText w:val="o"/>
      <w:lvlJc w:val="left"/>
      <w:pPr>
        <w:ind w:left="1440" w:hanging="360"/>
      </w:pPr>
      <w:rPr>
        <w:rFonts w:ascii="Courier New" w:hAnsi="Courier New" w:hint="default"/>
      </w:rPr>
    </w:lvl>
    <w:lvl w:ilvl="2" w:tplc="13E805D0">
      <w:start w:val="1"/>
      <w:numFmt w:val="bullet"/>
      <w:lvlText w:val=""/>
      <w:lvlJc w:val="left"/>
      <w:pPr>
        <w:ind w:left="2160" w:hanging="360"/>
      </w:pPr>
      <w:rPr>
        <w:rFonts w:ascii="Wingdings" w:hAnsi="Wingdings" w:hint="default"/>
      </w:rPr>
    </w:lvl>
    <w:lvl w:ilvl="3" w:tplc="4E3247D0">
      <w:start w:val="1"/>
      <w:numFmt w:val="bullet"/>
      <w:lvlText w:val=""/>
      <w:lvlJc w:val="left"/>
      <w:pPr>
        <w:ind w:left="2880" w:hanging="360"/>
      </w:pPr>
      <w:rPr>
        <w:rFonts w:ascii="Symbol" w:hAnsi="Symbol" w:hint="default"/>
      </w:rPr>
    </w:lvl>
    <w:lvl w:ilvl="4" w:tplc="7ECE41A4">
      <w:start w:val="1"/>
      <w:numFmt w:val="bullet"/>
      <w:lvlText w:val="o"/>
      <w:lvlJc w:val="left"/>
      <w:pPr>
        <w:ind w:left="3600" w:hanging="360"/>
      </w:pPr>
      <w:rPr>
        <w:rFonts w:ascii="Courier New" w:hAnsi="Courier New" w:hint="default"/>
      </w:rPr>
    </w:lvl>
    <w:lvl w:ilvl="5" w:tplc="A5065BFC">
      <w:start w:val="1"/>
      <w:numFmt w:val="bullet"/>
      <w:lvlText w:val=""/>
      <w:lvlJc w:val="left"/>
      <w:pPr>
        <w:ind w:left="4320" w:hanging="360"/>
      </w:pPr>
      <w:rPr>
        <w:rFonts w:ascii="Wingdings" w:hAnsi="Wingdings" w:hint="default"/>
      </w:rPr>
    </w:lvl>
    <w:lvl w:ilvl="6" w:tplc="44143DAE">
      <w:start w:val="1"/>
      <w:numFmt w:val="bullet"/>
      <w:lvlText w:val=""/>
      <w:lvlJc w:val="left"/>
      <w:pPr>
        <w:ind w:left="5040" w:hanging="360"/>
      </w:pPr>
      <w:rPr>
        <w:rFonts w:ascii="Symbol" w:hAnsi="Symbol" w:hint="default"/>
      </w:rPr>
    </w:lvl>
    <w:lvl w:ilvl="7" w:tplc="CDF81B22">
      <w:start w:val="1"/>
      <w:numFmt w:val="bullet"/>
      <w:lvlText w:val="o"/>
      <w:lvlJc w:val="left"/>
      <w:pPr>
        <w:ind w:left="5760" w:hanging="360"/>
      </w:pPr>
      <w:rPr>
        <w:rFonts w:ascii="Courier New" w:hAnsi="Courier New" w:hint="default"/>
      </w:rPr>
    </w:lvl>
    <w:lvl w:ilvl="8" w:tplc="4D960040">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75C17"/>
    <w:multiLevelType w:val="hybridMultilevel"/>
    <w:tmpl w:val="36724684"/>
    <w:lvl w:ilvl="0" w:tplc="987E9BD0">
      <w:start w:val="1"/>
      <w:numFmt w:val="bullet"/>
      <w:lvlText w:val=""/>
      <w:lvlJc w:val="left"/>
      <w:pPr>
        <w:ind w:left="720" w:hanging="360"/>
      </w:pPr>
      <w:rPr>
        <w:rFonts w:ascii="Symbol" w:hAnsi="Symbol" w:hint="default"/>
      </w:rPr>
    </w:lvl>
    <w:lvl w:ilvl="1" w:tplc="0C34707C">
      <w:start w:val="1"/>
      <w:numFmt w:val="bullet"/>
      <w:lvlText w:val="o"/>
      <w:lvlJc w:val="left"/>
      <w:pPr>
        <w:ind w:left="1440" w:hanging="360"/>
      </w:pPr>
      <w:rPr>
        <w:rFonts w:ascii="Courier New" w:hAnsi="Courier New" w:hint="default"/>
      </w:rPr>
    </w:lvl>
    <w:lvl w:ilvl="2" w:tplc="D638BE88">
      <w:start w:val="1"/>
      <w:numFmt w:val="bullet"/>
      <w:lvlText w:val=""/>
      <w:lvlJc w:val="left"/>
      <w:pPr>
        <w:ind w:left="2160" w:hanging="360"/>
      </w:pPr>
      <w:rPr>
        <w:rFonts w:ascii="Wingdings" w:hAnsi="Wingdings" w:hint="default"/>
      </w:rPr>
    </w:lvl>
    <w:lvl w:ilvl="3" w:tplc="1B3C55A6">
      <w:start w:val="1"/>
      <w:numFmt w:val="bullet"/>
      <w:lvlText w:val=""/>
      <w:lvlJc w:val="left"/>
      <w:pPr>
        <w:ind w:left="2880" w:hanging="360"/>
      </w:pPr>
      <w:rPr>
        <w:rFonts w:ascii="Symbol" w:hAnsi="Symbol" w:hint="default"/>
      </w:rPr>
    </w:lvl>
    <w:lvl w:ilvl="4" w:tplc="5BCC361C">
      <w:start w:val="1"/>
      <w:numFmt w:val="bullet"/>
      <w:lvlText w:val="o"/>
      <w:lvlJc w:val="left"/>
      <w:pPr>
        <w:ind w:left="3600" w:hanging="360"/>
      </w:pPr>
      <w:rPr>
        <w:rFonts w:ascii="Courier New" w:hAnsi="Courier New" w:hint="default"/>
      </w:rPr>
    </w:lvl>
    <w:lvl w:ilvl="5" w:tplc="616C03F0">
      <w:start w:val="1"/>
      <w:numFmt w:val="bullet"/>
      <w:lvlText w:val=""/>
      <w:lvlJc w:val="left"/>
      <w:pPr>
        <w:ind w:left="4320" w:hanging="360"/>
      </w:pPr>
      <w:rPr>
        <w:rFonts w:ascii="Wingdings" w:hAnsi="Wingdings" w:hint="default"/>
      </w:rPr>
    </w:lvl>
    <w:lvl w:ilvl="6" w:tplc="7C483BBA">
      <w:start w:val="1"/>
      <w:numFmt w:val="bullet"/>
      <w:lvlText w:val=""/>
      <w:lvlJc w:val="left"/>
      <w:pPr>
        <w:ind w:left="5040" w:hanging="360"/>
      </w:pPr>
      <w:rPr>
        <w:rFonts w:ascii="Symbol" w:hAnsi="Symbol" w:hint="default"/>
      </w:rPr>
    </w:lvl>
    <w:lvl w:ilvl="7" w:tplc="B1AA69A4">
      <w:start w:val="1"/>
      <w:numFmt w:val="bullet"/>
      <w:lvlText w:val="o"/>
      <w:lvlJc w:val="left"/>
      <w:pPr>
        <w:ind w:left="5760" w:hanging="360"/>
      </w:pPr>
      <w:rPr>
        <w:rFonts w:ascii="Courier New" w:hAnsi="Courier New" w:hint="default"/>
      </w:rPr>
    </w:lvl>
    <w:lvl w:ilvl="8" w:tplc="2ACE6A3A">
      <w:start w:val="1"/>
      <w:numFmt w:val="bullet"/>
      <w:lvlText w:val=""/>
      <w:lvlJc w:val="left"/>
      <w:pPr>
        <w:ind w:left="6480" w:hanging="360"/>
      </w:pPr>
      <w:rPr>
        <w:rFonts w:ascii="Wingdings" w:hAnsi="Wingdings" w:hint="default"/>
      </w:r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3"/>
  </w:num>
  <w:num w:numId="5">
    <w:abstractNumId w:val="1"/>
  </w:num>
  <w:num w:numId="6">
    <w:abstractNumId w:val="2"/>
  </w:num>
  <w:num w:numId="7">
    <w:abstractNumId w:val="8"/>
  </w:num>
  <w:num w:numId="8">
    <w:abstractNumId w:val="9"/>
  </w:num>
  <w:num w:numId="9">
    <w:abstractNumId w:val="6"/>
  </w:num>
  <w:num w:numId="10">
    <w:abstractNumId w:val="7"/>
  </w:num>
  <w:num w:numId="11">
    <w:abstractNumId w:val="10"/>
  </w:num>
  <w:num w:numId="12">
    <w:abstractNumId w:val="12"/>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21F98"/>
    <w:rsid w:val="000229A8"/>
    <w:rsid w:val="0003646E"/>
    <w:rsid w:val="00041319"/>
    <w:rsid w:val="00057550"/>
    <w:rsid w:val="000771E0"/>
    <w:rsid w:val="00082930"/>
    <w:rsid w:val="000B0724"/>
    <w:rsid w:val="000B7B51"/>
    <w:rsid w:val="000E3321"/>
    <w:rsid w:val="000E446A"/>
    <w:rsid w:val="000E4FA0"/>
    <w:rsid w:val="000F2CEB"/>
    <w:rsid w:val="000F4459"/>
    <w:rsid w:val="00103F34"/>
    <w:rsid w:val="00124274"/>
    <w:rsid w:val="001500B8"/>
    <w:rsid w:val="00151057"/>
    <w:rsid w:val="001B1F13"/>
    <w:rsid w:val="001B52CA"/>
    <w:rsid w:val="001C031B"/>
    <w:rsid w:val="001F49DD"/>
    <w:rsid w:val="002330DF"/>
    <w:rsid w:val="0023458C"/>
    <w:rsid w:val="00251241"/>
    <w:rsid w:val="0026797A"/>
    <w:rsid w:val="0027587A"/>
    <w:rsid w:val="00293CAB"/>
    <w:rsid w:val="002A100A"/>
    <w:rsid w:val="002B268E"/>
    <w:rsid w:val="002C5FD8"/>
    <w:rsid w:val="002D66CC"/>
    <w:rsid w:val="002F003B"/>
    <w:rsid w:val="00300812"/>
    <w:rsid w:val="00300F93"/>
    <w:rsid w:val="00316E35"/>
    <w:rsid w:val="00327EB0"/>
    <w:rsid w:val="00356BE5"/>
    <w:rsid w:val="00373050"/>
    <w:rsid w:val="003E302B"/>
    <w:rsid w:val="00417559"/>
    <w:rsid w:val="004332D0"/>
    <w:rsid w:val="00434A4B"/>
    <w:rsid w:val="004546E0"/>
    <w:rsid w:val="004634C1"/>
    <w:rsid w:val="00472F13"/>
    <w:rsid w:val="00496DD9"/>
    <w:rsid w:val="004B3A12"/>
    <w:rsid w:val="00506FC3"/>
    <w:rsid w:val="00551272"/>
    <w:rsid w:val="005B50E3"/>
    <w:rsid w:val="005D6523"/>
    <w:rsid w:val="005F2E24"/>
    <w:rsid w:val="00614B0D"/>
    <w:rsid w:val="00621EAC"/>
    <w:rsid w:val="006231FB"/>
    <w:rsid w:val="006279FC"/>
    <w:rsid w:val="0066003C"/>
    <w:rsid w:val="00664935"/>
    <w:rsid w:val="00664F90"/>
    <w:rsid w:val="00665A1E"/>
    <w:rsid w:val="00686AA4"/>
    <w:rsid w:val="00696549"/>
    <w:rsid w:val="006B3525"/>
    <w:rsid w:val="006C7344"/>
    <w:rsid w:val="00770DA0"/>
    <w:rsid w:val="007911BE"/>
    <w:rsid w:val="007F7D05"/>
    <w:rsid w:val="00800077"/>
    <w:rsid w:val="00814085"/>
    <w:rsid w:val="00851819"/>
    <w:rsid w:val="008707C4"/>
    <w:rsid w:val="00872B58"/>
    <w:rsid w:val="00872BA4"/>
    <w:rsid w:val="00873D62"/>
    <w:rsid w:val="0087580F"/>
    <w:rsid w:val="00891293"/>
    <w:rsid w:val="00891521"/>
    <w:rsid w:val="008A4231"/>
    <w:rsid w:val="008C5DD2"/>
    <w:rsid w:val="008F0D97"/>
    <w:rsid w:val="0092561F"/>
    <w:rsid w:val="009346B8"/>
    <w:rsid w:val="00954BDA"/>
    <w:rsid w:val="00963CE4"/>
    <w:rsid w:val="0096520A"/>
    <w:rsid w:val="00976EA9"/>
    <w:rsid w:val="00980D00"/>
    <w:rsid w:val="00992029"/>
    <w:rsid w:val="009A23AC"/>
    <w:rsid w:val="009C00DB"/>
    <w:rsid w:val="009C5702"/>
    <w:rsid w:val="009C74C1"/>
    <w:rsid w:val="009E1242"/>
    <w:rsid w:val="009E373C"/>
    <w:rsid w:val="00A015AF"/>
    <w:rsid w:val="00A02945"/>
    <w:rsid w:val="00A106D4"/>
    <w:rsid w:val="00A42905"/>
    <w:rsid w:val="00A47CF8"/>
    <w:rsid w:val="00A83936"/>
    <w:rsid w:val="00AC7A59"/>
    <w:rsid w:val="00AD1A06"/>
    <w:rsid w:val="00AD2B4F"/>
    <w:rsid w:val="00AD794D"/>
    <w:rsid w:val="00B224C7"/>
    <w:rsid w:val="00B464F8"/>
    <w:rsid w:val="00B51C91"/>
    <w:rsid w:val="00B542E4"/>
    <w:rsid w:val="00B65DAE"/>
    <w:rsid w:val="00B77D28"/>
    <w:rsid w:val="00B816A3"/>
    <w:rsid w:val="00B87EF5"/>
    <w:rsid w:val="00B9167F"/>
    <w:rsid w:val="00B9792E"/>
    <w:rsid w:val="00BA6D77"/>
    <w:rsid w:val="00BB0B34"/>
    <w:rsid w:val="00BB6090"/>
    <w:rsid w:val="00BE141A"/>
    <w:rsid w:val="00C06C4E"/>
    <w:rsid w:val="00C41661"/>
    <w:rsid w:val="00C43BD2"/>
    <w:rsid w:val="00C53B82"/>
    <w:rsid w:val="00C710C8"/>
    <w:rsid w:val="00CA3BE5"/>
    <w:rsid w:val="00CD2C98"/>
    <w:rsid w:val="00CD778C"/>
    <w:rsid w:val="00D330A6"/>
    <w:rsid w:val="00D54286"/>
    <w:rsid w:val="00DB37A5"/>
    <w:rsid w:val="00DC5156"/>
    <w:rsid w:val="00DD3AEB"/>
    <w:rsid w:val="00E34483"/>
    <w:rsid w:val="00E441BE"/>
    <w:rsid w:val="00E53299"/>
    <w:rsid w:val="00E75C68"/>
    <w:rsid w:val="00E85C73"/>
    <w:rsid w:val="00EC75DD"/>
    <w:rsid w:val="00F36128"/>
    <w:rsid w:val="00F6074C"/>
    <w:rsid w:val="00FA236C"/>
    <w:rsid w:val="00FA7DAE"/>
    <w:rsid w:val="00FB5DC0"/>
    <w:rsid w:val="00FB6E2B"/>
    <w:rsid w:val="00FC0AA2"/>
    <w:rsid w:val="01BC8D4E"/>
    <w:rsid w:val="024AA183"/>
    <w:rsid w:val="024D6C77"/>
    <w:rsid w:val="0275D76D"/>
    <w:rsid w:val="02F1580B"/>
    <w:rsid w:val="04FF0A14"/>
    <w:rsid w:val="0501F36D"/>
    <w:rsid w:val="0542D213"/>
    <w:rsid w:val="0688B4AB"/>
    <w:rsid w:val="06F6D133"/>
    <w:rsid w:val="076D8D7F"/>
    <w:rsid w:val="07C26AAC"/>
    <w:rsid w:val="09335D90"/>
    <w:rsid w:val="0A003D7F"/>
    <w:rsid w:val="0A6033E8"/>
    <w:rsid w:val="0B6D5478"/>
    <w:rsid w:val="0B773283"/>
    <w:rsid w:val="0B8E293D"/>
    <w:rsid w:val="0BD6362E"/>
    <w:rsid w:val="0C9C5911"/>
    <w:rsid w:val="0CD70CBB"/>
    <w:rsid w:val="0CEBCEE8"/>
    <w:rsid w:val="0D8F53DD"/>
    <w:rsid w:val="0DEADF42"/>
    <w:rsid w:val="0E73A19A"/>
    <w:rsid w:val="0ECBA6C1"/>
    <w:rsid w:val="0EEEF9C7"/>
    <w:rsid w:val="0F528EAE"/>
    <w:rsid w:val="103E80BE"/>
    <w:rsid w:val="118102CB"/>
    <w:rsid w:val="11FF80E2"/>
    <w:rsid w:val="125A0AF6"/>
    <w:rsid w:val="127C7152"/>
    <w:rsid w:val="1304DF78"/>
    <w:rsid w:val="13E63176"/>
    <w:rsid w:val="140AA049"/>
    <w:rsid w:val="1432E82A"/>
    <w:rsid w:val="1561CAD9"/>
    <w:rsid w:val="15754C6C"/>
    <w:rsid w:val="15AAEBF8"/>
    <w:rsid w:val="15CEB88B"/>
    <w:rsid w:val="162F1E1A"/>
    <w:rsid w:val="167D8125"/>
    <w:rsid w:val="169498DA"/>
    <w:rsid w:val="172C5093"/>
    <w:rsid w:val="17B18714"/>
    <w:rsid w:val="19781339"/>
    <w:rsid w:val="1A2F9532"/>
    <w:rsid w:val="1A651CDB"/>
    <w:rsid w:val="1A8B4871"/>
    <w:rsid w:val="1C188B18"/>
    <w:rsid w:val="1C4389B5"/>
    <w:rsid w:val="1CECF624"/>
    <w:rsid w:val="1D6BF548"/>
    <w:rsid w:val="1DBE16AC"/>
    <w:rsid w:val="1E2A045C"/>
    <w:rsid w:val="20CA789B"/>
    <w:rsid w:val="20D45E5F"/>
    <w:rsid w:val="20E5FEA6"/>
    <w:rsid w:val="213183FB"/>
    <w:rsid w:val="21966300"/>
    <w:rsid w:val="21C033CC"/>
    <w:rsid w:val="236167AF"/>
    <w:rsid w:val="2385393A"/>
    <w:rsid w:val="23F2D6C4"/>
    <w:rsid w:val="245A08AF"/>
    <w:rsid w:val="248AD876"/>
    <w:rsid w:val="24B85555"/>
    <w:rsid w:val="25034C54"/>
    <w:rsid w:val="25D26F24"/>
    <w:rsid w:val="25ECC9DB"/>
    <w:rsid w:val="2822FAC6"/>
    <w:rsid w:val="2949D22A"/>
    <w:rsid w:val="2A0376B5"/>
    <w:rsid w:val="2B16A432"/>
    <w:rsid w:val="2D4BA50B"/>
    <w:rsid w:val="2F611A2E"/>
    <w:rsid w:val="31C3F139"/>
    <w:rsid w:val="31DE451C"/>
    <w:rsid w:val="321E8029"/>
    <w:rsid w:val="328E971D"/>
    <w:rsid w:val="32B1B4D3"/>
    <w:rsid w:val="32B651B2"/>
    <w:rsid w:val="34FCBD81"/>
    <w:rsid w:val="360AD531"/>
    <w:rsid w:val="36342B94"/>
    <w:rsid w:val="373EEA53"/>
    <w:rsid w:val="3750B7C9"/>
    <w:rsid w:val="38171751"/>
    <w:rsid w:val="3A6E54E6"/>
    <w:rsid w:val="3AC16793"/>
    <w:rsid w:val="3B678DCF"/>
    <w:rsid w:val="3BBBA130"/>
    <w:rsid w:val="3CA2A6B1"/>
    <w:rsid w:val="3E23F1B6"/>
    <w:rsid w:val="3E64F3E0"/>
    <w:rsid w:val="3E72BFEF"/>
    <w:rsid w:val="3EA8BBDF"/>
    <w:rsid w:val="3EBCC824"/>
    <w:rsid w:val="401F9EFE"/>
    <w:rsid w:val="403F7028"/>
    <w:rsid w:val="408D246D"/>
    <w:rsid w:val="412B4595"/>
    <w:rsid w:val="428E0291"/>
    <w:rsid w:val="433DFD85"/>
    <w:rsid w:val="43D47637"/>
    <w:rsid w:val="471B5992"/>
    <w:rsid w:val="473B81AE"/>
    <w:rsid w:val="476173B4"/>
    <w:rsid w:val="48486799"/>
    <w:rsid w:val="48818C46"/>
    <w:rsid w:val="48A21769"/>
    <w:rsid w:val="48FAB91A"/>
    <w:rsid w:val="49D6A4E7"/>
    <w:rsid w:val="4A9B697A"/>
    <w:rsid w:val="4AB436B7"/>
    <w:rsid w:val="4AB86F41"/>
    <w:rsid w:val="4BBE4006"/>
    <w:rsid w:val="4BCAE167"/>
    <w:rsid w:val="4D9EA259"/>
    <w:rsid w:val="4DA984EF"/>
    <w:rsid w:val="4DC759FD"/>
    <w:rsid w:val="4E11EB63"/>
    <w:rsid w:val="4EC08513"/>
    <w:rsid w:val="4FD95880"/>
    <w:rsid w:val="51478E7B"/>
    <w:rsid w:val="52BF22C0"/>
    <w:rsid w:val="52E52746"/>
    <w:rsid w:val="53BB973E"/>
    <w:rsid w:val="54613731"/>
    <w:rsid w:val="5480F7A7"/>
    <w:rsid w:val="55675337"/>
    <w:rsid w:val="56277CA2"/>
    <w:rsid w:val="56F4D89A"/>
    <w:rsid w:val="57FA87C5"/>
    <w:rsid w:val="5865ACB0"/>
    <w:rsid w:val="58946559"/>
    <w:rsid w:val="5926CEA7"/>
    <w:rsid w:val="59405C85"/>
    <w:rsid w:val="5954A417"/>
    <w:rsid w:val="5965F197"/>
    <w:rsid w:val="5ADC2CE6"/>
    <w:rsid w:val="5BB66BB1"/>
    <w:rsid w:val="5D67D67C"/>
    <w:rsid w:val="5DE29632"/>
    <w:rsid w:val="5E4C9A5B"/>
    <w:rsid w:val="5F1BD220"/>
    <w:rsid w:val="5F3139D1"/>
    <w:rsid w:val="6002AB7F"/>
    <w:rsid w:val="6010CC80"/>
    <w:rsid w:val="60E01432"/>
    <w:rsid w:val="6118E1F9"/>
    <w:rsid w:val="6118FA81"/>
    <w:rsid w:val="62C3CB29"/>
    <w:rsid w:val="62FB6568"/>
    <w:rsid w:val="6315A32B"/>
    <w:rsid w:val="64079424"/>
    <w:rsid w:val="6444DFAF"/>
    <w:rsid w:val="6551DB58"/>
    <w:rsid w:val="6571B607"/>
    <w:rsid w:val="65943897"/>
    <w:rsid w:val="65DFD2A5"/>
    <w:rsid w:val="65E9D2E5"/>
    <w:rsid w:val="65EC2952"/>
    <w:rsid w:val="66C7BCDE"/>
    <w:rsid w:val="66CA6737"/>
    <w:rsid w:val="66FF6233"/>
    <w:rsid w:val="672FC8AB"/>
    <w:rsid w:val="67964785"/>
    <w:rsid w:val="67A7E7A3"/>
    <w:rsid w:val="67E90F15"/>
    <w:rsid w:val="68430429"/>
    <w:rsid w:val="69229FB3"/>
    <w:rsid w:val="69402960"/>
    <w:rsid w:val="69679213"/>
    <w:rsid w:val="6B070A78"/>
    <w:rsid w:val="6B5ECC4A"/>
    <w:rsid w:val="6CBDC2CC"/>
    <w:rsid w:val="6CD8788B"/>
    <w:rsid w:val="6CE2FAD4"/>
    <w:rsid w:val="6D1B4991"/>
    <w:rsid w:val="6DBD3A3D"/>
    <w:rsid w:val="6E34F392"/>
    <w:rsid w:val="70622CEC"/>
    <w:rsid w:val="7092273C"/>
    <w:rsid w:val="712EECA8"/>
    <w:rsid w:val="71695A3B"/>
    <w:rsid w:val="7259CB58"/>
    <w:rsid w:val="73B2F60B"/>
    <w:rsid w:val="763AD132"/>
    <w:rsid w:val="77B889DE"/>
    <w:rsid w:val="77C1CD47"/>
    <w:rsid w:val="7854544F"/>
    <w:rsid w:val="786AC944"/>
    <w:rsid w:val="78C79D59"/>
    <w:rsid w:val="79EF75C9"/>
    <w:rsid w:val="7AA70079"/>
    <w:rsid w:val="7AEDFBEC"/>
    <w:rsid w:val="7D5128D7"/>
    <w:rsid w:val="7D64F1FD"/>
    <w:rsid w:val="7D7C76F4"/>
    <w:rsid w:val="7DF0AAE8"/>
    <w:rsid w:val="7E559049"/>
    <w:rsid w:val="7E797721"/>
    <w:rsid w:val="7EECB8EB"/>
    <w:rsid w:val="7F058B3D"/>
    <w:rsid w:val="7F1E72DD"/>
    <w:rsid w:val="7F204854"/>
    <w:rsid w:val="7FF1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NoSpacing">
    <w:name w:val="No Spacing"/>
    <w:uiPriority w:val="1"/>
    <w:qFormat/>
    <w:rsid w:val="00664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6670">
      <w:bodyDiv w:val="1"/>
      <w:marLeft w:val="0"/>
      <w:marRight w:val="0"/>
      <w:marTop w:val="0"/>
      <w:marBottom w:val="0"/>
      <w:divBdr>
        <w:top w:val="none" w:sz="0" w:space="0" w:color="auto"/>
        <w:left w:val="none" w:sz="0" w:space="0" w:color="auto"/>
        <w:bottom w:val="none" w:sz="0" w:space="0" w:color="auto"/>
        <w:right w:val="none" w:sz="0" w:space="0" w:color="auto"/>
      </w:divBdr>
    </w:div>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445009105">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 w:id="19563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pp.smartsheet.com/b/publish?EQBCT=1352b22953ab452ba076f6cded83cc36" TargetMode="External"/><Relationship Id="rId17" Type="http://schemas.openxmlformats.org/officeDocument/2006/relationships/chart" Target="charts/chart5.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hyperlink" Target="mailto:bruce.sheppard@state.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rgbClr val="1B75BC"/>
                </a:solidFill>
              </a:rPr>
              <a:t>Oregon's Indicator B7 (Preschool Outcomes) Data</a:t>
            </a:r>
          </a:p>
          <a:p>
            <a:pPr>
              <a:defRPr/>
            </a:pPr>
            <a:r>
              <a:rPr lang="en-US" sz="600" b="0">
                <a:solidFill>
                  <a:srgbClr val="1B75BC"/>
                </a:solidFill>
              </a:rPr>
              <a:t>Percent of preschool children who substantially increased their positive social-emotional skills (including social relationships)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B7A1!$A$2</c:f>
              <c:strCache>
                <c:ptCount val="1"/>
                <c:pt idx="0">
                  <c:v>Data</c:v>
                </c:pt>
              </c:strCache>
            </c:strRef>
          </c:tx>
          <c:spPr>
            <a:ln w="28575" cap="rnd">
              <a:solidFill>
                <a:srgbClr val="1B75BC"/>
              </a:solidFill>
              <a:round/>
            </a:ln>
            <a:effectLst/>
          </c:spPr>
          <c:marker>
            <c:symbol val="none"/>
          </c:marker>
          <c:dLbls>
            <c:dLbl>
              <c:idx val="0"/>
              <c:layout>
                <c:manualLayout>
                  <c:x val="-4.6479546839114906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E8D-45E4-81A8-1990D7571FB1}"/>
                </c:ext>
              </c:extLst>
            </c:dLbl>
            <c:dLbl>
              <c:idx val="2"/>
              <c:layout>
                <c:manualLayout>
                  <c:x val="-9.5571161712893996E-2"/>
                  <c:y val="-5.9452880889888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E8D-45E4-81A8-1990D7571F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B7A1!$B$1:$G$1</c:f>
              <c:numCache>
                <c:formatCode>General</c:formatCode>
                <c:ptCount val="6"/>
                <c:pt idx="0">
                  <c:v>2014</c:v>
                </c:pt>
                <c:pt idx="1">
                  <c:v>2015</c:v>
                </c:pt>
                <c:pt idx="2">
                  <c:v>2016</c:v>
                </c:pt>
                <c:pt idx="3">
                  <c:v>2017</c:v>
                </c:pt>
                <c:pt idx="4">
                  <c:v>2018</c:v>
                </c:pt>
                <c:pt idx="5">
                  <c:v>2019</c:v>
                </c:pt>
              </c:numCache>
            </c:numRef>
          </c:cat>
          <c:val>
            <c:numRef>
              <c:f>B7A1!$B$2:$G$2</c:f>
              <c:numCache>
                <c:formatCode>0.00%</c:formatCode>
                <c:ptCount val="6"/>
                <c:pt idx="0">
                  <c:v>0.73960000000000004</c:v>
                </c:pt>
                <c:pt idx="1">
                  <c:v>0.75619999999999998</c:v>
                </c:pt>
                <c:pt idx="2">
                  <c:v>0.76170000000000004</c:v>
                </c:pt>
                <c:pt idx="3">
                  <c:v>0.79610000000000003</c:v>
                </c:pt>
                <c:pt idx="4">
                  <c:v>0.77900000000000003</c:v>
                </c:pt>
                <c:pt idx="5">
                  <c:v>0.77100000000000002</c:v>
                </c:pt>
              </c:numCache>
            </c:numRef>
          </c:val>
          <c:smooth val="0"/>
          <c:extLst>
            <c:ext xmlns:c16="http://schemas.microsoft.com/office/drawing/2014/chart" uri="{C3380CC4-5D6E-409C-BE32-E72D297353CC}">
              <c16:uniqueId val="{00000002-1E8D-45E4-81A8-1990D7571FB1}"/>
            </c:ext>
          </c:extLst>
        </c:ser>
        <c:ser>
          <c:idx val="1"/>
          <c:order val="1"/>
          <c:tx>
            <c:strRef>
              <c:f>B7A1!$A$3</c:f>
              <c:strCache>
                <c:ptCount val="1"/>
                <c:pt idx="0">
                  <c:v>Target &gt;=</c:v>
                </c:pt>
              </c:strCache>
            </c:strRef>
          </c:tx>
          <c:spPr>
            <a:ln w="28575" cap="rnd">
              <a:solidFill>
                <a:srgbClr val="408740"/>
              </a:solidFill>
              <a:round/>
            </a:ln>
            <a:effectLst/>
          </c:spPr>
          <c:marker>
            <c:symbol val="none"/>
          </c:marker>
          <c:dLbls>
            <c:dLbl>
              <c:idx val="1"/>
              <c:layout>
                <c:manualLayout>
                  <c:x val="-4.4456279584309387E-2"/>
                  <c:y val="3.64882314873625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E8D-45E4-81A8-1990D7571FB1}"/>
                </c:ext>
              </c:extLst>
            </c:dLbl>
            <c:dLbl>
              <c:idx val="2"/>
              <c:layout>
                <c:manualLayout>
                  <c:x val="-4.4456279584309387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E8D-45E4-81A8-1990D7571FB1}"/>
                </c:ext>
              </c:extLst>
            </c:dLbl>
            <c:dLbl>
              <c:idx val="3"/>
              <c:layout>
                <c:manualLayout>
                  <c:x val="-4.6479546839114885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E8D-45E4-81A8-1990D7571FB1}"/>
                </c:ext>
              </c:extLst>
            </c:dLbl>
            <c:dLbl>
              <c:idx val="4"/>
              <c:layout>
                <c:manualLayout>
                  <c:x val="-4.8502814093920384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E8D-45E4-81A8-1990D7571FB1}"/>
                </c:ext>
              </c:extLst>
            </c:dLbl>
            <c:dLbl>
              <c:idx val="5"/>
              <c:layout>
                <c:manualLayout>
                  <c:x val="-5.4572615858336879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E8D-45E4-81A8-1990D7571FB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B7A1!$B$1:$G$1</c:f>
              <c:numCache>
                <c:formatCode>General</c:formatCode>
                <c:ptCount val="6"/>
                <c:pt idx="0">
                  <c:v>2014</c:v>
                </c:pt>
                <c:pt idx="1">
                  <c:v>2015</c:v>
                </c:pt>
                <c:pt idx="2">
                  <c:v>2016</c:v>
                </c:pt>
                <c:pt idx="3">
                  <c:v>2017</c:v>
                </c:pt>
                <c:pt idx="4">
                  <c:v>2018</c:v>
                </c:pt>
                <c:pt idx="5">
                  <c:v>2019</c:v>
                </c:pt>
              </c:numCache>
            </c:numRef>
          </c:cat>
          <c:val>
            <c:numRef>
              <c:f>B7A1!$B$3:$G$3</c:f>
              <c:numCache>
                <c:formatCode>0.00%</c:formatCode>
                <c:ptCount val="6"/>
                <c:pt idx="0">
                  <c:v>0.748</c:v>
                </c:pt>
                <c:pt idx="1">
                  <c:v>0.75</c:v>
                </c:pt>
                <c:pt idx="2">
                  <c:v>0.76100000000000001</c:v>
                </c:pt>
                <c:pt idx="3">
                  <c:v>0.76100000000000001</c:v>
                </c:pt>
                <c:pt idx="4">
                  <c:v>0.76100000000000001</c:v>
                </c:pt>
                <c:pt idx="5">
                  <c:v>0.76100000000000001</c:v>
                </c:pt>
              </c:numCache>
            </c:numRef>
          </c:val>
          <c:smooth val="0"/>
          <c:extLst>
            <c:ext xmlns:c16="http://schemas.microsoft.com/office/drawing/2014/chart" uri="{C3380CC4-5D6E-409C-BE32-E72D297353CC}">
              <c16:uniqueId val="{00000008-1E8D-45E4-81A8-1990D7571FB1}"/>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5000000000000009"/>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rgbClr val="1B75BC"/>
                </a:solidFill>
              </a:rPr>
              <a:t>Oregon's Indicator B7 (Preschool Outcomes) Data</a:t>
            </a:r>
          </a:p>
          <a:p>
            <a:pPr>
              <a:defRPr/>
            </a:pPr>
            <a:r>
              <a:rPr lang="en-US" sz="600" b="0">
                <a:solidFill>
                  <a:srgbClr val="1B75BC"/>
                </a:solidFill>
              </a:rPr>
              <a:t>Percent of preschool children who were functioning within age expectations for positive social-emotional skills (including social relationships)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B7A2!$A$2</c:f>
              <c:strCache>
                <c:ptCount val="1"/>
                <c:pt idx="0">
                  <c:v>Data</c:v>
                </c:pt>
              </c:strCache>
            </c:strRef>
          </c:tx>
          <c:spPr>
            <a:ln w="28575" cap="rnd">
              <a:solidFill>
                <a:srgbClr val="1B75BC"/>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AD2-458C-8EE5-7445BC5E8AA6}"/>
                </c:ext>
              </c:extLst>
            </c:dLbl>
            <c:dLbl>
              <c:idx val="2"/>
              <c:layout>
                <c:manualLayout>
                  <c:x val="-4.3577829798302242E-2"/>
                  <c:y val="4.75956130483689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AD2-458C-8EE5-7445BC5E8AA6}"/>
                </c:ext>
              </c:extLst>
            </c:dLbl>
            <c:dLbl>
              <c:idx val="3"/>
              <c:layout>
                <c:manualLayout>
                  <c:x val="-8.2479428247144854E-2"/>
                  <c:y val="-2.57639670041244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AD2-458C-8EE5-7445BC5E8A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B7A2!$B$1:$G$1</c:f>
              <c:numCache>
                <c:formatCode>General</c:formatCode>
                <c:ptCount val="6"/>
                <c:pt idx="0">
                  <c:v>2014</c:v>
                </c:pt>
                <c:pt idx="1">
                  <c:v>2015</c:v>
                </c:pt>
                <c:pt idx="2">
                  <c:v>2016</c:v>
                </c:pt>
                <c:pt idx="3">
                  <c:v>2017</c:v>
                </c:pt>
                <c:pt idx="4">
                  <c:v>2018</c:v>
                </c:pt>
                <c:pt idx="5">
                  <c:v>2019</c:v>
                </c:pt>
              </c:numCache>
            </c:numRef>
          </c:cat>
          <c:val>
            <c:numRef>
              <c:f>B7A2!$B$2:$G$2</c:f>
              <c:numCache>
                <c:formatCode>0.00%</c:formatCode>
                <c:ptCount val="6"/>
                <c:pt idx="0">
                  <c:v>0.2979</c:v>
                </c:pt>
                <c:pt idx="1">
                  <c:v>0.60199999999999998</c:v>
                </c:pt>
                <c:pt idx="2">
                  <c:v>0.58530000000000004</c:v>
                </c:pt>
                <c:pt idx="3">
                  <c:v>0.56210000000000004</c:v>
                </c:pt>
                <c:pt idx="4">
                  <c:v>0.54690000000000005</c:v>
                </c:pt>
                <c:pt idx="5">
                  <c:v>0.5212</c:v>
                </c:pt>
              </c:numCache>
            </c:numRef>
          </c:val>
          <c:smooth val="0"/>
          <c:extLst>
            <c:ext xmlns:c16="http://schemas.microsoft.com/office/drawing/2014/chart" uri="{C3380CC4-5D6E-409C-BE32-E72D297353CC}">
              <c16:uniqueId val="{00000002-3AD2-458C-8EE5-7445BC5E8AA6}"/>
            </c:ext>
          </c:extLst>
        </c:ser>
        <c:ser>
          <c:idx val="1"/>
          <c:order val="1"/>
          <c:tx>
            <c:strRef>
              <c:f>B7A2!$A$3</c:f>
              <c:strCache>
                <c:ptCount val="1"/>
                <c:pt idx="0">
                  <c:v>Target &gt;=</c:v>
                </c:pt>
              </c:strCache>
            </c:strRef>
          </c:tx>
          <c:spPr>
            <a:ln w="28575" cap="rnd">
              <a:solidFill>
                <a:srgbClr val="408740"/>
              </a:solidFill>
              <a:round/>
            </a:ln>
            <a:effectLst/>
          </c:spPr>
          <c:marker>
            <c:symbol val="none"/>
          </c:marker>
          <c:dLbls>
            <c:dLbl>
              <c:idx val="0"/>
              <c:layout>
                <c:manualLayout>
                  <c:x val="-9.0672365278664527E-2"/>
                  <c:y val="-9.2015373078365201E-2"/>
                </c:manualLayout>
              </c:layout>
              <c:tx>
                <c:rich>
                  <a:bodyPr/>
                  <a:lstStyle/>
                  <a:p>
                    <a:fld id="{533F007C-164A-4277-941A-A18F5D3F1DDB}" type="VALUE">
                      <a:rPr lang="en-US" sz="800"/>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3AD2-458C-8EE5-7445BC5E8AA6}"/>
                </c:ext>
              </c:extLst>
            </c:dLbl>
            <c:dLbl>
              <c:idx val="1"/>
              <c:layout>
                <c:manualLayout>
                  <c:x val="-4.4456279584309422E-2"/>
                  <c:y val="3.33174042959464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AD2-458C-8EE5-7445BC5E8AA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B7A2!$B$1:$G$1</c:f>
              <c:numCache>
                <c:formatCode>General</c:formatCode>
                <c:ptCount val="6"/>
                <c:pt idx="0">
                  <c:v>2014</c:v>
                </c:pt>
                <c:pt idx="1">
                  <c:v>2015</c:v>
                </c:pt>
                <c:pt idx="2">
                  <c:v>2016</c:v>
                </c:pt>
                <c:pt idx="3">
                  <c:v>2017</c:v>
                </c:pt>
                <c:pt idx="4">
                  <c:v>2018</c:v>
                </c:pt>
                <c:pt idx="5">
                  <c:v>2019</c:v>
                </c:pt>
              </c:numCache>
            </c:numRef>
          </c:cat>
          <c:val>
            <c:numRef>
              <c:f>B7A2!$B$3:$G$3</c:f>
              <c:numCache>
                <c:formatCode>0.00%</c:formatCode>
                <c:ptCount val="6"/>
                <c:pt idx="0">
                  <c:v>0.32800000000000001</c:v>
                </c:pt>
                <c:pt idx="1">
                  <c:v>0.33</c:v>
                </c:pt>
                <c:pt idx="2">
                  <c:v>0.60499999999999998</c:v>
                </c:pt>
                <c:pt idx="3">
                  <c:v>0.60499999999999998</c:v>
                </c:pt>
                <c:pt idx="4">
                  <c:v>0.60499999999999998</c:v>
                </c:pt>
                <c:pt idx="5">
                  <c:v>0.60499999999999998</c:v>
                </c:pt>
              </c:numCache>
            </c:numRef>
          </c:val>
          <c:smooth val="0"/>
          <c:extLst>
            <c:ext xmlns:c16="http://schemas.microsoft.com/office/drawing/2014/chart" uri="{C3380CC4-5D6E-409C-BE32-E72D297353CC}">
              <c16:uniqueId val="{00000005-3AD2-458C-8EE5-7445BC5E8AA6}"/>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5"/>
        </c:scaling>
        <c:delete val="0"/>
        <c:axPos val="l"/>
        <c:majorGridlines>
          <c:spPr>
            <a:ln w="9525" cap="flat" cmpd="sng" algn="ctr">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rgbClr val="1B75BC"/>
                </a:solidFill>
              </a:rPr>
              <a:t>Oregon's Indicator B7 (Preschool Outcomes) Data</a:t>
            </a:r>
          </a:p>
          <a:p>
            <a:pPr>
              <a:defRPr/>
            </a:pPr>
            <a:r>
              <a:rPr lang="en-US" sz="600" b="0">
                <a:solidFill>
                  <a:srgbClr val="1B75BC"/>
                </a:solidFill>
              </a:rPr>
              <a:t>Percent of preschool children who substantially increased their acquisition and use of knowledge and skills (including early language/communication and early literacy)</a:t>
            </a:r>
            <a:endParaRPr lang="en-US" sz="1000" b="0">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B7B1!$A$2</c:f>
              <c:strCache>
                <c:ptCount val="1"/>
                <c:pt idx="0">
                  <c:v>Data</c:v>
                </c:pt>
              </c:strCache>
            </c:strRef>
          </c:tx>
          <c:spPr>
            <a:ln w="28575" cap="rnd">
              <a:solidFill>
                <a:srgbClr val="1B75BC"/>
              </a:solidFill>
              <a:round/>
            </a:ln>
            <a:effectLst/>
          </c:spPr>
          <c:marker>
            <c:symbol val="none"/>
          </c:marker>
          <c:dLbls>
            <c:dLbl>
              <c:idx val="0"/>
              <c:layout>
                <c:manualLayout>
                  <c:x val="-6.6712219387169869E-2"/>
                  <c:y val="-3.96116211066236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E98-44EF-A35E-10D75679FE2F}"/>
                </c:ext>
              </c:extLst>
            </c:dLbl>
            <c:dLbl>
              <c:idx val="2"/>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E98-44EF-A35E-10D75679FE2F}"/>
                </c:ext>
              </c:extLst>
            </c:dLbl>
            <c:dLbl>
              <c:idx val="3"/>
              <c:layout>
                <c:manualLayout>
                  <c:x val="-4.4456279584309311E-2"/>
                  <c:y val="4.28298858701948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E98-44EF-A35E-10D75679FE2F}"/>
                </c:ext>
              </c:extLst>
            </c:dLbl>
            <c:dLbl>
              <c:idx val="4"/>
              <c:layout>
                <c:manualLayout>
                  <c:x val="-5.0526081348725882E-2"/>
                  <c:y val="4.60007130616109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E98-44EF-A35E-10D75679FE2F}"/>
                </c:ext>
              </c:extLst>
            </c:dLbl>
            <c:dLbl>
              <c:idx val="5"/>
              <c:layout>
                <c:manualLayout>
                  <c:x val="-4.4456279584309533E-2"/>
                  <c:y val="3.64882314873626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E98-44EF-A35E-10D75679FE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B7B1!$B$1:$G$1</c:f>
              <c:numCache>
                <c:formatCode>General</c:formatCode>
                <c:ptCount val="6"/>
                <c:pt idx="0">
                  <c:v>2014</c:v>
                </c:pt>
                <c:pt idx="1">
                  <c:v>2015</c:v>
                </c:pt>
                <c:pt idx="2">
                  <c:v>2016</c:v>
                </c:pt>
                <c:pt idx="3">
                  <c:v>2017</c:v>
                </c:pt>
                <c:pt idx="4">
                  <c:v>2018</c:v>
                </c:pt>
                <c:pt idx="5">
                  <c:v>2019</c:v>
                </c:pt>
              </c:numCache>
            </c:numRef>
          </c:cat>
          <c:val>
            <c:numRef>
              <c:f>B7B1!$B$2:$G$2</c:f>
              <c:numCache>
                <c:formatCode>0.00%</c:formatCode>
                <c:ptCount val="6"/>
                <c:pt idx="0">
                  <c:v>0.53400000000000003</c:v>
                </c:pt>
                <c:pt idx="1">
                  <c:v>0.73660000000000003</c:v>
                </c:pt>
                <c:pt idx="2">
                  <c:v>0.71450000000000002</c:v>
                </c:pt>
                <c:pt idx="3">
                  <c:v>0.74180000000000001</c:v>
                </c:pt>
                <c:pt idx="4">
                  <c:v>0.74060000000000004</c:v>
                </c:pt>
                <c:pt idx="5">
                  <c:v>0.71989999999999998</c:v>
                </c:pt>
              </c:numCache>
            </c:numRef>
          </c:val>
          <c:smooth val="0"/>
          <c:extLst>
            <c:ext xmlns:c16="http://schemas.microsoft.com/office/drawing/2014/chart" uri="{C3380CC4-5D6E-409C-BE32-E72D297353CC}">
              <c16:uniqueId val="{00000005-4E98-44EF-A35E-10D75679FE2F}"/>
            </c:ext>
          </c:extLst>
        </c:ser>
        <c:ser>
          <c:idx val="1"/>
          <c:order val="1"/>
          <c:tx>
            <c:strRef>
              <c:f>B7B1!$A$3</c:f>
              <c:strCache>
                <c:ptCount val="1"/>
                <c:pt idx="0">
                  <c:v>Target &gt;=</c:v>
                </c:pt>
              </c:strCache>
            </c:strRef>
          </c:tx>
          <c:spPr>
            <a:ln w="28575" cap="rnd">
              <a:solidFill>
                <a:srgbClr val="408740"/>
              </a:solidFill>
              <a:round/>
            </a:ln>
            <a:effectLst/>
          </c:spPr>
          <c:marker>
            <c:symbol val="none"/>
          </c:marker>
          <c:dLbls>
            <c:dLbl>
              <c:idx val="1"/>
              <c:layout>
                <c:manualLayout>
                  <c:x val="-4.187356647986569E-2"/>
                  <c:y val="1.91147981502312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E98-44EF-A35E-10D75679FE2F}"/>
                </c:ext>
              </c:extLst>
            </c:dLbl>
            <c:dLbl>
              <c:idx val="3"/>
              <c:layout>
                <c:manualLayout>
                  <c:x val="-4.0409745074698314E-2"/>
                  <c:y val="-3.96116211066237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E98-44EF-A35E-10D75679FE2F}"/>
                </c:ext>
              </c:extLst>
            </c:dLbl>
            <c:dLbl>
              <c:idx val="4"/>
              <c:layout>
                <c:manualLayout>
                  <c:x val="-6.1494466907852735E-2"/>
                  <c:y val="-6.34211348581427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E98-44EF-A35E-10D75679FE2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B7B1!$B$1:$G$1</c:f>
              <c:numCache>
                <c:formatCode>General</c:formatCode>
                <c:ptCount val="6"/>
                <c:pt idx="0">
                  <c:v>2014</c:v>
                </c:pt>
                <c:pt idx="1">
                  <c:v>2015</c:v>
                </c:pt>
                <c:pt idx="2">
                  <c:v>2016</c:v>
                </c:pt>
                <c:pt idx="3">
                  <c:v>2017</c:v>
                </c:pt>
                <c:pt idx="4">
                  <c:v>2018</c:v>
                </c:pt>
                <c:pt idx="5">
                  <c:v>2019</c:v>
                </c:pt>
              </c:numCache>
            </c:numRef>
          </c:cat>
          <c:val>
            <c:numRef>
              <c:f>B7B1!$B$3:$G$3</c:f>
              <c:numCache>
                <c:formatCode>0.00%</c:formatCode>
                <c:ptCount val="6"/>
                <c:pt idx="0">
                  <c:v>0.61</c:v>
                </c:pt>
                <c:pt idx="1">
                  <c:v>0.61499999999999999</c:v>
                </c:pt>
                <c:pt idx="2">
                  <c:v>0.74199999999999999</c:v>
                </c:pt>
                <c:pt idx="3">
                  <c:v>0.74199999999999999</c:v>
                </c:pt>
                <c:pt idx="4">
                  <c:v>0.74199999999999999</c:v>
                </c:pt>
                <c:pt idx="5">
                  <c:v>0.74199999999999999</c:v>
                </c:pt>
              </c:numCache>
            </c:numRef>
          </c:val>
          <c:smooth val="0"/>
          <c:extLst>
            <c:ext xmlns:c16="http://schemas.microsoft.com/office/drawing/2014/chart" uri="{C3380CC4-5D6E-409C-BE32-E72D297353CC}">
              <c16:uniqueId val="{00000009-4E98-44EF-A35E-10D75679FE2F}"/>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
          <c:min val="0.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B7 (Preschool Outcomes) Data</a:t>
            </a:r>
          </a:p>
          <a:p>
            <a:pPr>
              <a:defRPr/>
            </a:pPr>
            <a:r>
              <a:rPr lang="en-US" sz="1000" b="0">
                <a:solidFill>
                  <a:srgbClr val="1B75BC"/>
                </a:solidFill>
              </a:rPr>
              <a:t>Percent of preschool children who were functioning within age expectations for acquisition and use of knowledge and skills (including early language/communication and early literacy)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B7B2!$A$2</c:f>
              <c:strCache>
                <c:ptCount val="1"/>
                <c:pt idx="0">
                  <c:v>Data</c:v>
                </c:pt>
              </c:strCache>
            </c:strRef>
          </c:tx>
          <c:spPr>
            <a:ln w="28575" cap="rnd">
              <a:solidFill>
                <a:srgbClr val="1B75BC"/>
              </a:solidFill>
              <a:round/>
            </a:ln>
            <a:effectLst/>
          </c:spPr>
          <c:marker>
            <c:symbol val="none"/>
          </c:marker>
          <c:dLbls>
            <c:dLbl>
              <c:idx val="0"/>
              <c:layout>
                <c:manualLayout>
                  <c:x val="-9.1257891750017764E-2"/>
                  <c:y val="-7.1357642794650664E-2"/>
                </c:manualLayout>
              </c:layout>
              <c:tx>
                <c:rich>
                  <a:bodyPr/>
                  <a:lstStyle/>
                  <a:p>
                    <a:fld id="{1FD98EB6-FB8D-4483-AB61-A35D2DCA2BD6}" type="VALUE">
                      <a:rPr lang="en-US" sz="800"/>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60C9-4CA5-B106-676203A6B1C2}"/>
                </c:ext>
              </c:extLst>
            </c:dLbl>
            <c:dLbl>
              <c:idx val="2"/>
              <c:layout>
                <c:manualLayout>
                  <c:x val="-3.0293408800670895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0C9-4CA5-B106-676203A6B1C2}"/>
                </c:ext>
              </c:extLst>
            </c:dLbl>
            <c:dLbl>
              <c:idx val="3"/>
              <c:layout>
                <c:manualLayout>
                  <c:x val="-4.4456267290912961E-2"/>
                  <c:y val="4.52977752780902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0C9-4CA5-B106-676203A6B1C2}"/>
                </c:ext>
              </c:extLst>
            </c:dLbl>
            <c:dLbl>
              <c:idx val="4"/>
              <c:layout>
                <c:manualLayout>
                  <c:x val="-5.2449398217114751E-2"/>
                  <c:y val="3.77280964879389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0C9-4CA5-B106-676203A6B1C2}"/>
                </c:ext>
              </c:extLst>
            </c:dLbl>
            <c:dLbl>
              <c:idx val="5"/>
              <c:layout>
                <c:manualLayout>
                  <c:x val="-3.8060107351446069E-2"/>
                  <c:y val="-2.97322209723784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0C9-4CA5-B106-676203A6B1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B7B2!$B$1:$G$1</c:f>
              <c:numCache>
                <c:formatCode>General</c:formatCode>
                <c:ptCount val="6"/>
                <c:pt idx="0">
                  <c:v>2014</c:v>
                </c:pt>
                <c:pt idx="1">
                  <c:v>2015</c:v>
                </c:pt>
                <c:pt idx="2">
                  <c:v>2016</c:v>
                </c:pt>
                <c:pt idx="3">
                  <c:v>2017</c:v>
                </c:pt>
                <c:pt idx="4">
                  <c:v>2018</c:v>
                </c:pt>
                <c:pt idx="5">
                  <c:v>2019</c:v>
                </c:pt>
              </c:numCache>
            </c:numRef>
          </c:cat>
          <c:val>
            <c:numRef>
              <c:f>B7B2!$B$2:$G$2</c:f>
              <c:numCache>
                <c:formatCode>0.00%</c:formatCode>
                <c:ptCount val="6"/>
                <c:pt idx="0">
                  <c:v>0.24340000000000001</c:v>
                </c:pt>
                <c:pt idx="1">
                  <c:v>0.57840000000000003</c:v>
                </c:pt>
                <c:pt idx="2">
                  <c:v>0.55710000000000004</c:v>
                </c:pt>
                <c:pt idx="3">
                  <c:v>0.54459999999999997</c:v>
                </c:pt>
                <c:pt idx="4">
                  <c:v>0.52610000000000001</c:v>
                </c:pt>
                <c:pt idx="5">
                  <c:v>0.49669999999999997</c:v>
                </c:pt>
              </c:numCache>
            </c:numRef>
          </c:val>
          <c:smooth val="0"/>
          <c:extLst>
            <c:ext xmlns:c16="http://schemas.microsoft.com/office/drawing/2014/chart" uri="{C3380CC4-5D6E-409C-BE32-E72D297353CC}">
              <c16:uniqueId val="{00000003-60C9-4CA5-B106-676203A6B1C2}"/>
            </c:ext>
          </c:extLst>
        </c:ser>
        <c:ser>
          <c:idx val="1"/>
          <c:order val="1"/>
          <c:tx>
            <c:strRef>
              <c:f>B7B2!$A$3</c:f>
              <c:strCache>
                <c:ptCount val="1"/>
                <c:pt idx="0">
                  <c:v>Target &gt;=</c:v>
                </c:pt>
              </c:strCache>
            </c:strRef>
          </c:tx>
          <c:spPr>
            <a:ln w="28575" cap="rnd">
              <a:solidFill>
                <a:srgbClr val="408740"/>
              </a:solidFill>
              <a:round/>
            </a:ln>
            <a:effectLst/>
          </c:spPr>
          <c:marker>
            <c:symbol val="none"/>
          </c:marker>
          <c:dLbls>
            <c:dLbl>
              <c:idx val="0"/>
              <c:layout>
                <c:manualLayout>
                  <c:x val="-6.4955605211510753E-2"/>
                  <c:y val="1.9836582927134108E-2"/>
                </c:manualLayout>
              </c:layout>
              <c:tx>
                <c:rich>
                  <a:bodyPr/>
                  <a:lstStyle/>
                  <a:p>
                    <a:fld id="{6740218D-F2F6-4596-B4CC-F133CAC1F2C9}" type="VALUE">
                      <a:rPr lang="en-US" sz="800"/>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60C9-4CA5-B106-676203A6B1C2}"/>
                </c:ext>
              </c:extLst>
            </c:dLbl>
            <c:dLbl>
              <c:idx val="1"/>
              <c:layout>
                <c:manualLayout>
                  <c:x val="-1.1678016599277129E-3"/>
                  <c:y val="7.0928633920614402E-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0C9-4CA5-B106-676203A6B1C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B7B2!$B$1:$G$1</c:f>
              <c:numCache>
                <c:formatCode>General</c:formatCode>
                <c:ptCount val="6"/>
                <c:pt idx="0">
                  <c:v>2014</c:v>
                </c:pt>
                <c:pt idx="1">
                  <c:v>2015</c:v>
                </c:pt>
                <c:pt idx="2">
                  <c:v>2016</c:v>
                </c:pt>
                <c:pt idx="3">
                  <c:v>2017</c:v>
                </c:pt>
                <c:pt idx="4">
                  <c:v>2018</c:v>
                </c:pt>
                <c:pt idx="5">
                  <c:v>2019</c:v>
                </c:pt>
              </c:numCache>
            </c:numRef>
          </c:cat>
          <c:val>
            <c:numRef>
              <c:f>B7B2!$B$3:$G$3</c:f>
              <c:numCache>
                <c:formatCode>0.00%</c:formatCode>
                <c:ptCount val="6"/>
                <c:pt idx="0">
                  <c:v>0.23899999999999999</c:v>
                </c:pt>
                <c:pt idx="1">
                  <c:v>0.24</c:v>
                </c:pt>
                <c:pt idx="2">
                  <c:v>0.58099999999999996</c:v>
                </c:pt>
                <c:pt idx="3">
                  <c:v>0.58099999999999996</c:v>
                </c:pt>
                <c:pt idx="4">
                  <c:v>0.58099999999999996</c:v>
                </c:pt>
                <c:pt idx="5">
                  <c:v>0.58099999999999996</c:v>
                </c:pt>
              </c:numCache>
            </c:numRef>
          </c:val>
          <c:smooth val="0"/>
          <c:extLst>
            <c:ext xmlns:c16="http://schemas.microsoft.com/office/drawing/2014/chart" uri="{C3380CC4-5D6E-409C-BE32-E72D297353CC}">
              <c16:uniqueId val="{00000006-60C9-4CA5-B106-676203A6B1C2}"/>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rgbClr val="1B75BC"/>
                </a:solidFill>
              </a:rPr>
              <a:t>Oregon's Indicator B7 (Preschool Outcomes) Data</a:t>
            </a:r>
          </a:p>
          <a:p>
            <a:pPr>
              <a:defRPr/>
            </a:pPr>
            <a:r>
              <a:rPr lang="en-US" sz="600" b="0">
                <a:solidFill>
                  <a:srgbClr val="1B75BC"/>
                </a:solidFill>
              </a:rPr>
              <a:t>Percent of preschool children who substantially increased their use of appropriate behaviors to meet their needs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B7C1!$A$2</c:f>
              <c:strCache>
                <c:ptCount val="1"/>
                <c:pt idx="0">
                  <c:v>Data</c:v>
                </c:pt>
              </c:strCache>
            </c:strRef>
          </c:tx>
          <c:spPr>
            <a:ln w="28575" cap="rnd">
              <a:solidFill>
                <a:srgbClr val="1B75BC"/>
              </a:solidFill>
              <a:round/>
            </a:ln>
            <a:effectLst/>
          </c:spPr>
          <c:marker>
            <c:symbol val="none"/>
          </c:marker>
          <c:dLbls>
            <c:dLbl>
              <c:idx val="0"/>
              <c:layout>
                <c:manualLayout>
                  <c:x val="-2.0229481449953925E-2"/>
                  <c:y val="1.64470806280793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108-4514-A9E3-2286E2A5C1FB}"/>
                </c:ext>
              </c:extLst>
            </c:dLbl>
            <c:dLbl>
              <c:idx val="3"/>
              <c:layout>
                <c:manualLayout>
                  <c:x val="-5.1963774798420535E-2"/>
                  <c:y val="-3.327001887921904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108-4514-A9E3-2286E2A5C1F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B7C1!$B$1:$G$1</c:f>
              <c:numCache>
                <c:formatCode>General</c:formatCode>
                <c:ptCount val="6"/>
                <c:pt idx="0">
                  <c:v>2014</c:v>
                </c:pt>
                <c:pt idx="1">
                  <c:v>2015</c:v>
                </c:pt>
                <c:pt idx="2">
                  <c:v>2016</c:v>
                </c:pt>
                <c:pt idx="3">
                  <c:v>2017</c:v>
                </c:pt>
                <c:pt idx="4">
                  <c:v>2018</c:v>
                </c:pt>
                <c:pt idx="5">
                  <c:v>2019</c:v>
                </c:pt>
              </c:numCache>
            </c:numRef>
          </c:cat>
          <c:val>
            <c:numRef>
              <c:f>B7C1!$B$2:$G$2</c:f>
              <c:numCache>
                <c:formatCode>0.00%</c:formatCode>
                <c:ptCount val="6"/>
                <c:pt idx="0">
                  <c:v>0.38800000000000001</c:v>
                </c:pt>
                <c:pt idx="1">
                  <c:v>0.73629999999999995</c:v>
                </c:pt>
                <c:pt idx="2">
                  <c:v>0.73399999999999999</c:v>
                </c:pt>
                <c:pt idx="3">
                  <c:v>0.76349999999999996</c:v>
                </c:pt>
                <c:pt idx="4">
                  <c:v>0.75149999999999995</c:v>
                </c:pt>
                <c:pt idx="5">
                  <c:v>0.75700000000000001</c:v>
                </c:pt>
              </c:numCache>
            </c:numRef>
          </c:val>
          <c:smooth val="0"/>
          <c:extLst>
            <c:ext xmlns:c16="http://schemas.microsoft.com/office/drawing/2014/chart" uri="{C3380CC4-5D6E-409C-BE32-E72D297353CC}">
              <c16:uniqueId val="{00000002-A108-4514-A9E3-2286E2A5C1FB}"/>
            </c:ext>
          </c:extLst>
        </c:ser>
        <c:ser>
          <c:idx val="1"/>
          <c:order val="1"/>
          <c:tx>
            <c:strRef>
              <c:f>B7C1!$A$3</c:f>
              <c:strCache>
                <c:ptCount val="1"/>
                <c:pt idx="0">
                  <c:v>Target &gt;=</c:v>
                </c:pt>
              </c:strCache>
            </c:strRef>
          </c:tx>
          <c:spPr>
            <a:ln w="28575" cap="rnd">
              <a:solidFill>
                <a:srgbClr val="408740"/>
              </a:solidFill>
              <a:round/>
            </a:ln>
            <a:effectLst/>
          </c:spPr>
          <c:marker>
            <c:symbol val="none"/>
          </c:marker>
          <c:dLbls>
            <c:dLbl>
              <c:idx val="0"/>
              <c:layout>
                <c:manualLayout>
                  <c:x val="-8.6233182000898564E-2"/>
                  <c:y val="-5.2969735690933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108-4514-A9E3-2286E2A5C1FB}"/>
                </c:ext>
              </c:extLst>
            </c:dLbl>
            <c:dLbl>
              <c:idx val="1"/>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108-4514-A9E3-2286E2A5C1FB}"/>
                </c:ext>
              </c:extLst>
            </c:dLbl>
            <c:dLbl>
              <c:idx val="2"/>
              <c:layout>
                <c:manualLayout>
                  <c:x val="-2.0177072526643403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108-4514-A9E3-2286E2A5C1FB}"/>
                </c:ext>
              </c:extLst>
            </c:dLbl>
            <c:dLbl>
              <c:idx val="3"/>
              <c:layout>
                <c:manualLayout>
                  <c:x val="-4.4456279584309311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108-4514-A9E3-2286E2A5C1FB}"/>
                </c:ext>
              </c:extLst>
            </c:dLbl>
            <c:dLbl>
              <c:idx val="4"/>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108-4514-A9E3-2286E2A5C1FB}"/>
                </c:ext>
              </c:extLst>
            </c:dLbl>
            <c:dLbl>
              <c:idx val="5"/>
              <c:layout>
                <c:manualLayout>
                  <c:x val="-4.4456279584309533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108-4514-A9E3-2286E2A5C1F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B7C1!$B$1:$G$1</c:f>
              <c:numCache>
                <c:formatCode>General</c:formatCode>
                <c:ptCount val="6"/>
                <c:pt idx="0">
                  <c:v>2014</c:v>
                </c:pt>
                <c:pt idx="1">
                  <c:v>2015</c:v>
                </c:pt>
                <c:pt idx="2">
                  <c:v>2016</c:v>
                </c:pt>
                <c:pt idx="3">
                  <c:v>2017</c:v>
                </c:pt>
                <c:pt idx="4">
                  <c:v>2018</c:v>
                </c:pt>
                <c:pt idx="5">
                  <c:v>2019</c:v>
                </c:pt>
              </c:numCache>
            </c:numRef>
          </c:cat>
          <c:val>
            <c:numRef>
              <c:f>B7C1!$B$3:$G$3</c:f>
              <c:numCache>
                <c:formatCode>0.00%</c:formatCode>
                <c:ptCount val="6"/>
                <c:pt idx="0">
                  <c:v>0.45300000000000001</c:v>
                </c:pt>
                <c:pt idx="1">
                  <c:v>0.45500000000000002</c:v>
                </c:pt>
                <c:pt idx="2">
                  <c:v>0.74099999999999999</c:v>
                </c:pt>
                <c:pt idx="3">
                  <c:v>0.74099999999999999</c:v>
                </c:pt>
                <c:pt idx="4">
                  <c:v>0.74099999999999999</c:v>
                </c:pt>
                <c:pt idx="5">
                  <c:v>0.74099999999999999</c:v>
                </c:pt>
              </c:numCache>
            </c:numRef>
          </c:val>
          <c:smooth val="0"/>
          <c:extLst>
            <c:ext xmlns:c16="http://schemas.microsoft.com/office/drawing/2014/chart" uri="{C3380CC4-5D6E-409C-BE32-E72D297353CC}">
              <c16:uniqueId val="{00000008-A108-4514-A9E3-2286E2A5C1FB}"/>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
          <c:min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rgbClr val="1B75BC"/>
                </a:solidFill>
              </a:rPr>
              <a:t>Oregon's Indicator B7 (Preschool Outcomes) Data</a:t>
            </a:r>
          </a:p>
          <a:p>
            <a:pPr>
              <a:defRPr/>
            </a:pPr>
            <a:r>
              <a:rPr lang="en-US" sz="600" b="0">
                <a:solidFill>
                  <a:srgbClr val="1B75BC"/>
                </a:solidFill>
              </a:rPr>
              <a:t>Percent of preschool children who were functioning within age expectations for use of appropriate behaviors to meet their needs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B7C2!$A$2</c:f>
              <c:strCache>
                <c:ptCount val="1"/>
                <c:pt idx="0">
                  <c:v>Data</c:v>
                </c:pt>
              </c:strCache>
            </c:strRef>
          </c:tx>
          <c:spPr>
            <a:ln w="28575" cap="rnd">
              <a:solidFill>
                <a:srgbClr val="1B75BC"/>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FBA-4CA9-8922-328D40DBF76D}"/>
                </c:ext>
              </c:extLst>
            </c:dLbl>
            <c:dLbl>
              <c:idx val="2"/>
              <c:layout>
                <c:manualLayout>
                  <c:x val="-3.8386477819892892E-2"/>
                  <c:y val="3.96590586787786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FBA-4CA9-8922-328D40DBF76D}"/>
                </c:ext>
              </c:extLst>
            </c:dLbl>
            <c:dLbl>
              <c:idx val="3"/>
              <c:layout>
                <c:manualLayout>
                  <c:x val="-4.4456279584309387E-2"/>
                  <c:y val="3.01465771045303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FBA-4CA9-8922-328D40DBF76D}"/>
                </c:ext>
              </c:extLst>
            </c:dLbl>
            <c:dLbl>
              <c:idx val="4"/>
              <c:layout>
                <c:manualLayout>
                  <c:x val="-5.0526081348726035E-2"/>
                  <c:y val="3.96590586787787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FBA-4CA9-8922-328D40DBF76D}"/>
                </c:ext>
              </c:extLst>
            </c:dLbl>
            <c:dLbl>
              <c:idx val="5"/>
              <c:layout>
                <c:manualLayout>
                  <c:x val="-4.2433012329503889E-2"/>
                  <c:y val="3.33174042959464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FBA-4CA9-8922-328D40DBF76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B7C2!$B$1:$G$1</c:f>
              <c:numCache>
                <c:formatCode>General</c:formatCode>
                <c:ptCount val="6"/>
                <c:pt idx="0">
                  <c:v>2014</c:v>
                </c:pt>
                <c:pt idx="1">
                  <c:v>2015</c:v>
                </c:pt>
                <c:pt idx="2">
                  <c:v>2016</c:v>
                </c:pt>
                <c:pt idx="3">
                  <c:v>2017</c:v>
                </c:pt>
                <c:pt idx="4">
                  <c:v>2018</c:v>
                </c:pt>
                <c:pt idx="5">
                  <c:v>2019</c:v>
                </c:pt>
              </c:numCache>
            </c:numRef>
          </c:cat>
          <c:val>
            <c:numRef>
              <c:f>B7C2!$B$2:$G$2</c:f>
              <c:numCache>
                <c:formatCode>0.00%</c:formatCode>
                <c:ptCount val="6"/>
                <c:pt idx="0">
                  <c:v>0.2883</c:v>
                </c:pt>
                <c:pt idx="1">
                  <c:v>0.61209999999999998</c:v>
                </c:pt>
                <c:pt idx="2">
                  <c:v>0.59740000000000004</c:v>
                </c:pt>
                <c:pt idx="3">
                  <c:v>0.57299999999999995</c:v>
                </c:pt>
                <c:pt idx="4">
                  <c:v>0.5454</c:v>
                </c:pt>
                <c:pt idx="5">
                  <c:v>0.52149999999999996</c:v>
                </c:pt>
              </c:numCache>
            </c:numRef>
          </c:val>
          <c:smooth val="0"/>
          <c:extLst>
            <c:ext xmlns:c16="http://schemas.microsoft.com/office/drawing/2014/chart" uri="{C3380CC4-5D6E-409C-BE32-E72D297353CC}">
              <c16:uniqueId val="{00000005-DFBA-4CA9-8922-328D40DBF76D}"/>
            </c:ext>
          </c:extLst>
        </c:ser>
        <c:ser>
          <c:idx val="1"/>
          <c:order val="1"/>
          <c:tx>
            <c:strRef>
              <c:f>B7C2!$A$3</c:f>
              <c:strCache>
                <c:ptCount val="1"/>
                <c:pt idx="0">
                  <c:v>Target &gt;=</c:v>
                </c:pt>
              </c:strCache>
            </c:strRef>
          </c:tx>
          <c:spPr>
            <a:ln w="28575" cap="rnd">
              <a:solidFill>
                <a:srgbClr val="408740"/>
              </a:solidFill>
              <a:round/>
            </a:ln>
            <a:effectLst/>
          </c:spPr>
          <c:marker>
            <c:symbol val="none"/>
          </c:marker>
          <c:dLbls>
            <c:dLbl>
              <c:idx val="0"/>
              <c:layout>
                <c:manualLayout>
                  <c:x val="-8.8356269655482253E-2"/>
                  <c:y val="-6.88513031265829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FBA-4CA9-8922-328D40DBF76D}"/>
                </c:ext>
              </c:extLst>
            </c:dLbl>
            <c:dLbl>
              <c:idx val="1"/>
              <c:layout>
                <c:manualLayout>
                  <c:x val="-1.9643954978600647E-2"/>
                  <c:y val="1.0878574388727725E-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FBA-4CA9-8922-328D40DBF76D}"/>
                </c:ext>
              </c:extLst>
            </c:dLbl>
            <c:dLbl>
              <c:idx val="2"/>
              <c:layout>
                <c:manualLayout>
                  <c:x val="-4.4456279584309387E-2"/>
                  <c:y val="-3.3269966723791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FBA-4CA9-8922-328D40DBF76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B7C2!$B$1:$G$1</c:f>
              <c:numCache>
                <c:formatCode>General</c:formatCode>
                <c:ptCount val="6"/>
                <c:pt idx="0">
                  <c:v>2014</c:v>
                </c:pt>
                <c:pt idx="1">
                  <c:v>2015</c:v>
                </c:pt>
                <c:pt idx="2">
                  <c:v>2016</c:v>
                </c:pt>
                <c:pt idx="3">
                  <c:v>2017</c:v>
                </c:pt>
                <c:pt idx="4">
                  <c:v>2018</c:v>
                </c:pt>
                <c:pt idx="5">
                  <c:v>2019</c:v>
                </c:pt>
              </c:numCache>
            </c:numRef>
          </c:cat>
          <c:val>
            <c:numRef>
              <c:f>B7C2!$B$3:$G$3</c:f>
              <c:numCache>
                <c:formatCode>0.00%</c:formatCode>
                <c:ptCount val="6"/>
                <c:pt idx="0">
                  <c:v>0.32</c:v>
                </c:pt>
                <c:pt idx="1">
                  <c:v>0.32200000000000001</c:v>
                </c:pt>
                <c:pt idx="2">
                  <c:v>0.61499999999999999</c:v>
                </c:pt>
                <c:pt idx="3">
                  <c:v>0.61499999999999999</c:v>
                </c:pt>
                <c:pt idx="4">
                  <c:v>0.61499999999999999</c:v>
                </c:pt>
                <c:pt idx="5">
                  <c:v>0.61499999999999999</c:v>
                </c:pt>
              </c:numCache>
            </c:numRef>
          </c:val>
          <c:smooth val="0"/>
          <c:extLst>
            <c:ext xmlns:c16="http://schemas.microsoft.com/office/drawing/2014/chart" uri="{C3380CC4-5D6E-409C-BE32-E72D297353CC}">
              <c16:uniqueId val="{00000009-DFBA-4CA9-8922-328D40DBF76D}"/>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2021-12-17T18:47:47+00:00</Remediation_x0020_Date>
  </documentManagement>
</p:properties>
</file>

<file path=customXml/itemProps1.xml><?xml version="1.0" encoding="utf-8"?>
<ds:datastoreItem xmlns:ds="http://schemas.openxmlformats.org/officeDocument/2006/customXml" ds:itemID="{BE35960D-1883-4536-9E1C-DB41CADCDB6D}"/>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85CC21F9-4EE9-4382-8358-CB255CA66444}">
  <ds:schemaRefs>
    <ds:schemaRef ds:uri="http://purl.org/dc/dcmitype/"/>
    <ds:schemaRef ds:uri="http://schemas.microsoft.com/office/infopath/2007/PartnerControls"/>
    <ds:schemaRef ds:uri="http://purl.org/dc/elements/1.1/"/>
    <ds:schemaRef ds:uri="http://schemas.microsoft.com/office/2006/metadata/properties"/>
    <ds:schemaRef ds:uri="b47477c3-cea5-4644-a2b9-72f12b741c16"/>
    <ds:schemaRef ds:uri="http://purl.org/dc/terms/"/>
    <ds:schemaRef ds:uri="http://schemas.microsoft.com/office/2006/documentManagement/types"/>
    <ds:schemaRef ds:uri="http://schemas.openxmlformats.org/package/2006/metadata/core-properties"/>
    <ds:schemaRef ds:uri="7f305cf4-7e8c-42e6-816c-ef6b646f0a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2021-12-17T17:50:00Z</dcterms:created>
  <dcterms:modified xsi:type="dcterms:W3CDTF">2021-12-17T17:50:00Z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