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77889AD" w14:paraId="06A42005" w14:textId="77777777" w:rsidTr="00A0765D">
        <w:trPr>
          <w:tblHeader/>
        </w:trPr>
        <w:tc>
          <w:tcPr>
            <w:tcW w:w="2160" w:type="dxa"/>
            <w:vAlign w:val="center"/>
          </w:tcPr>
          <w:p w14:paraId="12D686C0" w14:textId="77777777" w:rsidR="277889AD" w:rsidRDefault="277889AD" w:rsidP="277889AD">
            <w:pPr>
              <w:spacing w:after="200"/>
              <w:jc w:val="center"/>
              <w:rPr>
                <w:rFonts w:eastAsia="Arial"/>
                <w:b/>
                <w:bCs/>
                <w:color w:val="082A75"/>
                <w:sz w:val="36"/>
                <w:szCs w:val="36"/>
              </w:rPr>
            </w:pPr>
            <w:r>
              <w:rPr>
                <w:noProof/>
              </w:rPr>
              <w:drawing>
                <wp:inline distT="0" distB="0" distL="0" distR="0" wp14:anchorId="6B22B6C5" wp14:editId="5BAA36F4">
                  <wp:extent cx="1077554" cy="1145969"/>
                  <wp:effectExtent l="0" t="0" r="8890" b="0"/>
                  <wp:docPr id="111655638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54221E21" w14:textId="77777777" w:rsidR="277889AD" w:rsidRDefault="277889AD" w:rsidP="277889AD">
            <w:pPr>
              <w:pStyle w:val="Title"/>
              <w:spacing w:after="200"/>
              <w:jc w:val="center"/>
              <w:rPr>
                <w:rFonts w:asciiTheme="minorHAnsi" w:eastAsia="Arial" w:hAnsiTheme="minorHAnsi" w:cstheme="minorBidi"/>
                <w:b/>
                <w:bCs/>
                <w:color w:val="082A75"/>
                <w:sz w:val="48"/>
                <w:szCs w:val="48"/>
              </w:rPr>
            </w:pPr>
            <w:r w:rsidRPr="277889AD">
              <w:rPr>
                <w:rFonts w:asciiTheme="minorHAnsi" w:eastAsia="Arial" w:hAnsiTheme="minorHAnsi" w:cstheme="minorBidi"/>
                <w:b/>
                <w:bCs/>
                <w:color w:val="082A75"/>
                <w:sz w:val="48"/>
                <w:szCs w:val="48"/>
              </w:rPr>
              <w:t>State Performance Plan (SPP)</w:t>
            </w:r>
          </w:p>
          <w:p w14:paraId="59855B68" w14:textId="4B3797DB" w:rsidR="277889AD" w:rsidRDefault="277889AD" w:rsidP="277889AD">
            <w:pPr>
              <w:pStyle w:val="Title"/>
              <w:spacing w:after="200"/>
              <w:jc w:val="center"/>
              <w:rPr>
                <w:rFonts w:asciiTheme="minorHAnsi" w:eastAsia="Arial" w:hAnsiTheme="minorHAnsi" w:cstheme="minorBidi"/>
                <w:b/>
                <w:bCs/>
                <w:color w:val="082A75"/>
                <w:sz w:val="48"/>
                <w:szCs w:val="48"/>
              </w:rPr>
            </w:pPr>
            <w:r w:rsidRPr="277889AD">
              <w:rPr>
                <w:rFonts w:asciiTheme="minorHAnsi" w:eastAsia="Arial" w:hAnsiTheme="minorHAnsi" w:cstheme="minorBidi"/>
                <w:b/>
                <w:bCs/>
                <w:color w:val="082974"/>
                <w:sz w:val="48"/>
                <w:szCs w:val="48"/>
              </w:rPr>
              <w:t>Fact Sheet</w:t>
            </w:r>
          </w:p>
          <w:p w14:paraId="3E5DFD35" w14:textId="18ACAF6E" w:rsidR="277889AD" w:rsidRDefault="277889AD" w:rsidP="277889AD">
            <w:pPr>
              <w:pStyle w:val="Title"/>
              <w:spacing w:after="200"/>
              <w:jc w:val="center"/>
              <w:rPr>
                <w:rFonts w:asciiTheme="minorHAnsi" w:eastAsia="Arial" w:hAnsiTheme="minorHAnsi" w:cstheme="minorBidi"/>
                <w:b/>
                <w:bCs/>
                <w:color w:val="082A75"/>
                <w:sz w:val="32"/>
                <w:szCs w:val="32"/>
              </w:rPr>
            </w:pPr>
            <w:r w:rsidRPr="277889AD">
              <w:rPr>
                <w:rFonts w:asciiTheme="minorHAnsi" w:eastAsia="Arial" w:hAnsiTheme="minorHAnsi" w:cstheme="minorBidi"/>
                <w:b/>
                <w:bCs/>
                <w:color w:val="082A75"/>
                <w:sz w:val="32"/>
                <w:szCs w:val="32"/>
              </w:rPr>
              <w:t>Indicator C11: State Systemic Improvement Plan</w:t>
            </w:r>
          </w:p>
        </w:tc>
      </w:tr>
      <w:tr w:rsidR="277889AD" w14:paraId="3B5F6D66" w14:textId="77777777" w:rsidTr="277889AD">
        <w:trPr>
          <w:trHeight w:val="72"/>
        </w:trPr>
        <w:tc>
          <w:tcPr>
            <w:tcW w:w="2484" w:type="dxa"/>
            <w:gridSpan w:val="2"/>
            <w:shd w:val="clear" w:color="auto" w:fill="9F2065"/>
          </w:tcPr>
          <w:p w14:paraId="1CC9C7AF" w14:textId="77777777" w:rsidR="277889AD" w:rsidRDefault="277889AD" w:rsidP="277889AD">
            <w:pPr>
              <w:rPr>
                <w:noProof/>
              </w:rPr>
            </w:pPr>
          </w:p>
        </w:tc>
        <w:tc>
          <w:tcPr>
            <w:tcW w:w="2484" w:type="dxa"/>
            <w:shd w:val="clear" w:color="auto" w:fill="E26B2A"/>
          </w:tcPr>
          <w:p w14:paraId="2C3C878D" w14:textId="77777777" w:rsidR="277889AD" w:rsidRDefault="277889AD" w:rsidP="277889AD">
            <w:pPr>
              <w:pStyle w:val="Title"/>
              <w:rPr>
                <w:rFonts w:asciiTheme="minorHAnsi" w:eastAsia="Arial" w:hAnsiTheme="minorHAnsi" w:cstheme="minorBidi"/>
                <w:b/>
                <w:bCs/>
                <w:color w:val="082974"/>
                <w:sz w:val="22"/>
                <w:szCs w:val="22"/>
              </w:rPr>
            </w:pPr>
          </w:p>
        </w:tc>
        <w:tc>
          <w:tcPr>
            <w:tcW w:w="2484" w:type="dxa"/>
            <w:shd w:val="clear" w:color="auto" w:fill="1B75BC"/>
          </w:tcPr>
          <w:p w14:paraId="719017A9" w14:textId="77777777" w:rsidR="277889AD" w:rsidRDefault="277889AD" w:rsidP="277889AD">
            <w:pPr>
              <w:pStyle w:val="Title"/>
              <w:rPr>
                <w:rFonts w:asciiTheme="minorHAnsi" w:eastAsia="Arial" w:hAnsiTheme="minorHAnsi" w:cstheme="minorBidi"/>
                <w:b/>
                <w:bCs/>
                <w:color w:val="082974"/>
                <w:sz w:val="22"/>
                <w:szCs w:val="22"/>
              </w:rPr>
            </w:pPr>
          </w:p>
        </w:tc>
        <w:tc>
          <w:tcPr>
            <w:tcW w:w="2484" w:type="dxa"/>
            <w:shd w:val="clear" w:color="auto" w:fill="408740"/>
          </w:tcPr>
          <w:p w14:paraId="514DCD69" w14:textId="46579079" w:rsidR="277889AD" w:rsidRDefault="277889AD" w:rsidP="277889AD">
            <w:pPr>
              <w:pStyle w:val="Title"/>
              <w:rPr>
                <w:rFonts w:asciiTheme="minorHAnsi" w:eastAsia="Arial" w:hAnsiTheme="minorHAnsi" w:cstheme="minorBidi"/>
                <w:b/>
                <w:bCs/>
                <w:color w:val="082974"/>
                <w:sz w:val="22"/>
                <w:szCs w:val="22"/>
              </w:rPr>
            </w:pPr>
          </w:p>
        </w:tc>
      </w:tr>
    </w:tbl>
    <w:p w14:paraId="00A9D5AB" w14:textId="5063DCAD" w:rsidR="6E675264" w:rsidRDefault="6E675264" w:rsidP="277889AD">
      <w:pPr>
        <w:pStyle w:val="Heading1"/>
        <w:spacing w:before="0"/>
        <w:rPr>
          <w:rFonts w:ascii="Calibri" w:eastAsia="Calibri" w:hAnsi="Calibri" w:cs="Calibri"/>
        </w:rPr>
      </w:pPr>
      <w:r w:rsidRPr="277889AD">
        <w:rPr>
          <w:rFonts w:ascii="Calibri" w:eastAsia="Calibri" w:hAnsi="Calibri" w:cs="Calibri"/>
          <w:b/>
          <w:bCs/>
        </w:rPr>
        <w:t>Oregon State Performance Plan</w:t>
      </w:r>
    </w:p>
    <w:p w14:paraId="5A9E5DFB" w14:textId="168529ED" w:rsidR="6E675264" w:rsidRDefault="6E675264" w:rsidP="277889AD">
      <w:pPr>
        <w:spacing w:after="0"/>
        <w:rPr>
          <w:rFonts w:ascii="Calibri" w:eastAsia="Calibri" w:hAnsi="Calibri" w:cs="Calibri"/>
          <w:color w:val="000000" w:themeColor="text1"/>
        </w:rPr>
      </w:pPr>
      <w:r w:rsidRPr="277889AD">
        <w:rPr>
          <w:rFonts w:ascii="Calibri" w:eastAsia="Calibri" w:hAnsi="Calibri" w:cs="Calibri"/>
          <w:color w:val="000000" w:themeColor="text1"/>
        </w:rPr>
        <w:t xml:space="preserve">Under the Individuals with Disabilities Education Act of 2004 (IDEA), the Oregon Department of Education (ODE) is required to submit a six-year State Performance Plan (SPP) to the Office of Special Education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Please see the </w:t>
      </w:r>
      <w:hyperlink r:id="rId11">
        <w:r w:rsidRPr="277889AD">
          <w:rPr>
            <w:rStyle w:val="Hyperlink"/>
            <w:rFonts w:ascii="Calibri" w:eastAsia="Calibri" w:hAnsi="Calibri" w:cs="Calibri"/>
          </w:rPr>
          <w:t>ODE State Performance Plan and Annual Reports for Special Education webpage</w:t>
        </w:r>
      </w:hyperlink>
      <w:r w:rsidRPr="277889AD">
        <w:rPr>
          <w:rFonts w:ascii="Calibri" w:eastAsia="Calibri" w:hAnsi="Calibri" w:cs="Calibri"/>
          <w:color w:val="000000" w:themeColor="text1"/>
        </w:rPr>
        <w:t xml:space="preserve"> for more information.</w:t>
      </w:r>
      <w:r>
        <w:rPr>
          <w:noProof/>
        </w:rPr>
        <w:drawing>
          <wp:inline distT="0" distB="0" distL="0" distR="0" wp14:anchorId="1FFC2D3B" wp14:editId="675D570A">
            <wp:extent cx="6257925" cy="114300"/>
            <wp:effectExtent l="0" t="0" r="9525" b="0"/>
            <wp:docPr id="1053621336" name="Picture 1053621336" title="Decorat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57925" cy="114300"/>
                    </a:xfrm>
                    <a:prstGeom prst="rect">
                      <a:avLst/>
                    </a:prstGeom>
                  </pic:spPr>
                </pic:pic>
              </a:graphicData>
            </a:graphic>
          </wp:inline>
        </w:drawing>
      </w:r>
    </w:p>
    <w:p w14:paraId="4B73E1C3" w14:textId="0BC52818" w:rsidR="000E4FA0" w:rsidRPr="00C06C4E" w:rsidRDefault="0AB57B41" w:rsidP="277889AD">
      <w:pPr>
        <w:pStyle w:val="Heading1"/>
        <w:spacing w:before="0"/>
        <w:rPr>
          <w:rFonts w:asciiTheme="minorHAnsi" w:hAnsiTheme="minorHAnsi" w:cstheme="minorBidi"/>
          <w:b/>
          <w:bCs/>
        </w:rPr>
      </w:pPr>
      <w:r w:rsidRPr="20839088">
        <w:rPr>
          <w:rFonts w:asciiTheme="minorHAnsi" w:hAnsiTheme="minorHAnsi" w:cstheme="minorBidi"/>
          <w:b/>
          <w:bCs/>
        </w:rPr>
        <w:t>What does this indicator measure</w:t>
      </w:r>
      <w:r w:rsidR="37E5492F" w:rsidRPr="20839088">
        <w:rPr>
          <w:rFonts w:asciiTheme="minorHAnsi" w:hAnsiTheme="minorHAnsi" w:cstheme="minorBidi"/>
          <w:b/>
          <w:bCs/>
        </w:rPr>
        <w:t xml:space="preserve"> and why is it important</w:t>
      </w:r>
      <w:r w:rsidRPr="20839088">
        <w:rPr>
          <w:rFonts w:asciiTheme="minorHAnsi" w:hAnsiTheme="minorHAnsi" w:cstheme="minorBidi"/>
          <w:b/>
          <w:bCs/>
        </w:rPr>
        <w:t>?</w:t>
      </w:r>
    </w:p>
    <w:p w14:paraId="3979FE02" w14:textId="7F99CD9C" w:rsidR="23221862" w:rsidRDefault="23221862" w:rsidP="4B718912">
      <w:pPr>
        <w:spacing w:after="80"/>
      </w:pPr>
      <w:r>
        <w:t>A multi-year plan for how the state improves outcomes for children with disabilities served under IDEA, the State Systemic Improvement Plan (SSIP) is a part of the Office of Special E</w:t>
      </w:r>
      <w:r w:rsidR="5D2BDE64">
        <w:t xml:space="preserve">ducation Programs’ (OSEP) Results Driven Accountability framework and is </w:t>
      </w:r>
      <w:r w:rsidR="47B10526">
        <w:t>I</w:t>
      </w:r>
      <w:r w:rsidR="5D2BDE64">
        <w:t xml:space="preserve">ndicator 11 of the State Performance Plan. </w:t>
      </w:r>
      <w:r w:rsidR="7CF055C1">
        <w:t xml:space="preserve">Given Oregon’s unique seamless system </w:t>
      </w:r>
      <w:r w:rsidR="7253928F">
        <w:t xml:space="preserve">of services for birth to five, </w:t>
      </w:r>
      <w:r w:rsidR="7CF055C1">
        <w:t xml:space="preserve">this Indicator measures improvements for infants, toddlers, and preschoolers being served under IDEA. </w:t>
      </w:r>
    </w:p>
    <w:p w14:paraId="6DB625D8" w14:textId="1B048067" w:rsidR="4F378648" w:rsidRDefault="4F378648" w:rsidP="4B718912">
      <w:pPr>
        <w:spacing w:after="80"/>
      </w:pPr>
      <w:r>
        <w:t xml:space="preserve">The State Identified Measurable Result (SiMR) is to increase the number and percentage of young children who demonstrate progress </w:t>
      </w:r>
      <w:r w:rsidR="3BF15F88">
        <w:t>in</w:t>
      </w:r>
      <w:r>
        <w:t xml:space="preserve"> soci</w:t>
      </w:r>
      <w:r w:rsidR="2E898426">
        <w:t>al</w:t>
      </w:r>
      <w:r w:rsidR="5D23469C">
        <w:t>-</w:t>
      </w:r>
      <w:r w:rsidR="2E898426">
        <w:t>emotional</w:t>
      </w:r>
      <w:r w:rsidR="001163BF">
        <w:t xml:space="preserve"> development</w:t>
      </w:r>
      <w:r w:rsidR="2E898426">
        <w:t>, and approaches to learning</w:t>
      </w:r>
      <w:r w:rsidR="273B1FC6">
        <w:t>, otherwise known as Child Outcomes for the State Performance Plan.</w:t>
      </w:r>
    </w:p>
    <w:p w14:paraId="29EC5A79" w14:textId="18DDB85D" w:rsidR="49F4264D" w:rsidRDefault="49F4264D" w:rsidP="4B718912">
      <w:pPr>
        <w:spacing w:after="80"/>
      </w:pPr>
      <w:r>
        <w:t xml:space="preserve">Positive Child </w:t>
      </w:r>
      <w:r w:rsidR="75E59563">
        <w:t>O</w:t>
      </w:r>
      <w:r>
        <w:t>utcomes reflect improve</w:t>
      </w:r>
      <w:r w:rsidR="3332ECEC">
        <w:t>d</w:t>
      </w:r>
      <w:r>
        <w:t xml:space="preserve"> social emotional skills, self-regulation, and social</w:t>
      </w:r>
      <w:r w:rsidR="53DFBA56">
        <w:t>-</w:t>
      </w:r>
      <w:r>
        <w:t>communication skills. These are all essential early learning skills that</w:t>
      </w:r>
      <w:r w:rsidR="2184980D">
        <w:t xml:space="preserve"> impact a child’s ability to communicate, </w:t>
      </w:r>
      <w:r w:rsidR="1FEAB889">
        <w:t xml:space="preserve">learn new concepts, </w:t>
      </w:r>
      <w:r w:rsidR="2184980D">
        <w:t>build relationships, regulate their emotions</w:t>
      </w:r>
      <w:r w:rsidR="1024F2D2">
        <w:t>, solve problems,</w:t>
      </w:r>
      <w:r w:rsidR="318908CB">
        <w:t xml:space="preserve"> </w:t>
      </w:r>
      <w:r w:rsidR="77B8D819">
        <w:t>engage in</w:t>
      </w:r>
      <w:r w:rsidR="318908CB">
        <w:t xml:space="preserve"> routines</w:t>
      </w:r>
      <w:r w:rsidR="5EE8CBCD">
        <w:t xml:space="preserve"> and activities</w:t>
      </w:r>
      <w:r w:rsidR="318908CB">
        <w:t xml:space="preserve"> </w:t>
      </w:r>
      <w:r w:rsidR="24B70757">
        <w:t>across</w:t>
      </w:r>
      <w:r w:rsidR="318908CB">
        <w:t xml:space="preserve"> the day,</w:t>
      </w:r>
      <w:r w:rsidR="1024F2D2">
        <w:t xml:space="preserve"> manage frustra</w:t>
      </w:r>
      <w:r w:rsidR="0A6842B0">
        <w:t xml:space="preserve">tion, </w:t>
      </w:r>
      <w:r w:rsidR="2184980D">
        <w:t xml:space="preserve">and </w:t>
      </w:r>
      <w:r w:rsidR="1FDC1FAB">
        <w:t xml:space="preserve">manage </w:t>
      </w:r>
      <w:r w:rsidR="394DC077">
        <w:t xml:space="preserve">their </w:t>
      </w:r>
      <w:r w:rsidR="2184980D">
        <w:t>bod</w:t>
      </w:r>
      <w:r w:rsidR="2BCA02D1">
        <w:t>y’s</w:t>
      </w:r>
      <w:r w:rsidR="2D81D492">
        <w:t xml:space="preserve"> response to the environment. </w:t>
      </w:r>
      <w:r w:rsidR="709CA551">
        <w:t xml:space="preserve">Supporting the development of these skills also </w:t>
      </w:r>
      <w:r w:rsidR="20DBF6C2">
        <w:t>mediates risk for exclusion</w:t>
      </w:r>
      <w:r w:rsidR="709CA551">
        <w:t xml:space="preserve"> and </w:t>
      </w:r>
      <w:r w:rsidR="5E1DA985">
        <w:t xml:space="preserve">isolation </w:t>
      </w:r>
      <w:r w:rsidR="40109F91">
        <w:t xml:space="preserve">of students experiencing </w:t>
      </w:r>
      <w:r w:rsidR="2597466E">
        <w:t xml:space="preserve">disability </w:t>
      </w:r>
      <w:r w:rsidR="5E1DA985">
        <w:t>throughout the li</w:t>
      </w:r>
      <w:r w:rsidR="549DFDE9">
        <w:t>fespan.</w:t>
      </w:r>
    </w:p>
    <w:p w14:paraId="4103A870" w14:textId="48B0F0E1" w:rsidR="00CA3BE5" w:rsidRDefault="2CD68806" w:rsidP="4B718912">
      <w:pPr>
        <w:pStyle w:val="Heading1"/>
        <w:spacing w:before="0"/>
        <w:rPr>
          <w:rFonts w:asciiTheme="minorHAnsi" w:hAnsiTheme="minorHAnsi" w:cstheme="minorBidi"/>
          <w:b/>
          <w:bCs/>
        </w:rPr>
      </w:pPr>
      <w:r w:rsidRPr="4B718912">
        <w:rPr>
          <w:rFonts w:asciiTheme="minorHAnsi" w:hAnsiTheme="minorHAnsi" w:cstheme="minorBidi"/>
          <w:b/>
          <w:bCs/>
        </w:rPr>
        <w:t>How is this indicator measured</w:t>
      </w:r>
      <w:r w:rsidR="57CB9D79" w:rsidRPr="4B718912">
        <w:rPr>
          <w:rFonts w:asciiTheme="minorHAnsi" w:hAnsiTheme="minorHAnsi" w:cstheme="minorBidi"/>
          <w:b/>
          <w:bCs/>
        </w:rPr>
        <w:t>?</w:t>
      </w:r>
    </w:p>
    <w:p w14:paraId="70387E6B" w14:textId="4E3121EB" w:rsidR="4E5DB501" w:rsidRDefault="398D516E" w:rsidP="4B718912">
      <w:pPr>
        <w:spacing w:after="0"/>
        <w:rPr>
          <w:rFonts w:ascii="Calibri" w:eastAsia="Calibri" w:hAnsi="Calibri" w:cs="Calibri"/>
          <w:color w:val="000000" w:themeColor="text1"/>
        </w:rPr>
      </w:pPr>
      <w:r>
        <w:t>Improvement is measured</w:t>
      </w:r>
      <w:r w:rsidR="01BC911C">
        <w:t xml:space="preserve"> by examining progress of Summary Area 1 for </w:t>
      </w:r>
      <w:r w:rsidR="326948F4">
        <w:t xml:space="preserve">A and B of </w:t>
      </w:r>
      <w:r w:rsidR="01BC911C">
        <w:t xml:space="preserve">Indicator C3 and B7, Child </w:t>
      </w:r>
      <w:r w:rsidR="4AAAC761">
        <w:t>O</w:t>
      </w:r>
      <w:r w:rsidR="01BC911C">
        <w:t>utcomes</w:t>
      </w:r>
      <w:r w:rsidR="23469B94">
        <w:t>.</w:t>
      </w:r>
      <w:r w:rsidR="051469CE">
        <w:t xml:space="preserve"> </w:t>
      </w:r>
      <w:r w:rsidR="5E691C0D" w:rsidRPr="4B718912">
        <w:rPr>
          <w:rFonts w:ascii="Calibri" w:eastAsia="Calibri" w:hAnsi="Calibri" w:cs="Calibri"/>
          <w:color w:val="000000" w:themeColor="text1"/>
        </w:rPr>
        <w:t>Indicator C3 measures the percentage of infants and toddlers with Individualized Family Service Plans (IFSP) who demonstrate improved:</w:t>
      </w:r>
    </w:p>
    <w:p w14:paraId="0F47A5F0" w14:textId="1E2B9885" w:rsidR="4E5DB501" w:rsidRDefault="5E691C0D" w:rsidP="07911C62">
      <w:pPr>
        <w:pStyle w:val="ListParagraph"/>
        <w:numPr>
          <w:ilvl w:val="0"/>
          <w:numId w:val="1"/>
        </w:numPr>
        <w:rPr>
          <w:rFonts w:eastAsiaTheme="minorEastAsia"/>
          <w:color w:val="000000" w:themeColor="text1"/>
        </w:rPr>
      </w:pPr>
      <w:r w:rsidRPr="07911C62">
        <w:rPr>
          <w:rFonts w:ascii="Calibri" w:eastAsia="Calibri" w:hAnsi="Calibri" w:cs="Calibri"/>
          <w:color w:val="000000" w:themeColor="text1"/>
        </w:rPr>
        <w:t xml:space="preserve">A. Positive social-emotional skills (including social relationships); </w:t>
      </w:r>
    </w:p>
    <w:p w14:paraId="41DF9236" w14:textId="02335733" w:rsidR="4E5DB501" w:rsidRDefault="5E691C0D" w:rsidP="07911C62">
      <w:pPr>
        <w:pStyle w:val="ListParagraph"/>
        <w:numPr>
          <w:ilvl w:val="0"/>
          <w:numId w:val="1"/>
        </w:numPr>
        <w:rPr>
          <w:rFonts w:eastAsiaTheme="minorEastAsia"/>
          <w:color w:val="000000" w:themeColor="text1"/>
        </w:rPr>
      </w:pPr>
      <w:r w:rsidRPr="07911C62">
        <w:rPr>
          <w:rFonts w:ascii="Calibri" w:eastAsia="Calibri" w:hAnsi="Calibri" w:cs="Calibri"/>
          <w:color w:val="000000" w:themeColor="text1"/>
        </w:rPr>
        <w:t xml:space="preserve">B. Acquisition and use of knowledge and skills (including early language/ communication); and </w:t>
      </w:r>
    </w:p>
    <w:p w14:paraId="5AB53F37" w14:textId="3C1F7B40" w:rsidR="4E5DB501" w:rsidRDefault="5E691C0D" w:rsidP="4B718912">
      <w:pPr>
        <w:pStyle w:val="ListParagraph"/>
        <w:numPr>
          <w:ilvl w:val="0"/>
          <w:numId w:val="1"/>
        </w:numPr>
        <w:spacing w:after="80"/>
        <w:rPr>
          <w:rFonts w:eastAsiaTheme="minorEastAsia"/>
          <w:color w:val="000000" w:themeColor="text1"/>
        </w:rPr>
      </w:pPr>
      <w:r w:rsidRPr="4B718912">
        <w:rPr>
          <w:rFonts w:ascii="Calibri" w:eastAsia="Calibri" w:hAnsi="Calibri" w:cs="Calibri"/>
          <w:color w:val="000000" w:themeColor="text1"/>
        </w:rPr>
        <w:t>C. Use of appropriate behaviors to meet their needs. (20 U.S.C. 1416(a)(3)(A) and 1442)</w:t>
      </w:r>
    </w:p>
    <w:p w14:paraId="2F3695D0" w14:textId="3F6129E3" w:rsidR="4E5DB501" w:rsidRDefault="1D7E1B15" w:rsidP="4B718912">
      <w:pPr>
        <w:spacing w:after="0"/>
        <w:rPr>
          <w:rFonts w:ascii="Calibri" w:eastAsia="Calibri" w:hAnsi="Calibri" w:cs="Calibri"/>
          <w:color w:val="000000" w:themeColor="text1"/>
        </w:rPr>
      </w:pPr>
      <w:r w:rsidRPr="4B718912">
        <w:rPr>
          <w:rFonts w:ascii="Calibri" w:eastAsia="Calibri" w:hAnsi="Calibri" w:cs="Calibri"/>
          <w:color w:val="000000" w:themeColor="text1"/>
        </w:rPr>
        <w:t>Indicator B7 addresses a Free Appropriate Public Education (FAPE) in the Least Restrictive Environment (LRE) by measuring Percent of preschool children aged 3 through 5 with IEPs who demonstrate improved:</w:t>
      </w:r>
    </w:p>
    <w:p w14:paraId="74C4F0D1" w14:textId="3C89A230" w:rsidR="492AFE9A" w:rsidRDefault="492AFE9A" w:rsidP="20839088">
      <w:pPr>
        <w:pStyle w:val="ListParagraph"/>
        <w:numPr>
          <w:ilvl w:val="0"/>
          <w:numId w:val="2"/>
        </w:numPr>
        <w:rPr>
          <w:rFonts w:eastAsiaTheme="minorEastAsia"/>
          <w:color w:val="000000" w:themeColor="text1"/>
        </w:rPr>
      </w:pPr>
      <w:r w:rsidRPr="20839088">
        <w:rPr>
          <w:rFonts w:ascii="Calibri" w:eastAsia="Calibri" w:hAnsi="Calibri" w:cs="Calibri"/>
          <w:color w:val="000000" w:themeColor="text1"/>
        </w:rPr>
        <w:t>A. Positive social-emotional skills (including social relationships);</w:t>
      </w:r>
    </w:p>
    <w:p w14:paraId="07A7E373" w14:textId="3379FBAF" w:rsidR="492AFE9A" w:rsidRDefault="492AFE9A" w:rsidP="20839088">
      <w:pPr>
        <w:pStyle w:val="ListParagraph"/>
        <w:numPr>
          <w:ilvl w:val="0"/>
          <w:numId w:val="2"/>
        </w:numPr>
        <w:rPr>
          <w:rFonts w:eastAsiaTheme="minorEastAsia"/>
          <w:color w:val="000000" w:themeColor="text1"/>
        </w:rPr>
      </w:pPr>
      <w:r w:rsidRPr="20839088">
        <w:rPr>
          <w:rFonts w:ascii="Calibri" w:eastAsia="Calibri" w:hAnsi="Calibri" w:cs="Calibri"/>
          <w:color w:val="000000" w:themeColor="text1"/>
        </w:rPr>
        <w:lastRenderedPageBreak/>
        <w:t>B. Acquisition and use of knowledge and skills (including early language/ communication and early literacy); and</w:t>
      </w:r>
    </w:p>
    <w:p w14:paraId="0EF979B5" w14:textId="3FD6A9C2" w:rsidR="492AFE9A" w:rsidRDefault="492AFE9A" w:rsidP="4B718912">
      <w:pPr>
        <w:pStyle w:val="ListParagraph"/>
        <w:numPr>
          <w:ilvl w:val="0"/>
          <w:numId w:val="2"/>
        </w:numPr>
        <w:spacing w:after="80"/>
        <w:rPr>
          <w:rFonts w:eastAsiaTheme="minorEastAsia"/>
          <w:color w:val="000000" w:themeColor="text1"/>
        </w:rPr>
      </w:pPr>
      <w:r w:rsidRPr="4B718912">
        <w:rPr>
          <w:rFonts w:ascii="Calibri" w:eastAsia="Calibri" w:hAnsi="Calibri" w:cs="Calibri"/>
          <w:color w:val="000000" w:themeColor="text1"/>
        </w:rPr>
        <w:t>C. Use of appropriate behaviors to meet their needs.</w:t>
      </w:r>
    </w:p>
    <w:p w14:paraId="3151C6F6" w14:textId="757B4087" w:rsidR="492AFE9A" w:rsidRDefault="693CBE35" w:rsidP="4B718912">
      <w:pPr>
        <w:spacing w:after="80"/>
      </w:pPr>
      <w:r w:rsidRPr="4B718912">
        <w:rPr>
          <w:rFonts w:ascii="Calibri" w:eastAsia="Calibri" w:hAnsi="Calibri" w:cs="Calibri"/>
          <w:color w:val="000000" w:themeColor="text1"/>
        </w:rPr>
        <w:t xml:space="preserve">The summary Statement 1 captures </w:t>
      </w:r>
      <w:r w:rsidR="62FE50EA" w:rsidRPr="4B718912">
        <w:rPr>
          <w:rFonts w:ascii="Calibri" w:eastAsia="Calibri" w:hAnsi="Calibri" w:cs="Calibri"/>
          <w:color w:val="000000" w:themeColor="text1"/>
        </w:rPr>
        <w:t>the percentage of infants, toddlers, and preschoolers who substantially</w:t>
      </w:r>
      <w:r w:rsidRPr="4B718912">
        <w:rPr>
          <w:rFonts w:ascii="Calibri" w:eastAsia="Calibri" w:hAnsi="Calibri" w:cs="Calibri"/>
          <w:color w:val="000000" w:themeColor="text1"/>
        </w:rPr>
        <w:t xml:space="preserve"> incre</w:t>
      </w:r>
      <w:r w:rsidR="168C9C23" w:rsidRPr="4B718912">
        <w:rPr>
          <w:rFonts w:ascii="Calibri" w:eastAsia="Calibri" w:hAnsi="Calibri" w:cs="Calibri"/>
          <w:color w:val="000000" w:themeColor="text1"/>
        </w:rPr>
        <w:t xml:space="preserve">ased </w:t>
      </w:r>
      <w:r w:rsidR="7850C3FD" w:rsidRPr="4B718912">
        <w:rPr>
          <w:rFonts w:ascii="Calibri" w:eastAsia="Calibri" w:hAnsi="Calibri" w:cs="Calibri"/>
          <w:color w:val="000000" w:themeColor="text1"/>
        </w:rPr>
        <w:t xml:space="preserve">their </w:t>
      </w:r>
      <w:r w:rsidR="168C9C23" w:rsidRPr="4B718912">
        <w:rPr>
          <w:rFonts w:ascii="Calibri" w:eastAsia="Calibri" w:hAnsi="Calibri" w:cs="Calibri"/>
          <w:color w:val="000000" w:themeColor="text1"/>
        </w:rPr>
        <w:t xml:space="preserve">rate of </w:t>
      </w:r>
      <w:r w:rsidR="186F01E4" w:rsidRPr="4B718912">
        <w:rPr>
          <w:rFonts w:ascii="Calibri" w:eastAsia="Calibri" w:hAnsi="Calibri" w:cs="Calibri"/>
          <w:color w:val="000000" w:themeColor="text1"/>
        </w:rPr>
        <w:t xml:space="preserve">in the area of positive social-emotional skills and in the acquisition and use of knowledge and skills </w:t>
      </w:r>
      <w:r w:rsidR="5298EFD7" w:rsidRPr="4B718912">
        <w:rPr>
          <w:rFonts w:ascii="Calibri" w:eastAsia="Calibri" w:hAnsi="Calibri" w:cs="Calibri"/>
          <w:color w:val="000000" w:themeColor="text1"/>
        </w:rPr>
        <w:t xml:space="preserve">by the time they exited either the EI or ECSE program. </w:t>
      </w:r>
    </w:p>
    <w:p w14:paraId="0BDB1B35" w14:textId="042D2987" w:rsidR="492AFE9A" w:rsidRDefault="63AD613D" w:rsidP="4B718912">
      <w:pPr>
        <w:spacing w:after="80"/>
      </w:pPr>
      <w:r w:rsidRPr="4B718912">
        <w:rPr>
          <w:rFonts w:ascii="Calibri" w:eastAsia="Calibri" w:hAnsi="Calibri" w:cs="Calibri"/>
          <w:color w:val="000000" w:themeColor="text1"/>
        </w:rPr>
        <w:t>T</w:t>
      </w:r>
      <w:r w:rsidR="1D7E1B15" w:rsidRPr="4B718912">
        <w:rPr>
          <w:rFonts w:ascii="Calibri" w:eastAsia="Calibri" w:hAnsi="Calibri" w:cs="Calibri"/>
          <w:color w:val="000000" w:themeColor="text1"/>
        </w:rPr>
        <w:t xml:space="preserve">his indicator shows developmental and educational results for </w:t>
      </w:r>
      <w:r w:rsidR="5BC5A8B5" w:rsidRPr="4B718912">
        <w:rPr>
          <w:rFonts w:ascii="Calibri" w:eastAsia="Calibri" w:hAnsi="Calibri" w:cs="Calibri"/>
          <w:color w:val="000000" w:themeColor="text1"/>
        </w:rPr>
        <w:t xml:space="preserve">infants, toddler, and </w:t>
      </w:r>
      <w:r w:rsidR="1D7E1B15" w:rsidRPr="4B718912">
        <w:rPr>
          <w:rFonts w:ascii="Calibri" w:eastAsia="Calibri" w:hAnsi="Calibri" w:cs="Calibri"/>
          <w:color w:val="000000" w:themeColor="text1"/>
        </w:rPr>
        <w:t>preschool children in our EI/ECSE programs.  These results are tied to Student Success Act funding as individual county EI/ECSE programs use these data to prioritize improvement in selected outcomes.</w:t>
      </w:r>
      <w:r w:rsidR="1D7E1B15">
        <w:t xml:space="preserve"> </w:t>
      </w:r>
    </w:p>
    <w:p w14:paraId="0D5F93DF" w14:textId="24B52360" w:rsidR="557D2004" w:rsidRDefault="557D2004" w:rsidP="5486BCF5">
      <w:pPr>
        <w:pStyle w:val="Heading1"/>
        <w:spacing w:before="0"/>
      </w:pPr>
      <w:r w:rsidRPr="09F73312">
        <w:rPr>
          <w:rFonts w:asciiTheme="minorHAnsi" w:hAnsiTheme="minorHAnsi" w:cstheme="minorBidi"/>
          <w:b/>
          <w:bCs/>
        </w:rPr>
        <w:lastRenderedPageBreak/>
        <w:t>What are the historical targets</w:t>
      </w:r>
      <w:r w:rsidR="44454A9B" w:rsidRPr="09F73312">
        <w:rPr>
          <w:rFonts w:asciiTheme="minorHAnsi" w:hAnsiTheme="minorHAnsi" w:cstheme="minorBidi"/>
          <w:b/>
          <w:bCs/>
        </w:rPr>
        <w:t xml:space="preserve"> and h</w:t>
      </w:r>
      <w:r w:rsidR="7F4C6521" w:rsidRPr="09F73312">
        <w:rPr>
          <w:rFonts w:asciiTheme="minorHAnsi" w:hAnsiTheme="minorHAnsi" w:cstheme="minorBidi"/>
          <w:b/>
          <w:bCs/>
        </w:rPr>
        <w:t>ow has Oregon performed over tim</w:t>
      </w:r>
      <w:r w:rsidR="7911ABA4" w:rsidRPr="09F73312">
        <w:rPr>
          <w:rFonts w:asciiTheme="minorHAnsi" w:hAnsiTheme="minorHAnsi" w:cstheme="minorBidi"/>
          <w:b/>
          <w:bCs/>
        </w:rPr>
        <w:t>e</w:t>
      </w:r>
      <w:r w:rsidR="19DE2E4B" w:rsidRPr="09F73312">
        <w:rPr>
          <w:rFonts w:asciiTheme="minorHAnsi" w:hAnsiTheme="minorHAnsi" w:cstheme="minorBidi"/>
          <w:b/>
          <w:bCs/>
        </w:rPr>
        <w:t>?</w:t>
      </w:r>
    </w:p>
    <w:p w14:paraId="1428A03E" w14:textId="18A90A15" w:rsidR="557D2004" w:rsidRDefault="557D2004" w:rsidP="5486BCF5">
      <w:pPr>
        <w:pStyle w:val="Heading1"/>
        <w:spacing w:before="0"/>
      </w:pPr>
    </w:p>
    <w:p w14:paraId="39A2C44D" w14:textId="32B3898A" w:rsidR="557D2004" w:rsidRDefault="19DE2E4B" w:rsidP="5486BCF5">
      <w:pPr>
        <w:pStyle w:val="Heading1"/>
        <w:spacing w:before="0"/>
      </w:pPr>
      <w:r>
        <w:rPr>
          <w:noProof/>
        </w:rPr>
        <w:drawing>
          <wp:inline distT="0" distB="0" distL="0" distR="0" wp14:anchorId="1027115A" wp14:editId="691A1A6E">
            <wp:extent cx="5202069" cy="3327157"/>
            <wp:effectExtent l="0" t="0" r="0" b="6985"/>
            <wp:docPr id="1436975583" name="Picture 1436975583"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02069" cy="3327157"/>
                    </a:xfrm>
                    <a:prstGeom prst="rect">
                      <a:avLst/>
                    </a:prstGeom>
                  </pic:spPr>
                </pic:pic>
              </a:graphicData>
            </a:graphic>
          </wp:inline>
        </w:drawing>
      </w:r>
      <w:r w:rsidR="46FC7324">
        <w:t xml:space="preserve"> </w:t>
      </w:r>
      <w:r w:rsidR="7B19AEFA">
        <w:t xml:space="preserve"> </w:t>
      </w:r>
    </w:p>
    <w:p w14:paraId="16DE43F7" w14:textId="3E5A568A" w:rsidR="5486BCF5" w:rsidRDefault="5486BCF5" w:rsidP="5486BCF5">
      <w:pPr>
        <w:pStyle w:val="Heading1"/>
        <w:spacing w:before="0"/>
      </w:pPr>
    </w:p>
    <w:p w14:paraId="17AE0FDB" w14:textId="4F470187" w:rsidR="7B19AEFA" w:rsidRDefault="7B19AEFA" w:rsidP="5486BCF5">
      <w:pPr>
        <w:pStyle w:val="Heading1"/>
        <w:spacing w:before="0"/>
      </w:pPr>
      <w:r>
        <w:t xml:space="preserve">   </w:t>
      </w:r>
      <w:r w:rsidR="46FC7324">
        <w:rPr>
          <w:noProof/>
        </w:rPr>
        <w:drawing>
          <wp:inline distT="0" distB="0" distL="0" distR="0" wp14:anchorId="213712EF" wp14:editId="057CF776">
            <wp:extent cx="5341490" cy="3405200"/>
            <wp:effectExtent l="0" t="0" r="0" b="5080"/>
            <wp:docPr id="940367918" name="Picture 940367918"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41490" cy="3405200"/>
                    </a:xfrm>
                    <a:prstGeom prst="rect">
                      <a:avLst/>
                    </a:prstGeom>
                  </pic:spPr>
                </pic:pic>
              </a:graphicData>
            </a:graphic>
          </wp:inline>
        </w:drawing>
      </w:r>
    </w:p>
    <w:p w14:paraId="46008291" w14:textId="4AD340D5" w:rsidR="0B773E9C" w:rsidRDefault="0B773E9C" w:rsidP="203C5131">
      <w:r>
        <w:t xml:space="preserve">                                </w:t>
      </w:r>
    </w:p>
    <w:p w14:paraId="04D9D631" w14:textId="3EB47CE4" w:rsidR="26CE49B8" w:rsidRDefault="0DC21ADD" w:rsidP="4B718912">
      <w:pPr>
        <w:spacing w:after="0"/>
      </w:pPr>
      <w:r>
        <w:t>Part C</w:t>
      </w:r>
      <w:r w:rsidR="412E8A88">
        <w:t xml:space="preserve"> (Indicator C3)</w:t>
      </w:r>
      <w:r>
        <w:t xml:space="preserve">: </w:t>
      </w:r>
    </w:p>
    <w:tbl>
      <w:tblPr>
        <w:tblStyle w:val="TableGrid"/>
        <w:tblW w:w="9223" w:type="dxa"/>
        <w:tblInd w:w="715" w:type="dxa"/>
        <w:tblLook w:val="04A0" w:firstRow="1" w:lastRow="0" w:firstColumn="1" w:lastColumn="0" w:noHBand="0" w:noVBand="1"/>
        <w:tblCaption w:val="Part C (Indicator C3)"/>
      </w:tblPr>
      <w:tblGrid>
        <w:gridCol w:w="1305"/>
        <w:gridCol w:w="1080"/>
        <w:gridCol w:w="1073"/>
        <w:gridCol w:w="1153"/>
        <w:gridCol w:w="1153"/>
        <w:gridCol w:w="1153"/>
        <w:gridCol w:w="1153"/>
        <w:gridCol w:w="1153"/>
      </w:tblGrid>
      <w:tr w:rsidR="00551272" w:rsidRPr="00B542E4" w14:paraId="72DFE977" w14:textId="77777777" w:rsidTr="00A0765D">
        <w:trPr>
          <w:tblHeader/>
        </w:trPr>
        <w:tc>
          <w:tcPr>
            <w:tcW w:w="1305" w:type="dxa"/>
          </w:tcPr>
          <w:p w14:paraId="586CEB51" w14:textId="79DDC7F5" w:rsidR="00551272" w:rsidRPr="00B542E4" w:rsidRDefault="00551272" w:rsidP="00CD2C98">
            <w:pPr>
              <w:jc w:val="center"/>
              <w:rPr>
                <w:b/>
              </w:rPr>
            </w:pPr>
            <w:r w:rsidRPr="00B542E4">
              <w:rPr>
                <w:b/>
              </w:rPr>
              <w:t>FFY</w:t>
            </w:r>
          </w:p>
        </w:tc>
        <w:tc>
          <w:tcPr>
            <w:tcW w:w="1080" w:type="dxa"/>
          </w:tcPr>
          <w:p w14:paraId="658C6B19" w14:textId="3FCFC88D" w:rsidR="00551272" w:rsidRPr="00B542E4" w:rsidRDefault="0EFF1B2F" w:rsidP="20839088">
            <w:pPr>
              <w:jc w:val="center"/>
              <w:rPr>
                <w:b/>
                <w:bCs/>
              </w:rPr>
            </w:pPr>
            <w:r w:rsidRPr="20839088">
              <w:rPr>
                <w:b/>
                <w:bCs/>
              </w:rPr>
              <w:t>20</w:t>
            </w:r>
            <w:r w:rsidR="2AFD4A6B" w:rsidRPr="20839088">
              <w:rPr>
                <w:b/>
                <w:bCs/>
              </w:rPr>
              <w:t>1</w:t>
            </w:r>
            <w:r w:rsidRPr="20839088">
              <w:rPr>
                <w:b/>
                <w:bCs/>
              </w:rPr>
              <w:t>5</w:t>
            </w:r>
          </w:p>
        </w:tc>
        <w:tc>
          <w:tcPr>
            <w:tcW w:w="1073" w:type="dxa"/>
          </w:tcPr>
          <w:p w14:paraId="56F594C4" w14:textId="7194A6AA" w:rsidR="00551272" w:rsidRPr="00B542E4" w:rsidRDefault="00551272" w:rsidP="00CD2C98">
            <w:pPr>
              <w:jc w:val="center"/>
              <w:rPr>
                <w:b/>
              </w:rPr>
            </w:pPr>
            <w:r w:rsidRPr="00B542E4">
              <w:rPr>
                <w:b/>
              </w:rPr>
              <w:t>2014</w:t>
            </w:r>
          </w:p>
        </w:tc>
        <w:tc>
          <w:tcPr>
            <w:tcW w:w="1153" w:type="dxa"/>
          </w:tcPr>
          <w:p w14:paraId="2659189E" w14:textId="660CFA01" w:rsidR="00551272" w:rsidRPr="00B542E4" w:rsidRDefault="00551272" w:rsidP="00CD2C98">
            <w:pPr>
              <w:jc w:val="center"/>
              <w:rPr>
                <w:b/>
              </w:rPr>
            </w:pPr>
            <w:r w:rsidRPr="00B542E4">
              <w:rPr>
                <w:b/>
              </w:rPr>
              <w:t>2015</w:t>
            </w:r>
          </w:p>
        </w:tc>
        <w:tc>
          <w:tcPr>
            <w:tcW w:w="1153" w:type="dxa"/>
          </w:tcPr>
          <w:p w14:paraId="43123113" w14:textId="6B7184C8" w:rsidR="00551272" w:rsidRPr="00B542E4" w:rsidRDefault="00551272" w:rsidP="00CD2C98">
            <w:pPr>
              <w:jc w:val="center"/>
              <w:rPr>
                <w:b/>
              </w:rPr>
            </w:pPr>
            <w:r w:rsidRPr="00B542E4">
              <w:rPr>
                <w:b/>
              </w:rPr>
              <w:t>2016</w:t>
            </w:r>
          </w:p>
        </w:tc>
        <w:tc>
          <w:tcPr>
            <w:tcW w:w="1153" w:type="dxa"/>
          </w:tcPr>
          <w:p w14:paraId="2BF19147" w14:textId="0480FBE8" w:rsidR="00551272" w:rsidRPr="00B542E4" w:rsidRDefault="00551272" w:rsidP="00CD2C98">
            <w:pPr>
              <w:jc w:val="center"/>
              <w:rPr>
                <w:b/>
              </w:rPr>
            </w:pPr>
            <w:r w:rsidRPr="00B542E4">
              <w:rPr>
                <w:b/>
              </w:rPr>
              <w:t>2017</w:t>
            </w:r>
          </w:p>
        </w:tc>
        <w:tc>
          <w:tcPr>
            <w:tcW w:w="1153" w:type="dxa"/>
          </w:tcPr>
          <w:p w14:paraId="6D5F0F6E" w14:textId="44980E38" w:rsidR="00551272" w:rsidRPr="00B542E4" w:rsidRDefault="00551272" w:rsidP="00CD2C98">
            <w:pPr>
              <w:jc w:val="center"/>
              <w:rPr>
                <w:b/>
              </w:rPr>
            </w:pPr>
            <w:r w:rsidRPr="00B542E4">
              <w:rPr>
                <w:b/>
              </w:rPr>
              <w:t>2018</w:t>
            </w:r>
          </w:p>
        </w:tc>
        <w:tc>
          <w:tcPr>
            <w:tcW w:w="1153" w:type="dxa"/>
          </w:tcPr>
          <w:p w14:paraId="06EE83EE" w14:textId="7514097A" w:rsidR="7438A118" w:rsidRDefault="7438A118" w:rsidP="6AE4DB40">
            <w:pPr>
              <w:jc w:val="center"/>
              <w:rPr>
                <w:b/>
                <w:bCs/>
              </w:rPr>
            </w:pPr>
            <w:r w:rsidRPr="6AE4DB40">
              <w:rPr>
                <w:b/>
                <w:bCs/>
              </w:rPr>
              <w:t>2019</w:t>
            </w:r>
          </w:p>
        </w:tc>
      </w:tr>
      <w:tr w:rsidR="00686AA4" w14:paraId="64D8B226" w14:textId="77777777" w:rsidTr="203C5131">
        <w:tc>
          <w:tcPr>
            <w:tcW w:w="1305" w:type="dxa"/>
          </w:tcPr>
          <w:p w14:paraId="130C79D6" w14:textId="76652C97" w:rsidR="00686AA4" w:rsidRDefault="334FDD56" w:rsidP="07911C62">
            <w:r>
              <w:t xml:space="preserve">A1 </w:t>
            </w:r>
            <w:r w:rsidR="5E18F7F9">
              <w:t>Targe</w:t>
            </w:r>
            <w:r w:rsidR="5054F0A2">
              <w:t xml:space="preserve">t </w:t>
            </w:r>
            <w:r w:rsidR="5054F0A2" w:rsidRPr="07911C62">
              <w:t>≤</w:t>
            </w:r>
          </w:p>
        </w:tc>
        <w:tc>
          <w:tcPr>
            <w:tcW w:w="1080" w:type="dxa"/>
          </w:tcPr>
          <w:p w14:paraId="60AAC71B" w14:textId="1CBA80BA" w:rsidR="00686AA4" w:rsidRPr="00373050" w:rsidRDefault="5E18F7F9" w:rsidP="07911C62">
            <w:pPr>
              <w:jc w:val="center"/>
              <w:rPr>
                <w:i/>
                <w:iCs/>
              </w:rPr>
            </w:pPr>
            <w:r w:rsidRPr="07911C62">
              <w:rPr>
                <w:i/>
                <w:iCs/>
              </w:rPr>
              <w:t>Baselin</w:t>
            </w:r>
            <w:r w:rsidR="498FC8A9" w:rsidRPr="07911C62">
              <w:rPr>
                <w:i/>
                <w:iCs/>
              </w:rPr>
              <w:t>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1B18E658" w:rsidR="00686AA4" w:rsidRDefault="1C2C65F5" w:rsidP="07911C62">
            <w:pPr>
              <w:jc w:val="center"/>
            </w:pPr>
            <w:r>
              <w:t>81.40%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4E27EE43" w:rsidR="00686AA4" w:rsidRDefault="1C2C65F5" w:rsidP="07911C62">
            <w:pPr>
              <w:jc w:val="center"/>
            </w:pPr>
            <w:r>
              <w:t>82.00%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52577D34" w:rsidR="00686AA4" w:rsidRDefault="1C2C65F5" w:rsidP="07911C62">
            <w:pPr>
              <w:jc w:val="center"/>
            </w:pPr>
            <w: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5C36A07E" w:rsidR="00686AA4" w:rsidRDefault="1C2C65F5" w:rsidP="07911C62">
            <w:pPr>
              <w:jc w:val="center"/>
            </w:pPr>
            <w: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4EB59ECD" w:rsidR="00686AA4" w:rsidRDefault="1C2C65F5" w:rsidP="07911C62">
            <w:pPr>
              <w:jc w:val="center"/>
            </w:pPr>
            <w: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7CE4DE6" w14:textId="51C8143F" w:rsidR="6AE4DB40" w:rsidRDefault="1C2C65F5" w:rsidP="6AE4DB40">
            <w:pPr>
              <w:jc w:val="center"/>
            </w:pPr>
            <w:r>
              <w:t>85.40%</w:t>
            </w:r>
          </w:p>
        </w:tc>
      </w:tr>
      <w:tr w:rsidR="00686AA4" w14:paraId="7AF46E60" w14:textId="77777777" w:rsidTr="203C5131">
        <w:tc>
          <w:tcPr>
            <w:tcW w:w="1305" w:type="dxa"/>
          </w:tcPr>
          <w:p w14:paraId="683754A9" w14:textId="496757D4" w:rsidR="00686AA4" w:rsidRDefault="00686AA4" w:rsidP="00686AA4">
            <w:r>
              <w:t>Data</w:t>
            </w:r>
          </w:p>
        </w:tc>
        <w:tc>
          <w:tcPr>
            <w:tcW w:w="1080" w:type="dxa"/>
          </w:tcPr>
          <w:p w14:paraId="2DB7D713" w14:textId="7D646201" w:rsidR="00686AA4" w:rsidRDefault="40CBCA84" w:rsidP="00686AA4">
            <w:pPr>
              <w:jc w:val="center"/>
            </w:pPr>
            <w:r>
              <w:t>84.89%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411D824E" w:rsidR="00686AA4" w:rsidRDefault="1549B37A" w:rsidP="07911C62">
            <w:pPr>
              <w:jc w:val="center"/>
            </w:pPr>
            <w:r>
              <w:t>81.54%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76631F54" w:rsidR="00686AA4" w:rsidRDefault="1549B37A" w:rsidP="07911C62">
            <w:pPr>
              <w:jc w:val="center"/>
            </w:pPr>
            <w:r>
              <w:t>84.89%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57503339" w:rsidR="00686AA4" w:rsidRDefault="1549B37A" w:rsidP="07911C62">
            <w:pPr>
              <w:jc w:val="center"/>
            </w:pPr>
            <w:r>
              <w:t>85.08%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178ED193" w:rsidR="00686AA4" w:rsidRDefault="1549B37A" w:rsidP="07911C62">
            <w:pPr>
              <w:jc w:val="center"/>
            </w:pPr>
            <w:r>
              <w:t>84.83%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62B9E94B" w:rsidR="00686AA4" w:rsidRDefault="1549B37A" w:rsidP="07911C62">
            <w:pPr>
              <w:jc w:val="center"/>
            </w:pPr>
            <w:r>
              <w:t>85.29%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D17554D" w14:textId="58977A1A" w:rsidR="6AE4DB40" w:rsidRDefault="17CCE384" w:rsidP="6AE4DB40">
            <w:pPr>
              <w:jc w:val="center"/>
            </w:pPr>
            <w:r>
              <w:t>85.92%</w:t>
            </w:r>
          </w:p>
        </w:tc>
      </w:tr>
      <w:tr w:rsidR="07911C62" w14:paraId="68F1F921" w14:textId="77777777" w:rsidTr="203C5131">
        <w:tc>
          <w:tcPr>
            <w:tcW w:w="9223" w:type="dxa"/>
            <w:gridSpan w:val="8"/>
            <w:tcBorders>
              <w:right w:val="single" w:sz="4" w:space="0" w:color="auto"/>
            </w:tcBorders>
            <w:shd w:val="clear" w:color="auto" w:fill="FFF2CC" w:themeFill="accent4" w:themeFillTint="33"/>
          </w:tcPr>
          <w:p w14:paraId="29D7C459" w14:textId="154D8FA9" w:rsidR="07911C62" w:rsidRDefault="07911C62" w:rsidP="07911C62"/>
        </w:tc>
      </w:tr>
      <w:tr w:rsidR="07911C62" w14:paraId="2DD0F67E" w14:textId="77777777" w:rsidTr="203C5131">
        <w:tc>
          <w:tcPr>
            <w:tcW w:w="1305" w:type="dxa"/>
          </w:tcPr>
          <w:p w14:paraId="5A58E2BF" w14:textId="74AAF9B1" w:rsidR="4E8B7555" w:rsidRDefault="4E8B7555">
            <w:r>
              <w:t xml:space="preserve">B1 </w:t>
            </w:r>
            <w:r w:rsidR="07911C62">
              <w:t xml:space="preserve">Target </w:t>
            </w:r>
            <w:r w:rsidR="07911C62" w:rsidRPr="07911C62">
              <w:t>≤</w:t>
            </w:r>
          </w:p>
        </w:tc>
        <w:tc>
          <w:tcPr>
            <w:tcW w:w="1080" w:type="dxa"/>
          </w:tcPr>
          <w:p w14:paraId="4E7360B8" w14:textId="0DBA5734" w:rsidR="5C81F291" w:rsidRDefault="5C81F291" w:rsidP="07911C62">
            <w:pPr>
              <w:jc w:val="center"/>
              <w:rPr>
                <w:i/>
                <w:iCs/>
              </w:rPr>
            </w:pPr>
            <w:r w:rsidRPr="07911C62">
              <w:rPr>
                <w:i/>
                <w:iCs/>
              </w:rPr>
              <w:t>Baseline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2034250" w14:textId="2AF76441" w:rsidR="14C0415F" w:rsidRDefault="14C0415F" w:rsidP="07911C62">
            <w:pPr>
              <w:jc w:val="center"/>
            </w:pPr>
            <w:r>
              <w:t xml:space="preserve">64.20%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99454DB" w14:textId="4759BC3A" w:rsidR="14C0415F" w:rsidRDefault="14C0415F" w:rsidP="07911C62">
            <w:pPr>
              <w:jc w:val="center"/>
            </w:pPr>
            <w:r>
              <w:t>64.30%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6154AE" w14:textId="6793D380" w:rsidR="14C0415F" w:rsidRDefault="14C0415F" w:rsidP="07911C62">
            <w:pPr>
              <w:jc w:val="center"/>
            </w:pPr>
            <w: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3BC209" w14:textId="5C13E68A" w:rsidR="14C0415F" w:rsidRDefault="14C0415F" w:rsidP="07911C62">
            <w:pPr>
              <w:jc w:val="center"/>
            </w:pPr>
            <w: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24566" w14:textId="55CC6B3F" w:rsidR="14C0415F" w:rsidRDefault="14C0415F" w:rsidP="07911C62">
            <w:pPr>
              <w:jc w:val="center"/>
            </w:pPr>
            <w: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3FFEB6" w14:textId="280252B9" w:rsidR="14C0415F" w:rsidRDefault="14C0415F" w:rsidP="07911C62">
            <w:pPr>
              <w:jc w:val="center"/>
            </w:pPr>
            <w:r>
              <w:t>66.70%</w:t>
            </w:r>
          </w:p>
        </w:tc>
      </w:tr>
      <w:tr w:rsidR="07911C62" w14:paraId="238D4D0E" w14:textId="77777777" w:rsidTr="203C5131">
        <w:tc>
          <w:tcPr>
            <w:tcW w:w="1305" w:type="dxa"/>
          </w:tcPr>
          <w:p w14:paraId="03756CEC" w14:textId="496757D4" w:rsidR="07911C62" w:rsidRDefault="07911C62">
            <w:r>
              <w:t>Data</w:t>
            </w:r>
          </w:p>
        </w:tc>
        <w:tc>
          <w:tcPr>
            <w:tcW w:w="1080" w:type="dxa"/>
          </w:tcPr>
          <w:p w14:paraId="37E20EE6" w14:textId="67705A29" w:rsidR="3EE4CD22" w:rsidRDefault="3EE4CD22" w:rsidP="07911C62">
            <w:pPr>
              <w:jc w:val="center"/>
            </w:pPr>
            <w:r>
              <w:t>66.42%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6F7756A" w14:textId="7677BA42" w:rsidR="34820458" w:rsidRDefault="34820458" w:rsidP="07911C62">
            <w:pPr>
              <w:jc w:val="center"/>
            </w:pPr>
            <w:r>
              <w:t>61.33%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86B8EC8" w14:textId="200E90CF" w:rsidR="34820458" w:rsidRDefault="34820458" w:rsidP="07911C62">
            <w:pPr>
              <w:jc w:val="center"/>
            </w:pPr>
            <w:r>
              <w:t>66.42%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36D6B11" w14:textId="605A2CD2" w:rsidR="34820458" w:rsidRDefault="34820458" w:rsidP="07911C62">
            <w:pPr>
              <w:jc w:val="center"/>
            </w:pPr>
            <w:r>
              <w:t>64.32%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B5618B" w14:textId="3CCC84C5" w:rsidR="34820458" w:rsidRDefault="34820458" w:rsidP="07911C62">
            <w:pPr>
              <w:jc w:val="center"/>
            </w:pPr>
            <w:r>
              <w:t>61.85%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1BDC6A" w14:textId="795836C5" w:rsidR="34820458" w:rsidRDefault="34820458" w:rsidP="07911C62">
            <w:pPr>
              <w:jc w:val="center"/>
            </w:pPr>
            <w:r>
              <w:t>61.40%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D3037D" w14:textId="62D63B96" w:rsidR="34820458" w:rsidRDefault="34820458" w:rsidP="07911C62">
            <w:pPr>
              <w:jc w:val="center"/>
            </w:pPr>
            <w:r>
              <w:t>61.98%</w:t>
            </w:r>
          </w:p>
        </w:tc>
      </w:tr>
    </w:tbl>
    <w:p w14:paraId="00E049ED" w14:textId="7CCC211E" w:rsidR="203C5131" w:rsidRDefault="203C5131" w:rsidP="203C5131">
      <w:pPr>
        <w:spacing w:before="80" w:after="0"/>
      </w:pPr>
    </w:p>
    <w:p w14:paraId="3CD0F36F" w14:textId="175A68D5" w:rsidR="20CECC29" w:rsidRDefault="20CECC29" w:rsidP="203C5131">
      <w:pPr>
        <w:spacing w:before="80" w:after="0"/>
        <w:jc w:val="center"/>
      </w:pPr>
      <w:r>
        <w:t xml:space="preserve"> Indicator B7: A1                                                       </w:t>
      </w:r>
      <w:r>
        <w:rPr>
          <w:noProof/>
        </w:rPr>
        <w:drawing>
          <wp:inline distT="0" distB="0" distL="0" distR="0" wp14:anchorId="5C0D812F" wp14:editId="778B5FA1">
            <wp:extent cx="4600575" cy="2943225"/>
            <wp:effectExtent l="0" t="0" r="9525" b="9525"/>
            <wp:docPr id="40577696" name="Picture 40577696"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00575" cy="2943225"/>
                    </a:xfrm>
                    <a:prstGeom prst="rect">
                      <a:avLst/>
                    </a:prstGeom>
                  </pic:spPr>
                </pic:pic>
              </a:graphicData>
            </a:graphic>
          </wp:inline>
        </w:drawing>
      </w:r>
    </w:p>
    <w:p w14:paraId="312AACC2" w14:textId="730964E3" w:rsidR="203C5131" w:rsidRDefault="203C5131" w:rsidP="203C5131">
      <w:pPr>
        <w:spacing w:before="80" w:after="0"/>
      </w:pPr>
    </w:p>
    <w:p w14:paraId="21B5E0F7" w14:textId="0A6C9294" w:rsidR="20CECC29" w:rsidRDefault="20CECC29" w:rsidP="203C5131">
      <w:pPr>
        <w:spacing w:before="80" w:after="0"/>
        <w:jc w:val="center"/>
      </w:pPr>
      <w:r>
        <w:rPr>
          <w:noProof/>
        </w:rPr>
        <w:drawing>
          <wp:inline distT="0" distB="0" distL="0" distR="0" wp14:anchorId="1A52F2DC" wp14:editId="1C95B365">
            <wp:extent cx="4572000" cy="2914650"/>
            <wp:effectExtent l="0" t="0" r="0" b="0"/>
            <wp:docPr id="773622804" name="Picture 773622804"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501AD98A" w14:textId="08B05207" w:rsidR="118102CB" w:rsidRDefault="2967C005" w:rsidP="4B718912">
      <w:pPr>
        <w:spacing w:before="80" w:after="0"/>
      </w:pPr>
      <w:r>
        <w:t>Part B 619</w:t>
      </w:r>
      <w:r w:rsidR="32040B0A">
        <w:t xml:space="preserve"> (Indicator B7)</w:t>
      </w:r>
      <w:r>
        <w:t xml:space="preserve">: </w:t>
      </w:r>
    </w:p>
    <w:tbl>
      <w:tblPr>
        <w:tblStyle w:val="TableGrid"/>
        <w:tblW w:w="0" w:type="auto"/>
        <w:tblInd w:w="715" w:type="dxa"/>
        <w:tblLook w:val="04A0" w:firstRow="1" w:lastRow="0" w:firstColumn="1" w:lastColumn="0" w:noHBand="0" w:noVBand="1"/>
        <w:tblCaption w:val="Part B 619 (Indicator B7)"/>
      </w:tblPr>
      <w:tblGrid>
        <w:gridCol w:w="1303"/>
        <w:gridCol w:w="1080"/>
        <w:gridCol w:w="1073"/>
        <w:gridCol w:w="1151"/>
        <w:gridCol w:w="1151"/>
        <w:gridCol w:w="1151"/>
        <w:gridCol w:w="1151"/>
        <w:gridCol w:w="1151"/>
      </w:tblGrid>
      <w:tr w:rsidR="07911C62" w14:paraId="4906B067" w14:textId="77777777" w:rsidTr="00A0765D">
        <w:trPr>
          <w:tblHeader/>
        </w:trPr>
        <w:tc>
          <w:tcPr>
            <w:tcW w:w="1305" w:type="dxa"/>
          </w:tcPr>
          <w:p w14:paraId="62CD3B72" w14:textId="79DDC7F5" w:rsidR="07911C62" w:rsidRDefault="07911C62" w:rsidP="07911C62">
            <w:pPr>
              <w:jc w:val="center"/>
              <w:rPr>
                <w:b/>
                <w:bCs/>
              </w:rPr>
            </w:pPr>
            <w:r w:rsidRPr="07911C62">
              <w:rPr>
                <w:b/>
                <w:bCs/>
              </w:rPr>
              <w:t>FFY</w:t>
            </w:r>
          </w:p>
        </w:tc>
        <w:tc>
          <w:tcPr>
            <w:tcW w:w="1080" w:type="dxa"/>
          </w:tcPr>
          <w:p w14:paraId="04C9BDD3" w14:textId="3FCFC88D" w:rsidR="07911C62" w:rsidRDefault="07911C62" w:rsidP="07911C62">
            <w:pPr>
              <w:jc w:val="center"/>
              <w:rPr>
                <w:b/>
                <w:bCs/>
              </w:rPr>
            </w:pPr>
            <w:r w:rsidRPr="07911C62">
              <w:rPr>
                <w:b/>
                <w:bCs/>
              </w:rPr>
              <w:t>2015</w:t>
            </w:r>
          </w:p>
        </w:tc>
        <w:tc>
          <w:tcPr>
            <w:tcW w:w="1073" w:type="dxa"/>
          </w:tcPr>
          <w:p w14:paraId="7D83B29E" w14:textId="7194A6AA" w:rsidR="07911C62" w:rsidRDefault="07911C62" w:rsidP="07911C62">
            <w:pPr>
              <w:jc w:val="center"/>
              <w:rPr>
                <w:b/>
                <w:bCs/>
              </w:rPr>
            </w:pPr>
            <w:r w:rsidRPr="07911C62">
              <w:rPr>
                <w:b/>
                <w:bCs/>
              </w:rPr>
              <w:t>2014</w:t>
            </w:r>
          </w:p>
        </w:tc>
        <w:tc>
          <w:tcPr>
            <w:tcW w:w="1153" w:type="dxa"/>
          </w:tcPr>
          <w:p w14:paraId="5D04FF60" w14:textId="660CFA01" w:rsidR="07911C62" w:rsidRDefault="07911C62" w:rsidP="07911C62">
            <w:pPr>
              <w:jc w:val="center"/>
              <w:rPr>
                <w:b/>
                <w:bCs/>
              </w:rPr>
            </w:pPr>
            <w:r w:rsidRPr="07911C62">
              <w:rPr>
                <w:b/>
                <w:bCs/>
              </w:rPr>
              <w:t>2015</w:t>
            </w:r>
          </w:p>
        </w:tc>
        <w:tc>
          <w:tcPr>
            <w:tcW w:w="1153" w:type="dxa"/>
          </w:tcPr>
          <w:p w14:paraId="5F9296A8" w14:textId="6B7184C8" w:rsidR="07911C62" w:rsidRDefault="07911C62" w:rsidP="07911C62">
            <w:pPr>
              <w:jc w:val="center"/>
              <w:rPr>
                <w:b/>
                <w:bCs/>
              </w:rPr>
            </w:pPr>
            <w:r w:rsidRPr="07911C62">
              <w:rPr>
                <w:b/>
                <w:bCs/>
              </w:rPr>
              <w:t>2016</w:t>
            </w:r>
          </w:p>
        </w:tc>
        <w:tc>
          <w:tcPr>
            <w:tcW w:w="1153" w:type="dxa"/>
          </w:tcPr>
          <w:p w14:paraId="52CD71FB" w14:textId="0480FBE8" w:rsidR="07911C62" w:rsidRDefault="07911C62" w:rsidP="07911C62">
            <w:pPr>
              <w:jc w:val="center"/>
              <w:rPr>
                <w:b/>
                <w:bCs/>
              </w:rPr>
            </w:pPr>
            <w:r w:rsidRPr="07911C62">
              <w:rPr>
                <w:b/>
                <w:bCs/>
              </w:rPr>
              <w:t>2017</w:t>
            </w:r>
          </w:p>
        </w:tc>
        <w:tc>
          <w:tcPr>
            <w:tcW w:w="1153" w:type="dxa"/>
          </w:tcPr>
          <w:p w14:paraId="28ED17AA" w14:textId="44980E38" w:rsidR="07911C62" w:rsidRDefault="07911C62" w:rsidP="07911C62">
            <w:pPr>
              <w:jc w:val="center"/>
              <w:rPr>
                <w:b/>
                <w:bCs/>
              </w:rPr>
            </w:pPr>
            <w:r w:rsidRPr="07911C62">
              <w:rPr>
                <w:b/>
                <w:bCs/>
              </w:rPr>
              <w:t>2018</w:t>
            </w:r>
          </w:p>
        </w:tc>
        <w:tc>
          <w:tcPr>
            <w:tcW w:w="1153" w:type="dxa"/>
          </w:tcPr>
          <w:p w14:paraId="00F4FF02" w14:textId="7514097A" w:rsidR="07911C62" w:rsidRDefault="07911C62" w:rsidP="07911C62">
            <w:pPr>
              <w:jc w:val="center"/>
              <w:rPr>
                <w:b/>
                <w:bCs/>
              </w:rPr>
            </w:pPr>
            <w:r w:rsidRPr="07911C62">
              <w:rPr>
                <w:b/>
                <w:bCs/>
              </w:rPr>
              <w:t>2019</w:t>
            </w:r>
          </w:p>
        </w:tc>
      </w:tr>
      <w:tr w:rsidR="07911C62" w14:paraId="7ABE337C" w14:textId="77777777" w:rsidTr="07911C62">
        <w:tc>
          <w:tcPr>
            <w:tcW w:w="1305" w:type="dxa"/>
          </w:tcPr>
          <w:p w14:paraId="39EB89D6" w14:textId="76652C97" w:rsidR="07911C62" w:rsidRDefault="07911C62" w:rsidP="07911C62">
            <w:r>
              <w:t xml:space="preserve">A1 Target </w:t>
            </w:r>
            <w:r w:rsidRPr="07911C62">
              <w:t>≤</w:t>
            </w:r>
          </w:p>
        </w:tc>
        <w:tc>
          <w:tcPr>
            <w:tcW w:w="1080" w:type="dxa"/>
          </w:tcPr>
          <w:p w14:paraId="5B360F14" w14:textId="1CBA80BA" w:rsidR="07911C62" w:rsidRDefault="07911C62" w:rsidP="07911C62">
            <w:pPr>
              <w:jc w:val="center"/>
              <w:rPr>
                <w:i/>
                <w:iCs/>
              </w:rPr>
            </w:pPr>
            <w:r w:rsidRPr="07911C62">
              <w:rPr>
                <w:i/>
                <w:iCs/>
              </w:rPr>
              <w:t>Baseline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55E646D" w14:textId="23A9C7E0" w:rsidR="52C70453" w:rsidRDefault="52C70453" w:rsidP="07911C62">
            <w:pPr>
              <w:jc w:val="center"/>
            </w:pPr>
            <w:r>
              <w:t>74.80%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8B8898" w14:textId="3B1093A6" w:rsidR="52C70453" w:rsidRDefault="52C70453" w:rsidP="07911C62">
            <w:pPr>
              <w:jc w:val="center"/>
            </w:pPr>
            <w:r>
              <w:t>75.00%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7A8E72" w14:textId="4121B127" w:rsidR="52C70453" w:rsidRDefault="52C70453" w:rsidP="07911C62">
            <w:pPr>
              <w:jc w:val="center"/>
            </w:pPr>
            <w: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B505FD7" w14:textId="7A590E9F" w:rsidR="52C70453" w:rsidRDefault="52C70453" w:rsidP="07911C62">
            <w:pPr>
              <w:jc w:val="center"/>
            </w:pPr>
            <w: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43B6A5" w14:textId="0D137F81" w:rsidR="52C70453" w:rsidRDefault="52C70453" w:rsidP="07911C62">
            <w:pPr>
              <w:jc w:val="center"/>
            </w:pPr>
            <w: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B98421F" w14:textId="4AFCE39D" w:rsidR="52C70453" w:rsidRDefault="52C70453" w:rsidP="07911C62">
            <w:pPr>
              <w:jc w:val="center"/>
            </w:pPr>
            <w:r>
              <w:t>76.10%</w:t>
            </w:r>
          </w:p>
        </w:tc>
      </w:tr>
      <w:tr w:rsidR="07911C62" w14:paraId="2D5228EB" w14:textId="77777777" w:rsidTr="07911C62">
        <w:tc>
          <w:tcPr>
            <w:tcW w:w="1305" w:type="dxa"/>
          </w:tcPr>
          <w:p w14:paraId="4DE29CDE" w14:textId="496757D4" w:rsidR="07911C62" w:rsidRDefault="07911C62">
            <w:r>
              <w:t>Data</w:t>
            </w:r>
          </w:p>
        </w:tc>
        <w:tc>
          <w:tcPr>
            <w:tcW w:w="1080" w:type="dxa"/>
          </w:tcPr>
          <w:p w14:paraId="6EAAC8AD" w14:textId="6331ECCC" w:rsidR="7B77779C" w:rsidRDefault="7B77779C" w:rsidP="07911C62">
            <w:pPr>
              <w:jc w:val="center"/>
            </w:pPr>
            <w:r>
              <w:t>75.62%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310DF7C" w14:textId="4789B923" w:rsidR="0CF981D3" w:rsidRDefault="0CF981D3" w:rsidP="07911C62">
            <w:pPr>
              <w:jc w:val="center"/>
            </w:pPr>
            <w:r>
              <w:t>73.96%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8E67D8" w14:textId="700CE39E" w:rsidR="0CF981D3" w:rsidRDefault="0CF981D3" w:rsidP="07911C62">
            <w:pPr>
              <w:jc w:val="center"/>
            </w:pPr>
            <w:r>
              <w:t>75.62%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14520CF" w14:textId="071E74D5" w:rsidR="0CF981D3" w:rsidRDefault="0CF981D3" w:rsidP="07911C62">
            <w:pPr>
              <w:jc w:val="center"/>
            </w:pPr>
            <w:r>
              <w:t>76.17%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536DC4C" w14:textId="4869CCA0" w:rsidR="0CF981D3" w:rsidRDefault="0CF981D3" w:rsidP="07911C62">
            <w:pPr>
              <w:jc w:val="center"/>
            </w:pPr>
            <w:r>
              <w:t>79.61%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44D6C3" w14:textId="774AA503" w:rsidR="0CF981D3" w:rsidRDefault="0CF981D3" w:rsidP="07911C62">
            <w:pPr>
              <w:jc w:val="center"/>
            </w:pPr>
            <w:r>
              <w:t>77.90%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11720F" w14:textId="47A4AA66" w:rsidR="0CF981D3" w:rsidRDefault="0CF981D3" w:rsidP="07911C62">
            <w:pPr>
              <w:jc w:val="center"/>
            </w:pPr>
            <w:r>
              <w:t>77.10%</w:t>
            </w:r>
          </w:p>
        </w:tc>
      </w:tr>
      <w:tr w:rsidR="07911C62" w14:paraId="3C0E38AD" w14:textId="77777777" w:rsidTr="07911C62">
        <w:tc>
          <w:tcPr>
            <w:tcW w:w="9223" w:type="dxa"/>
            <w:gridSpan w:val="8"/>
            <w:tcBorders>
              <w:right w:val="single" w:sz="4" w:space="0" w:color="auto"/>
            </w:tcBorders>
            <w:shd w:val="clear" w:color="auto" w:fill="FBE4D5" w:themeFill="accent2" w:themeFillTint="33"/>
          </w:tcPr>
          <w:p w14:paraId="78105ABB" w14:textId="154D8FA9" w:rsidR="07911C62" w:rsidRDefault="07911C62" w:rsidP="07911C62"/>
        </w:tc>
      </w:tr>
      <w:tr w:rsidR="07911C62" w14:paraId="5B93E044" w14:textId="77777777" w:rsidTr="07911C62">
        <w:tc>
          <w:tcPr>
            <w:tcW w:w="1305" w:type="dxa"/>
          </w:tcPr>
          <w:p w14:paraId="3F0C460A" w14:textId="74AAF9B1" w:rsidR="07911C62" w:rsidRDefault="07911C62">
            <w:r>
              <w:t xml:space="preserve">B1 Target </w:t>
            </w:r>
            <w:r w:rsidRPr="07911C62">
              <w:t>≤</w:t>
            </w:r>
          </w:p>
        </w:tc>
        <w:tc>
          <w:tcPr>
            <w:tcW w:w="1080" w:type="dxa"/>
          </w:tcPr>
          <w:p w14:paraId="74920BBD" w14:textId="2658DD5F" w:rsidR="082F3AED" w:rsidRDefault="082F3AED" w:rsidP="07911C62">
            <w:pPr>
              <w:jc w:val="center"/>
              <w:rPr>
                <w:i/>
                <w:iCs/>
              </w:rPr>
            </w:pPr>
            <w:r w:rsidRPr="07911C62">
              <w:rPr>
                <w:i/>
                <w:iCs/>
              </w:rPr>
              <w:t>Baseline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649A55E" w14:textId="5FA3F3D2" w:rsidR="312DAC7E" w:rsidRDefault="312DAC7E" w:rsidP="07911C62">
            <w:pPr>
              <w:jc w:val="center"/>
            </w:pPr>
            <w:r>
              <w:t>61.00%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47EFF8E" w14:textId="061F211D" w:rsidR="312DAC7E" w:rsidRDefault="312DAC7E" w:rsidP="07911C62">
            <w:pPr>
              <w:jc w:val="center"/>
            </w:pPr>
            <w:r>
              <w:t>61.50%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4C113E0" w14:textId="3763787B" w:rsidR="312DAC7E" w:rsidRDefault="312DAC7E" w:rsidP="07911C62">
            <w:pPr>
              <w:jc w:val="center"/>
            </w:pPr>
            <w: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BF8B65" w14:textId="0B5E4AD3" w:rsidR="312DAC7E" w:rsidRDefault="312DAC7E" w:rsidP="07911C62">
            <w:pPr>
              <w:jc w:val="center"/>
            </w:pPr>
            <w: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6AB5562" w14:textId="68366A7B" w:rsidR="312DAC7E" w:rsidRDefault="312DAC7E" w:rsidP="07911C62">
            <w:pPr>
              <w:jc w:val="center"/>
            </w:pPr>
            <w: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5661E1" w14:textId="322FD598" w:rsidR="312DAC7E" w:rsidRDefault="312DAC7E" w:rsidP="07911C62">
            <w:pPr>
              <w:jc w:val="center"/>
            </w:pPr>
            <w:r>
              <w:t>74.20%</w:t>
            </w:r>
          </w:p>
        </w:tc>
      </w:tr>
      <w:tr w:rsidR="07911C62" w14:paraId="5514F291" w14:textId="77777777" w:rsidTr="07911C62">
        <w:tc>
          <w:tcPr>
            <w:tcW w:w="1305" w:type="dxa"/>
          </w:tcPr>
          <w:p w14:paraId="41166E94" w14:textId="496757D4" w:rsidR="07911C62" w:rsidRDefault="07911C62">
            <w:r>
              <w:lastRenderedPageBreak/>
              <w:t>Data</w:t>
            </w:r>
          </w:p>
        </w:tc>
        <w:tc>
          <w:tcPr>
            <w:tcW w:w="1080" w:type="dxa"/>
          </w:tcPr>
          <w:p w14:paraId="6C0BA56E" w14:textId="53595DCB" w:rsidR="41B54060" w:rsidRDefault="41B54060" w:rsidP="07911C62">
            <w:pPr>
              <w:jc w:val="center"/>
            </w:pPr>
            <w:r>
              <w:t>73.66%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1CD2029" w14:textId="0957B1D9" w:rsidR="69F02D6D" w:rsidRDefault="69F02D6D" w:rsidP="07911C62">
            <w:pPr>
              <w:jc w:val="center"/>
            </w:pPr>
            <w:r>
              <w:t>53.40%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A6079D" w14:textId="5A84CBE8" w:rsidR="69F02D6D" w:rsidRDefault="69F02D6D" w:rsidP="07911C62">
            <w:pPr>
              <w:jc w:val="center"/>
            </w:pPr>
            <w:r>
              <w:t>73.66%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24CECB" w14:textId="5971DD3F" w:rsidR="69F02D6D" w:rsidRDefault="69F02D6D" w:rsidP="07911C62">
            <w:pPr>
              <w:jc w:val="center"/>
            </w:pPr>
            <w:r>
              <w:t>71.45%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637143" w14:textId="7626623A" w:rsidR="69F02D6D" w:rsidRDefault="69F02D6D" w:rsidP="07911C62">
            <w:pPr>
              <w:jc w:val="center"/>
            </w:pPr>
            <w:r>
              <w:t>74.18%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4EDB36" w14:textId="498D182F" w:rsidR="69F02D6D" w:rsidRDefault="69F02D6D" w:rsidP="07911C62">
            <w:pPr>
              <w:jc w:val="center"/>
            </w:pPr>
            <w:r>
              <w:t>74.06%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7001302" w14:textId="6550E5A0" w:rsidR="69F02D6D" w:rsidRDefault="69F02D6D" w:rsidP="07911C62">
            <w:pPr>
              <w:jc w:val="center"/>
            </w:pPr>
            <w:r>
              <w:t>71.99%</w:t>
            </w:r>
          </w:p>
        </w:tc>
      </w:tr>
    </w:tbl>
    <w:p w14:paraId="294E7E1B" w14:textId="2BDCDB2A" w:rsidR="118102CB" w:rsidRDefault="2080AAE2" w:rsidP="4B718912">
      <w:pPr>
        <w:pStyle w:val="Heading1"/>
        <w:spacing w:before="80"/>
        <w:rPr>
          <w:rFonts w:asciiTheme="minorHAnsi" w:hAnsiTheme="minorHAnsi" w:cstheme="minorBidi"/>
          <w:b/>
          <w:bCs/>
        </w:rPr>
      </w:pPr>
      <w:r w:rsidRPr="4B718912">
        <w:rPr>
          <w:rFonts w:asciiTheme="minorHAnsi" w:hAnsiTheme="minorHAnsi" w:cstheme="minorBidi"/>
          <w:b/>
          <w:bCs/>
        </w:rPr>
        <w:t>Does the baseline need to be set or reset for this indicator?</w:t>
      </w:r>
      <w:r w:rsidR="53784238" w:rsidRPr="4B718912">
        <w:rPr>
          <w:rFonts w:asciiTheme="minorHAnsi" w:hAnsiTheme="minorHAnsi" w:cstheme="minorBidi"/>
          <w:b/>
          <w:bCs/>
        </w:rPr>
        <w:t xml:space="preserve"> If yes, what is the new baseline?</w:t>
      </w:r>
    </w:p>
    <w:p w14:paraId="29123893" w14:textId="262A50DB" w:rsidR="256F6829" w:rsidRDefault="256F6829" w:rsidP="4B718912">
      <w:pPr>
        <w:spacing w:after="80"/>
        <w:rPr>
          <w:rFonts w:ascii="Calibri" w:eastAsia="Calibri" w:hAnsi="Calibri" w:cs="Calibri"/>
        </w:rPr>
      </w:pPr>
      <w:r w:rsidRPr="4B718912">
        <w:rPr>
          <w:rFonts w:ascii="Calibri" w:eastAsia="Calibri" w:hAnsi="Calibri" w:cs="Calibri"/>
          <w:color w:val="000000" w:themeColor="text1"/>
        </w:rPr>
        <w:t>No, the baseline does not need to be set or reset.</w:t>
      </w:r>
    </w:p>
    <w:p w14:paraId="7EDDE9C4" w14:textId="4A7E357A" w:rsidR="6E4285EB" w:rsidRDefault="31B99D62" w:rsidP="4B718912">
      <w:pPr>
        <w:pStyle w:val="Heading1"/>
        <w:spacing w:before="0"/>
        <w:rPr>
          <w:rFonts w:ascii="Calibri" w:eastAsia="Calibri" w:hAnsi="Calibri" w:cs="Calibri"/>
        </w:rPr>
      </w:pPr>
      <w:r w:rsidRPr="4B718912">
        <w:rPr>
          <w:rFonts w:ascii="Calibri" w:eastAsia="Calibri" w:hAnsi="Calibri" w:cs="Calibri"/>
          <w:b/>
          <w:bCs/>
        </w:rPr>
        <w:t>What are the new targets?</w:t>
      </w:r>
    </w:p>
    <w:p w14:paraId="13C2AD6F" w14:textId="465F12C1" w:rsidR="6E4285EB" w:rsidRDefault="6E4285EB" w:rsidP="6AE4DB40">
      <w:pPr>
        <w:rPr>
          <w:rFonts w:ascii="Calibri" w:eastAsia="Calibri" w:hAnsi="Calibri" w:cs="Calibri"/>
          <w:color w:val="000000" w:themeColor="text1"/>
        </w:rPr>
      </w:pPr>
      <w:r w:rsidRPr="6AE4DB40">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458EDDC3" w14:textId="2EF9289B" w:rsidR="6E4285EB" w:rsidRDefault="6E4285EB" w:rsidP="6AE4DB40">
      <w:pPr>
        <w:pStyle w:val="ListParagraph"/>
        <w:numPr>
          <w:ilvl w:val="0"/>
          <w:numId w:val="3"/>
        </w:numPr>
        <w:rPr>
          <w:rFonts w:eastAsiaTheme="minorEastAsia"/>
          <w:color w:val="000000" w:themeColor="text1"/>
          <w:sz w:val="24"/>
          <w:szCs w:val="24"/>
        </w:rPr>
      </w:pPr>
      <w:r w:rsidRPr="6AE4DB40">
        <w:rPr>
          <w:rFonts w:ascii="Calibri" w:eastAsia="Calibri" w:hAnsi="Calibri" w:cs="Calibri"/>
          <w:color w:val="000000" w:themeColor="text1"/>
          <w:sz w:val="24"/>
          <w:szCs w:val="24"/>
        </w:rPr>
        <w:t>Targets are meant to support improved results and outcomes for children and families. They should be within reach but still show growth. </w:t>
      </w:r>
    </w:p>
    <w:p w14:paraId="4D7C26BF" w14:textId="3EAEE8C0" w:rsidR="6E4285EB" w:rsidRDefault="6E4285EB" w:rsidP="6AE4DB40">
      <w:pPr>
        <w:pStyle w:val="ListParagraph"/>
        <w:numPr>
          <w:ilvl w:val="0"/>
          <w:numId w:val="3"/>
        </w:numPr>
        <w:rPr>
          <w:rFonts w:eastAsiaTheme="minorEastAsia"/>
          <w:color w:val="000000" w:themeColor="text1"/>
          <w:sz w:val="24"/>
          <w:szCs w:val="24"/>
        </w:rPr>
      </w:pPr>
      <w:r w:rsidRPr="6AE4DB40">
        <w:rPr>
          <w:rFonts w:ascii="Calibri" w:eastAsia="Calibri" w:hAnsi="Calibri" w:cs="Calibri"/>
          <w:color w:val="000000" w:themeColor="text1"/>
          <w:sz w:val="24"/>
          <w:szCs w:val="24"/>
        </w:rPr>
        <w:t>Change takes time. Targets can be created with this understanding in mind. For example, targets may stay the same for several years in a row, and then increase slightly during the final target year (FFY 2025). Or show a slight increase each year.</w:t>
      </w:r>
    </w:p>
    <w:p w14:paraId="5A8CA179" w14:textId="094911B8" w:rsidR="6E4285EB" w:rsidRDefault="6E4285EB" w:rsidP="6AE4DB40">
      <w:pPr>
        <w:pStyle w:val="ListParagraph"/>
        <w:numPr>
          <w:ilvl w:val="0"/>
          <w:numId w:val="3"/>
        </w:numPr>
        <w:rPr>
          <w:rFonts w:eastAsiaTheme="minorEastAsia"/>
          <w:color w:val="000000" w:themeColor="text1"/>
          <w:sz w:val="24"/>
          <w:szCs w:val="24"/>
        </w:rPr>
      </w:pPr>
      <w:r w:rsidRPr="6AE4DB40">
        <w:rPr>
          <w:rFonts w:ascii="Calibri" w:eastAsia="Calibri" w:hAnsi="Calibri" w:cs="Calibri"/>
          <w:color w:val="000000" w:themeColor="text1"/>
          <w:sz w:val="24"/>
          <w:szCs w:val="24"/>
        </w:rPr>
        <w:t>The goal for this indicator is to be at or above the target.</w:t>
      </w:r>
    </w:p>
    <w:p w14:paraId="5CF33712" w14:textId="53ECD05F" w:rsidR="6E4285EB" w:rsidRDefault="31B99D62" w:rsidP="4B718912">
      <w:pPr>
        <w:spacing w:after="0"/>
        <w:rPr>
          <w:rFonts w:ascii="Calibri" w:eastAsia="Calibri" w:hAnsi="Calibri" w:cs="Calibri"/>
          <w:color w:val="408740"/>
          <w:sz w:val="24"/>
          <w:szCs w:val="24"/>
        </w:rPr>
      </w:pPr>
      <w:r w:rsidRPr="4B718912">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2205"/>
        <w:gridCol w:w="1260"/>
        <w:gridCol w:w="1260"/>
        <w:gridCol w:w="1260"/>
        <w:gridCol w:w="1260"/>
        <w:gridCol w:w="1260"/>
        <w:gridCol w:w="1260"/>
      </w:tblGrid>
      <w:tr w:rsidR="07911C62" w14:paraId="5CD7DDD8" w14:textId="77777777" w:rsidTr="00A0765D">
        <w:trPr>
          <w:tblHeader/>
        </w:trPr>
        <w:tc>
          <w:tcPr>
            <w:tcW w:w="2205" w:type="dxa"/>
          </w:tcPr>
          <w:p w14:paraId="6E5C84A7" w14:textId="56C716D6"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FFY</w:t>
            </w:r>
          </w:p>
        </w:tc>
        <w:tc>
          <w:tcPr>
            <w:tcW w:w="1260" w:type="dxa"/>
          </w:tcPr>
          <w:p w14:paraId="07811962" w14:textId="4A865AB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2020</w:t>
            </w:r>
          </w:p>
        </w:tc>
        <w:tc>
          <w:tcPr>
            <w:tcW w:w="1260" w:type="dxa"/>
          </w:tcPr>
          <w:p w14:paraId="179BB159" w14:textId="4B97FBC5"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2021</w:t>
            </w:r>
          </w:p>
        </w:tc>
        <w:tc>
          <w:tcPr>
            <w:tcW w:w="1260" w:type="dxa"/>
          </w:tcPr>
          <w:p w14:paraId="4BC9C2DA" w14:textId="6C23E1A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2022</w:t>
            </w:r>
          </w:p>
        </w:tc>
        <w:tc>
          <w:tcPr>
            <w:tcW w:w="1260" w:type="dxa"/>
          </w:tcPr>
          <w:p w14:paraId="3AE3D133" w14:textId="2A6571CA"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2023</w:t>
            </w:r>
          </w:p>
        </w:tc>
        <w:tc>
          <w:tcPr>
            <w:tcW w:w="1260" w:type="dxa"/>
          </w:tcPr>
          <w:p w14:paraId="32637BBF" w14:textId="654F3193"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2024</w:t>
            </w:r>
          </w:p>
        </w:tc>
        <w:tc>
          <w:tcPr>
            <w:tcW w:w="1260" w:type="dxa"/>
          </w:tcPr>
          <w:p w14:paraId="62BBA21E" w14:textId="513EDD8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2025</w:t>
            </w:r>
          </w:p>
        </w:tc>
      </w:tr>
      <w:tr w:rsidR="07911C62" w14:paraId="6EF6518D" w14:textId="77777777" w:rsidTr="07911C62">
        <w:tc>
          <w:tcPr>
            <w:tcW w:w="9765" w:type="dxa"/>
            <w:gridSpan w:val="7"/>
            <w:shd w:val="clear" w:color="auto" w:fill="DEEAF6" w:themeFill="accent5" w:themeFillTint="33"/>
          </w:tcPr>
          <w:p w14:paraId="502B31E0" w14:textId="5399B5F3" w:rsidR="0C56C78A" w:rsidRDefault="0C56C78A" w:rsidP="07911C62">
            <w:pPr>
              <w:spacing w:line="259" w:lineRule="auto"/>
              <w:jc w:val="center"/>
              <w:rPr>
                <w:rFonts w:ascii="Calibri" w:eastAsia="Calibri" w:hAnsi="Calibri" w:cs="Calibri"/>
                <w:b/>
                <w:bCs/>
                <w:color w:val="000000" w:themeColor="text1"/>
              </w:rPr>
            </w:pPr>
            <w:r w:rsidRPr="07911C62">
              <w:rPr>
                <w:rFonts w:ascii="Calibri" w:eastAsia="Calibri" w:hAnsi="Calibri" w:cs="Calibri"/>
                <w:b/>
                <w:bCs/>
                <w:color w:val="000000" w:themeColor="text1"/>
              </w:rPr>
              <w:t>Indicator C3</w:t>
            </w:r>
          </w:p>
        </w:tc>
      </w:tr>
      <w:tr w:rsidR="07911C62" w14:paraId="0A9B8AF6" w14:textId="77777777" w:rsidTr="07911C62">
        <w:tc>
          <w:tcPr>
            <w:tcW w:w="2205" w:type="dxa"/>
          </w:tcPr>
          <w:p w14:paraId="15894C5A" w14:textId="579D1FD5" w:rsidR="07911C62" w:rsidRDefault="07911C6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A1 Targets ≥</w:t>
            </w:r>
          </w:p>
        </w:tc>
        <w:tc>
          <w:tcPr>
            <w:tcW w:w="1260" w:type="dxa"/>
          </w:tcPr>
          <w:p w14:paraId="23EDE79D" w14:textId="3DB4F023"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85.40%</w:t>
            </w:r>
          </w:p>
        </w:tc>
        <w:tc>
          <w:tcPr>
            <w:tcW w:w="1260" w:type="dxa"/>
          </w:tcPr>
          <w:p w14:paraId="3F118C68" w14:textId="58F4F700"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85.50%</w:t>
            </w:r>
          </w:p>
        </w:tc>
        <w:tc>
          <w:tcPr>
            <w:tcW w:w="1260" w:type="dxa"/>
          </w:tcPr>
          <w:p w14:paraId="6D84680F" w14:textId="4E4A48B5"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85.50%</w:t>
            </w:r>
          </w:p>
        </w:tc>
        <w:tc>
          <w:tcPr>
            <w:tcW w:w="1260" w:type="dxa"/>
          </w:tcPr>
          <w:p w14:paraId="4E2B79D9" w14:textId="67DAC2E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85.60%</w:t>
            </w:r>
          </w:p>
        </w:tc>
        <w:tc>
          <w:tcPr>
            <w:tcW w:w="1260" w:type="dxa"/>
          </w:tcPr>
          <w:p w14:paraId="67D18FE8" w14:textId="24C9A46C"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85.60%</w:t>
            </w:r>
          </w:p>
        </w:tc>
        <w:tc>
          <w:tcPr>
            <w:tcW w:w="1260" w:type="dxa"/>
          </w:tcPr>
          <w:p w14:paraId="1A817D85" w14:textId="178F35ED"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85.70%</w:t>
            </w:r>
          </w:p>
        </w:tc>
      </w:tr>
      <w:tr w:rsidR="07911C62" w14:paraId="519606E8" w14:textId="77777777" w:rsidTr="07911C62">
        <w:tc>
          <w:tcPr>
            <w:tcW w:w="2205" w:type="dxa"/>
          </w:tcPr>
          <w:p w14:paraId="6081DE40" w14:textId="7FFB2105" w:rsidR="07911C62" w:rsidRDefault="07911C6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B1 Targets ≥</w:t>
            </w:r>
          </w:p>
        </w:tc>
        <w:tc>
          <w:tcPr>
            <w:tcW w:w="1260" w:type="dxa"/>
          </w:tcPr>
          <w:p w14:paraId="25B4427D" w14:textId="7D322CE2"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66.70%</w:t>
            </w:r>
          </w:p>
        </w:tc>
        <w:tc>
          <w:tcPr>
            <w:tcW w:w="1260" w:type="dxa"/>
          </w:tcPr>
          <w:p w14:paraId="06AFE4C4" w14:textId="6624DA0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66.80%</w:t>
            </w:r>
          </w:p>
        </w:tc>
        <w:tc>
          <w:tcPr>
            <w:tcW w:w="1260" w:type="dxa"/>
          </w:tcPr>
          <w:p w14:paraId="3597DDFE" w14:textId="6EBCDC3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66.80%</w:t>
            </w:r>
          </w:p>
        </w:tc>
        <w:tc>
          <w:tcPr>
            <w:tcW w:w="1260" w:type="dxa"/>
          </w:tcPr>
          <w:p w14:paraId="1F1E5412" w14:textId="0EBC7C9F"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66.90%</w:t>
            </w:r>
          </w:p>
        </w:tc>
        <w:tc>
          <w:tcPr>
            <w:tcW w:w="1260" w:type="dxa"/>
          </w:tcPr>
          <w:p w14:paraId="7403BDA4" w14:textId="481F2EBA"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66.90%</w:t>
            </w:r>
          </w:p>
        </w:tc>
        <w:tc>
          <w:tcPr>
            <w:tcW w:w="1260" w:type="dxa"/>
          </w:tcPr>
          <w:p w14:paraId="7AC91CC5" w14:textId="7F6F4E5F"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67.00%</w:t>
            </w:r>
          </w:p>
        </w:tc>
      </w:tr>
      <w:tr w:rsidR="07911C62" w14:paraId="0A2C173E" w14:textId="77777777" w:rsidTr="07911C62">
        <w:tc>
          <w:tcPr>
            <w:tcW w:w="9765" w:type="dxa"/>
            <w:gridSpan w:val="7"/>
            <w:shd w:val="clear" w:color="auto" w:fill="E2EFD9" w:themeFill="accent6" w:themeFillTint="33"/>
          </w:tcPr>
          <w:p w14:paraId="2B7E1EB8" w14:textId="24FD3EE3" w:rsidR="5D0CE336" w:rsidRDefault="5D0CE336" w:rsidP="07911C62">
            <w:pPr>
              <w:spacing w:line="259" w:lineRule="auto"/>
              <w:jc w:val="center"/>
              <w:rPr>
                <w:rFonts w:ascii="Calibri" w:eastAsia="Calibri" w:hAnsi="Calibri" w:cs="Calibri"/>
                <w:b/>
                <w:bCs/>
                <w:color w:val="000000" w:themeColor="text1"/>
              </w:rPr>
            </w:pPr>
            <w:r w:rsidRPr="07911C62">
              <w:rPr>
                <w:rFonts w:ascii="Calibri" w:eastAsia="Calibri" w:hAnsi="Calibri" w:cs="Calibri"/>
                <w:b/>
                <w:bCs/>
                <w:color w:val="000000" w:themeColor="text1"/>
              </w:rPr>
              <w:t>Indicator B7</w:t>
            </w:r>
          </w:p>
        </w:tc>
      </w:tr>
      <w:tr w:rsidR="07911C62" w14:paraId="5AC7E856" w14:textId="77777777" w:rsidTr="07911C62">
        <w:tc>
          <w:tcPr>
            <w:tcW w:w="2205" w:type="dxa"/>
          </w:tcPr>
          <w:p w14:paraId="49573A58" w14:textId="186F12FE" w:rsidR="3A9FC8E2" w:rsidRDefault="3A9FC8E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A1 Targets ≥</w:t>
            </w:r>
          </w:p>
        </w:tc>
        <w:tc>
          <w:tcPr>
            <w:tcW w:w="1260" w:type="dxa"/>
          </w:tcPr>
          <w:p w14:paraId="2280220E" w14:textId="0C58B728" w:rsidR="5F1CBC78" w:rsidRDefault="5F1CBC7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76.10%</w:t>
            </w:r>
          </w:p>
        </w:tc>
        <w:tc>
          <w:tcPr>
            <w:tcW w:w="1260" w:type="dxa"/>
          </w:tcPr>
          <w:p w14:paraId="1A28E627" w14:textId="40A7F0EC" w:rsidR="5F1CBC78" w:rsidRDefault="5F1CBC7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76.20%</w:t>
            </w:r>
          </w:p>
        </w:tc>
        <w:tc>
          <w:tcPr>
            <w:tcW w:w="1260" w:type="dxa"/>
          </w:tcPr>
          <w:p w14:paraId="3EF3D7E8" w14:textId="178D7C7A" w:rsidR="5F1CBC78" w:rsidRDefault="5F1CBC7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76.20%</w:t>
            </w:r>
          </w:p>
        </w:tc>
        <w:tc>
          <w:tcPr>
            <w:tcW w:w="1260" w:type="dxa"/>
          </w:tcPr>
          <w:p w14:paraId="0FDF73B7" w14:textId="3B8F6939" w:rsidR="5F1CBC78" w:rsidRDefault="5F1CBC7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76.30%</w:t>
            </w:r>
          </w:p>
        </w:tc>
        <w:tc>
          <w:tcPr>
            <w:tcW w:w="1260" w:type="dxa"/>
          </w:tcPr>
          <w:p w14:paraId="0BC469CE" w14:textId="062B0F04" w:rsidR="5F1CBC78" w:rsidRDefault="5F1CBC7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76.30%</w:t>
            </w:r>
          </w:p>
        </w:tc>
        <w:tc>
          <w:tcPr>
            <w:tcW w:w="1260" w:type="dxa"/>
          </w:tcPr>
          <w:p w14:paraId="0634D6F4" w14:textId="6FDF3343" w:rsidR="5F1CBC78" w:rsidRDefault="5F1CBC7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76.40%</w:t>
            </w:r>
          </w:p>
        </w:tc>
      </w:tr>
      <w:tr w:rsidR="07911C62" w14:paraId="04BB3E0C" w14:textId="77777777" w:rsidTr="07911C62">
        <w:tc>
          <w:tcPr>
            <w:tcW w:w="2205" w:type="dxa"/>
          </w:tcPr>
          <w:p w14:paraId="3B8598AD" w14:textId="2B8DC68D" w:rsidR="3A9FC8E2" w:rsidRDefault="3A9FC8E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B1 Targets ≥</w:t>
            </w:r>
          </w:p>
        </w:tc>
        <w:tc>
          <w:tcPr>
            <w:tcW w:w="1260" w:type="dxa"/>
          </w:tcPr>
          <w:p w14:paraId="49F8F3B4" w14:textId="3100AD4C" w:rsidR="2DEDC85F" w:rsidRDefault="2DEDC85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74.20%</w:t>
            </w:r>
          </w:p>
        </w:tc>
        <w:tc>
          <w:tcPr>
            <w:tcW w:w="1260" w:type="dxa"/>
          </w:tcPr>
          <w:p w14:paraId="3AA4A749" w14:textId="20D70693" w:rsidR="2DEDC85F" w:rsidRDefault="2DEDC85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74.30%</w:t>
            </w:r>
          </w:p>
        </w:tc>
        <w:tc>
          <w:tcPr>
            <w:tcW w:w="1260" w:type="dxa"/>
          </w:tcPr>
          <w:p w14:paraId="56047D7D" w14:textId="0A6346E7" w:rsidR="2DEDC85F" w:rsidRDefault="2DEDC85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74.30%</w:t>
            </w:r>
          </w:p>
        </w:tc>
        <w:tc>
          <w:tcPr>
            <w:tcW w:w="1260" w:type="dxa"/>
          </w:tcPr>
          <w:p w14:paraId="61A3B591" w14:textId="278B37F3" w:rsidR="2DEDC85F" w:rsidRDefault="2DEDC85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74.40%</w:t>
            </w:r>
          </w:p>
        </w:tc>
        <w:tc>
          <w:tcPr>
            <w:tcW w:w="1260" w:type="dxa"/>
          </w:tcPr>
          <w:p w14:paraId="7B2875F8" w14:textId="00425544" w:rsidR="2DEDC85F" w:rsidRDefault="2DEDC85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74.40%</w:t>
            </w:r>
          </w:p>
        </w:tc>
        <w:tc>
          <w:tcPr>
            <w:tcW w:w="1260" w:type="dxa"/>
          </w:tcPr>
          <w:p w14:paraId="0E02A6F9" w14:textId="63E36753" w:rsidR="2DEDC85F" w:rsidRDefault="2DEDC85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74.50%</w:t>
            </w:r>
          </w:p>
        </w:tc>
      </w:tr>
    </w:tbl>
    <w:p w14:paraId="12CD739A" w14:textId="6A09AD66" w:rsidR="6E4285EB" w:rsidRDefault="6E4285EB" w:rsidP="6AE4DB40">
      <w:pPr>
        <w:rPr>
          <w:rFonts w:ascii="Calibri" w:eastAsia="Calibri" w:hAnsi="Calibri" w:cs="Calibri"/>
          <w:color w:val="000000" w:themeColor="text1"/>
        </w:rPr>
      </w:pPr>
      <w:r w:rsidRPr="6AE4DB40">
        <w:rPr>
          <w:rFonts w:ascii="Calibri" w:eastAsia="Calibri" w:hAnsi="Calibri" w:cs="Calibri"/>
          <w:color w:val="000000" w:themeColor="text1"/>
        </w:rPr>
        <w:t>Example A shows a gradual increase.</w:t>
      </w:r>
    </w:p>
    <w:p w14:paraId="7EFE5D66" w14:textId="25441057" w:rsidR="6E4285EB" w:rsidRDefault="31B99D62" w:rsidP="4B718912">
      <w:pPr>
        <w:spacing w:after="0"/>
        <w:rPr>
          <w:rFonts w:ascii="Calibri" w:eastAsia="Calibri" w:hAnsi="Calibri" w:cs="Calibri"/>
          <w:color w:val="408740"/>
          <w:sz w:val="24"/>
          <w:szCs w:val="24"/>
        </w:rPr>
      </w:pPr>
      <w:r w:rsidRPr="4B718912">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205"/>
        <w:gridCol w:w="1260"/>
        <w:gridCol w:w="1260"/>
        <w:gridCol w:w="1260"/>
        <w:gridCol w:w="1260"/>
        <w:gridCol w:w="1260"/>
        <w:gridCol w:w="1260"/>
      </w:tblGrid>
      <w:tr w:rsidR="07911C62" w14:paraId="5F8F823C" w14:textId="77777777" w:rsidTr="00A0765D">
        <w:trPr>
          <w:tblHeader/>
        </w:trPr>
        <w:tc>
          <w:tcPr>
            <w:tcW w:w="2205" w:type="dxa"/>
          </w:tcPr>
          <w:p w14:paraId="7A3CE933" w14:textId="56C716D6" w:rsidR="07911C62" w:rsidRDefault="07911C62" w:rsidP="07911C62">
            <w:pPr>
              <w:spacing w:line="259" w:lineRule="auto"/>
              <w:jc w:val="center"/>
              <w:rPr>
                <w:rFonts w:ascii="Calibri" w:eastAsia="Calibri" w:hAnsi="Calibri" w:cs="Calibri"/>
                <w:color w:val="000000" w:themeColor="text1"/>
              </w:rPr>
            </w:pPr>
            <w:bookmarkStart w:id="0" w:name="_GoBack" w:colFirst="0" w:colLast="7"/>
            <w:r w:rsidRPr="07911C62">
              <w:rPr>
                <w:rFonts w:ascii="Calibri" w:eastAsia="Calibri" w:hAnsi="Calibri" w:cs="Calibri"/>
                <w:b/>
                <w:bCs/>
                <w:color w:val="000000" w:themeColor="text1"/>
              </w:rPr>
              <w:t>FFY</w:t>
            </w:r>
          </w:p>
        </w:tc>
        <w:tc>
          <w:tcPr>
            <w:tcW w:w="1260" w:type="dxa"/>
          </w:tcPr>
          <w:p w14:paraId="6523905E" w14:textId="4A865AB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2020</w:t>
            </w:r>
          </w:p>
        </w:tc>
        <w:tc>
          <w:tcPr>
            <w:tcW w:w="1260" w:type="dxa"/>
          </w:tcPr>
          <w:p w14:paraId="1C1525CA" w14:textId="4B97FBC5"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2021</w:t>
            </w:r>
          </w:p>
        </w:tc>
        <w:tc>
          <w:tcPr>
            <w:tcW w:w="1260" w:type="dxa"/>
          </w:tcPr>
          <w:p w14:paraId="6089FA5A" w14:textId="6C23E1A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2022</w:t>
            </w:r>
          </w:p>
        </w:tc>
        <w:tc>
          <w:tcPr>
            <w:tcW w:w="1260" w:type="dxa"/>
          </w:tcPr>
          <w:p w14:paraId="03D6F1C8" w14:textId="2A6571CA"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2023</w:t>
            </w:r>
          </w:p>
        </w:tc>
        <w:tc>
          <w:tcPr>
            <w:tcW w:w="1260" w:type="dxa"/>
          </w:tcPr>
          <w:p w14:paraId="4B6AEC92" w14:textId="654F3193"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2024</w:t>
            </w:r>
          </w:p>
        </w:tc>
        <w:tc>
          <w:tcPr>
            <w:tcW w:w="1260" w:type="dxa"/>
          </w:tcPr>
          <w:p w14:paraId="799A98A0" w14:textId="513EDD8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2025</w:t>
            </w:r>
          </w:p>
        </w:tc>
      </w:tr>
      <w:bookmarkEnd w:id="0"/>
      <w:tr w:rsidR="07911C62" w14:paraId="69D04788" w14:textId="77777777" w:rsidTr="07911C62">
        <w:tc>
          <w:tcPr>
            <w:tcW w:w="9765" w:type="dxa"/>
            <w:gridSpan w:val="7"/>
            <w:shd w:val="clear" w:color="auto" w:fill="DEEAF6" w:themeFill="accent5" w:themeFillTint="33"/>
          </w:tcPr>
          <w:p w14:paraId="12739152" w14:textId="5399B5F3" w:rsidR="07911C62" w:rsidRDefault="07911C62" w:rsidP="07911C62">
            <w:pPr>
              <w:spacing w:line="259" w:lineRule="auto"/>
              <w:jc w:val="center"/>
              <w:rPr>
                <w:rFonts w:ascii="Calibri" w:eastAsia="Calibri" w:hAnsi="Calibri" w:cs="Calibri"/>
                <w:b/>
                <w:bCs/>
                <w:color w:val="000000" w:themeColor="text1"/>
              </w:rPr>
            </w:pPr>
            <w:r w:rsidRPr="07911C62">
              <w:rPr>
                <w:rFonts w:ascii="Calibri" w:eastAsia="Calibri" w:hAnsi="Calibri" w:cs="Calibri"/>
                <w:b/>
                <w:bCs/>
                <w:color w:val="000000" w:themeColor="text1"/>
              </w:rPr>
              <w:t>Indicator C3</w:t>
            </w:r>
          </w:p>
        </w:tc>
      </w:tr>
      <w:tr w:rsidR="07911C62" w14:paraId="1C976F64" w14:textId="77777777" w:rsidTr="07911C62">
        <w:tc>
          <w:tcPr>
            <w:tcW w:w="2205" w:type="dxa"/>
          </w:tcPr>
          <w:p w14:paraId="3F82594B" w14:textId="579D1FD5" w:rsidR="07911C62" w:rsidRDefault="07911C6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A1 Targets ≥</w:t>
            </w:r>
          </w:p>
        </w:tc>
        <w:tc>
          <w:tcPr>
            <w:tcW w:w="1260" w:type="dxa"/>
          </w:tcPr>
          <w:p w14:paraId="532F58F5" w14:textId="6F0B448D" w:rsidR="5184B1C0" w:rsidRDefault="5184B1C0"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 xml:space="preserve">85.40% </w:t>
            </w:r>
          </w:p>
        </w:tc>
        <w:tc>
          <w:tcPr>
            <w:tcW w:w="1260" w:type="dxa"/>
          </w:tcPr>
          <w:p w14:paraId="19D6CDD4" w14:textId="63C82A1F" w:rsidR="5184B1C0" w:rsidRDefault="5184B1C0"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85.60%</w:t>
            </w:r>
          </w:p>
        </w:tc>
        <w:tc>
          <w:tcPr>
            <w:tcW w:w="1260" w:type="dxa"/>
          </w:tcPr>
          <w:p w14:paraId="46010BAE" w14:textId="6A12A22E" w:rsidR="5184B1C0" w:rsidRDefault="5184B1C0"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85.80%</w:t>
            </w:r>
          </w:p>
        </w:tc>
        <w:tc>
          <w:tcPr>
            <w:tcW w:w="1260" w:type="dxa"/>
          </w:tcPr>
          <w:p w14:paraId="0E8A99C7" w14:textId="299F8FEF" w:rsidR="5184B1C0" w:rsidRDefault="5184B1C0"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86.00%</w:t>
            </w:r>
          </w:p>
        </w:tc>
        <w:tc>
          <w:tcPr>
            <w:tcW w:w="1260" w:type="dxa"/>
          </w:tcPr>
          <w:p w14:paraId="40E49C3D" w14:textId="4D0160C6" w:rsidR="5184B1C0" w:rsidRDefault="5184B1C0"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86.20%</w:t>
            </w:r>
          </w:p>
        </w:tc>
        <w:tc>
          <w:tcPr>
            <w:tcW w:w="1260" w:type="dxa"/>
          </w:tcPr>
          <w:p w14:paraId="13E1A717" w14:textId="1830CAC8" w:rsidR="5184B1C0" w:rsidRDefault="5184B1C0"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86.40%</w:t>
            </w:r>
          </w:p>
        </w:tc>
      </w:tr>
      <w:tr w:rsidR="07911C62" w14:paraId="7D2A20CD" w14:textId="77777777" w:rsidTr="07911C62">
        <w:tc>
          <w:tcPr>
            <w:tcW w:w="2205" w:type="dxa"/>
          </w:tcPr>
          <w:p w14:paraId="28AE7158" w14:textId="7FFB2105" w:rsidR="07911C62" w:rsidRDefault="07911C6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B1 Targets ≥</w:t>
            </w:r>
          </w:p>
        </w:tc>
        <w:tc>
          <w:tcPr>
            <w:tcW w:w="1260" w:type="dxa"/>
          </w:tcPr>
          <w:p w14:paraId="1C5B5944" w14:textId="03FA202A" w:rsidR="3A397868" w:rsidRDefault="3A39786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66.70%</w:t>
            </w:r>
          </w:p>
        </w:tc>
        <w:tc>
          <w:tcPr>
            <w:tcW w:w="1260" w:type="dxa"/>
          </w:tcPr>
          <w:p w14:paraId="0CDE33C7" w14:textId="0E3E5EC6" w:rsidR="3A397868" w:rsidRDefault="3A39786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67.90%</w:t>
            </w:r>
          </w:p>
        </w:tc>
        <w:tc>
          <w:tcPr>
            <w:tcW w:w="1260" w:type="dxa"/>
          </w:tcPr>
          <w:p w14:paraId="7AC91239" w14:textId="0F21592C" w:rsidR="3A397868" w:rsidRDefault="3A39786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68.10%</w:t>
            </w:r>
          </w:p>
        </w:tc>
        <w:tc>
          <w:tcPr>
            <w:tcW w:w="1260" w:type="dxa"/>
          </w:tcPr>
          <w:p w14:paraId="0D16B618" w14:textId="6B630CC8" w:rsidR="3A397868" w:rsidRDefault="3A39786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68.30%</w:t>
            </w:r>
          </w:p>
        </w:tc>
        <w:tc>
          <w:tcPr>
            <w:tcW w:w="1260" w:type="dxa"/>
          </w:tcPr>
          <w:p w14:paraId="323A492D" w14:textId="42FF8599" w:rsidR="3A397868" w:rsidRDefault="3A39786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68.50%</w:t>
            </w:r>
          </w:p>
        </w:tc>
        <w:tc>
          <w:tcPr>
            <w:tcW w:w="1260" w:type="dxa"/>
          </w:tcPr>
          <w:p w14:paraId="76562A22" w14:textId="6A4EB08B" w:rsidR="3A397868" w:rsidRDefault="3A397868"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68.70%</w:t>
            </w:r>
          </w:p>
        </w:tc>
      </w:tr>
      <w:tr w:rsidR="07911C62" w14:paraId="01D1EBB1" w14:textId="77777777" w:rsidTr="07911C62">
        <w:tc>
          <w:tcPr>
            <w:tcW w:w="9765" w:type="dxa"/>
            <w:gridSpan w:val="7"/>
            <w:shd w:val="clear" w:color="auto" w:fill="E2EFD9" w:themeFill="accent6" w:themeFillTint="33"/>
          </w:tcPr>
          <w:p w14:paraId="4E42DC7F" w14:textId="24FD3EE3" w:rsidR="07911C62" w:rsidRDefault="07911C62" w:rsidP="07911C62">
            <w:pPr>
              <w:spacing w:line="259" w:lineRule="auto"/>
              <w:jc w:val="center"/>
              <w:rPr>
                <w:rFonts w:ascii="Calibri" w:eastAsia="Calibri" w:hAnsi="Calibri" w:cs="Calibri"/>
                <w:b/>
                <w:bCs/>
                <w:color w:val="000000" w:themeColor="text1"/>
              </w:rPr>
            </w:pPr>
            <w:r w:rsidRPr="07911C62">
              <w:rPr>
                <w:rFonts w:ascii="Calibri" w:eastAsia="Calibri" w:hAnsi="Calibri" w:cs="Calibri"/>
                <w:b/>
                <w:bCs/>
                <w:color w:val="000000" w:themeColor="text1"/>
              </w:rPr>
              <w:t>Indicator B7</w:t>
            </w:r>
          </w:p>
        </w:tc>
      </w:tr>
      <w:tr w:rsidR="07911C62" w14:paraId="7430E30D" w14:textId="77777777" w:rsidTr="07911C62">
        <w:tc>
          <w:tcPr>
            <w:tcW w:w="2205" w:type="dxa"/>
          </w:tcPr>
          <w:p w14:paraId="06E44C4C" w14:textId="186F12FE" w:rsidR="07911C62" w:rsidRDefault="07911C6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A1 Targets ≥</w:t>
            </w:r>
          </w:p>
        </w:tc>
        <w:tc>
          <w:tcPr>
            <w:tcW w:w="1260" w:type="dxa"/>
          </w:tcPr>
          <w:p w14:paraId="46FD22D9" w14:textId="41663895" w:rsidR="7DE7D41A" w:rsidRDefault="7DE7D41A"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76.10%</w:t>
            </w:r>
          </w:p>
        </w:tc>
        <w:tc>
          <w:tcPr>
            <w:tcW w:w="1260" w:type="dxa"/>
          </w:tcPr>
          <w:p w14:paraId="358B9161" w14:textId="147F1B59" w:rsidR="7DE7D41A" w:rsidRDefault="7DE7D41A"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76.30%</w:t>
            </w:r>
          </w:p>
        </w:tc>
        <w:tc>
          <w:tcPr>
            <w:tcW w:w="1260" w:type="dxa"/>
          </w:tcPr>
          <w:p w14:paraId="29611991" w14:textId="593E827D" w:rsidR="7DE7D41A" w:rsidRDefault="7DE7D41A"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76.50%</w:t>
            </w:r>
          </w:p>
        </w:tc>
        <w:tc>
          <w:tcPr>
            <w:tcW w:w="1260" w:type="dxa"/>
          </w:tcPr>
          <w:p w14:paraId="44EB0728" w14:textId="79B560ED" w:rsidR="7DE7D41A" w:rsidRDefault="7DE7D41A"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76.70%</w:t>
            </w:r>
          </w:p>
        </w:tc>
        <w:tc>
          <w:tcPr>
            <w:tcW w:w="1260" w:type="dxa"/>
          </w:tcPr>
          <w:p w14:paraId="06CFCA39" w14:textId="6CF4FCE9" w:rsidR="7DE7D41A" w:rsidRDefault="7DE7D41A"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76.90%</w:t>
            </w:r>
          </w:p>
        </w:tc>
        <w:tc>
          <w:tcPr>
            <w:tcW w:w="1260" w:type="dxa"/>
          </w:tcPr>
          <w:p w14:paraId="4D050FD4" w14:textId="0F8E6971" w:rsidR="7DE7D41A" w:rsidRDefault="7DE7D41A"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77.10%</w:t>
            </w:r>
          </w:p>
        </w:tc>
      </w:tr>
      <w:tr w:rsidR="07911C62" w14:paraId="2BD7BC0A" w14:textId="77777777" w:rsidTr="07911C62">
        <w:tc>
          <w:tcPr>
            <w:tcW w:w="2205" w:type="dxa"/>
          </w:tcPr>
          <w:p w14:paraId="43D1C512" w14:textId="2B8DC68D" w:rsidR="07911C62" w:rsidRDefault="07911C62" w:rsidP="07911C62">
            <w:pPr>
              <w:spacing w:line="259" w:lineRule="auto"/>
              <w:rPr>
                <w:rFonts w:ascii="Calibri" w:eastAsia="Calibri" w:hAnsi="Calibri" w:cs="Calibri"/>
                <w:color w:val="000000" w:themeColor="text1"/>
              </w:rPr>
            </w:pPr>
            <w:r w:rsidRPr="07911C62">
              <w:rPr>
                <w:rFonts w:ascii="Calibri" w:eastAsia="Calibri" w:hAnsi="Calibri" w:cs="Calibri"/>
                <w:color w:val="000000" w:themeColor="text1"/>
              </w:rPr>
              <w:t>B1 Targets ≥</w:t>
            </w:r>
          </w:p>
        </w:tc>
        <w:tc>
          <w:tcPr>
            <w:tcW w:w="1260" w:type="dxa"/>
          </w:tcPr>
          <w:p w14:paraId="5F7ED839" w14:textId="28818E5C" w:rsidR="68245E8F" w:rsidRDefault="68245E8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74.20%</w:t>
            </w:r>
          </w:p>
        </w:tc>
        <w:tc>
          <w:tcPr>
            <w:tcW w:w="1260" w:type="dxa"/>
          </w:tcPr>
          <w:p w14:paraId="15D6BFF6" w14:textId="377A94B7" w:rsidR="68245E8F" w:rsidRDefault="68245E8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74.40%</w:t>
            </w:r>
          </w:p>
        </w:tc>
        <w:tc>
          <w:tcPr>
            <w:tcW w:w="1260" w:type="dxa"/>
          </w:tcPr>
          <w:p w14:paraId="5209F857" w14:textId="21B34256" w:rsidR="68245E8F" w:rsidRDefault="68245E8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74.60%</w:t>
            </w:r>
          </w:p>
        </w:tc>
        <w:tc>
          <w:tcPr>
            <w:tcW w:w="1260" w:type="dxa"/>
          </w:tcPr>
          <w:p w14:paraId="22AAF3BB" w14:textId="5F745322" w:rsidR="68245E8F" w:rsidRDefault="68245E8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74.80%</w:t>
            </w:r>
          </w:p>
        </w:tc>
        <w:tc>
          <w:tcPr>
            <w:tcW w:w="1260" w:type="dxa"/>
          </w:tcPr>
          <w:p w14:paraId="1A6D0CA4" w14:textId="496D5547" w:rsidR="68245E8F" w:rsidRDefault="68245E8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75.00%</w:t>
            </w:r>
          </w:p>
        </w:tc>
        <w:tc>
          <w:tcPr>
            <w:tcW w:w="1260" w:type="dxa"/>
          </w:tcPr>
          <w:p w14:paraId="262BB4FA" w14:textId="2E1A760F" w:rsidR="68245E8F" w:rsidRDefault="68245E8F"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75.20%</w:t>
            </w:r>
          </w:p>
        </w:tc>
      </w:tr>
    </w:tbl>
    <w:p w14:paraId="0E3065BA" w14:textId="35B6AC8F" w:rsidR="6E4285EB" w:rsidRDefault="6E4285EB" w:rsidP="6AE4DB40">
      <w:pPr>
        <w:rPr>
          <w:rFonts w:ascii="Calibri" w:eastAsia="Calibri" w:hAnsi="Calibri" w:cs="Calibri"/>
          <w:color w:val="000000" w:themeColor="text1"/>
          <w:sz w:val="24"/>
          <w:szCs w:val="24"/>
        </w:rPr>
      </w:pPr>
      <w:r w:rsidRPr="4B718912">
        <w:rPr>
          <w:rFonts w:ascii="Calibri" w:eastAsia="Calibri" w:hAnsi="Calibri" w:cs="Calibri"/>
          <w:color w:val="000000" w:themeColor="text1"/>
          <w:sz w:val="24"/>
          <w:szCs w:val="24"/>
        </w:rPr>
        <w:t>Example B shows more growth.</w:t>
      </w:r>
    </w:p>
    <w:p w14:paraId="6050E41F" w14:textId="46C0BAD8" w:rsidR="1FC1E565" w:rsidRDefault="1FC1E565" w:rsidP="4B718912">
      <w:pPr>
        <w:rPr>
          <w:rFonts w:ascii="Calibri" w:eastAsia="Calibri" w:hAnsi="Calibri" w:cs="Calibri"/>
          <w:b/>
          <w:bCs/>
        </w:rPr>
      </w:pPr>
      <w:r w:rsidRPr="4B718912">
        <w:rPr>
          <w:rFonts w:ascii="Calibri" w:eastAsia="Calibri" w:hAnsi="Calibri" w:cs="Calibri"/>
          <w:b/>
          <w:bCs/>
          <w:color w:val="407641"/>
        </w:rPr>
        <w:t xml:space="preserve">If you need more information about this indicator in order to provide input, please contact Meredith Villines, Education Specialist, at </w:t>
      </w:r>
      <w:hyperlink r:id="rId17">
        <w:r w:rsidRPr="4B718912">
          <w:rPr>
            <w:rStyle w:val="Hyperlink"/>
            <w:rFonts w:ascii="Calibri" w:eastAsia="Calibri" w:hAnsi="Calibri" w:cs="Calibri"/>
            <w:b/>
            <w:bCs/>
          </w:rPr>
          <w:t>meredith.villines@ode.state.or.us</w:t>
        </w:r>
      </w:hyperlink>
      <w:r w:rsidRPr="4B718912">
        <w:rPr>
          <w:rFonts w:ascii="Calibri" w:eastAsia="Calibri" w:hAnsi="Calibri" w:cs="Calibri"/>
          <w:b/>
          <w:bCs/>
        </w:rPr>
        <w:t xml:space="preserve"> </w:t>
      </w:r>
    </w:p>
    <w:p w14:paraId="0D53CC46" w14:textId="494BFA5C" w:rsidR="4B718912" w:rsidRDefault="4B718912" w:rsidP="4B718912">
      <w:pPr>
        <w:rPr>
          <w:rFonts w:ascii="Calibri" w:eastAsia="Calibri" w:hAnsi="Calibri" w:cs="Calibri"/>
          <w:color w:val="000000" w:themeColor="text1"/>
          <w:sz w:val="24"/>
          <w:szCs w:val="24"/>
        </w:rPr>
      </w:pPr>
    </w:p>
    <w:sectPr w:rsidR="4B718912">
      <w:headerReference w:type="default" r:id="rId18"/>
      <w:footerReference w:type="default" r:id="rId19"/>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63C70B4" w16cex:dateUtc="2021-10-22T21:13:45.593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AB42907" w16cid:durableId="263C70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0"/>
      <w:gridCol w:w="3310"/>
      <w:gridCol w:w="3310"/>
    </w:tblGrid>
    <w:tr w:rsidR="6AE4DB40" w14:paraId="3D91F3D9" w14:textId="77777777" w:rsidTr="6AE4DB40">
      <w:tc>
        <w:tcPr>
          <w:tcW w:w="3310" w:type="dxa"/>
        </w:tcPr>
        <w:p w14:paraId="0F49B150" w14:textId="1D4638D3" w:rsidR="6AE4DB40" w:rsidRDefault="6AE4DB40" w:rsidP="6AE4DB40">
          <w:pPr>
            <w:pStyle w:val="Header"/>
            <w:ind w:left="-115"/>
          </w:pPr>
        </w:p>
      </w:tc>
      <w:tc>
        <w:tcPr>
          <w:tcW w:w="3310" w:type="dxa"/>
        </w:tcPr>
        <w:p w14:paraId="6C0997A7" w14:textId="79A0686E" w:rsidR="6AE4DB40" w:rsidRDefault="6AE4DB40" w:rsidP="6AE4DB40">
          <w:pPr>
            <w:pStyle w:val="Header"/>
            <w:jc w:val="center"/>
          </w:pPr>
        </w:p>
      </w:tc>
      <w:tc>
        <w:tcPr>
          <w:tcW w:w="3310" w:type="dxa"/>
        </w:tcPr>
        <w:p w14:paraId="228AF54D" w14:textId="42774A3C" w:rsidR="6AE4DB40" w:rsidRDefault="6AE4DB40" w:rsidP="6AE4DB40">
          <w:pPr>
            <w:pStyle w:val="Header"/>
            <w:ind w:right="-115"/>
            <w:jc w:val="right"/>
          </w:pPr>
        </w:p>
      </w:tc>
    </w:tr>
  </w:tbl>
  <w:p w14:paraId="0994E7A3" w14:textId="49FD4FB5" w:rsidR="6AE4DB40" w:rsidRDefault="6AE4DB40" w:rsidP="6AE4D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1DAC745F"/>
    <w:multiLevelType w:val="hybridMultilevel"/>
    <w:tmpl w:val="56C8CEEE"/>
    <w:lvl w:ilvl="0" w:tplc="1BAC16DC">
      <w:start w:val="1"/>
      <w:numFmt w:val="bullet"/>
      <w:lvlText w:val=""/>
      <w:lvlJc w:val="left"/>
      <w:pPr>
        <w:ind w:left="720" w:hanging="360"/>
      </w:pPr>
      <w:rPr>
        <w:rFonts w:ascii="Symbol" w:hAnsi="Symbol" w:hint="default"/>
      </w:rPr>
    </w:lvl>
    <w:lvl w:ilvl="1" w:tplc="3C608DA4">
      <w:start w:val="1"/>
      <w:numFmt w:val="bullet"/>
      <w:lvlText w:val="o"/>
      <w:lvlJc w:val="left"/>
      <w:pPr>
        <w:ind w:left="1440" w:hanging="360"/>
      </w:pPr>
      <w:rPr>
        <w:rFonts w:ascii="Courier New" w:hAnsi="Courier New" w:hint="default"/>
      </w:rPr>
    </w:lvl>
    <w:lvl w:ilvl="2" w:tplc="545E1AA2">
      <w:start w:val="1"/>
      <w:numFmt w:val="bullet"/>
      <w:lvlText w:val=""/>
      <w:lvlJc w:val="left"/>
      <w:pPr>
        <w:ind w:left="2160" w:hanging="360"/>
      </w:pPr>
      <w:rPr>
        <w:rFonts w:ascii="Wingdings" w:hAnsi="Wingdings" w:hint="default"/>
      </w:rPr>
    </w:lvl>
    <w:lvl w:ilvl="3" w:tplc="19BA39F4">
      <w:start w:val="1"/>
      <w:numFmt w:val="bullet"/>
      <w:lvlText w:val=""/>
      <w:lvlJc w:val="left"/>
      <w:pPr>
        <w:ind w:left="2880" w:hanging="360"/>
      </w:pPr>
      <w:rPr>
        <w:rFonts w:ascii="Symbol" w:hAnsi="Symbol" w:hint="default"/>
      </w:rPr>
    </w:lvl>
    <w:lvl w:ilvl="4" w:tplc="BA9EF432">
      <w:start w:val="1"/>
      <w:numFmt w:val="bullet"/>
      <w:lvlText w:val="o"/>
      <w:lvlJc w:val="left"/>
      <w:pPr>
        <w:ind w:left="3600" w:hanging="360"/>
      </w:pPr>
      <w:rPr>
        <w:rFonts w:ascii="Courier New" w:hAnsi="Courier New" w:hint="default"/>
      </w:rPr>
    </w:lvl>
    <w:lvl w:ilvl="5" w:tplc="AAEA7F10">
      <w:start w:val="1"/>
      <w:numFmt w:val="bullet"/>
      <w:lvlText w:val=""/>
      <w:lvlJc w:val="left"/>
      <w:pPr>
        <w:ind w:left="4320" w:hanging="360"/>
      </w:pPr>
      <w:rPr>
        <w:rFonts w:ascii="Wingdings" w:hAnsi="Wingdings" w:hint="default"/>
      </w:rPr>
    </w:lvl>
    <w:lvl w:ilvl="6" w:tplc="E79031C6">
      <w:start w:val="1"/>
      <w:numFmt w:val="bullet"/>
      <w:lvlText w:val=""/>
      <w:lvlJc w:val="left"/>
      <w:pPr>
        <w:ind w:left="5040" w:hanging="360"/>
      </w:pPr>
      <w:rPr>
        <w:rFonts w:ascii="Symbol" w:hAnsi="Symbol" w:hint="default"/>
      </w:rPr>
    </w:lvl>
    <w:lvl w:ilvl="7" w:tplc="02664064">
      <w:start w:val="1"/>
      <w:numFmt w:val="bullet"/>
      <w:lvlText w:val="o"/>
      <w:lvlJc w:val="left"/>
      <w:pPr>
        <w:ind w:left="5760" w:hanging="360"/>
      </w:pPr>
      <w:rPr>
        <w:rFonts w:ascii="Courier New" w:hAnsi="Courier New" w:hint="default"/>
      </w:rPr>
    </w:lvl>
    <w:lvl w:ilvl="8" w:tplc="A0C40F5A">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2E701AC"/>
    <w:multiLevelType w:val="hybridMultilevel"/>
    <w:tmpl w:val="B0A42D1A"/>
    <w:lvl w:ilvl="0" w:tplc="8586C91E">
      <w:start w:val="1"/>
      <w:numFmt w:val="bullet"/>
      <w:lvlText w:val=""/>
      <w:lvlJc w:val="left"/>
      <w:pPr>
        <w:ind w:left="720" w:hanging="360"/>
      </w:pPr>
      <w:rPr>
        <w:rFonts w:ascii="Symbol" w:hAnsi="Symbol" w:hint="default"/>
      </w:rPr>
    </w:lvl>
    <w:lvl w:ilvl="1" w:tplc="FD843EC0">
      <w:start w:val="1"/>
      <w:numFmt w:val="bullet"/>
      <w:lvlText w:val="o"/>
      <w:lvlJc w:val="left"/>
      <w:pPr>
        <w:ind w:left="1440" w:hanging="360"/>
      </w:pPr>
      <w:rPr>
        <w:rFonts w:ascii="Courier New" w:hAnsi="Courier New" w:hint="default"/>
      </w:rPr>
    </w:lvl>
    <w:lvl w:ilvl="2" w:tplc="DEF26A8A">
      <w:start w:val="1"/>
      <w:numFmt w:val="bullet"/>
      <w:lvlText w:val=""/>
      <w:lvlJc w:val="left"/>
      <w:pPr>
        <w:ind w:left="2160" w:hanging="360"/>
      </w:pPr>
      <w:rPr>
        <w:rFonts w:ascii="Wingdings" w:hAnsi="Wingdings" w:hint="default"/>
      </w:rPr>
    </w:lvl>
    <w:lvl w:ilvl="3" w:tplc="C44C224A">
      <w:start w:val="1"/>
      <w:numFmt w:val="bullet"/>
      <w:lvlText w:val=""/>
      <w:lvlJc w:val="left"/>
      <w:pPr>
        <w:ind w:left="2880" w:hanging="360"/>
      </w:pPr>
      <w:rPr>
        <w:rFonts w:ascii="Symbol" w:hAnsi="Symbol" w:hint="default"/>
      </w:rPr>
    </w:lvl>
    <w:lvl w:ilvl="4" w:tplc="DEB8D72C">
      <w:start w:val="1"/>
      <w:numFmt w:val="bullet"/>
      <w:lvlText w:val="o"/>
      <w:lvlJc w:val="left"/>
      <w:pPr>
        <w:ind w:left="3600" w:hanging="360"/>
      </w:pPr>
      <w:rPr>
        <w:rFonts w:ascii="Courier New" w:hAnsi="Courier New" w:hint="default"/>
      </w:rPr>
    </w:lvl>
    <w:lvl w:ilvl="5" w:tplc="70AE6752">
      <w:start w:val="1"/>
      <w:numFmt w:val="bullet"/>
      <w:lvlText w:val=""/>
      <w:lvlJc w:val="left"/>
      <w:pPr>
        <w:ind w:left="4320" w:hanging="360"/>
      </w:pPr>
      <w:rPr>
        <w:rFonts w:ascii="Wingdings" w:hAnsi="Wingdings" w:hint="default"/>
      </w:rPr>
    </w:lvl>
    <w:lvl w:ilvl="6" w:tplc="4BD6BBEC">
      <w:start w:val="1"/>
      <w:numFmt w:val="bullet"/>
      <w:lvlText w:val=""/>
      <w:lvlJc w:val="left"/>
      <w:pPr>
        <w:ind w:left="5040" w:hanging="360"/>
      </w:pPr>
      <w:rPr>
        <w:rFonts w:ascii="Symbol" w:hAnsi="Symbol" w:hint="default"/>
      </w:rPr>
    </w:lvl>
    <w:lvl w:ilvl="7" w:tplc="DC6EE5CC">
      <w:start w:val="1"/>
      <w:numFmt w:val="bullet"/>
      <w:lvlText w:val="o"/>
      <w:lvlJc w:val="left"/>
      <w:pPr>
        <w:ind w:left="5760" w:hanging="360"/>
      </w:pPr>
      <w:rPr>
        <w:rFonts w:ascii="Courier New" w:hAnsi="Courier New" w:hint="default"/>
      </w:rPr>
    </w:lvl>
    <w:lvl w:ilvl="8" w:tplc="788AD53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53E74"/>
    <w:multiLevelType w:val="hybridMultilevel"/>
    <w:tmpl w:val="59384FE0"/>
    <w:lvl w:ilvl="0" w:tplc="A7C02438">
      <w:start w:val="1"/>
      <w:numFmt w:val="bullet"/>
      <w:lvlText w:val=""/>
      <w:lvlJc w:val="left"/>
      <w:pPr>
        <w:ind w:left="720" w:hanging="360"/>
      </w:pPr>
      <w:rPr>
        <w:rFonts w:ascii="Symbol" w:hAnsi="Symbol" w:hint="default"/>
      </w:rPr>
    </w:lvl>
    <w:lvl w:ilvl="1" w:tplc="C386625C">
      <w:start w:val="1"/>
      <w:numFmt w:val="bullet"/>
      <w:lvlText w:val="o"/>
      <w:lvlJc w:val="left"/>
      <w:pPr>
        <w:ind w:left="1440" w:hanging="360"/>
      </w:pPr>
      <w:rPr>
        <w:rFonts w:ascii="Courier New" w:hAnsi="Courier New" w:hint="default"/>
      </w:rPr>
    </w:lvl>
    <w:lvl w:ilvl="2" w:tplc="D6DEB7C0">
      <w:start w:val="1"/>
      <w:numFmt w:val="bullet"/>
      <w:lvlText w:val=""/>
      <w:lvlJc w:val="left"/>
      <w:pPr>
        <w:ind w:left="2160" w:hanging="360"/>
      </w:pPr>
      <w:rPr>
        <w:rFonts w:ascii="Wingdings" w:hAnsi="Wingdings" w:hint="default"/>
      </w:rPr>
    </w:lvl>
    <w:lvl w:ilvl="3" w:tplc="DF9C1E3C">
      <w:start w:val="1"/>
      <w:numFmt w:val="bullet"/>
      <w:lvlText w:val=""/>
      <w:lvlJc w:val="left"/>
      <w:pPr>
        <w:ind w:left="2880" w:hanging="360"/>
      </w:pPr>
      <w:rPr>
        <w:rFonts w:ascii="Symbol" w:hAnsi="Symbol" w:hint="default"/>
      </w:rPr>
    </w:lvl>
    <w:lvl w:ilvl="4" w:tplc="412A5FDE">
      <w:start w:val="1"/>
      <w:numFmt w:val="bullet"/>
      <w:lvlText w:val="o"/>
      <w:lvlJc w:val="left"/>
      <w:pPr>
        <w:ind w:left="3600" w:hanging="360"/>
      </w:pPr>
      <w:rPr>
        <w:rFonts w:ascii="Courier New" w:hAnsi="Courier New" w:hint="default"/>
      </w:rPr>
    </w:lvl>
    <w:lvl w:ilvl="5" w:tplc="3A1A7350">
      <w:start w:val="1"/>
      <w:numFmt w:val="bullet"/>
      <w:lvlText w:val=""/>
      <w:lvlJc w:val="left"/>
      <w:pPr>
        <w:ind w:left="4320" w:hanging="360"/>
      </w:pPr>
      <w:rPr>
        <w:rFonts w:ascii="Wingdings" w:hAnsi="Wingdings" w:hint="default"/>
      </w:rPr>
    </w:lvl>
    <w:lvl w:ilvl="6" w:tplc="455076BA">
      <w:start w:val="1"/>
      <w:numFmt w:val="bullet"/>
      <w:lvlText w:val=""/>
      <w:lvlJc w:val="left"/>
      <w:pPr>
        <w:ind w:left="5040" w:hanging="360"/>
      </w:pPr>
      <w:rPr>
        <w:rFonts w:ascii="Symbol" w:hAnsi="Symbol" w:hint="default"/>
      </w:rPr>
    </w:lvl>
    <w:lvl w:ilvl="7" w:tplc="4A169620">
      <w:start w:val="1"/>
      <w:numFmt w:val="bullet"/>
      <w:lvlText w:val="o"/>
      <w:lvlJc w:val="left"/>
      <w:pPr>
        <w:ind w:left="5760" w:hanging="360"/>
      </w:pPr>
      <w:rPr>
        <w:rFonts w:ascii="Courier New" w:hAnsi="Courier New" w:hint="default"/>
      </w:rPr>
    </w:lvl>
    <w:lvl w:ilvl="8" w:tplc="CCAEB0B2">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3"/>
  </w:num>
  <w:num w:numId="6">
    <w:abstractNumId w:val="0"/>
  </w:num>
  <w:num w:numId="7">
    <w:abstractNumId w:val="1"/>
  </w:num>
  <w:num w:numId="8">
    <w:abstractNumId w:val="8"/>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163BF"/>
    <w:rsid w:val="001B52CA"/>
    <w:rsid w:val="0026797A"/>
    <w:rsid w:val="0027587A"/>
    <w:rsid w:val="002A100A"/>
    <w:rsid w:val="002D66CC"/>
    <w:rsid w:val="00300812"/>
    <w:rsid w:val="00300F93"/>
    <w:rsid w:val="00316110"/>
    <w:rsid w:val="00327EB0"/>
    <w:rsid w:val="00356BE5"/>
    <w:rsid w:val="00373050"/>
    <w:rsid w:val="00472F13"/>
    <w:rsid w:val="00496DD9"/>
    <w:rsid w:val="00506FC3"/>
    <w:rsid w:val="00551272"/>
    <w:rsid w:val="005D6523"/>
    <w:rsid w:val="006231FB"/>
    <w:rsid w:val="00665A1E"/>
    <w:rsid w:val="00686AA4"/>
    <w:rsid w:val="006B3525"/>
    <w:rsid w:val="00770DA0"/>
    <w:rsid w:val="007911BE"/>
    <w:rsid w:val="00800077"/>
    <w:rsid w:val="008707C4"/>
    <w:rsid w:val="00872B58"/>
    <w:rsid w:val="00872BA4"/>
    <w:rsid w:val="00963CE4"/>
    <w:rsid w:val="00976EA9"/>
    <w:rsid w:val="00980D00"/>
    <w:rsid w:val="009A23AC"/>
    <w:rsid w:val="009C5702"/>
    <w:rsid w:val="00A015AF"/>
    <w:rsid w:val="00A0765D"/>
    <w:rsid w:val="00A106D4"/>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C75DD"/>
    <w:rsid w:val="00FB5DC0"/>
    <w:rsid w:val="00FC0AA2"/>
    <w:rsid w:val="01576DA5"/>
    <w:rsid w:val="0162B9E2"/>
    <w:rsid w:val="016D6BB7"/>
    <w:rsid w:val="01BC911C"/>
    <w:rsid w:val="01C7B2B4"/>
    <w:rsid w:val="022B69D1"/>
    <w:rsid w:val="023DE749"/>
    <w:rsid w:val="026350F0"/>
    <w:rsid w:val="02FA5B94"/>
    <w:rsid w:val="036A4E8A"/>
    <w:rsid w:val="0372375C"/>
    <w:rsid w:val="0401C6A4"/>
    <w:rsid w:val="050F9364"/>
    <w:rsid w:val="051469CE"/>
    <w:rsid w:val="05858C6C"/>
    <w:rsid w:val="06BADF51"/>
    <w:rsid w:val="07911C62"/>
    <w:rsid w:val="07C5C901"/>
    <w:rsid w:val="07CB03E4"/>
    <w:rsid w:val="07EE82BF"/>
    <w:rsid w:val="0811574D"/>
    <w:rsid w:val="082C8022"/>
    <w:rsid w:val="082F3AED"/>
    <w:rsid w:val="083DBAF9"/>
    <w:rsid w:val="087AA1C4"/>
    <w:rsid w:val="08BB28CC"/>
    <w:rsid w:val="08EFAE2B"/>
    <w:rsid w:val="0906DE4A"/>
    <w:rsid w:val="09149A42"/>
    <w:rsid w:val="092143E4"/>
    <w:rsid w:val="09335D90"/>
    <w:rsid w:val="09699D18"/>
    <w:rsid w:val="09F73312"/>
    <w:rsid w:val="0A003D7F"/>
    <w:rsid w:val="0A38B3BB"/>
    <w:rsid w:val="0A6842B0"/>
    <w:rsid w:val="0A6F6ADA"/>
    <w:rsid w:val="0AB57B41"/>
    <w:rsid w:val="0AF7A3E7"/>
    <w:rsid w:val="0B056D79"/>
    <w:rsid w:val="0B2A3EA9"/>
    <w:rsid w:val="0B773283"/>
    <w:rsid w:val="0B773E9C"/>
    <w:rsid w:val="0B8E293D"/>
    <w:rsid w:val="0C56C78A"/>
    <w:rsid w:val="0CD70CBB"/>
    <w:rsid w:val="0CF981D3"/>
    <w:rsid w:val="0D43063A"/>
    <w:rsid w:val="0D50FB65"/>
    <w:rsid w:val="0DC21ADD"/>
    <w:rsid w:val="0ECBA6C1"/>
    <w:rsid w:val="0EFF1B2F"/>
    <w:rsid w:val="0F07AE39"/>
    <w:rsid w:val="0F0E4FED"/>
    <w:rsid w:val="0F86A3FC"/>
    <w:rsid w:val="0FE4876F"/>
    <w:rsid w:val="1002EA46"/>
    <w:rsid w:val="1024F2D2"/>
    <w:rsid w:val="1157D7E2"/>
    <w:rsid w:val="118102CB"/>
    <w:rsid w:val="11FA069D"/>
    <w:rsid w:val="12659E9F"/>
    <w:rsid w:val="126ABAAD"/>
    <w:rsid w:val="12AFF895"/>
    <w:rsid w:val="12F71998"/>
    <w:rsid w:val="1304DF78"/>
    <w:rsid w:val="13A9905A"/>
    <w:rsid w:val="13B7D7CA"/>
    <w:rsid w:val="144DF405"/>
    <w:rsid w:val="1462F5BC"/>
    <w:rsid w:val="14C0415F"/>
    <w:rsid w:val="14C0E05F"/>
    <w:rsid w:val="14D120EF"/>
    <w:rsid w:val="14F017BE"/>
    <w:rsid w:val="1549B37A"/>
    <w:rsid w:val="155C81BF"/>
    <w:rsid w:val="15630A66"/>
    <w:rsid w:val="1567F386"/>
    <w:rsid w:val="1568F156"/>
    <w:rsid w:val="1586EA55"/>
    <w:rsid w:val="168C9C23"/>
    <w:rsid w:val="17136559"/>
    <w:rsid w:val="17AEDE5D"/>
    <w:rsid w:val="17CCE384"/>
    <w:rsid w:val="186601E3"/>
    <w:rsid w:val="186F01E4"/>
    <w:rsid w:val="18BE8B17"/>
    <w:rsid w:val="193666DF"/>
    <w:rsid w:val="193DE57D"/>
    <w:rsid w:val="19DE2E4B"/>
    <w:rsid w:val="1A3B64A9"/>
    <w:rsid w:val="1ACAFD4B"/>
    <w:rsid w:val="1ACFA108"/>
    <w:rsid w:val="1AD23740"/>
    <w:rsid w:val="1AD42F7E"/>
    <w:rsid w:val="1AF14060"/>
    <w:rsid w:val="1B318741"/>
    <w:rsid w:val="1C196D74"/>
    <w:rsid w:val="1C2C65F5"/>
    <w:rsid w:val="1C7F61E5"/>
    <w:rsid w:val="1D2AD571"/>
    <w:rsid w:val="1D6A017E"/>
    <w:rsid w:val="1D7E1B15"/>
    <w:rsid w:val="1DAAD66F"/>
    <w:rsid w:val="1DF60440"/>
    <w:rsid w:val="1E2A045C"/>
    <w:rsid w:val="1E31FCF6"/>
    <w:rsid w:val="1E9CBC7B"/>
    <w:rsid w:val="1EF5AD6F"/>
    <w:rsid w:val="1F619A62"/>
    <w:rsid w:val="1FC1E565"/>
    <w:rsid w:val="1FDC1FAB"/>
    <w:rsid w:val="1FEAB889"/>
    <w:rsid w:val="2006FB73"/>
    <w:rsid w:val="2013D396"/>
    <w:rsid w:val="203C5131"/>
    <w:rsid w:val="20749A26"/>
    <w:rsid w:val="2080AAE2"/>
    <w:rsid w:val="20839088"/>
    <w:rsid w:val="20CDB755"/>
    <w:rsid w:val="20CECC29"/>
    <w:rsid w:val="20DBF6C2"/>
    <w:rsid w:val="210DD535"/>
    <w:rsid w:val="213A1C89"/>
    <w:rsid w:val="213C192F"/>
    <w:rsid w:val="216E73D9"/>
    <w:rsid w:val="2184980D"/>
    <w:rsid w:val="21966300"/>
    <w:rsid w:val="21CC1394"/>
    <w:rsid w:val="222FEF65"/>
    <w:rsid w:val="22D36361"/>
    <w:rsid w:val="22D86005"/>
    <w:rsid w:val="23221862"/>
    <w:rsid w:val="23469B94"/>
    <w:rsid w:val="239517A4"/>
    <w:rsid w:val="242C4D9A"/>
    <w:rsid w:val="24416F50"/>
    <w:rsid w:val="248B2449"/>
    <w:rsid w:val="24B70757"/>
    <w:rsid w:val="24F65799"/>
    <w:rsid w:val="256F6829"/>
    <w:rsid w:val="2597466E"/>
    <w:rsid w:val="25AA8FEA"/>
    <w:rsid w:val="25E99DAE"/>
    <w:rsid w:val="26CE49B8"/>
    <w:rsid w:val="26E20F71"/>
    <w:rsid w:val="272D1D5B"/>
    <w:rsid w:val="273007C8"/>
    <w:rsid w:val="273B1FC6"/>
    <w:rsid w:val="277889AD"/>
    <w:rsid w:val="27E8D974"/>
    <w:rsid w:val="27FD5D60"/>
    <w:rsid w:val="2822FAC6"/>
    <w:rsid w:val="2939D849"/>
    <w:rsid w:val="295C0176"/>
    <w:rsid w:val="2967C005"/>
    <w:rsid w:val="29BB8D1B"/>
    <w:rsid w:val="29DEAF3B"/>
    <w:rsid w:val="2A00B5E0"/>
    <w:rsid w:val="2A1837D4"/>
    <w:rsid w:val="2A4245DA"/>
    <w:rsid w:val="2AA32A2C"/>
    <w:rsid w:val="2AFD4A6B"/>
    <w:rsid w:val="2B53B8AB"/>
    <w:rsid w:val="2B5D24A7"/>
    <w:rsid w:val="2BADF3E9"/>
    <w:rsid w:val="2BCA02D1"/>
    <w:rsid w:val="2C029DED"/>
    <w:rsid w:val="2C067749"/>
    <w:rsid w:val="2C080524"/>
    <w:rsid w:val="2C4FDA39"/>
    <w:rsid w:val="2C5F4FA3"/>
    <w:rsid w:val="2C6A0FF7"/>
    <w:rsid w:val="2C7A205A"/>
    <w:rsid w:val="2C8623A9"/>
    <w:rsid w:val="2CD68806"/>
    <w:rsid w:val="2CDA1E6E"/>
    <w:rsid w:val="2D70F8F8"/>
    <w:rsid w:val="2D81D492"/>
    <w:rsid w:val="2D8CAB03"/>
    <w:rsid w:val="2DEDC85F"/>
    <w:rsid w:val="2E898426"/>
    <w:rsid w:val="2E963212"/>
    <w:rsid w:val="2EB699DC"/>
    <w:rsid w:val="2F3E180B"/>
    <w:rsid w:val="2FFA02AE"/>
    <w:rsid w:val="306003B1"/>
    <w:rsid w:val="30B40E49"/>
    <w:rsid w:val="30C1FF27"/>
    <w:rsid w:val="312DAC7E"/>
    <w:rsid w:val="318908CB"/>
    <w:rsid w:val="31B99D62"/>
    <w:rsid w:val="32040B0A"/>
    <w:rsid w:val="321AC14E"/>
    <w:rsid w:val="324B5F81"/>
    <w:rsid w:val="326948F4"/>
    <w:rsid w:val="328E971D"/>
    <w:rsid w:val="32B1B4D3"/>
    <w:rsid w:val="32DD8BD4"/>
    <w:rsid w:val="32E7EA4E"/>
    <w:rsid w:val="3332ECEC"/>
    <w:rsid w:val="334FDD56"/>
    <w:rsid w:val="343D9B54"/>
    <w:rsid w:val="343F371E"/>
    <w:rsid w:val="3462D9A4"/>
    <w:rsid w:val="347C48DB"/>
    <w:rsid w:val="34820458"/>
    <w:rsid w:val="34EFB7A9"/>
    <w:rsid w:val="35324A16"/>
    <w:rsid w:val="354C5FDF"/>
    <w:rsid w:val="3579FC56"/>
    <w:rsid w:val="35989E2E"/>
    <w:rsid w:val="35B67C38"/>
    <w:rsid w:val="3626554A"/>
    <w:rsid w:val="378CFBD7"/>
    <w:rsid w:val="37E5492F"/>
    <w:rsid w:val="37F6B8CD"/>
    <w:rsid w:val="38171751"/>
    <w:rsid w:val="394DC077"/>
    <w:rsid w:val="398D516E"/>
    <w:rsid w:val="39F7E42D"/>
    <w:rsid w:val="39FB7948"/>
    <w:rsid w:val="3A397868"/>
    <w:rsid w:val="3A756835"/>
    <w:rsid w:val="3A9FC8E2"/>
    <w:rsid w:val="3ADDFA79"/>
    <w:rsid w:val="3B2B9060"/>
    <w:rsid w:val="3B6977B9"/>
    <w:rsid w:val="3BF15F88"/>
    <w:rsid w:val="3BFCE9C2"/>
    <w:rsid w:val="3C14A16C"/>
    <w:rsid w:val="3C7385C7"/>
    <w:rsid w:val="3E64F3E0"/>
    <w:rsid w:val="3E977306"/>
    <w:rsid w:val="3EA8BBDF"/>
    <w:rsid w:val="3EE4CD22"/>
    <w:rsid w:val="3F6DAA88"/>
    <w:rsid w:val="3FD211B6"/>
    <w:rsid w:val="40109F91"/>
    <w:rsid w:val="40CBCA84"/>
    <w:rsid w:val="40D322AB"/>
    <w:rsid w:val="4104917D"/>
    <w:rsid w:val="41204624"/>
    <w:rsid w:val="412E8A88"/>
    <w:rsid w:val="41B54060"/>
    <w:rsid w:val="421F9F9A"/>
    <w:rsid w:val="423CB21B"/>
    <w:rsid w:val="428E0291"/>
    <w:rsid w:val="42A54B4A"/>
    <w:rsid w:val="42B45547"/>
    <w:rsid w:val="433DFD85"/>
    <w:rsid w:val="43ADD311"/>
    <w:rsid w:val="44454A9B"/>
    <w:rsid w:val="447847E8"/>
    <w:rsid w:val="44878056"/>
    <w:rsid w:val="448FF646"/>
    <w:rsid w:val="44EC2D7F"/>
    <w:rsid w:val="46C6BFF5"/>
    <w:rsid w:val="46FC7324"/>
    <w:rsid w:val="474F0039"/>
    <w:rsid w:val="475C8EF9"/>
    <w:rsid w:val="476173B4"/>
    <w:rsid w:val="4778BC6D"/>
    <w:rsid w:val="478D11A6"/>
    <w:rsid w:val="47B10526"/>
    <w:rsid w:val="48679640"/>
    <w:rsid w:val="487DBA37"/>
    <w:rsid w:val="48891017"/>
    <w:rsid w:val="48AD4FC6"/>
    <w:rsid w:val="48D4AFB3"/>
    <w:rsid w:val="492AFE9A"/>
    <w:rsid w:val="498FC8A9"/>
    <w:rsid w:val="49C288FE"/>
    <w:rsid w:val="49F4264D"/>
    <w:rsid w:val="49FCA9CD"/>
    <w:rsid w:val="4A2C31F1"/>
    <w:rsid w:val="4A4BF366"/>
    <w:rsid w:val="4A9B697A"/>
    <w:rsid w:val="4AAAC761"/>
    <w:rsid w:val="4AB86F41"/>
    <w:rsid w:val="4ACBBD91"/>
    <w:rsid w:val="4B2C94A2"/>
    <w:rsid w:val="4B3B498A"/>
    <w:rsid w:val="4B4246A6"/>
    <w:rsid w:val="4B6939BD"/>
    <w:rsid w:val="4B718912"/>
    <w:rsid w:val="4BA94648"/>
    <w:rsid w:val="4BFE1F2F"/>
    <w:rsid w:val="4CD75754"/>
    <w:rsid w:val="4D42C000"/>
    <w:rsid w:val="4D92FB1B"/>
    <w:rsid w:val="4DC759FD"/>
    <w:rsid w:val="4E220FFE"/>
    <w:rsid w:val="4E3D00C7"/>
    <w:rsid w:val="4E414735"/>
    <w:rsid w:val="4E5DB501"/>
    <w:rsid w:val="4E8B7555"/>
    <w:rsid w:val="4F378648"/>
    <w:rsid w:val="4FE1C130"/>
    <w:rsid w:val="4FE64FB7"/>
    <w:rsid w:val="5054F0A2"/>
    <w:rsid w:val="5071DBC4"/>
    <w:rsid w:val="50B8F21E"/>
    <w:rsid w:val="50E93DA9"/>
    <w:rsid w:val="5176E2D7"/>
    <w:rsid w:val="517A19CB"/>
    <w:rsid w:val="5184B1C0"/>
    <w:rsid w:val="51AC6639"/>
    <w:rsid w:val="51E6135C"/>
    <w:rsid w:val="51F89CCF"/>
    <w:rsid w:val="52249C7D"/>
    <w:rsid w:val="5274D8C4"/>
    <w:rsid w:val="529555D3"/>
    <w:rsid w:val="5298EFD7"/>
    <w:rsid w:val="52BF22C0"/>
    <w:rsid w:val="52C70453"/>
    <w:rsid w:val="535475D9"/>
    <w:rsid w:val="53551128"/>
    <w:rsid w:val="53784238"/>
    <w:rsid w:val="53DFBA56"/>
    <w:rsid w:val="5486BCF5"/>
    <w:rsid w:val="548B4EE1"/>
    <w:rsid w:val="548B92EA"/>
    <w:rsid w:val="549DFDE9"/>
    <w:rsid w:val="551F72D2"/>
    <w:rsid w:val="557D2004"/>
    <w:rsid w:val="56277CA2"/>
    <w:rsid w:val="56523837"/>
    <w:rsid w:val="56DEE543"/>
    <w:rsid w:val="575F1485"/>
    <w:rsid w:val="57CB9D79"/>
    <w:rsid w:val="587732B0"/>
    <w:rsid w:val="58AA2F9C"/>
    <w:rsid w:val="59405C85"/>
    <w:rsid w:val="59F4149E"/>
    <w:rsid w:val="5A623B8A"/>
    <w:rsid w:val="5AC67711"/>
    <w:rsid w:val="5ADC2CE6"/>
    <w:rsid w:val="5AF19210"/>
    <w:rsid w:val="5BB66BB1"/>
    <w:rsid w:val="5BC5A8B5"/>
    <w:rsid w:val="5BF8532B"/>
    <w:rsid w:val="5C41A282"/>
    <w:rsid w:val="5C816E5B"/>
    <w:rsid w:val="5C81F291"/>
    <w:rsid w:val="5D0CE336"/>
    <w:rsid w:val="5D23469C"/>
    <w:rsid w:val="5D2752C1"/>
    <w:rsid w:val="5D2BDE64"/>
    <w:rsid w:val="5D526D35"/>
    <w:rsid w:val="5D5BA556"/>
    <w:rsid w:val="5DE1F398"/>
    <w:rsid w:val="5E18F7F9"/>
    <w:rsid w:val="5E1DA985"/>
    <w:rsid w:val="5E4C9A5B"/>
    <w:rsid w:val="5E5B082F"/>
    <w:rsid w:val="5E691C0D"/>
    <w:rsid w:val="5E74B56A"/>
    <w:rsid w:val="5EE8CBCD"/>
    <w:rsid w:val="5EF1E4AE"/>
    <w:rsid w:val="5F1CBC78"/>
    <w:rsid w:val="5F56EA7B"/>
    <w:rsid w:val="6002AB7F"/>
    <w:rsid w:val="6010CC80"/>
    <w:rsid w:val="6066EBA1"/>
    <w:rsid w:val="60716B89"/>
    <w:rsid w:val="6260E6EE"/>
    <w:rsid w:val="62639553"/>
    <w:rsid w:val="62738C1B"/>
    <w:rsid w:val="62FE50EA"/>
    <w:rsid w:val="63155ADD"/>
    <w:rsid w:val="638183EA"/>
    <w:rsid w:val="63A4AE65"/>
    <w:rsid w:val="63AD613D"/>
    <w:rsid w:val="63EC0CF4"/>
    <w:rsid w:val="641E9F15"/>
    <w:rsid w:val="6444DFAF"/>
    <w:rsid w:val="64C9B295"/>
    <w:rsid w:val="653BACE9"/>
    <w:rsid w:val="6551DB58"/>
    <w:rsid w:val="65612632"/>
    <w:rsid w:val="6565CE62"/>
    <w:rsid w:val="65871D26"/>
    <w:rsid w:val="65943897"/>
    <w:rsid w:val="65A2F5F3"/>
    <w:rsid w:val="65D932EA"/>
    <w:rsid w:val="65DFD2A5"/>
    <w:rsid w:val="65E9D2E5"/>
    <w:rsid w:val="66489C3B"/>
    <w:rsid w:val="670C475C"/>
    <w:rsid w:val="6736DEF2"/>
    <w:rsid w:val="67A7E7A3"/>
    <w:rsid w:val="68245E8F"/>
    <w:rsid w:val="682A9BC1"/>
    <w:rsid w:val="68E71925"/>
    <w:rsid w:val="693CBE35"/>
    <w:rsid w:val="6943D6B0"/>
    <w:rsid w:val="69C66C22"/>
    <w:rsid w:val="69F02D6D"/>
    <w:rsid w:val="6A8DFA22"/>
    <w:rsid w:val="6AE4DB40"/>
    <w:rsid w:val="6B331F19"/>
    <w:rsid w:val="6B5ECC4A"/>
    <w:rsid w:val="6B736D72"/>
    <w:rsid w:val="6BB4A12E"/>
    <w:rsid w:val="6BECCA4F"/>
    <w:rsid w:val="6C6281E6"/>
    <w:rsid w:val="6C92DFED"/>
    <w:rsid w:val="6CA5B8C1"/>
    <w:rsid w:val="6CB140F8"/>
    <w:rsid w:val="6CBDC2CC"/>
    <w:rsid w:val="6D1B4991"/>
    <w:rsid w:val="6D2C464C"/>
    <w:rsid w:val="6D6C2E2F"/>
    <w:rsid w:val="6D6C3817"/>
    <w:rsid w:val="6D767DD5"/>
    <w:rsid w:val="6E1EEA43"/>
    <w:rsid w:val="6E4285EB"/>
    <w:rsid w:val="6E5878EA"/>
    <w:rsid w:val="6E675264"/>
    <w:rsid w:val="6EDCAB0C"/>
    <w:rsid w:val="6FD7206D"/>
    <w:rsid w:val="6FDDEAA7"/>
    <w:rsid w:val="700E9801"/>
    <w:rsid w:val="7054A475"/>
    <w:rsid w:val="70622CEC"/>
    <w:rsid w:val="709CA551"/>
    <w:rsid w:val="7120F9AA"/>
    <w:rsid w:val="71AA6862"/>
    <w:rsid w:val="71E245EC"/>
    <w:rsid w:val="71E56660"/>
    <w:rsid w:val="71F92A36"/>
    <w:rsid w:val="71FFB76F"/>
    <w:rsid w:val="72067B85"/>
    <w:rsid w:val="7253928F"/>
    <w:rsid w:val="72A77979"/>
    <w:rsid w:val="7361363F"/>
    <w:rsid w:val="73B2F60B"/>
    <w:rsid w:val="741AD9FB"/>
    <w:rsid w:val="7438A118"/>
    <w:rsid w:val="74875D3D"/>
    <w:rsid w:val="75001ADC"/>
    <w:rsid w:val="75E59563"/>
    <w:rsid w:val="77071CA1"/>
    <w:rsid w:val="7709C769"/>
    <w:rsid w:val="77B8D819"/>
    <w:rsid w:val="780BBBC5"/>
    <w:rsid w:val="7850C3FD"/>
    <w:rsid w:val="7852D63F"/>
    <w:rsid w:val="785FB65A"/>
    <w:rsid w:val="7876ACE9"/>
    <w:rsid w:val="7911ABA4"/>
    <w:rsid w:val="79898554"/>
    <w:rsid w:val="798D0F51"/>
    <w:rsid w:val="79AC1A98"/>
    <w:rsid w:val="7B0DE9E2"/>
    <w:rsid w:val="7B19AEFA"/>
    <w:rsid w:val="7B77779C"/>
    <w:rsid w:val="7B8B0774"/>
    <w:rsid w:val="7B8CEE79"/>
    <w:rsid w:val="7CE2D0BA"/>
    <w:rsid w:val="7CF055C1"/>
    <w:rsid w:val="7D5128D7"/>
    <w:rsid w:val="7D7C76F4"/>
    <w:rsid w:val="7DD19B63"/>
    <w:rsid w:val="7DE7D41A"/>
    <w:rsid w:val="7DEECB44"/>
    <w:rsid w:val="7DF0AAE8"/>
    <w:rsid w:val="7E03A0A4"/>
    <w:rsid w:val="7E43CE1A"/>
    <w:rsid w:val="7EC9CC95"/>
    <w:rsid w:val="7F204854"/>
    <w:rsid w:val="7F2D2F21"/>
    <w:rsid w:val="7F4C6521"/>
    <w:rsid w:val="7F97F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meredith.villines@ode.state.or.us" TargetMode="Externa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DD994BF8-1A19-480F-931F-1C9F08B689EF}"/>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2021-12-17T18:14:00Z</dcterms:created>
  <dcterms:modified xsi:type="dcterms:W3CDTF">2021-12-17T18:14:00Z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