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ructural Table"/>
        <w:tblDescription w:val="This table is included to give structure to the document's heading. It is a two column table with the left column containing the title and the right column containing the ODE logo."/>
      </w:tblPr>
      <w:tblGrid>
        <w:gridCol w:w="2160"/>
        <w:gridCol w:w="324"/>
        <w:gridCol w:w="2484"/>
        <w:gridCol w:w="2484"/>
        <w:gridCol w:w="2484"/>
      </w:tblGrid>
      <w:tr w:rsidR="7AADC5B4" w14:paraId="725C34C2" w14:textId="77777777" w:rsidTr="004F48E9">
        <w:trPr>
          <w:tblHeader/>
        </w:trPr>
        <w:tc>
          <w:tcPr>
            <w:tcW w:w="2160" w:type="dxa"/>
            <w:vAlign w:val="center"/>
          </w:tcPr>
          <w:p w14:paraId="145ABD28" w14:textId="77777777" w:rsidR="7AADC5B4" w:rsidRDefault="7AADC5B4" w:rsidP="7AADC5B4">
            <w:pPr>
              <w:jc w:val="center"/>
              <w:rPr>
                <w:rFonts w:eastAsia="Arial"/>
                <w:b/>
                <w:bCs/>
                <w:color w:val="082A75"/>
                <w:sz w:val="36"/>
                <w:szCs w:val="36"/>
              </w:rPr>
            </w:pPr>
            <w:r>
              <w:rPr>
                <w:noProof/>
              </w:rPr>
              <w:drawing>
                <wp:inline distT="0" distB="0" distL="0" distR="0" wp14:anchorId="607A6755" wp14:editId="38ACC639">
                  <wp:extent cx="1077554" cy="1145969"/>
                  <wp:effectExtent l="0" t="0" r="8890" b="0"/>
                  <wp:docPr id="1385428952" name="Picture 1944659586" title="Oreg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659586"/>
                          <pic:cNvPicPr/>
                        </pic:nvPicPr>
                        <pic:blipFill>
                          <a:blip r:embed="rId10">
                            <a:extLst>
                              <a:ext uri="{28A0092B-C50C-407E-A947-70E740481C1C}">
                                <a14:useLocalDpi xmlns:a14="http://schemas.microsoft.com/office/drawing/2010/main" val="0"/>
                              </a:ext>
                            </a:extLst>
                          </a:blip>
                          <a:stretch>
                            <a:fillRect/>
                          </a:stretch>
                        </pic:blipFill>
                        <pic:spPr>
                          <a:xfrm>
                            <a:off x="0" y="0"/>
                            <a:ext cx="1077554" cy="1145969"/>
                          </a:xfrm>
                          <a:prstGeom prst="rect">
                            <a:avLst/>
                          </a:prstGeom>
                        </pic:spPr>
                      </pic:pic>
                    </a:graphicData>
                  </a:graphic>
                </wp:inline>
              </w:drawing>
            </w:r>
          </w:p>
        </w:tc>
        <w:tc>
          <w:tcPr>
            <w:tcW w:w="7776" w:type="dxa"/>
            <w:gridSpan w:val="4"/>
            <w:vAlign w:val="center"/>
          </w:tcPr>
          <w:p w14:paraId="3A8DB55E" w14:textId="77777777" w:rsidR="7AADC5B4" w:rsidRPr="00DA614A" w:rsidRDefault="7AADC5B4" w:rsidP="7AADC5B4">
            <w:pPr>
              <w:pStyle w:val="Title"/>
              <w:spacing w:after="200"/>
              <w:jc w:val="center"/>
              <w:rPr>
                <w:rFonts w:asciiTheme="minorHAnsi" w:eastAsia="Arial" w:hAnsiTheme="minorHAnsi" w:cstheme="minorBidi"/>
                <w:b/>
                <w:bCs/>
                <w:color w:val="1B75BC"/>
                <w:sz w:val="48"/>
                <w:szCs w:val="48"/>
              </w:rPr>
            </w:pPr>
            <w:r w:rsidRPr="00DA614A">
              <w:rPr>
                <w:rFonts w:asciiTheme="minorHAnsi" w:eastAsia="Arial" w:hAnsiTheme="minorHAnsi" w:cstheme="minorBidi"/>
                <w:b/>
                <w:bCs/>
                <w:color w:val="1B75BC"/>
                <w:sz w:val="48"/>
                <w:szCs w:val="48"/>
              </w:rPr>
              <w:t>State Performance Plan (SPP)</w:t>
            </w:r>
          </w:p>
          <w:p w14:paraId="2BCEF479" w14:textId="4B3797DB" w:rsidR="7AADC5B4" w:rsidRPr="00DA614A" w:rsidRDefault="7AADC5B4" w:rsidP="7AADC5B4">
            <w:pPr>
              <w:pStyle w:val="Title"/>
              <w:spacing w:after="200"/>
              <w:jc w:val="center"/>
              <w:rPr>
                <w:rFonts w:asciiTheme="minorHAnsi" w:eastAsia="Arial" w:hAnsiTheme="minorHAnsi" w:cstheme="minorBidi"/>
                <w:b/>
                <w:bCs/>
                <w:color w:val="1B75BC"/>
                <w:sz w:val="48"/>
                <w:szCs w:val="48"/>
              </w:rPr>
            </w:pPr>
            <w:r w:rsidRPr="00DA614A">
              <w:rPr>
                <w:rFonts w:asciiTheme="minorHAnsi" w:eastAsia="Arial" w:hAnsiTheme="minorHAnsi" w:cstheme="minorBidi"/>
                <w:b/>
                <w:bCs/>
                <w:color w:val="1B75BC"/>
                <w:sz w:val="48"/>
                <w:szCs w:val="48"/>
              </w:rPr>
              <w:t>Fact Sheet</w:t>
            </w:r>
          </w:p>
          <w:p w14:paraId="02F4BDC8" w14:textId="7EF1CF83" w:rsidR="7AADC5B4" w:rsidRDefault="7AADC5B4" w:rsidP="7AADC5B4">
            <w:pPr>
              <w:pStyle w:val="Title"/>
              <w:spacing w:after="200"/>
              <w:jc w:val="center"/>
              <w:rPr>
                <w:rFonts w:asciiTheme="minorHAnsi" w:eastAsia="Arial" w:hAnsiTheme="minorHAnsi" w:cstheme="minorBidi"/>
                <w:b/>
                <w:bCs/>
                <w:color w:val="082A75"/>
                <w:sz w:val="48"/>
                <w:szCs w:val="48"/>
              </w:rPr>
            </w:pPr>
            <w:r w:rsidRPr="00DA614A">
              <w:rPr>
                <w:rFonts w:asciiTheme="minorHAnsi" w:eastAsia="Arial" w:hAnsiTheme="minorHAnsi" w:cstheme="minorBidi"/>
                <w:b/>
                <w:bCs/>
                <w:color w:val="1B75BC"/>
                <w:sz w:val="32"/>
                <w:szCs w:val="32"/>
              </w:rPr>
              <w:t>Indicator C2: Services in Natural Environments</w:t>
            </w:r>
          </w:p>
        </w:tc>
      </w:tr>
      <w:tr w:rsidR="7AADC5B4" w14:paraId="2CBDB542" w14:textId="77777777" w:rsidTr="7AADC5B4">
        <w:trPr>
          <w:trHeight w:val="72"/>
        </w:trPr>
        <w:tc>
          <w:tcPr>
            <w:tcW w:w="2484" w:type="dxa"/>
            <w:gridSpan w:val="2"/>
            <w:shd w:val="clear" w:color="auto" w:fill="9F2065"/>
          </w:tcPr>
          <w:p w14:paraId="0FBF6A32" w14:textId="77777777" w:rsidR="7AADC5B4" w:rsidRDefault="7AADC5B4" w:rsidP="7AADC5B4">
            <w:pPr>
              <w:rPr>
                <w:noProof/>
              </w:rPr>
            </w:pPr>
          </w:p>
        </w:tc>
        <w:tc>
          <w:tcPr>
            <w:tcW w:w="2484" w:type="dxa"/>
            <w:shd w:val="clear" w:color="auto" w:fill="E26B2A"/>
          </w:tcPr>
          <w:p w14:paraId="660F84E8" w14:textId="77777777" w:rsidR="7AADC5B4" w:rsidRDefault="7AADC5B4" w:rsidP="7AADC5B4">
            <w:pPr>
              <w:pStyle w:val="Title"/>
              <w:rPr>
                <w:rFonts w:asciiTheme="minorHAnsi" w:eastAsia="Arial" w:hAnsiTheme="minorHAnsi" w:cstheme="minorBidi"/>
                <w:b/>
                <w:bCs/>
                <w:color w:val="082974"/>
                <w:sz w:val="22"/>
                <w:szCs w:val="22"/>
              </w:rPr>
            </w:pPr>
          </w:p>
        </w:tc>
        <w:tc>
          <w:tcPr>
            <w:tcW w:w="2484" w:type="dxa"/>
            <w:shd w:val="clear" w:color="auto" w:fill="1B75BC"/>
          </w:tcPr>
          <w:p w14:paraId="4DF46D4A" w14:textId="77777777" w:rsidR="7AADC5B4" w:rsidRDefault="7AADC5B4" w:rsidP="7AADC5B4">
            <w:pPr>
              <w:pStyle w:val="Title"/>
              <w:rPr>
                <w:rFonts w:asciiTheme="minorHAnsi" w:eastAsia="Arial" w:hAnsiTheme="minorHAnsi" w:cstheme="minorBidi"/>
                <w:b/>
                <w:bCs/>
                <w:color w:val="082974"/>
                <w:sz w:val="22"/>
                <w:szCs w:val="22"/>
              </w:rPr>
            </w:pPr>
          </w:p>
        </w:tc>
        <w:tc>
          <w:tcPr>
            <w:tcW w:w="2484" w:type="dxa"/>
            <w:shd w:val="clear" w:color="auto" w:fill="408740"/>
          </w:tcPr>
          <w:p w14:paraId="0CD994AA" w14:textId="46579079" w:rsidR="7AADC5B4" w:rsidRDefault="7AADC5B4" w:rsidP="7AADC5B4">
            <w:pPr>
              <w:pStyle w:val="Title"/>
              <w:rPr>
                <w:rFonts w:asciiTheme="minorHAnsi" w:eastAsia="Arial" w:hAnsiTheme="minorHAnsi" w:cstheme="minorBidi"/>
                <w:b/>
                <w:bCs/>
                <w:color w:val="082974"/>
                <w:sz w:val="22"/>
                <w:szCs w:val="22"/>
              </w:rPr>
            </w:pPr>
          </w:p>
        </w:tc>
      </w:tr>
    </w:tbl>
    <w:p w14:paraId="0B8881E3" w14:textId="74214325" w:rsidR="77CC48B4" w:rsidRPr="00DA614A" w:rsidRDefault="77CC48B4" w:rsidP="00DB0C81">
      <w:pPr>
        <w:pStyle w:val="Heading1"/>
        <w:rPr>
          <w:rFonts w:ascii="Calibri" w:eastAsia="Calibri" w:hAnsi="Calibri" w:cs="Calibri"/>
          <w:color w:val="1B75BC"/>
        </w:rPr>
      </w:pPr>
      <w:r w:rsidRPr="00DA614A">
        <w:rPr>
          <w:rFonts w:ascii="Calibri" w:eastAsia="Calibri" w:hAnsi="Calibri" w:cs="Calibri"/>
          <w:b/>
          <w:bCs/>
          <w:color w:val="1B75BC"/>
        </w:rPr>
        <w:t>Oregon State Performance Plan</w:t>
      </w:r>
    </w:p>
    <w:p w14:paraId="07490C35" w14:textId="2D9EE526" w:rsidR="77CC48B4" w:rsidRDefault="77CC48B4" w:rsidP="43E910BC">
      <w:pPr>
        <w:spacing w:after="0"/>
        <w:rPr>
          <w:rFonts w:ascii="Calibri" w:eastAsia="Calibri" w:hAnsi="Calibri" w:cs="Calibri"/>
          <w:color w:val="000000" w:themeColor="text1"/>
        </w:rPr>
      </w:pPr>
      <w:r w:rsidRPr="43E910BC">
        <w:rPr>
          <w:rFonts w:ascii="Calibri" w:eastAsia="Calibri" w:hAnsi="Calibri" w:cs="Calibri"/>
          <w:color w:val="000000" w:themeColor="text1"/>
        </w:rPr>
        <w:t xml:space="preserve">Under the Individuals with Disabilities Education Act of 2004 (IDEA), the Oregon Department of Education (ODE) is required to submit a six-year State Performance Plan (SPP) to the Office of Special Education (OSEP). The OSEP has developed key performance measures, known as indicators, to measure both compliance and results. The OSEP sets the targets for compliance indicators and the ODE sets targets for the results indicators. The SPP must include targets for each results indicator. The ODE reports on progress made toward these indicators each year in the Annual Performance </w:t>
      </w:r>
      <w:r w:rsidR="5E217EAF" w:rsidRPr="43E910BC">
        <w:rPr>
          <w:rFonts w:ascii="Calibri" w:eastAsia="Calibri" w:hAnsi="Calibri" w:cs="Calibri"/>
          <w:color w:val="000000" w:themeColor="text1"/>
        </w:rPr>
        <w:t>Report</w:t>
      </w:r>
      <w:r w:rsidRPr="43E910BC">
        <w:rPr>
          <w:rFonts w:ascii="Calibri" w:eastAsia="Calibri" w:hAnsi="Calibri" w:cs="Calibri"/>
          <w:color w:val="000000" w:themeColor="text1"/>
        </w:rPr>
        <w:t xml:space="preserve"> (AP</w:t>
      </w:r>
      <w:r w:rsidR="0FC2D504" w:rsidRPr="43E910BC">
        <w:rPr>
          <w:rFonts w:ascii="Calibri" w:eastAsia="Calibri" w:hAnsi="Calibri" w:cs="Calibri"/>
          <w:color w:val="000000" w:themeColor="text1"/>
        </w:rPr>
        <w:t>R</w:t>
      </w:r>
      <w:r w:rsidRPr="43E910BC">
        <w:rPr>
          <w:rFonts w:ascii="Calibri" w:eastAsia="Calibri" w:hAnsi="Calibri" w:cs="Calibri"/>
          <w:color w:val="000000" w:themeColor="text1"/>
        </w:rPr>
        <w:t xml:space="preserve">). Every six years the ODE must review results targets and engage key partners in the development of new targets. Please see the </w:t>
      </w:r>
      <w:hyperlink r:id="rId11">
        <w:r w:rsidRPr="43E910BC">
          <w:rPr>
            <w:rStyle w:val="Hyperlink"/>
            <w:rFonts w:ascii="Calibri" w:eastAsia="Calibri" w:hAnsi="Calibri" w:cs="Calibri"/>
          </w:rPr>
          <w:t>ODE State Performance Plan and Annual Reports for Special Education webpage</w:t>
        </w:r>
      </w:hyperlink>
      <w:r w:rsidRPr="43E910BC">
        <w:rPr>
          <w:rFonts w:ascii="Calibri" w:eastAsia="Calibri" w:hAnsi="Calibri" w:cs="Calibri"/>
          <w:color w:val="000000" w:themeColor="text1"/>
        </w:rPr>
        <w:t xml:space="preserve"> for more informati</w:t>
      </w:r>
      <w:r w:rsidR="6357B9ED" w:rsidRPr="43E910BC">
        <w:rPr>
          <w:rFonts w:ascii="Calibri" w:eastAsia="Calibri" w:hAnsi="Calibri" w:cs="Calibri"/>
          <w:color w:val="000000" w:themeColor="text1"/>
        </w:rPr>
        <w:t>on.</w:t>
      </w:r>
    </w:p>
    <w:p w14:paraId="4B73E1C3" w14:textId="0BC52818" w:rsidR="000E4FA0" w:rsidRPr="00DA614A" w:rsidRDefault="66489C3B" w:rsidP="00DB0C81">
      <w:pPr>
        <w:pStyle w:val="Heading1"/>
        <w:rPr>
          <w:rFonts w:asciiTheme="minorHAnsi" w:hAnsiTheme="minorHAnsi" w:cstheme="minorBidi"/>
          <w:b/>
          <w:bCs/>
          <w:color w:val="1B75BC"/>
        </w:rPr>
      </w:pPr>
      <w:r w:rsidRPr="00DA614A">
        <w:rPr>
          <w:rFonts w:asciiTheme="minorHAnsi" w:hAnsiTheme="minorHAnsi" w:cstheme="minorBidi"/>
          <w:b/>
          <w:bCs/>
          <w:color w:val="1B75BC"/>
        </w:rPr>
        <w:t>What does this indicator measure</w:t>
      </w:r>
      <w:r w:rsidR="1C7F61E5" w:rsidRPr="00DA614A">
        <w:rPr>
          <w:rFonts w:asciiTheme="minorHAnsi" w:hAnsiTheme="minorHAnsi" w:cstheme="minorBidi"/>
          <w:b/>
          <w:bCs/>
          <w:color w:val="1B75BC"/>
        </w:rPr>
        <w:t xml:space="preserve"> and why is it important</w:t>
      </w:r>
      <w:r w:rsidRPr="00DA614A">
        <w:rPr>
          <w:rFonts w:asciiTheme="minorHAnsi" w:hAnsiTheme="minorHAnsi" w:cstheme="minorBidi"/>
          <w:b/>
          <w:bCs/>
          <w:color w:val="1B75BC"/>
        </w:rPr>
        <w:t>?</w:t>
      </w:r>
    </w:p>
    <w:p w14:paraId="074D207B" w14:textId="434ABD16" w:rsidR="5D8522D9" w:rsidRDefault="69480386" w:rsidP="43E910BC">
      <w:pPr>
        <w:spacing w:after="80"/>
        <w:rPr>
          <w:rFonts w:ascii="Calibri" w:eastAsia="Calibri" w:hAnsi="Calibri" w:cs="Calibri"/>
          <w:color w:val="000000" w:themeColor="text1"/>
        </w:rPr>
      </w:pPr>
      <w:r w:rsidRPr="43E910BC">
        <w:rPr>
          <w:rFonts w:eastAsiaTheme="minorEastAsia"/>
          <w:color w:val="000000" w:themeColor="text1"/>
        </w:rPr>
        <w:t xml:space="preserve">Indicator </w:t>
      </w:r>
      <w:r w:rsidR="3DDACDAA" w:rsidRPr="43E910BC">
        <w:rPr>
          <w:rFonts w:eastAsiaTheme="minorEastAsia"/>
          <w:color w:val="000000" w:themeColor="text1"/>
        </w:rPr>
        <w:t>C2</w:t>
      </w:r>
      <w:r w:rsidR="18B47C33" w:rsidRPr="43E910BC">
        <w:rPr>
          <w:rFonts w:eastAsiaTheme="minorEastAsia"/>
          <w:color w:val="000000" w:themeColor="text1"/>
        </w:rPr>
        <w:t xml:space="preserve"> (Natural Environments)</w:t>
      </w:r>
      <w:r w:rsidRPr="43E910BC">
        <w:rPr>
          <w:rFonts w:eastAsiaTheme="minorEastAsia"/>
          <w:color w:val="000000" w:themeColor="text1"/>
        </w:rPr>
        <w:t xml:space="preserve"> addresses </w:t>
      </w:r>
      <w:r w:rsidR="570E9CFE" w:rsidRPr="43E910BC">
        <w:rPr>
          <w:rFonts w:eastAsiaTheme="minorEastAsia"/>
          <w:color w:val="000000" w:themeColor="text1"/>
        </w:rPr>
        <w:t>the percent of infants and toddlers with IFSPs who primarily receive early intervention services in the home or community-based settings. (20 U.S.C. 1416(a)(3)(A) and 1442)</w:t>
      </w:r>
      <w:r w:rsidR="0CE6FCE1" w:rsidRPr="43E910BC">
        <w:rPr>
          <w:rFonts w:eastAsiaTheme="minorEastAsia"/>
          <w:color w:val="000000" w:themeColor="text1"/>
        </w:rPr>
        <w:t xml:space="preserve"> </w:t>
      </w:r>
      <w:r w:rsidR="56CB9E1E" w:rsidRPr="43E910BC">
        <w:rPr>
          <w:rFonts w:ascii="Calibri" w:eastAsia="Calibri" w:hAnsi="Calibri" w:cs="Calibri"/>
          <w:color w:val="000000" w:themeColor="text1"/>
        </w:rPr>
        <w:t>E</w:t>
      </w:r>
      <w:r w:rsidR="580A7E23" w:rsidRPr="43E910BC">
        <w:rPr>
          <w:rFonts w:ascii="Calibri" w:eastAsia="Calibri" w:hAnsi="Calibri" w:cs="Calibri"/>
          <w:color w:val="000000" w:themeColor="text1"/>
        </w:rPr>
        <w:t xml:space="preserve">arly </w:t>
      </w:r>
      <w:r w:rsidR="2E61B77D" w:rsidRPr="43E910BC">
        <w:rPr>
          <w:rFonts w:ascii="Calibri" w:eastAsia="Calibri" w:hAnsi="Calibri" w:cs="Calibri"/>
          <w:color w:val="000000" w:themeColor="text1"/>
        </w:rPr>
        <w:t>intervention</w:t>
      </w:r>
      <w:r w:rsidR="580A7E23" w:rsidRPr="43E910BC">
        <w:rPr>
          <w:rFonts w:ascii="Calibri" w:eastAsia="Calibri" w:hAnsi="Calibri" w:cs="Calibri"/>
          <w:color w:val="000000" w:themeColor="text1"/>
        </w:rPr>
        <w:t xml:space="preserve"> services should </w:t>
      </w:r>
      <w:r w:rsidR="2AED717F" w:rsidRPr="43E910BC">
        <w:rPr>
          <w:rFonts w:ascii="Calibri" w:eastAsia="Calibri" w:hAnsi="Calibri" w:cs="Calibri"/>
          <w:color w:val="000000" w:themeColor="text1"/>
        </w:rPr>
        <w:t xml:space="preserve">be provided in </w:t>
      </w:r>
      <w:r w:rsidR="2EBEA7D9" w:rsidRPr="43E910BC">
        <w:rPr>
          <w:rFonts w:ascii="Calibri" w:eastAsia="Calibri" w:hAnsi="Calibri" w:cs="Calibri"/>
          <w:color w:val="000000" w:themeColor="text1"/>
        </w:rPr>
        <w:t xml:space="preserve">the </w:t>
      </w:r>
      <w:r w:rsidR="2AED717F" w:rsidRPr="43E910BC">
        <w:rPr>
          <w:rFonts w:ascii="Calibri" w:eastAsia="Calibri" w:hAnsi="Calibri" w:cs="Calibri"/>
          <w:color w:val="000000" w:themeColor="text1"/>
        </w:rPr>
        <w:t>home or community-based settings when possible.</w:t>
      </w:r>
    </w:p>
    <w:p w14:paraId="21AABC0C" w14:textId="1D2468F7" w:rsidR="6CBDC2CC" w:rsidRPr="00DA614A" w:rsidRDefault="321AC14E" w:rsidP="00DB0C81">
      <w:pPr>
        <w:pStyle w:val="Heading1"/>
        <w:rPr>
          <w:rFonts w:asciiTheme="minorHAnsi" w:hAnsiTheme="minorHAnsi" w:cstheme="minorBidi"/>
          <w:b/>
          <w:bCs/>
          <w:color w:val="1B75BC"/>
        </w:rPr>
      </w:pPr>
      <w:r w:rsidRPr="00DA614A">
        <w:rPr>
          <w:rFonts w:asciiTheme="minorHAnsi" w:hAnsiTheme="minorHAnsi" w:cstheme="minorBidi"/>
          <w:b/>
          <w:bCs/>
          <w:color w:val="1B75BC"/>
        </w:rPr>
        <w:t>What is the data source?</w:t>
      </w:r>
    </w:p>
    <w:p w14:paraId="6209C0A9" w14:textId="73FDD346" w:rsidR="2C029DED" w:rsidRDefault="7266D810" w:rsidP="43E910BC">
      <w:pPr>
        <w:spacing w:after="80"/>
        <w:rPr>
          <w:rFonts w:eastAsiaTheme="minorEastAsia"/>
          <w:color w:val="000000" w:themeColor="text1"/>
        </w:rPr>
      </w:pPr>
      <w:r w:rsidRPr="43E910BC">
        <w:rPr>
          <w:rFonts w:eastAsiaTheme="minorEastAsia"/>
          <w:color w:val="000000" w:themeColor="text1"/>
        </w:rPr>
        <w:t>Data collected under section 618 of the IDEA (IDEA Part C Child Count and Settings data collection in the EDFacts Metadata and Process System (E</w:t>
      </w:r>
      <w:r w:rsidRPr="43E910BC">
        <w:rPr>
          <w:rFonts w:eastAsiaTheme="minorEastAsia"/>
          <w:i/>
          <w:iCs/>
          <w:color w:val="000000" w:themeColor="text1"/>
        </w:rPr>
        <w:t>MAPS</w:t>
      </w:r>
      <w:r w:rsidRPr="43E910BC">
        <w:rPr>
          <w:rFonts w:eastAsiaTheme="minorEastAsia"/>
          <w:color w:val="000000" w:themeColor="text1"/>
        </w:rPr>
        <w:t>)).</w:t>
      </w:r>
    </w:p>
    <w:p w14:paraId="7EFA5049" w14:textId="77777777" w:rsidR="001D539A" w:rsidRPr="00DA614A" w:rsidRDefault="001D539A" w:rsidP="00DB0C81">
      <w:pPr>
        <w:pStyle w:val="Heading1"/>
        <w:rPr>
          <w:rFonts w:ascii="Calibri" w:eastAsia="Calibri" w:hAnsi="Calibri" w:cs="Calibri"/>
          <w:color w:val="1B75BC"/>
        </w:rPr>
      </w:pPr>
      <w:r w:rsidRPr="00DA614A">
        <w:rPr>
          <w:rFonts w:asciiTheme="minorHAnsi" w:hAnsiTheme="minorHAnsi" w:cstheme="minorBidi"/>
          <w:b/>
          <w:bCs/>
          <w:color w:val="1B75BC"/>
        </w:rPr>
        <w:t>Does the baseline need to be set or reset for this indicator?</w:t>
      </w:r>
    </w:p>
    <w:p w14:paraId="63E6F721" w14:textId="77777777" w:rsidR="001D539A" w:rsidRDefault="001D539A" w:rsidP="001D539A">
      <w:pPr>
        <w:spacing w:after="80"/>
      </w:pPr>
      <w:r>
        <w:t>No, the baseline does not need to be set or reset.</w:t>
      </w:r>
    </w:p>
    <w:p w14:paraId="34900600" w14:textId="79EE3DE7" w:rsidR="008B219B" w:rsidRDefault="008B219B" w:rsidP="43E910BC">
      <w:pPr>
        <w:spacing w:after="80"/>
        <w:rPr>
          <w:rFonts w:eastAsiaTheme="minorEastAsia"/>
          <w:color w:val="000000" w:themeColor="text1"/>
        </w:rPr>
      </w:pPr>
    </w:p>
    <w:p w14:paraId="00673E08" w14:textId="77777777" w:rsidR="008B219B" w:rsidRPr="008B219B" w:rsidRDefault="008B219B" w:rsidP="008B219B">
      <w:pPr>
        <w:rPr>
          <w:rFonts w:eastAsiaTheme="minorEastAsia"/>
        </w:rPr>
      </w:pPr>
    </w:p>
    <w:p w14:paraId="48CBD82D" w14:textId="77777777" w:rsidR="008B219B" w:rsidRPr="008B219B" w:rsidRDefault="008B219B" w:rsidP="008B219B">
      <w:pPr>
        <w:rPr>
          <w:rFonts w:eastAsiaTheme="minorEastAsia"/>
        </w:rPr>
      </w:pPr>
    </w:p>
    <w:p w14:paraId="2696EE90" w14:textId="77777777" w:rsidR="008B219B" w:rsidRPr="008B219B" w:rsidRDefault="008B219B" w:rsidP="008B219B">
      <w:pPr>
        <w:rPr>
          <w:rFonts w:eastAsiaTheme="minorEastAsia"/>
        </w:rPr>
      </w:pPr>
    </w:p>
    <w:p w14:paraId="5A5F948B" w14:textId="77777777" w:rsidR="008B219B" w:rsidRPr="008B219B" w:rsidRDefault="008B219B" w:rsidP="008B219B">
      <w:pPr>
        <w:rPr>
          <w:rFonts w:eastAsiaTheme="minorEastAsia"/>
        </w:rPr>
      </w:pPr>
    </w:p>
    <w:p w14:paraId="69EEA297" w14:textId="77777777" w:rsidR="008B219B" w:rsidRPr="008B219B" w:rsidRDefault="008B219B" w:rsidP="008B219B">
      <w:pPr>
        <w:rPr>
          <w:rFonts w:eastAsiaTheme="minorEastAsia"/>
        </w:rPr>
      </w:pPr>
    </w:p>
    <w:p w14:paraId="75C743AF" w14:textId="77777777" w:rsidR="008B219B" w:rsidRPr="008B219B" w:rsidRDefault="008B219B" w:rsidP="008B219B">
      <w:pPr>
        <w:rPr>
          <w:rFonts w:eastAsiaTheme="minorEastAsia"/>
        </w:rPr>
      </w:pPr>
    </w:p>
    <w:p w14:paraId="5B164A35" w14:textId="77777777" w:rsidR="008B219B" w:rsidRPr="008B219B" w:rsidRDefault="008B219B" w:rsidP="008B219B">
      <w:pPr>
        <w:rPr>
          <w:rFonts w:eastAsiaTheme="minorEastAsia"/>
        </w:rPr>
      </w:pPr>
    </w:p>
    <w:p w14:paraId="3B9F4CD1" w14:textId="77777777" w:rsidR="008B219B" w:rsidRPr="008B219B" w:rsidRDefault="008B219B" w:rsidP="008B219B">
      <w:pPr>
        <w:rPr>
          <w:rFonts w:eastAsiaTheme="minorEastAsia"/>
        </w:rPr>
      </w:pPr>
    </w:p>
    <w:p w14:paraId="25CC9E1A" w14:textId="77777777" w:rsidR="008B219B" w:rsidRPr="008B219B" w:rsidRDefault="008B219B" w:rsidP="008B219B">
      <w:pPr>
        <w:rPr>
          <w:rFonts w:eastAsiaTheme="minorEastAsia"/>
        </w:rPr>
      </w:pPr>
    </w:p>
    <w:p w14:paraId="43C9BCEE" w14:textId="35DA1939" w:rsidR="001D539A" w:rsidRPr="008B219B" w:rsidRDefault="008B219B" w:rsidP="008B219B">
      <w:pPr>
        <w:tabs>
          <w:tab w:val="left" w:pos="1490"/>
        </w:tabs>
        <w:rPr>
          <w:rFonts w:eastAsiaTheme="minorEastAsia"/>
        </w:rPr>
      </w:pPr>
      <w:r>
        <w:rPr>
          <w:rFonts w:eastAsiaTheme="minorEastAsia"/>
        </w:rPr>
        <w:tab/>
      </w:r>
    </w:p>
    <w:p w14:paraId="2BD88D68" w14:textId="6C18A497" w:rsidR="70074FB2" w:rsidRDefault="30701A18" w:rsidP="00DB0C81">
      <w:pPr>
        <w:pStyle w:val="Heading1"/>
        <w:rPr>
          <w:rFonts w:asciiTheme="minorHAnsi" w:hAnsiTheme="minorHAnsi" w:cstheme="minorBidi"/>
          <w:b/>
          <w:bCs/>
          <w:color w:val="1B75BC"/>
        </w:rPr>
      </w:pPr>
      <w:r w:rsidRPr="00DA614A">
        <w:rPr>
          <w:rFonts w:asciiTheme="minorHAnsi" w:hAnsiTheme="minorHAnsi" w:cstheme="minorBidi"/>
          <w:b/>
          <w:bCs/>
          <w:color w:val="1B75BC"/>
        </w:rPr>
        <w:lastRenderedPageBreak/>
        <w:t>H</w:t>
      </w:r>
      <w:r w:rsidR="0E4A5379" w:rsidRPr="00DA614A">
        <w:rPr>
          <w:rFonts w:asciiTheme="minorHAnsi" w:hAnsiTheme="minorHAnsi" w:cstheme="minorBidi"/>
          <w:b/>
          <w:bCs/>
          <w:color w:val="1B75BC"/>
        </w:rPr>
        <w:t>ow has Oregon performed over time?</w:t>
      </w:r>
    </w:p>
    <w:p w14:paraId="0FCBDD08" w14:textId="6510685A" w:rsidR="00BA7B65" w:rsidRPr="00BA7B65" w:rsidRDefault="00BA7B65" w:rsidP="00DB0C81">
      <w:pPr>
        <w:jc w:val="center"/>
      </w:pPr>
      <w:r>
        <w:rPr>
          <w:noProof/>
        </w:rPr>
        <w:drawing>
          <wp:inline distT="0" distB="0" distL="0" distR="0" wp14:anchorId="418021E8" wp14:editId="048D7C35">
            <wp:extent cx="6126480" cy="2743200"/>
            <wp:effectExtent l="0" t="0" r="7620" b="0"/>
            <wp:docPr id="1" name="Chart 1" title="Oregon's Indicator C2 (Settings) Data">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9224" w:type="dxa"/>
        <w:jc w:val="center"/>
        <w:tblLayout w:type="fixed"/>
        <w:tblLook w:val="04A0" w:firstRow="1" w:lastRow="0" w:firstColumn="1" w:lastColumn="0" w:noHBand="0" w:noVBand="1"/>
        <w:tblCaption w:val="Oregon's Indicator C2 (Settings) Data Table"/>
      </w:tblPr>
      <w:tblGrid>
        <w:gridCol w:w="1153"/>
        <w:gridCol w:w="1153"/>
        <w:gridCol w:w="1153"/>
        <w:gridCol w:w="1153"/>
        <w:gridCol w:w="1153"/>
        <w:gridCol w:w="1153"/>
        <w:gridCol w:w="1153"/>
        <w:gridCol w:w="1153"/>
      </w:tblGrid>
      <w:tr w:rsidR="36ECD4A3" w14:paraId="3C02E0C7" w14:textId="77777777" w:rsidTr="004F48E9">
        <w:trPr>
          <w:tblHeader/>
          <w:jc w:val="center"/>
        </w:trPr>
        <w:tc>
          <w:tcPr>
            <w:tcW w:w="1153" w:type="dxa"/>
            <w:shd w:val="clear" w:color="auto" w:fill="C5E0B3" w:themeFill="accent6" w:themeFillTint="66"/>
          </w:tcPr>
          <w:p w14:paraId="3A264A66" w14:textId="346BD8E4" w:rsidR="36ECD4A3" w:rsidRDefault="36ECD4A3" w:rsidP="36ECD4A3">
            <w:pPr>
              <w:spacing w:line="259" w:lineRule="auto"/>
              <w:jc w:val="center"/>
              <w:rPr>
                <w:rFonts w:ascii="Calibri" w:eastAsia="Calibri" w:hAnsi="Calibri" w:cs="Calibri"/>
              </w:rPr>
            </w:pPr>
            <w:r w:rsidRPr="36ECD4A3">
              <w:rPr>
                <w:rFonts w:ascii="Calibri" w:eastAsia="Calibri" w:hAnsi="Calibri" w:cs="Calibri"/>
                <w:b/>
                <w:bCs/>
              </w:rPr>
              <w:t>FFY</w:t>
            </w:r>
          </w:p>
        </w:tc>
        <w:tc>
          <w:tcPr>
            <w:tcW w:w="1153" w:type="dxa"/>
            <w:shd w:val="clear" w:color="auto" w:fill="C5E0B3" w:themeFill="accent6" w:themeFillTint="66"/>
          </w:tcPr>
          <w:p w14:paraId="39E28181" w14:textId="13919578" w:rsidR="36ECD4A3" w:rsidRDefault="36ECD4A3" w:rsidP="36ECD4A3">
            <w:pPr>
              <w:spacing w:line="259" w:lineRule="auto"/>
              <w:jc w:val="center"/>
              <w:rPr>
                <w:rFonts w:ascii="Calibri" w:eastAsia="Calibri" w:hAnsi="Calibri" w:cs="Calibri"/>
              </w:rPr>
            </w:pPr>
            <w:r w:rsidRPr="36ECD4A3">
              <w:rPr>
                <w:rFonts w:ascii="Calibri" w:eastAsia="Calibri" w:hAnsi="Calibri" w:cs="Calibri"/>
                <w:b/>
                <w:bCs/>
              </w:rPr>
              <w:t>2005</w:t>
            </w:r>
          </w:p>
        </w:tc>
        <w:tc>
          <w:tcPr>
            <w:tcW w:w="1153" w:type="dxa"/>
            <w:shd w:val="clear" w:color="auto" w:fill="C5E0B3" w:themeFill="accent6" w:themeFillTint="66"/>
          </w:tcPr>
          <w:p w14:paraId="02567EE3" w14:textId="615DA82D" w:rsidR="36ECD4A3" w:rsidRDefault="36ECD4A3" w:rsidP="36ECD4A3">
            <w:pPr>
              <w:spacing w:line="259" w:lineRule="auto"/>
              <w:jc w:val="center"/>
              <w:rPr>
                <w:rFonts w:ascii="Calibri" w:eastAsia="Calibri" w:hAnsi="Calibri" w:cs="Calibri"/>
              </w:rPr>
            </w:pPr>
            <w:r w:rsidRPr="36ECD4A3">
              <w:rPr>
                <w:rFonts w:ascii="Calibri" w:eastAsia="Calibri" w:hAnsi="Calibri" w:cs="Calibri"/>
                <w:b/>
                <w:bCs/>
              </w:rPr>
              <w:t>2014</w:t>
            </w:r>
          </w:p>
        </w:tc>
        <w:tc>
          <w:tcPr>
            <w:tcW w:w="1153" w:type="dxa"/>
            <w:shd w:val="clear" w:color="auto" w:fill="C5E0B3" w:themeFill="accent6" w:themeFillTint="66"/>
          </w:tcPr>
          <w:p w14:paraId="7830B12C" w14:textId="76C85771" w:rsidR="36ECD4A3" w:rsidRDefault="36ECD4A3" w:rsidP="36ECD4A3">
            <w:pPr>
              <w:spacing w:line="259" w:lineRule="auto"/>
              <w:jc w:val="center"/>
              <w:rPr>
                <w:rFonts w:ascii="Calibri" w:eastAsia="Calibri" w:hAnsi="Calibri" w:cs="Calibri"/>
              </w:rPr>
            </w:pPr>
            <w:r w:rsidRPr="36ECD4A3">
              <w:rPr>
                <w:rFonts w:ascii="Calibri" w:eastAsia="Calibri" w:hAnsi="Calibri" w:cs="Calibri"/>
                <w:b/>
                <w:bCs/>
              </w:rPr>
              <w:t>2015</w:t>
            </w:r>
          </w:p>
        </w:tc>
        <w:tc>
          <w:tcPr>
            <w:tcW w:w="1153" w:type="dxa"/>
            <w:shd w:val="clear" w:color="auto" w:fill="C5E0B3" w:themeFill="accent6" w:themeFillTint="66"/>
          </w:tcPr>
          <w:p w14:paraId="5156ED22" w14:textId="166066FE" w:rsidR="36ECD4A3" w:rsidRDefault="36ECD4A3" w:rsidP="36ECD4A3">
            <w:pPr>
              <w:spacing w:line="259" w:lineRule="auto"/>
              <w:jc w:val="center"/>
              <w:rPr>
                <w:rFonts w:ascii="Calibri" w:eastAsia="Calibri" w:hAnsi="Calibri" w:cs="Calibri"/>
              </w:rPr>
            </w:pPr>
            <w:r w:rsidRPr="36ECD4A3">
              <w:rPr>
                <w:rFonts w:ascii="Calibri" w:eastAsia="Calibri" w:hAnsi="Calibri" w:cs="Calibri"/>
                <w:b/>
                <w:bCs/>
              </w:rPr>
              <w:t>2016</w:t>
            </w:r>
          </w:p>
        </w:tc>
        <w:tc>
          <w:tcPr>
            <w:tcW w:w="1153" w:type="dxa"/>
            <w:shd w:val="clear" w:color="auto" w:fill="C5E0B3" w:themeFill="accent6" w:themeFillTint="66"/>
          </w:tcPr>
          <w:p w14:paraId="1E24CC74" w14:textId="6D6CB397" w:rsidR="36ECD4A3" w:rsidRDefault="36ECD4A3" w:rsidP="36ECD4A3">
            <w:pPr>
              <w:spacing w:line="259" w:lineRule="auto"/>
              <w:jc w:val="center"/>
              <w:rPr>
                <w:rFonts w:ascii="Calibri" w:eastAsia="Calibri" w:hAnsi="Calibri" w:cs="Calibri"/>
              </w:rPr>
            </w:pPr>
            <w:r w:rsidRPr="36ECD4A3">
              <w:rPr>
                <w:rFonts w:ascii="Calibri" w:eastAsia="Calibri" w:hAnsi="Calibri" w:cs="Calibri"/>
                <w:b/>
                <w:bCs/>
              </w:rPr>
              <w:t>2017</w:t>
            </w:r>
          </w:p>
        </w:tc>
        <w:tc>
          <w:tcPr>
            <w:tcW w:w="1153" w:type="dxa"/>
            <w:shd w:val="clear" w:color="auto" w:fill="C5E0B3" w:themeFill="accent6" w:themeFillTint="66"/>
          </w:tcPr>
          <w:p w14:paraId="443F6421" w14:textId="36C4B905" w:rsidR="36ECD4A3" w:rsidRDefault="36ECD4A3" w:rsidP="36ECD4A3">
            <w:pPr>
              <w:spacing w:line="259" w:lineRule="auto"/>
              <w:jc w:val="center"/>
              <w:rPr>
                <w:rFonts w:ascii="Calibri" w:eastAsia="Calibri" w:hAnsi="Calibri" w:cs="Calibri"/>
              </w:rPr>
            </w:pPr>
            <w:r w:rsidRPr="36ECD4A3">
              <w:rPr>
                <w:rFonts w:ascii="Calibri" w:eastAsia="Calibri" w:hAnsi="Calibri" w:cs="Calibri"/>
                <w:b/>
                <w:bCs/>
              </w:rPr>
              <w:t>2018</w:t>
            </w:r>
          </w:p>
        </w:tc>
        <w:tc>
          <w:tcPr>
            <w:tcW w:w="1153" w:type="dxa"/>
            <w:shd w:val="clear" w:color="auto" w:fill="C5E0B3" w:themeFill="accent6" w:themeFillTint="66"/>
          </w:tcPr>
          <w:p w14:paraId="29576A25" w14:textId="725CE8D2" w:rsidR="62BFE777" w:rsidRDefault="62BFE777" w:rsidP="70074FB2">
            <w:pPr>
              <w:spacing w:line="259" w:lineRule="auto"/>
              <w:jc w:val="center"/>
              <w:rPr>
                <w:rFonts w:ascii="Calibri" w:eastAsia="Calibri" w:hAnsi="Calibri" w:cs="Calibri"/>
                <w:b/>
                <w:bCs/>
              </w:rPr>
            </w:pPr>
            <w:r w:rsidRPr="70074FB2">
              <w:rPr>
                <w:rFonts w:ascii="Calibri" w:eastAsia="Calibri" w:hAnsi="Calibri" w:cs="Calibri"/>
                <w:b/>
                <w:bCs/>
              </w:rPr>
              <w:t>2019</w:t>
            </w:r>
          </w:p>
        </w:tc>
      </w:tr>
      <w:tr w:rsidR="36ECD4A3" w14:paraId="1A33EF19" w14:textId="77777777" w:rsidTr="00DB0C81">
        <w:trPr>
          <w:jc w:val="center"/>
        </w:trPr>
        <w:tc>
          <w:tcPr>
            <w:tcW w:w="1153" w:type="dxa"/>
          </w:tcPr>
          <w:p w14:paraId="2B75CD47" w14:textId="1ED1759F" w:rsidR="36ECD4A3" w:rsidRDefault="36ECD4A3" w:rsidP="36ECD4A3">
            <w:pPr>
              <w:spacing w:line="259" w:lineRule="auto"/>
              <w:rPr>
                <w:rFonts w:ascii="Calibri" w:eastAsia="Calibri" w:hAnsi="Calibri" w:cs="Calibri"/>
              </w:rPr>
            </w:pPr>
            <w:r w:rsidRPr="36ECD4A3">
              <w:rPr>
                <w:rFonts w:ascii="Calibri" w:eastAsia="Calibri" w:hAnsi="Calibri" w:cs="Calibri"/>
              </w:rPr>
              <w:t>Target ≤</w:t>
            </w:r>
          </w:p>
        </w:tc>
        <w:tc>
          <w:tcPr>
            <w:tcW w:w="1153" w:type="dxa"/>
          </w:tcPr>
          <w:p w14:paraId="094C7A9A" w14:textId="02A4160A" w:rsidR="36ECD4A3" w:rsidRDefault="36ECD4A3" w:rsidP="36ECD4A3">
            <w:pPr>
              <w:spacing w:line="259" w:lineRule="auto"/>
              <w:jc w:val="center"/>
              <w:rPr>
                <w:rFonts w:ascii="Calibri" w:eastAsia="Calibri" w:hAnsi="Calibri" w:cs="Calibri"/>
              </w:rPr>
            </w:pPr>
            <w:r w:rsidRPr="36ECD4A3">
              <w:rPr>
                <w:rFonts w:ascii="Calibri" w:eastAsia="Calibri" w:hAnsi="Calibri" w:cs="Calibri"/>
                <w:i/>
                <w:iCs/>
              </w:rPr>
              <w:t>Baseline</w:t>
            </w:r>
          </w:p>
        </w:tc>
        <w:tc>
          <w:tcPr>
            <w:tcW w:w="1153" w:type="dxa"/>
            <w:tcBorders>
              <w:top w:val="single" w:sz="6" w:space="0" w:color="auto"/>
              <w:left w:val="single" w:sz="6" w:space="0" w:color="auto"/>
              <w:bottom w:val="single" w:sz="6" w:space="0" w:color="auto"/>
              <w:right w:val="single" w:sz="6" w:space="0" w:color="auto"/>
            </w:tcBorders>
            <w:vAlign w:val="center"/>
          </w:tcPr>
          <w:p w14:paraId="7CF82DC2" w14:textId="3187F989" w:rsidR="313954DC" w:rsidRDefault="313954DC" w:rsidP="36ECD4A3">
            <w:pPr>
              <w:spacing w:line="259" w:lineRule="auto"/>
              <w:jc w:val="center"/>
              <w:rPr>
                <w:rFonts w:ascii="Calibri" w:eastAsia="Calibri" w:hAnsi="Calibri" w:cs="Calibri"/>
              </w:rPr>
            </w:pPr>
            <w:r w:rsidRPr="36ECD4A3">
              <w:rPr>
                <w:rFonts w:ascii="Calibri" w:eastAsia="Calibri" w:hAnsi="Calibri" w:cs="Calibri"/>
              </w:rPr>
              <w:t>96.50</w:t>
            </w:r>
            <w:r w:rsidR="36ECD4A3" w:rsidRPr="36ECD4A3">
              <w:rPr>
                <w:rFonts w:ascii="Calibri" w:eastAsia="Calibri" w:hAnsi="Calibri" w:cs="Calibri"/>
              </w:rPr>
              <w:t>%</w:t>
            </w:r>
          </w:p>
        </w:tc>
        <w:tc>
          <w:tcPr>
            <w:tcW w:w="1153" w:type="dxa"/>
            <w:tcBorders>
              <w:top w:val="single" w:sz="6" w:space="0" w:color="auto"/>
              <w:left w:val="single" w:sz="6" w:space="0" w:color="auto"/>
              <w:bottom w:val="single" w:sz="6" w:space="0" w:color="auto"/>
              <w:right w:val="single" w:sz="6" w:space="0" w:color="auto"/>
            </w:tcBorders>
            <w:vAlign w:val="center"/>
          </w:tcPr>
          <w:p w14:paraId="5A5F8064" w14:textId="2FAFA2F6" w:rsidR="4CB564E3" w:rsidRDefault="4CB564E3" w:rsidP="36ECD4A3">
            <w:pPr>
              <w:spacing w:line="259" w:lineRule="auto"/>
              <w:jc w:val="center"/>
              <w:rPr>
                <w:rFonts w:ascii="Calibri" w:eastAsia="Calibri" w:hAnsi="Calibri" w:cs="Calibri"/>
              </w:rPr>
            </w:pPr>
            <w:r w:rsidRPr="36ECD4A3">
              <w:rPr>
                <w:rFonts w:ascii="Calibri" w:eastAsia="Calibri" w:hAnsi="Calibri" w:cs="Calibri"/>
              </w:rPr>
              <w:t>96.50</w:t>
            </w:r>
            <w:r w:rsidR="36ECD4A3" w:rsidRPr="36ECD4A3">
              <w:rPr>
                <w:rFonts w:ascii="Calibri" w:eastAsia="Calibri" w:hAnsi="Calibri" w:cs="Calibri"/>
              </w:rPr>
              <w:t>%</w:t>
            </w:r>
          </w:p>
        </w:tc>
        <w:tc>
          <w:tcPr>
            <w:tcW w:w="1153" w:type="dxa"/>
            <w:tcBorders>
              <w:top w:val="single" w:sz="6" w:space="0" w:color="auto"/>
              <w:left w:val="single" w:sz="6" w:space="0" w:color="auto"/>
              <w:bottom w:val="single" w:sz="6" w:space="0" w:color="auto"/>
              <w:right w:val="single" w:sz="6" w:space="0" w:color="auto"/>
            </w:tcBorders>
            <w:vAlign w:val="center"/>
          </w:tcPr>
          <w:p w14:paraId="19FC21E4" w14:textId="2AB2F368" w:rsidR="54A4483E" w:rsidRDefault="54A4483E" w:rsidP="36ECD4A3">
            <w:pPr>
              <w:spacing w:line="259" w:lineRule="auto"/>
              <w:jc w:val="center"/>
              <w:rPr>
                <w:rFonts w:ascii="Calibri" w:eastAsia="Calibri" w:hAnsi="Calibri" w:cs="Calibri"/>
              </w:rPr>
            </w:pPr>
            <w:r w:rsidRPr="36ECD4A3">
              <w:rPr>
                <w:rFonts w:ascii="Calibri" w:eastAsia="Calibri" w:hAnsi="Calibri" w:cs="Calibri"/>
              </w:rPr>
              <w:t>96.5</w:t>
            </w:r>
            <w:r w:rsidR="36ECD4A3" w:rsidRPr="36ECD4A3">
              <w:rPr>
                <w:rFonts w:ascii="Calibri" w:eastAsia="Calibri" w:hAnsi="Calibri" w:cs="Calibri"/>
              </w:rPr>
              <w:t>0%</w:t>
            </w:r>
          </w:p>
        </w:tc>
        <w:tc>
          <w:tcPr>
            <w:tcW w:w="1153" w:type="dxa"/>
            <w:tcBorders>
              <w:top w:val="single" w:sz="6" w:space="0" w:color="auto"/>
              <w:left w:val="single" w:sz="6" w:space="0" w:color="auto"/>
              <w:bottom w:val="single" w:sz="6" w:space="0" w:color="auto"/>
              <w:right w:val="single" w:sz="6" w:space="0" w:color="auto"/>
            </w:tcBorders>
            <w:vAlign w:val="center"/>
          </w:tcPr>
          <w:p w14:paraId="7E8D8BF5" w14:textId="50806DB5" w:rsidR="54A4483E" w:rsidRDefault="54A4483E" w:rsidP="36ECD4A3">
            <w:pPr>
              <w:spacing w:line="259" w:lineRule="auto"/>
              <w:jc w:val="center"/>
              <w:rPr>
                <w:rFonts w:ascii="Calibri" w:eastAsia="Calibri" w:hAnsi="Calibri" w:cs="Calibri"/>
              </w:rPr>
            </w:pPr>
            <w:r w:rsidRPr="36ECD4A3">
              <w:rPr>
                <w:rFonts w:ascii="Calibri" w:eastAsia="Calibri" w:hAnsi="Calibri" w:cs="Calibri"/>
              </w:rPr>
              <w:t>96.5</w:t>
            </w:r>
            <w:r w:rsidR="36ECD4A3" w:rsidRPr="36ECD4A3">
              <w:rPr>
                <w:rFonts w:ascii="Calibri" w:eastAsia="Calibri" w:hAnsi="Calibri" w:cs="Calibri"/>
              </w:rPr>
              <w:t>0%</w:t>
            </w:r>
          </w:p>
        </w:tc>
        <w:tc>
          <w:tcPr>
            <w:tcW w:w="1153" w:type="dxa"/>
            <w:tcBorders>
              <w:top w:val="single" w:sz="6" w:space="0" w:color="auto"/>
              <w:left w:val="single" w:sz="6" w:space="0" w:color="auto"/>
              <w:bottom w:val="single" w:sz="6" w:space="0" w:color="auto"/>
              <w:right w:val="single" w:sz="6" w:space="0" w:color="auto"/>
            </w:tcBorders>
            <w:vAlign w:val="center"/>
          </w:tcPr>
          <w:p w14:paraId="2CBBF7D7" w14:textId="52089E9E" w:rsidR="54A4483E" w:rsidRDefault="54A4483E" w:rsidP="36ECD4A3">
            <w:pPr>
              <w:spacing w:line="259" w:lineRule="auto"/>
              <w:jc w:val="center"/>
              <w:rPr>
                <w:rFonts w:ascii="Calibri" w:eastAsia="Calibri" w:hAnsi="Calibri" w:cs="Calibri"/>
              </w:rPr>
            </w:pPr>
            <w:r w:rsidRPr="36ECD4A3">
              <w:rPr>
                <w:rFonts w:ascii="Calibri" w:eastAsia="Calibri" w:hAnsi="Calibri" w:cs="Calibri"/>
              </w:rPr>
              <w:t>96.5</w:t>
            </w:r>
            <w:r w:rsidR="36ECD4A3" w:rsidRPr="36ECD4A3">
              <w:rPr>
                <w:rFonts w:ascii="Calibri" w:eastAsia="Calibri" w:hAnsi="Calibri" w:cs="Calibri"/>
              </w:rPr>
              <w:t>0%</w:t>
            </w:r>
          </w:p>
        </w:tc>
        <w:tc>
          <w:tcPr>
            <w:tcW w:w="1153" w:type="dxa"/>
            <w:tcBorders>
              <w:top w:val="single" w:sz="6" w:space="0" w:color="auto"/>
              <w:left w:val="single" w:sz="6" w:space="0" w:color="auto"/>
              <w:bottom w:val="single" w:sz="6" w:space="0" w:color="auto"/>
              <w:right w:val="single" w:sz="6" w:space="0" w:color="auto"/>
            </w:tcBorders>
            <w:vAlign w:val="center"/>
          </w:tcPr>
          <w:p w14:paraId="7BB45771" w14:textId="1BB3C0DC" w:rsidR="5E7DD4CA" w:rsidRDefault="5E7DD4CA" w:rsidP="70074FB2">
            <w:pPr>
              <w:spacing w:line="259" w:lineRule="auto"/>
              <w:jc w:val="center"/>
              <w:rPr>
                <w:rFonts w:ascii="Calibri" w:eastAsia="Calibri" w:hAnsi="Calibri" w:cs="Calibri"/>
              </w:rPr>
            </w:pPr>
            <w:r w:rsidRPr="70074FB2">
              <w:rPr>
                <w:rFonts w:ascii="Calibri" w:eastAsia="Calibri" w:hAnsi="Calibri" w:cs="Calibri"/>
              </w:rPr>
              <w:t>96.50%</w:t>
            </w:r>
          </w:p>
        </w:tc>
      </w:tr>
      <w:tr w:rsidR="36ECD4A3" w14:paraId="5BF070FB" w14:textId="77777777" w:rsidTr="00DB0C81">
        <w:trPr>
          <w:jc w:val="center"/>
        </w:trPr>
        <w:tc>
          <w:tcPr>
            <w:tcW w:w="1153" w:type="dxa"/>
          </w:tcPr>
          <w:p w14:paraId="1528C872" w14:textId="787723DF" w:rsidR="36ECD4A3" w:rsidRDefault="36ECD4A3" w:rsidP="36ECD4A3">
            <w:pPr>
              <w:spacing w:line="259" w:lineRule="auto"/>
              <w:rPr>
                <w:rFonts w:ascii="Calibri" w:eastAsia="Calibri" w:hAnsi="Calibri" w:cs="Calibri"/>
              </w:rPr>
            </w:pPr>
            <w:r w:rsidRPr="36ECD4A3">
              <w:rPr>
                <w:rFonts w:ascii="Calibri" w:eastAsia="Calibri" w:hAnsi="Calibri" w:cs="Calibri"/>
              </w:rPr>
              <w:t>Data</w:t>
            </w:r>
          </w:p>
        </w:tc>
        <w:tc>
          <w:tcPr>
            <w:tcW w:w="1153" w:type="dxa"/>
          </w:tcPr>
          <w:p w14:paraId="4978DB22" w14:textId="75EA624E" w:rsidR="53C6B6EA" w:rsidRDefault="53C6B6EA" w:rsidP="36ECD4A3">
            <w:pPr>
              <w:spacing w:line="259" w:lineRule="auto"/>
              <w:jc w:val="center"/>
              <w:rPr>
                <w:rFonts w:ascii="Calibri" w:eastAsia="Calibri" w:hAnsi="Calibri" w:cs="Calibri"/>
              </w:rPr>
            </w:pPr>
            <w:r w:rsidRPr="36ECD4A3">
              <w:rPr>
                <w:rFonts w:ascii="Calibri" w:eastAsia="Calibri" w:hAnsi="Calibri" w:cs="Calibri"/>
              </w:rPr>
              <w:t>81.00%</w:t>
            </w:r>
          </w:p>
        </w:tc>
        <w:tc>
          <w:tcPr>
            <w:tcW w:w="1153" w:type="dxa"/>
            <w:tcBorders>
              <w:top w:val="single" w:sz="6" w:space="0" w:color="auto"/>
              <w:left w:val="single" w:sz="6" w:space="0" w:color="auto"/>
              <w:bottom w:val="single" w:sz="6" w:space="0" w:color="auto"/>
              <w:right w:val="single" w:sz="6" w:space="0" w:color="auto"/>
            </w:tcBorders>
            <w:vAlign w:val="center"/>
          </w:tcPr>
          <w:p w14:paraId="59FD0622" w14:textId="3A8D55B5" w:rsidR="03FD0E27" w:rsidRDefault="03FD0E27" w:rsidP="36ECD4A3">
            <w:pPr>
              <w:spacing w:line="259" w:lineRule="auto"/>
              <w:jc w:val="center"/>
              <w:rPr>
                <w:rFonts w:ascii="Calibri" w:eastAsia="Calibri" w:hAnsi="Calibri" w:cs="Calibri"/>
              </w:rPr>
            </w:pPr>
            <w:r w:rsidRPr="36ECD4A3">
              <w:rPr>
                <w:rFonts w:ascii="Calibri" w:eastAsia="Calibri" w:hAnsi="Calibri" w:cs="Calibri"/>
              </w:rPr>
              <w:t>96.43</w:t>
            </w:r>
            <w:r w:rsidR="36ECD4A3" w:rsidRPr="36ECD4A3">
              <w:rPr>
                <w:rFonts w:ascii="Calibri" w:eastAsia="Calibri" w:hAnsi="Calibri" w:cs="Calibri"/>
              </w:rPr>
              <w:t>%</w:t>
            </w:r>
          </w:p>
        </w:tc>
        <w:tc>
          <w:tcPr>
            <w:tcW w:w="1153" w:type="dxa"/>
            <w:tcBorders>
              <w:top w:val="single" w:sz="6" w:space="0" w:color="auto"/>
              <w:left w:val="single" w:sz="6" w:space="0" w:color="auto"/>
              <w:bottom w:val="single" w:sz="6" w:space="0" w:color="auto"/>
              <w:right w:val="single" w:sz="6" w:space="0" w:color="auto"/>
            </w:tcBorders>
            <w:vAlign w:val="center"/>
          </w:tcPr>
          <w:p w14:paraId="12FDCD28" w14:textId="7FDBE012" w:rsidR="724CDB0E" w:rsidRDefault="724CDB0E" w:rsidP="36ECD4A3">
            <w:pPr>
              <w:spacing w:line="259" w:lineRule="auto"/>
              <w:jc w:val="center"/>
              <w:rPr>
                <w:rFonts w:ascii="Calibri" w:eastAsia="Calibri" w:hAnsi="Calibri" w:cs="Calibri"/>
              </w:rPr>
            </w:pPr>
            <w:r w:rsidRPr="36ECD4A3">
              <w:rPr>
                <w:rFonts w:ascii="Calibri" w:eastAsia="Calibri" w:hAnsi="Calibri" w:cs="Calibri"/>
              </w:rPr>
              <w:t>97.5</w:t>
            </w:r>
            <w:r w:rsidR="36ECD4A3" w:rsidRPr="36ECD4A3">
              <w:rPr>
                <w:rFonts w:ascii="Calibri" w:eastAsia="Calibri" w:hAnsi="Calibri" w:cs="Calibri"/>
              </w:rPr>
              <w:t>4%</w:t>
            </w:r>
          </w:p>
        </w:tc>
        <w:tc>
          <w:tcPr>
            <w:tcW w:w="1153" w:type="dxa"/>
            <w:tcBorders>
              <w:top w:val="single" w:sz="6" w:space="0" w:color="auto"/>
              <w:left w:val="single" w:sz="6" w:space="0" w:color="auto"/>
              <w:bottom w:val="single" w:sz="6" w:space="0" w:color="auto"/>
              <w:right w:val="single" w:sz="6" w:space="0" w:color="auto"/>
            </w:tcBorders>
            <w:vAlign w:val="center"/>
          </w:tcPr>
          <w:p w14:paraId="0CC0E7C6" w14:textId="5A832C76" w:rsidR="04A22F58" w:rsidRDefault="04A22F58" w:rsidP="36ECD4A3">
            <w:pPr>
              <w:spacing w:line="259" w:lineRule="auto"/>
              <w:jc w:val="center"/>
              <w:rPr>
                <w:rFonts w:ascii="Calibri" w:eastAsia="Calibri" w:hAnsi="Calibri" w:cs="Calibri"/>
              </w:rPr>
            </w:pPr>
            <w:r w:rsidRPr="36ECD4A3">
              <w:rPr>
                <w:rFonts w:ascii="Calibri" w:eastAsia="Calibri" w:hAnsi="Calibri" w:cs="Calibri"/>
              </w:rPr>
              <w:t>97.01</w:t>
            </w:r>
            <w:r w:rsidR="36ECD4A3" w:rsidRPr="36ECD4A3">
              <w:rPr>
                <w:rFonts w:ascii="Calibri" w:eastAsia="Calibri" w:hAnsi="Calibri" w:cs="Calibri"/>
              </w:rPr>
              <w:t>%</w:t>
            </w:r>
          </w:p>
        </w:tc>
        <w:tc>
          <w:tcPr>
            <w:tcW w:w="1153" w:type="dxa"/>
            <w:tcBorders>
              <w:top w:val="single" w:sz="6" w:space="0" w:color="auto"/>
              <w:left w:val="single" w:sz="6" w:space="0" w:color="auto"/>
              <w:bottom w:val="single" w:sz="6" w:space="0" w:color="auto"/>
              <w:right w:val="single" w:sz="6" w:space="0" w:color="auto"/>
            </w:tcBorders>
            <w:vAlign w:val="center"/>
          </w:tcPr>
          <w:p w14:paraId="408C3E59" w14:textId="041A497D" w:rsidR="4F1F80E2" w:rsidRDefault="4F1F80E2" w:rsidP="36ECD4A3">
            <w:pPr>
              <w:spacing w:line="259" w:lineRule="auto"/>
              <w:jc w:val="center"/>
              <w:rPr>
                <w:rFonts w:ascii="Calibri" w:eastAsia="Calibri" w:hAnsi="Calibri" w:cs="Calibri"/>
              </w:rPr>
            </w:pPr>
            <w:r w:rsidRPr="36ECD4A3">
              <w:rPr>
                <w:rFonts w:ascii="Calibri" w:eastAsia="Calibri" w:hAnsi="Calibri" w:cs="Calibri"/>
              </w:rPr>
              <w:t>98.15</w:t>
            </w:r>
            <w:r w:rsidR="36ECD4A3" w:rsidRPr="36ECD4A3">
              <w:rPr>
                <w:rFonts w:ascii="Calibri" w:eastAsia="Calibri" w:hAnsi="Calibri" w:cs="Calibri"/>
              </w:rPr>
              <w:t>%</w:t>
            </w:r>
          </w:p>
        </w:tc>
        <w:tc>
          <w:tcPr>
            <w:tcW w:w="1153" w:type="dxa"/>
            <w:tcBorders>
              <w:top w:val="single" w:sz="6" w:space="0" w:color="auto"/>
              <w:left w:val="single" w:sz="6" w:space="0" w:color="auto"/>
              <w:bottom w:val="single" w:sz="6" w:space="0" w:color="auto"/>
              <w:right w:val="single" w:sz="6" w:space="0" w:color="auto"/>
            </w:tcBorders>
            <w:vAlign w:val="center"/>
          </w:tcPr>
          <w:p w14:paraId="5CF62439" w14:textId="1E4CAFB0" w:rsidR="4F1F80E2" w:rsidRDefault="4F1F80E2" w:rsidP="36ECD4A3">
            <w:pPr>
              <w:spacing w:line="259" w:lineRule="auto"/>
              <w:jc w:val="center"/>
              <w:rPr>
                <w:rFonts w:ascii="Calibri" w:eastAsia="Calibri" w:hAnsi="Calibri" w:cs="Calibri"/>
              </w:rPr>
            </w:pPr>
            <w:r w:rsidRPr="36ECD4A3">
              <w:rPr>
                <w:rFonts w:ascii="Calibri" w:eastAsia="Calibri" w:hAnsi="Calibri" w:cs="Calibri"/>
              </w:rPr>
              <w:t>98.4</w:t>
            </w:r>
            <w:r w:rsidR="36ECD4A3" w:rsidRPr="36ECD4A3">
              <w:rPr>
                <w:rFonts w:ascii="Calibri" w:eastAsia="Calibri" w:hAnsi="Calibri" w:cs="Calibri"/>
              </w:rPr>
              <w:t>7%</w:t>
            </w:r>
          </w:p>
        </w:tc>
        <w:tc>
          <w:tcPr>
            <w:tcW w:w="1153" w:type="dxa"/>
            <w:tcBorders>
              <w:top w:val="single" w:sz="6" w:space="0" w:color="auto"/>
              <w:left w:val="single" w:sz="6" w:space="0" w:color="auto"/>
              <w:bottom w:val="single" w:sz="6" w:space="0" w:color="auto"/>
              <w:right w:val="single" w:sz="6" w:space="0" w:color="auto"/>
            </w:tcBorders>
            <w:vAlign w:val="center"/>
          </w:tcPr>
          <w:p w14:paraId="6F09F8A9" w14:textId="126F9CCF" w:rsidR="4B807AAE" w:rsidRDefault="4B807AAE" w:rsidP="70074FB2">
            <w:pPr>
              <w:spacing w:line="259" w:lineRule="auto"/>
              <w:jc w:val="center"/>
              <w:rPr>
                <w:rFonts w:ascii="Calibri" w:eastAsia="Calibri" w:hAnsi="Calibri" w:cs="Calibri"/>
              </w:rPr>
            </w:pPr>
            <w:r w:rsidRPr="70074FB2">
              <w:rPr>
                <w:rFonts w:ascii="Calibri" w:eastAsia="Calibri" w:hAnsi="Calibri" w:cs="Calibri"/>
              </w:rPr>
              <w:t>98.66%</w:t>
            </w:r>
          </w:p>
        </w:tc>
      </w:tr>
    </w:tbl>
    <w:p w14:paraId="076CAF3B" w14:textId="0E6DAD12" w:rsidR="00DB37A5" w:rsidRPr="00DA614A" w:rsidRDefault="1AE5D350" w:rsidP="00DB0C81">
      <w:pPr>
        <w:pStyle w:val="Heading1"/>
        <w:rPr>
          <w:rFonts w:asciiTheme="minorHAnsi" w:hAnsiTheme="minorHAnsi" w:cstheme="minorBidi"/>
          <w:b/>
          <w:bCs/>
          <w:color w:val="1B75BC"/>
        </w:rPr>
      </w:pPr>
      <w:r w:rsidRPr="00DA614A">
        <w:rPr>
          <w:rFonts w:asciiTheme="minorHAnsi" w:hAnsiTheme="minorHAnsi" w:cstheme="minorBidi"/>
          <w:b/>
          <w:bCs/>
          <w:color w:val="1B75BC"/>
        </w:rPr>
        <w:t xml:space="preserve">What are the </w:t>
      </w:r>
      <w:r w:rsidR="5AD624D0" w:rsidRPr="00DA614A">
        <w:rPr>
          <w:rFonts w:asciiTheme="minorHAnsi" w:hAnsiTheme="minorHAnsi" w:cstheme="minorBidi"/>
          <w:b/>
          <w:bCs/>
          <w:color w:val="1B75BC"/>
        </w:rPr>
        <w:t>new</w:t>
      </w:r>
      <w:r w:rsidRPr="00DA614A">
        <w:rPr>
          <w:rFonts w:asciiTheme="minorHAnsi" w:hAnsiTheme="minorHAnsi" w:cstheme="minorBidi"/>
          <w:b/>
          <w:bCs/>
          <w:color w:val="1B75BC"/>
        </w:rPr>
        <w:t xml:space="preserve"> targets?</w:t>
      </w:r>
    </w:p>
    <w:p w14:paraId="1059FD45" w14:textId="347AD5DF" w:rsidR="00963CE4" w:rsidRDefault="79B8CCA8" w:rsidP="52E6986F">
      <w:pPr>
        <w:spacing w:after="0"/>
        <w:rPr>
          <w:rFonts w:ascii="Calibri" w:eastAsia="Calibri" w:hAnsi="Calibri" w:cs="Calibri"/>
          <w:color w:val="000000" w:themeColor="text1"/>
        </w:rPr>
      </w:pPr>
      <w:r w:rsidRPr="52E6986F">
        <w:rPr>
          <w:rFonts w:ascii="Calibri" w:eastAsia="Calibri" w:hAnsi="Calibri" w:cs="Calibri"/>
          <w:color w:val="000000" w:themeColor="text1"/>
        </w:rPr>
        <w:t>The ODE will not set new targets until we hear from our partners. There are several ways to set new targets. It could be a percentage increase, start with the end game in mind, or examine trends over time and make predictions based on trends. Some helpful information about setting targets:</w:t>
      </w:r>
    </w:p>
    <w:p w14:paraId="2BC2C6B7" w14:textId="64B88FB1" w:rsidR="00963CE4" w:rsidRDefault="79B8CCA8" w:rsidP="483BD4A7">
      <w:pPr>
        <w:pStyle w:val="ListParagraph"/>
        <w:numPr>
          <w:ilvl w:val="0"/>
          <w:numId w:val="2"/>
        </w:numPr>
        <w:rPr>
          <w:rFonts w:eastAsiaTheme="minorEastAsia"/>
          <w:color w:val="000000" w:themeColor="text1"/>
        </w:rPr>
      </w:pPr>
      <w:r w:rsidRPr="483BD4A7">
        <w:rPr>
          <w:rFonts w:ascii="Calibri" w:eastAsia="Calibri" w:hAnsi="Calibri" w:cs="Calibri"/>
          <w:color w:val="000000" w:themeColor="text1"/>
        </w:rPr>
        <w:t>Targets are meant to support improved results and outcomes for children and families. They should be within reach but still show growth. </w:t>
      </w:r>
    </w:p>
    <w:p w14:paraId="31BBBF58" w14:textId="2E706983" w:rsidR="00963CE4" w:rsidRDefault="79B8CCA8" w:rsidP="483BD4A7">
      <w:pPr>
        <w:pStyle w:val="ListParagraph"/>
        <w:numPr>
          <w:ilvl w:val="0"/>
          <w:numId w:val="2"/>
        </w:numPr>
        <w:rPr>
          <w:rFonts w:eastAsiaTheme="minorEastAsia"/>
          <w:color w:val="000000" w:themeColor="text1"/>
        </w:rPr>
      </w:pPr>
      <w:r w:rsidRPr="483BD4A7">
        <w:rPr>
          <w:rFonts w:ascii="Calibri" w:eastAsia="Calibri" w:hAnsi="Calibri" w:cs="Calibri"/>
          <w:color w:val="000000" w:themeColor="text1"/>
        </w:rPr>
        <w:t xml:space="preserve">Change takes time. Targets can be created with this understanding in mind. For example, targets may stay the same for several years in a row, and then </w:t>
      </w:r>
      <w:r w:rsidR="00757318">
        <w:rPr>
          <w:rFonts w:ascii="Calibri" w:eastAsia="Calibri" w:hAnsi="Calibri" w:cs="Calibri"/>
          <w:color w:val="000000" w:themeColor="text1"/>
        </w:rPr>
        <w:t xml:space="preserve">improve </w:t>
      </w:r>
      <w:r w:rsidRPr="483BD4A7">
        <w:rPr>
          <w:rFonts w:ascii="Calibri" w:eastAsia="Calibri" w:hAnsi="Calibri" w:cs="Calibri"/>
          <w:color w:val="000000" w:themeColor="text1"/>
        </w:rPr>
        <w:t xml:space="preserve">slightly during the final target year (FFY 2025). Or show a slight </w:t>
      </w:r>
      <w:r w:rsidR="00757318">
        <w:rPr>
          <w:rFonts w:ascii="Calibri" w:eastAsia="Calibri" w:hAnsi="Calibri" w:cs="Calibri"/>
          <w:color w:val="000000" w:themeColor="text1"/>
        </w:rPr>
        <w:t>improvement</w:t>
      </w:r>
      <w:r w:rsidRPr="483BD4A7">
        <w:rPr>
          <w:rFonts w:ascii="Calibri" w:eastAsia="Calibri" w:hAnsi="Calibri" w:cs="Calibri"/>
          <w:color w:val="000000" w:themeColor="text1"/>
        </w:rPr>
        <w:t xml:space="preserve"> each year.</w:t>
      </w:r>
    </w:p>
    <w:p w14:paraId="7CA966C3" w14:textId="4FBE4E2B" w:rsidR="00963CE4" w:rsidRDefault="79B8CCA8" w:rsidP="483BD4A7">
      <w:pPr>
        <w:pStyle w:val="ListParagraph"/>
        <w:numPr>
          <w:ilvl w:val="0"/>
          <w:numId w:val="2"/>
        </w:numPr>
        <w:rPr>
          <w:rFonts w:eastAsiaTheme="minorEastAsia"/>
          <w:color w:val="000000" w:themeColor="text1"/>
        </w:rPr>
      </w:pPr>
      <w:r w:rsidRPr="483BD4A7">
        <w:rPr>
          <w:rFonts w:ascii="Calibri" w:eastAsia="Calibri" w:hAnsi="Calibri" w:cs="Calibri"/>
          <w:color w:val="000000" w:themeColor="text1"/>
        </w:rPr>
        <w:t>The goal for this indicator is to be at or above the target.</w:t>
      </w:r>
    </w:p>
    <w:p w14:paraId="116F8117" w14:textId="0D29314E" w:rsidR="002A100A" w:rsidRPr="002A100A" w:rsidRDefault="79B8CCA8" w:rsidP="52E6986F">
      <w:pPr>
        <w:spacing w:after="0"/>
        <w:rPr>
          <w:b/>
          <w:bCs/>
          <w:color w:val="408740"/>
          <w:sz w:val="24"/>
          <w:szCs w:val="24"/>
        </w:rPr>
      </w:pPr>
      <w:r w:rsidRPr="52E6986F">
        <w:rPr>
          <w:b/>
          <w:bCs/>
          <w:color w:val="408740"/>
          <w:sz w:val="24"/>
          <w:szCs w:val="24"/>
        </w:rPr>
        <w:t>Example</w:t>
      </w:r>
      <w:r w:rsidR="002A100A" w:rsidRPr="52E6986F">
        <w:rPr>
          <w:b/>
          <w:bCs/>
          <w:color w:val="408740"/>
          <w:sz w:val="24"/>
          <w:szCs w:val="24"/>
        </w:rPr>
        <w:t xml:space="preserve"> A</w:t>
      </w:r>
    </w:p>
    <w:tbl>
      <w:tblPr>
        <w:tblStyle w:val="TableGrid"/>
        <w:tblW w:w="9927" w:type="dxa"/>
        <w:tblLook w:val="04A0" w:firstRow="1" w:lastRow="0" w:firstColumn="1" w:lastColumn="0" w:noHBand="0" w:noVBand="1"/>
        <w:tblCaption w:val="Example A"/>
      </w:tblPr>
      <w:tblGrid>
        <w:gridCol w:w="2224"/>
        <w:gridCol w:w="1284"/>
        <w:gridCol w:w="1284"/>
        <w:gridCol w:w="1283"/>
        <w:gridCol w:w="1284"/>
        <w:gridCol w:w="1284"/>
        <w:gridCol w:w="1284"/>
      </w:tblGrid>
      <w:tr w:rsidR="00B87EF5" w:rsidRPr="00B542E4" w14:paraId="4D622EFE" w14:textId="77777777" w:rsidTr="004F48E9">
        <w:trPr>
          <w:tblHeader/>
        </w:trPr>
        <w:tc>
          <w:tcPr>
            <w:tcW w:w="2224" w:type="dxa"/>
            <w:shd w:val="clear" w:color="auto" w:fill="ACB9CA" w:themeFill="text2" w:themeFillTint="66"/>
          </w:tcPr>
          <w:p w14:paraId="259B6FD7" w14:textId="77777777" w:rsidR="00B87EF5" w:rsidRPr="00B542E4" w:rsidRDefault="00B87EF5" w:rsidP="00D07BE4">
            <w:pPr>
              <w:jc w:val="center"/>
              <w:rPr>
                <w:b/>
              </w:rPr>
            </w:pPr>
            <w:r w:rsidRPr="00B542E4">
              <w:rPr>
                <w:b/>
              </w:rPr>
              <w:t>FFY</w:t>
            </w:r>
          </w:p>
        </w:tc>
        <w:tc>
          <w:tcPr>
            <w:tcW w:w="1284" w:type="dxa"/>
            <w:shd w:val="clear" w:color="auto" w:fill="ACB9CA" w:themeFill="text2" w:themeFillTint="66"/>
          </w:tcPr>
          <w:p w14:paraId="427E1BD2" w14:textId="162866D8" w:rsidR="00B87EF5" w:rsidRPr="00B542E4" w:rsidRDefault="00872B58" w:rsidP="00D07BE4">
            <w:pPr>
              <w:jc w:val="center"/>
              <w:rPr>
                <w:b/>
              </w:rPr>
            </w:pPr>
            <w:r>
              <w:rPr>
                <w:b/>
              </w:rPr>
              <w:t>2020</w:t>
            </w:r>
          </w:p>
        </w:tc>
        <w:tc>
          <w:tcPr>
            <w:tcW w:w="1284" w:type="dxa"/>
            <w:shd w:val="clear" w:color="auto" w:fill="ACB9CA" w:themeFill="text2" w:themeFillTint="66"/>
          </w:tcPr>
          <w:p w14:paraId="7AFE264B" w14:textId="7BE3718A" w:rsidR="00B87EF5" w:rsidRPr="00B542E4" w:rsidRDefault="00872B58" w:rsidP="00D07BE4">
            <w:pPr>
              <w:jc w:val="center"/>
              <w:rPr>
                <w:b/>
              </w:rPr>
            </w:pPr>
            <w:r>
              <w:rPr>
                <w:b/>
              </w:rPr>
              <w:t>2021</w:t>
            </w:r>
          </w:p>
        </w:tc>
        <w:tc>
          <w:tcPr>
            <w:tcW w:w="1283" w:type="dxa"/>
            <w:shd w:val="clear" w:color="auto" w:fill="ACB9CA" w:themeFill="text2" w:themeFillTint="66"/>
          </w:tcPr>
          <w:p w14:paraId="031017BE" w14:textId="0905D580" w:rsidR="00B87EF5" w:rsidRPr="00B542E4" w:rsidRDefault="00872B58" w:rsidP="00D07BE4">
            <w:pPr>
              <w:jc w:val="center"/>
              <w:rPr>
                <w:b/>
              </w:rPr>
            </w:pPr>
            <w:r>
              <w:rPr>
                <w:b/>
              </w:rPr>
              <w:t>2022</w:t>
            </w:r>
          </w:p>
        </w:tc>
        <w:tc>
          <w:tcPr>
            <w:tcW w:w="1284" w:type="dxa"/>
            <w:shd w:val="clear" w:color="auto" w:fill="ACB9CA" w:themeFill="text2" w:themeFillTint="66"/>
          </w:tcPr>
          <w:p w14:paraId="1B6B7751" w14:textId="7C3B0681" w:rsidR="00B87EF5" w:rsidRPr="00B542E4" w:rsidRDefault="00872B58" w:rsidP="00D07BE4">
            <w:pPr>
              <w:jc w:val="center"/>
              <w:rPr>
                <w:b/>
              </w:rPr>
            </w:pPr>
            <w:r>
              <w:rPr>
                <w:b/>
              </w:rPr>
              <w:t>2023</w:t>
            </w:r>
          </w:p>
        </w:tc>
        <w:tc>
          <w:tcPr>
            <w:tcW w:w="1284" w:type="dxa"/>
            <w:shd w:val="clear" w:color="auto" w:fill="ACB9CA" w:themeFill="text2" w:themeFillTint="66"/>
          </w:tcPr>
          <w:p w14:paraId="04CD271D" w14:textId="5144D921" w:rsidR="00B87EF5" w:rsidRPr="00B542E4" w:rsidRDefault="00872B58" w:rsidP="00D07BE4">
            <w:pPr>
              <w:jc w:val="center"/>
              <w:rPr>
                <w:b/>
              </w:rPr>
            </w:pPr>
            <w:r>
              <w:rPr>
                <w:b/>
              </w:rPr>
              <w:t>2024</w:t>
            </w:r>
          </w:p>
        </w:tc>
        <w:tc>
          <w:tcPr>
            <w:tcW w:w="1284" w:type="dxa"/>
            <w:shd w:val="clear" w:color="auto" w:fill="ACB9CA" w:themeFill="text2" w:themeFillTint="66"/>
          </w:tcPr>
          <w:p w14:paraId="0541CE53" w14:textId="7366A013" w:rsidR="528B74A3" w:rsidRDefault="528B74A3" w:rsidP="70074FB2">
            <w:pPr>
              <w:jc w:val="center"/>
              <w:rPr>
                <w:b/>
                <w:bCs/>
              </w:rPr>
            </w:pPr>
            <w:r w:rsidRPr="70074FB2">
              <w:rPr>
                <w:b/>
                <w:bCs/>
              </w:rPr>
              <w:t>2025</w:t>
            </w:r>
          </w:p>
        </w:tc>
      </w:tr>
      <w:tr w:rsidR="002A100A" w14:paraId="45E14FEF" w14:textId="77777777" w:rsidTr="43E910BC">
        <w:tc>
          <w:tcPr>
            <w:tcW w:w="2224" w:type="dxa"/>
          </w:tcPr>
          <w:p w14:paraId="5A93EBDE" w14:textId="20053C81" w:rsidR="002A100A" w:rsidRDefault="002A100A" w:rsidP="00C06C4E">
            <w:r>
              <w:t xml:space="preserve">Targets </w:t>
            </w:r>
            <w:r w:rsidR="00356BE5">
              <w:rPr>
                <w:rFonts w:cstheme="minorHAnsi"/>
              </w:rPr>
              <w:t>≥</w:t>
            </w:r>
          </w:p>
        </w:tc>
        <w:tc>
          <w:tcPr>
            <w:tcW w:w="1284" w:type="dxa"/>
          </w:tcPr>
          <w:p w14:paraId="7F5803A4" w14:textId="2080C5D4" w:rsidR="002A100A" w:rsidRDefault="2E29F5DD" w:rsidP="00D07BE4">
            <w:pPr>
              <w:jc w:val="center"/>
            </w:pPr>
            <w:r>
              <w:t>96.5%</w:t>
            </w:r>
          </w:p>
        </w:tc>
        <w:tc>
          <w:tcPr>
            <w:tcW w:w="1284" w:type="dxa"/>
          </w:tcPr>
          <w:p w14:paraId="6E90AE60" w14:textId="52BA875D" w:rsidR="002A100A" w:rsidRDefault="2E29F5DD" w:rsidP="00D07BE4">
            <w:pPr>
              <w:jc w:val="center"/>
            </w:pPr>
            <w:r>
              <w:t>96.5%</w:t>
            </w:r>
          </w:p>
        </w:tc>
        <w:tc>
          <w:tcPr>
            <w:tcW w:w="1283" w:type="dxa"/>
          </w:tcPr>
          <w:p w14:paraId="3F7E8632" w14:textId="51D14CB3" w:rsidR="002A100A" w:rsidRDefault="2E29F5DD" w:rsidP="00D07BE4">
            <w:pPr>
              <w:jc w:val="center"/>
            </w:pPr>
            <w:r>
              <w:t>96.5%</w:t>
            </w:r>
          </w:p>
        </w:tc>
        <w:tc>
          <w:tcPr>
            <w:tcW w:w="1284" w:type="dxa"/>
          </w:tcPr>
          <w:p w14:paraId="73EF069A" w14:textId="5CA2CF73" w:rsidR="002A100A" w:rsidRDefault="2E29F5DD" w:rsidP="00D07BE4">
            <w:pPr>
              <w:jc w:val="center"/>
            </w:pPr>
            <w:r>
              <w:t>96.5%</w:t>
            </w:r>
          </w:p>
        </w:tc>
        <w:tc>
          <w:tcPr>
            <w:tcW w:w="1284" w:type="dxa"/>
          </w:tcPr>
          <w:p w14:paraId="33DD2500" w14:textId="4555E334" w:rsidR="002A100A" w:rsidRDefault="2E29F5DD" w:rsidP="00D07BE4">
            <w:pPr>
              <w:jc w:val="center"/>
            </w:pPr>
            <w:r>
              <w:t>96.5%</w:t>
            </w:r>
          </w:p>
        </w:tc>
        <w:tc>
          <w:tcPr>
            <w:tcW w:w="1284" w:type="dxa"/>
          </w:tcPr>
          <w:p w14:paraId="1727CCC3" w14:textId="5B1EE3AA" w:rsidR="70074FB2" w:rsidRDefault="2E29F5DD" w:rsidP="70074FB2">
            <w:pPr>
              <w:jc w:val="center"/>
            </w:pPr>
            <w:r>
              <w:t>96.5%</w:t>
            </w:r>
          </w:p>
        </w:tc>
      </w:tr>
    </w:tbl>
    <w:p w14:paraId="67B8C947" w14:textId="12B454B1" w:rsidR="00C53B82" w:rsidRPr="00C53B82" w:rsidRDefault="00770DA0" w:rsidP="00770DA0">
      <w:r>
        <w:t xml:space="preserve">Option A </w:t>
      </w:r>
      <w:r w:rsidR="00DA614A">
        <w:t>maintains the prior targets from the 2014-2019 SPP cycle</w:t>
      </w:r>
      <w:r w:rsidR="00236B1F">
        <w:t>.</w:t>
      </w:r>
    </w:p>
    <w:p w14:paraId="759F8B3E" w14:textId="7357BC72" w:rsidR="002A100A" w:rsidRDefault="3B7AE67C" w:rsidP="52E6986F">
      <w:pPr>
        <w:spacing w:after="0"/>
        <w:rPr>
          <w:b/>
          <w:bCs/>
          <w:color w:val="408740"/>
          <w:sz w:val="24"/>
          <w:szCs w:val="24"/>
        </w:rPr>
      </w:pPr>
      <w:r w:rsidRPr="52E6986F">
        <w:rPr>
          <w:b/>
          <w:bCs/>
          <w:color w:val="408740"/>
          <w:sz w:val="24"/>
          <w:szCs w:val="24"/>
        </w:rPr>
        <w:t xml:space="preserve">Example </w:t>
      </w:r>
      <w:r w:rsidR="002A100A" w:rsidRPr="52E6986F">
        <w:rPr>
          <w:b/>
          <w:bCs/>
          <w:color w:val="408740"/>
          <w:sz w:val="24"/>
          <w:szCs w:val="24"/>
        </w:rPr>
        <w:t>B</w:t>
      </w:r>
    </w:p>
    <w:tbl>
      <w:tblPr>
        <w:tblStyle w:val="TableGrid"/>
        <w:tblW w:w="9927" w:type="dxa"/>
        <w:tblLook w:val="04A0" w:firstRow="1" w:lastRow="0" w:firstColumn="1" w:lastColumn="0" w:noHBand="0" w:noVBand="1"/>
        <w:tblCaption w:val="Example B"/>
      </w:tblPr>
      <w:tblGrid>
        <w:gridCol w:w="2224"/>
        <w:gridCol w:w="1284"/>
        <w:gridCol w:w="1284"/>
        <w:gridCol w:w="1283"/>
        <w:gridCol w:w="1284"/>
        <w:gridCol w:w="1284"/>
        <w:gridCol w:w="1284"/>
      </w:tblGrid>
      <w:tr w:rsidR="0027587A" w:rsidRPr="00B542E4" w14:paraId="7E8BE661" w14:textId="77777777" w:rsidTr="004F48E9">
        <w:trPr>
          <w:tblHeader/>
        </w:trPr>
        <w:tc>
          <w:tcPr>
            <w:tcW w:w="2224" w:type="dxa"/>
            <w:shd w:val="clear" w:color="auto" w:fill="BDD6EE" w:themeFill="accent5" w:themeFillTint="66"/>
          </w:tcPr>
          <w:p w14:paraId="258604EF" w14:textId="77777777" w:rsidR="0027587A" w:rsidRPr="00B542E4" w:rsidRDefault="0027587A" w:rsidP="00E04F8F">
            <w:pPr>
              <w:jc w:val="center"/>
              <w:rPr>
                <w:b/>
              </w:rPr>
            </w:pPr>
            <w:bookmarkStart w:id="0" w:name="_GoBack" w:colFirst="0" w:colLast="7"/>
            <w:r w:rsidRPr="00B542E4">
              <w:rPr>
                <w:b/>
              </w:rPr>
              <w:t>FFY</w:t>
            </w:r>
          </w:p>
        </w:tc>
        <w:tc>
          <w:tcPr>
            <w:tcW w:w="1284" w:type="dxa"/>
            <w:shd w:val="clear" w:color="auto" w:fill="BDD6EE" w:themeFill="accent5" w:themeFillTint="66"/>
          </w:tcPr>
          <w:p w14:paraId="183491D2" w14:textId="77777777" w:rsidR="0027587A" w:rsidRPr="00B542E4" w:rsidRDefault="0027587A" w:rsidP="00E04F8F">
            <w:pPr>
              <w:jc w:val="center"/>
              <w:rPr>
                <w:b/>
              </w:rPr>
            </w:pPr>
            <w:r>
              <w:rPr>
                <w:b/>
              </w:rPr>
              <w:t>2020</w:t>
            </w:r>
          </w:p>
        </w:tc>
        <w:tc>
          <w:tcPr>
            <w:tcW w:w="1284" w:type="dxa"/>
            <w:shd w:val="clear" w:color="auto" w:fill="BDD6EE" w:themeFill="accent5" w:themeFillTint="66"/>
          </w:tcPr>
          <w:p w14:paraId="33CAE4AE" w14:textId="77777777" w:rsidR="0027587A" w:rsidRPr="00B542E4" w:rsidRDefault="0027587A" w:rsidP="00E04F8F">
            <w:pPr>
              <w:jc w:val="center"/>
              <w:rPr>
                <w:b/>
              </w:rPr>
            </w:pPr>
            <w:r>
              <w:rPr>
                <w:b/>
              </w:rPr>
              <w:t>2021</w:t>
            </w:r>
          </w:p>
        </w:tc>
        <w:tc>
          <w:tcPr>
            <w:tcW w:w="1283" w:type="dxa"/>
            <w:shd w:val="clear" w:color="auto" w:fill="BDD6EE" w:themeFill="accent5" w:themeFillTint="66"/>
          </w:tcPr>
          <w:p w14:paraId="09B3B451" w14:textId="77777777" w:rsidR="0027587A" w:rsidRPr="00B542E4" w:rsidRDefault="0027587A" w:rsidP="00E04F8F">
            <w:pPr>
              <w:jc w:val="center"/>
              <w:rPr>
                <w:b/>
              </w:rPr>
            </w:pPr>
            <w:r>
              <w:rPr>
                <w:b/>
              </w:rPr>
              <w:t>2022</w:t>
            </w:r>
          </w:p>
        </w:tc>
        <w:tc>
          <w:tcPr>
            <w:tcW w:w="1284" w:type="dxa"/>
            <w:shd w:val="clear" w:color="auto" w:fill="BDD6EE" w:themeFill="accent5" w:themeFillTint="66"/>
          </w:tcPr>
          <w:p w14:paraId="4E193761" w14:textId="77777777" w:rsidR="0027587A" w:rsidRPr="00B542E4" w:rsidRDefault="0027587A" w:rsidP="00E04F8F">
            <w:pPr>
              <w:jc w:val="center"/>
              <w:rPr>
                <w:b/>
              </w:rPr>
            </w:pPr>
            <w:r>
              <w:rPr>
                <w:b/>
              </w:rPr>
              <w:t>2023</w:t>
            </w:r>
          </w:p>
        </w:tc>
        <w:tc>
          <w:tcPr>
            <w:tcW w:w="1284" w:type="dxa"/>
            <w:shd w:val="clear" w:color="auto" w:fill="BDD6EE" w:themeFill="accent5" w:themeFillTint="66"/>
          </w:tcPr>
          <w:p w14:paraId="386E67AB" w14:textId="77777777" w:rsidR="0027587A" w:rsidRPr="00B542E4" w:rsidRDefault="0027587A" w:rsidP="00E04F8F">
            <w:pPr>
              <w:jc w:val="center"/>
              <w:rPr>
                <w:b/>
              </w:rPr>
            </w:pPr>
            <w:r>
              <w:rPr>
                <w:b/>
              </w:rPr>
              <w:t>2024</w:t>
            </w:r>
          </w:p>
        </w:tc>
        <w:tc>
          <w:tcPr>
            <w:tcW w:w="1284" w:type="dxa"/>
            <w:shd w:val="clear" w:color="auto" w:fill="BDD6EE" w:themeFill="accent5" w:themeFillTint="66"/>
          </w:tcPr>
          <w:p w14:paraId="337AE467" w14:textId="5369CC00" w:rsidR="0185FA06" w:rsidRDefault="0185FA06" w:rsidP="70074FB2">
            <w:pPr>
              <w:jc w:val="center"/>
              <w:rPr>
                <w:b/>
                <w:bCs/>
              </w:rPr>
            </w:pPr>
            <w:r w:rsidRPr="70074FB2">
              <w:rPr>
                <w:b/>
                <w:bCs/>
              </w:rPr>
              <w:t>2025</w:t>
            </w:r>
          </w:p>
        </w:tc>
      </w:tr>
      <w:bookmarkEnd w:id="0"/>
      <w:tr w:rsidR="0027587A" w14:paraId="3AB52173" w14:textId="77777777" w:rsidTr="43E910BC">
        <w:tc>
          <w:tcPr>
            <w:tcW w:w="2224" w:type="dxa"/>
          </w:tcPr>
          <w:p w14:paraId="58122095" w14:textId="0A570036" w:rsidR="0027587A" w:rsidRDefault="00C06C4E" w:rsidP="00C06C4E">
            <w:r>
              <w:t xml:space="preserve">Target </w:t>
            </w:r>
            <w:r w:rsidR="00356BE5">
              <w:rPr>
                <w:rFonts w:cstheme="minorHAnsi"/>
              </w:rPr>
              <w:t>≥</w:t>
            </w:r>
          </w:p>
        </w:tc>
        <w:tc>
          <w:tcPr>
            <w:tcW w:w="1284" w:type="dxa"/>
          </w:tcPr>
          <w:p w14:paraId="1737B822" w14:textId="3FFB0AB9" w:rsidR="0027587A" w:rsidRDefault="6700D0D7" w:rsidP="00E04F8F">
            <w:pPr>
              <w:jc w:val="center"/>
            </w:pPr>
            <w:r>
              <w:t>96.5%</w:t>
            </w:r>
          </w:p>
        </w:tc>
        <w:tc>
          <w:tcPr>
            <w:tcW w:w="1284" w:type="dxa"/>
          </w:tcPr>
          <w:p w14:paraId="4F9F9B6F" w14:textId="5CCFC387" w:rsidR="0027587A" w:rsidRDefault="6700D0D7" w:rsidP="00E04F8F">
            <w:pPr>
              <w:jc w:val="center"/>
            </w:pPr>
            <w:r>
              <w:t>96.5%</w:t>
            </w:r>
          </w:p>
        </w:tc>
        <w:tc>
          <w:tcPr>
            <w:tcW w:w="1283" w:type="dxa"/>
          </w:tcPr>
          <w:p w14:paraId="391ADC2C" w14:textId="570F08AA" w:rsidR="0027587A" w:rsidRDefault="6700D0D7" w:rsidP="00E04F8F">
            <w:pPr>
              <w:jc w:val="center"/>
            </w:pPr>
            <w:r>
              <w:t>96.5%</w:t>
            </w:r>
          </w:p>
        </w:tc>
        <w:tc>
          <w:tcPr>
            <w:tcW w:w="1284" w:type="dxa"/>
          </w:tcPr>
          <w:p w14:paraId="567D5E92" w14:textId="02DDA9C3" w:rsidR="0027587A" w:rsidRDefault="6700D0D7" w:rsidP="00E04F8F">
            <w:pPr>
              <w:jc w:val="center"/>
            </w:pPr>
            <w:r>
              <w:t>96.6%</w:t>
            </w:r>
          </w:p>
        </w:tc>
        <w:tc>
          <w:tcPr>
            <w:tcW w:w="1284" w:type="dxa"/>
          </w:tcPr>
          <w:p w14:paraId="22A1F808" w14:textId="3E129CCE" w:rsidR="0027587A" w:rsidRDefault="6700D0D7" w:rsidP="00E04F8F">
            <w:pPr>
              <w:jc w:val="center"/>
            </w:pPr>
            <w:r>
              <w:t>96.6%</w:t>
            </w:r>
          </w:p>
        </w:tc>
        <w:tc>
          <w:tcPr>
            <w:tcW w:w="1284" w:type="dxa"/>
          </w:tcPr>
          <w:p w14:paraId="04B1767F" w14:textId="4B76352F" w:rsidR="70074FB2" w:rsidRDefault="6700D0D7" w:rsidP="70074FB2">
            <w:pPr>
              <w:jc w:val="center"/>
            </w:pPr>
            <w:r>
              <w:t>96.7%</w:t>
            </w:r>
          </w:p>
        </w:tc>
      </w:tr>
    </w:tbl>
    <w:p w14:paraId="12C086B7" w14:textId="7829EE5B" w:rsidR="00FC0AA2" w:rsidRPr="00A015AF" w:rsidRDefault="27FD3881" w:rsidP="483BD4A7">
      <w:pPr>
        <w:rPr>
          <w:color w:val="000000" w:themeColor="text1"/>
        </w:rPr>
      </w:pPr>
      <w:r w:rsidRPr="43E910BC">
        <w:rPr>
          <w:color w:val="000000" w:themeColor="text1"/>
        </w:rPr>
        <w:t>Example</w:t>
      </w:r>
      <w:r w:rsidR="00770DA0" w:rsidRPr="43E910BC">
        <w:rPr>
          <w:color w:val="000000" w:themeColor="text1"/>
        </w:rPr>
        <w:t xml:space="preserve"> B </w:t>
      </w:r>
      <w:r w:rsidR="3C0C5B2F" w:rsidRPr="43E910BC">
        <w:rPr>
          <w:color w:val="000000" w:themeColor="text1"/>
        </w:rPr>
        <w:t>shows more growth</w:t>
      </w:r>
      <w:r w:rsidR="00770DA0" w:rsidRPr="43E910BC">
        <w:rPr>
          <w:color w:val="000000" w:themeColor="text1"/>
        </w:rPr>
        <w:t>.</w:t>
      </w:r>
    </w:p>
    <w:p w14:paraId="22E64B6B" w14:textId="457DE65A" w:rsidR="50C7F75A" w:rsidRDefault="50C7F75A" w:rsidP="43E910BC">
      <w:pPr>
        <w:rPr>
          <w:rFonts w:ascii="Calibri" w:eastAsia="Calibri" w:hAnsi="Calibri" w:cs="Calibri"/>
          <w:b/>
          <w:bCs/>
          <w:color w:val="407641"/>
        </w:rPr>
      </w:pPr>
      <w:r w:rsidRPr="43E910BC">
        <w:rPr>
          <w:rFonts w:ascii="Calibri" w:eastAsia="Calibri" w:hAnsi="Calibri" w:cs="Calibri"/>
          <w:b/>
          <w:bCs/>
          <w:color w:val="407641"/>
        </w:rPr>
        <w:t xml:space="preserve">If you need more information in order to provide input about this indicator, please contact Alan Garland, Education Specialist, at </w:t>
      </w:r>
      <w:hyperlink r:id="rId13">
        <w:r w:rsidRPr="43E910BC">
          <w:rPr>
            <w:rStyle w:val="Hyperlink"/>
            <w:rFonts w:ascii="Calibri" w:eastAsia="Calibri" w:hAnsi="Calibri" w:cs="Calibri"/>
            <w:b/>
            <w:bCs/>
          </w:rPr>
          <w:t>alan.garland@ode.state.or.us</w:t>
        </w:r>
      </w:hyperlink>
      <w:r w:rsidR="00C74366">
        <w:rPr>
          <w:rFonts w:ascii="Calibri" w:eastAsia="Calibri" w:hAnsi="Calibri" w:cs="Calibri"/>
          <w:b/>
          <w:bCs/>
        </w:rPr>
        <w:t>.</w:t>
      </w:r>
    </w:p>
    <w:p w14:paraId="1797C147" w14:textId="5DB04B4F" w:rsidR="43E910BC" w:rsidRDefault="43E910BC" w:rsidP="43E910BC">
      <w:pPr>
        <w:rPr>
          <w:rFonts w:ascii="Calibri" w:eastAsia="Calibri" w:hAnsi="Calibri" w:cs="Calibri"/>
          <w:color w:val="000000" w:themeColor="text1"/>
          <w:sz w:val="24"/>
          <w:szCs w:val="24"/>
        </w:rPr>
      </w:pPr>
    </w:p>
    <w:sectPr w:rsidR="43E910BC">
      <w:headerReference w:type="even" r:id="rId14"/>
      <w:headerReference w:type="default" r:id="rId15"/>
      <w:footerReference w:type="even" r:id="rId16"/>
      <w:footerReference w:type="default" r:id="rId17"/>
      <w:headerReference w:type="first" r:id="rId18"/>
      <w:footerReference w:type="first" r:id="rId19"/>
      <w:pgSz w:w="12240" w:h="15840"/>
      <w:pgMar w:top="720" w:right="1152" w:bottom="720" w:left="1152"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3537E2" w16cex:dateUtc="2021-09-30T16:48:29.124Z"/>
  <w16cex:commentExtensible w16cex:durableId="3A88D6D5" w16cex:dateUtc="2021-10-22T20:00:28.109Z"/>
</w16cex:commentsExtensible>
</file>

<file path=word/commentsIds.xml><?xml version="1.0" encoding="utf-8"?>
<w16cid:commentsIds xmlns:mc="http://schemas.openxmlformats.org/markup-compatibility/2006" xmlns:w16cid="http://schemas.microsoft.com/office/word/2016/wordml/cid" mc:Ignorable="w16cid">
  <w16cid:commentId w16cid:paraId="3ED90CD6" w16cid:durableId="363537E2"/>
  <w16cid:commentId w16cid:paraId="0652C3FF" w16cid:durableId="3A88D6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1EDEC" w14:textId="77777777" w:rsidR="007911BE" w:rsidRDefault="007911BE" w:rsidP="00A015AF">
      <w:pPr>
        <w:spacing w:after="0" w:line="240" w:lineRule="auto"/>
      </w:pPr>
      <w:r>
        <w:separator/>
      </w:r>
    </w:p>
  </w:endnote>
  <w:endnote w:type="continuationSeparator" w:id="0">
    <w:p w14:paraId="73E62A6C" w14:textId="77777777" w:rsidR="007911BE" w:rsidRDefault="007911BE" w:rsidP="00A015AF">
      <w:pPr>
        <w:spacing w:after="0" w:line="240" w:lineRule="auto"/>
      </w:pPr>
      <w:r>
        <w:continuationSeparator/>
      </w:r>
    </w:p>
  </w:endnote>
  <w:endnote w:type="continuationNotice" w:id="1">
    <w:p w14:paraId="09B8C67A" w14:textId="77777777" w:rsidR="007911BE" w:rsidRDefault="00791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5ABE3" w14:textId="77777777" w:rsidR="008B219B" w:rsidRDefault="008B2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1716B" w14:textId="4B57E007" w:rsidR="008B219B" w:rsidRDefault="008B219B" w:rsidP="008B219B">
    <w:pPr>
      <w:pStyle w:val="Footer"/>
    </w:pPr>
    <w:r>
      <w:t xml:space="preserve">State Performance Plan Fact Sheet – Indicator </w:t>
    </w:r>
    <w:r w:rsidR="00AF2240">
      <w:t>C2</w:t>
    </w:r>
    <w:r>
      <w:tab/>
    </w:r>
    <w:r>
      <w:tab/>
    </w:r>
    <w:r>
      <w:fldChar w:fldCharType="begin"/>
    </w:r>
    <w:r>
      <w:instrText xml:space="preserve"> PAGE   \* MERGEFORMAT </w:instrText>
    </w:r>
    <w:r>
      <w:fldChar w:fldCharType="separate"/>
    </w:r>
    <w:r w:rsidR="004F48E9">
      <w:rPr>
        <w:noProof/>
      </w:rPr>
      <w:t>2</w:t>
    </w:r>
    <w:r>
      <w:rPr>
        <w:noProof/>
      </w:rPr>
      <w:fldChar w:fldCharType="end"/>
    </w:r>
  </w:p>
  <w:p w14:paraId="4C89E45B" w14:textId="5209C01D" w:rsidR="681B163A" w:rsidRDefault="681B163A" w:rsidP="681B1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649E2" w14:textId="77777777" w:rsidR="008B219B" w:rsidRDefault="008B2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E105" w14:textId="77777777" w:rsidR="007911BE" w:rsidRDefault="007911BE" w:rsidP="00A015AF">
      <w:pPr>
        <w:spacing w:after="0" w:line="240" w:lineRule="auto"/>
      </w:pPr>
      <w:r>
        <w:separator/>
      </w:r>
    </w:p>
  </w:footnote>
  <w:footnote w:type="continuationSeparator" w:id="0">
    <w:p w14:paraId="048D3ED5" w14:textId="77777777" w:rsidR="007911BE" w:rsidRDefault="007911BE" w:rsidP="00A015AF">
      <w:pPr>
        <w:spacing w:after="0" w:line="240" w:lineRule="auto"/>
      </w:pPr>
      <w:r>
        <w:continuationSeparator/>
      </w:r>
    </w:p>
  </w:footnote>
  <w:footnote w:type="continuationNotice" w:id="1">
    <w:p w14:paraId="36828BB9" w14:textId="77777777" w:rsidR="007911BE" w:rsidRDefault="007911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1FCC" w14:textId="77777777" w:rsidR="008B219B" w:rsidRDefault="008B2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CB7A1" w14:textId="77777777" w:rsidR="00A015AF" w:rsidRDefault="00A015AF" w:rsidP="00A01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C2382" w14:textId="77777777" w:rsidR="008B219B" w:rsidRDefault="008B2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D0A"/>
    <w:multiLevelType w:val="hybridMultilevel"/>
    <w:tmpl w:val="CB366504"/>
    <w:lvl w:ilvl="0" w:tplc="D9485534">
      <w:start w:val="1"/>
      <w:numFmt w:val="decimal"/>
      <w:lvlText w:val="%1."/>
      <w:lvlJc w:val="left"/>
      <w:pPr>
        <w:ind w:left="720" w:hanging="360"/>
      </w:pPr>
    </w:lvl>
    <w:lvl w:ilvl="1" w:tplc="06E24E52">
      <w:start w:val="1"/>
      <w:numFmt w:val="lowerLetter"/>
      <w:lvlText w:val="%2."/>
      <w:lvlJc w:val="left"/>
      <w:pPr>
        <w:ind w:left="1440" w:hanging="360"/>
      </w:pPr>
    </w:lvl>
    <w:lvl w:ilvl="2" w:tplc="0ADAABC6">
      <w:start w:val="1"/>
      <w:numFmt w:val="lowerRoman"/>
      <w:lvlText w:val="%3."/>
      <w:lvlJc w:val="right"/>
      <w:pPr>
        <w:ind w:left="2160" w:hanging="180"/>
      </w:pPr>
    </w:lvl>
    <w:lvl w:ilvl="3" w:tplc="6EBC895C">
      <w:start w:val="1"/>
      <w:numFmt w:val="decimal"/>
      <w:lvlText w:val="%4."/>
      <w:lvlJc w:val="left"/>
      <w:pPr>
        <w:ind w:left="2880" w:hanging="360"/>
      </w:pPr>
    </w:lvl>
    <w:lvl w:ilvl="4" w:tplc="17C66768">
      <w:start w:val="1"/>
      <w:numFmt w:val="lowerLetter"/>
      <w:lvlText w:val="%5."/>
      <w:lvlJc w:val="left"/>
      <w:pPr>
        <w:ind w:left="3600" w:hanging="360"/>
      </w:pPr>
    </w:lvl>
    <w:lvl w:ilvl="5" w:tplc="9334BD54">
      <w:start w:val="1"/>
      <w:numFmt w:val="lowerRoman"/>
      <w:lvlText w:val="%6."/>
      <w:lvlJc w:val="right"/>
      <w:pPr>
        <w:ind w:left="4320" w:hanging="180"/>
      </w:pPr>
    </w:lvl>
    <w:lvl w:ilvl="6" w:tplc="CA7E028E">
      <w:start w:val="1"/>
      <w:numFmt w:val="decimal"/>
      <w:lvlText w:val="%7."/>
      <w:lvlJc w:val="left"/>
      <w:pPr>
        <w:ind w:left="5040" w:hanging="360"/>
      </w:pPr>
    </w:lvl>
    <w:lvl w:ilvl="7" w:tplc="63CC1BD8">
      <w:start w:val="1"/>
      <w:numFmt w:val="lowerLetter"/>
      <w:lvlText w:val="%8."/>
      <w:lvlJc w:val="left"/>
      <w:pPr>
        <w:ind w:left="5760" w:hanging="360"/>
      </w:pPr>
    </w:lvl>
    <w:lvl w:ilvl="8" w:tplc="8E7CBC80">
      <w:start w:val="1"/>
      <w:numFmt w:val="lowerRoman"/>
      <w:lvlText w:val="%9."/>
      <w:lvlJc w:val="right"/>
      <w:pPr>
        <w:ind w:left="6480" w:hanging="180"/>
      </w:pPr>
    </w:lvl>
  </w:abstractNum>
  <w:abstractNum w:abstractNumId="1" w15:restartNumberingAfterBreak="0">
    <w:nsid w:val="0DE9611B"/>
    <w:multiLevelType w:val="hybridMultilevel"/>
    <w:tmpl w:val="136C7216"/>
    <w:lvl w:ilvl="0" w:tplc="2EC2367C">
      <w:start w:val="1"/>
      <w:numFmt w:val="bullet"/>
      <w:lvlText w:val=""/>
      <w:lvlJc w:val="left"/>
      <w:pPr>
        <w:ind w:left="720" w:hanging="360"/>
      </w:pPr>
      <w:rPr>
        <w:rFonts w:ascii="Symbol" w:hAnsi="Symbol" w:hint="default"/>
      </w:rPr>
    </w:lvl>
    <w:lvl w:ilvl="1" w:tplc="C436056C">
      <w:start w:val="1"/>
      <w:numFmt w:val="bullet"/>
      <w:lvlText w:val="o"/>
      <w:lvlJc w:val="left"/>
      <w:pPr>
        <w:ind w:left="1440" w:hanging="360"/>
      </w:pPr>
      <w:rPr>
        <w:rFonts w:ascii="Courier New" w:hAnsi="Courier New" w:hint="default"/>
      </w:rPr>
    </w:lvl>
    <w:lvl w:ilvl="2" w:tplc="7F1CECD4">
      <w:start w:val="1"/>
      <w:numFmt w:val="bullet"/>
      <w:lvlText w:val=""/>
      <w:lvlJc w:val="left"/>
      <w:pPr>
        <w:ind w:left="2160" w:hanging="360"/>
      </w:pPr>
      <w:rPr>
        <w:rFonts w:ascii="Wingdings" w:hAnsi="Wingdings" w:hint="default"/>
      </w:rPr>
    </w:lvl>
    <w:lvl w:ilvl="3" w:tplc="0584E6E0">
      <w:start w:val="1"/>
      <w:numFmt w:val="bullet"/>
      <w:lvlText w:val=""/>
      <w:lvlJc w:val="left"/>
      <w:pPr>
        <w:ind w:left="2880" w:hanging="360"/>
      </w:pPr>
      <w:rPr>
        <w:rFonts w:ascii="Symbol" w:hAnsi="Symbol" w:hint="default"/>
      </w:rPr>
    </w:lvl>
    <w:lvl w:ilvl="4" w:tplc="BC3CDF22">
      <w:start w:val="1"/>
      <w:numFmt w:val="bullet"/>
      <w:lvlText w:val="o"/>
      <w:lvlJc w:val="left"/>
      <w:pPr>
        <w:ind w:left="3600" w:hanging="360"/>
      </w:pPr>
      <w:rPr>
        <w:rFonts w:ascii="Courier New" w:hAnsi="Courier New" w:hint="default"/>
      </w:rPr>
    </w:lvl>
    <w:lvl w:ilvl="5" w:tplc="D180CC4C">
      <w:start w:val="1"/>
      <w:numFmt w:val="bullet"/>
      <w:lvlText w:val=""/>
      <w:lvlJc w:val="left"/>
      <w:pPr>
        <w:ind w:left="4320" w:hanging="360"/>
      </w:pPr>
      <w:rPr>
        <w:rFonts w:ascii="Wingdings" w:hAnsi="Wingdings" w:hint="default"/>
      </w:rPr>
    </w:lvl>
    <w:lvl w:ilvl="6" w:tplc="0F0C900E">
      <w:start w:val="1"/>
      <w:numFmt w:val="bullet"/>
      <w:lvlText w:val=""/>
      <w:lvlJc w:val="left"/>
      <w:pPr>
        <w:ind w:left="5040" w:hanging="360"/>
      </w:pPr>
      <w:rPr>
        <w:rFonts w:ascii="Symbol" w:hAnsi="Symbol" w:hint="default"/>
      </w:rPr>
    </w:lvl>
    <w:lvl w:ilvl="7" w:tplc="094CED1C">
      <w:start w:val="1"/>
      <w:numFmt w:val="bullet"/>
      <w:lvlText w:val="o"/>
      <w:lvlJc w:val="left"/>
      <w:pPr>
        <w:ind w:left="5760" w:hanging="360"/>
      </w:pPr>
      <w:rPr>
        <w:rFonts w:ascii="Courier New" w:hAnsi="Courier New" w:hint="default"/>
      </w:rPr>
    </w:lvl>
    <w:lvl w:ilvl="8" w:tplc="0358B10A">
      <w:start w:val="1"/>
      <w:numFmt w:val="bullet"/>
      <w:lvlText w:val=""/>
      <w:lvlJc w:val="left"/>
      <w:pPr>
        <w:ind w:left="6480" w:hanging="360"/>
      </w:pPr>
      <w:rPr>
        <w:rFonts w:ascii="Wingdings" w:hAnsi="Wingdings" w:hint="default"/>
      </w:rPr>
    </w:lvl>
  </w:abstractNum>
  <w:abstractNum w:abstractNumId="2" w15:restartNumberingAfterBreak="0">
    <w:nsid w:val="1A9507BA"/>
    <w:multiLevelType w:val="hybridMultilevel"/>
    <w:tmpl w:val="103C20F4"/>
    <w:lvl w:ilvl="0" w:tplc="9A6235A4">
      <w:start w:val="1"/>
      <w:numFmt w:val="bullet"/>
      <w:lvlText w:val=""/>
      <w:lvlJc w:val="left"/>
      <w:pPr>
        <w:ind w:left="720" w:hanging="360"/>
      </w:pPr>
      <w:rPr>
        <w:rFonts w:ascii="Symbol" w:hAnsi="Symbol" w:hint="default"/>
      </w:rPr>
    </w:lvl>
    <w:lvl w:ilvl="1" w:tplc="5AE45B18">
      <w:start w:val="1"/>
      <w:numFmt w:val="bullet"/>
      <w:lvlText w:val="o"/>
      <w:lvlJc w:val="left"/>
      <w:pPr>
        <w:ind w:left="1440" w:hanging="360"/>
      </w:pPr>
      <w:rPr>
        <w:rFonts w:ascii="Courier New" w:hAnsi="Courier New" w:hint="default"/>
      </w:rPr>
    </w:lvl>
    <w:lvl w:ilvl="2" w:tplc="43208416">
      <w:start w:val="1"/>
      <w:numFmt w:val="bullet"/>
      <w:lvlText w:val=""/>
      <w:lvlJc w:val="left"/>
      <w:pPr>
        <w:ind w:left="2160" w:hanging="360"/>
      </w:pPr>
      <w:rPr>
        <w:rFonts w:ascii="Wingdings" w:hAnsi="Wingdings" w:hint="default"/>
      </w:rPr>
    </w:lvl>
    <w:lvl w:ilvl="3" w:tplc="9ED61AF4">
      <w:start w:val="1"/>
      <w:numFmt w:val="bullet"/>
      <w:lvlText w:val=""/>
      <w:lvlJc w:val="left"/>
      <w:pPr>
        <w:ind w:left="2880" w:hanging="360"/>
      </w:pPr>
      <w:rPr>
        <w:rFonts w:ascii="Symbol" w:hAnsi="Symbol" w:hint="default"/>
      </w:rPr>
    </w:lvl>
    <w:lvl w:ilvl="4" w:tplc="6FCEAAF2">
      <w:start w:val="1"/>
      <w:numFmt w:val="bullet"/>
      <w:lvlText w:val="o"/>
      <w:lvlJc w:val="left"/>
      <w:pPr>
        <w:ind w:left="3600" w:hanging="360"/>
      </w:pPr>
      <w:rPr>
        <w:rFonts w:ascii="Courier New" w:hAnsi="Courier New" w:hint="default"/>
      </w:rPr>
    </w:lvl>
    <w:lvl w:ilvl="5" w:tplc="BBC63AAA">
      <w:start w:val="1"/>
      <w:numFmt w:val="bullet"/>
      <w:lvlText w:val=""/>
      <w:lvlJc w:val="left"/>
      <w:pPr>
        <w:ind w:left="4320" w:hanging="360"/>
      </w:pPr>
      <w:rPr>
        <w:rFonts w:ascii="Wingdings" w:hAnsi="Wingdings" w:hint="default"/>
      </w:rPr>
    </w:lvl>
    <w:lvl w:ilvl="6" w:tplc="1ADCD408">
      <w:start w:val="1"/>
      <w:numFmt w:val="bullet"/>
      <w:lvlText w:val=""/>
      <w:lvlJc w:val="left"/>
      <w:pPr>
        <w:ind w:left="5040" w:hanging="360"/>
      </w:pPr>
      <w:rPr>
        <w:rFonts w:ascii="Symbol" w:hAnsi="Symbol" w:hint="default"/>
      </w:rPr>
    </w:lvl>
    <w:lvl w:ilvl="7" w:tplc="F57E92FA">
      <w:start w:val="1"/>
      <w:numFmt w:val="bullet"/>
      <w:lvlText w:val="o"/>
      <w:lvlJc w:val="left"/>
      <w:pPr>
        <w:ind w:left="5760" w:hanging="360"/>
      </w:pPr>
      <w:rPr>
        <w:rFonts w:ascii="Courier New" w:hAnsi="Courier New" w:hint="default"/>
      </w:rPr>
    </w:lvl>
    <w:lvl w:ilvl="8" w:tplc="1EB6848C">
      <w:start w:val="1"/>
      <w:numFmt w:val="bullet"/>
      <w:lvlText w:val=""/>
      <w:lvlJc w:val="left"/>
      <w:pPr>
        <w:ind w:left="6480" w:hanging="360"/>
      </w:pPr>
      <w:rPr>
        <w:rFonts w:ascii="Wingdings" w:hAnsi="Wingdings" w:hint="default"/>
      </w:rPr>
    </w:lvl>
  </w:abstractNum>
  <w:abstractNum w:abstractNumId="3" w15:restartNumberingAfterBreak="0">
    <w:nsid w:val="21190251"/>
    <w:multiLevelType w:val="hybridMultilevel"/>
    <w:tmpl w:val="F64EB6AE"/>
    <w:lvl w:ilvl="0" w:tplc="9FC8314A">
      <w:start w:val="1"/>
      <w:numFmt w:val="decimal"/>
      <w:lvlText w:val="%1."/>
      <w:lvlJc w:val="left"/>
      <w:pPr>
        <w:ind w:left="720" w:hanging="360"/>
      </w:pPr>
    </w:lvl>
    <w:lvl w:ilvl="1" w:tplc="620E3B7A">
      <w:start w:val="1"/>
      <w:numFmt w:val="lowerLetter"/>
      <w:lvlText w:val="%2."/>
      <w:lvlJc w:val="left"/>
      <w:pPr>
        <w:ind w:left="1440" w:hanging="360"/>
      </w:pPr>
    </w:lvl>
    <w:lvl w:ilvl="2" w:tplc="105279A0">
      <w:start w:val="1"/>
      <w:numFmt w:val="lowerRoman"/>
      <w:lvlText w:val="%3."/>
      <w:lvlJc w:val="right"/>
      <w:pPr>
        <w:ind w:left="2160" w:hanging="180"/>
      </w:pPr>
    </w:lvl>
    <w:lvl w:ilvl="3" w:tplc="90D8484C">
      <w:start w:val="1"/>
      <w:numFmt w:val="decimal"/>
      <w:lvlText w:val="%4."/>
      <w:lvlJc w:val="left"/>
      <w:pPr>
        <w:ind w:left="2880" w:hanging="360"/>
      </w:pPr>
    </w:lvl>
    <w:lvl w:ilvl="4" w:tplc="D77E7944">
      <w:start w:val="1"/>
      <w:numFmt w:val="lowerLetter"/>
      <w:lvlText w:val="%5."/>
      <w:lvlJc w:val="left"/>
      <w:pPr>
        <w:ind w:left="3600" w:hanging="360"/>
      </w:pPr>
    </w:lvl>
    <w:lvl w:ilvl="5" w:tplc="B832E7AE">
      <w:start w:val="1"/>
      <w:numFmt w:val="lowerRoman"/>
      <w:lvlText w:val="%6."/>
      <w:lvlJc w:val="right"/>
      <w:pPr>
        <w:ind w:left="4320" w:hanging="180"/>
      </w:pPr>
    </w:lvl>
    <w:lvl w:ilvl="6" w:tplc="7C1A6136">
      <w:start w:val="1"/>
      <w:numFmt w:val="decimal"/>
      <w:lvlText w:val="%7."/>
      <w:lvlJc w:val="left"/>
      <w:pPr>
        <w:ind w:left="5040" w:hanging="360"/>
      </w:pPr>
    </w:lvl>
    <w:lvl w:ilvl="7" w:tplc="CF5E0548">
      <w:start w:val="1"/>
      <w:numFmt w:val="lowerLetter"/>
      <w:lvlText w:val="%8."/>
      <w:lvlJc w:val="left"/>
      <w:pPr>
        <w:ind w:left="5760" w:hanging="360"/>
      </w:pPr>
    </w:lvl>
    <w:lvl w:ilvl="8" w:tplc="DCE84088">
      <w:start w:val="1"/>
      <w:numFmt w:val="lowerRoman"/>
      <w:lvlText w:val="%9."/>
      <w:lvlJc w:val="right"/>
      <w:pPr>
        <w:ind w:left="6480" w:hanging="180"/>
      </w:pPr>
    </w:lvl>
  </w:abstractNum>
  <w:abstractNum w:abstractNumId="4" w15:restartNumberingAfterBreak="0">
    <w:nsid w:val="21E6376E"/>
    <w:multiLevelType w:val="hybridMultilevel"/>
    <w:tmpl w:val="584CEB0C"/>
    <w:lvl w:ilvl="0" w:tplc="EEE0BDFC">
      <w:start w:val="1"/>
      <w:numFmt w:val="bullet"/>
      <w:lvlText w:val=""/>
      <w:lvlJc w:val="left"/>
      <w:pPr>
        <w:ind w:left="720" w:hanging="360"/>
      </w:pPr>
      <w:rPr>
        <w:rFonts w:ascii="Symbol" w:hAnsi="Symbol" w:hint="default"/>
      </w:rPr>
    </w:lvl>
    <w:lvl w:ilvl="1" w:tplc="F7841D52">
      <w:start w:val="1"/>
      <w:numFmt w:val="bullet"/>
      <w:lvlText w:val="o"/>
      <w:lvlJc w:val="left"/>
      <w:pPr>
        <w:ind w:left="1440" w:hanging="360"/>
      </w:pPr>
      <w:rPr>
        <w:rFonts w:ascii="Courier New" w:hAnsi="Courier New" w:hint="default"/>
      </w:rPr>
    </w:lvl>
    <w:lvl w:ilvl="2" w:tplc="4BA66D66">
      <w:start w:val="1"/>
      <w:numFmt w:val="bullet"/>
      <w:lvlText w:val=""/>
      <w:lvlJc w:val="left"/>
      <w:pPr>
        <w:ind w:left="2160" w:hanging="360"/>
      </w:pPr>
      <w:rPr>
        <w:rFonts w:ascii="Wingdings" w:hAnsi="Wingdings" w:hint="default"/>
      </w:rPr>
    </w:lvl>
    <w:lvl w:ilvl="3" w:tplc="6082BDB6">
      <w:start w:val="1"/>
      <w:numFmt w:val="bullet"/>
      <w:lvlText w:val=""/>
      <w:lvlJc w:val="left"/>
      <w:pPr>
        <w:ind w:left="2880" w:hanging="360"/>
      </w:pPr>
      <w:rPr>
        <w:rFonts w:ascii="Symbol" w:hAnsi="Symbol" w:hint="default"/>
      </w:rPr>
    </w:lvl>
    <w:lvl w:ilvl="4" w:tplc="924A8938">
      <w:start w:val="1"/>
      <w:numFmt w:val="bullet"/>
      <w:lvlText w:val="o"/>
      <w:lvlJc w:val="left"/>
      <w:pPr>
        <w:ind w:left="3600" w:hanging="360"/>
      </w:pPr>
      <w:rPr>
        <w:rFonts w:ascii="Courier New" w:hAnsi="Courier New" w:hint="default"/>
      </w:rPr>
    </w:lvl>
    <w:lvl w:ilvl="5" w:tplc="A1945BA0">
      <w:start w:val="1"/>
      <w:numFmt w:val="bullet"/>
      <w:lvlText w:val=""/>
      <w:lvlJc w:val="left"/>
      <w:pPr>
        <w:ind w:left="4320" w:hanging="360"/>
      </w:pPr>
      <w:rPr>
        <w:rFonts w:ascii="Wingdings" w:hAnsi="Wingdings" w:hint="default"/>
      </w:rPr>
    </w:lvl>
    <w:lvl w:ilvl="6" w:tplc="8FDA0312">
      <w:start w:val="1"/>
      <w:numFmt w:val="bullet"/>
      <w:lvlText w:val=""/>
      <w:lvlJc w:val="left"/>
      <w:pPr>
        <w:ind w:left="5040" w:hanging="360"/>
      </w:pPr>
      <w:rPr>
        <w:rFonts w:ascii="Symbol" w:hAnsi="Symbol" w:hint="default"/>
      </w:rPr>
    </w:lvl>
    <w:lvl w:ilvl="7" w:tplc="3C2A8DFA">
      <w:start w:val="1"/>
      <w:numFmt w:val="bullet"/>
      <w:lvlText w:val="o"/>
      <w:lvlJc w:val="left"/>
      <w:pPr>
        <w:ind w:left="5760" w:hanging="360"/>
      </w:pPr>
      <w:rPr>
        <w:rFonts w:ascii="Courier New" w:hAnsi="Courier New" w:hint="default"/>
      </w:rPr>
    </w:lvl>
    <w:lvl w:ilvl="8" w:tplc="3C1C784A">
      <w:start w:val="1"/>
      <w:numFmt w:val="bullet"/>
      <w:lvlText w:val=""/>
      <w:lvlJc w:val="left"/>
      <w:pPr>
        <w:ind w:left="6480" w:hanging="360"/>
      </w:pPr>
      <w:rPr>
        <w:rFonts w:ascii="Wingdings" w:hAnsi="Wingdings" w:hint="default"/>
      </w:rPr>
    </w:lvl>
  </w:abstractNum>
  <w:abstractNum w:abstractNumId="5" w15:restartNumberingAfterBreak="0">
    <w:nsid w:val="26B366BE"/>
    <w:multiLevelType w:val="hybridMultilevel"/>
    <w:tmpl w:val="BCA81ED6"/>
    <w:lvl w:ilvl="0" w:tplc="5D94709A">
      <w:start w:val="1"/>
      <w:numFmt w:val="bullet"/>
      <w:lvlText w:val=""/>
      <w:lvlJc w:val="left"/>
      <w:pPr>
        <w:ind w:left="720" w:hanging="360"/>
      </w:pPr>
      <w:rPr>
        <w:rFonts w:ascii="Symbol" w:hAnsi="Symbol" w:hint="default"/>
      </w:rPr>
    </w:lvl>
    <w:lvl w:ilvl="1" w:tplc="475AC07E">
      <w:start w:val="1"/>
      <w:numFmt w:val="bullet"/>
      <w:lvlText w:val="o"/>
      <w:lvlJc w:val="left"/>
      <w:pPr>
        <w:ind w:left="1440" w:hanging="360"/>
      </w:pPr>
      <w:rPr>
        <w:rFonts w:ascii="Courier New" w:hAnsi="Courier New" w:hint="default"/>
      </w:rPr>
    </w:lvl>
    <w:lvl w:ilvl="2" w:tplc="1C10E534">
      <w:start w:val="1"/>
      <w:numFmt w:val="bullet"/>
      <w:lvlText w:val=""/>
      <w:lvlJc w:val="left"/>
      <w:pPr>
        <w:ind w:left="2160" w:hanging="360"/>
      </w:pPr>
      <w:rPr>
        <w:rFonts w:ascii="Wingdings" w:hAnsi="Wingdings" w:hint="default"/>
      </w:rPr>
    </w:lvl>
    <w:lvl w:ilvl="3" w:tplc="B5B2DEBA">
      <w:start w:val="1"/>
      <w:numFmt w:val="bullet"/>
      <w:lvlText w:val=""/>
      <w:lvlJc w:val="left"/>
      <w:pPr>
        <w:ind w:left="2880" w:hanging="360"/>
      </w:pPr>
      <w:rPr>
        <w:rFonts w:ascii="Symbol" w:hAnsi="Symbol" w:hint="default"/>
      </w:rPr>
    </w:lvl>
    <w:lvl w:ilvl="4" w:tplc="2B802AC4">
      <w:start w:val="1"/>
      <w:numFmt w:val="bullet"/>
      <w:lvlText w:val="o"/>
      <w:lvlJc w:val="left"/>
      <w:pPr>
        <w:ind w:left="3600" w:hanging="360"/>
      </w:pPr>
      <w:rPr>
        <w:rFonts w:ascii="Courier New" w:hAnsi="Courier New" w:hint="default"/>
      </w:rPr>
    </w:lvl>
    <w:lvl w:ilvl="5" w:tplc="20FCC322">
      <w:start w:val="1"/>
      <w:numFmt w:val="bullet"/>
      <w:lvlText w:val=""/>
      <w:lvlJc w:val="left"/>
      <w:pPr>
        <w:ind w:left="4320" w:hanging="360"/>
      </w:pPr>
      <w:rPr>
        <w:rFonts w:ascii="Wingdings" w:hAnsi="Wingdings" w:hint="default"/>
      </w:rPr>
    </w:lvl>
    <w:lvl w:ilvl="6" w:tplc="942252BC">
      <w:start w:val="1"/>
      <w:numFmt w:val="bullet"/>
      <w:lvlText w:val=""/>
      <w:lvlJc w:val="left"/>
      <w:pPr>
        <w:ind w:left="5040" w:hanging="360"/>
      </w:pPr>
      <w:rPr>
        <w:rFonts w:ascii="Symbol" w:hAnsi="Symbol" w:hint="default"/>
      </w:rPr>
    </w:lvl>
    <w:lvl w:ilvl="7" w:tplc="487C3F36">
      <w:start w:val="1"/>
      <w:numFmt w:val="bullet"/>
      <w:lvlText w:val="o"/>
      <w:lvlJc w:val="left"/>
      <w:pPr>
        <w:ind w:left="5760" w:hanging="360"/>
      </w:pPr>
      <w:rPr>
        <w:rFonts w:ascii="Courier New" w:hAnsi="Courier New" w:hint="default"/>
      </w:rPr>
    </w:lvl>
    <w:lvl w:ilvl="8" w:tplc="83140394">
      <w:start w:val="1"/>
      <w:numFmt w:val="bullet"/>
      <w:lvlText w:val=""/>
      <w:lvlJc w:val="left"/>
      <w:pPr>
        <w:ind w:left="6480" w:hanging="360"/>
      </w:pPr>
      <w:rPr>
        <w:rFonts w:ascii="Wingdings" w:hAnsi="Wingdings" w:hint="default"/>
      </w:rPr>
    </w:lvl>
  </w:abstractNum>
  <w:abstractNum w:abstractNumId="6" w15:restartNumberingAfterBreak="0">
    <w:nsid w:val="3B987060"/>
    <w:multiLevelType w:val="hybridMultilevel"/>
    <w:tmpl w:val="BE78B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51352"/>
    <w:multiLevelType w:val="hybridMultilevel"/>
    <w:tmpl w:val="CB1C77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D4815"/>
    <w:multiLevelType w:val="multilevel"/>
    <w:tmpl w:val="48CC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31ABB"/>
    <w:multiLevelType w:val="hybridMultilevel"/>
    <w:tmpl w:val="4282F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03EB3"/>
    <w:multiLevelType w:val="hybridMultilevel"/>
    <w:tmpl w:val="FAF8B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82AB2"/>
    <w:multiLevelType w:val="hybridMultilevel"/>
    <w:tmpl w:val="4282F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8"/>
  </w:num>
  <w:num w:numId="8">
    <w:abstractNumId w:val="9"/>
  </w:num>
  <w:num w:numId="9">
    <w:abstractNumId w:val="6"/>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D70CBB"/>
    <w:rsid w:val="0000CC30"/>
    <w:rsid w:val="000750CC"/>
    <w:rsid w:val="000B7B51"/>
    <w:rsid w:val="000E4FA0"/>
    <w:rsid w:val="00111E28"/>
    <w:rsid w:val="001B52CA"/>
    <w:rsid w:val="001D539A"/>
    <w:rsid w:val="001E2411"/>
    <w:rsid w:val="00236B1F"/>
    <w:rsid w:val="0026797A"/>
    <w:rsid w:val="0027587A"/>
    <w:rsid w:val="002A100A"/>
    <w:rsid w:val="002D66CC"/>
    <w:rsid w:val="002F11CD"/>
    <w:rsid w:val="00300812"/>
    <w:rsid w:val="00300F93"/>
    <w:rsid w:val="00316110"/>
    <w:rsid w:val="00327EB0"/>
    <w:rsid w:val="00356BE5"/>
    <w:rsid w:val="00373050"/>
    <w:rsid w:val="0039110C"/>
    <w:rsid w:val="003F16B8"/>
    <w:rsid w:val="00472F13"/>
    <w:rsid w:val="00496DD9"/>
    <w:rsid w:val="004F48E9"/>
    <w:rsid w:val="00506FC3"/>
    <w:rsid w:val="00551272"/>
    <w:rsid w:val="005630B9"/>
    <w:rsid w:val="005D6523"/>
    <w:rsid w:val="006231FB"/>
    <w:rsid w:val="00647F6A"/>
    <w:rsid w:val="00665A1E"/>
    <w:rsid w:val="00686AA4"/>
    <w:rsid w:val="006B3525"/>
    <w:rsid w:val="006C2126"/>
    <w:rsid w:val="006D171E"/>
    <w:rsid w:val="00757318"/>
    <w:rsid w:val="00770DA0"/>
    <w:rsid w:val="00777244"/>
    <w:rsid w:val="007911BE"/>
    <w:rsid w:val="00800077"/>
    <w:rsid w:val="008707C4"/>
    <w:rsid w:val="00872B58"/>
    <w:rsid w:val="00872BA4"/>
    <w:rsid w:val="008B219B"/>
    <w:rsid w:val="00963CE4"/>
    <w:rsid w:val="00976EA9"/>
    <w:rsid w:val="00980D00"/>
    <w:rsid w:val="009A23AC"/>
    <w:rsid w:val="009C5702"/>
    <w:rsid w:val="00A015AF"/>
    <w:rsid w:val="00A106D4"/>
    <w:rsid w:val="00A42905"/>
    <w:rsid w:val="00A87000"/>
    <w:rsid w:val="00AD794D"/>
    <w:rsid w:val="00AF2240"/>
    <w:rsid w:val="00B51C91"/>
    <w:rsid w:val="00B542E4"/>
    <w:rsid w:val="00B73182"/>
    <w:rsid w:val="00B77D28"/>
    <w:rsid w:val="00B87EF5"/>
    <w:rsid w:val="00B9167F"/>
    <w:rsid w:val="00BA7B65"/>
    <w:rsid w:val="00BB0B34"/>
    <w:rsid w:val="00C06C4E"/>
    <w:rsid w:val="00C41661"/>
    <w:rsid w:val="00C43BD2"/>
    <w:rsid w:val="00C53B82"/>
    <w:rsid w:val="00C74366"/>
    <w:rsid w:val="00CA3BE5"/>
    <w:rsid w:val="00CD2C98"/>
    <w:rsid w:val="00D330A6"/>
    <w:rsid w:val="00DA614A"/>
    <w:rsid w:val="00DB0C81"/>
    <w:rsid w:val="00DB37A5"/>
    <w:rsid w:val="00DC5156"/>
    <w:rsid w:val="00E441BE"/>
    <w:rsid w:val="00EC486D"/>
    <w:rsid w:val="00EC75DD"/>
    <w:rsid w:val="00FB00EC"/>
    <w:rsid w:val="00FB5DC0"/>
    <w:rsid w:val="00FC0AA2"/>
    <w:rsid w:val="014C2A5E"/>
    <w:rsid w:val="0185FA06"/>
    <w:rsid w:val="03A5E4BA"/>
    <w:rsid w:val="03FD0E27"/>
    <w:rsid w:val="0401C6A4"/>
    <w:rsid w:val="041E97C1"/>
    <w:rsid w:val="0496F171"/>
    <w:rsid w:val="049984E5"/>
    <w:rsid w:val="04A22F58"/>
    <w:rsid w:val="05C1C639"/>
    <w:rsid w:val="07CB03E4"/>
    <w:rsid w:val="09293D12"/>
    <w:rsid w:val="09335D90"/>
    <w:rsid w:val="0A003D7F"/>
    <w:rsid w:val="0B773283"/>
    <w:rsid w:val="0B8E293D"/>
    <w:rsid w:val="0CC3388C"/>
    <w:rsid w:val="0CD70CBB"/>
    <w:rsid w:val="0CE6FCE1"/>
    <w:rsid w:val="0E4A5379"/>
    <w:rsid w:val="0ECBA6C1"/>
    <w:rsid w:val="0FC2D504"/>
    <w:rsid w:val="118102CB"/>
    <w:rsid w:val="1304DF78"/>
    <w:rsid w:val="14926D88"/>
    <w:rsid w:val="1540041A"/>
    <w:rsid w:val="154DA777"/>
    <w:rsid w:val="168F999F"/>
    <w:rsid w:val="18B47C33"/>
    <w:rsid w:val="1930DB41"/>
    <w:rsid w:val="1936F62E"/>
    <w:rsid w:val="193DE57D"/>
    <w:rsid w:val="1AE5D350"/>
    <w:rsid w:val="1B4A41E6"/>
    <w:rsid w:val="1C3A4577"/>
    <w:rsid w:val="1C7F61E5"/>
    <w:rsid w:val="1CA90E21"/>
    <w:rsid w:val="1CDB756D"/>
    <w:rsid w:val="1D2AD571"/>
    <w:rsid w:val="1E2A045C"/>
    <w:rsid w:val="1E336DC6"/>
    <w:rsid w:val="1E5B41A3"/>
    <w:rsid w:val="1EB63867"/>
    <w:rsid w:val="1EB9DEDD"/>
    <w:rsid w:val="21966300"/>
    <w:rsid w:val="22BE6B33"/>
    <w:rsid w:val="24029F51"/>
    <w:rsid w:val="25350B16"/>
    <w:rsid w:val="261DD202"/>
    <w:rsid w:val="26467C3F"/>
    <w:rsid w:val="2671E6B9"/>
    <w:rsid w:val="26A36C9B"/>
    <w:rsid w:val="278F4208"/>
    <w:rsid w:val="27FD3881"/>
    <w:rsid w:val="2822FAC6"/>
    <w:rsid w:val="2A7A1BC7"/>
    <w:rsid w:val="2AED717F"/>
    <w:rsid w:val="2B8BBBE7"/>
    <w:rsid w:val="2C029DED"/>
    <w:rsid w:val="2D198699"/>
    <w:rsid w:val="2E244EC3"/>
    <w:rsid w:val="2E29F5DD"/>
    <w:rsid w:val="2E61B77D"/>
    <w:rsid w:val="2EBEA7D9"/>
    <w:rsid w:val="2ED01383"/>
    <w:rsid w:val="2F2ED909"/>
    <w:rsid w:val="306003B1"/>
    <w:rsid w:val="30701A18"/>
    <w:rsid w:val="30C1FF27"/>
    <w:rsid w:val="313954DC"/>
    <w:rsid w:val="31CDC87E"/>
    <w:rsid w:val="321AC14E"/>
    <w:rsid w:val="328E971D"/>
    <w:rsid w:val="32B1B4D3"/>
    <w:rsid w:val="32E7EA4E"/>
    <w:rsid w:val="34B6D5DB"/>
    <w:rsid w:val="34D058B0"/>
    <w:rsid w:val="36ECD4A3"/>
    <w:rsid w:val="37DF480D"/>
    <w:rsid w:val="37E95099"/>
    <w:rsid w:val="38171751"/>
    <w:rsid w:val="39F7E42D"/>
    <w:rsid w:val="3B1782F6"/>
    <w:rsid w:val="3B7AE67C"/>
    <w:rsid w:val="3BEA14AC"/>
    <w:rsid w:val="3C0C5B2F"/>
    <w:rsid w:val="3D968EFD"/>
    <w:rsid w:val="3DDACDAA"/>
    <w:rsid w:val="3E364AB0"/>
    <w:rsid w:val="3E64F3E0"/>
    <w:rsid w:val="3EA8BBDF"/>
    <w:rsid w:val="3EDB2E5B"/>
    <w:rsid w:val="3F367883"/>
    <w:rsid w:val="4082CA2D"/>
    <w:rsid w:val="4104917D"/>
    <w:rsid w:val="417E195A"/>
    <w:rsid w:val="428E0291"/>
    <w:rsid w:val="42B67FD0"/>
    <w:rsid w:val="433DFD85"/>
    <w:rsid w:val="43E910BC"/>
    <w:rsid w:val="460E7E64"/>
    <w:rsid w:val="46C6BFF5"/>
    <w:rsid w:val="476173B4"/>
    <w:rsid w:val="483BD4A7"/>
    <w:rsid w:val="487BAC13"/>
    <w:rsid w:val="48891017"/>
    <w:rsid w:val="49FCA9CD"/>
    <w:rsid w:val="4A2CD33F"/>
    <w:rsid w:val="4A9B697A"/>
    <w:rsid w:val="4AB86F41"/>
    <w:rsid w:val="4B5FDDF2"/>
    <w:rsid w:val="4B807AAE"/>
    <w:rsid w:val="4CB564E3"/>
    <w:rsid w:val="4CCD4635"/>
    <w:rsid w:val="4CDC73A0"/>
    <w:rsid w:val="4DC759FD"/>
    <w:rsid w:val="4F1F80E2"/>
    <w:rsid w:val="50B8F21E"/>
    <w:rsid w:val="50C7F75A"/>
    <w:rsid w:val="5176E2D7"/>
    <w:rsid w:val="528B74A3"/>
    <w:rsid w:val="52BE21A2"/>
    <w:rsid w:val="52BF22C0"/>
    <w:rsid w:val="52E6986F"/>
    <w:rsid w:val="53C6B6EA"/>
    <w:rsid w:val="53E03D07"/>
    <w:rsid w:val="548B92EA"/>
    <w:rsid w:val="54A4483E"/>
    <w:rsid w:val="551F72D2"/>
    <w:rsid w:val="56277CA2"/>
    <w:rsid w:val="56CB9E1E"/>
    <w:rsid w:val="570E9CFE"/>
    <w:rsid w:val="5722FFD3"/>
    <w:rsid w:val="580A7E23"/>
    <w:rsid w:val="589788DA"/>
    <w:rsid w:val="58E243BC"/>
    <w:rsid w:val="59405C85"/>
    <w:rsid w:val="59F59EAC"/>
    <w:rsid w:val="5AD624D0"/>
    <w:rsid w:val="5ADC2CE6"/>
    <w:rsid w:val="5AF19210"/>
    <w:rsid w:val="5B3BFE18"/>
    <w:rsid w:val="5B9DA129"/>
    <w:rsid w:val="5BB66BB1"/>
    <w:rsid w:val="5C19E47E"/>
    <w:rsid w:val="5C3ECC97"/>
    <w:rsid w:val="5C816E5B"/>
    <w:rsid w:val="5C82A8DB"/>
    <w:rsid w:val="5D6E7E48"/>
    <w:rsid w:val="5D8522D9"/>
    <w:rsid w:val="5E217EAF"/>
    <w:rsid w:val="5E4C9A5B"/>
    <w:rsid w:val="5E5A53B5"/>
    <w:rsid w:val="5E7DD4CA"/>
    <w:rsid w:val="5F174B97"/>
    <w:rsid w:val="6002AB7F"/>
    <w:rsid w:val="6010CC80"/>
    <w:rsid w:val="60A597B2"/>
    <w:rsid w:val="620D54A6"/>
    <w:rsid w:val="62639553"/>
    <w:rsid w:val="62892602"/>
    <w:rsid w:val="62BFE777"/>
    <w:rsid w:val="6357B9ED"/>
    <w:rsid w:val="642368C1"/>
    <w:rsid w:val="6444DFAF"/>
    <w:rsid w:val="64C1906B"/>
    <w:rsid w:val="6537524D"/>
    <w:rsid w:val="6551DB58"/>
    <w:rsid w:val="65943897"/>
    <w:rsid w:val="65DFD2A5"/>
    <w:rsid w:val="65E9D2E5"/>
    <w:rsid w:val="65F75F61"/>
    <w:rsid w:val="66489C3B"/>
    <w:rsid w:val="665E611E"/>
    <w:rsid w:val="669AC1FC"/>
    <w:rsid w:val="6700D0D7"/>
    <w:rsid w:val="67A7E7A3"/>
    <w:rsid w:val="681B163A"/>
    <w:rsid w:val="69480386"/>
    <w:rsid w:val="6A8DFA22"/>
    <w:rsid w:val="6AF90035"/>
    <w:rsid w:val="6B38C7AF"/>
    <w:rsid w:val="6B5ECC4A"/>
    <w:rsid w:val="6BD2F445"/>
    <w:rsid w:val="6BECCA4F"/>
    <w:rsid w:val="6C45E4D5"/>
    <w:rsid w:val="6CA5B8C1"/>
    <w:rsid w:val="6CBDC2CC"/>
    <w:rsid w:val="6D1B4991"/>
    <w:rsid w:val="6E91B02A"/>
    <w:rsid w:val="6F2DFB89"/>
    <w:rsid w:val="6F55CED5"/>
    <w:rsid w:val="6F9248AC"/>
    <w:rsid w:val="6FC27FC5"/>
    <w:rsid w:val="6FD7206D"/>
    <w:rsid w:val="70074FB2"/>
    <w:rsid w:val="70622CEC"/>
    <w:rsid w:val="72052DB7"/>
    <w:rsid w:val="724CDB0E"/>
    <w:rsid w:val="7266D810"/>
    <w:rsid w:val="7294D6B8"/>
    <w:rsid w:val="73B2F60B"/>
    <w:rsid w:val="74CE7E2C"/>
    <w:rsid w:val="74E8568A"/>
    <w:rsid w:val="756ED3FB"/>
    <w:rsid w:val="770C1743"/>
    <w:rsid w:val="77C21DBA"/>
    <w:rsid w:val="77CC48B4"/>
    <w:rsid w:val="7876ACE9"/>
    <w:rsid w:val="796B6115"/>
    <w:rsid w:val="79B8CCA8"/>
    <w:rsid w:val="7AADC5B4"/>
    <w:rsid w:val="7B21F505"/>
    <w:rsid w:val="7B3D3858"/>
    <w:rsid w:val="7B8CEE79"/>
    <w:rsid w:val="7CE84F02"/>
    <w:rsid w:val="7D261BC9"/>
    <w:rsid w:val="7D5128D7"/>
    <w:rsid w:val="7D7C76F4"/>
    <w:rsid w:val="7D9E9771"/>
    <w:rsid w:val="7DF0AAE8"/>
    <w:rsid w:val="7F204854"/>
    <w:rsid w:val="7F551D2A"/>
    <w:rsid w:val="7F82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D70CBB"/>
  <w15:chartTrackingRefBased/>
  <w15:docId w15:val="{0C6D3EE7-1CFE-4D4D-8CBD-61520082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0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5AF"/>
  </w:style>
  <w:style w:type="paragraph" w:styleId="Footer">
    <w:name w:val="footer"/>
    <w:basedOn w:val="Normal"/>
    <w:link w:val="FooterChar"/>
    <w:uiPriority w:val="99"/>
    <w:unhideWhenUsed/>
    <w:rsid w:val="00A01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5AF"/>
  </w:style>
  <w:style w:type="table" w:customStyle="1" w:styleId="TableGrid1">
    <w:name w:val="Table Grid1"/>
    <w:basedOn w:val="TableNormal"/>
    <w:next w:val="TableGrid"/>
    <w:uiPriority w:val="39"/>
    <w:rsid w:val="00BB0B3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6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8771">
      <w:bodyDiv w:val="1"/>
      <w:marLeft w:val="0"/>
      <w:marRight w:val="0"/>
      <w:marTop w:val="0"/>
      <w:marBottom w:val="0"/>
      <w:divBdr>
        <w:top w:val="none" w:sz="0" w:space="0" w:color="auto"/>
        <w:left w:val="none" w:sz="0" w:space="0" w:color="auto"/>
        <w:bottom w:val="none" w:sz="0" w:space="0" w:color="auto"/>
        <w:right w:val="none" w:sz="0" w:space="0" w:color="auto"/>
      </w:divBdr>
    </w:div>
    <w:div w:id="852382569">
      <w:bodyDiv w:val="1"/>
      <w:marLeft w:val="0"/>
      <w:marRight w:val="0"/>
      <w:marTop w:val="0"/>
      <w:marBottom w:val="0"/>
      <w:divBdr>
        <w:top w:val="none" w:sz="0" w:space="0" w:color="auto"/>
        <w:left w:val="none" w:sz="0" w:space="0" w:color="auto"/>
        <w:bottom w:val="none" w:sz="0" w:space="0" w:color="auto"/>
        <w:right w:val="none" w:sz="0" w:space="0" w:color="auto"/>
      </w:divBdr>
    </w:div>
    <w:div w:id="942809801">
      <w:bodyDiv w:val="1"/>
      <w:marLeft w:val="0"/>
      <w:marRight w:val="0"/>
      <w:marTop w:val="0"/>
      <w:marBottom w:val="0"/>
      <w:divBdr>
        <w:top w:val="none" w:sz="0" w:space="0" w:color="auto"/>
        <w:left w:val="none" w:sz="0" w:space="0" w:color="auto"/>
        <w:bottom w:val="none" w:sz="0" w:space="0" w:color="auto"/>
        <w:right w:val="none" w:sz="0" w:space="0" w:color="auto"/>
      </w:divBdr>
      <w:divsChild>
        <w:div w:id="17856542">
          <w:marLeft w:val="-108"/>
          <w:marRight w:val="0"/>
          <w:marTop w:val="0"/>
          <w:marBottom w:val="0"/>
          <w:divBdr>
            <w:top w:val="none" w:sz="0" w:space="0" w:color="auto"/>
            <w:left w:val="none" w:sz="0" w:space="0" w:color="auto"/>
            <w:bottom w:val="none" w:sz="0" w:space="0" w:color="auto"/>
            <w:right w:val="none" w:sz="0" w:space="0" w:color="auto"/>
          </w:divBdr>
        </w:div>
      </w:divsChild>
    </w:div>
    <w:div w:id="158147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an.garland@ode.state.or.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footer" Target="footer2.xml"/><Relationship Id="R2535d6b105a54938" Type="http://schemas.microsoft.com/office/2016/09/relationships/commentsIds" Target="commentsIds.xml"/><Relationship Id="R3e1c7752420540f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ode/reports-and-data/SpEdReports/Pages/State-Performance-Plan-and-Annual-Performance-Report-for-Special-Education.asp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https://odemail-my.sharepoint.com/personal/wellse_ode_state_or_us/Documents/SPP%20Fact%20Sheets/Data%20Graphs/SPP%20Data%20Graphs%20Part%20C.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1B75BC"/>
                </a:solidFill>
              </a:rPr>
              <a:t>Oregon's Indicator C2 (Settings) Data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'C2'!$A$2</c:f>
              <c:strCache>
                <c:ptCount val="1"/>
                <c:pt idx="0">
                  <c:v>Data</c:v>
                </c:pt>
              </c:strCache>
            </c:strRef>
          </c:tx>
          <c:spPr>
            <a:ln w="28575" cap="rnd">
              <a:solidFill>
                <a:srgbClr val="1B75BC"/>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B75BC"/>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'C2'!$B$1:$G$1</c:f>
              <c:numCache>
                <c:formatCode>General</c:formatCode>
                <c:ptCount val="6"/>
                <c:pt idx="0">
                  <c:v>2014</c:v>
                </c:pt>
                <c:pt idx="1">
                  <c:v>2015</c:v>
                </c:pt>
                <c:pt idx="2">
                  <c:v>2016</c:v>
                </c:pt>
                <c:pt idx="3">
                  <c:v>2017</c:v>
                </c:pt>
                <c:pt idx="4">
                  <c:v>2018</c:v>
                </c:pt>
                <c:pt idx="5">
                  <c:v>2019</c:v>
                </c:pt>
              </c:numCache>
            </c:numRef>
          </c:cat>
          <c:val>
            <c:numRef>
              <c:f>'C2'!$B$2:$G$2</c:f>
              <c:numCache>
                <c:formatCode>0.00%</c:formatCode>
                <c:ptCount val="6"/>
                <c:pt idx="0">
                  <c:v>0.96430000000000005</c:v>
                </c:pt>
                <c:pt idx="1">
                  <c:v>0.97540000000000004</c:v>
                </c:pt>
                <c:pt idx="2">
                  <c:v>0.97009999999999996</c:v>
                </c:pt>
                <c:pt idx="3">
                  <c:v>0.98150000000000004</c:v>
                </c:pt>
                <c:pt idx="4">
                  <c:v>0.98470000000000002</c:v>
                </c:pt>
                <c:pt idx="5">
                  <c:v>0.98660000000000003</c:v>
                </c:pt>
              </c:numCache>
            </c:numRef>
          </c:val>
          <c:smooth val="0"/>
          <c:extLst>
            <c:ext xmlns:c16="http://schemas.microsoft.com/office/drawing/2014/chart" uri="{C3380CC4-5D6E-409C-BE32-E72D297353CC}">
              <c16:uniqueId val="{00000000-A61F-468B-B839-98EE3432A7DE}"/>
            </c:ext>
          </c:extLst>
        </c:ser>
        <c:ser>
          <c:idx val="1"/>
          <c:order val="1"/>
          <c:tx>
            <c:strRef>
              <c:f>'C2'!$A$3</c:f>
              <c:strCache>
                <c:ptCount val="1"/>
                <c:pt idx="0">
                  <c:v>Target &gt;=</c:v>
                </c:pt>
              </c:strCache>
            </c:strRef>
          </c:tx>
          <c:spPr>
            <a:ln w="28575" cap="rnd">
              <a:solidFill>
                <a:srgbClr val="408740"/>
              </a:solidFill>
              <a:round/>
            </a:ln>
            <a:effectLst/>
          </c:spPr>
          <c:marker>
            <c:symbol val="none"/>
          </c:marker>
          <c:dLbls>
            <c:dLbl>
              <c:idx val="0"/>
              <c:layout>
                <c:manualLayout>
                  <c:x val="-4.8502814093920384E-2"/>
                  <c:y val="3.331740429594653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61F-468B-B839-98EE3432A7DE}"/>
                </c:ext>
              </c:extLst>
            </c:dLbl>
            <c:dLbl>
              <c:idx val="1"/>
              <c:layout>
                <c:manualLayout>
                  <c:x val="-4.8502814093920349E-2"/>
                  <c:y val="2.69757499131143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61F-468B-B839-98EE3432A7DE}"/>
                </c:ext>
              </c:extLst>
            </c:dLbl>
            <c:dLbl>
              <c:idx val="2"/>
              <c:layout>
                <c:manualLayout>
                  <c:x val="-4.4456279584309387E-2"/>
                  <c:y val="3.01465771045304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61F-468B-B839-98EE3432A7DE}"/>
                </c:ext>
              </c:extLst>
            </c:dLbl>
            <c:dLbl>
              <c:idx val="3"/>
              <c:layout>
                <c:manualLayout>
                  <c:x val="-4.4456279584309387E-2"/>
                  <c:y val="2.69757499131143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61F-468B-B839-98EE3432A7DE}"/>
                </c:ext>
              </c:extLst>
            </c:dLbl>
            <c:dLbl>
              <c:idx val="4"/>
              <c:layout>
                <c:manualLayout>
                  <c:x val="-4.4456279584309387E-2"/>
                  <c:y val="2.69757499131143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61F-468B-B839-98EE3432A7DE}"/>
                </c:ext>
              </c:extLst>
            </c:dLbl>
            <c:dLbl>
              <c:idx val="5"/>
              <c:layout>
                <c:manualLayout>
                  <c:x val="-4.4456279584309533E-2"/>
                  <c:y val="2.69757499131143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61F-468B-B839-98EE3432A7DE}"/>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40874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'C2'!$B$1:$G$1</c:f>
              <c:numCache>
                <c:formatCode>General</c:formatCode>
                <c:ptCount val="6"/>
                <c:pt idx="0">
                  <c:v>2014</c:v>
                </c:pt>
                <c:pt idx="1">
                  <c:v>2015</c:v>
                </c:pt>
                <c:pt idx="2">
                  <c:v>2016</c:v>
                </c:pt>
                <c:pt idx="3">
                  <c:v>2017</c:v>
                </c:pt>
                <c:pt idx="4">
                  <c:v>2018</c:v>
                </c:pt>
                <c:pt idx="5">
                  <c:v>2019</c:v>
                </c:pt>
              </c:numCache>
            </c:numRef>
          </c:cat>
          <c:val>
            <c:numRef>
              <c:f>'C2'!$B$3:$G$3</c:f>
              <c:numCache>
                <c:formatCode>0.00%</c:formatCode>
                <c:ptCount val="6"/>
                <c:pt idx="0">
                  <c:v>0.96499999999999997</c:v>
                </c:pt>
                <c:pt idx="1">
                  <c:v>0.96499999999999997</c:v>
                </c:pt>
                <c:pt idx="2">
                  <c:v>0.96499999999999997</c:v>
                </c:pt>
                <c:pt idx="3">
                  <c:v>0.96499999999999997</c:v>
                </c:pt>
                <c:pt idx="4">
                  <c:v>0.96499999999999997</c:v>
                </c:pt>
                <c:pt idx="5">
                  <c:v>0.96499999999999997</c:v>
                </c:pt>
              </c:numCache>
            </c:numRef>
          </c:val>
          <c:smooth val="0"/>
          <c:extLst>
            <c:ext xmlns:c16="http://schemas.microsoft.com/office/drawing/2014/chart" uri="{C3380CC4-5D6E-409C-BE32-E72D297353CC}">
              <c16:uniqueId val="{00000007-A61F-468B-B839-98EE3432A7DE}"/>
            </c:ext>
          </c:extLst>
        </c:ser>
        <c:dLbls>
          <c:dLblPos val="t"/>
          <c:showLegendKey val="0"/>
          <c:showVal val="1"/>
          <c:showCatName val="0"/>
          <c:showSerName val="0"/>
          <c:showPercent val="0"/>
          <c:showBubbleSize val="0"/>
        </c:dLbls>
        <c:smooth val="0"/>
        <c:axId val="589473048"/>
        <c:axId val="589473704"/>
      </c:lineChart>
      <c:catAx>
        <c:axId val="589473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473704"/>
        <c:crosses val="autoZero"/>
        <c:auto val="1"/>
        <c:lblAlgn val="ctr"/>
        <c:lblOffset val="100"/>
        <c:noMultiLvlLbl val="0"/>
      </c:catAx>
      <c:valAx>
        <c:axId val="589473704"/>
        <c:scaling>
          <c:orientation val="minMax"/>
          <c:max val="1"/>
          <c:min val="0.94000000000000006"/>
        </c:scaling>
        <c:delete val="0"/>
        <c:axPos val="l"/>
        <c:majorGridlines>
          <c:spPr>
            <a:ln w="9525" cap="flat" cmpd="sng" algn="ctr">
              <a:solidFill>
                <a:schemeClr val="tx1">
                  <a:lumMod val="15000"/>
                  <a:lumOff val="85000"/>
                </a:schemeClr>
              </a:solidFill>
              <a:round/>
            </a:ln>
            <a:effectLst/>
          </c:spPr>
        </c:majorGridlines>
        <c:numFmt formatCode="0%" sourceLinked="0"/>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473048"/>
        <c:crosses val="autoZero"/>
        <c:crossBetween val="between"/>
        <c:majorUnit val="2.0000000000000004E-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3A0F89BB9954C8B253FD585569827" ma:contentTypeVersion="7" ma:contentTypeDescription="Create a new document." ma:contentTypeScope="" ma:versionID="a81cf9d4b13597e61b9efcf1db968191">
  <xsd:schema xmlns:xsd="http://www.w3.org/2001/XMLSchema" xmlns:xs="http://www.w3.org/2001/XMLSchema" xmlns:p="http://schemas.microsoft.com/office/2006/metadata/properties" xmlns:ns1="http://schemas.microsoft.com/sharepoint/v3" xmlns:ns2="b4311169-ef95-4eb4-ad55-0b8e815ccd7b" xmlns:ns3="626a857a-181d-4963-b522-a6055312c9f6" targetNamespace="http://schemas.microsoft.com/office/2006/metadata/properties" ma:root="true" ma:fieldsID="502f16f298c31747db7e96094745dff6" ns1:_="" ns2:_="" ns3:_="">
    <xsd:import namespace="http://schemas.microsoft.com/sharepoint/v3"/>
    <xsd:import namespace="b4311169-ef95-4eb4-ad55-0b8e815ccd7b"/>
    <xsd:import namespace="626a857a-181d-4963-b522-a6055312c9f6"/>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11169-ef95-4eb4-ad55-0b8e815ccd7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626a857a-181d-4963-b522-a6055312c9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26a857a-181d-4963-b522-a6055312c9f6">
      <UserInfo>
        <DisplayName>WELLS Eric * ODE</DisplayName>
        <AccountId>3</AccountId>
        <AccountType/>
      </UserInfo>
    </SharedWithUsers>
    <Estimated_x0020_Creation_x0020_Date xmlns="b4311169-ef95-4eb4-ad55-0b8e815ccd7b" xsi:nil="true"/>
    <PublishingExpirationDate xmlns="http://schemas.microsoft.com/sharepoint/v3" xsi:nil="true"/>
    <PublishingStartDate xmlns="http://schemas.microsoft.com/sharepoint/v3" xsi:nil="true"/>
    <Priority xmlns="b4311169-ef95-4eb4-ad55-0b8e815ccd7b">New</Priority>
    <Remediation_x0020_Date xmlns="b4311169-ef95-4eb4-ad55-0b8e815ccd7b">2021-12-17T18:47:46+00:00</Remediation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83DFA-1405-423A-873D-F408DFDE5C90}"/>
</file>

<file path=customXml/itemProps2.xml><?xml version="1.0" encoding="utf-8"?>
<ds:datastoreItem xmlns:ds="http://schemas.openxmlformats.org/officeDocument/2006/customXml" ds:itemID="{85CC21F9-4EE9-4382-8358-CB255CA66444}">
  <ds:schemaRefs>
    <ds:schemaRef ds:uri="http://purl.org/dc/elements/1.1/"/>
    <ds:schemaRef ds:uri="http://schemas.microsoft.com/office/2006/metadata/properties"/>
    <ds:schemaRef ds:uri="http://schemas.microsoft.com/office/2006/documentManagement/types"/>
    <ds:schemaRef ds:uri="b47477c3-cea5-4644-a2b9-72f12b741c16"/>
    <ds:schemaRef ds:uri="http://purl.org/dc/terms/"/>
    <ds:schemaRef ds:uri="http://schemas.openxmlformats.org/package/2006/metadata/core-properties"/>
    <ds:schemaRef ds:uri="http://purl.org/dc/dcmitype/"/>
    <ds:schemaRef ds:uri="http://schemas.microsoft.com/office/infopath/2007/PartnerControls"/>
    <ds:schemaRef ds:uri="7f305cf4-7e8c-42e6-816c-ef6b646f0adc"/>
    <ds:schemaRef ds:uri="http://www.w3.org/XML/1998/namespace"/>
  </ds:schemaRefs>
</ds:datastoreItem>
</file>

<file path=customXml/itemProps3.xml><?xml version="1.0" encoding="utf-8"?>
<ds:datastoreItem xmlns:ds="http://schemas.openxmlformats.org/officeDocument/2006/customXml" ds:itemID="{04F8720C-5962-4E5E-8C0C-E9B105BD9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AICHLMAYR Mary * ODE</dc:creator>
  <cp:keywords/>
  <dc:description/>
  <cp:lastModifiedBy>TURNBULL Mariana * ODE</cp:lastModifiedBy>
  <cp:revision>2</cp:revision>
  <dcterms:created xsi:type="dcterms:W3CDTF">2021-12-17T17:56:00Z</dcterms:created>
  <dcterms:modified xsi:type="dcterms:W3CDTF">2021-12-17T17:56:00Z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0x01010054E3A0F89BB9954C8B253FD585569827</vt:lpwstr>
  </property>
</Properties>
</file>