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0E73117" w:rsidRPr="0094193E" w14:paraId="2883DC43" w14:textId="77777777" w:rsidTr="008F4C88">
        <w:trPr>
          <w:tblHeader/>
        </w:trPr>
        <w:tc>
          <w:tcPr>
            <w:tcW w:w="2160" w:type="dxa"/>
            <w:vAlign w:val="center"/>
          </w:tcPr>
          <w:p w14:paraId="0F917AFE" w14:textId="77777777" w:rsidR="7AADC5B4" w:rsidRPr="0094193E" w:rsidRDefault="00A77EAA" w:rsidP="7AADC5B4">
            <w:pPr>
              <w:jc w:val="center"/>
              <w:rPr>
                <w:rFonts w:eastAsia="Arial"/>
                <w:b/>
                <w:bCs/>
                <w:color w:val="082A75"/>
                <w:sz w:val="32"/>
                <w:szCs w:val="32"/>
              </w:rPr>
            </w:pPr>
            <w:r w:rsidRPr="0094193E">
              <w:rPr>
                <w:noProof/>
                <w:sz w:val="21"/>
                <w:szCs w:val="21"/>
              </w:rPr>
              <w:drawing>
                <wp:inline distT="0" distB="0" distL="0" distR="0" wp14:anchorId="7676B875" wp14:editId="53A47F11">
                  <wp:extent cx="1077554" cy="1145969"/>
                  <wp:effectExtent l="0" t="0" r="8890" b="0"/>
                  <wp:docPr id="13854289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829875"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5B2828EE" w14:textId="77777777" w:rsidR="7AADC5B4" w:rsidRPr="0094193E" w:rsidRDefault="00A77EAA" w:rsidP="7AADC5B4">
            <w:pPr>
              <w:pStyle w:val="Title"/>
              <w:spacing w:after="200"/>
              <w:jc w:val="center"/>
              <w:rPr>
                <w:rFonts w:asciiTheme="minorHAnsi" w:eastAsia="Arial" w:hAnsiTheme="minorHAnsi" w:cstheme="minorBidi"/>
                <w:b/>
                <w:bCs/>
                <w:color w:val="1B75BC"/>
                <w:sz w:val="44"/>
                <w:szCs w:val="44"/>
              </w:rPr>
            </w:pPr>
            <w:r w:rsidRPr="0094193E">
              <w:rPr>
                <w:rFonts w:ascii="Calibri" w:eastAsia="Calibri" w:hAnsi="Calibri" w:cs="Times New Roman"/>
                <w:b/>
                <w:bCs/>
                <w:color w:val="1B75BC"/>
                <w:sz w:val="44"/>
                <w:szCs w:val="44"/>
                <w:lang w:val="es-ES_tradnl"/>
              </w:rPr>
              <w:t>Plan estatal de desempeño (SPP)</w:t>
            </w:r>
          </w:p>
          <w:p w14:paraId="2EB71751" w14:textId="77777777" w:rsidR="7AADC5B4" w:rsidRPr="0094193E" w:rsidRDefault="00A77EAA" w:rsidP="7AADC5B4">
            <w:pPr>
              <w:pStyle w:val="Title"/>
              <w:spacing w:after="200"/>
              <w:jc w:val="center"/>
              <w:rPr>
                <w:rFonts w:asciiTheme="minorHAnsi" w:eastAsia="Arial" w:hAnsiTheme="minorHAnsi" w:cstheme="minorBidi"/>
                <w:b/>
                <w:bCs/>
                <w:color w:val="1B75BC"/>
                <w:sz w:val="44"/>
                <w:szCs w:val="44"/>
              </w:rPr>
            </w:pPr>
            <w:r w:rsidRPr="0094193E">
              <w:rPr>
                <w:rFonts w:ascii="Calibri" w:eastAsia="Calibri" w:hAnsi="Calibri" w:cs="Times New Roman"/>
                <w:b/>
                <w:bCs/>
                <w:color w:val="1B75BC"/>
                <w:sz w:val="44"/>
                <w:szCs w:val="44"/>
                <w:lang w:val="es-ES_tradnl"/>
              </w:rPr>
              <w:t>Hoja informativa</w:t>
            </w:r>
          </w:p>
          <w:p w14:paraId="410644A2" w14:textId="77777777" w:rsidR="7AADC5B4" w:rsidRPr="0094193E" w:rsidRDefault="00A77EAA" w:rsidP="7AADC5B4">
            <w:pPr>
              <w:pStyle w:val="Title"/>
              <w:spacing w:after="200"/>
              <w:jc w:val="center"/>
              <w:rPr>
                <w:rFonts w:asciiTheme="minorHAnsi" w:eastAsia="Arial" w:hAnsiTheme="minorHAnsi" w:cstheme="minorBidi"/>
                <w:b/>
                <w:bCs/>
                <w:color w:val="082A75"/>
                <w:sz w:val="44"/>
                <w:szCs w:val="44"/>
              </w:rPr>
            </w:pPr>
            <w:r w:rsidRPr="0094193E">
              <w:rPr>
                <w:rFonts w:ascii="Calibri" w:eastAsia="Calibri" w:hAnsi="Calibri" w:cs="Times New Roman"/>
                <w:b/>
                <w:bCs/>
                <w:color w:val="1B75BC"/>
                <w:sz w:val="28"/>
                <w:szCs w:val="28"/>
                <w:lang w:val="es-ES_tradnl"/>
              </w:rPr>
              <w:t xml:space="preserve">Indicador C2: Servicios en ambientes naturales </w:t>
            </w:r>
            <w:r w:rsidRPr="0094193E">
              <w:rPr>
                <w:rFonts w:ascii="Calibri" w:eastAsia="Calibri" w:hAnsi="Calibri" w:cs="Times New Roman"/>
                <w:color w:val="1B75BC"/>
                <w:sz w:val="28"/>
                <w:szCs w:val="28"/>
                <w:lang w:val="es-ES_tradnl"/>
              </w:rPr>
              <w:t xml:space="preserve"> </w:t>
            </w:r>
          </w:p>
        </w:tc>
      </w:tr>
      <w:tr w:rsidR="00E73117" w:rsidRPr="0094193E" w14:paraId="41403E6B" w14:textId="77777777" w:rsidTr="7AADC5B4">
        <w:trPr>
          <w:trHeight w:val="72"/>
        </w:trPr>
        <w:tc>
          <w:tcPr>
            <w:tcW w:w="2484" w:type="dxa"/>
            <w:gridSpan w:val="2"/>
            <w:shd w:val="clear" w:color="auto" w:fill="9F2065"/>
          </w:tcPr>
          <w:p w14:paraId="65A5AEE9" w14:textId="77777777" w:rsidR="7AADC5B4" w:rsidRPr="0094193E" w:rsidRDefault="7AADC5B4" w:rsidP="7AADC5B4">
            <w:pPr>
              <w:rPr>
                <w:noProof/>
                <w:sz w:val="21"/>
                <w:szCs w:val="21"/>
              </w:rPr>
            </w:pPr>
          </w:p>
        </w:tc>
        <w:tc>
          <w:tcPr>
            <w:tcW w:w="2484" w:type="dxa"/>
            <w:shd w:val="clear" w:color="auto" w:fill="E26B2A"/>
          </w:tcPr>
          <w:p w14:paraId="2033FFCE" w14:textId="77777777" w:rsidR="7AADC5B4" w:rsidRPr="0094193E" w:rsidRDefault="7AADC5B4" w:rsidP="7AADC5B4">
            <w:pPr>
              <w:pStyle w:val="Title"/>
              <w:rPr>
                <w:rFonts w:asciiTheme="minorHAnsi" w:eastAsia="Arial" w:hAnsiTheme="minorHAnsi" w:cstheme="minorBidi"/>
                <w:b/>
                <w:bCs/>
                <w:color w:val="082974"/>
                <w:sz w:val="21"/>
                <w:szCs w:val="21"/>
              </w:rPr>
            </w:pPr>
          </w:p>
        </w:tc>
        <w:tc>
          <w:tcPr>
            <w:tcW w:w="2484" w:type="dxa"/>
            <w:shd w:val="clear" w:color="auto" w:fill="1B75BC"/>
          </w:tcPr>
          <w:p w14:paraId="05E94F8A" w14:textId="77777777" w:rsidR="7AADC5B4" w:rsidRPr="0094193E" w:rsidRDefault="7AADC5B4" w:rsidP="7AADC5B4">
            <w:pPr>
              <w:pStyle w:val="Title"/>
              <w:rPr>
                <w:rFonts w:asciiTheme="minorHAnsi" w:eastAsia="Arial" w:hAnsiTheme="minorHAnsi" w:cstheme="minorBidi"/>
                <w:b/>
                <w:bCs/>
                <w:color w:val="082974"/>
                <w:sz w:val="21"/>
                <w:szCs w:val="21"/>
              </w:rPr>
            </w:pPr>
          </w:p>
        </w:tc>
        <w:tc>
          <w:tcPr>
            <w:tcW w:w="2484" w:type="dxa"/>
            <w:shd w:val="clear" w:color="auto" w:fill="408740"/>
          </w:tcPr>
          <w:p w14:paraId="629D2278" w14:textId="77777777" w:rsidR="7AADC5B4" w:rsidRPr="0094193E" w:rsidRDefault="7AADC5B4" w:rsidP="7AADC5B4">
            <w:pPr>
              <w:pStyle w:val="Title"/>
              <w:rPr>
                <w:rFonts w:asciiTheme="minorHAnsi" w:eastAsia="Arial" w:hAnsiTheme="minorHAnsi" w:cstheme="minorBidi"/>
                <w:b/>
                <w:bCs/>
                <w:color w:val="082974"/>
                <w:sz w:val="21"/>
                <w:szCs w:val="21"/>
              </w:rPr>
            </w:pPr>
          </w:p>
        </w:tc>
      </w:tr>
    </w:tbl>
    <w:p w14:paraId="58A76D21" w14:textId="77777777" w:rsidR="77CC48B4" w:rsidRPr="0094193E" w:rsidRDefault="00A77EAA" w:rsidP="00DB0C81">
      <w:pPr>
        <w:pStyle w:val="Heading1"/>
        <w:rPr>
          <w:rFonts w:ascii="Calibri" w:eastAsia="Calibri" w:hAnsi="Calibri" w:cs="Calibri"/>
          <w:color w:val="1B75BC"/>
          <w:sz w:val="28"/>
          <w:szCs w:val="28"/>
        </w:rPr>
      </w:pPr>
      <w:r w:rsidRPr="0094193E">
        <w:rPr>
          <w:rFonts w:ascii="Calibri" w:eastAsia="Calibri" w:hAnsi="Calibri" w:cs="Calibri"/>
          <w:b/>
          <w:bCs/>
          <w:color w:val="1B75BC"/>
          <w:sz w:val="28"/>
          <w:szCs w:val="28"/>
          <w:lang w:val="es-ES_tradnl"/>
        </w:rPr>
        <w:t xml:space="preserve">Plan de Desempeño del Estado de Oregon </w:t>
      </w:r>
    </w:p>
    <w:p w14:paraId="2A127829" w14:textId="77777777" w:rsidR="77CC48B4" w:rsidRPr="0094193E" w:rsidRDefault="00A77EAA" w:rsidP="43E910BC">
      <w:pPr>
        <w:spacing w:after="0"/>
        <w:rPr>
          <w:rFonts w:ascii="Calibri" w:eastAsia="Calibri" w:hAnsi="Calibri" w:cs="Calibri"/>
          <w:color w:val="000000" w:themeColor="text1"/>
          <w:sz w:val="21"/>
          <w:szCs w:val="21"/>
        </w:rPr>
      </w:pPr>
      <w:r w:rsidRPr="0094193E">
        <w:rPr>
          <w:rFonts w:ascii="Calibri" w:eastAsia="Calibri" w:hAnsi="Calibri" w:cs="Calibri"/>
          <w:color w:val="000000"/>
          <w:sz w:val="21"/>
          <w:szCs w:val="21"/>
          <w:lang w:val="es-ES_tradnl"/>
        </w:rPr>
        <w:t xml:space="preserve">En virtud de la Ley de Educación para Personas con Discapacidades de 2004 (IDEA), el Departamento de Educación de Oregon (ODE) debe presentar un Plan de desempeño estatal (SPP) de seis años a la Oficina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Por favor, consulte la </w:t>
      </w:r>
      <w:hyperlink r:id="rId11" w:history="1">
        <w:r w:rsidRPr="0094193E">
          <w:rPr>
            <w:rFonts w:ascii="Calibri" w:eastAsia="Calibri" w:hAnsi="Calibri" w:cs="Calibri"/>
            <w:color w:val="0563C1"/>
            <w:sz w:val="21"/>
            <w:szCs w:val="21"/>
            <w:lang w:val="es-ES_tradnl"/>
          </w:rPr>
          <w:t>página web del P</w:t>
        </w:r>
        <w:r w:rsidRPr="0094193E">
          <w:rPr>
            <w:rFonts w:ascii="Calibri" w:eastAsia="Calibri" w:hAnsi="Calibri" w:cs="Calibri"/>
            <w:color w:val="0563C1"/>
            <w:sz w:val="21"/>
            <w:szCs w:val="21"/>
            <w:u w:val="single"/>
            <w:lang w:val="es-ES_tradnl"/>
          </w:rPr>
          <w:t>lan de desempeño del Estado del ODE e Informes Anuales para la Educación Especial</w:t>
        </w:r>
      </w:hyperlink>
      <w:r w:rsidRPr="0094193E">
        <w:rPr>
          <w:rFonts w:ascii="Calibri" w:eastAsia="Calibri" w:hAnsi="Calibri" w:cs="Calibri"/>
          <w:color w:val="000000"/>
          <w:sz w:val="21"/>
          <w:szCs w:val="21"/>
          <w:lang w:val="es-ES_tradnl"/>
        </w:rPr>
        <w:t xml:space="preserve"> para obtener más información.</w:t>
      </w:r>
    </w:p>
    <w:p w14:paraId="21988953" w14:textId="77777777" w:rsidR="000E4FA0" w:rsidRPr="0094193E" w:rsidRDefault="00A77EAA" w:rsidP="00DB0C81">
      <w:pPr>
        <w:pStyle w:val="Heading1"/>
        <w:rPr>
          <w:rFonts w:asciiTheme="minorHAnsi" w:hAnsiTheme="minorHAnsi" w:cstheme="minorBidi"/>
          <w:b/>
          <w:bCs/>
          <w:color w:val="1B75BC"/>
          <w:sz w:val="28"/>
          <w:szCs w:val="28"/>
        </w:rPr>
      </w:pPr>
      <w:r w:rsidRPr="0094193E">
        <w:rPr>
          <w:rFonts w:ascii="Calibri" w:eastAsia="Calibri" w:hAnsi="Calibri" w:cs="Times New Roman"/>
          <w:b/>
          <w:bCs/>
          <w:color w:val="1B75BC"/>
          <w:sz w:val="28"/>
          <w:szCs w:val="28"/>
          <w:lang w:val="es-ES_tradnl"/>
        </w:rPr>
        <w:t>¿Qué mide este indicador y por qué es importante?</w:t>
      </w:r>
    </w:p>
    <w:p w14:paraId="73D8F31D" w14:textId="77777777" w:rsidR="5D8522D9" w:rsidRPr="0094193E" w:rsidRDefault="00A77EAA" w:rsidP="43E910BC">
      <w:pPr>
        <w:spacing w:after="80"/>
        <w:rPr>
          <w:rFonts w:ascii="Calibri" w:eastAsia="Calibri" w:hAnsi="Calibri" w:cs="Calibri"/>
          <w:color w:val="000000" w:themeColor="text1"/>
          <w:sz w:val="21"/>
          <w:szCs w:val="21"/>
        </w:rPr>
      </w:pPr>
      <w:r w:rsidRPr="0094193E">
        <w:rPr>
          <w:rFonts w:ascii="Calibri" w:eastAsia="Calibri" w:hAnsi="Calibri" w:cs="Times New Roman"/>
          <w:color w:val="000000"/>
          <w:sz w:val="21"/>
          <w:szCs w:val="21"/>
          <w:lang w:val="es-ES_tradnl"/>
        </w:rPr>
        <w:t xml:space="preserve">El indicador C2 (Entornos naturales) se refiere al porcentaje de infantes y niños pequeños con IFSP que reciben principalmente servicios de intervención temprana en el hogar o en entornos comunitarios. (20 U.S.C. 1416(a)(3)(A) y 1442) </w:t>
      </w:r>
      <w:r w:rsidRPr="0094193E">
        <w:rPr>
          <w:rFonts w:ascii="Calibri" w:eastAsia="Calibri" w:hAnsi="Calibri" w:cs="Calibri"/>
          <w:color w:val="000000"/>
          <w:sz w:val="21"/>
          <w:szCs w:val="21"/>
          <w:lang w:val="es-ES_tradnl"/>
        </w:rPr>
        <w:t>Los servicios de intervención temprana deben prestarse en el hogar o en entornos comunitarios cuando sea posible.</w:t>
      </w:r>
      <w:r w:rsidRPr="0094193E">
        <w:rPr>
          <w:rFonts w:ascii="Calibri" w:eastAsia="Calibri" w:hAnsi="Calibri" w:cs="Times New Roman"/>
          <w:color w:val="000000"/>
          <w:sz w:val="21"/>
          <w:szCs w:val="21"/>
          <w:lang w:val="es-ES_tradnl"/>
        </w:rPr>
        <w:t xml:space="preserve"> </w:t>
      </w:r>
    </w:p>
    <w:p w14:paraId="64F3A80D" w14:textId="77777777" w:rsidR="6CBDC2CC" w:rsidRPr="0094193E" w:rsidRDefault="00A77EAA" w:rsidP="00DB0C81">
      <w:pPr>
        <w:pStyle w:val="Heading1"/>
        <w:rPr>
          <w:rFonts w:asciiTheme="minorHAnsi" w:hAnsiTheme="minorHAnsi" w:cstheme="minorBidi"/>
          <w:b/>
          <w:bCs/>
          <w:color w:val="1B75BC"/>
          <w:sz w:val="28"/>
          <w:szCs w:val="28"/>
        </w:rPr>
      </w:pPr>
      <w:r w:rsidRPr="0094193E">
        <w:rPr>
          <w:rFonts w:ascii="Calibri" w:eastAsia="Calibri" w:hAnsi="Calibri" w:cs="Times New Roman"/>
          <w:b/>
          <w:bCs/>
          <w:color w:val="1B75BC"/>
          <w:sz w:val="28"/>
          <w:szCs w:val="28"/>
          <w:lang w:val="es-ES_tradnl"/>
        </w:rPr>
        <w:t>¿Cuál es la fuente de datos?</w:t>
      </w:r>
    </w:p>
    <w:p w14:paraId="7282F920" w14:textId="77777777" w:rsidR="2C029DED" w:rsidRPr="0094193E" w:rsidRDefault="00A77EAA" w:rsidP="43E910BC">
      <w:pPr>
        <w:spacing w:after="80"/>
        <w:rPr>
          <w:rFonts w:eastAsiaTheme="minorEastAsia"/>
          <w:color w:val="000000" w:themeColor="text1"/>
          <w:sz w:val="21"/>
          <w:szCs w:val="21"/>
        </w:rPr>
      </w:pPr>
      <w:r w:rsidRPr="0094193E">
        <w:rPr>
          <w:rFonts w:ascii="Calibri" w:eastAsia="Calibri" w:hAnsi="Calibri" w:cs="Times New Roman"/>
          <w:color w:val="000000"/>
          <w:sz w:val="21"/>
          <w:szCs w:val="21"/>
          <w:lang w:val="es-ES_tradnl"/>
        </w:rPr>
        <w:t>Datos recogidos en virtud de la sección 618 de la ley IDEA (Recogida de datos del recuento de niños de la parte C de la ley IDEA y ajustes en el sistema de metadatos y procesos de EDFacts (E</w:t>
      </w:r>
      <w:r w:rsidRPr="0094193E">
        <w:rPr>
          <w:rFonts w:ascii="Calibri" w:eastAsia="Calibri" w:hAnsi="Calibri" w:cs="Times New Roman"/>
          <w:i/>
          <w:iCs/>
          <w:color w:val="000000"/>
          <w:sz w:val="21"/>
          <w:szCs w:val="21"/>
          <w:lang w:val="es-ES_tradnl"/>
        </w:rPr>
        <w:t>MAPS</w:t>
      </w:r>
      <w:r w:rsidRPr="0094193E">
        <w:rPr>
          <w:rFonts w:ascii="Calibri" w:eastAsia="Calibri" w:hAnsi="Calibri" w:cs="Times New Roman"/>
          <w:color w:val="000000"/>
          <w:sz w:val="21"/>
          <w:szCs w:val="21"/>
          <w:lang w:val="es-ES_tradnl"/>
        </w:rPr>
        <w:t xml:space="preserve">)). </w:t>
      </w:r>
    </w:p>
    <w:p w14:paraId="259C2AE0" w14:textId="77777777" w:rsidR="001D539A" w:rsidRPr="0094193E" w:rsidRDefault="00A77EAA" w:rsidP="00DB0C81">
      <w:pPr>
        <w:pStyle w:val="Heading1"/>
        <w:rPr>
          <w:rFonts w:ascii="Calibri" w:eastAsia="Calibri" w:hAnsi="Calibri" w:cs="Calibri"/>
          <w:color w:val="1B75BC"/>
          <w:sz w:val="28"/>
          <w:szCs w:val="28"/>
        </w:rPr>
      </w:pPr>
      <w:r w:rsidRPr="0094193E">
        <w:rPr>
          <w:rFonts w:ascii="Calibri" w:eastAsia="Calibri" w:hAnsi="Calibri" w:cs="Times New Roman"/>
          <w:b/>
          <w:bCs/>
          <w:color w:val="1B75BC"/>
          <w:sz w:val="28"/>
          <w:szCs w:val="28"/>
          <w:lang w:val="es-ES_tradnl"/>
        </w:rPr>
        <w:t xml:space="preserve">¿Es necesario fijar o restablecer la línea de base para este indicador? </w:t>
      </w:r>
    </w:p>
    <w:p w14:paraId="73259CBA" w14:textId="77777777" w:rsidR="001D539A" w:rsidRPr="0094193E" w:rsidRDefault="00A77EAA" w:rsidP="001D539A">
      <w:pPr>
        <w:spacing w:after="80"/>
        <w:rPr>
          <w:sz w:val="21"/>
          <w:szCs w:val="21"/>
        </w:rPr>
      </w:pPr>
      <w:r w:rsidRPr="0094193E">
        <w:rPr>
          <w:rFonts w:ascii="Calibri" w:eastAsia="Calibri" w:hAnsi="Calibri" w:cs="Times New Roman"/>
          <w:sz w:val="21"/>
          <w:szCs w:val="21"/>
          <w:lang w:val="es-ES_tradnl"/>
        </w:rPr>
        <w:t xml:space="preserve">No, la referencia o línea de base no necesita ser fijada o restablecida. </w:t>
      </w:r>
    </w:p>
    <w:p w14:paraId="04FA851C" w14:textId="77777777" w:rsidR="008B219B" w:rsidRPr="0094193E" w:rsidRDefault="008B219B" w:rsidP="43E910BC">
      <w:pPr>
        <w:spacing w:after="80"/>
        <w:rPr>
          <w:rFonts w:eastAsiaTheme="minorEastAsia"/>
          <w:color w:val="000000" w:themeColor="text1"/>
          <w:sz w:val="21"/>
          <w:szCs w:val="21"/>
        </w:rPr>
      </w:pPr>
    </w:p>
    <w:p w14:paraId="19D12844" w14:textId="77777777" w:rsidR="008B219B" w:rsidRPr="0094193E" w:rsidRDefault="008B219B" w:rsidP="008B219B">
      <w:pPr>
        <w:rPr>
          <w:rFonts w:eastAsiaTheme="minorEastAsia"/>
          <w:sz w:val="21"/>
          <w:szCs w:val="21"/>
        </w:rPr>
      </w:pPr>
    </w:p>
    <w:p w14:paraId="080268D0" w14:textId="77777777" w:rsidR="008B219B" w:rsidRPr="0094193E" w:rsidRDefault="008B219B" w:rsidP="008B219B">
      <w:pPr>
        <w:rPr>
          <w:rFonts w:eastAsiaTheme="minorEastAsia"/>
          <w:sz w:val="21"/>
          <w:szCs w:val="21"/>
        </w:rPr>
      </w:pPr>
    </w:p>
    <w:p w14:paraId="5F7B9833" w14:textId="77777777" w:rsidR="008B219B" w:rsidRPr="0094193E" w:rsidRDefault="008B219B" w:rsidP="008B219B">
      <w:pPr>
        <w:rPr>
          <w:rFonts w:eastAsiaTheme="minorEastAsia"/>
          <w:sz w:val="21"/>
          <w:szCs w:val="21"/>
        </w:rPr>
      </w:pPr>
    </w:p>
    <w:p w14:paraId="238AD5EA" w14:textId="77777777" w:rsidR="008B219B" w:rsidRPr="0094193E" w:rsidRDefault="008B219B" w:rsidP="008B219B">
      <w:pPr>
        <w:rPr>
          <w:rFonts w:eastAsiaTheme="minorEastAsia"/>
          <w:sz w:val="21"/>
          <w:szCs w:val="21"/>
        </w:rPr>
      </w:pPr>
    </w:p>
    <w:p w14:paraId="203D2F60" w14:textId="77777777" w:rsidR="008B219B" w:rsidRPr="0094193E" w:rsidRDefault="008B219B" w:rsidP="008B219B">
      <w:pPr>
        <w:rPr>
          <w:rFonts w:eastAsiaTheme="minorEastAsia"/>
          <w:sz w:val="21"/>
          <w:szCs w:val="21"/>
        </w:rPr>
      </w:pPr>
    </w:p>
    <w:p w14:paraId="664F46A5" w14:textId="77777777" w:rsidR="008B219B" w:rsidRPr="0094193E" w:rsidRDefault="008B219B" w:rsidP="008B219B">
      <w:pPr>
        <w:rPr>
          <w:rFonts w:eastAsiaTheme="minorEastAsia"/>
          <w:sz w:val="21"/>
          <w:szCs w:val="21"/>
        </w:rPr>
      </w:pPr>
    </w:p>
    <w:p w14:paraId="0A5620CE" w14:textId="77777777" w:rsidR="008B219B" w:rsidRPr="0094193E" w:rsidRDefault="008B219B" w:rsidP="008B219B">
      <w:pPr>
        <w:rPr>
          <w:rFonts w:eastAsiaTheme="minorEastAsia"/>
          <w:sz w:val="21"/>
          <w:szCs w:val="21"/>
        </w:rPr>
      </w:pPr>
    </w:p>
    <w:p w14:paraId="253531CA" w14:textId="77777777" w:rsidR="008B219B" w:rsidRPr="0094193E" w:rsidRDefault="008B219B" w:rsidP="008B219B">
      <w:pPr>
        <w:rPr>
          <w:rFonts w:eastAsiaTheme="minorEastAsia"/>
          <w:sz w:val="21"/>
          <w:szCs w:val="21"/>
        </w:rPr>
      </w:pPr>
    </w:p>
    <w:p w14:paraId="04C3D9A5" w14:textId="77777777" w:rsidR="008B219B" w:rsidRPr="0094193E" w:rsidRDefault="008B219B" w:rsidP="008B219B">
      <w:pPr>
        <w:rPr>
          <w:rFonts w:eastAsiaTheme="minorEastAsia"/>
          <w:sz w:val="21"/>
          <w:szCs w:val="21"/>
        </w:rPr>
      </w:pPr>
    </w:p>
    <w:p w14:paraId="68813873" w14:textId="77777777" w:rsidR="001D539A" w:rsidRPr="0094193E" w:rsidRDefault="00A77EAA" w:rsidP="008B219B">
      <w:pPr>
        <w:tabs>
          <w:tab w:val="left" w:pos="1490"/>
        </w:tabs>
        <w:rPr>
          <w:rFonts w:eastAsiaTheme="minorEastAsia"/>
          <w:sz w:val="21"/>
          <w:szCs w:val="21"/>
        </w:rPr>
      </w:pPr>
      <w:r w:rsidRPr="0094193E">
        <w:rPr>
          <w:rFonts w:eastAsiaTheme="minorEastAsia"/>
          <w:sz w:val="21"/>
          <w:szCs w:val="21"/>
        </w:rPr>
        <w:lastRenderedPageBreak/>
        <w:tab/>
      </w:r>
    </w:p>
    <w:p w14:paraId="405F85BE" w14:textId="77777777" w:rsidR="70074FB2" w:rsidRPr="0094193E" w:rsidRDefault="00A77EAA" w:rsidP="00DB0C81">
      <w:pPr>
        <w:pStyle w:val="Heading1"/>
        <w:rPr>
          <w:rFonts w:asciiTheme="minorHAnsi" w:hAnsiTheme="minorHAnsi" w:cstheme="minorBidi"/>
          <w:b/>
          <w:bCs/>
          <w:color w:val="1B75BC"/>
          <w:sz w:val="28"/>
          <w:szCs w:val="28"/>
        </w:rPr>
      </w:pPr>
      <w:r w:rsidRPr="0094193E">
        <w:rPr>
          <w:rFonts w:ascii="Calibri" w:eastAsia="Calibri" w:hAnsi="Calibri" w:cs="Times New Roman"/>
          <w:b/>
          <w:bCs/>
          <w:color w:val="1B75BC"/>
          <w:sz w:val="28"/>
          <w:szCs w:val="28"/>
          <w:lang w:val="es-ES_tradnl"/>
        </w:rPr>
        <w:t>¿Cómo ha actuado Oregon a lo largo del tiempo?</w:t>
      </w:r>
    </w:p>
    <w:p w14:paraId="2B9AAE6E" w14:textId="77777777" w:rsidR="00BA7B65" w:rsidRPr="0094193E" w:rsidRDefault="00A77EAA" w:rsidP="00DB0C81">
      <w:pPr>
        <w:jc w:val="center"/>
        <w:rPr>
          <w:sz w:val="21"/>
          <w:szCs w:val="21"/>
        </w:rPr>
      </w:pPr>
      <w:r w:rsidRPr="0094193E">
        <w:rPr>
          <w:noProof/>
          <w:sz w:val="21"/>
          <w:szCs w:val="21"/>
        </w:rPr>
        <w:drawing>
          <wp:inline distT="0" distB="0" distL="0" distR="0" wp14:anchorId="6CD7446F" wp14:editId="6A8CADF9">
            <wp:extent cx="6126480" cy="2743200"/>
            <wp:effectExtent l="0" t="0" r="7620" b="0"/>
            <wp:docPr id="1" name="Chart 1" title="Oregon's Indicator C2 (Settings) Data">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4" w:type="dxa"/>
        <w:jc w:val="center"/>
        <w:tblLayout w:type="fixed"/>
        <w:tblLook w:val="04A0" w:firstRow="1" w:lastRow="0" w:firstColumn="1" w:lastColumn="0" w:noHBand="0" w:noVBand="1"/>
        <w:tblCaption w:val="Oregon's Indicator C2 (Settings) Data table"/>
      </w:tblPr>
      <w:tblGrid>
        <w:gridCol w:w="1153"/>
        <w:gridCol w:w="1153"/>
        <w:gridCol w:w="1153"/>
        <w:gridCol w:w="1153"/>
        <w:gridCol w:w="1153"/>
        <w:gridCol w:w="1153"/>
        <w:gridCol w:w="1153"/>
        <w:gridCol w:w="1153"/>
      </w:tblGrid>
      <w:tr w:rsidR="00E73117" w:rsidRPr="0094193E" w14:paraId="2F3A2E9F" w14:textId="77777777" w:rsidTr="008F4C88">
        <w:trPr>
          <w:tblHeader/>
          <w:jc w:val="center"/>
        </w:trPr>
        <w:tc>
          <w:tcPr>
            <w:tcW w:w="1153" w:type="dxa"/>
            <w:shd w:val="clear" w:color="auto" w:fill="C5E0B3" w:themeFill="accent6" w:themeFillTint="66"/>
          </w:tcPr>
          <w:p w14:paraId="682274B8"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FFY</w:t>
            </w:r>
          </w:p>
        </w:tc>
        <w:tc>
          <w:tcPr>
            <w:tcW w:w="1153" w:type="dxa"/>
            <w:shd w:val="clear" w:color="auto" w:fill="C5E0B3" w:themeFill="accent6" w:themeFillTint="66"/>
          </w:tcPr>
          <w:p w14:paraId="0CE4B0FB"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2005</w:t>
            </w:r>
          </w:p>
        </w:tc>
        <w:tc>
          <w:tcPr>
            <w:tcW w:w="1153" w:type="dxa"/>
            <w:shd w:val="clear" w:color="auto" w:fill="C5E0B3" w:themeFill="accent6" w:themeFillTint="66"/>
          </w:tcPr>
          <w:p w14:paraId="3C664382"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2014</w:t>
            </w:r>
          </w:p>
        </w:tc>
        <w:tc>
          <w:tcPr>
            <w:tcW w:w="1153" w:type="dxa"/>
            <w:shd w:val="clear" w:color="auto" w:fill="C5E0B3" w:themeFill="accent6" w:themeFillTint="66"/>
          </w:tcPr>
          <w:p w14:paraId="3A38A027"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2015</w:t>
            </w:r>
          </w:p>
        </w:tc>
        <w:tc>
          <w:tcPr>
            <w:tcW w:w="1153" w:type="dxa"/>
            <w:shd w:val="clear" w:color="auto" w:fill="C5E0B3" w:themeFill="accent6" w:themeFillTint="66"/>
          </w:tcPr>
          <w:p w14:paraId="2964CE6A"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2016</w:t>
            </w:r>
          </w:p>
        </w:tc>
        <w:tc>
          <w:tcPr>
            <w:tcW w:w="1153" w:type="dxa"/>
            <w:shd w:val="clear" w:color="auto" w:fill="C5E0B3" w:themeFill="accent6" w:themeFillTint="66"/>
          </w:tcPr>
          <w:p w14:paraId="1B4F6E9C"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2017</w:t>
            </w:r>
          </w:p>
        </w:tc>
        <w:tc>
          <w:tcPr>
            <w:tcW w:w="1153" w:type="dxa"/>
            <w:shd w:val="clear" w:color="auto" w:fill="C5E0B3" w:themeFill="accent6" w:themeFillTint="66"/>
          </w:tcPr>
          <w:p w14:paraId="51530FB1"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b/>
                <w:bCs/>
                <w:sz w:val="21"/>
                <w:szCs w:val="21"/>
                <w:lang w:val="es-ES_tradnl"/>
              </w:rPr>
              <w:t>2018</w:t>
            </w:r>
          </w:p>
        </w:tc>
        <w:tc>
          <w:tcPr>
            <w:tcW w:w="1153" w:type="dxa"/>
            <w:shd w:val="clear" w:color="auto" w:fill="C5E0B3" w:themeFill="accent6" w:themeFillTint="66"/>
          </w:tcPr>
          <w:p w14:paraId="7A8DDBE7" w14:textId="77777777" w:rsidR="62BFE777" w:rsidRPr="0094193E" w:rsidRDefault="00A77EAA" w:rsidP="70074FB2">
            <w:pPr>
              <w:spacing w:line="259" w:lineRule="auto"/>
              <w:jc w:val="center"/>
              <w:rPr>
                <w:rFonts w:ascii="Calibri" w:eastAsia="Calibri" w:hAnsi="Calibri" w:cs="Calibri"/>
                <w:b/>
                <w:bCs/>
                <w:sz w:val="21"/>
                <w:szCs w:val="21"/>
              </w:rPr>
            </w:pPr>
            <w:r w:rsidRPr="0094193E">
              <w:rPr>
                <w:rFonts w:ascii="Calibri" w:eastAsia="Calibri" w:hAnsi="Calibri" w:cs="Calibri"/>
                <w:b/>
                <w:bCs/>
                <w:sz w:val="21"/>
                <w:szCs w:val="21"/>
                <w:lang w:val="es-ES_tradnl"/>
              </w:rPr>
              <w:t>2019</w:t>
            </w:r>
          </w:p>
        </w:tc>
      </w:tr>
      <w:tr w:rsidR="00E73117" w:rsidRPr="0094193E" w14:paraId="5C6EA41E" w14:textId="77777777" w:rsidTr="00DB0C81">
        <w:trPr>
          <w:jc w:val="center"/>
        </w:trPr>
        <w:tc>
          <w:tcPr>
            <w:tcW w:w="1153" w:type="dxa"/>
          </w:tcPr>
          <w:p w14:paraId="661B4D6C" w14:textId="77777777" w:rsidR="36ECD4A3" w:rsidRPr="0094193E" w:rsidRDefault="00A77EAA" w:rsidP="36ECD4A3">
            <w:pPr>
              <w:spacing w:line="259" w:lineRule="auto"/>
              <w:rPr>
                <w:rFonts w:ascii="Calibri" w:eastAsia="Calibri" w:hAnsi="Calibri" w:cs="Calibri"/>
                <w:sz w:val="21"/>
                <w:szCs w:val="21"/>
              </w:rPr>
            </w:pPr>
            <w:r w:rsidRPr="0094193E">
              <w:rPr>
                <w:rFonts w:ascii="Calibri" w:eastAsia="Calibri" w:hAnsi="Calibri" w:cs="Calibri"/>
                <w:sz w:val="21"/>
                <w:szCs w:val="21"/>
                <w:lang w:val="es-ES_tradnl"/>
              </w:rPr>
              <w:t>Objetivo ≤</w:t>
            </w:r>
          </w:p>
        </w:tc>
        <w:tc>
          <w:tcPr>
            <w:tcW w:w="1153" w:type="dxa"/>
          </w:tcPr>
          <w:p w14:paraId="407602E6" w14:textId="77777777" w:rsidR="36ECD4A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i/>
                <w:iCs/>
                <w:sz w:val="21"/>
                <w:szCs w:val="21"/>
                <w:lang w:val="es-ES_tradnl"/>
              </w:rPr>
              <w:t>Referencia</w:t>
            </w:r>
          </w:p>
        </w:tc>
        <w:tc>
          <w:tcPr>
            <w:tcW w:w="1153" w:type="dxa"/>
            <w:tcBorders>
              <w:top w:val="single" w:sz="6" w:space="0" w:color="auto"/>
              <w:left w:val="single" w:sz="6" w:space="0" w:color="auto"/>
              <w:bottom w:val="single" w:sz="6" w:space="0" w:color="auto"/>
              <w:right w:val="single" w:sz="6" w:space="0" w:color="auto"/>
            </w:tcBorders>
            <w:vAlign w:val="center"/>
          </w:tcPr>
          <w:p w14:paraId="0A5A0328" w14:textId="77777777" w:rsidR="313954DC"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3A37C197" w14:textId="77777777" w:rsidR="4CB564E3"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080A9035" w14:textId="77777777" w:rsidR="54A4483E"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184AE645" w14:textId="77777777" w:rsidR="54A4483E"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0C70B492" w14:textId="77777777" w:rsidR="54A4483E"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c>
          <w:tcPr>
            <w:tcW w:w="1153" w:type="dxa"/>
            <w:tcBorders>
              <w:top w:val="single" w:sz="6" w:space="0" w:color="auto"/>
              <w:left w:val="single" w:sz="6" w:space="0" w:color="auto"/>
              <w:bottom w:val="single" w:sz="6" w:space="0" w:color="auto"/>
              <w:right w:val="single" w:sz="6" w:space="0" w:color="auto"/>
            </w:tcBorders>
            <w:vAlign w:val="center"/>
          </w:tcPr>
          <w:p w14:paraId="5ACBEDCC" w14:textId="77777777" w:rsidR="5E7DD4CA" w:rsidRPr="0094193E" w:rsidRDefault="00A77EAA" w:rsidP="70074FB2">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96.50%</w:t>
            </w:r>
          </w:p>
        </w:tc>
      </w:tr>
      <w:tr w:rsidR="00E73117" w:rsidRPr="0094193E" w14:paraId="3BE2CD19" w14:textId="77777777" w:rsidTr="00DB0C81">
        <w:trPr>
          <w:jc w:val="center"/>
        </w:trPr>
        <w:tc>
          <w:tcPr>
            <w:tcW w:w="1153" w:type="dxa"/>
          </w:tcPr>
          <w:p w14:paraId="1B9AFA27" w14:textId="77777777" w:rsidR="36ECD4A3" w:rsidRPr="0094193E" w:rsidRDefault="00A77EAA" w:rsidP="36ECD4A3">
            <w:pPr>
              <w:spacing w:line="259" w:lineRule="auto"/>
              <w:rPr>
                <w:rFonts w:ascii="Calibri" w:eastAsia="Calibri" w:hAnsi="Calibri" w:cs="Calibri"/>
                <w:sz w:val="21"/>
                <w:szCs w:val="21"/>
              </w:rPr>
            </w:pPr>
            <w:r w:rsidRPr="0094193E">
              <w:rPr>
                <w:rFonts w:ascii="Calibri" w:eastAsia="Calibri" w:hAnsi="Calibri" w:cs="Calibri"/>
                <w:sz w:val="21"/>
                <w:szCs w:val="21"/>
                <w:lang w:val="es-ES_tradnl"/>
              </w:rPr>
              <w:t>Datos</w:t>
            </w:r>
          </w:p>
        </w:tc>
        <w:tc>
          <w:tcPr>
            <w:tcW w:w="1153" w:type="dxa"/>
          </w:tcPr>
          <w:p w14:paraId="237B692F" w14:textId="77777777" w:rsidR="53C6B6EA"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81.00%</w:t>
            </w:r>
          </w:p>
        </w:tc>
        <w:tc>
          <w:tcPr>
            <w:tcW w:w="1153" w:type="dxa"/>
            <w:tcBorders>
              <w:top w:val="single" w:sz="6" w:space="0" w:color="auto"/>
              <w:left w:val="single" w:sz="6" w:space="0" w:color="auto"/>
              <w:bottom w:val="single" w:sz="6" w:space="0" w:color="auto"/>
              <w:right w:val="single" w:sz="6" w:space="0" w:color="auto"/>
            </w:tcBorders>
            <w:vAlign w:val="center"/>
          </w:tcPr>
          <w:p w14:paraId="507F00B2" w14:textId="77777777" w:rsidR="03FD0E27"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96.43%</w:t>
            </w:r>
          </w:p>
        </w:tc>
        <w:tc>
          <w:tcPr>
            <w:tcW w:w="1153" w:type="dxa"/>
            <w:tcBorders>
              <w:top w:val="single" w:sz="6" w:space="0" w:color="auto"/>
              <w:left w:val="single" w:sz="6" w:space="0" w:color="auto"/>
              <w:bottom w:val="single" w:sz="6" w:space="0" w:color="auto"/>
              <w:right w:val="single" w:sz="6" w:space="0" w:color="auto"/>
            </w:tcBorders>
            <w:vAlign w:val="center"/>
          </w:tcPr>
          <w:p w14:paraId="334A9796" w14:textId="77777777" w:rsidR="724CDB0E"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97.54%</w:t>
            </w:r>
          </w:p>
        </w:tc>
        <w:tc>
          <w:tcPr>
            <w:tcW w:w="1153" w:type="dxa"/>
            <w:tcBorders>
              <w:top w:val="single" w:sz="6" w:space="0" w:color="auto"/>
              <w:left w:val="single" w:sz="6" w:space="0" w:color="auto"/>
              <w:bottom w:val="single" w:sz="6" w:space="0" w:color="auto"/>
              <w:right w:val="single" w:sz="6" w:space="0" w:color="auto"/>
            </w:tcBorders>
            <w:vAlign w:val="center"/>
          </w:tcPr>
          <w:p w14:paraId="4FA6370C" w14:textId="77777777" w:rsidR="04A22F58"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97.01%</w:t>
            </w:r>
          </w:p>
        </w:tc>
        <w:tc>
          <w:tcPr>
            <w:tcW w:w="1153" w:type="dxa"/>
            <w:tcBorders>
              <w:top w:val="single" w:sz="6" w:space="0" w:color="auto"/>
              <w:left w:val="single" w:sz="6" w:space="0" w:color="auto"/>
              <w:bottom w:val="single" w:sz="6" w:space="0" w:color="auto"/>
              <w:right w:val="single" w:sz="6" w:space="0" w:color="auto"/>
            </w:tcBorders>
            <w:vAlign w:val="center"/>
          </w:tcPr>
          <w:p w14:paraId="369AB43B" w14:textId="77777777" w:rsidR="4F1F80E2"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98.15%</w:t>
            </w:r>
          </w:p>
        </w:tc>
        <w:tc>
          <w:tcPr>
            <w:tcW w:w="1153" w:type="dxa"/>
            <w:tcBorders>
              <w:top w:val="single" w:sz="6" w:space="0" w:color="auto"/>
              <w:left w:val="single" w:sz="6" w:space="0" w:color="auto"/>
              <w:bottom w:val="single" w:sz="6" w:space="0" w:color="auto"/>
              <w:right w:val="single" w:sz="6" w:space="0" w:color="auto"/>
            </w:tcBorders>
            <w:vAlign w:val="center"/>
          </w:tcPr>
          <w:p w14:paraId="68011259" w14:textId="77777777" w:rsidR="4F1F80E2" w:rsidRPr="0094193E" w:rsidRDefault="00A77EAA" w:rsidP="36ECD4A3">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98.47%</w:t>
            </w:r>
          </w:p>
        </w:tc>
        <w:tc>
          <w:tcPr>
            <w:tcW w:w="1153" w:type="dxa"/>
            <w:tcBorders>
              <w:top w:val="single" w:sz="6" w:space="0" w:color="auto"/>
              <w:left w:val="single" w:sz="6" w:space="0" w:color="auto"/>
              <w:bottom w:val="single" w:sz="6" w:space="0" w:color="auto"/>
              <w:right w:val="single" w:sz="6" w:space="0" w:color="auto"/>
            </w:tcBorders>
            <w:vAlign w:val="center"/>
          </w:tcPr>
          <w:p w14:paraId="0C29D526" w14:textId="77777777" w:rsidR="4B807AAE" w:rsidRPr="0094193E" w:rsidRDefault="00A77EAA" w:rsidP="70074FB2">
            <w:pPr>
              <w:spacing w:line="259" w:lineRule="auto"/>
              <w:jc w:val="center"/>
              <w:rPr>
                <w:rFonts w:ascii="Calibri" w:eastAsia="Calibri" w:hAnsi="Calibri" w:cs="Calibri"/>
                <w:sz w:val="21"/>
                <w:szCs w:val="21"/>
              </w:rPr>
            </w:pPr>
            <w:r w:rsidRPr="0094193E">
              <w:rPr>
                <w:rFonts w:ascii="Calibri" w:eastAsia="Calibri" w:hAnsi="Calibri" w:cs="Calibri"/>
                <w:sz w:val="21"/>
                <w:szCs w:val="21"/>
                <w:lang w:val="es-ES_tradnl"/>
              </w:rPr>
              <w:t>98.66%</w:t>
            </w:r>
          </w:p>
        </w:tc>
      </w:tr>
    </w:tbl>
    <w:p w14:paraId="06E31E10" w14:textId="77777777" w:rsidR="00DB37A5" w:rsidRPr="0094193E" w:rsidRDefault="00A77EAA" w:rsidP="00DB0C81">
      <w:pPr>
        <w:pStyle w:val="Heading1"/>
        <w:rPr>
          <w:rFonts w:asciiTheme="minorHAnsi" w:hAnsiTheme="minorHAnsi" w:cstheme="minorBidi"/>
          <w:b/>
          <w:bCs/>
          <w:color w:val="1B75BC"/>
          <w:sz w:val="28"/>
          <w:szCs w:val="28"/>
        </w:rPr>
      </w:pPr>
      <w:r w:rsidRPr="0094193E">
        <w:rPr>
          <w:rFonts w:ascii="Calibri" w:eastAsia="Calibri" w:hAnsi="Calibri" w:cs="Times New Roman"/>
          <w:b/>
          <w:bCs/>
          <w:color w:val="1B75BC"/>
          <w:sz w:val="28"/>
          <w:szCs w:val="28"/>
          <w:lang w:val="es-ES_tradnl"/>
        </w:rPr>
        <w:t>¿Cuáles son los nuevos objetivos?</w:t>
      </w:r>
    </w:p>
    <w:p w14:paraId="52050774" w14:textId="77777777" w:rsidR="00963CE4" w:rsidRPr="0094193E" w:rsidRDefault="00A77EAA" w:rsidP="52E6986F">
      <w:pPr>
        <w:spacing w:after="0"/>
        <w:rPr>
          <w:rFonts w:ascii="Calibri" w:eastAsia="Calibri" w:hAnsi="Calibri" w:cs="Calibri"/>
          <w:color w:val="000000" w:themeColor="text1"/>
          <w:sz w:val="21"/>
          <w:szCs w:val="21"/>
        </w:rPr>
      </w:pPr>
      <w:r w:rsidRPr="0094193E">
        <w:rPr>
          <w:rFonts w:ascii="Calibri" w:eastAsia="Calibri" w:hAnsi="Calibri" w:cs="Calibri"/>
          <w:color w:val="000000"/>
          <w:sz w:val="21"/>
          <w:szCs w:val="21"/>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25FBDD76" w14:textId="77777777" w:rsidR="00963CE4" w:rsidRPr="0094193E" w:rsidRDefault="00A77EAA" w:rsidP="483BD4A7">
      <w:pPr>
        <w:pStyle w:val="ListParagraph"/>
        <w:numPr>
          <w:ilvl w:val="0"/>
          <w:numId w:val="2"/>
        </w:numPr>
        <w:rPr>
          <w:rFonts w:eastAsiaTheme="minorEastAsia"/>
          <w:color w:val="000000" w:themeColor="text1"/>
          <w:sz w:val="21"/>
          <w:szCs w:val="21"/>
        </w:rPr>
      </w:pPr>
      <w:r w:rsidRPr="0094193E">
        <w:rPr>
          <w:rFonts w:ascii="Calibri" w:eastAsia="Calibri" w:hAnsi="Calibri" w:cs="Calibri"/>
          <w:color w:val="000000"/>
          <w:sz w:val="21"/>
          <w:szCs w:val="21"/>
          <w:lang w:val="es-ES_tradnl"/>
        </w:rPr>
        <w:t>Los objetivos están pensados para apoyar la mejora de los resultados y las consecuencias para los niños y las familias.  Deben estar al alcance de la mano pero seguir mostrando crecimiento.  </w:t>
      </w:r>
    </w:p>
    <w:p w14:paraId="4A6BB60F" w14:textId="77777777" w:rsidR="00963CE4" w:rsidRPr="0094193E" w:rsidRDefault="00A77EAA" w:rsidP="483BD4A7">
      <w:pPr>
        <w:pStyle w:val="ListParagraph"/>
        <w:numPr>
          <w:ilvl w:val="0"/>
          <w:numId w:val="2"/>
        </w:numPr>
        <w:rPr>
          <w:rFonts w:eastAsiaTheme="minorEastAsia"/>
          <w:color w:val="000000" w:themeColor="text1"/>
          <w:sz w:val="21"/>
          <w:szCs w:val="21"/>
        </w:rPr>
      </w:pPr>
      <w:r w:rsidRPr="0094193E">
        <w:rPr>
          <w:rFonts w:ascii="Calibri" w:eastAsia="Calibri" w:hAnsi="Calibri" w:cs="Calibri"/>
          <w:color w:val="000000"/>
          <w:sz w:val="21"/>
          <w:szCs w:val="21"/>
          <w:lang w:val="es-ES_tradnl"/>
        </w:rPr>
        <w:t>El cambio requiere tiempo. Los objetivos pueden crearse teniendo en cuenta esta idea.  Por ejemplo, los objetivos pueden permanecer iguales durante varios años seguidos y luego mejorar ligeramente durante el último año objetivo (FFY 2025).  O mostrar una ligera mejora cada año.</w:t>
      </w:r>
    </w:p>
    <w:p w14:paraId="21342E26" w14:textId="77777777" w:rsidR="00963CE4" w:rsidRPr="0094193E" w:rsidRDefault="00A77EAA" w:rsidP="483BD4A7">
      <w:pPr>
        <w:pStyle w:val="ListParagraph"/>
        <w:numPr>
          <w:ilvl w:val="0"/>
          <w:numId w:val="2"/>
        </w:numPr>
        <w:rPr>
          <w:rFonts w:eastAsiaTheme="minorEastAsia"/>
          <w:color w:val="000000" w:themeColor="text1"/>
          <w:sz w:val="21"/>
          <w:szCs w:val="21"/>
        </w:rPr>
      </w:pPr>
      <w:r w:rsidRPr="0094193E">
        <w:rPr>
          <w:rFonts w:ascii="Calibri" w:eastAsia="Calibri" w:hAnsi="Calibri" w:cs="Calibri"/>
          <w:color w:val="000000"/>
          <w:sz w:val="21"/>
          <w:szCs w:val="21"/>
          <w:lang w:val="es-ES_tradnl"/>
        </w:rPr>
        <w:t xml:space="preserve">El objetivo de este indicador es alcanzar o superar el objetivo. </w:t>
      </w:r>
    </w:p>
    <w:p w14:paraId="69DB3355" w14:textId="77777777" w:rsidR="002A100A" w:rsidRPr="0094193E" w:rsidRDefault="00A77EAA" w:rsidP="52E6986F">
      <w:pPr>
        <w:spacing w:after="0"/>
        <w:rPr>
          <w:b/>
          <w:bCs/>
          <w:color w:val="408740"/>
        </w:rPr>
      </w:pPr>
      <w:r w:rsidRPr="0094193E">
        <w:rPr>
          <w:rFonts w:ascii="Calibri" w:eastAsia="Calibri" w:hAnsi="Calibri" w:cs="Times New Roman"/>
          <w:b/>
          <w:bCs/>
          <w:color w:val="408740"/>
          <w:lang w:val="es-ES_tradnl"/>
        </w:rPr>
        <w:t>Ejemplo A</w:t>
      </w:r>
    </w:p>
    <w:tbl>
      <w:tblPr>
        <w:tblStyle w:val="TableGrid"/>
        <w:tblW w:w="9927" w:type="dxa"/>
        <w:tblLook w:val="04A0" w:firstRow="1" w:lastRow="0" w:firstColumn="1" w:lastColumn="0" w:noHBand="0" w:noVBand="1"/>
        <w:tblCaption w:val="Ejemplo A"/>
      </w:tblPr>
      <w:tblGrid>
        <w:gridCol w:w="2224"/>
        <w:gridCol w:w="1284"/>
        <w:gridCol w:w="1284"/>
        <w:gridCol w:w="1283"/>
        <w:gridCol w:w="1284"/>
        <w:gridCol w:w="1284"/>
        <w:gridCol w:w="1284"/>
      </w:tblGrid>
      <w:tr w:rsidR="00E73117" w:rsidRPr="0094193E" w14:paraId="205FD1D0" w14:textId="77777777" w:rsidTr="008F4C88">
        <w:trPr>
          <w:tblHeader/>
        </w:trPr>
        <w:tc>
          <w:tcPr>
            <w:tcW w:w="2224" w:type="dxa"/>
            <w:shd w:val="clear" w:color="auto" w:fill="ACB9CA" w:themeFill="text2" w:themeFillTint="66"/>
          </w:tcPr>
          <w:p w14:paraId="194D2151"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FFY</w:t>
            </w:r>
          </w:p>
        </w:tc>
        <w:tc>
          <w:tcPr>
            <w:tcW w:w="1284" w:type="dxa"/>
            <w:shd w:val="clear" w:color="auto" w:fill="ACB9CA" w:themeFill="text2" w:themeFillTint="66"/>
          </w:tcPr>
          <w:p w14:paraId="3F03E74F"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2020</w:t>
            </w:r>
          </w:p>
        </w:tc>
        <w:tc>
          <w:tcPr>
            <w:tcW w:w="1284" w:type="dxa"/>
            <w:shd w:val="clear" w:color="auto" w:fill="ACB9CA" w:themeFill="text2" w:themeFillTint="66"/>
          </w:tcPr>
          <w:p w14:paraId="13CD9519"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2021</w:t>
            </w:r>
          </w:p>
        </w:tc>
        <w:tc>
          <w:tcPr>
            <w:tcW w:w="1283" w:type="dxa"/>
            <w:shd w:val="clear" w:color="auto" w:fill="ACB9CA" w:themeFill="text2" w:themeFillTint="66"/>
          </w:tcPr>
          <w:p w14:paraId="50DD99ED"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2022</w:t>
            </w:r>
          </w:p>
        </w:tc>
        <w:tc>
          <w:tcPr>
            <w:tcW w:w="1284" w:type="dxa"/>
            <w:shd w:val="clear" w:color="auto" w:fill="ACB9CA" w:themeFill="text2" w:themeFillTint="66"/>
          </w:tcPr>
          <w:p w14:paraId="6066FBA0"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2023</w:t>
            </w:r>
          </w:p>
        </w:tc>
        <w:tc>
          <w:tcPr>
            <w:tcW w:w="1284" w:type="dxa"/>
            <w:shd w:val="clear" w:color="auto" w:fill="ACB9CA" w:themeFill="text2" w:themeFillTint="66"/>
          </w:tcPr>
          <w:p w14:paraId="69D023DB" w14:textId="77777777" w:rsidR="00B87EF5" w:rsidRPr="0094193E" w:rsidRDefault="00A77EAA" w:rsidP="00D07BE4">
            <w:pPr>
              <w:jc w:val="center"/>
              <w:rPr>
                <w:b/>
                <w:sz w:val="21"/>
                <w:szCs w:val="21"/>
              </w:rPr>
            </w:pPr>
            <w:r w:rsidRPr="0094193E">
              <w:rPr>
                <w:rFonts w:ascii="Calibri" w:eastAsia="Calibri" w:hAnsi="Calibri" w:cs="Times New Roman"/>
                <w:b/>
                <w:bCs/>
                <w:sz w:val="21"/>
                <w:szCs w:val="21"/>
                <w:lang w:val="es-ES_tradnl"/>
              </w:rPr>
              <w:t>2024</w:t>
            </w:r>
          </w:p>
        </w:tc>
        <w:tc>
          <w:tcPr>
            <w:tcW w:w="1284" w:type="dxa"/>
            <w:shd w:val="clear" w:color="auto" w:fill="ACB9CA" w:themeFill="text2" w:themeFillTint="66"/>
          </w:tcPr>
          <w:p w14:paraId="70FC76A0" w14:textId="77777777" w:rsidR="528B74A3" w:rsidRPr="0094193E" w:rsidRDefault="00A77EAA" w:rsidP="70074FB2">
            <w:pPr>
              <w:jc w:val="center"/>
              <w:rPr>
                <w:b/>
                <w:bCs/>
                <w:sz w:val="21"/>
                <w:szCs w:val="21"/>
              </w:rPr>
            </w:pPr>
            <w:r w:rsidRPr="0094193E">
              <w:rPr>
                <w:rFonts w:ascii="Calibri" w:eastAsia="Calibri" w:hAnsi="Calibri" w:cs="Times New Roman"/>
                <w:b/>
                <w:bCs/>
                <w:sz w:val="21"/>
                <w:szCs w:val="21"/>
                <w:lang w:val="es-ES_tradnl"/>
              </w:rPr>
              <w:t>2025</w:t>
            </w:r>
          </w:p>
        </w:tc>
      </w:tr>
      <w:tr w:rsidR="00E73117" w:rsidRPr="0094193E" w14:paraId="30C3E29B" w14:textId="77777777" w:rsidTr="43E910BC">
        <w:tc>
          <w:tcPr>
            <w:tcW w:w="2224" w:type="dxa"/>
          </w:tcPr>
          <w:p w14:paraId="1700CB71" w14:textId="77777777" w:rsidR="002A100A" w:rsidRPr="0094193E" w:rsidRDefault="00A77EAA" w:rsidP="00C06C4E">
            <w:pPr>
              <w:rPr>
                <w:sz w:val="21"/>
                <w:szCs w:val="21"/>
              </w:rPr>
            </w:pPr>
            <w:r w:rsidRPr="0094193E">
              <w:rPr>
                <w:rFonts w:ascii="Calibri" w:eastAsia="Calibri" w:hAnsi="Calibri" w:cs="Times New Roman"/>
                <w:sz w:val="21"/>
                <w:szCs w:val="21"/>
                <w:lang w:val="es-ES_tradnl"/>
              </w:rPr>
              <w:t xml:space="preserve">Objetivos </w:t>
            </w:r>
            <w:r w:rsidRPr="0094193E">
              <w:rPr>
                <w:rFonts w:ascii="Calibri" w:eastAsia="Calibri" w:hAnsi="Calibri" w:cs="Calibri"/>
                <w:sz w:val="21"/>
                <w:szCs w:val="21"/>
                <w:lang w:val="es-ES_tradnl"/>
              </w:rPr>
              <w:t>≥</w:t>
            </w:r>
          </w:p>
        </w:tc>
        <w:tc>
          <w:tcPr>
            <w:tcW w:w="1284" w:type="dxa"/>
          </w:tcPr>
          <w:p w14:paraId="14896E58" w14:textId="77777777" w:rsidR="002A100A" w:rsidRPr="0094193E" w:rsidRDefault="00A77EAA" w:rsidP="00D07BE4">
            <w:pPr>
              <w:jc w:val="center"/>
              <w:rPr>
                <w:sz w:val="21"/>
                <w:szCs w:val="21"/>
              </w:rPr>
            </w:pPr>
            <w:r w:rsidRPr="0094193E">
              <w:rPr>
                <w:rFonts w:ascii="Calibri" w:eastAsia="Calibri" w:hAnsi="Calibri" w:cs="Times New Roman"/>
                <w:sz w:val="21"/>
                <w:szCs w:val="21"/>
                <w:lang w:val="es-ES_tradnl"/>
              </w:rPr>
              <w:t>96.5%</w:t>
            </w:r>
          </w:p>
        </w:tc>
        <w:tc>
          <w:tcPr>
            <w:tcW w:w="1284" w:type="dxa"/>
          </w:tcPr>
          <w:p w14:paraId="775AD399" w14:textId="77777777" w:rsidR="002A100A" w:rsidRPr="0094193E" w:rsidRDefault="00A77EAA" w:rsidP="00D07BE4">
            <w:pPr>
              <w:jc w:val="center"/>
              <w:rPr>
                <w:sz w:val="21"/>
                <w:szCs w:val="21"/>
              </w:rPr>
            </w:pPr>
            <w:r w:rsidRPr="0094193E">
              <w:rPr>
                <w:rFonts w:ascii="Calibri" w:eastAsia="Calibri" w:hAnsi="Calibri" w:cs="Times New Roman"/>
                <w:sz w:val="21"/>
                <w:szCs w:val="21"/>
                <w:lang w:val="es-ES_tradnl"/>
              </w:rPr>
              <w:t>96.5%</w:t>
            </w:r>
          </w:p>
        </w:tc>
        <w:tc>
          <w:tcPr>
            <w:tcW w:w="1283" w:type="dxa"/>
          </w:tcPr>
          <w:p w14:paraId="7274862C" w14:textId="77777777" w:rsidR="002A100A" w:rsidRPr="0094193E" w:rsidRDefault="00A77EAA" w:rsidP="00D07BE4">
            <w:pPr>
              <w:jc w:val="center"/>
              <w:rPr>
                <w:sz w:val="21"/>
                <w:szCs w:val="21"/>
              </w:rPr>
            </w:pPr>
            <w:r w:rsidRPr="0094193E">
              <w:rPr>
                <w:rFonts w:ascii="Calibri" w:eastAsia="Calibri" w:hAnsi="Calibri" w:cs="Times New Roman"/>
                <w:sz w:val="21"/>
                <w:szCs w:val="21"/>
                <w:lang w:val="es-ES_tradnl"/>
              </w:rPr>
              <w:t>96.5%</w:t>
            </w:r>
          </w:p>
        </w:tc>
        <w:tc>
          <w:tcPr>
            <w:tcW w:w="1284" w:type="dxa"/>
          </w:tcPr>
          <w:p w14:paraId="7B4C2DE8" w14:textId="77777777" w:rsidR="002A100A" w:rsidRPr="0094193E" w:rsidRDefault="00A77EAA" w:rsidP="00D07BE4">
            <w:pPr>
              <w:jc w:val="center"/>
              <w:rPr>
                <w:sz w:val="21"/>
                <w:szCs w:val="21"/>
              </w:rPr>
            </w:pPr>
            <w:r w:rsidRPr="0094193E">
              <w:rPr>
                <w:rFonts w:ascii="Calibri" w:eastAsia="Calibri" w:hAnsi="Calibri" w:cs="Times New Roman"/>
                <w:sz w:val="21"/>
                <w:szCs w:val="21"/>
                <w:lang w:val="es-ES_tradnl"/>
              </w:rPr>
              <w:t>96.5%</w:t>
            </w:r>
          </w:p>
        </w:tc>
        <w:tc>
          <w:tcPr>
            <w:tcW w:w="1284" w:type="dxa"/>
          </w:tcPr>
          <w:p w14:paraId="348A1B16" w14:textId="77777777" w:rsidR="002A100A" w:rsidRPr="0094193E" w:rsidRDefault="00A77EAA" w:rsidP="00D07BE4">
            <w:pPr>
              <w:jc w:val="center"/>
              <w:rPr>
                <w:sz w:val="21"/>
                <w:szCs w:val="21"/>
              </w:rPr>
            </w:pPr>
            <w:r w:rsidRPr="0094193E">
              <w:rPr>
                <w:rFonts w:ascii="Calibri" w:eastAsia="Calibri" w:hAnsi="Calibri" w:cs="Times New Roman"/>
                <w:sz w:val="21"/>
                <w:szCs w:val="21"/>
                <w:lang w:val="es-ES_tradnl"/>
              </w:rPr>
              <w:t>96.5%</w:t>
            </w:r>
          </w:p>
        </w:tc>
        <w:tc>
          <w:tcPr>
            <w:tcW w:w="1284" w:type="dxa"/>
          </w:tcPr>
          <w:p w14:paraId="313DF3EF" w14:textId="77777777" w:rsidR="70074FB2" w:rsidRPr="0094193E" w:rsidRDefault="00A77EAA" w:rsidP="70074FB2">
            <w:pPr>
              <w:jc w:val="center"/>
              <w:rPr>
                <w:sz w:val="21"/>
                <w:szCs w:val="21"/>
              </w:rPr>
            </w:pPr>
            <w:r w:rsidRPr="0094193E">
              <w:rPr>
                <w:rFonts w:ascii="Calibri" w:eastAsia="Calibri" w:hAnsi="Calibri" w:cs="Times New Roman"/>
                <w:sz w:val="21"/>
                <w:szCs w:val="21"/>
                <w:lang w:val="es-ES_tradnl"/>
              </w:rPr>
              <w:t>96.5%</w:t>
            </w:r>
          </w:p>
        </w:tc>
      </w:tr>
    </w:tbl>
    <w:p w14:paraId="65D9126C" w14:textId="77777777" w:rsidR="00C53B82" w:rsidRPr="0094193E" w:rsidRDefault="00A77EAA" w:rsidP="00770DA0">
      <w:pPr>
        <w:rPr>
          <w:sz w:val="21"/>
          <w:szCs w:val="21"/>
        </w:rPr>
      </w:pPr>
      <w:r w:rsidRPr="0094193E">
        <w:rPr>
          <w:rFonts w:ascii="Calibri" w:eastAsia="Calibri" w:hAnsi="Calibri" w:cs="Times New Roman"/>
          <w:sz w:val="21"/>
          <w:szCs w:val="21"/>
          <w:lang w:val="es-ES_tradnl"/>
        </w:rPr>
        <w:t xml:space="preserve">La opción A mantiene los objetivos anteriores del ciclo 2014-2019 del SPP. </w:t>
      </w:r>
    </w:p>
    <w:p w14:paraId="53A4A954" w14:textId="77777777" w:rsidR="002A100A" w:rsidRPr="0094193E" w:rsidRDefault="00A77EAA" w:rsidP="52E6986F">
      <w:pPr>
        <w:spacing w:after="0"/>
        <w:rPr>
          <w:b/>
          <w:bCs/>
          <w:color w:val="408740"/>
        </w:rPr>
      </w:pPr>
      <w:r w:rsidRPr="0094193E">
        <w:rPr>
          <w:rFonts w:ascii="Calibri" w:eastAsia="Calibri" w:hAnsi="Calibri" w:cs="Times New Roman"/>
          <w:b/>
          <w:bCs/>
          <w:color w:val="408740"/>
          <w:lang w:val="es-ES_tradnl"/>
        </w:rPr>
        <w:t>Ejemplo B</w:t>
      </w:r>
    </w:p>
    <w:tbl>
      <w:tblPr>
        <w:tblStyle w:val="TableGrid"/>
        <w:tblW w:w="9927" w:type="dxa"/>
        <w:tblLook w:val="04A0" w:firstRow="1" w:lastRow="0" w:firstColumn="1" w:lastColumn="0" w:noHBand="0" w:noVBand="1"/>
        <w:tblCaption w:val="Ejemplo B"/>
      </w:tblPr>
      <w:tblGrid>
        <w:gridCol w:w="2224"/>
        <w:gridCol w:w="1284"/>
        <w:gridCol w:w="1284"/>
        <w:gridCol w:w="1283"/>
        <w:gridCol w:w="1284"/>
        <w:gridCol w:w="1284"/>
        <w:gridCol w:w="1284"/>
      </w:tblGrid>
      <w:tr w:rsidR="00E73117" w:rsidRPr="0094193E" w14:paraId="2E6A0BA0" w14:textId="77777777" w:rsidTr="008F4C88">
        <w:trPr>
          <w:tblHeader/>
        </w:trPr>
        <w:tc>
          <w:tcPr>
            <w:tcW w:w="2224" w:type="dxa"/>
            <w:shd w:val="clear" w:color="auto" w:fill="BDD6EE" w:themeFill="accent5" w:themeFillTint="66"/>
          </w:tcPr>
          <w:p w14:paraId="6F00CB29" w14:textId="77777777" w:rsidR="0027587A" w:rsidRPr="0094193E" w:rsidRDefault="00A77EAA" w:rsidP="00E04F8F">
            <w:pPr>
              <w:jc w:val="center"/>
              <w:rPr>
                <w:b/>
                <w:sz w:val="21"/>
                <w:szCs w:val="21"/>
              </w:rPr>
            </w:pPr>
            <w:bookmarkStart w:id="0" w:name="_GoBack" w:colFirst="0" w:colLast="7"/>
            <w:r w:rsidRPr="0094193E">
              <w:rPr>
                <w:rFonts w:ascii="Calibri" w:eastAsia="Calibri" w:hAnsi="Calibri" w:cs="Times New Roman"/>
                <w:b/>
                <w:bCs/>
                <w:sz w:val="21"/>
                <w:szCs w:val="21"/>
                <w:lang w:val="es-ES_tradnl"/>
              </w:rPr>
              <w:t>FFY</w:t>
            </w:r>
          </w:p>
        </w:tc>
        <w:tc>
          <w:tcPr>
            <w:tcW w:w="1284" w:type="dxa"/>
            <w:shd w:val="clear" w:color="auto" w:fill="BDD6EE" w:themeFill="accent5" w:themeFillTint="66"/>
          </w:tcPr>
          <w:p w14:paraId="0C7EE752" w14:textId="77777777" w:rsidR="0027587A" w:rsidRPr="0094193E" w:rsidRDefault="00A77EAA" w:rsidP="00E04F8F">
            <w:pPr>
              <w:jc w:val="center"/>
              <w:rPr>
                <w:b/>
                <w:sz w:val="21"/>
                <w:szCs w:val="21"/>
              </w:rPr>
            </w:pPr>
            <w:r w:rsidRPr="0094193E">
              <w:rPr>
                <w:rFonts w:ascii="Calibri" w:eastAsia="Calibri" w:hAnsi="Calibri" w:cs="Times New Roman"/>
                <w:b/>
                <w:bCs/>
                <w:sz w:val="21"/>
                <w:szCs w:val="21"/>
                <w:lang w:val="es-ES_tradnl"/>
              </w:rPr>
              <w:t>2020</w:t>
            </w:r>
          </w:p>
        </w:tc>
        <w:tc>
          <w:tcPr>
            <w:tcW w:w="1284" w:type="dxa"/>
            <w:shd w:val="clear" w:color="auto" w:fill="BDD6EE" w:themeFill="accent5" w:themeFillTint="66"/>
          </w:tcPr>
          <w:p w14:paraId="7B7CFF57" w14:textId="77777777" w:rsidR="0027587A" w:rsidRPr="0094193E" w:rsidRDefault="00A77EAA" w:rsidP="00E04F8F">
            <w:pPr>
              <w:jc w:val="center"/>
              <w:rPr>
                <w:b/>
                <w:sz w:val="21"/>
                <w:szCs w:val="21"/>
              </w:rPr>
            </w:pPr>
            <w:r w:rsidRPr="0094193E">
              <w:rPr>
                <w:rFonts w:ascii="Calibri" w:eastAsia="Calibri" w:hAnsi="Calibri" w:cs="Times New Roman"/>
                <w:b/>
                <w:bCs/>
                <w:sz w:val="21"/>
                <w:szCs w:val="21"/>
                <w:lang w:val="es-ES_tradnl"/>
              </w:rPr>
              <w:t>2021</w:t>
            </w:r>
          </w:p>
        </w:tc>
        <w:tc>
          <w:tcPr>
            <w:tcW w:w="1283" w:type="dxa"/>
            <w:shd w:val="clear" w:color="auto" w:fill="BDD6EE" w:themeFill="accent5" w:themeFillTint="66"/>
          </w:tcPr>
          <w:p w14:paraId="055CA28C" w14:textId="77777777" w:rsidR="0027587A" w:rsidRPr="0094193E" w:rsidRDefault="00A77EAA" w:rsidP="00E04F8F">
            <w:pPr>
              <w:jc w:val="center"/>
              <w:rPr>
                <w:b/>
                <w:sz w:val="21"/>
                <w:szCs w:val="21"/>
              </w:rPr>
            </w:pPr>
            <w:r w:rsidRPr="0094193E">
              <w:rPr>
                <w:rFonts w:ascii="Calibri" w:eastAsia="Calibri" w:hAnsi="Calibri" w:cs="Times New Roman"/>
                <w:b/>
                <w:bCs/>
                <w:sz w:val="21"/>
                <w:szCs w:val="21"/>
                <w:lang w:val="es-ES_tradnl"/>
              </w:rPr>
              <w:t>2022</w:t>
            </w:r>
          </w:p>
        </w:tc>
        <w:tc>
          <w:tcPr>
            <w:tcW w:w="1284" w:type="dxa"/>
            <w:shd w:val="clear" w:color="auto" w:fill="BDD6EE" w:themeFill="accent5" w:themeFillTint="66"/>
          </w:tcPr>
          <w:p w14:paraId="4DD484BD" w14:textId="77777777" w:rsidR="0027587A" w:rsidRPr="0094193E" w:rsidRDefault="00A77EAA" w:rsidP="00E04F8F">
            <w:pPr>
              <w:jc w:val="center"/>
              <w:rPr>
                <w:b/>
                <w:sz w:val="21"/>
                <w:szCs w:val="21"/>
              </w:rPr>
            </w:pPr>
            <w:r w:rsidRPr="0094193E">
              <w:rPr>
                <w:rFonts w:ascii="Calibri" w:eastAsia="Calibri" w:hAnsi="Calibri" w:cs="Times New Roman"/>
                <w:b/>
                <w:bCs/>
                <w:sz w:val="21"/>
                <w:szCs w:val="21"/>
                <w:lang w:val="es-ES_tradnl"/>
              </w:rPr>
              <w:t>2023</w:t>
            </w:r>
          </w:p>
        </w:tc>
        <w:tc>
          <w:tcPr>
            <w:tcW w:w="1284" w:type="dxa"/>
            <w:shd w:val="clear" w:color="auto" w:fill="BDD6EE" w:themeFill="accent5" w:themeFillTint="66"/>
          </w:tcPr>
          <w:p w14:paraId="6CF5231F" w14:textId="77777777" w:rsidR="0027587A" w:rsidRPr="0094193E" w:rsidRDefault="00A77EAA" w:rsidP="00E04F8F">
            <w:pPr>
              <w:jc w:val="center"/>
              <w:rPr>
                <w:b/>
                <w:sz w:val="21"/>
                <w:szCs w:val="21"/>
              </w:rPr>
            </w:pPr>
            <w:r w:rsidRPr="0094193E">
              <w:rPr>
                <w:rFonts w:ascii="Calibri" w:eastAsia="Calibri" w:hAnsi="Calibri" w:cs="Times New Roman"/>
                <w:b/>
                <w:bCs/>
                <w:sz w:val="21"/>
                <w:szCs w:val="21"/>
                <w:lang w:val="es-ES_tradnl"/>
              </w:rPr>
              <w:t>2024</w:t>
            </w:r>
          </w:p>
        </w:tc>
        <w:tc>
          <w:tcPr>
            <w:tcW w:w="1284" w:type="dxa"/>
            <w:shd w:val="clear" w:color="auto" w:fill="BDD6EE" w:themeFill="accent5" w:themeFillTint="66"/>
          </w:tcPr>
          <w:p w14:paraId="13513BA6" w14:textId="77777777" w:rsidR="0185FA06" w:rsidRPr="0094193E" w:rsidRDefault="00A77EAA" w:rsidP="70074FB2">
            <w:pPr>
              <w:jc w:val="center"/>
              <w:rPr>
                <w:b/>
                <w:bCs/>
                <w:sz w:val="21"/>
                <w:szCs w:val="21"/>
              </w:rPr>
            </w:pPr>
            <w:r w:rsidRPr="0094193E">
              <w:rPr>
                <w:rFonts w:ascii="Calibri" w:eastAsia="Calibri" w:hAnsi="Calibri" w:cs="Times New Roman"/>
                <w:b/>
                <w:bCs/>
                <w:sz w:val="21"/>
                <w:szCs w:val="21"/>
                <w:lang w:val="es-ES_tradnl"/>
              </w:rPr>
              <w:t>2025</w:t>
            </w:r>
          </w:p>
        </w:tc>
      </w:tr>
      <w:bookmarkEnd w:id="0"/>
      <w:tr w:rsidR="00E73117" w:rsidRPr="0094193E" w14:paraId="7B693059" w14:textId="77777777" w:rsidTr="43E910BC">
        <w:tc>
          <w:tcPr>
            <w:tcW w:w="2224" w:type="dxa"/>
          </w:tcPr>
          <w:p w14:paraId="354CB512" w14:textId="77777777" w:rsidR="0027587A" w:rsidRPr="0094193E" w:rsidRDefault="00A77EAA" w:rsidP="00C06C4E">
            <w:pPr>
              <w:rPr>
                <w:sz w:val="21"/>
                <w:szCs w:val="21"/>
              </w:rPr>
            </w:pPr>
            <w:r w:rsidRPr="0094193E">
              <w:rPr>
                <w:rFonts w:ascii="Calibri" w:eastAsia="Calibri" w:hAnsi="Calibri" w:cs="Times New Roman"/>
                <w:sz w:val="21"/>
                <w:szCs w:val="21"/>
                <w:lang w:val="es-ES_tradnl"/>
              </w:rPr>
              <w:t xml:space="preserve">Objetivo </w:t>
            </w:r>
            <w:r w:rsidRPr="0094193E">
              <w:rPr>
                <w:rFonts w:ascii="Calibri" w:eastAsia="Calibri" w:hAnsi="Calibri" w:cs="Calibri"/>
                <w:sz w:val="21"/>
                <w:szCs w:val="21"/>
                <w:lang w:val="es-ES_tradnl"/>
              </w:rPr>
              <w:t>≥</w:t>
            </w:r>
          </w:p>
        </w:tc>
        <w:tc>
          <w:tcPr>
            <w:tcW w:w="1284" w:type="dxa"/>
          </w:tcPr>
          <w:p w14:paraId="5ACB3301" w14:textId="77777777" w:rsidR="0027587A" w:rsidRPr="0094193E" w:rsidRDefault="00A77EAA" w:rsidP="00E04F8F">
            <w:pPr>
              <w:jc w:val="center"/>
              <w:rPr>
                <w:sz w:val="21"/>
                <w:szCs w:val="21"/>
              </w:rPr>
            </w:pPr>
            <w:r w:rsidRPr="0094193E">
              <w:rPr>
                <w:rFonts w:ascii="Calibri" w:eastAsia="Calibri" w:hAnsi="Calibri" w:cs="Times New Roman"/>
                <w:sz w:val="21"/>
                <w:szCs w:val="21"/>
                <w:lang w:val="es-ES_tradnl"/>
              </w:rPr>
              <w:t>96.5%</w:t>
            </w:r>
          </w:p>
        </w:tc>
        <w:tc>
          <w:tcPr>
            <w:tcW w:w="1284" w:type="dxa"/>
          </w:tcPr>
          <w:p w14:paraId="4070816F" w14:textId="77777777" w:rsidR="0027587A" w:rsidRPr="0094193E" w:rsidRDefault="00A77EAA" w:rsidP="00E04F8F">
            <w:pPr>
              <w:jc w:val="center"/>
              <w:rPr>
                <w:sz w:val="21"/>
                <w:szCs w:val="21"/>
              </w:rPr>
            </w:pPr>
            <w:r w:rsidRPr="0094193E">
              <w:rPr>
                <w:rFonts w:ascii="Calibri" w:eastAsia="Calibri" w:hAnsi="Calibri" w:cs="Times New Roman"/>
                <w:sz w:val="21"/>
                <w:szCs w:val="21"/>
                <w:lang w:val="es-ES_tradnl"/>
              </w:rPr>
              <w:t>96.5%</w:t>
            </w:r>
          </w:p>
        </w:tc>
        <w:tc>
          <w:tcPr>
            <w:tcW w:w="1283" w:type="dxa"/>
          </w:tcPr>
          <w:p w14:paraId="37225185" w14:textId="77777777" w:rsidR="0027587A" w:rsidRPr="0094193E" w:rsidRDefault="00A77EAA" w:rsidP="00E04F8F">
            <w:pPr>
              <w:jc w:val="center"/>
              <w:rPr>
                <w:sz w:val="21"/>
                <w:szCs w:val="21"/>
              </w:rPr>
            </w:pPr>
            <w:r w:rsidRPr="0094193E">
              <w:rPr>
                <w:rFonts w:ascii="Calibri" w:eastAsia="Calibri" w:hAnsi="Calibri" w:cs="Times New Roman"/>
                <w:sz w:val="21"/>
                <w:szCs w:val="21"/>
                <w:lang w:val="es-ES_tradnl"/>
              </w:rPr>
              <w:t>96.5%</w:t>
            </w:r>
          </w:p>
        </w:tc>
        <w:tc>
          <w:tcPr>
            <w:tcW w:w="1284" w:type="dxa"/>
          </w:tcPr>
          <w:p w14:paraId="3A9E3F1F" w14:textId="77777777" w:rsidR="0027587A" w:rsidRPr="0094193E" w:rsidRDefault="00A77EAA" w:rsidP="00E04F8F">
            <w:pPr>
              <w:jc w:val="center"/>
              <w:rPr>
                <w:sz w:val="21"/>
                <w:szCs w:val="21"/>
              </w:rPr>
            </w:pPr>
            <w:r w:rsidRPr="0094193E">
              <w:rPr>
                <w:rFonts w:ascii="Calibri" w:eastAsia="Calibri" w:hAnsi="Calibri" w:cs="Times New Roman"/>
                <w:sz w:val="21"/>
                <w:szCs w:val="21"/>
                <w:lang w:val="es-ES_tradnl"/>
              </w:rPr>
              <w:t>96.6%</w:t>
            </w:r>
          </w:p>
        </w:tc>
        <w:tc>
          <w:tcPr>
            <w:tcW w:w="1284" w:type="dxa"/>
          </w:tcPr>
          <w:p w14:paraId="63E86000" w14:textId="77777777" w:rsidR="0027587A" w:rsidRPr="0094193E" w:rsidRDefault="00A77EAA" w:rsidP="00E04F8F">
            <w:pPr>
              <w:jc w:val="center"/>
              <w:rPr>
                <w:sz w:val="21"/>
                <w:szCs w:val="21"/>
              </w:rPr>
            </w:pPr>
            <w:r w:rsidRPr="0094193E">
              <w:rPr>
                <w:rFonts w:ascii="Calibri" w:eastAsia="Calibri" w:hAnsi="Calibri" w:cs="Times New Roman"/>
                <w:sz w:val="21"/>
                <w:szCs w:val="21"/>
                <w:lang w:val="es-ES_tradnl"/>
              </w:rPr>
              <w:t>96.6%</w:t>
            </w:r>
          </w:p>
        </w:tc>
        <w:tc>
          <w:tcPr>
            <w:tcW w:w="1284" w:type="dxa"/>
          </w:tcPr>
          <w:p w14:paraId="64B7D4BD" w14:textId="77777777" w:rsidR="70074FB2" w:rsidRPr="0094193E" w:rsidRDefault="00A77EAA" w:rsidP="70074FB2">
            <w:pPr>
              <w:jc w:val="center"/>
              <w:rPr>
                <w:sz w:val="21"/>
                <w:szCs w:val="21"/>
              </w:rPr>
            </w:pPr>
            <w:r w:rsidRPr="0094193E">
              <w:rPr>
                <w:rFonts w:ascii="Calibri" w:eastAsia="Calibri" w:hAnsi="Calibri" w:cs="Times New Roman"/>
                <w:sz w:val="21"/>
                <w:szCs w:val="21"/>
                <w:lang w:val="es-ES_tradnl"/>
              </w:rPr>
              <w:t>96.7%</w:t>
            </w:r>
          </w:p>
        </w:tc>
      </w:tr>
    </w:tbl>
    <w:p w14:paraId="0D70B06F" w14:textId="77777777" w:rsidR="00FC0AA2" w:rsidRPr="0094193E" w:rsidRDefault="00A77EAA" w:rsidP="483BD4A7">
      <w:pPr>
        <w:rPr>
          <w:color w:val="000000" w:themeColor="text1"/>
          <w:sz w:val="21"/>
          <w:szCs w:val="21"/>
        </w:rPr>
      </w:pPr>
      <w:r w:rsidRPr="0094193E">
        <w:rPr>
          <w:rFonts w:ascii="Calibri" w:eastAsia="Calibri" w:hAnsi="Calibri" w:cs="Times New Roman"/>
          <w:color w:val="000000"/>
          <w:sz w:val="21"/>
          <w:szCs w:val="21"/>
          <w:lang w:val="es-ES_tradnl"/>
        </w:rPr>
        <w:t>El ejemplo B muestra un mayor crecimiento.</w:t>
      </w:r>
    </w:p>
    <w:p w14:paraId="372D4D98" w14:textId="77777777" w:rsidR="50C7F75A" w:rsidRPr="0094193E" w:rsidRDefault="00A77EAA" w:rsidP="43E910BC">
      <w:pPr>
        <w:rPr>
          <w:rFonts w:ascii="Calibri" w:eastAsia="Calibri" w:hAnsi="Calibri" w:cs="Calibri"/>
          <w:b/>
          <w:bCs/>
          <w:color w:val="407641"/>
          <w:sz w:val="21"/>
          <w:szCs w:val="21"/>
        </w:rPr>
      </w:pPr>
      <w:r w:rsidRPr="0094193E">
        <w:rPr>
          <w:rFonts w:ascii="Calibri" w:eastAsia="Calibri" w:hAnsi="Calibri" w:cs="Calibri"/>
          <w:b/>
          <w:bCs/>
          <w:color w:val="407641"/>
          <w:sz w:val="21"/>
          <w:szCs w:val="21"/>
          <w:lang w:val="es-ES_tradnl"/>
        </w:rPr>
        <w:t xml:space="preserve">Si necesita más información para hacer aportaciones sobre este indicador, póngase en contacto con Alan Garland, especialista en educación, en </w:t>
      </w:r>
      <w:hyperlink r:id="rId13" w:history="1">
        <w:r w:rsidRPr="0094193E">
          <w:rPr>
            <w:rFonts w:ascii="Calibri" w:eastAsia="Calibri" w:hAnsi="Calibri" w:cs="Calibri"/>
            <w:b/>
            <w:bCs/>
            <w:color w:val="0563C1"/>
            <w:sz w:val="21"/>
            <w:szCs w:val="21"/>
            <w:u w:val="single"/>
            <w:lang w:val="es-ES_tradnl"/>
          </w:rPr>
          <w:t>alan.garland@ode.state.or.us</w:t>
        </w:r>
      </w:hyperlink>
    </w:p>
    <w:p w14:paraId="60068DB1" w14:textId="77777777" w:rsidR="43E910BC" w:rsidRPr="0094193E" w:rsidRDefault="43E910BC" w:rsidP="43E910BC">
      <w:pPr>
        <w:rPr>
          <w:rFonts w:ascii="Calibri" w:eastAsia="Calibri" w:hAnsi="Calibri" w:cs="Calibri"/>
          <w:color w:val="000000" w:themeColor="text1"/>
        </w:rPr>
      </w:pPr>
    </w:p>
    <w:sectPr w:rsidR="43E910BC" w:rsidRPr="0094193E">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20B8" w14:textId="77777777" w:rsidR="00A77EAA" w:rsidRDefault="00A77EAA">
      <w:pPr>
        <w:spacing w:after="0" w:line="240" w:lineRule="auto"/>
      </w:pPr>
      <w:r>
        <w:separator/>
      </w:r>
    </w:p>
  </w:endnote>
  <w:endnote w:type="continuationSeparator" w:id="0">
    <w:p w14:paraId="03E79E32" w14:textId="77777777" w:rsidR="00A77EAA" w:rsidRDefault="00A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D3EC" w14:textId="77777777" w:rsidR="008B219B" w:rsidRDefault="008B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2A20" w14:textId="4C07721D" w:rsidR="008B219B" w:rsidRDefault="00A77EAA" w:rsidP="008B219B">
    <w:pPr>
      <w:pStyle w:val="Footer"/>
    </w:pPr>
    <w:r>
      <w:rPr>
        <w:rFonts w:ascii="Calibri" w:eastAsia="Calibri" w:hAnsi="Calibri" w:cs="Times New Roman"/>
        <w:lang w:val="es-ES_tradnl"/>
      </w:rPr>
      <w:t>Hoja informativa del Plan de desempeño estatal - Indicador C2</w:t>
    </w:r>
    <w:r>
      <w:rPr>
        <w:rFonts w:ascii="Calibri" w:eastAsia="Calibri" w:hAnsi="Calibri" w:cs="Times New Roman"/>
        <w:lang w:val="es-ES_tradnl"/>
      </w:rPr>
      <w:tab/>
    </w:r>
    <w:r>
      <w:rPr>
        <w:rFonts w:ascii="Calibri" w:eastAsia="Calibri" w:hAnsi="Calibri" w:cs="Times New Roman"/>
        <w:lang w:val="es-ES_tradnl"/>
      </w:rPr>
      <w:tab/>
    </w:r>
    <w:r>
      <w:fldChar w:fldCharType="begin"/>
    </w:r>
    <w:r>
      <w:instrText xml:space="preserve"> PAGE   \* MERGEFORMAT </w:instrText>
    </w:r>
    <w:r>
      <w:fldChar w:fldCharType="separate"/>
    </w:r>
    <w:r w:rsidR="008F4C88">
      <w:rPr>
        <w:noProof/>
      </w:rPr>
      <w:t>3</w:t>
    </w:r>
    <w:r>
      <w:rPr>
        <w:noProof/>
      </w:rPr>
      <w:fldChar w:fldCharType="end"/>
    </w:r>
  </w:p>
  <w:p w14:paraId="0489D795" w14:textId="77777777" w:rsidR="681B163A" w:rsidRDefault="681B163A" w:rsidP="681B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CDA0" w14:textId="77777777" w:rsidR="008B219B" w:rsidRDefault="008B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EEE6" w14:textId="77777777" w:rsidR="00A77EAA" w:rsidRDefault="00A77EAA">
      <w:pPr>
        <w:spacing w:after="0" w:line="240" w:lineRule="auto"/>
      </w:pPr>
      <w:r>
        <w:separator/>
      </w:r>
    </w:p>
  </w:footnote>
  <w:footnote w:type="continuationSeparator" w:id="0">
    <w:p w14:paraId="392A5603" w14:textId="77777777" w:rsidR="00A77EAA" w:rsidRDefault="00A7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6C7" w14:textId="77777777" w:rsidR="008B219B" w:rsidRDefault="008B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429E" w14:textId="77777777" w:rsidR="00A015AF" w:rsidRDefault="00A015AF" w:rsidP="00A0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737C" w14:textId="77777777" w:rsidR="008B219B" w:rsidRDefault="008B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662EA6E">
      <w:start w:val="1"/>
      <w:numFmt w:val="decimal"/>
      <w:lvlText w:val="%1."/>
      <w:lvlJc w:val="left"/>
      <w:pPr>
        <w:ind w:left="720" w:hanging="360"/>
      </w:pPr>
    </w:lvl>
    <w:lvl w:ilvl="1" w:tplc="32040A58">
      <w:start w:val="1"/>
      <w:numFmt w:val="lowerLetter"/>
      <w:lvlText w:val="%2."/>
      <w:lvlJc w:val="left"/>
      <w:pPr>
        <w:ind w:left="1440" w:hanging="360"/>
      </w:pPr>
    </w:lvl>
    <w:lvl w:ilvl="2" w:tplc="40C2BC42">
      <w:start w:val="1"/>
      <w:numFmt w:val="lowerRoman"/>
      <w:lvlText w:val="%3."/>
      <w:lvlJc w:val="right"/>
      <w:pPr>
        <w:ind w:left="2160" w:hanging="180"/>
      </w:pPr>
    </w:lvl>
    <w:lvl w:ilvl="3" w:tplc="9FDC45B6">
      <w:start w:val="1"/>
      <w:numFmt w:val="decimal"/>
      <w:lvlText w:val="%4."/>
      <w:lvlJc w:val="left"/>
      <w:pPr>
        <w:ind w:left="2880" w:hanging="360"/>
      </w:pPr>
    </w:lvl>
    <w:lvl w:ilvl="4" w:tplc="E33E3BC8">
      <w:start w:val="1"/>
      <w:numFmt w:val="lowerLetter"/>
      <w:lvlText w:val="%5."/>
      <w:lvlJc w:val="left"/>
      <w:pPr>
        <w:ind w:left="3600" w:hanging="360"/>
      </w:pPr>
    </w:lvl>
    <w:lvl w:ilvl="5" w:tplc="D8D62F28">
      <w:start w:val="1"/>
      <w:numFmt w:val="lowerRoman"/>
      <w:lvlText w:val="%6."/>
      <w:lvlJc w:val="right"/>
      <w:pPr>
        <w:ind w:left="4320" w:hanging="180"/>
      </w:pPr>
    </w:lvl>
    <w:lvl w:ilvl="6" w:tplc="64F45BB8">
      <w:start w:val="1"/>
      <w:numFmt w:val="decimal"/>
      <w:lvlText w:val="%7."/>
      <w:lvlJc w:val="left"/>
      <w:pPr>
        <w:ind w:left="5040" w:hanging="360"/>
      </w:pPr>
    </w:lvl>
    <w:lvl w:ilvl="7" w:tplc="FD96FC66">
      <w:start w:val="1"/>
      <w:numFmt w:val="lowerLetter"/>
      <w:lvlText w:val="%8."/>
      <w:lvlJc w:val="left"/>
      <w:pPr>
        <w:ind w:left="5760" w:hanging="360"/>
      </w:pPr>
    </w:lvl>
    <w:lvl w:ilvl="8" w:tplc="6E7AC818">
      <w:start w:val="1"/>
      <w:numFmt w:val="lowerRoman"/>
      <w:lvlText w:val="%9."/>
      <w:lvlJc w:val="right"/>
      <w:pPr>
        <w:ind w:left="6480" w:hanging="180"/>
      </w:pPr>
    </w:lvl>
  </w:abstractNum>
  <w:abstractNum w:abstractNumId="1" w15:restartNumberingAfterBreak="0">
    <w:nsid w:val="0DE9611B"/>
    <w:multiLevelType w:val="hybridMultilevel"/>
    <w:tmpl w:val="136C7216"/>
    <w:lvl w:ilvl="0" w:tplc="7D68621A">
      <w:start w:val="1"/>
      <w:numFmt w:val="bullet"/>
      <w:lvlText w:val=""/>
      <w:lvlJc w:val="left"/>
      <w:pPr>
        <w:ind w:left="720" w:hanging="360"/>
      </w:pPr>
      <w:rPr>
        <w:rFonts w:ascii="Symbol" w:hAnsi="Symbol" w:hint="default"/>
      </w:rPr>
    </w:lvl>
    <w:lvl w:ilvl="1" w:tplc="FE50027C">
      <w:start w:val="1"/>
      <w:numFmt w:val="bullet"/>
      <w:lvlText w:val="o"/>
      <w:lvlJc w:val="left"/>
      <w:pPr>
        <w:ind w:left="1440" w:hanging="360"/>
      </w:pPr>
      <w:rPr>
        <w:rFonts w:ascii="Courier New" w:hAnsi="Courier New" w:hint="default"/>
      </w:rPr>
    </w:lvl>
    <w:lvl w:ilvl="2" w:tplc="B36E22BE">
      <w:start w:val="1"/>
      <w:numFmt w:val="bullet"/>
      <w:lvlText w:val=""/>
      <w:lvlJc w:val="left"/>
      <w:pPr>
        <w:ind w:left="2160" w:hanging="360"/>
      </w:pPr>
      <w:rPr>
        <w:rFonts w:ascii="Wingdings" w:hAnsi="Wingdings" w:hint="default"/>
      </w:rPr>
    </w:lvl>
    <w:lvl w:ilvl="3" w:tplc="512EB79C">
      <w:start w:val="1"/>
      <w:numFmt w:val="bullet"/>
      <w:lvlText w:val=""/>
      <w:lvlJc w:val="left"/>
      <w:pPr>
        <w:ind w:left="2880" w:hanging="360"/>
      </w:pPr>
      <w:rPr>
        <w:rFonts w:ascii="Symbol" w:hAnsi="Symbol" w:hint="default"/>
      </w:rPr>
    </w:lvl>
    <w:lvl w:ilvl="4" w:tplc="4FBEA1C0">
      <w:start w:val="1"/>
      <w:numFmt w:val="bullet"/>
      <w:lvlText w:val="o"/>
      <w:lvlJc w:val="left"/>
      <w:pPr>
        <w:ind w:left="3600" w:hanging="360"/>
      </w:pPr>
      <w:rPr>
        <w:rFonts w:ascii="Courier New" w:hAnsi="Courier New" w:hint="default"/>
      </w:rPr>
    </w:lvl>
    <w:lvl w:ilvl="5" w:tplc="E8FA6E7C">
      <w:start w:val="1"/>
      <w:numFmt w:val="bullet"/>
      <w:lvlText w:val=""/>
      <w:lvlJc w:val="left"/>
      <w:pPr>
        <w:ind w:left="4320" w:hanging="360"/>
      </w:pPr>
      <w:rPr>
        <w:rFonts w:ascii="Wingdings" w:hAnsi="Wingdings" w:hint="default"/>
      </w:rPr>
    </w:lvl>
    <w:lvl w:ilvl="6" w:tplc="0F487C56">
      <w:start w:val="1"/>
      <w:numFmt w:val="bullet"/>
      <w:lvlText w:val=""/>
      <w:lvlJc w:val="left"/>
      <w:pPr>
        <w:ind w:left="5040" w:hanging="360"/>
      </w:pPr>
      <w:rPr>
        <w:rFonts w:ascii="Symbol" w:hAnsi="Symbol" w:hint="default"/>
      </w:rPr>
    </w:lvl>
    <w:lvl w:ilvl="7" w:tplc="707A89CC">
      <w:start w:val="1"/>
      <w:numFmt w:val="bullet"/>
      <w:lvlText w:val="o"/>
      <w:lvlJc w:val="left"/>
      <w:pPr>
        <w:ind w:left="5760" w:hanging="360"/>
      </w:pPr>
      <w:rPr>
        <w:rFonts w:ascii="Courier New" w:hAnsi="Courier New" w:hint="default"/>
      </w:rPr>
    </w:lvl>
    <w:lvl w:ilvl="8" w:tplc="BFDE1F80">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5AA2F3C">
      <w:start w:val="1"/>
      <w:numFmt w:val="bullet"/>
      <w:lvlText w:val=""/>
      <w:lvlJc w:val="left"/>
      <w:pPr>
        <w:ind w:left="720" w:hanging="360"/>
      </w:pPr>
      <w:rPr>
        <w:rFonts w:ascii="Symbol" w:hAnsi="Symbol" w:hint="default"/>
      </w:rPr>
    </w:lvl>
    <w:lvl w:ilvl="1" w:tplc="964AFF06">
      <w:start w:val="1"/>
      <w:numFmt w:val="bullet"/>
      <w:lvlText w:val="o"/>
      <w:lvlJc w:val="left"/>
      <w:pPr>
        <w:ind w:left="1440" w:hanging="360"/>
      </w:pPr>
      <w:rPr>
        <w:rFonts w:ascii="Courier New" w:hAnsi="Courier New" w:hint="default"/>
      </w:rPr>
    </w:lvl>
    <w:lvl w:ilvl="2" w:tplc="4F54D744">
      <w:start w:val="1"/>
      <w:numFmt w:val="bullet"/>
      <w:lvlText w:val=""/>
      <w:lvlJc w:val="left"/>
      <w:pPr>
        <w:ind w:left="2160" w:hanging="360"/>
      </w:pPr>
      <w:rPr>
        <w:rFonts w:ascii="Wingdings" w:hAnsi="Wingdings" w:hint="default"/>
      </w:rPr>
    </w:lvl>
    <w:lvl w:ilvl="3" w:tplc="F4168DB2">
      <w:start w:val="1"/>
      <w:numFmt w:val="bullet"/>
      <w:lvlText w:val=""/>
      <w:lvlJc w:val="left"/>
      <w:pPr>
        <w:ind w:left="2880" w:hanging="360"/>
      </w:pPr>
      <w:rPr>
        <w:rFonts w:ascii="Symbol" w:hAnsi="Symbol" w:hint="default"/>
      </w:rPr>
    </w:lvl>
    <w:lvl w:ilvl="4" w:tplc="7F52EBBE">
      <w:start w:val="1"/>
      <w:numFmt w:val="bullet"/>
      <w:lvlText w:val="o"/>
      <w:lvlJc w:val="left"/>
      <w:pPr>
        <w:ind w:left="3600" w:hanging="360"/>
      </w:pPr>
      <w:rPr>
        <w:rFonts w:ascii="Courier New" w:hAnsi="Courier New" w:hint="default"/>
      </w:rPr>
    </w:lvl>
    <w:lvl w:ilvl="5" w:tplc="63B6B8BC">
      <w:start w:val="1"/>
      <w:numFmt w:val="bullet"/>
      <w:lvlText w:val=""/>
      <w:lvlJc w:val="left"/>
      <w:pPr>
        <w:ind w:left="4320" w:hanging="360"/>
      </w:pPr>
      <w:rPr>
        <w:rFonts w:ascii="Wingdings" w:hAnsi="Wingdings" w:hint="default"/>
      </w:rPr>
    </w:lvl>
    <w:lvl w:ilvl="6" w:tplc="88B28018">
      <w:start w:val="1"/>
      <w:numFmt w:val="bullet"/>
      <w:lvlText w:val=""/>
      <w:lvlJc w:val="left"/>
      <w:pPr>
        <w:ind w:left="5040" w:hanging="360"/>
      </w:pPr>
      <w:rPr>
        <w:rFonts w:ascii="Symbol" w:hAnsi="Symbol" w:hint="default"/>
      </w:rPr>
    </w:lvl>
    <w:lvl w:ilvl="7" w:tplc="91086122">
      <w:start w:val="1"/>
      <w:numFmt w:val="bullet"/>
      <w:lvlText w:val="o"/>
      <w:lvlJc w:val="left"/>
      <w:pPr>
        <w:ind w:left="5760" w:hanging="360"/>
      </w:pPr>
      <w:rPr>
        <w:rFonts w:ascii="Courier New" w:hAnsi="Courier New" w:hint="default"/>
      </w:rPr>
    </w:lvl>
    <w:lvl w:ilvl="8" w:tplc="EA625F18">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01FC70B2">
      <w:start w:val="1"/>
      <w:numFmt w:val="decimal"/>
      <w:lvlText w:val="%1."/>
      <w:lvlJc w:val="left"/>
      <w:pPr>
        <w:ind w:left="720" w:hanging="360"/>
      </w:pPr>
    </w:lvl>
    <w:lvl w:ilvl="1" w:tplc="E578B204">
      <w:start w:val="1"/>
      <w:numFmt w:val="lowerLetter"/>
      <w:lvlText w:val="%2."/>
      <w:lvlJc w:val="left"/>
      <w:pPr>
        <w:ind w:left="1440" w:hanging="360"/>
      </w:pPr>
    </w:lvl>
    <w:lvl w:ilvl="2" w:tplc="BBAA0FA6">
      <w:start w:val="1"/>
      <w:numFmt w:val="lowerRoman"/>
      <w:lvlText w:val="%3."/>
      <w:lvlJc w:val="right"/>
      <w:pPr>
        <w:ind w:left="2160" w:hanging="180"/>
      </w:pPr>
    </w:lvl>
    <w:lvl w:ilvl="3" w:tplc="98FED9E0">
      <w:start w:val="1"/>
      <w:numFmt w:val="decimal"/>
      <w:lvlText w:val="%4."/>
      <w:lvlJc w:val="left"/>
      <w:pPr>
        <w:ind w:left="2880" w:hanging="360"/>
      </w:pPr>
    </w:lvl>
    <w:lvl w:ilvl="4" w:tplc="0B3E8A48">
      <w:start w:val="1"/>
      <w:numFmt w:val="lowerLetter"/>
      <w:lvlText w:val="%5."/>
      <w:lvlJc w:val="left"/>
      <w:pPr>
        <w:ind w:left="3600" w:hanging="360"/>
      </w:pPr>
    </w:lvl>
    <w:lvl w:ilvl="5" w:tplc="7F38F80C">
      <w:start w:val="1"/>
      <w:numFmt w:val="lowerRoman"/>
      <w:lvlText w:val="%6."/>
      <w:lvlJc w:val="right"/>
      <w:pPr>
        <w:ind w:left="4320" w:hanging="180"/>
      </w:pPr>
    </w:lvl>
    <w:lvl w:ilvl="6" w:tplc="A4A4AF44">
      <w:start w:val="1"/>
      <w:numFmt w:val="decimal"/>
      <w:lvlText w:val="%7."/>
      <w:lvlJc w:val="left"/>
      <w:pPr>
        <w:ind w:left="5040" w:hanging="360"/>
      </w:pPr>
    </w:lvl>
    <w:lvl w:ilvl="7" w:tplc="447A4E58">
      <w:start w:val="1"/>
      <w:numFmt w:val="lowerLetter"/>
      <w:lvlText w:val="%8."/>
      <w:lvlJc w:val="left"/>
      <w:pPr>
        <w:ind w:left="5760" w:hanging="360"/>
      </w:pPr>
    </w:lvl>
    <w:lvl w:ilvl="8" w:tplc="E5FCAE08">
      <w:start w:val="1"/>
      <w:numFmt w:val="lowerRoman"/>
      <w:lvlText w:val="%9."/>
      <w:lvlJc w:val="right"/>
      <w:pPr>
        <w:ind w:left="6480" w:hanging="180"/>
      </w:pPr>
    </w:lvl>
  </w:abstractNum>
  <w:abstractNum w:abstractNumId="4" w15:restartNumberingAfterBreak="0">
    <w:nsid w:val="21E6376E"/>
    <w:multiLevelType w:val="hybridMultilevel"/>
    <w:tmpl w:val="584CEB0C"/>
    <w:lvl w:ilvl="0" w:tplc="32D0B728">
      <w:start w:val="1"/>
      <w:numFmt w:val="bullet"/>
      <w:lvlText w:val=""/>
      <w:lvlJc w:val="left"/>
      <w:pPr>
        <w:ind w:left="720" w:hanging="360"/>
      </w:pPr>
      <w:rPr>
        <w:rFonts w:ascii="Symbol" w:hAnsi="Symbol" w:hint="default"/>
      </w:rPr>
    </w:lvl>
    <w:lvl w:ilvl="1" w:tplc="1D523182">
      <w:start w:val="1"/>
      <w:numFmt w:val="bullet"/>
      <w:lvlText w:val="o"/>
      <w:lvlJc w:val="left"/>
      <w:pPr>
        <w:ind w:left="1440" w:hanging="360"/>
      </w:pPr>
      <w:rPr>
        <w:rFonts w:ascii="Courier New" w:hAnsi="Courier New" w:hint="default"/>
      </w:rPr>
    </w:lvl>
    <w:lvl w:ilvl="2" w:tplc="992A7AD0">
      <w:start w:val="1"/>
      <w:numFmt w:val="bullet"/>
      <w:lvlText w:val=""/>
      <w:lvlJc w:val="left"/>
      <w:pPr>
        <w:ind w:left="2160" w:hanging="360"/>
      </w:pPr>
      <w:rPr>
        <w:rFonts w:ascii="Wingdings" w:hAnsi="Wingdings" w:hint="default"/>
      </w:rPr>
    </w:lvl>
    <w:lvl w:ilvl="3" w:tplc="FB522DB4">
      <w:start w:val="1"/>
      <w:numFmt w:val="bullet"/>
      <w:lvlText w:val=""/>
      <w:lvlJc w:val="left"/>
      <w:pPr>
        <w:ind w:left="2880" w:hanging="360"/>
      </w:pPr>
      <w:rPr>
        <w:rFonts w:ascii="Symbol" w:hAnsi="Symbol" w:hint="default"/>
      </w:rPr>
    </w:lvl>
    <w:lvl w:ilvl="4" w:tplc="D980BAD8">
      <w:start w:val="1"/>
      <w:numFmt w:val="bullet"/>
      <w:lvlText w:val="o"/>
      <w:lvlJc w:val="left"/>
      <w:pPr>
        <w:ind w:left="3600" w:hanging="360"/>
      </w:pPr>
      <w:rPr>
        <w:rFonts w:ascii="Courier New" w:hAnsi="Courier New" w:hint="default"/>
      </w:rPr>
    </w:lvl>
    <w:lvl w:ilvl="5" w:tplc="A214615E">
      <w:start w:val="1"/>
      <w:numFmt w:val="bullet"/>
      <w:lvlText w:val=""/>
      <w:lvlJc w:val="left"/>
      <w:pPr>
        <w:ind w:left="4320" w:hanging="360"/>
      </w:pPr>
      <w:rPr>
        <w:rFonts w:ascii="Wingdings" w:hAnsi="Wingdings" w:hint="default"/>
      </w:rPr>
    </w:lvl>
    <w:lvl w:ilvl="6" w:tplc="D6980448">
      <w:start w:val="1"/>
      <w:numFmt w:val="bullet"/>
      <w:lvlText w:val=""/>
      <w:lvlJc w:val="left"/>
      <w:pPr>
        <w:ind w:left="5040" w:hanging="360"/>
      </w:pPr>
      <w:rPr>
        <w:rFonts w:ascii="Symbol" w:hAnsi="Symbol" w:hint="default"/>
      </w:rPr>
    </w:lvl>
    <w:lvl w:ilvl="7" w:tplc="B6D6AC68">
      <w:start w:val="1"/>
      <w:numFmt w:val="bullet"/>
      <w:lvlText w:val="o"/>
      <w:lvlJc w:val="left"/>
      <w:pPr>
        <w:ind w:left="5760" w:hanging="360"/>
      </w:pPr>
      <w:rPr>
        <w:rFonts w:ascii="Courier New" w:hAnsi="Courier New" w:hint="default"/>
      </w:rPr>
    </w:lvl>
    <w:lvl w:ilvl="8" w:tplc="9BC2F78E">
      <w:start w:val="1"/>
      <w:numFmt w:val="bullet"/>
      <w:lvlText w:val=""/>
      <w:lvlJc w:val="left"/>
      <w:pPr>
        <w:ind w:left="6480" w:hanging="360"/>
      </w:pPr>
      <w:rPr>
        <w:rFonts w:ascii="Wingdings" w:hAnsi="Wingdings" w:hint="default"/>
      </w:rPr>
    </w:lvl>
  </w:abstractNum>
  <w:abstractNum w:abstractNumId="5" w15:restartNumberingAfterBreak="0">
    <w:nsid w:val="26B366BE"/>
    <w:multiLevelType w:val="hybridMultilevel"/>
    <w:tmpl w:val="BCA81ED6"/>
    <w:lvl w:ilvl="0" w:tplc="888C092E">
      <w:start w:val="1"/>
      <w:numFmt w:val="bullet"/>
      <w:lvlText w:val=""/>
      <w:lvlJc w:val="left"/>
      <w:pPr>
        <w:ind w:left="720" w:hanging="360"/>
      </w:pPr>
      <w:rPr>
        <w:rFonts w:ascii="Symbol" w:hAnsi="Symbol" w:hint="default"/>
      </w:rPr>
    </w:lvl>
    <w:lvl w:ilvl="1" w:tplc="80420842">
      <w:start w:val="1"/>
      <w:numFmt w:val="bullet"/>
      <w:lvlText w:val="o"/>
      <w:lvlJc w:val="left"/>
      <w:pPr>
        <w:ind w:left="1440" w:hanging="360"/>
      </w:pPr>
      <w:rPr>
        <w:rFonts w:ascii="Courier New" w:hAnsi="Courier New" w:hint="default"/>
      </w:rPr>
    </w:lvl>
    <w:lvl w:ilvl="2" w:tplc="24A8A6EC">
      <w:start w:val="1"/>
      <w:numFmt w:val="bullet"/>
      <w:lvlText w:val=""/>
      <w:lvlJc w:val="left"/>
      <w:pPr>
        <w:ind w:left="2160" w:hanging="360"/>
      </w:pPr>
      <w:rPr>
        <w:rFonts w:ascii="Wingdings" w:hAnsi="Wingdings" w:hint="default"/>
      </w:rPr>
    </w:lvl>
    <w:lvl w:ilvl="3" w:tplc="4DD08298">
      <w:start w:val="1"/>
      <w:numFmt w:val="bullet"/>
      <w:lvlText w:val=""/>
      <w:lvlJc w:val="left"/>
      <w:pPr>
        <w:ind w:left="2880" w:hanging="360"/>
      </w:pPr>
      <w:rPr>
        <w:rFonts w:ascii="Symbol" w:hAnsi="Symbol" w:hint="default"/>
      </w:rPr>
    </w:lvl>
    <w:lvl w:ilvl="4" w:tplc="65FCF770">
      <w:start w:val="1"/>
      <w:numFmt w:val="bullet"/>
      <w:lvlText w:val="o"/>
      <w:lvlJc w:val="left"/>
      <w:pPr>
        <w:ind w:left="3600" w:hanging="360"/>
      </w:pPr>
      <w:rPr>
        <w:rFonts w:ascii="Courier New" w:hAnsi="Courier New" w:hint="default"/>
      </w:rPr>
    </w:lvl>
    <w:lvl w:ilvl="5" w:tplc="11460D8E">
      <w:start w:val="1"/>
      <w:numFmt w:val="bullet"/>
      <w:lvlText w:val=""/>
      <w:lvlJc w:val="left"/>
      <w:pPr>
        <w:ind w:left="4320" w:hanging="360"/>
      </w:pPr>
      <w:rPr>
        <w:rFonts w:ascii="Wingdings" w:hAnsi="Wingdings" w:hint="default"/>
      </w:rPr>
    </w:lvl>
    <w:lvl w:ilvl="6" w:tplc="4C20D4EC">
      <w:start w:val="1"/>
      <w:numFmt w:val="bullet"/>
      <w:lvlText w:val=""/>
      <w:lvlJc w:val="left"/>
      <w:pPr>
        <w:ind w:left="5040" w:hanging="360"/>
      </w:pPr>
      <w:rPr>
        <w:rFonts w:ascii="Symbol" w:hAnsi="Symbol" w:hint="default"/>
      </w:rPr>
    </w:lvl>
    <w:lvl w:ilvl="7" w:tplc="008E988E">
      <w:start w:val="1"/>
      <w:numFmt w:val="bullet"/>
      <w:lvlText w:val="o"/>
      <w:lvlJc w:val="left"/>
      <w:pPr>
        <w:ind w:left="5760" w:hanging="360"/>
      </w:pPr>
      <w:rPr>
        <w:rFonts w:ascii="Courier New" w:hAnsi="Courier New" w:hint="default"/>
      </w:rPr>
    </w:lvl>
    <w:lvl w:ilvl="8" w:tplc="E6F292A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3B4AD55C">
      <w:start w:val="1"/>
      <w:numFmt w:val="upperLetter"/>
      <w:lvlText w:val="%1."/>
      <w:lvlJc w:val="left"/>
      <w:pPr>
        <w:ind w:left="720" w:hanging="360"/>
      </w:pPr>
      <w:rPr>
        <w:rFonts w:hint="default"/>
      </w:rPr>
    </w:lvl>
    <w:lvl w:ilvl="1" w:tplc="DC788A62" w:tentative="1">
      <w:start w:val="1"/>
      <w:numFmt w:val="lowerLetter"/>
      <w:lvlText w:val="%2."/>
      <w:lvlJc w:val="left"/>
      <w:pPr>
        <w:ind w:left="1440" w:hanging="360"/>
      </w:pPr>
    </w:lvl>
    <w:lvl w:ilvl="2" w:tplc="549444D0" w:tentative="1">
      <w:start w:val="1"/>
      <w:numFmt w:val="lowerRoman"/>
      <w:lvlText w:val="%3."/>
      <w:lvlJc w:val="right"/>
      <w:pPr>
        <w:ind w:left="2160" w:hanging="180"/>
      </w:pPr>
    </w:lvl>
    <w:lvl w:ilvl="3" w:tplc="73DEB12A" w:tentative="1">
      <w:start w:val="1"/>
      <w:numFmt w:val="decimal"/>
      <w:lvlText w:val="%4."/>
      <w:lvlJc w:val="left"/>
      <w:pPr>
        <w:ind w:left="2880" w:hanging="360"/>
      </w:pPr>
    </w:lvl>
    <w:lvl w:ilvl="4" w:tplc="32789A56" w:tentative="1">
      <w:start w:val="1"/>
      <w:numFmt w:val="lowerLetter"/>
      <w:lvlText w:val="%5."/>
      <w:lvlJc w:val="left"/>
      <w:pPr>
        <w:ind w:left="3600" w:hanging="360"/>
      </w:pPr>
    </w:lvl>
    <w:lvl w:ilvl="5" w:tplc="6F0C9F72" w:tentative="1">
      <w:start w:val="1"/>
      <w:numFmt w:val="lowerRoman"/>
      <w:lvlText w:val="%6."/>
      <w:lvlJc w:val="right"/>
      <w:pPr>
        <w:ind w:left="4320" w:hanging="180"/>
      </w:pPr>
    </w:lvl>
    <w:lvl w:ilvl="6" w:tplc="8522F732" w:tentative="1">
      <w:start w:val="1"/>
      <w:numFmt w:val="decimal"/>
      <w:lvlText w:val="%7."/>
      <w:lvlJc w:val="left"/>
      <w:pPr>
        <w:ind w:left="5040" w:hanging="360"/>
      </w:pPr>
    </w:lvl>
    <w:lvl w:ilvl="7" w:tplc="D6FC3DFE" w:tentative="1">
      <w:start w:val="1"/>
      <w:numFmt w:val="lowerLetter"/>
      <w:lvlText w:val="%8."/>
      <w:lvlJc w:val="left"/>
      <w:pPr>
        <w:ind w:left="5760" w:hanging="360"/>
      </w:pPr>
    </w:lvl>
    <w:lvl w:ilvl="8" w:tplc="97D09BA2"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996645BC">
      <w:start w:val="1"/>
      <w:numFmt w:val="upperLetter"/>
      <w:lvlText w:val="%1."/>
      <w:lvlJc w:val="left"/>
      <w:pPr>
        <w:ind w:left="720" w:hanging="360"/>
      </w:pPr>
    </w:lvl>
    <w:lvl w:ilvl="1" w:tplc="BD8AE5BC" w:tentative="1">
      <w:start w:val="1"/>
      <w:numFmt w:val="lowerLetter"/>
      <w:lvlText w:val="%2."/>
      <w:lvlJc w:val="left"/>
      <w:pPr>
        <w:ind w:left="1440" w:hanging="360"/>
      </w:pPr>
    </w:lvl>
    <w:lvl w:ilvl="2" w:tplc="00D40A8E" w:tentative="1">
      <w:start w:val="1"/>
      <w:numFmt w:val="lowerRoman"/>
      <w:lvlText w:val="%3."/>
      <w:lvlJc w:val="right"/>
      <w:pPr>
        <w:ind w:left="2160" w:hanging="180"/>
      </w:pPr>
    </w:lvl>
    <w:lvl w:ilvl="3" w:tplc="4600EBC4" w:tentative="1">
      <w:start w:val="1"/>
      <w:numFmt w:val="decimal"/>
      <w:lvlText w:val="%4."/>
      <w:lvlJc w:val="left"/>
      <w:pPr>
        <w:ind w:left="2880" w:hanging="360"/>
      </w:pPr>
    </w:lvl>
    <w:lvl w:ilvl="4" w:tplc="4BBA8C34" w:tentative="1">
      <w:start w:val="1"/>
      <w:numFmt w:val="lowerLetter"/>
      <w:lvlText w:val="%5."/>
      <w:lvlJc w:val="left"/>
      <w:pPr>
        <w:ind w:left="3600" w:hanging="360"/>
      </w:pPr>
    </w:lvl>
    <w:lvl w:ilvl="5" w:tplc="4970D43A" w:tentative="1">
      <w:start w:val="1"/>
      <w:numFmt w:val="lowerRoman"/>
      <w:lvlText w:val="%6."/>
      <w:lvlJc w:val="right"/>
      <w:pPr>
        <w:ind w:left="4320" w:hanging="180"/>
      </w:pPr>
    </w:lvl>
    <w:lvl w:ilvl="6" w:tplc="426C9CE2" w:tentative="1">
      <w:start w:val="1"/>
      <w:numFmt w:val="decimal"/>
      <w:lvlText w:val="%7."/>
      <w:lvlJc w:val="left"/>
      <w:pPr>
        <w:ind w:left="5040" w:hanging="360"/>
      </w:pPr>
    </w:lvl>
    <w:lvl w:ilvl="7" w:tplc="08225194" w:tentative="1">
      <w:start w:val="1"/>
      <w:numFmt w:val="lowerLetter"/>
      <w:lvlText w:val="%8."/>
      <w:lvlJc w:val="left"/>
      <w:pPr>
        <w:ind w:left="5760" w:hanging="360"/>
      </w:pPr>
    </w:lvl>
    <w:lvl w:ilvl="8" w:tplc="283A94E8"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7DCEAE6C">
      <w:start w:val="1"/>
      <w:numFmt w:val="upperLetter"/>
      <w:lvlText w:val="%1."/>
      <w:lvlJc w:val="left"/>
      <w:pPr>
        <w:ind w:left="720" w:hanging="360"/>
      </w:pPr>
    </w:lvl>
    <w:lvl w:ilvl="1" w:tplc="D96A6F36" w:tentative="1">
      <w:start w:val="1"/>
      <w:numFmt w:val="lowerLetter"/>
      <w:lvlText w:val="%2."/>
      <w:lvlJc w:val="left"/>
      <w:pPr>
        <w:ind w:left="1440" w:hanging="360"/>
      </w:pPr>
    </w:lvl>
    <w:lvl w:ilvl="2" w:tplc="CBF4C744" w:tentative="1">
      <w:start w:val="1"/>
      <w:numFmt w:val="lowerRoman"/>
      <w:lvlText w:val="%3."/>
      <w:lvlJc w:val="right"/>
      <w:pPr>
        <w:ind w:left="2160" w:hanging="180"/>
      </w:pPr>
    </w:lvl>
    <w:lvl w:ilvl="3" w:tplc="36942E3C" w:tentative="1">
      <w:start w:val="1"/>
      <w:numFmt w:val="decimal"/>
      <w:lvlText w:val="%4."/>
      <w:lvlJc w:val="left"/>
      <w:pPr>
        <w:ind w:left="2880" w:hanging="360"/>
      </w:pPr>
    </w:lvl>
    <w:lvl w:ilvl="4" w:tplc="02C82258" w:tentative="1">
      <w:start w:val="1"/>
      <w:numFmt w:val="lowerLetter"/>
      <w:lvlText w:val="%5."/>
      <w:lvlJc w:val="left"/>
      <w:pPr>
        <w:ind w:left="3600" w:hanging="360"/>
      </w:pPr>
    </w:lvl>
    <w:lvl w:ilvl="5" w:tplc="FB50C93C" w:tentative="1">
      <w:start w:val="1"/>
      <w:numFmt w:val="lowerRoman"/>
      <w:lvlText w:val="%6."/>
      <w:lvlJc w:val="right"/>
      <w:pPr>
        <w:ind w:left="4320" w:hanging="180"/>
      </w:pPr>
    </w:lvl>
    <w:lvl w:ilvl="6" w:tplc="B4EA0782" w:tentative="1">
      <w:start w:val="1"/>
      <w:numFmt w:val="decimal"/>
      <w:lvlText w:val="%7."/>
      <w:lvlJc w:val="left"/>
      <w:pPr>
        <w:ind w:left="5040" w:hanging="360"/>
      </w:pPr>
    </w:lvl>
    <w:lvl w:ilvl="7" w:tplc="7C5A1AEE" w:tentative="1">
      <w:start w:val="1"/>
      <w:numFmt w:val="lowerLetter"/>
      <w:lvlText w:val="%8."/>
      <w:lvlJc w:val="left"/>
      <w:pPr>
        <w:ind w:left="5760" w:hanging="360"/>
      </w:pPr>
    </w:lvl>
    <w:lvl w:ilvl="8" w:tplc="7994B4B8"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21BA5ADE">
      <w:start w:val="1"/>
      <w:numFmt w:val="upperLetter"/>
      <w:lvlText w:val="%1."/>
      <w:lvlJc w:val="left"/>
      <w:pPr>
        <w:ind w:left="720" w:hanging="360"/>
      </w:pPr>
      <w:rPr>
        <w:rFonts w:hint="default"/>
      </w:rPr>
    </w:lvl>
    <w:lvl w:ilvl="1" w:tplc="60C0208A" w:tentative="1">
      <w:start w:val="1"/>
      <w:numFmt w:val="lowerLetter"/>
      <w:lvlText w:val="%2."/>
      <w:lvlJc w:val="left"/>
      <w:pPr>
        <w:ind w:left="1440" w:hanging="360"/>
      </w:pPr>
    </w:lvl>
    <w:lvl w:ilvl="2" w:tplc="9E885936" w:tentative="1">
      <w:start w:val="1"/>
      <w:numFmt w:val="lowerRoman"/>
      <w:lvlText w:val="%3."/>
      <w:lvlJc w:val="right"/>
      <w:pPr>
        <w:ind w:left="2160" w:hanging="180"/>
      </w:pPr>
    </w:lvl>
    <w:lvl w:ilvl="3" w:tplc="F712321E" w:tentative="1">
      <w:start w:val="1"/>
      <w:numFmt w:val="decimal"/>
      <w:lvlText w:val="%4."/>
      <w:lvlJc w:val="left"/>
      <w:pPr>
        <w:ind w:left="2880" w:hanging="360"/>
      </w:pPr>
    </w:lvl>
    <w:lvl w:ilvl="4" w:tplc="1F28B66E" w:tentative="1">
      <w:start w:val="1"/>
      <w:numFmt w:val="lowerLetter"/>
      <w:lvlText w:val="%5."/>
      <w:lvlJc w:val="left"/>
      <w:pPr>
        <w:ind w:left="3600" w:hanging="360"/>
      </w:pPr>
    </w:lvl>
    <w:lvl w:ilvl="5" w:tplc="0F7A2BCC" w:tentative="1">
      <w:start w:val="1"/>
      <w:numFmt w:val="lowerRoman"/>
      <w:lvlText w:val="%6."/>
      <w:lvlJc w:val="right"/>
      <w:pPr>
        <w:ind w:left="4320" w:hanging="180"/>
      </w:pPr>
    </w:lvl>
    <w:lvl w:ilvl="6" w:tplc="98BE1FA2" w:tentative="1">
      <w:start w:val="1"/>
      <w:numFmt w:val="decimal"/>
      <w:lvlText w:val="%7."/>
      <w:lvlJc w:val="left"/>
      <w:pPr>
        <w:ind w:left="5040" w:hanging="360"/>
      </w:pPr>
    </w:lvl>
    <w:lvl w:ilvl="7" w:tplc="E8B62008" w:tentative="1">
      <w:start w:val="1"/>
      <w:numFmt w:val="lowerLetter"/>
      <w:lvlText w:val="%8."/>
      <w:lvlJc w:val="left"/>
      <w:pPr>
        <w:ind w:left="5760" w:hanging="360"/>
      </w:pPr>
    </w:lvl>
    <w:lvl w:ilvl="8" w:tplc="44D634FE"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123E3798">
      <w:start w:val="1"/>
      <w:numFmt w:val="upperLetter"/>
      <w:lvlText w:val="%1."/>
      <w:lvlJc w:val="left"/>
      <w:pPr>
        <w:ind w:left="720" w:hanging="360"/>
      </w:pPr>
    </w:lvl>
    <w:lvl w:ilvl="1" w:tplc="0928C8A6" w:tentative="1">
      <w:start w:val="1"/>
      <w:numFmt w:val="lowerLetter"/>
      <w:lvlText w:val="%2."/>
      <w:lvlJc w:val="left"/>
      <w:pPr>
        <w:ind w:left="1440" w:hanging="360"/>
      </w:pPr>
    </w:lvl>
    <w:lvl w:ilvl="2" w:tplc="10248C5C" w:tentative="1">
      <w:start w:val="1"/>
      <w:numFmt w:val="lowerRoman"/>
      <w:lvlText w:val="%3."/>
      <w:lvlJc w:val="right"/>
      <w:pPr>
        <w:ind w:left="2160" w:hanging="180"/>
      </w:pPr>
    </w:lvl>
    <w:lvl w:ilvl="3" w:tplc="2880229E" w:tentative="1">
      <w:start w:val="1"/>
      <w:numFmt w:val="decimal"/>
      <w:lvlText w:val="%4."/>
      <w:lvlJc w:val="left"/>
      <w:pPr>
        <w:ind w:left="2880" w:hanging="360"/>
      </w:pPr>
    </w:lvl>
    <w:lvl w:ilvl="4" w:tplc="5D66A72C" w:tentative="1">
      <w:start w:val="1"/>
      <w:numFmt w:val="lowerLetter"/>
      <w:lvlText w:val="%5."/>
      <w:lvlJc w:val="left"/>
      <w:pPr>
        <w:ind w:left="3600" w:hanging="360"/>
      </w:pPr>
    </w:lvl>
    <w:lvl w:ilvl="5" w:tplc="D7F0BF1E" w:tentative="1">
      <w:start w:val="1"/>
      <w:numFmt w:val="lowerRoman"/>
      <w:lvlText w:val="%6."/>
      <w:lvlJc w:val="right"/>
      <w:pPr>
        <w:ind w:left="4320" w:hanging="180"/>
      </w:pPr>
    </w:lvl>
    <w:lvl w:ilvl="6" w:tplc="81E834B8" w:tentative="1">
      <w:start w:val="1"/>
      <w:numFmt w:val="decimal"/>
      <w:lvlText w:val="%7."/>
      <w:lvlJc w:val="left"/>
      <w:pPr>
        <w:ind w:left="5040" w:hanging="360"/>
      </w:pPr>
    </w:lvl>
    <w:lvl w:ilvl="7" w:tplc="CD363D50" w:tentative="1">
      <w:start w:val="1"/>
      <w:numFmt w:val="lowerLetter"/>
      <w:lvlText w:val="%8."/>
      <w:lvlJc w:val="left"/>
      <w:pPr>
        <w:ind w:left="5760" w:hanging="360"/>
      </w:pPr>
    </w:lvl>
    <w:lvl w:ilvl="8" w:tplc="9C2A9BC4"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8"/>
  </w:num>
  <w:num w:numId="8">
    <w:abstractNumId w:val="9"/>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CC30"/>
    <w:rsid w:val="000750CC"/>
    <w:rsid w:val="000B7B51"/>
    <w:rsid w:val="000E4FA0"/>
    <w:rsid w:val="00111E28"/>
    <w:rsid w:val="001B52CA"/>
    <w:rsid w:val="001D539A"/>
    <w:rsid w:val="001E2411"/>
    <w:rsid w:val="00236B1F"/>
    <w:rsid w:val="0026797A"/>
    <w:rsid w:val="0027587A"/>
    <w:rsid w:val="002A100A"/>
    <w:rsid w:val="002D66CC"/>
    <w:rsid w:val="002F11CD"/>
    <w:rsid w:val="00300812"/>
    <w:rsid w:val="00300F93"/>
    <w:rsid w:val="00316110"/>
    <w:rsid w:val="00327EB0"/>
    <w:rsid w:val="00356BE5"/>
    <w:rsid w:val="00373050"/>
    <w:rsid w:val="0039110C"/>
    <w:rsid w:val="003F16B8"/>
    <w:rsid w:val="00472F13"/>
    <w:rsid w:val="00496DD9"/>
    <w:rsid w:val="00506FC3"/>
    <w:rsid w:val="00551272"/>
    <w:rsid w:val="005630B9"/>
    <w:rsid w:val="005D6523"/>
    <w:rsid w:val="006231FB"/>
    <w:rsid w:val="00647F6A"/>
    <w:rsid w:val="00665A1E"/>
    <w:rsid w:val="00686AA4"/>
    <w:rsid w:val="006B3525"/>
    <w:rsid w:val="006C2126"/>
    <w:rsid w:val="006D171E"/>
    <w:rsid w:val="00757318"/>
    <w:rsid w:val="00770DA0"/>
    <w:rsid w:val="00777244"/>
    <w:rsid w:val="007911BE"/>
    <w:rsid w:val="00800077"/>
    <w:rsid w:val="008707C4"/>
    <w:rsid w:val="00872B58"/>
    <w:rsid w:val="00872BA4"/>
    <w:rsid w:val="008B219B"/>
    <w:rsid w:val="008F4C88"/>
    <w:rsid w:val="0094193E"/>
    <w:rsid w:val="00963CE4"/>
    <w:rsid w:val="00976EA9"/>
    <w:rsid w:val="00980D00"/>
    <w:rsid w:val="009A23AC"/>
    <w:rsid w:val="009C5702"/>
    <w:rsid w:val="00A015AF"/>
    <w:rsid w:val="00A106D4"/>
    <w:rsid w:val="00A42905"/>
    <w:rsid w:val="00A77EAA"/>
    <w:rsid w:val="00A87000"/>
    <w:rsid w:val="00AD794D"/>
    <w:rsid w:val="00AF2240"/>
    <w:rsid w:val="00B51C91"/>
    <w:rsid w:val="00B542E4"/>
    <w:rsid w:val="00B73182"/>
    <w:rsid w:val="00B77D28"/>
    <w:rsid w:val="00B87EF5"/>
    <w:rsid w:val="00B9167F"/>
    <w:rsid w:val="00BA7B65"/>
    <w:rsid w:val="00BB0B34"/>
    <w:rsid w:val="00C06C4E"/>
    <w:rsid w:val="00C41661"/>
    <w:rsid w:val="00C43BD2"/>
    <w:rsid w:val="00C53B82"/>
    <w:rsid w:val="00C74366"/>
    <w:rsid w:val="00CA3BE5"/>
    <w:rsid w:val="00CD2C98"/>
    <w:rsid w:val="00D07BE4"/>
    <w:rsid w:val="00D330A6"/>
    <w:rsid w:val="00DA614A"/>
    <w:rsid w:val="00DB0C81"/>
    <w:rsid w:val="00DB37A5"/>
    <w:rsid w:val="00DC5156"/>
    <w:rsid w:val="00E04F8F"/>
    <w:rsid w:val="00E441BE"/>
    <w:rsid w:val="00E73117"/>
    <w:rsid w:val="00EC486D"/>
    <w:rsid w:val="00EC75DD"/>
    <w:rsid w:val="00FB00EC"/>
    <w:rsid w:val="00FB5DC0"/>
    <w:rsid w:val="00FC0AA2"/>
    <w:rsid w:val="014C2A5E"/>
    <w:rsid w:val="0185FA06"/>
    <w:rsid w:val="03A5E4BA"/>
    <w:rsid w:val="03FD0E27"/>
    <w:rsid w:val="0401C6A4"/>
    <w:rsid w:val="041E97C1"/>
    <w:rsid w:val="0496F171"/>
    <w:rsid w:val="049984E5"/>
    <w:rsid w:val="04A22F58"/>
    <w:rsid w:val="05C1C639"/>
    <w:rsid w:val="07CB03E4"/>
    <w:rsid w:val="09293D12"/>
    <w:rsid w:val="09335D90"/>
    <w:rsid w:val="0A003D7F"/>
    <w:rsid w:val="0B773283"/>
    <w:rsid w:val="0B8E293D"/>
    <w:rsid w:val="0CC3388C"/>
    <w:rsid w:val="0CD70CBB"/>
    <w:rsid w:val="0CE6FCE1"/>
    <w:rsid w:val="0E4A5379"/>
    <w:rsid w:val="0ECBA6C1"/>
    <w:rsid w:val="0FC2D504"/>
    <w:rsid w:val="118102CB"/>
    <w:rsid w:val="1304DF78"/>
    <w:rsid w:val="14926D88"/>
    <w:rsid w:val="1540041A"/>
    <w:rsid w:val="154DA777"/>
    <w:rsid w:val="168F999F"/>
    <w:rsid w:val="18B47C33"/>
    <w:rsid w:val="1930DB41"/>
    <w:rsid w:val="1936F62E"/>
    <w:rsid w:val="193DE57D"/>
    <w:rsid w:val="1AE5D350"/>
    <w:rsid w:val="1B4A41E6"/>
    <w:rsid w:val="1C3A4577"/>
    <w:rsid w:val="1C7F61E5"/>
    <w:rsid w:val="1CA90E21"/>
    <w:rsid w:val="1CDB756D"/>
    <w:rsid w:val="1D2AD571"/>
    <w:rsid w:val="1E2A045C"/>
    <w:rsid w:val="1E336DC6"/>
    <w:rsid w:val="1E5B41A3"/>
    <w:rsid w:val="1EB63867"/>
    <w:rsid w:val="1EB9DEDD"/>
    <w:rsid w:val="21966300"/>
    <w:rsid w:val="22BE6B33"/>
    <w:rsid w:val="24029F51"/>
    <w:rsid w:val="25350B16"/>
    <w:rsid w:val="261DD202"/>
    <w:rsid w:val="26467C3F"/>
    <w:rsid w:val="2671E6B9"/>
    <w:rsid w:val="26A36C9B"/>
    <w:rsid w:val="278F4208"/>
    <w:rsid w:val="27FD3881"/>
    <w:rsid w:val="2822FAC6"/>
    <w:rsid w:val="2A7A1BC7"/>
    <w:rsid w:val="2AED717F"/>
    <w:rsid w:val="2B8BBBE7"/>
    <w:rsid w:val="2C029DED"/>
    <w:rsid w:val="2D198699"/>
    <w:rsid w:val="2E244EC3"/>
    <w:rsid w:val="2E29F5DD"/>
    <w:rsid w:val="2E61B77D"/>
    <w:rsid w:val="2EBEA7D9"/>
    <w:rsid w:val="2ED01383"/>
    <w:rsid w:val="2F2ED909"/>
    <w:rsid w:val="306003B1"/>
    <w:rsid w:val="30701A18"/>
    <w:rsid w:val="30C1FF27"/>
    <w:rsid w:val="313954DC"/>
    <w:rsid w:val="31CDC87E"/>
    <w:rsid w:val="321AC14E"/>
    <w:rsid w:val="328E971D"/>
    <w:rsid w:val="32B1B4D3"/>
    <w:rsid w:val="32E7EA4E"/>
    <w:rsid w:val="34B6D5DB"/>
    <w:rsid w:val="34D058B0"/>
    <w:rsid w:val="36ECD4A3"/>
    <w:rsid w:val="37DF480D"/>
    <w:rsid w:val="37E95099"/>
    <w:rsid w:val="38171751"/>
    <w:rsid w:val="39F7E42D"/>
    <w:rsid w:val="3B1782F6"/>
    <w:rsid w:val="3B7AE67C"/>
    <w:rsid w:val="3BEA14AC"/>
    <w:rsid w:val="3C0C5B2F"/>
    <w:rsid w:val="3D968EFD"/>
    <w:rsid w:val="3DDACDAA"/>
    <w:rsid w:val="3E364AB0"/>
    <w:rsid w:val="3E64F3E0"/>
    <w:rsid w:val="3EA8BBDF"/>
    <w:rsid w:val="3EDB2E5B"/>
    <w:rsid w:val="3F367883"/>
    <w:rsid w:val="4082CA2D"/>
    <w:rsid w:val="4104917D"/>
    <w:rsid w:val="417E195A"/>
    <w:rsid w:val="428E0291"/>
    <w:rsid w:val="42B67FD0"/>
    <w:rsid w:val="433DFD85"/>
    <w:rsid w:val="43E910BC"/>
    <w:rsid w:val="460E7E64"/>
    <w:rsid w:val="46C6BFF5"/>
    <w:rsid w:val="476173B4"/>
    <w:rsid w:val="483BD4A7"/>
    <w:rsid w:val="487BAC13"/>
    <w:rsid w:val="48891017"/>
    <w:rsid w:val="49FCA9CD"/>
    <w:rsid w:val="4A2CD33F"/>
    <w:rsid w:val="4A9B697A"/>
    <w:rsid w:val="4AB86F41"/>
    <w:rsid w:val="4B5FDDF2"/>
    <w:rsid w:val="4B807AAE"/>
    <w:rsid w:val="4CB564E3"/>
    <w:rsid w:val="4CCD4635"/>
    <w:rsid w:val="4CDC73A0"/>
    <w:rsid w:val="4DC759FD"/>
    <w:rsid w:val="4F1F80E2"/>
    <w:rsid w:val="50B8F21E"/>
    <w:rsid w:val="50C7F75A"/>
    <w:rsid w:val="5176E2D7"/>
    <w:rsid w:val="528B74A3"/>
    <w:rsid w:val="52BE21A2"/>
    <w:rsid w:val="52BF22C0"/>
    <w:rsid w:val="52E6986F"/>
    <w:rsid w:val="53C6B6EA"/>
    <w:rsid w:val="53E03D07"/>
    <w:rsid w:val="548B92EA"/>
    <w:rsid w:val="54A4483E"/>
    <w:rsid w:val="551F72D2"/>
    <w:rsid w:val="56277CA2"/>
    <w:rsid w:val="56CB9E1E"/>
    <w:rsid w:val="570E9CFE"/>
    <w:rsid w:val="5722FFD3"/>
    <w:rsid w:val="580A7E23"/>
    <w:rsid w:val="589788DA"/>
    <w:rsid w:val="58E243BC"/>
    <w:rsid w:val="59405C85"/>
    <w:rsid w:val="59F59EAC"/>
    <w:rsid w:val="5AD624D0"/>
    <w:rsid w:val="5ADC2CE6"/>
    <w:rsid w:val="5AF19210"/>
    <w:rsid w:val="5B3BFE18"/>
    <w:rsid w:val="5B9DA129"/>
    <w:rsid w:val="5BB66BB1"/>
    <w:rsid w:val="5C19E47E"/>
    <w:rsid w:val="5C3ECC97"/>
    <w:rsid w:val="5C816E5B"/>
    <w:rsid w:val="5C82A8DB"/>
    <w:rsid w:val="5D6E7E48"/>
    <w:rsid w:val="5D8522D9"/>
    <w:rsid w:val="5E217EAF"/>
    <w:rsid w:val="5E4C9A5B"/>
    <w:rsid w:val="5E5A53B5"/>
    <w:rsid w:val="5E7DD4CA"/>
    <w:rsid w:val="5F174B97"/>
    <w:rsid w:val="6002AB7F"/>
    <w:rsid w:val="6010CC80"/>
    <w:rsid w:val="60A597B2"/>
    <w:rsid w:val="620D54A6"/>
    <w:rsid w:val="62639553"/>
    <w:rsid w:val="62892602"/>
    <w:rsid w:val="62BFE777"/>
    <w:rsid w:val="6357B9ED"/>
    <w:rsid w:val="642368C1"/>
    <w:rsid w:val="6444DFAF"/>
    <w:rsid w:val="64C1906B"/>
    <w:rsid w:val="6537524D"/>
    <w:rsid w:val="6551DB58"/>
    <w:rsid w:val="65943897"/>
    <w:rsid w:val="65DFD2A5"/>
    <w:rsid w:val="65E9D2E5"/>
    <w:rsid w:val="65F75F61"/>
    <w:rsid w:val="66489C3B"/>
    <w:rsid w:val="665E611E"/>
    <w:rsid w:val="669AC1FC"/>
    <w:rsid w:val="6700D0D7"/>
    <w:rsid w:val="67A7E7A3"/>
    <w:rsid w:val="681B163A"/>
    <w:rsid w:val="69480386"/>
    <w:rsid w:val="6A8DFA22"/>
    <w:rsid w:val="6AF90035"/>
    <w:rsid w:val="6B38C7AF"/>
    <w:rsid w:val="6B5ECC4A"/>
    <w:rsid w:val="6BD2F445"/>
    <w:rsid w:val="6BECCA4F"/>
    <w:rsid w:val="6C45E4D5"/>
    <w:rsid w:val="6CA5B8C1"/>
    <w:rsid w:val="6CBDC2CC"/>
    <w:rsid w:val="6D1B4991"/>
    <w:rsid w:val="6E91B02A"/>
    <w:rsid w:val="6F2DFB89"/>
    <w:rsid w:val="6F55CED5"/>
    <w:rsid w:val="6F9248AC"/>
    <w:rsid w:val="6FC27FC5"/>
    <w:rsid w:val="6FD7206D"/>
    <w:rsid w:val="70074FB2"/>
    <w:rsid w:val="70622CEC"/>
    <w:rsid w:val="72052DB7"/>
    <w:rsid w:val="724CDB0E"/>
    <w:rsid w:val="7266D810"/>
    <w:rsid w:val="7294D6B8"/>
    <w:rsid w:val="73B2F60B"/>
    <w:rsid w:val="74CE7E2C"/>
    <w:rsid w:val="74E8568A"/>
    <w:rsid w:val="756ED3FB"/>
    <w:rsid w:val="770C1743"/>
    <w:rsid w:val="77C21DBA"/>
    <w:rsid w:val="77CC48B4"/>
    <w:rsid w:val="7876ACE9"/>
    <w:rsid w:val="796B6115"/>
    <w:rsid w:val="79B8CCA8"/>
    <w:rsid w:val="7AADC5B4"/>
    <w:rsid w:val="7B21F505"/>
    <w:rsid w:val="7B3D3858"/>
    <w:rsid w:val="7B8CEE79"/>
    <w:rsid w:val="7CE84F02"/>
    <w:rsid w:val="7D261BC9"/>
    <w:rsid w:val="7D5128D7"/>
    <w:rsid w:val="7D7C76F4"/>
    <w:rsid w:val="7D9E9771"/>
    <w:rsid w:val="7DF0AAE8"/>
    <w:rsid w:val="7F204854"/>
    <w:rsid w:val="7F551D2A"/>
    <w:rsid w:val="7F8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D99"/>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garland@ode.state.o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C2 (Settings)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'C2'!$A$2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'C2'!$B$2:$G$2</c:f>
              <c:numCache>
                <c:formatCode>0.00%</c:formatCode>
                <c:ptCount val="6"/>
                <c:pt idx="0">
                  <c:v>0.96430000000000005</c:v>
                </c:pt>
                <c:pt idx="1">
                  <c:v>0.97540000000000004</c:v>
                </c:pt>
                <c:pt idx="2">
                  <c:v>0.97009999999999996</c:v>
                </c:pt>
                <c:pt idx="3">
                  <c:v>0.98150000000000004</c:v>
                </c:pt>
                <c:pt idx="4">
                  <c:v>0.98470000000000002</c:v>
                </c:pt>
                <c:pt idx="5">
                  <c:v>0.98660000000000003</c:v>
                </c:pt>
              </c:numCache>
            </c:numRef>
          </c:val>
          <c:smooth val="0"/>
          <c:extLst>
            <c:ext xmlns:c16="http://schemas.microsoft.com/office/drawing/2014/chart" uri="{C3380CC4-5D6E-409C-BE32-E72D297353CC}">
              <c16:uniqueId val="{00000000-A61F-468B-B839-98EE3432A7DE}"/>
            </c:ext>
          </c:extLst>
        </c:ser>
        <c:ser>
          <c:idx val="1"/>
          <c:order val="1"/>
          <c:tx>
            <c:strRef>
              <c:f>'C2'!$A$3</c:f>
              <c:strCache>
                <c:ptCount val="1"/>
                <c:pt idx="0">
                  <c:v>Target &gt;=</c:v>
                </c:pt>
              </c:strCache>
            </c:strRef>
          </c:tx>
          <c:spPr>
            <a:ln w="28575" cap="rnd">
              <a:solidFill>
                <a:srgbClr val="408740"/>
              </a:solidFill>
              <a:round/>
            </a:ln>
            <a:effectLst/>
          </c:spPr>
          <c:marker>
            <c:symbol val="none"/>
          </c:marker>
          <c:dLbls>
            <c:dLbl>
              <c:idx val="0"/>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1F-468B-B839-98EE3432A7DE}"/>
                </c:ext>
              </c:extLst>
            </c:dLbl>
            <c:dLbl>
              <c:idx val="1"/>
              <c:layout>
                <c:manualLayout>
                  <c:x val="-4.850281409392034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1F-468B-B839-98EE3432A7DE}"/>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1F-468B-B839-98EE3432A7DE}"/>
                </c:ext>
              </c:extLst>
            </c:dLbl>
            <c:dLbl>
              <c:idx val="3"/>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1F-468B-B839-98EE3432A7DE}"/>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61F-468B-B839-98EE3432A7DE}"/>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61F-468B-B839-98EE3432A7D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'C2'!$B$3:$G$3</c:f>
              <c:numCache>
                <c:formatCode>0.00%</c:formatCode>
                <c:ptCount val="6"/>
                <c:pt idx="0">
                  <c:v>0.96499999999999997</c:v>
                </c:pt>
                <c:pt idx="1">
                  <c:v>0.96499999999999997</c:v>
                </c:pt>
                <c:pt idx="2">
                  <c:v>0.96499999999999997</c:v>
                </c:pt>
                <c:pt idx="3">
                  <c:v>0.96499999999999997</c:v>
                </c:pt>
                <c:pt idx="4">
                  <c:v>0.96499999999999997</c:v>
                </c:pt>
                <c:pt idx="5">
                  <c:v>0.96499999999999997</c:v>
                </c:pt>
              </c:numCache>
            </c:numRef>
          </c:val>
          <c:smooth val="0"/>
          <c:extLst>
            <c:ext xmlns:c16="http://schemas.microsoft.com/office/drawing/2014/chart" uri="{C3380CC4-5D6E-409C-BE32-E72D297353CC}">
              <c16:uniqueId val="{00000007-A61F-468B-B839-98EE3432A7D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94000000000000006"/>
        </c:scaling>
        <c:delete val="0"/>
        <c:axPos val="l"/>
        <c:majorGridlines>
          <c:spPr>
            <a:ln w="9525">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47477c3-cea5-4644-a2b9-72f12b741c16"/>
    <ds:schemaRef ds:uri="http://purl.org/dc/terms/"/>
    <ds:schemaRef ds:uri="7f305cf4-7e8c-42e6-816c-ef6b646f0a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3326F9-5C20-4054-9B42-A6903E6E56BF}"/>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2021-12-16T18:58:00Z</dcterms:created>
  <dcterms:modified xsi:type="dcterms:W3CDTF">2021-12-16T18:58:00Z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