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72C4" w14:textId="77777777" w:rsidR="00F53571" w:rsidRPr="00F53571" w:rsidRDefault="00F53571" w:rsidP="00AC7758">
      <w:pPr>
        <w:pStyle w:val="Deletion"/>
        <w:rPr>
          <w:b/>
          <w:lang w:val="en"/>
        </w:rPr>
      </w:pPr>
      <w:hyperlink r:id="rId4" w:history="1">
        <w:r w:rsidRPr="0033305E">
          <w:rPr>
            <w:rStyle w:val="Hyperlink"/>
            <w:b/>
            <w:i w:val="0"/>
            <w:iCs/>
            <w:lang w:val="en"/>
          </w:rPr>
          <w:t>581-014-0004</w:t>
        </w:r>
        <w:r w:rsidRPr="00F53571">
          <w:rPr>
            <w:rStyle w:val="Hyperlink"/>
            <w:b/>
            <w:lang w:val="en"/>
          </w:rPr>
          <w:br/>
        </w:r>
      </w:hyperlink>
      <w:r w:rsidRPr="0033305E">
        <w:rPr>
          <w:b/>
          <w:i w:val="0"/>
          <w:iCs/>
          <w:lang w:val="en"/>
        </w:rPr>
        <w:t>Fund Administration for Student Investment Account</w:t>
      </w:r>
    </w:p>
    <w:p w14:paraId="60CB945B" w14:textId="068011C5" w:rsidR="00F53571" w:rsidRPr="00F53571" w:rsidRDefault="00F53571" w:rsidP="00F53571">
      <w:pPr>
        <w:rPr>
          <w:lang w:val="en"/>
        </w:rPr>
      </w:pPr>
      <w:r w:rsidRPr="00F53571">
        <w:rPr>
          <w:lang w:val="en"/>
        </w:rPr>
        <w:t>(1) For each biennium, the Oregon Department of Education will determine the amount of grant funds from the Student Investment Account to be apportioned among eligible applicants</w:t>
      </w:r>
      <w:r w:rsidR="00F66282">
        <w:rPr>
          <w:lang w:val="en"/>
        </w:rPr>
        <w:t>.</w:t>
      </w:r>
      <w:r w:rsidR="00C63151">
        <w:rPr>
          <w:lang w:val="en"/>
        </w:rPr>
        <w:t xml:space="preserve"> </w:t>
      </w:r>
    </w:p>
    <w:p w14:paraId="7D074803" w14:textId="6A8F27F0" w:rsidR="00F53571" w:rsidRPr="00F53571" w:rsidRDefault="00F53571" w:rsidP="00F53571">
      <w:pPr>
        <w:rPr>
          <w:lang w:val="en"/>
        </w:rPr>
      </w:pPr>
      <w:r w:rsidRPr="00F53571">
        <w:rPr>
          <w:lang w:val="en"/>
        </w:rPr>
        <w:t xml:space="preserve">(2) For purposes of establishing the amount of grant funds apportioned to eligible applicants, the Oregon Department of Education will use the most current finalized ADMw from the State School Fund from the </w:t>
      </w:r>
      <w:r w:rsidR="00AC7758" w:rsidRPr="00AC7758">
        <w:rPr>
          <w:rStyle w:val="DeletionChar"/>
        </w:rPr>
        <w:t>[</w:t>
      </w:r>
      <w:r w:rsidRPr="00AC7758">
        <w:rPr>
          <w:rStyle w:val="DeletionChar"/>
        </w:rPr>
        <w:t>prior year.</w:t>
      </w:r>
      <w:r w:rsidR="00AC7758" w:rsidRPr="00AC7758">
        <w:rPr>
          <w:rStyle w:val="DeletionChar"/>
        </w:rPr>
        <w:t>]</w:t>
      </w:r>
      <w:r w:rsidR="00AC7758">
        <w:rPr>
          <w:lang w:val="en"/>
        </w:rPr>
        <w:t xml:space="preserve"> </w:t>
      </w:r>
      <w:r w:rsidR="00F26149" w:rsidRPr="00AC7758">
        <w:rPr>
          <w:rStyle w:val="Strong"/>
        </w:rPr>
        <w:t>year prior to the start of each biennium.</w:t>
      </w:r>
    </w:p>
    <w:p w14:paraId="1B629CF1" w14:textId="77777777" w:rsidR="00F53571" w:rsidRPr="00F53571" w:rsidRDefault="00F53571" w:rsidP="00F53571">
      <w:pPr>
        <w:rPr>
          <w:lang w:val="en"/>
        </w:rPr>
      </w:pPr>
      <w:r w:rsidRPr="00F53571">
        <w:rPr>
          <w:lang w:val="en"/>
        </w:rPr>
        <w:t>(3) If a school district has an ADMw of 50 or less, it will receive an allocation based on an ADMw of 50.</w:t>
      </w:r>
    </w:p>
    <w:p w14:paraId="312B9B26" w14:textId="77777777" w:rsidR="00F53571" w:rsidRPr="00F53571" w:rsidRDefault="00F53571" w:rsidP="00F53571">
      <w:pPr>
        <w:rPr>
          <w:lang w:val="en"/>
        </w:rPr>
      </w:pPr>
      <w:r w:rsidRPr="00F53571">
        <w:rPr>
          <w:lang w:val="en"/>
        </w:rPr>
        <w:t>(4) If an eligible applicant does not apply for a grant from the Student Investment Account by the close of the application period, the amount of their grant funds will revert to the Student Investment Account and be reallocated within the grant award cycle. An eligible applicant that does not apply for a grant will be eligible in the next application process for the Student Investment Account.</w:t>
      </w:r>
    </w:p>
    <w:p w14:paraId="70EBD339" w14:textId="2E7AA35D" w:rsidR="00F53571" w:rsidRPr="00F53571" w:rsidRDefault="00F53571" w:rsidP="00F53571">
      <w:pPr>
        <w:rPr>
          <w:lang w:val="en"/>
        </w:rPr>
      </w:pPr>
      <w:r w:rsidRPr="00F53571">
        <w:rPr>
          <w:lang w:val="en"/>
        </w:rPr>
        <w:t xml:space="preserve">(5) Following approval of the grant agreement, an eligible recipient will receive payments of at least </w:t>
      </w:r>
      <w:r w:rsidR="00AC7758" w:rsidRPr="00AC7758">
        <w:rPr>
          <w:rStyle w:val="DeletionChar"/>
        </w:rPr>
        <w:t>[</w:t>
      </w:r>
      <w:r w:rsidRPr="00AC7758">
        <w:rPr>
          <w:rStyle w:val="DeletionChar"/>
        </w:rPr>
        <w:t>25</w:t>
      </w:r>
      <w:r w:rsidR="00AC7758" w:rsidRPr="00AC7758">
        <w:rPr>
          <w:rStyle w:val="DeletionChar"/>
        </w:rPr>
        <w:t>]</w:t>
      </w:r>
      <w:r w:rsidR="00AC7758">
        <w:rPr>
          <w:lang w:val="en"/>
        </w:rPr>
        <w:t xml:space="preserve"> </w:t>
      </w:r>
      <w:r w:rsidR="00F26149" w:rsidRPr="00AC7758">
        <w:rPr>
          <w:rStyle w:val="Strong"/>
        </w:rPr>
        <w:t>12.5</w:t>
      </w:r>
      <w:r w:rsidR="00F26149" w:rsidRPr="00F53571">
        <w:rPr>
          <w:lang w:val="en"/>
        </w:rPr>
        <w:t xml:space="preserve"> </w:t>
      </w:r>
      <w:r w:rsidRPr="00F53571">
        <w:rPr>
          <w:lang w:val="en"/>
        </w:rPr>
        <w:t>percent on a quarterly basis per</w:t>
      </w:r>
      <w:r w:rsidR="00AC7758">
        <w:rPr>
          <w:lang w:val="en"/>
        </w:rPr>
        <w:t xml:space="preserve"> </w:t>
      </w:r>
      <w:r w:rsidR="00AC7758" w:rsidRPr="00AC7758">
        <w:rPr>
          <w:rStyle w:val="DeletionChar"/>
        </w:rPr>
        <w:t>[</w:t>
      </w:r>
      <w:r w:rsidR="00AC7758">
        <w:rPr>
          <w:rStyle w:val="DeletionChar"/>
        </w:rPr>
        <w:t>annual</w:t>
      </w:r>
      <w:r w:rsidR="00AC7758" w:rsidRPr="00AC7758">
        <w:rPr>
          <w:rStyle w:val="DeletionChar"/>
        </w:rPr>
        <w:t>]</w:t>
      </w:r>
      <w:r w:rsidR="00AC7758">
        <w:rPr>
          <w:lang w:val="en"/>
        </w:rPr>
        <w:t xml:space="preserve"> </w:t>
      </w:r>
      <w:r w:rsidR="00AC7758">
        <w:rPr>
          <w:rStyle w:val="Strong"/>
        </w:rPr>
        <w:t xml:space="preserve">biennial </w:t>
      </w:r>
      <w:r w:rsidRPr="00F53571">
        <w:rPr>
          <w:lang w:val="en"/>
        </w:rPr>
        <w:t>allocation. If adjustments to installment payments are required, a lower percentage may be used.</w:t>
      </w:r>
    </w:p>
    <w:p w14:paraId="22132A6B" w14:textId="613EC2CA" w:rsidR="00F53571" w:rsidRPr="00F53571" w:rsidRDefault="00F53571" w:rsidP="00F53571">
      <w:pPr>
        <w:rPr>
          <w:lang w:val="en"/>
        </w:rPr>
      </w:pPr>
      <w:r w:rsidRPr="00F53571">
        <w:rPr>
          <w:lang w:val="en"/>
        </w:rPr>
        <w:t xml:space="preserve">(6) Grant recipients will be eligible to expend funds until June 30 of </w:t>
      </w:r>
      <w:r w:rsidR="00AC7758" w:rsidRPr="00AC7758">
        <w:rPr>
          <w:rStyle w:val="DeletionChar"/>
        </w:rPr>
        <w:t>[</w:t>
      </w:r>
      <w:r w:rsidR="00AC7758">
        <w:rPr>
          <w:rStyle w:val="DeletionChar"/>
        </w:rPr>
        <w:t>each year</w:t>
      </w:r>
      <w:r w:rsidR="00AC7758" w:rsidRPr="00AC7758">
        <w:rPr>
          <w:rStyle w:val="DeletionChar"/>
        </w:rPr>
        <w:t>]</w:t>
      </w:r>
      <w:r w:rsidR="00AC7758">
        <w:rPr>
          <w:lang w:val="en"/>
        </w:rPr>
        <w:t xml:space="preserve"> </w:t>
      </w:r>
      <w:r w:rsidR="00AC7758">
        <w:rPr>
          <w:rStyle w:val="Strong"/>
        </w:rPr>
        <w:t>year two of the biennium</w:t>
      </w:r>
      <w:r w:rsidR="00AC7758">
        <w:rPr>
          <w:lang w:val="en"/>
        </w:rPr>
        <w:t xml:space="preserve">. </w:t>
      </w:r>
      <w:r w:rsidRPr="00F53571">
        <w:rPr>
          <w:lang w:val="en"/>
        </w:rPr>
        <w:t>Any allocated funds that are not used by a grant recipient by June 30</w:t>
      </w:r>
      <w:r w:rsidR="00AC7758" w:rsidRPr="00AC7758">
        <w:rPr>
          <w:rStyle w:val="DeletionChar"/>
        </w:rPr>
        <w:t>[</w:t>
      </w:r>
      <w:r w:rsidR="00AC7758">
        <w:rPr>
          <w:rStyle w:val="DeletionChar"/>
        </w:rPr>
        <w:t>each year</w:t>
      </w:r>
      <w:r w:rsidR="00AC7758" w:rsidRPr="00AC7758">
        <w:rPr>
          <w:rStyle w:val="DeletionChar"/>
        </w:rPr>
        <w:t>]</w:t>
      </w:r>
      <w:r w:rsidR="00AC7758">
        <w:rPr>
          <w:lang w:val="en"/>
        </w:rPr>
        <w:t xml:space="preserve"> </w:t>
      </w:r>
      <w:r w:rsidR="00AC7758">
        <w:rPr>
          <w:rStyle w:val="Strong"/>
        </w:rPr>
        <w:t>year two of the biennium</w:t>
      </w:r>
      <w:r w:rsidRPr="00F53571">
        <w:rPr>
          <w:lang w:val="en"/>
        </w:rPr>
        <w:t xml:space="preserve"> will be returned to the Student Investment Account for distribution in the next biennium. </w:t>
      </w:r>
    </w:p>
    <w:p w14:paraId="544F1653" w14:textId="77777777" w:rsidR="00F53571" w:rsidRPr="00F53571" w:rsidRDefault="00F53571" w:rsidP="00F53571">
      <w:pPr>
        <w:rPr>
          <w:lang w:val="en"/>
        </w:rPr>
      </w:pPr>
      <w:r w:rsidRPr="00F53571">
        <w:rPr>
          <w:lang w:val="en"/>
        </w:rPr>
        <w:t>(7) Funds received by a grant recipient under this section must be separately accounted for and must be used in accordance with the recipient’s grant agreement for the Student Investment Account. A grant recipient may use funds for administrative costs, including indirect costs, directly related to allowed expenditures as provided in the grant agreement. Administrative costs are limited to five percent of the total expenditures or $500,000 annually, whichever is less. Any administrative costs incurred by a participating charter school must be accounted for within the sponsoring school district’s overall limit of five percent or $500,000, whichever is less.</w:t>
      </w:r>
    </w:p>
    <w:p w14:paraId="0DDBC1E1" w14:textId="77777777" w:rsidR="0033305E" w:rsidRDefault="00F53571" w:rsidP="00F26149">
      <w:pPr>
        <w:rPr>
          <w:lang w:val="en"/>
        </w:rPr>
      </w:pPr>
      <w:r w:rsidRPr="00F53571">
        <w:rPr>
          <w:lang w:val="en"/>
        </w:rPr>
        <w:t>(8) The Deputy Superintendent of Public Instruction shall resolve any issues arising from the administration of the Student Investment Account grants not specifically addressed by this rule. The Deputy Superintendent of Public Instruction's determination shall be final.</w:t>
      </w:r>
    </w:p>
    <w:p w14:paraId="591D3A16" w14:textId="10043E6E" w:rsidR="00F26149" w:rsidRPr="0033305E" w:rsidRDefault="00F26149" w:rsidP="00F26149">
      <w:pPr>
        <w:rPr>
          <w:rStyle w:val="Strong"/>
          <w:b w:val="0"/>
          <w:bCs w:val="0"/>
          <w:lang w:val="en"/>
        </w:rPr>
      </w:pPr>
      <w:r w:rsidRPr="002717C5">
        <w:rPr>
          <w:rStyle w:val="Strong"/>
        </w:rPr>
        <w:t>(9)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may;</w:t>
      </w:r>
    </w:p>
    <w:p w14:paraId="514A3941" w14:textId="77777777" w:rsidR="00F26149" w:rsidRPr="002717C5" w:rsidRDefault="00F26149" w:rsidP="00F26149">
      <w:pPr>
        <w:rPr>
          <w:rStyle w:val="Strong"/>
        </w:rPr>
      </w:pPr>
      <w:r w:rsidRPr="002717C5">
        <w:rPr>
          <w:rStyle w:val="Strong"/>
        </w:rPr>
        <w:lastRenderedPageBreak/>
        <w:t>(a) Allocate what have been apportioned to the charter school to the sponsoring district at the same time as the district allocations are made.</w:t>
      </w:r>
    </w:p>
    <w:p w14:paraId="27835598" w14:textId="77777777" w:rsidR="00F26149" w:rsidRPr="002717C5" w:rsidRDefault="00F26149" w:rsidP="00F26149">
      <w:pPr>
        <w:rPr>
          <w:rStyle w:val="Strong"/>
        </w:rPr>
      </w:pPr>
      <w:r w:rsidRPr="002717C5">
        <w:rPr>
          <w:rStyle w:val="Strong"/>
        </w:rPr>
        <w:t>(b) Allocate what would have been apportioned to the charter school to the charter schools successor entity.</w:t>
      </w:r>
    </w:p>
    <w:p w14:paraId="74778008" w14:textId="77777777" w:rsidR="00F26149" w:rsidRPr="002717C5" w:rsidRDefault="00F26149" w:rsidP="00F26149">
      <w:pPr>
        <w:rPr>
          <w:rStyle w:val="Strong"/>
        </w:rPr>
      </w:pPr>
      <w:r w:rsidRPr="002717C5">
        <w:rPr>
          <w:rStyle w:val="Strong"/>
        </w:rPr>
        <w:t>(c) Return the apportioned amount to the Statewide Education Initiatives Account for reallocation in a subsequent fiscal year.</w:t>
      </w:r>
    </w:p>
    <w:p w14:paraId="701A377C" w14:textId="77777777" w:rsidR="00F26149" w:rsidRPr="00F53571" w:rsidRDefault="00F26149" w:rsidP="00F53571">
      <w:pPr>
        <w:rPr>
          <w:lang w:val="en"/>
        </w:rPr>
      </w:pPr>
    </w:p>
    <w:p w14:paraId="55D7DA4E" w14:textId="57105F5F" w:rsidR="00F53571" w:rsidRPr="00F53571" w:rsidRDefault="00F53571" w:rsidP="00F53571">
      <w:pPr>
        <w:rPr>
          <w:b/>
          <w:lang w:val="en"/>
        </w:rPr>
      </w:pPr>
      <w:hyperlink r:id="rId5" w:history="1">
        <w:r w:rsidRPr="00F53571">
          <w:rPr>
            <w:rStyle w:val="Hyperlink"/>
            <w:b/>
            <w:lang w:val="en"/>
          </w:rPr>
          <w:t>581-013-0015</w:t>
        </w:r>
        <w:r w:rsidRPr="00F53571">
          <w:rPr>
            <w:rStyle w:val="Hyperlink"/>
            <w:b/>
            <w:lang w:val="en"/>
          </w:rPr>
          <w:br/>
        </w:r>
      </w:hyperlink>
      <w:r w:rsidRPr="00F53571">
        <w:rPr>
          <w:b/>
          <w:lang w:val="en"/>
        </w:rPr>
        <w:t>Fund Administration</w:t>
      </w:r>
      <w:r>
        <w:rPr>
          <w:b/>
          <w:lang w:val="en"/>
        </w:rPr>
        <w:t xml:space="preserve"> (Measure 98- [2016])</w:t>
      </w:r>
    </w:p>
    <w:p w14:paraId="54DED55A" w14:textId="36EE5B4B" w:rsidR="00F53571" w:rsidRPr="00F53571" w:rsidRDefault="00F53571" w:rsidP="00F53571">
      <w:pPr>
        <w:rPr>
          <w:lang w:val="en"/>
        </w:rPr>
      </w:pPr>
      <w:r w:rsidRPr="00F53571">
        <w:rPr>
          <w:lang w:val="en"/>
        </w:rPr>
        <w:t xml:space="preserve">(1) For each biennium, the Oregon Department of Education shall determine the total amount of funds to be apportioned among the eligible school districts and charter schools for </w:t>
      </w:r>
      <w:r w:rsidR="002717C5" w:rsidRPr="002717C5">
        <w:rPr>
          <w:rStyle w:val="DeletionChar"/>
        </w:rPr>
        <w:t>[</w:t>
      </w:r>
      <w:r w:rsidRPr="002717C5">
        <w:rPr>
          <w:rStyle w:val="DeletionChar"/>
        </w:rPr>
        <w:t>each year of</w:t>
      </w:r>
      <w:r w:rsidR="002717C5" w:rsidRPr="002717C5">
        <w:rPr>
          <w:rStyle w:val="DeletionChar"/>
        </w:rPr>
        <w:t>]</w:t>
      </w:r>
      <w:r w:rsidR="002717C5">
        <w:rPr>
          <w:lang w:val="en"/>
        </w:rPr>
        <w:t xml:space="preserve"> </w:t>
      </w:r>
      <w:r w:rsidRPr="00F53571">
        <w:rPr>
          <w:lang w:val="en"/>
        </w:rPr>
        <w:t>the biennium.</w:t>
      </w:r>
    </w:p>
    <w:p w14:paraId="03ABB092" w14:textId="4EC39C2D" w:rsidR="00F53571" w:rsidRPr="00F53571" w:rsidRDefault="00F53571" w:rsidP="00F53571">
      <w:pPr>
        <w:rPr>
          <w:lang w:val="en"/>
        </w:rPr>
      </w:pPr>
      <w:r w:rsidRPr="00F53571">
        <w:rPr>
          <w:lang w:val="en"/>
        </w:rPr>
        <w:t>(2)  For purposes of establishing the amount of grant funds apportioned to eligible applicants, the Oregon Department of Education will use the most current finalized ADMw from the State School Fund from the</w:t>
      </w:r>
      <w:r w:rsidR="002717C5">
        <w:rPr>
          <w:lang w:val="en"/>
        </w:rPr>
        <w:t xml:space="preserve"> </w:t>
      </w:r>
      <w:r w:rsidR="002717C5" w:rsidRPr="002717C5">
        <w:rPr>
          <w:rStyle w:val="DeletionChar"/>
        </w:rPr>
        <w:t>[</w:t>
      </w:r>
      <w:r w:rsidR="002717C5">
        <w:rPr>
          <w:rStyle w:val="DeletionChar"/>
        </w:rPr>
        <w:t>prior year</w:t>
      </w:r>
      <w:r w:rsidR="002717C5" w:rsidRPr="002717C5">
        <w:rPr>
          <w:rStyle w:val="DeletionChar"/>
        </w:rPr>
        <w:t>]</w:t>
      </w:r>
      <w:r w:rsidR="002717C5">
        <w:rPr>
          <w:lang w:val="en"/>
        </w:rPr>
        <w:t xml:space="preserve"> </w:t>
      </w:r>
      <w:r w:rsidR="00F26149" w:rsidRPr="002717C5">
        <w:rPr>
          <w:rStyle w:val="Strong"/>
        </w:rPr>
        <w:t>year prior to the start of the biennium.</w:t>
      </w:r>
    </w:p>
    <w:p w14:paraId="6CA18077" w14:textId="77777777" w:rsidR="00F53571" w:rsidRPr="00F53571" w:rsidRDefault="00F53571" w:rsidP="00F53571">
      <w:pPr>
        <w:rPr>
          <w:lang w:val="en"/>
        </w:rPr>
      </w:pPr>
      <w:r w:rsidRPr="00F53571">
        <w:rPr>
          <w:lang w:val="en"/>
        </w:rPr>
        <w:t xml:space="preserve">(3) Grant recipients will be eligible to expend funds until June 30 of year two of the biennium. Any allocated funds that are not used by a grant recipient by June 30 in year two of the biennium will be returned to the High School Graduation and College and Career Readiness Fund for distribution in the next biennium. </w:t>
      </w:r>
    </w:p>
    <w:p w14:paraId="094BD450" w14:textId="77777777" w:rsidR="002717C5" w:rsidRDefault="00F53571" w:rsidP="00F26149">
      <w:pPr>
        <w:rPr>
          <w:lang w:val="en"/>
        </w:rPr>
      </w:pPr>
      <w:r w:rsidRPr="00F53571">
        <w:rPr>
          <w:lang w:val="en"/>
        </w:rPr>
        <w:t>(4) Funds received by a school district or charter school under this section must be separately accounted for and must be used in accordance with the school district or charter school’s approved biennial plan.</w:t>
      </w:r>
    </w:p>
    <w:p w14:paraId="37A463C8" w14:textId="6BF74CD7" w:rsidR="00F26149" w:rsidRPr="002717C5" w:rsidRDefault="00F26149" w:rsidP="00F26149">
      <w:pPr>
        <w:rPr>
          <w:rStyle w:val="Strong"/>
          <w:b w:val="0"/>
          <w:bCs w:val="0"/>
          <w:lang w:val="en"/>
        </w:rPr>
      </w:pPr>
      <w:r w:rsidRPr="002717C5">
        <w:rPr>
          <w:rStyle w:val="Strong"/>
        </w:rPr>
        <w:t>(5)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may;</w:t>
      </w:r>
    </w:p>
    <w:p w14:paraId="3894CA65" w14:textId="77777777" w:rsidR="00F26149" w:rsidRPr="002717C5" w:rsidRDefault="00F26149" w:rsidP="00F26149">
      <w:pPr>
        <w:rPr>
          <w:rStyle w:val="Strong"/>
        </w:rPr>
      </w:pPr>
      <w:r w:rsidRPr="002717C5">
        <w:rPr>
          <w:rStyle w:val="Strong"/>
        </w:rPr>
        <w:t>(a) Allocate what have been apportioned to the charter school to the sponsoring district at the same time as the district allocations are made.</w:t>
      </w:r>
    </w:p>
    <w:p w14:paraId="3F255D42" w14:textId="77777777" w:rsidR="00F26149" w:rsidRPr="002717C5" w:rsidRDefault="00F26149" w:rsidP="00F26149">
      <w:pPr>
        <w:rPr>
          <w:rStyle w:val="Strong"/>
        </w:rPr>
      </w:pPr>
      <w:r w:rsidRPr="002717C5">
        <w:rPr>
          <w:rStyle w:val="Strong"/>
        </w:rPr>
        <w:t>(b) Allocate what would have been apportioned to the charter school to the charter schools successor entity.</w:t>
      </w:r>
    </w:p>
    <w:p w14:paraId="17777B48" w14:textId="77777777" w:rsidR="00F26149" w:rsidRPr="002717C5" w:rsidRDefault="00F26149" w:rsidP="00F26149">
      <w:pPr>
        <w:rPr>
          <w:rStyle w:val="Strong"/>
        </w:rPr>
      </w:pPr>
      <w:r w:rsidRPr="002717C5">
        <w:rPr>
          <w:rStyle w:val="Strong"/>
        </w:rPr>
        <w:t>(c) Return the apportioned amount to the Statewide Education Initiatives Account for reallocation in a subsequent fiscal year.</w:t>
      </w:r>
    </w:p>
    <w:p w14:paraId="466A8081" w14:textId="77777777" w:rsidR="00F26149" w:rsidRPr="00F53571" w:rsidRDefault="00F26149" w:rsidP="00F53571">
      <w:pPr>
        <w:rPr>
          <w:lang w:val="en"/>
        </w:rPr>
      </w:pPr>
    </w:p>
    <w:p w14:paraId="0F1CB66C" w14:textId="77777777" w:rsidR="00F53571" w:rsidRPr="00F53571" w:rsidRDefault="00F53571" w:rsidP="00F53571">
      <w:pPr>
        <w:rPr>
          <w:lang w:val="en"/>
        </w:rPr>
      </w:pPr>
    </w:p>
    <w:p w14:paraId="5B8F073A" w14:textId="4A5F9DE4" w:rsidR="00F53571" w:rsidRPr="00F53571" w:rsidRDefault="00F53571" w:rsidP="00F53571">
      <w:pPr>
        <w:rPr>
          <w:b/>
          <w:lang w:val="en"/>
        </w:rPr>
      </w:pPr>
      <w:hyperlink r:id="rId6" w:history="1">
        <w:r w:rsidRPr="00F53571">
          <w:rPr>
            <w:rStyle w:val="Hyperlink"/>
            <w:b/>
            <w:lang w:val="en"/>
          </w:rPr>
          <w:t>581-017-0809</w:t>
        </w:r>
      </w:hyperlink>
      <w:r w:rsidRPr="00F53571">
        <w:rPr>
          <w:b/>
          <w:lang w:val="en"/>
        </w:rPr>
        <w:br/>
        <w:t>Early Literacy Success School District Grants: Fund Administration</w:t>
      </w:r>
    </w:p>
    <w:p w14:paraId="19152C8A" w14:textId="7F9B4F60" w:rsidR="00F53571" w:rsidRPr="00F53571" w:rsidRDefault="00F53571" w:rsidP="00F53571">
      <w:pPr>
        <w:rPr>
          <w:lang w:val="en"/>
        </w:rPr>
      </w:pPr>
      <w:r w:rsidRPr="00F53571">
        <w:rPr>
          <w:lang w:val="en"/>
        </w:rPr>
        <w:t>(1) For each biennium, The Oregon Department of Education will determine the amount of grant funds from the Statewide Education Initiatives Account to be apportioned among eligible applicants</w:t>
      </w:r>
      <w:r>
        <w:rPr>
          <w:lang w:val="en"/>
        </w:rPr>
        <w:t xml:space="preserve"> for</w:t>
      </w:r>
      <w:r w:rsidR="00540BCC">
        <w:rPr>
          <w:lang w:val="en"/>
        </w:rPr>
        <w:t xml:space="preserve"> </w:t>
      </w:r>
      <w:r w:rsidR="00540BCC" w:rsidRPr="002717C5">
        <w:rPr>
          <w:rStyle w:val="DeletionChar"/>
        </w:rPr>
        <w:t>[</w:t>
      </w:r>
      <w:r w:rsidR="00540BCC">
        <w:rPr>
          <w:rStyle w:val="DeletionChar"/>
        </w:rPr>
        <w:t xml:space="preserve">each year of] </w:t>
      </w:r>
      <w:r>
        <w:rPr>
          <w:lang w:val="en"/>
        </w:rPr>
        <w:t>the biennium</w:t>
      </w:r>
      <w:r w:rsidRPr="00F53571">
        <w:rPr>
          <w:lang w:val="en"/>
        </w:rPr>
        <w:t>.</w:t>
      </w:r>
    </w:p>
    <w:p w14:paraId="5C5A7642" w14:textId="77777777" w:rsidR="00F53571" w:rsidRPr="00F53571" w:rsidRDefault="00F53571" w:rsidP="00F53571">
      <w:pPr>
        <w:rPr>
          <w:lang w:val="en"/>
        </w:rPr>
      </w:pPr>
      <w:r w:rsidRPr="00F53571">
        <w:rPr>
          <w:lang w:val="en"/>
        </w:rPr>
        <w:t>(2) For the 2024-2025 school year, the Oregon Department of Education shall determine the portion of funds available to each eligible applicant, using K-5 data. In calculating the portion available to each eligible applicant, the Oregon Department of Education shall use the most current finalized ADMw from the State School Fund from the prior year.</w:t>
      </w:r>
    </w:p>
    <w:p w14:paraId="1577B0CC" w14:textId="51768F43" w:rsidR="00F53571" w:rsidRPr="00F53571" w:rsidRDefault="00F53571" w:rsidP="00F53571">
      <w:pPr>
        <w:rPr>
          <w:lang w:val="en"/>
        </w:rPr>
      </w:pPr>
      <w:r w:rsidRPr="00F53571">
        <w:rPr>
          <w:lang w:val="en"/>
        </w:rPr>
        <w:t xml:space="preserve">(3) For the 2025-2026 school year and thereafter, the Oregon Department of Education shall determine the portion of funds available to each eligible applicant, using K-3 data. In calculating the portion available to each eligible applicant, the Oregon Department of Education shall use the most current finalized ADMw from the State School Fund from the </w:t>
      </w:r>
      <w:r w:rsidR="00540BCC" w:rsidRPr="002717C5">
        <w:rPr>
          <w:rStyle w:val="DeletionChar"/>
        </w:rPr>
        <w:t>[</w:t>
      </w:r>
      <w:r w:rsidR="00540BCC">
        <w:rPr>
          <w:rStyle w:val="DeletionChar"/>
        </w:rPr>
        <w:t>prior year</w:t>
      </w:r>
      <w:r w:rsidR="00540BCC" w:rsidRPr="002717C5">
        <w:rPr>
          <w:rStyle w:val="DeletionChar"/>
        </w:rPr>
        <w:t>]</w:t>
      </w:r>
      <w:r w:rsidR="00540BCC">
        <w:rPr>
          <w:lang w:val="en"/>
        </w:rPr>
        <w:t xml:space="preserve"> </w:t>
      </w:r>
      <w:r w:rsidR="00540BCC" w:rsidRPr="002717C5">
        <w:rPr>
          <w:rStyle w:val="Strong"/>
        </w:rPr>
        <w:t>year prior to the start of the biennium</w:t>
      </w:r>
      <w:r w:rsidR="00540BCC">
        <w:rPr>
          <w:rStyle w:val="Strong"/>
        </w:rPr>
        <w:t>.</w:t>
      </w:r>
    </w:p>
    <w:p w14:paraId="2BC64E63" w14:textId="77777777" w:rsidR="00F53571" w:rsidRPr="00F53571" w:rsidRDefault="00F53571" w:rsidP="00F53571">
      <w:pPr>
        <w:rPr>
          <w:lang w:val="en"/>
        </w:rPr>
      </w:pPr>
      <w:r w:rsidRPr="00F53571">
        <w:rPr>
          <w:lang w:val="en"/>
        </w:rPr>
        <w:t>(4) The department will determine floor funding for each biennium while ensuring eligible applicants with an ADMw of 50 or less, but not greater than 350 ADMw, will receive a minimum grant award.</w:t>
      </w:r>
    </w:p>
    <w:p w14:paraId="71BA025B" w14:textId="77777777" w:rsidR="00F53571" w:rsidRPr="00F53571" w:rsidRDefault="00F53571" w:rsidP="00F53571">
      <w:pPr>
        <w:rPr>
          <w:lang w:val="en"/>
        </w:rPr>
      </w:pPr>
      <w:r w:rsidRPr="00F53571">
        <w:rPr>
          <w:lang w:val="en"/>
        </w:rPr>
        <w:t>(5) If an eligible applicant does not apply for the Early Literacy Success School Grant by the close of the application period, the amount of their grant funds will revert to the Statewide Education Initiatives Account.</w:t>
      </w:r>
    </w:p>
    <w:p w14:paraId="07F94776" w14:textId="77777777" w:rsidR="00F53571" w:rsidRPr="00F53571" w:rsidRDefault="00F53571" w:rsidP="00F53571">
      <w:pPr>
        <w:rPr>
          <w:lang w:val="en"/>
        </w:rPr>
      </w:pPr>
      <w:r w:rsidRPr="00F53571">
        <w:rPr>
          <w:lang w:val="en"/>
        </w:rPr>
        <w:t>(6) Following approval of the grant agreement, an eligible recipient will receive payments of at least 25 percent on a quarterly basis per annual allocation. If adjustments to installment payments are required, a lower percentage may be used.</w:t>
      </w:r>
    </w:p>
    <w:p w14:paraId="01372AA6" w14:textId="77777777" w:rsidR="00F53571" w:rsidRPr="00F53571" w:rsidRDefault="00F53571" w:rsidP="00F53571">
      <w:pPr>
        <w:rPr>
          <w:lang w:val="en"/>
        </w:rPr>
      </w:pPr>
      <w:r w:rsidRPr="00F53571">
        <w:rPr>
          <w:lang w:val="en"/>
        </w:rPr>
        <w:t>(7) Grant recipients will be eligible to expend funds until June 30 of year two of the biennium. Any allocated funds that are not used by a grant recipient by June 30 in year two of the biennium will be returned to the Statewide Education Initiatives Account for distribution in the next biennium.</w:t>
      </w:r>
    </w:p>
    <w:p w14:paraId="3C6BDF4C" w14:textId="77777777" w:rsidR="00F53571" w:rsidRPr="00F53571" w:rsidRDefault="00F53571" w:rsidP="00F53571">
      <w:pPr>
        <w:rPr>
          <w:lang w:val="en"/>
        </w:rPr>
      </w:pPr>
      <w:r w:rsidRPr="00F53571">
        <w:rPr>
          <w:lang w:val="en"/>
        </w:rPr>
        <w:t>(8) Funds received by a grant recipient under this section must be separately accounted for and must be used in accordance with the recipient’s grant agreement for the Early Literacy Success School Grant. A grant recipient may use funds for administrative costs, including indirect costs, directly related to allowed expenditures as provided in the grant agreement. Administrative costs are limited to five percent of the total expenditures.</w:t>
      </w:r>
    </w:p>
    <w:p w14:paraId="11623AE8" w14:textId="77777777" w:rsidR="00F53571" w:rsidRPr="00F53571" w:rsidRDefault="00F53571" w:rsidP="00F53571">
      <w:pPr>
        <w:rPr>
          <w:lang w:val="en"/>
        </w:rPr>
      </w:pPr>
      <w:r w:rsidRPr="00F53571">
        <w:rPr>
          <w:lang w:val="en"/>
        </w:rPr>
        <w:t>(9) The Deputy Superintendent of Public Instruction shall resolve any issues arising from the administration of the Early Literacy Success School Grants not specifically addressed by this rule. The Deputy Superintendent of Public Instruction's determination shall be final.</w:t>
      </w:r>
    </w:p>
    <w:p w14:paraId="007AA27D" w14:textId="77777777" w:rsidR="00F53571" w:rsidRPr="00F53571" w:rsidRDefault="00F53571" w:rsidP="00F53571">
      <w:pPr>
        <w:rPr>
          <w:lang w:val="en"/>
        </w:rPr>
      </w:pPr>
      <w:r w:rsidRPr="00F53571">
        <w:rPr>
          <w:lang w:val="en"/>
        </w:rPr>
        <w:t xml:space="preserve">(10) In the case of a public charter school closure that impacts a sponsoring district’s allocation, the Department will determine the best way to reapportion funds based on the timing of the </w:t>
      </w:r>
      <w:r w:rsidRPr="00F53571">
        <w:rPr>
          <w:lang w:val="en"/>
        </w:rPr>
        <w:lastRenderedPageBreak/>
        <w:t>closure, context, and communication with the closing charter school and the sponsoring district. The Department may;</w:t>
      </w:r>
    </w:p>
    <w:p w14:paraId="7BB83E78" w14:textId="77777777" w:rsidR="00F53571" w:rsidRPr="00F53571" w:rsidRDefault="00F53571" w:rsidP="00F53571">
      <w:pPr>
        <w:rPr>
          <w:lang w:val="en"/>
        </w:rPr>
      </w:pPr>
      <w:r w:rsidRPr="00F53571">
        <w:rPr>
          <w:lang w:val="en"/>
        </w:rPr>
        <w:t>(a) Allocate what have been apportioned to the charter school to the sponsoring district at the same time as the district allocations are made.</w:t>
      </w:r>
    </w:p>
    <w:p w14:paraId="6641701D" w14:textId="77777777" w:rsidR="00F53571" w:rsidRPr="00F53571" w:rsidRDefault="00F53571" w:rsidP="00F53571">
      <w:pPr>
        <w:rPr>
          <w:lang w:val="en"/>
        </w:rPr>
      </w:pPr>
      <w:r w:rsidRPr="00F53571">
        <w:rPr>
          <w:lang w:val="en"/>
        </w:rPr>
        <w:t>(b) Allocate what would have been apportioned to the charter school to the charter schools successor entity.</w:t>
      </w:r>
    </w:p>
    <w:p w14:paraId="7776EAEA" w14:textId="77777777" w:rsidR="00F53571" w:rsidRPr="00F53571" w:rsidRDefault="00F53571" w:rsidP="00F53571">
      <w:pPr>
        <w:rPr>
          <w:lang w:val="en"/>
        </w:rPr>
      </w:pPr>
      <w:r w:rsidRPr="00F53571">
        <w:rPr>
          <w:lang w:val="en"/>
        </w:rPr>
        <w:t>(c) Return the apportioned amount to the Statewide Education Initiatives Account for reallocation in a subsequent fiscal year.</w:t>
      </w:r>
    </w:p>
    <w:p w14:paraId="281EFFCE" w14:textId="77777777" w:rsidR="00F53571" w:rsidRPr="00F53571" w:rsidRDefault="00F53571" w:rsidP="00F53571">
      <w:pPr>
        <w:rPr>
          <w:lang w:val="en"/>
        </w:rPr>
      </w:pPr>
      <w:r w:rsidRPr="00F53571">
        <w:rPr>
          <w:lang w:val="en"/>
        </w:rPr>
        <w:t>(11) An eligible applicant must advance the Early Literacy Success Plan with at least a 25 percent match of the allocation using any other fund sources available to the applicant.</w:t>
      </w:r>
    </w:p>
    <w:p w14:paraId="484851C9" w14:textId="77777777" w:rsidR="00F53571" w:rsidRPr="00F53571" w:rsidRDefault="00F53571" w:rsidP="00F53571">
      <w:pPr>
        <w:rPr>
          <w:lang w:val="en"/>
        </w:rPr>
      </w:pPr>
      <w:r w:rsidRPr="00F53571">
        <w:rPr>
          <w:lang w:val="en"/>
        </w:rPr>
        <w:t>(a) Eligible applicants are required to report the matching fund source in their application.</w:t>
      </w:r>
    </w:p>
    <w:p w14:paraId="19765E98" w14:textId="77777777" w:rsidR="00F53571" w:rsidRPr="00F53571" w:rsidRDefault="00F53571" w:rsidP="00F53571">
      <w:pPr>
        <w:rPr>
          <w:lang w:val="en"/>
        </w:rPr>
      </w:pPr>
      <w:r w:rsidRPr="00F53571">
        <w:rPr>
          <w:lang w:val="en"/>
        </w:rPr>
        <w:t>(b) Any eligible applicant with an ADMw of 50 or less is exempt from the matching requirement.</w:t>
      </w:r>
    </w:p>
    <w:p w14:paraId="6D17A723" w14:textId="77777777" w:rsidR="00F53571" w:rsidRPr="00F53571" w:rsidRDefault="00F53571" w:rsidP="00F53571">
      <w:pPr>
        <w:rPr>
          <w:lang w:val="en"/>
        </w:rPr>
      </w:pPr>
      <w:r w:rsidRPr="00F53571">
        <w:rPr>
          <w:lang w:val="en"/>
        </w:rPr>
        <w:t>(c) For the 2024-2025 school year, eligible applicants may use match funding broadly to support literacy across prekindergarten through 5th grade.</w:t>
      </w:r>
    </w:p>
    <w:p w14:paraId="3F73D337" w14:textId="77777777" w:rsidR="00F53571" w:rsidRPr="00F53571" w:rsidRDefault="00F53571" w:rsidP="00F53571">
      <w:pPr>
        <w:rPr>
          <w:lang w:val="en"/>
        </w:rPr>
      </w:pPr>
      <w:r w:rsidRPr="00F53571">
        <w:rPr>
          <w:lang w:val="en"/>
        </w:rPr>
        <w:t>(d) For the 2025-2026 school year and thereafter, eligible applicants may use match funding broadly to support literacy across prekindergarten through 3rd grade.</w:t>
      </w:r>
    </w:p>
    <w:p w14:paraId="597AB53A" w14:textId="77777777" w:rsidR="00F53571" w:rsidRDefault="00F53571" w:rsidP="00F53571">
      <w:pPr>
        <w:rPr>
          <w:lang w:val="en"/>
        </w:rPr>
      </w:pPr>
      <w:r w:rsidRPr="00F53571">
        <w:rPr>
          <w:lang w:val="en"/>
        </w:rPr>
        <w:t>(12) Rules will be applied by ODE for fund administration of the Early Literacy Success Initiative beginning immediately after temporary OAR’s 581-017-0800 and 581-017-0810 expire March 29, 2024.</w:t>
      </w:r>
    </w:p>
    <w:p w14:paraId="30CE1C12" w14:textId="16CB7DC4" w:rsidR="00F53571" w:rsidRPr="00F53571" w:rsidRDefault="00F53571" w:rsidP="00F53571">
      <w:pPr>
        <w:rPr>
          <w:lang w:val="en"/>
        </w:rPr>
      </w:pPr>
      <w:r w:rsidRPr="00F53571">
        <w:rPr>
          <w:b/>
          <w:bCs/>
        </w:rPr>
        <w:t>Statutory/Other Authority:</w:t>
      </w:r>
      <w:r w:rsidRPr="00F53571">
        <w:t> ORS 327.829 &amp; ORS 327.833</w:t>
      </w:r>
      <w:r w:rsidRPr="00F53571">
        <w:br/>
      </w:r>
      <w:r w:rsidRPr="00F53571">
        <w:rPr>
          <w:b/>
          <w:bCs/>
        </w:rPr>
        <w:t>Statutes/Other Implemented:</w:t>
      </w:r>
      <w:r w:rsidRPr="00F53571">
        <w:t> ORS 327.825 to 327.837</w:t>
      </w:r>
      <w:r w:rsidRPr="00F53571">
        <w:br/>
      </w:r>
      <w:r w:rsidRPr="00F53571">
        <w:rPr>
          <w:b/>
          <w:bCs/>
        </w:rPr>
        <w:t>History:</w:t>
      </w:r>
      <w:r w:rsidRPr="00F53571">
        <w:br/>
      </w:r>
      <w:hyperlink r:id="rId7" w:history="1">
        <w:r w:rsidRPr="00F53571">
          <w:rPr>
            <w:rStyle w:val="Hyperlink"/>
          </w:rPr>
          <w:t>ODE 13-2024, adopt filed 03/22/2024, effective 03/22/2024</w:t>
        </w:r>
      </w:hyperlink>
    </w:p>
    <w:p w14:paraId="6BEE8912"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571"/>
    <w:rsid w:val="0009345E"/>
    <w:rsid w:val="000A5756"/>
    <w:rsid w:val="000C14A2"/>
    <w:rsid w:val="000D36B7"/>
    <w:rsid w:val="000E7BC7"/>
    <w:rsid w:val="00187FD9"/>
    <w:rsid w:val="001B156D"/>
    <w:rsid w:val="0022037B"/>
    <w:rsid w:val="00223DAF"/>
    <w:rsid w:val="002717C5"/>
    <w:rsid w:val="00295954"/>
    <w:rsid w:val="002D37BB"/>
    <w:rsid w:val="00300E2F"/>
    <w:rsid w:val="0033305E"/>
    <w:rsid w:val="003367CC"/>
    <w:rsid w:val="00344E8A"/>
    <w:rsid w:val="00346621"/>
    <w:rsid w:val="0038567A"/>
    <w:rsid w:val="003A3865"/>
    <w:rsid w:val="003A5E26"/>
    <w:rsid w:val="003E5AD4"/>
    <w:rsid w:val="003F6983"/>
    <w:rsid w:val="004024D8"/>
    <w:rsid w:val="004159AA"/>
    <w:rsid w:val="00465BAE"/>
    <w:rsid w:val="00477375"/>
    <w:rsid w:val="004B38C1"/>
    <w:rsid w:val="005110C4"/>
    <w:rsid w:val="00532D27"/>
    <w:rsid w:val="00540BCC"/>
    <w:rsid w:val="00617A1A"/>
    <w:rsid w:val="00712E0C"/>
    <w:rsid w:val="007B3825"/>
    <w:rsid w:val="008C6CA6"/>
    <w:rsid w:val="008E0B67"/>
    <w:rsid w:val="00A00D35"/>
    <w:rsid w:val="00A1287D"/>
    <w:rsid w:val="00AB351A"/>
    <w:rsid w:val="00AC7758"/>
    <w:rsid w:val="00AD1307"/>
    <w:rsid w:val="00B00F77"/>
    <w:rsid w:val="00B01343"/>
    <w:rsid w:val="00B04F92"/>
    <w:rsid w:val="00B3764B"/>
    <w:rsid w:val="00B56B6A"/>
    <w:rsid w:val="00C26B6D"/>
    <w:rsid w:val="00C63151"/>
    <w:rsid w:val="00C749F7"/>
    <w:rsid w:val="00CB1057"/>
    <w:rsid w:val="00CB56F4"/>
    <w:rsid w:val="00DD212E"/>
    <w:rsid w:val="00E13D62"/>
    <w:rsid w:val="00E70EDF"/>
    <w:rsid w:val="00E73AC0"/>
    <w:rsid w:val="00E90494"/>
    <w:rsid w:val="00E97E29"/>
    <w:rsid w:val="00F26149"/>
    <w:rsid w:val="00F27DCD"/>
    <w:rsid w:val="00F53571"/>
    <w:rsid w:val="00F66282"/>
    <w:rsid w:val="00FA6108"/>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F515"/>
  <w15:chartTrackingRefBased/>
  <w15:docId w15:val="{2295468A-6E3B-4164-B71D-5426846F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5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535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535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35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35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3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535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535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535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535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53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571"/>
    <w:rPr>
      <w:rFonts w:eastAsiaTheme="majorEastAsia" w:cstheme="majorBidi"/>
      <w:color w:val="272727" w:themeColor="text1" w:themeTint="D8"/>
    </w:rPr>
  </w:style>
  <w:style w:type="paragraph" w:styleId="Title">
    <w:name w:val="Title"/>
    <w:basedOn w:val="Normal"/>
    <w:next w:val="Normal"/>
    <w:link w:val="TitleChar"/>
    <w:uiPriority w:val="10"/>
    <w:qFormat/>
    <w:rsid w:val="00F535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5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5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3571"/>
    <w:rPr>
      <w:i/>
      <w:iCs/>
      <w:color w:val="404040" w:themeColor="text1" w:themeTint="BF"/>
    </w:rPr>
  </w:style>
  <w:style w:type="paragraph" w:styleId="ListParagraph">
    <w:name w:val="List Paragraph"/>
    <w:basedOn w:val="Normal"/>
    <w:uiPriority w:val="34"/>
    <w:qFormat/>
    <w:rsid w:val="00F53571"/>
    <w:pPr>
      <w:ind w:left="720"/>
      <w:contextualSpacing/>
    </w:pPr>
  </w:style>
  <w:style w:type="character" w:styleId="IntenseEmphasis">
    <w:name w:val="Intense Emphasis"/>
    <w:basedOn w:val="DefaultParagraphFont"/>
    <w:uiPriority w:val="21"/>
    <w:qFormat/>
    <w:rsid w:val="00F53571"/>
    <w:rPr>
      <w:i/>
      <w:iCs/>
      <w:color w:val="365F91" w:themeColor="accent1" w:themeShade="BF"/>
    </w:rPr>
  </w:style>
  <w:style w:type="paragraph" w:styleId="IntenseQuote">
    <w:name w:val="Intense Quote"/>
    <w:basedOn w:val="Normal"/>
    <w:next w:val="Normal"/>
    <w:link w:val="IntenseQuoteChar"/>
    <w:uiPriority w:val="30"/>
    <w:qFormat/>
    <w:rsid w:val="00F535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3571"/>
    <w:rPr>
      <w:i/>
      <w:iCs/>
      <w:color w:val="365F91" w:themeColor="accent1" w:themeShade="BF"/>
    </w:rPr>
  </w:style>
  <w:style w:type="character" w:styleId="IntenseReference">
    <w:name w:val="Intense Reference"/>
    <w:basedOn w:val="DefaultParagraphFont"/>
    <w:uiPriority w:val="32"/>
    <w:qFormat/>
    <w:rsid w:val="00F53571"/>
    <w:rPr>
      <w:b/>
      <w:bCs/>
      <w:smallCaps/>
      <w:color w:val="365F91" w:themeColor="accent1" w:themeShade="BF"/>
      <w:spacing w:val="5"/>
    </w:rPr>
  </w:style>
  <w:style w:type="character" w:styleId="Hyperlink">
    <w:name w:val="Hyperlink"/>
    <w:basedOn w:val="DefaultParagraphFont"/>
    <w:uiPriority w:val="99"/>
    <w:unhideWhenUsed/>
    <w:rsid w:val="00F53571"/>
    <w:rPr>
      <w:color w:val="0000FF" w:themeColor="hyperlink"/>
      <w:u w:val="single"/>
    </w:rPr>
  </w:style>
  <w:style w:type="character" w:styleId="UnresolvedMention">
    <w:name w:val="Unresolved Mention"/>
    <w:basedOn w:val="DefaultParagraphFont"/>
    <w:uiPriority w:val="99"/>
    <w:semiHidden/>
    <w:unhideWhenUsed/>
    <w:rsid w:val="00F53571"/>
    <w:rPr>
      <w:color w:val="605E5C"/>
      <w:shd w:val="clear" w:color="auto" w:fill="E1DFDD"/>
    </w:rPr>
  </w:style>
  <w:style w:type="character" w:styleId="FollowedHyperlink">
    <w:name w:val="FollowedHyperlink"/>
    <w:basedOn w:val="DefaultParagraphFont"/>
    <w:uiPriority w:val="99"/>
    <w:semiHidden/>
    <w:unhideWhenUsed/>
    <w:rsid w:val="00F53571"/>
    <w:rPr>
      <w:color w:val="800080" w:themeColor="followedHyperlink"/>
      <w:u w:val="single"/>
    </w:rPr>
  </w:style>
  <w:style w:type="paragraph" w:styleId="Revision">
    <w:name w:val="Revision"/>
    <w:hidden/>
    <w:uiPriority w:val="99"/>
    <w:semiHidden/>
    <w:rsid w:val="00F26149"/>
    <w:pPr>
      <w:spacing w:after="0"/>
    </w:pPr>
  </w:style>
  <w:style w:type="paragraph" w:customStyle="1" w:styleId="Deletion">
    <w:name w:val="Deletion"/>
    <w:basedOn w:val="Normal"/>
    <w:link w:val="DeletionChar"/>
    <w:autoRedefine/>
    <w:qFormat/>
    <w:rsid w:val="00AC7758"/>
    <w:rPr>
      <w:i/>
      <w:color w:val="000000" w:themeColor="text1"/>
    </w:rPr>
  </w:style>
  <w:style w:type="character" w:customStyle="1" w:styleId="DeletionChar">
    <w:name w:val="Deletion Char"/>
    <w:basedOn w:val="DefaultParagraphFont"/>
    <w:link w:val="Deletion"/>
    <w:rsid w:val="00AC7758"/>
    <w:rPr>
      <w:i/>
      <w:color w:val="000000" w:themeColor="text1"/>
    </w:rPr>
  </w:style>
  <w:style w:type="character" w:styleId="Strong">
    <w:name w:val="Strong"/>
    <w:basedOn w:val="DefaultParagraphFont"/>
    <w:uiPriority w:val="22"/>
    <w:qFormat/>
    <w:rsid w:val="00AC7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50176">
      <w:bodyDiv w:val="1"/>
      <w:marLeft w:val="0"/>
      <w:marRight w:val="0"/>
      <w:marTop w:val="0"/>
      <w:marBottom w:val="0"/>
      <w:divBdr>
        <w:top w:val="none" w:sz="0" w:space="0" w:color="auto"/>
        <w:left w:val="none" w:sz="0" w:space="0" w:color="auto"/>
        <w:bottom w:val="none" w:sz="0" w:space="0" w:color="auto"/>
        <w:right w:val="none" w:sz="0" w:space="0" w:color="auto"/>
      </w:divBdr>
    </w:div>
    <w:div w:id="545602205">
      <w:bodyDiv w:val="1"/>
      <w:marLeft w:val="0"/>
      <w:marRight w:val="0"/>
      <w:marTop w:val="0"/>
      <w:marBottom w:val="0"/>
      <w:divBdr>
        <w:top w:val="none" w:sz="0" w:space="0" w:color="auto"/>
        <w:left w:val="none" w:sz="0" w:space="0" w:color="auto"/>
        <w:bottom w:val="none" w:sz="0" w:space="0" w:color="auto"/>
        <w:right w:val="none" w:sz="0" w:space="0" w:color="auto"/>
      </w:divBdr>
    </w:div>
    <w:div w:id="878781949">
      <w:bodyDiv w:val="1"/>
      <w:marLeft w:val="0"/>
      <w:marRight w:val="0"/>
      <w:marTop w:val="0"/>
      <w:marBottom w:val="0"/>
      <w:divBdr>
        <w:top w:val="none" w:sz="0" w:space="0" w:color="auto"/>
        <w:left w:val="none" w:sz="0" w:space="0" w:color="auto"/>
        <w:bottom w:val="none" w:sz="0" w:space="0" w:color="auto"/>
        <w:right w:val="none" w:sz="0" w:space="0" w:color="auto"/>
      </w:divBdr>
    </w:div>
    <w:div w:id="1028918685">
      <w:bodyDiv w:val="1"/>
      <w:marLeft w:val="0"/>
      <w:marRight w:val="0"/>
      <w:marTop w:val="0"/>
      <w:marBottom w:val="0"/>
      <w:divBdr>
        <w:top w:val="none" w:sz="0" w:space="0" w:color="auto"/>
        <w:left w:val="none" w:sz="0" w:space="0" w:color="auto"/>
        <w:bottom w:val="none" w:sz="0" w:space="0" w:color="auto"/>
        <w:right w:val="none" w:sz="0" w:space="0" w:color="auto"/>
      </w:divBdr>
    </w:div>
    <w:div w:id="1179926088">
      <w:bodyDiv w:val="1"/>
      <w:marLeft w:val="0"/>
      <w:marRight w:val="0"/>
      <w:marTop w:val="0"/>
      <w:marBottom w:val="0"/>
      <w:divBdr>
        <w:top w:val="none" w:sz="0" w:space="0" w:color="auto"/>
        <w:left w:val="none" w:sz="0" w:space="0" w:color="auto"/>
        <w:bottom w:val="none" w:sz="0" w:space="0" w:color="auto"/>
        <w:right w:val="none" w:sz="0" w:space="0" w:color="auto"/>
      </w:divBdr>
    </w:div>
    <w:div w:id="16308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cure.sos.state.or.us/oard/viewReceiptTRIM.action?ptId=10086768"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SingleRule.action?ruleVrsnRsn=311700" TargetMode="External"/><Relationship Id="rId11" Type="http://schemas.openxmlformats.org/officeDocument/2006/relationships/customXml" Target="../customXml/item2.xml"/><Relationship Id="rId5" Type="http://schemas.openxmlformats.org/officeDocument/2006/relationships/hyperlink" Target="https://secure.sos.state.or.us/oard/viewSingleRule.action?ruleVrsnRsn=298536" TargetMode="External"/><Relationship Id="rId10" Type="http://schemas.openxmlformats.org/officeDocument/2006/relationships/customXml" Target="../customXml/item1.xml"/><Relationship Id="rId4" Type="http://schemas.openxmlformats.org/officeDocument/2006/relationships/hyperlink" Target="https://secure.sos.state.or.us/oard/viewSingleRule.action;JSESSIONID_OARD=jPAHmeOFPQ3P630zFCJg7YoU4jD9TAhkvnU15EMQFA6z_VgSTaWx!-366806124?ruleVrsnRsn=29853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7FC3EB7630746A766610DE24AED9E" ma:contentTypeVersion="7" ma:contentTypeDescription="Create a new document." ma:contentTypeScope="" ma:versionID="c04c5b5c67cfe6b30d2523577b43a980">
  <xsd:schema xmlns:xsd="http://www.w3.org/2001/XMLSchema" xmlns:xs="http://www.w3.org/2001/XMLSchema" xmlns:p="http://schemas.microsoft.com/office/2006/metadata/properties" xmlns:ns1="http://schemas.microsoft.com/sharepoint/v3" xmlns:ns2="6e468017-8178-4a18-9cdd-ff5f80b60113" xmlns:ns3="54031767-dd6d-417c-ab73-583408f47564" targetNamespace="http://schemas.microsoft.com/office/2006/metadata/properties" ma:root="true" ma:fieldsID="8505e9ade81df00f1a8424657e2dd273" ns1:_="" ns2:_="" ns3:_="">
    <xsd:import namespace="http://schemas.microsoft.com/sharepoint/v3"/>
    <xsd:import namespace="6e468017-8178-4a18-9cdd-ff5f80b6011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68017-8178-4a18-9cdd-ff5f80b6011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6e468017-8178-4a18-9cdd-ff5f80b60113">2025-04-28T21:50:32+00:00</Remediation_x0020_Date>
    <Estimated_x0020_Creation_x0020_Date xmlns="6e468017-8178-4a18-9cdd-ff5f80b60113" xsi:nil="true"/>
    <Priority xmlns="6e468017-8178-4a18-9cdd-ff5f80b60113">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A4F3EA-7473-48C9-9290-724E4F4574D7}"/>
</file>

<file path=customXml/itemProps2.xml><?xml version="1.0" encoding="utf-8"?>
<ds:datastoreItem xmlns:ds="http://schemas.openxmlformats.org/officeDocument/2006/customXml" ds:itemID="{71455F82-D1EF-44AA-9F37-EBC851C78599}"/>
</file>

<file path=customXml/itemProps3.xml><?xml version="1.0" encoding="utf-8"?>
<ds:datastoreItem xmlns:ds="http://schemas.openxmlformats.org/officeDocument/2006/customXml" ds:itemID="{29A9BC00-3C20-4127-B83E-882007C6E4D5}"/>
</file>

<file path=docProps/app.xml><?xml version="1.0" encoding="utf-8"?>
<Properties xmlns="http://schemas.openxmlformats.org/officeDocument/2006/extended-properties" xmlns:vt="http://schemas.openxmlformats.org/officeDocument/2006/docPropsVTypes">
  <Template>Normal</Template>
  <TotalTime>18</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DECKARD Brittany * ODE</dc:creator>
  <cp:keywords/>
  <dc:description/>
  <cp:lastModifiedBy>BRUNELLE Haedon * ODE</cp:lastModifiedBy>
  <cp:revision>5</cp:revision>
  <dcterms:created xsi:type="dcterms:W3CDTF">2025-03-28T20:41:00Z</dcterms:created>
  <dcterms:modified xsi:type="dcterms:W3CDTF">2025-03-28T20:58:00Z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2024-12-11T21:01:43Z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5afe676f-ebb4-409f-b37f-6c72dcbea8b7</vt:lpwstr>
  </property>
  <property fmtid="{D5CDD505-2E9C-101B-9397-08002B2CF9AE}" pid="8" name="MSIP_Label_7730ea53-6f5e-4160-81a5-992a9105450a_ContentBits">
    <vt:lpwstr>0</vt:lpwstr>
  </property>
  <property fmtid="{D5CDD505-2E9C-101B-9397-08002B2CF9AE}" pid="9" name="ContentTypeId">
    <vt:lpwstr>0x010100E1F7FC3EB7630746A766610DE24AED9E</vt:lpwstr>
  </property>
</Properties>
</file>