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3A8D3" w14:textId="3D6C00D2" w:rsidR="00683414" w:rsidRDefault="00683414" w:rsidP="00683414">
      <w:r>
        <w:t xml:space="preserve">Below, you will find the proposed changes to the Oregon Department of Education’s rule relating to the Administration of State Assessments.  Proposed new text is bold, and the proposed text to remove is in bracketed italics. </w:t>
      </w:r>
    </w:p>
    <w:p w14:paraId="718ED793" w14:textId="43F47830" w:rsidR="00602F19" w:rsidRPr="00683414" w:rsidRDefault="00683414" w:rsidP="00602F19">
      <w:pPr>
        <w:pStyle w:val="Heading1"/>
        <w:rPr>
          <w:rFonts w:ascii="Calibri" w:hAnsi="Calibri" w:cs="Calibri"/>
          <w:sz w:val="24"/>
          <w:szCs w:val="24"/>
        </w:rPr>
      </w:pPr>
      <w:r>
        <w:rPr>
          <w:rFonts w:ascii="Calibri" w:hAnsi="Calibri" w:cs="Calibri"/>
          <w:sz w:val="24"/>
          <w:szCs w:val="24"/>
        </w:rPr>
        <w:t>Current Rule Link: Oregon Administrative Rule (</w:t>
      </w:r>
      <w:hyperlink r:id="rId11" w:history="1">
        <w:r w:rsidR="00602F19" w:rsidRPr="00683414">
          <w:rPr>
            <w:rStyle w:val="Hyperlink"/>
            <w:rFonts w:ascii="Calibri" w:hAnsi="Calibri" w:cs="Calibri"/>
            <w:sz w:val="24"/>
            <w:szCs w:val="24"/>
          </w:rPr>
          <w:t>OAR</w:t>
        </w:r>
        <w:r>
          <w:rPr>
            <w:rStyle w:val="Hyperlink"/>
            <w:rFonts w:ascii="Calibri" w:hAnsi="Calibri" w:cs="Calibri"/>
            <w:sz w:val="24"/>
            <w:szCs w:val="24"/>
          </w:rPr>
          <w:t>)</w:t>
        </w:r>
        <w:r w:rsidR="00602F19" w:rsidRPr="00683414">
          <w:rPr>
            <w:rStyle w:val="Hyperlink"/>
            <w:rFonts w:ascii="Calibri" w:hAnsi="Calibri" w:cs="Calibri"/>
            <w:sz w:val="24"/>
            <w:szCs w:val="24"/>
          </w:rPr>
          <w:t xml:space="preserve"> 581-022-2100</w:t>
        </w:r>
      </w:hyperlink>
    </w:p>
    <w:p w14:paraId="1E924F9E" w14:textId="43919B02" w:rsidR="00D20C8F" w:rsidRPr="00683414" w:rsidRDefault="00683414" w:rsidP="00D20C8F">
      <w:pPr>
        <w:rPr>
          <w:rFonts w:ascii="Calibri" w:hAnsi="Calibri" w:cs="Calibri"/>
          <w:sz w:val="24"/>
          <w:szCs w:val="24"/>
        </w:rPr>
      </w:pPr>
      <w:r>
        <w:rPr>
          <w:rFonts w:ascii="Calibri" w:hAnsi="Calibri" w:cs="Calibri"/>
          <w:b/>
          <w:bCs/>
          <w:sz w:val="24"/>
          <w:szCs w:val="24"/>
        </w:rPr>
        <w:t xml:space="preserve">Rule Number: </w:t>
      </w:r>
      <w:r w:rsidR="00D20C8F" w:rsidRPr="00683414">
        <w:rPr>
          <w:rFonts w:ascii="Calibri" w:hAnsi="Calibri" w:cs="Calibri"/>
          <w:b/>
          <w:bCs/>
          <w:sz w:val="24"/>
          <w:szCs w:val="24"/>
        </w:rPr>
        <w:t>581-022-2100</w:t>
      </w:r>
      <w:r w:rsidR="00D20C8F" w:rsidRPr="00683414">
        <w:rPr>
          <w:rFonts w:ascii="Calibri" w:hAnsi="Calibri" w:cs="Calibri"/>
          <w:sz w:val="24"/>
          <w:szCs w:val="24"/>
        </w:rPr>
        <w:br/>
      </w:r>
      <w:r>
        <w:rPr>
          <w:rFonts w:ascii="Calibri" w:hAnsi="Calibri" w:cs="Calibri"/>
          <w:b/>
          <w:bCs/>
          <w:sz w:val="24"/>
          <w:szCs w:val="24"/>
        </w:rPr>
        <w:t xml:space="preserve">Rule Title: </w:t>
      </w:r>
      <w:r w:rsidR="00D20C8F" w:rsidRPr="00683414">
        <w:rPr>
          <w:rFonts w:ascii="Calibri" w:hAnsi="Calibri" w:cs="Calibri"/>
          <w:b/>
          <w:bCs/>
          <w:sz w:val="24"/>
          <w:szCs w:val="24"/>
        </w:rPr>
        <w:t xml:space="preserve">Administration of State Assessments </w:t>
      </w:r>
    </w:p>
    <w:p w14:paraId="6E052ABA"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t>(1) Definitions. As used in this rule:</w:t>
      </w:r>
    </w:p>
    <w:p w14:paraId="5745029A" w14:textId="5A5EB7AA" w:rsidR="00D20C8F" w:rsidRPr="00683414" w:rsidRDefault="00D20C8F" w:rsidP="00D20C8F">
      <w:pPr>
        <w:rPr>
          <w:rFonts w:ascii="Calibri" w:hAnsi="Calibri" w:cs="Calibri"/>
          <w:sz w:val="24"/>
          <w:szCs w:val="24"/>
        </w:rPr>
      </w:pPr>
      <w:r w:rsidRPr="00683414">
        <w:rPr>
          <w:rFonts w:ascii="Calibri" w:hAnsi="Calibri" w:cs="Calibri"/>
          <w:sz w:val="24"/>
          <w:szCs w:val="24"/>
        </w:rPr>
        <w:t xml:space="preserve">(a) “Accommodations” means changes in procedures or materials that increase equitable access during assessment and generate valid assessment results for students </w:t>
      </w:r>
      <w:r w:rsidR="00683414" w:rsidRPr="00683414">
        <w:rPr>
          <w:rStyle w:val="NewTextChar"/>
        </w:rPr>
        <w:t>who need them, allowing these students to show what they know and can do. Accommodations are available only to students with a documented Individualized Education Program (IEP) or 504 (Plan).</w:t>
      </w:r>
      <w:r w:rsidR="00683414">
        <w:rPr>
          <w:rFonts w:ascii="Calibri" w:hAnsi="Calibri" w:cs="Calibri"/>
          <w:sz w:val="24"/>
          <w:szCs w:val="24"/>
        </w:rPr>
        <w:t xml:space="preserve"> </w:t>
      </w:r>
      <w:r w:rsidR="00683414" w:rsidRPr="00683414">
        <w:rPr>
          <w:rStyle w:val="DeletionChar"/>
        </w:rPr>
        <w:t xml:space="preserve">[for whom there is documentation of need on an </w:t>
      </w:r>
      <w:r w:rsidR="00683414" w:rsidRPr="00683414">
        <w:rPr>
          <w:rStyle w:val="DeletionChar"/>
        </w:rPr>
        <w:t>Individualized Education Program (IEP) or 504 (Plan)</w:t>
      </w:r>
      <w:r w:rsidR="00683414" w:rsidRPr="00683414">
        <w:rPr>
          <w:rStyle w:val="DeletionChar"/>
        </w:rPr>
        <w:t>; they allow these students to show what they know and can do.]</w:t>
      </w:r>
      <w:r w:rsidR="00683414">
        <w:rPr>
          <w:rFonts w:ascii="Calibri" w:hAnsi="Calibri" w:cs="Calibri"/>
          <w:sz w:val="24"/>
          <w:szCs w:val="24"/>
        </w:rPr>
        <w:t xml:space="preserve">  </w:t>
      </w:r>
    </w:p>
    <w:p w14:paraId="0D81B07B" w14:textId="7F45ABEF" w:rsidR="00D20C8F" w:rsidRPr="00683414" w:rsidRDefault="00D20C8F" w:rsidP="00D20C8F">
      <w:pPr>
        <w:rPr>
          <w:rFonts w:ascii="Calibri" w:hAnsi="Calibri" w:cs="Calibri"/>
          <w:sz w:val="24"/>
          <w:szCs w:val="24"/>
        </w:rPr>
      </w:pPr>
      <w:proofErr w:type="gramStart"/>
      <w:r w:rsidRPr="00683414">
        <w:rPr>
          <w:rFonts w:ascii="Calibri" w:hAnsi="Calibri" w:cs="Calibri"/>
          <w:sz w:val="24"/>
          <w:szCs w:val="24"/>
        </w:rPr>
        <w:t>(b) ”Designated</w:t>
      </w:r>
      <w:proofErr w:type="gramEnd"/>
      <w:r w:rsidRPr="00683414">
        <w:rPr>
          <w:rFonts w:ascii="Calibri" w:hAnsi="Calibri" w:cs="Calibri"/>
          <w:sz w:val="24"/>
          <w:szCs w:val="24"/>
        </w:rPr>
        <w:t xml:space="preserve"> supports” means access features of the assessment available for use by any student for whom the need has been indicated by an educator</w:t>
      </w:r>
      <w:r w:rsidR="00175109" w:rsidRPr="00683414">
        <w:rPr>
          <w:rFonts w:ascii="Calibri" w:hAnsi="Calibri" w:cs="Calibri"/>
          <w:sz w:val="24"/>
          <w:szCs w:val="24"/>
        </w:rPr>
        <w:t xml:space="preserve">, </w:t>
      </w:r>
      <w:r w:rsidR="00175109" w:rsidRPr="00683414">
        <w:rPr>
          <w:rStyle w:val="NewTextChar"/>
        </w:rPr>
        <w:t>or a team of educators with parent/guardian and student.</w:t>
      </w:r>
      <w:r w:rsidR="00683414">
        <w:rPr>
          <w:rStyle w:val="NewTextChar"/>
        </w:rPr>
        <w:t xml:space="preserve"> </w:t>
      </w:r>
      <w:r w:rsidR="00683414" w:rsidRPr="00683414">
        <w:rPr>
          <w:rStyle w:val="DeletionChar"/>
        </w:rPr>
        <w:t>[</w:t>
      </w:r>
      <w:r w:rsidRPr="00683414">
        <w:rPr>
          <w:rStyle w:val="DeletionChar"/>
        </w:rPr>
        <w:t>or team of educators.</w:t>
      </w:r>
      <w:r w:rsidR="00683414" w:rsidRPr="00683414">
        <w:rPr>
          <w:rStyle w:val="DeletionChar"/>
        </w:rPr>
        <w:t>]</w:t>
      </w:r>
    </w:p>
    <w:p w14:paraId="435C0CB1" w14:textId="5DEAA0B2" w:rsidR="00D20C8F" w:rsidRPr="00683414" w:rsidRDefault="00D20C8F" w:rsidP="00D20C8F">
      <w:pPr>
        <w:rPr>
          <w:rFonts w:ascii="Calibri" w:hAnsi="Calibri" w:cs="Calibri"/>
          <w:sz w:val="24"/>
          <w:szCs w:val="24"/>
        </w:rPr>
      </w:pPr>
      <w:r w:rsidRPr="00683414">
        <w:rPr>
          <w:rFonts w:ascii="Calibri" w:hAnsi="Calibri" w:cs="Calibri"/>
          <w:sz w:val="24"/>
          <w:szCs w:val="24"/>
        </w:rPr>
        <w:t xml:space="preserve">(c) “District test coordinator” (DTC) means district personnel who ensure secure administration of Oregon </w:t>
      </w:r>
      <w:r w:rsidR="00D66452" w:rsidRPr="00683414">
        <w:rPr>
          <w:rStyle w:val="NewTextChar"/>
        </w:rPr>
        <w:t>statewide assessments</w:t>
      </w:r>
      <w:r w:rsidR="00D66452" w:rsidRPr="00683414">
        <w:rPr>
          <w:rFonts w:ascii="Calibri" w:hAnsi="Calibri" w:cs="Calibri"/>
          <w:sz w:val="24"/>
          <w:szCs w:val="24"/>
        </w:rPr>
        <w:t xml:space="preserve"> </w:t>
      </w:r>
      <w:r w:rsidR="00683414" w:rsidRPr="00683414">
        <w:rPr>
          <w:rStyle w:val="DeletionChar"/>
        </w:rPr>
        <w:t>[</w:t>
      </w:r>
      <w:r w:rsidRPr="00683414">
        <w:rPr>
          <w:rStyle w:val="DeletionChar"/>
        </w:rPr>
        <w:t>Statewide Assessments</w:t>
      </w:r>
      <w:r w:rsidR="00683414" w:rsidRPr="00683414">
        <w:rPr>
          <w:rStyle w:val="DeletionChar"/>
        </w:rPr>
        <w:t>]</w:t>
      </w:r>
      <w:r w:rsidRPr="00683414">
        <w:rPr>
          <w:rFonts w:ascii="Calibri" w:hAnsi="Calibri" w:cs="Calibri"/>
          <w:sz w:val="24"/>
          <w:szCs w:val="24"/>
        </w:rPr>
        <w:t xml:space="preserve"> </w:t>
      </w:r>
      <w:r w:rsidRPr="00683414">
        <w:rPr>
          <w:rFonts w:ascii="Calibri" w:hAnsi="Calibri" w:cs="Calibri"/>
          <w:sz w:val="24"/>
          <w:szCs w:val="24"/>
        </w:rPr>
        <w:t>as defined by Oregon Revised Statute, Administrative Rules, and the Test Administration Manual, including but not limited to supervising the work of the school test coordinators and test administrators.</w:t>
      </w:r>
    </w:p>
    <w:p w14:paraId="3D5FAA02"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t>(d) “Force majeure” means an extraordinary circumstance (e.g., power outage or network disturbance lasting at least one full school day) or act of nature (e.g., flooding, earthquake, volcanic eruption) which directly prevents a school district from making reasonable attempts to adhere to the Test Schedule.</w:t>
      </w:r>
    </w:p>
    <w:p w14:paraId="1A09E20D" w14:textId="370B4846" w:rsidR="00D20C8F" w:rsidRPr="00683414" w:rsidRDefault="00D20C8F" w:rsidP="00D20C8F">
      <w:pPr>
        <w:rPr>
          <w:rFonts w:ascii="Calibri" w:hAnsi="Calibri" w:cs="Calibri"/>
          <w:sz w:val="24"/>
          <w:szCs w:val="24"/>
        </w:rPr>
      </w:pPr>
      <w:r w:rsidRPr="00683414">
        <w:rPr>
          <w:rFonts w:ascii="Calibri" w:hAnsi="Calibri" w:cs="Calibri"/>
          <w:sz w:val="24"/>
          <w:szCs w:val="24"/>
        </w:rPr>
        <w:t xml:space="preserve">(e) “Impropriety” means the administration of an Oregon </w:t>
      </w:r>
      <w:r w:rsidR="00683414" w:rsidRPr="00683414">
        <w:rPr>
          <w:rStyle w:val="NewTextChar"/>
        </w:rPr>
        <w:t>statewide assessments</w:t>
      </w:r>
      <w:r w:rsidR="00683414" w:rsidRPr="00683414">
        <w:rPr>
          <w:rFonts w:ascii="Calibri" w:hAnsi="Calibri" w:cs="Calibri"/>
          <w:sz w:val="24"/>
          <w:szCs w:val="24"/>
        </w:rPr>
        <w:t xml:space="preserve"> </w:t>
      </w:r>
      <w:r w:rsidR="00683414" w:rsidRPr="00683414">
        <w:rPr>
          <w:rStyle w:val="DeletionChar"/>
        </w:rPr>
        <w:t>[Statewide Assessments]</w:t>
      </w:r>
      <w:r w:rsidR="00683414" w:rsidRPr="00683414">
        <w:rPr>
          <w:rFonts w:ascii="Calibri" w:hAnsi="Calibri" w:cs="Calibri"/>
          <w:sz w:val="24"/>
          <w:szCs w:val="24"/>
        </w:rPr>
        <w:t xml:space="preserve"> </w:t>
      </w:r>
      <w:r w:rsidRPr="00683414">
        <w:rPr>
          <w:rFonts w:ascii="Calibri" w:hAnsi="Calibri" w:cs="Calibri"/>
          <w:sz w:val="24"/>
          <w:szCs w:val="24"/>
        </w:rPr>
        <w:t>in a manner not in compliance with the Test Administration Manual, Oregon Revised Statute, or this rule.</w:t>
      </w:r>
    </w:p>
    <w:p w14:paraId="0831BF9A" w14:textId="1F0F7156" w:rsidR="00D20C8F" w:rsidRPr="00683414" w:rsidRDefault="00D20C8F" w:rsidP="00D20C8F">
      <w:pPr>
        <w:rPr>
          <w:rFonts w:ascii="Calibri" w:hAnsi="Calibri" w:cs="Calibri"/>
          <w:sz w:val="24"/>
          <w:szCs w:val="24"/>
        </w:rPr>
      </w:pPr>
      <w:r w:rsidRPr="00683414">
        <w:rPr>
          <w:rFonts w:ascii="Calibri" w:hAnsi="Calibri" w:cs="Calibri"/>
          <w:sz w:val="24"/>
          <w:szCs w:val="24"/>
        </w:rPr>
        <w:t>(f) “Invalidation” means the act of omitting</w:t>
      </w:r>
      <w:r w:rsidRPr="00683414">
        <w:rPr>
          <w:rStyle w:val="NewTextChar"/>
        </w:rPr>
        <w:t xml:space="preserve"> </w:t>
      </w:r>
      <w:r w:rsidR="00491E78" w:rsidRPr="00683414">
        <w:rPr>
          <w:rStyle w:val="NewTextChar"/>
        </w:rPr>
        <w:t>information (e.g. test results and student responses) from ODE systems, including but not limited to testing, reporting, and accountability, for a given event. The student may not retest or reenter information.</w:t>
      </w:r>
      <w:r w:rsidR="00683414">
        <w:rPr>
          <w:rStyle w:val="NewTextChar"/>
        </w:rPr>
        <w:t xml:space="preserve"> </w:t>
      </w:r>
      <w:r w:rsidR="00683414" w:rsidRPr="00683414">
        <w:rPr>
          <w:rStyle w:val="DeletionChar"/>
        </w:rPr>
        <w:t>[</w:t>
      </w:r>
      <w:r w:rsidRPr="00683414">
        <w:rPr>
          <w:rStyle w:val="DeletionChar"/>
        </w:rPr>
        <w:t>test results and student responses from the testing, reporting, and accountability systems for a given testing event for which the student may not retest.</w:t>
      </w:r>
      <w:r w:rsidR="00683414" w:rsidRPr="00683414">
        <w:rPr>
          <w:rStyle w:val="DeletionChar"/>
        </w:rPr>
        <w:t>]</w:t>
      </w:r>
    </w:p>
    <w:p w14:paraId="7790373B"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t xml:space="preserve">(g) “Irregularity” means an unusual circumstance that impacts a group of students who are testing and may potentially affect student performance on the assessment or interpretation of the students’ scores. A force majeure is an example of </w:t>
      </w:r>
      <w:proofErr w:type="gramStart"/>
      <w:r w:rsidRPr="00683414">
        <w:rPr>
          <w:rFonts w:ascii="Calibri" w:hAnsi="Calibri" w:cs="Calibri"/>
          <w:sz w:val="24"/>
          <w:szCs w:val="24"/>
        </w:rPr>
        <w:t>a severe</w:t>
      </w:r>
      <w:proofErr w:type="gramEnd"/>
      <w:r w:rsidRPr="00683414">
        <w:rPr>
          <w:rFonts w:ascii="Calibri" w:hAnsi="Calibri" w:cs="Calibri"/>
          <w:sz w:val="24"/>
          <w:szCs w:val="24"/>
        </w:rPr>
        <w:t xml:space="preserve"> irregularity.</w:t>
      </w:r>
    </w:p>
    <w:p w14:paraId="72A3CCCA"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lastRenderedPageBreak/>
        <w:t>(h) “Modification” means practices and procedures that compromise the intent of the assessment through a change in the achievement level, construct, or measured outcome of the assessment.</w:t>
      </w:r>
    </w:p>
    <w:p w14:paraId="10F4530D" w14:textId="5F46D1A7" w:rsidR="00D20C8F" w:rsidRPr="00683414" w:rsidRDefault="00D20C8F" w:rsidP="00D20C8F">
      <w:pPr>
        <w:rPr>
          <w:rFonts w:ascii="Calibri" w:hAnsi="Calibri" w:cs="Calibri"/>
          <w:sz w:val="24"/>
          <w:szCs w:val="24"/>
        </w:rPr>
      </w:pPr>
      <w:r w:rsidRPr="00683414">
        <w:rPr>
          <w:rFonts w:ascii="Calibri" w:hAnsi="Calibri" w:cs="Calibri"/>
          <w:sz w:val="24"/>
          <w:szCs w:val="24"/>
        </w:rPr>
        <w:t>(i) “Universal Tools” means access features of the assessment that are either provided as digitally</w:t>
      </w:r>
      <w:r w:rsidR="00683414">
        <w:rPr>
          <w:rFonts w:ascii="Calibri" w:hAnsi="Calibri" w:cs="Calibri"/>
          <w:sz w:val="24"/>
          <w:szCs w:val="24"/>
        </w:rPr>
        <w:t xml:space="preserve"> </w:t>
      </w:r>
      <w:r w:rsidRPr="00683414">
        <w:rPr>
          <w:rFonts w:ascii="Calibri" w:hAnsi="Calibri" w:cs="Calibri"/>
          <w:sz w:val="24"/>
          <w:szCs w:val="24"/>
        </w:rPr>
        <w:t>delivered components of the test administration system or separate from it. Universal tools are available to all students based on student preference and selection.</w:t>
      </w:r>
    </w:p>
    <w:p w14:paraId="0822E255" w14:textId="1F0C4EC0" w:rsidR="00D20C8F" w:rsidRPr="00683414" w:rsidRDefault="00D20C8F" w:rsidP="00D20C8F">
      <w:pPr>
        <w:rPr>
          <w:rFonts w:ascii="Calibri" w:hAnsi="Calibri" w:cs="Calibri"/>
          <w:sz w:val="24"/>
          <w:szCs w:val="24"/>
        </w:rPr>
      </w:pPr>
      <w:r w:rsidRPr="00683414">
        <w:rPr>
          <w:rFonts w:ascii="Calibri" w:hAnsi="Calibri" w:cs="Calibri"/>
          <w:sz w:val="24"/>
          <w:szCs w:val="24"/>
        </w:rPr>
        <w:t xml:space="preserve">(j) “Oregon </w:t>
      </w:r>
      <w:r w:rsidR="00683414" w:rsidRPr="00683414">
        <w:rPr>
          <w:rStyle w:val="NewTextChar"/>
        </w:rPr>
        <w:t>statewide assessments</w:t>
      </w:r>
      <w:r w:rsidR="00683414" w:rsidRPr="00683414">
        <w:rPr>
          <w:rFonts w:ascii="Calibri" w:hAnsi="Calibri" w:cs="Calibri"/>
          <w:sz w:val="24"/>
          <w:szCs w:val="24"/>
        </w:rPr>
        <w:t xml:space="preserve"> </w:t>
      </w:r>
      <w:r w:rsidR="00683414" w:rsidRPr="00683414">
        <w:rPr>
          <w:rStyle w:val="DeletionChar"/>
        </w:rPr>
        <w:t>[Statewide Assessments]</w:t>
      </w:r>
      <w:r w:rsidRPr="00683414">
        <w:rPr>
          <w:rFonts w:ascii="Calibri" w:hAnsi="Calibri" w:cs="Calibri"/>
          <w:sz w:val="24"/>
          <w:szCs w:val="24"/>
        </w:rPr>
        <w:t>” means:</w:t>
      </w:r>
    </w:p>
    <w:p w14:paraId="3D518ABB" w14:textId="29038F18" w:rsidR="00D20C8F" w:rsidRPr="00683414" w:rsidRDefault="00D20C8F" w:rsidP="00D20C8F">
      <w:pPr>
        <w:rPr>
          <w:rFonts w:ascii="Calibri" w:hAnsi="Calibri" w:cs="Calibri"/>
          <w:sz w:val="24"/>
          <w:szCs w:val="24"/>
        </w:rPr>
      </w:pPr>
      <w:r w:rsidRPr="00683414">
        <w:rPr>
          <w:rFonts w:ascii="Calibri" w:hAnsi="Calibri" w:cs="Calibri"/>
          <w:sz w:val="24"/>
          <w:szCs w:val="24"/>
        </w:rPr>
        <w:t xml:space="preserve">(A) </w:t>
      </w:r>
      <w:r w:rsidR="0095623A" w:rsidRPr="00683414">
        <w:rPr>
          <w:rStyle w:val="NewTextChar"/>
        </w:rPr>
        <w:t>Statewide summative assessments, including general and alternate versions</w:t>
      </w:r>
      <w:r w:rsidR="00683414">
        <w:rPr>
          <w:rStyle w:val="NewTextChar"/>
        </w:rPr>
        <w:t xml:space="preserve"> </w:t>
      </w:r>
      <w:r w:rsidR="00683414" w:rsidRPr="00683414">
        <w:rPr>
          <w:rStyle w:val="DeletionChar"/>
        </w:rPr>
        <w:t>[</w:t>
      </w:r>
      <w:r w:rsidRPr="00683414">
        <w:rPr>
          <w:rStyle w:val="DeletionChar"/>
        </w:rPr>
        <w:t>The Oregon Assessment of Knowledge and Skills (OAKS)</w:t>
      </w:r>
      <w:r w:rsidR="00683414" w:rsidRPr="00683414">
        <w:rPr>
          <w:rStyle w:val="DeletionChar"/>
        </w:rPr>
        <w:t>]</w:t>
      </w:r>
      <w:r w:rsidRPr="00683414">
        <w:rPr>
          <w:rFonts w:ascii="Calibri" w:hAnsi="Calibri" w:cs="Calibri"/>
          <w:sz w:val="24"/>
          <w:szCs w:val="24"/>
        </w:rPr>
        <w:t xml:space="preserve"> in:</w:t>
      </w:r>
    </w:p>
    <w:p w14:paraId="5FD37085" w14:textId="77777777" w:rsidR="009A3AD8" w:rsidRPr="00683414" w:rsidRDefault="009A3AD8" w:rsidP="00683414">
      <w:pPr>
        <w:pStyle w:val="NewText"/>
      </w:pPr>
      <w:r w:rsidRPr="00683414">
        <w:t xml:space="preserve">(i) </w:t>
      </w:r>
      <w:proofErr w:type="gramStart"/>
      <w:r w:rsidRPr="00683414">
        <w:t>Science;</w:t>
      </w:r>
      <w:proofErr w:type="gramEnd"/>
    </w:p>
    <w:p w14:paraId="640D8DF6" w14:textId="429B47E2" w:rsidR="009A3AD8" w:rsidRPr="00683414" w:rsidRDefault="009A3AD8" w:rsidP="00683414">
      <w:pPr>
        <w:pStyle w:val="NewText"/>
      </w:pPr>
      <w:r w:rsidRPr="00683414">
        <w:t xml:space="preserve">(ii) </w:t>
      </w:r>
      <w:proofErr w:type="gramStart"/>
      <w:r w:rsidRPr="00683414">
        <w:t>Mathematics;</w:t>
      </w:r>
      <w:proofErr w:type="gramEnd"/>
    </w:p>
    <w:p w14:paraId="770BF8E5" w14:textId="2AB06D0B" w:rsidR="009A3AD8" w:rsidRPr="00683414" w:rsidRDefault="009A3AD8" w:rsidP="00683414">
      <w:pPr>
        <w:pStyle w:val="NewText"/>
      </w:pPr>
      <w:r w:rsidRPr="00683414">
        <w:t>(iii) English Language Arts (ELA</w:t>
      </w:r>
      <w:proofErr w:type="gramStart"/>
      <w:r w:rsidRPr="00683414">
        <w:t>);</w:t>
      </w:r>
      <w:proofErr w:type="gramEnd"/>
    </w:p>
    <w:p w14:paraId="215863ED" w14:textId="577B8C46" w:rsidR="009A3AD8" w:rsidRPr="00683414" w:rsidRDefault="009A3AD8" w:rsidP="00683414">
      <w:pPr>
        <w:pStyle w:val="NewText"/>
      </w:pPr>
      <w:r w:rsidRPr="00683414">
        <w:t>(</w:t>
      </w:r>
      <w:r w:rsidR="00F06E96" w:rsidRPr="00683414">
        <w:t>iv</w:t>
      </w:r>
      <w:r w:rsidRPr="00683414">
        <w:t>) English Language Proficiency (ELP</w:t>
      </w:r>
      <w:proofErr w:type="gramStart"/>
      <w:r w:rsidRPr="00683414">
        <w:t>);</w:t>
      </w:r>
      <w:proofErr w:type="gramEnd"/>
    </w:p>
    <w:p w14:paraId="56FE42F4" w14:textId="18D8605F" w:rsidR="009A3AD8" w:rsidRPr="00683414" w:rsidRDefault="009A3AD8" w:rsidP="00683414">
      <w:pPr>
        <w:pStyle w:val="NewText"/>
      </w:pPr>
      <w:r w:rsidRPr="00683414">
        <w:t>(</w:t>
      </w:r>
      <w:r w:rsidR="00F06E96" w:rsidRPr="00683414">
        <w:t>v</w:t>
      </w:r>
      <w:r w:rsidRPr="00683414">
        <w:t>) The Student Educational Equity Development (SEED) Survey as required by ORS 329.078; and</w:t>
      </w:r>
    </w:p>
    <w:p w14:paraId="595D2DF2" w14:textId="7221E32D" w:rsidR="009A3AD8" w:rsidRPr="00683414" w:rsidRDefault="009A3AD8" w:rsidP="00683414">
      <w:pPr>
        <w:pStyle w:val="NewText"/>
      </w:pPr>
      <w:r w:rsidRPr="00683414">
        <w:t>(</w:t>
      </w:r>
      <w:r w:rsidR="00F06E96" w:rsidRPr="00683414">
        <w:t>vi</w:t>
      </w:r>
      <w:r w:rsidRPr="00683414">
        <w:t xml:space="preserve">) The information gathering process at </w:t>
      </w:r>
      <w:r w:rsidR="0046385A" w:rsidRPr="00683414">
        <w:t>kindergarten</w:t>
      </w:r>
      <w:r w:rsidRPr="00683414">
        <w:t xml:space="preserve"> as required in OAR 581-022-2130.</w:t>
      </w:r>
    </w:p>
    <w:p w14:paraId="7C43F615" w14:textId="14C622E3" w:rsidR="00D20C8F" w:rsidRPr="00683414" w:rsidRDefault="00683414" w:rsidP="00683414">
      <w:pPr>
        <w:pStyle w:val="Deletion"/>
      </w:pPr>
      <w:r>
        <w:t>[</w:t>
      </w:r>
      <w:r w:rsidR="00D20C8F" w:rsidRPr="00683414">
        <w:t xml:space="preserve">(i) </w:t>
      </w:r>
      <w:proofErr w:type="gramStart"/>
      <w:r w:rsidR="00D20C8F" w:rsidRPr="00683414">
        <w:t>Science;</w:t>
      </w:r>
      <w:proofErr w:type="gramEnd"/>
    </w:p>
    <w:p w14:paraId="56446EC6" w14:textId="4DF092DA" w:rsidR="00D20C8F" w:rsidRPr="00683414" w:rsidRDefault="00D20C8F" w:rsidP="00683414">
      <w:pPr>
        <w:pStyle w:val="Deletion"/>
      </w:pPr>
      <w:r w:rsidRPr="00683414">
        <w:t xml:space="preserve">(i) Social </w:t>
      </w:r>
      <w:proofErr w:type="gramStart"/>
      <w:r w:rsidRPr="00683414">
        <w:t>Sciences;</w:t>
      </w:r>
      <w:proofErr w:type="gramEnd"/>
    </w:p>
    <w:p w14:paraId="1A5A988B" w14:textId="213E9C4D" w:rsidR="00D20C8F" w:rsidRPr="00683414" w:rsidRDefault="00D20C8F" w:rsidP="00683414">
      <w:pPr>
        <w:pStyle w:val="Deletion"/>
      </w:pPr>
      <w:r w:rsidRPr="00683414">
        <w:t xml:space="preserve">(B) </w:t>
      </w:r>
      <w:proofErr w:type="gramStart"/>
      <w:r w:rsidRPr="00683414">
        <w:t>The Smarter</w:t>
      </w:r>
      <w:proofErr w:type="gramEnd"/>
      <w:r w:rsidRPr="00683414">
        <w:t xml:space="preserve"> Balanced Assessments (Smarter) in:</w:t>
      </w:r>
    </w:p>
    <w:p w14:paraId="209AD494" w14:textId="79FEE70C" w:rsidR="00D20C8F" w:rsidRPr="00683414" w:rsidRDefault="00D20C8F" w:rsidP="00683414">
      <w:pPr>
        <w:pStyle w:val="Deletion"/>
      </w:pPr>
      <w:r w:rsidRPr="00683414">
        <w:t>(i) Mathematics</w:t>
      </w:r>
    </w:p>
    <w:p w14:paraId="6EDA0190" w14:textId="42F2B696" w:rsidR="00D20C8F" w:rsidRPr="00683414" w:rsidRDefault="00D20C8F" w:rsidP="00683414">
      <w:pPr>
        <w:pStyle w:val="Deletion"/>
      </w:pPr>
      <w:r w:rsidRPr="00683414">
        <w:t>(ii) English Language Arts (ELA)</w:t>
      </w:r>
    </w:p>
    <w:p w14:paraId="3C7ADC50" w14:textId="745382D0" w:rsidR="00D20C8F" w:rsidRPr="00683414" w:rsidRDefault="00D20C8F" w:rsidP="00683414">
      <w:pPr>
        <w:pStyle w:val="Deletion"/>
      </w:pPr>
      <w:r w:rsidRPr="00683414">
        <w:t>(C) The English Language Proficiency Assessment (ELPA21</w:t>
      </w:r>
      <w:proofErr w:type="gramStart"/>
      <w:r w:rsidRPr="00683414">
        <w:t>);</w:t>
      </w:r>
      <w:proofErr w:type="gramEnd"/>
    </w:p>
    <w:p w14:paraId="5062AB39" w14:textId="42CE5C19" w:rsidR="00D20C8F" w:rsidRPr="00683414" w:rsidRDefault="00D20C8F" w:rsidP="00683414">
      <w:pPr>
        <w:pStyle w:val="Deletion"/>
      </w:pPr>
      <w:r w:rsidRPr="00683414">
        <w:t xml:space="preserve">(D) </w:t>
      </w:r>
      <w:proofErr w:type="gramStart"/>
      <w:r w:rsidRPr="00683414">
        <w:t>The Extended</w:t>
      </w:r>
      <w:proofErr w:type="gramEnd"/>
      <w:r w:rsidRPr="00683414">
        <w:t xml:space="preserve"> Assessment in:</w:t>
      </w:r>
    </w:p>
    <w:p w14:paraId="744F9274" w14:textId="01B012B6" w:rsidR="00D20C8F" w:rsidRPr="00683414" w:rsidRDefault="00D20C8F" w:rsidP="00683414">
      <w:pPr>
        <w:pStyle w:val="Deletion"/>
      </w:pPr>
      <w:r w:rsidRPr="00683414">
        <w:t>(i) English Language Arts (ELA</w:t>
      </w:r>
      <w:proofErr w:type="gramStart"/>
      <w:r w:rsidRPr="00683414">
        <w:t>);</w:t>
      </w:r>
      <w:proofErr w:type="gramEnd"/>
    </w:p>
    <w:p w14:paraId="2BB269CC" w14:textId="5ACA8B9C" w:rsidR="00D20C8F" w:rsidRPr="00683414" w:rsidRDefault="00D20C8F" w:rsidP="00683414">
      <w:pPr>
        <w:pStyle w:val="Deletion"/>
      </w:pPr>
      <w:r w:rsidRPr="00683414">
        <w:t xml:space="preserve">(ii) </w:t>
      </w:r>
      <w:proofErr w:type="gramStart"/>
      <w:r w:rsidRPr="00683414">
        <w:t>Mathematics;</w:t>
      </w:r>
      <w:proofErr w:type="gramEnd"/>
    </w:p>
    <w:p w14:paraId="7691821C" w14:textId="140EBF1B" w:rsidR="00D20C8F" w:rsidRPr="00683414" w:rsidRDefault="00D20C8F" w:rsidP="00683414">
      <w:pPr>
        <w:pStyle w:val="Deletion"/>
      </w:pPr>
      <w:r w:rsidRPr="00683414">
        <w:t>(iii) Science; and</w:t>
      </w:r>
      <w:r w:rsidR="00683414">
        <w:t>]</w:t>
      </w:r>
    </w:p>
    <w:p w14:paraId="4739658E"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t>(E) The Kindergarten Assessment</w:t>
      </w:r>
    </w:p>
    <w:p w14:paraId="7FF9DC50" w14:textId="603AE291" w:rsidR="00D20C8F" w:rsidRPr="00683414" w:rsidRDefault="00D20C8F" w:rsidP="00D20C8F">
      <w:pPr>
        <w:rPr>
          <w:rFonts w:ascii="Calibri" w:hAnsi="Calibri" w:cs="Calibri"/>
          <w:sz w:val="24"/>
          <w:szCs w:val="24"/>
        </w:rPr>
      </w:pPr>
      <w:r w:rsidRPr="00683414">
        <w:rPr>
          <w:rFonts w:ascii="Calibri" w:hAnsi="Calibri" w:cs="Calibri"/>
          <w:sz w:val="24"/>
          <w:szCs w:val="24"/>
        </w:rPr>
        <w:t xml:space="preserve">(k) “Reset” means the removal of student responses </w:t>
      </w:r>
      <w:r w:rsidR="00E1681D" w:rsidRPr="00683414">
        <w:rPr>
          <w:rStyle w:val="NewTextChar"/>
        </w:rPr>
        <w:t>for a given assessment event. The student may retest or reenter information</w:t>
      </w:r>
      <w:r w:rsidR="00E1681D" w:rsidRPr="00683414">
        <w:rPr>
          <w:rFonts w:ascii="Calibri" w:hAnsi="Calibri" w:cs="Calibri"/>
          <w:sz w:val="24"/>
          <w:szCs w:val="24"/>
        </w:rPr>
        <w:t>.</w:t>
      </w:r>
      <w:r w:rsidR="00683414">
        <w:rPr>
          <w:rFonts w:ascii="Calibri" w:hAnsi="Calibri" w:cs="Calibri"/>
          <w:sz w:val="24"/>
          <w:szCs w:val="24"/>
        </w:rPr>
        <w:t xml:space="preserve"> </w:t>
      </w:r>
      <w:r w:rsidR="00683414" w:rsidRPr="00683414">
        <w:rPr>
          <w:rStyle w:val="DeletionChar"/>
        </w:rPr>
        <w:t>[</w:t>
      </w:r>
      <w:r w:rsidRPr="00683414">
        <w:rPr>
          <w:rStyle w:val="DeletionChar"/>
        </w:rPr>
        <w:t>from the web-based testing application for a given testing event for which the student may retest.</w:t>
      </w:r>
      <w:r w:rsidR="00683414" w:rsidRPr="00683414">
        <w:rPr>
          <w:rStyle w:val="DeletionChar"/>
        </w:rPr>
        <w:t>]</w:t>
      </w:r>
    </w:p>
    <w:p w14:paraId="2F85E033"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lastRenderedPageBreak/>
        <w:t>(l) “School building” means facilities owned, leased, or rented by a school district, educational service district, public charter school, private school, or private alternative program.</w:t>
      </w:r>
    </w:p>
    <w:p w14:paraId="3DF6D72C"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t>(m) "School district" means:</w:t>
      </w:r>
    </w:p>
    <w:p w14:paraId="41A99A3C"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t xml:space="preserve">(A) A school district as defined in ORS </w:t>
      </w:r>
      <w:proofErr w:type="gramStart"/>
      <w:r w:rsidRPr="00683414">
        <w:rPr>
          <w:rFonts w:ascii="Calibri" w:hAnsi="Calibri" w:cs="Calibri"/>
          <w:sz w:val="24"/>
          <w:szCs w:val="24"/>
        </w:rPr>
        <w:t>332.002;</w:t>
      </w:r>
      <w:proofErr w:type="gramEnd"/>
    </w:p>
    <w:p w14:paraId="228ED52D"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t xml:space="preserve">(B) The Oregon School for the </w:t>
      </w:r>
      <w:proofErr w:type="gramStart"/>
      <w:r w:rsidRPr="00683414">
        <w:rPr>
          <w:rFonts w:ascii="Calibri" w:hAnsi="Calibri" w:cs="Calibri"/>
          <w:sz w:val="24"/>
          <w:szCs w:val="24"/>
        </w:rPr>
        <w:t>Deaf;</w:t>
      </w:r>
      <w:proofErr w:type="gramEnd"/>
    </w:p>
    <w:p w14:paraId="5C94EFF8"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t xml:space="preserve">(C) The Juvenile Detention Education Program as defined in ORS </w:t>
      </w:r>
      <w:proofErr w:type="gramStart"/>
      <w:r w:rsidRPr="00683414">
        <w:rPr>
          <w:rFonts w:ascii="Calibri" w:hAnsi="Calibri" w:cs="Calibri"/>
          <w:sz w:val="24"/>
          <w:szCs w:val="24"/>
        </w:rPr>
        <w:t>326.695;</w:t>
      </w:r>
      <w:proofErr w:type="gramEnd"/>
    </w:p>
    <w:p w14:paraId="58C6E804"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t xml:space="preserve">(D) The Youth Corrections Education Program as defined in ORS </w:t>
      </w:r>
      <w:proofErr w:type="gramStart"/>
      <w:r w:rsidRPr="00683414">
        <w:rPr>
          <w:rFonts w:ascii="Calibri" w:hAnsi="Calibri" w:cs="Calibri"/>
          <w:sz w:val="24"/>
          <w:szCs w:val="24"/>
        </w:rPr>
        <w:t>326.695;</w:t>
      </w:r>
      <w:proofErr w:type="gramEnd"/>
    </w:p>
    <w:p w14:paraId="61BFC302"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t xml:space="preserve">(E) The </w:t>
      </w:r>
      <w:proofErr w:type="gramStart"/>
      <w:r w:rsidRPr="00683414">
        <w:rPr>
          <w:rFonts w:ascii="Calibri" w:hAnsi="Calibri" w:cs="Calibri"/>
          <w:sz w:val="24"/>
          <w:szCs w:val="24"/>
        </w:rPr>
        <w:t>Long Term</w:t>
      </w:r>
      <w:proofErr w:type="gramEnd"/>
      <w:r w:rsidRPr="00683414">
        <w:rPr>
          <w:rFonts w:ascii="Calibri" w:hAnsi="Calibri" w:cs="Calibri"/>
          <w:sz w:val="24"/>
          <w:szCs w:val="24"/>
        </w:rPr>
        <w:t xml:space="preserve"> Care Program as defined in ORS 343.961; and</w:t>
      </w:r>
    </w:p>
    <w:p w14:paraId="14A9109A"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t>(F) The Hospital Education Programs as defined in ORS 343.261.</w:t>
      </w:r>
    </w:p>
    <w:p w14:paraId="34EE9480"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t>(n) “School test coordinator” (STC) means school personnel who provide comprehensive training to test administrators and monitor the testing process.</w:t>
      </w:r>
    </w:p>
    <w:p w14:paraId="3FC3C0F3" w14:textId="28FAA09E" w:rsidR="00D20C8F" w:rsidRPr="00683414" w:rsidRDefault="00D20C8F" w:rsidP="00D20C8F">
      <w:pPr>
        <w:rPr>
          <w:rFonts w:ascii="Calibri" w:hAnsi="Calibri" w:cs="Calibri"/>
          <w:sz w:val="24"/>
          <w:szCs w:val="24"/>
        </w:rPr>
      </w:pPr>
      <w:r w:rsidRPr="00683414">
        <w:rPr>
          <w:rFonts w:ascii="Calibri" w:hAnsi="Calibri" w:cs="Calibri"/>
          <w:sz w:val="24"/>
          <w:szCs w:val="24"/>
        </w:rPr>
        <w:t xml:space="preserve">(o) “Test Administration Manual” means a manual published annually by ODE that includes descriptions of the specific policies and procedures that school districts are required to follow when administering any component of the Oregon </w:t>
      </w:r>
      <w:r w:rsidR="00534F53" w:rsidRPr="00683414">
        <w:rPr>
          <w:rStyle w:val="NewTextChar"/>
        </w:rPr>
        <w:t>statewide assessments</w:t>
      </w:r>
      <w:r w:rsidR="00534F53" w:rsidRPr="00683414">
        <w:rPr>
          <w:rFonts w:ascii="Calibri" w:hAnsi="Calibri" w:cs="Calibri"/>
          <w:sz w:val="24"/>
          <w:szCs w:val="24"/>
        </w:rPr>
        <w:t xml:space="preserve"> </w:t>
      </w:r>
      <w:r w:rsidR="00534F53" w:rsidRPr="00683414">
        <w:rPr>
          <w:rStyle w:val="DeletionChar"/>
        </w:rPr>
        <w:t>[Statewide Assessments]</w:t>
      </w:r>
      <w:r w:rsidRPr="00683414">
        <w:rPr>
          <w:rFonts w:ascii="Calibri" w:hAnsi="Calibri" w:cs="Calibri"/>
          <w:sz w:val="24"/>
          <w:szCs w:val="24"/>
        </w:rPr>
        <w:t>. References to the Test Administration Manual refer to the edition in effect at the time of test administration and include appendices and any addenda published in accordance with ODE’s revision policy.</w:t>
      </w:r>
    </w:p>
    <w:p w14:paraId="53CE0AEF" w14:textId="10144AAA" w:rsidR="00D20C8F" w:rsidRPr="00683414" w:rsidRDefault="00D20C8F" w:rsidP="00D20C8F">
      <w:pPr>
        <w:rPr>
          <w:rFonts w:ascii="Calibri" w:hAnsi="Calibri" w:cs="Calibri"/>
          <w:sz w:val="24"/>
          <w:szCs w:val="24"/>
        </w:rPr>
      </w:pPr>
      <w:r w:rsidRPr="00683414">
        <w:rPr>
          <w:rFonts w:ascii="Calibri" w:hAnsi="Calibri" w:cs="Calibri"/>
          <w:sz w:val="24"/>
          <w:szCs w:val="24"/>
        </w:rPr>
        <w:t xml:space="preserve">(p) “Test administrator” (TA) means an individual trained to administer the Oregon </w:t>
      </w:r>
      <w:r w:rsidR="00534F53" w:rsidRPr="00683414">
        <w:rPr>
          <w:rStyle w:val="NewTextChar"/>
        </w:rPr>
        <w:t>statewide assessments</w:t>
      </w:r>
      <w:r w:rsidR="00534F53" w:rsidRPr="00683414">
        <w:rPr>
          <w:rFonts w:ascii="Calibri" w:hAnsi="Calibri" w:cs="Calibri"/>
          <w:sz w:val="24"/>
          <w:szCs w:val="24"/>
        </w:rPr>
        <w:t xml:space="preserve"> </w:t>
      </w:r>
      <w:r w:rsidR="00534F53" w:rsidRPr="00683414">
        <w:rPr>
          <w:rStyle w:val="DeletionChar"/>
        </w:rPr>
        <w:t>[Statewide Assessments]</w:t>
      </w:r>
      <w:r w:rsidR="00534F53" w:rsidRPr="00683414">
        <w:rPr>
          <w:rFonts w:ascii="Calibri" w:hAnsi="Calibri" w:cs="Calibri"/>
          <w:sz w:val="24"/>
          <w:szCs w:val="24"/>
        </w:rPr>
        <w:t xml:space="preserve"> </w:t>
      </w:r>
      <w:r w:rsidRPr="00683414">
        <w:rPr>
          <w:rFonts w:ascii="Calibri" w:hAnsi="Calibri" w:cs="Calibri"/>
          <w:sz w:val="24"/>
          <w:szCs w:val="24"/>
        </w:rPr>
        <w:t>in accordance with the Test Administration Manual.</w:t>
      </w:r>
    </w:p>
    <w:p w14:paraId="228658CE" w14:textId="44DE82F4" w:rsidR="00D20C8F" w:rsidRPr="00683414" w:rsidRDefault="00D20C8F" w:rsidP="00D20C8F">
      <w:pPr>
        <w:rPr>
          <w:rFonts w:ascii="Calibri" w:hAnsi="Calibri" w:cs="Calibri"/>
          <w:sz w:val="24"/>
          <w:szCs w:val="24"/>
        </w:rPr>
      </w:pPr>
      <w:r w:rsidRPr="00683414">
        <w:rPr>
          <w:rFonts w:ascii="Calibri" w:hAnsi="Calibri" w:cs="Calibri"/>
          <w:sz w:val="24"/>
          <w:szCs w:val="24"/>
        </w:rPr>
        <w:t xml:space="preserve">(q) “Test Schedule” means the Test Schedule and Required Ship Dates published annually by ODE that includes the windows in which school districts must offer their students the Oregon </w:t>
      </w:r>
      <w:r w:rsidR="00534F53" w:rsidRPr="00683414">
        <w:rPr>
          <w:rStyle w:val="NewTextChar"/>
        </w:rPr>
        <w:t>statewide assessments</w:t>
      </w:r>
      <w:r w:rsidR="00534F53" w:rsidRPr="00683414">
        <w:rPr>
          <w:rFonts w:ascii="Calibri" w:hAnsi="Calibri" w:cs="Calibri"/>
          <w:sz w:val="24"/>
          <w:szCs w:val="24"/>
        </w:rPr>
        <w:t xml:space="preserve"> </w:t>
      </w:r>
      <w:r w:rsidR="00534F53" w:rsidRPr="00534F53">
        <w:rPr>
          <w:rStyle w:val="DeletionChar"/>
        </w:rPr>
        <w:t>[Statewide Assessments</w:t>
      </w:r>
      <w:r w:rsidR="00534F53" w:rsidRPr="00534F53">
        <w:rPr>
          <w:rStyle w:val="DeletionChar"/>
        </w:rPr>
        <w:t xml:space="preserve"> </w:t>
      </w:r>
      <w:r w:rsidRPr="00534F53">
        <w:rPr>
          <w:rStyle w:val="DeletionChar"/>
        </w:rPr>
        <w:t>and the deadline by with DTCs must ship or postmark test materials</w:t>
      </w:r>
      <w:r w:rsidRPr="00534F53">
        <w:rPr>
          <w:rStyle w:val="DeletionChar"/>
        </w:rPr>
        <w:t>.</w:t>
      </w:r>
      <w:r w:rsidR="00534F53" w:rsidRPr="00534F53">
        <w:rPr>
          <w:rStyle w:val="DeletionChar"/>
        </w:rPr>
        <w:t>]</w:t>
      </w:r>
    </w:p>
    <w:p w14:paraId="1709927B"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t>(2)(a) School districts, as defined in ORS 332.002, must enforce the assessment policies described in this rule for all students enrolled in a school operated by the district or enrolled in a public charter school that is located within the boundaries of the school district.</w:t>
      </w:r>
    </w:p>
    <w:p w14:paraId="654542A3"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t>(b) School districts, as defined in ORS 332.002, must enforce the assessment policies described in this rule for all resident students enrolled in a private alternative education program, regardless of whether the private alternative education program is located within the boundaries of the school district.</w:t>
      </w:r>
    </w:p>
    <w:p w14:paraId="2D1A4BC5"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t>(c) The Oregon School for the Deaf must enforce the assessment policies described in this rule for all students enrolled in that school.</w:t>
      </w:r>
    </w:p>
    <w:p w14:paraId="64D99543"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lastRenderedPageBreak/>
        <w:t>(d) The Juvenile Detention Education Program and the Youth Corrections Education Program must enforce the assessment policies described in this rule for all students enrolled in that program.</w:t>
      </w:r>
    </w:p>
    <w:p w14:paraId="0A401D3C"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t xml:space="preserve">(e) The </w:t>
      </w:r>
      <w:proofErr w:type="gramStart"/>
      <w:r w:rsidRPr="00683414">
        <w:rPr>
          <w:rFonts w:ascii="Calibri" w:hAnsi="Calibri" w:cs="Calibri"/>
          <w:sz w:val="24"/>
          <w:szCs w:val="24"/>
        </w:rPr>
        <w:t>Long Term</w:t>
      </w:r>
      <w:proofErr w:type="gramEnd"/>
      <w:r w:rsidRPr="00683414">
        <w:rPr>
          <w:rFonts w:ascii="Calibri" w:hAnsi="Calibri" w:cs="Calibri"/>
          <w:sz w:val="24"/>
          <w:szCs w:val="24"/>
        </w:rPr>
        <w:t xml:space="preserve"> Care Program and the Hospital Education Programs must enforce the assessment policies described in this rule for all students enrolled in that program.</w:t>
      </w:r>
    </w:p>
    <w:p w14:paraId="58AE3DDE" w14:textId="77777777" w:rsidR="00D20C8F" w:rsidRPr="00683414" w:rsidRDefault="00D20C8F" w:rsidP="00D20C8F">
      <w:pPr>
        <w:rPr>
          <w:rFonts w:ascii="Calibri" w:hAnsi="Calibri" w:cs="Calibri"/>
          <w:sz w:val="24"/>
          <w:szCs w:val="24"/>
        </w:rPr>
      </w:pPr>
      <w:r w:rsidRPr="00683414">
        <w:rPr>
          <w:rFonts w:ascii="Calibri" w:hAnsi="Calibri" w:cs="Calibri"/>
          <w:sz w:val="24"/>
          <w:szCs w:val="24"/>
        </w:rPr>
        <w:t>(f) School districts may delegate responsibility for enforcing the assessment policies described in this rule to another school district or education service district under the conditions specified in the Test Administration Manual.</w:t>
      </w:r>
    </w:p>
    <w:p w14:paraId="2F885AE5" w14:textId="28F22E7C" w:rsidR="00D20C8F" w:rsidRPr="00683414" w:rsidRDefault="00D20C8F" w:rsidP="00D20C8F">
      <w:pPr>
        <w:rPr>
          <w:rFonts w:ascii="Calibri" w:hAnsi="Calibri" w:cs="Calibri"/>
          <w:sz w:val="24"/>
          <w:szCs w:val="24"/>
        </w:rPr>
      </w:pPr>
      <w:r w:rsidRPr="00683414">
        <w:rPr>
          <w:rFonts w:ascii="Calibri" w:hAnsi="Calibri" w:cs="Calibri"/>
          <w:sz w:val="24"/>
          <w:szCs w:val="24"/>
        </w:rPr>
        <w:t xml:space="preserve">(3) School districts must administer Oregon </w:t>
      </w:r>
      <w:r w:rsidR="00646F46" w:rsidRPr="0008781B">
        <w:rPr>
          <w:rStyle w:val="NewTextChar"/>
        </w:rPr>
        <w:t>statewide assessments in accordance with the Test Administration Manual, SEED Administration Manual, and Test Schedule published by ODE. The results of these assessments are used to satisfy the requirements specified in OAR 581-022-2270, OAR 581-022-2250, and ORS 329.078 and as a method to evaluate compliance with OAR 581-022-2030.</w:t>
      </w:r>
      <w:r w:rsidR="00646F46" w:rsidRPr="00683414" w:rsidDel="00646F46">
        <w:rPr>
          <w:rFonts w:ascii="Calibri" w:hAnsi="Calibri" w:cs="Calibri"/>
          <w:sz w:val="24"/>
          <w:szCs w:val="24"/>
        </w:rPr>
        <w:t xml:space="preserve"> </w:t>
      </w:r>
      <w:r w:rsidR="0008781B" w:rsidRPr="0008781B">
        <w:rPr>
          <w:rStyle w:val="DeletionChar"/>
        </w:rPr>
        <w:t>[</w:t>
      </w:r>
      <w:r w:rsidRPr="0008781B">
        <w:rPr>
          <w:rStyle w:val="DeletionChar"/>
        </w:rPr>
        <w:t>Statewide Assessments in accordance with the Test Administration Manual and Test Schedule published by ODE. The results of these assessments are used to satisfy the requirements specified in OAR 581-022-2270 and 581-022-2250 and as a method to evaluate compliance with 581-022-2030.</w:t>
      </w:r>
      <w:r w:rsidR="0008781B" w:rsidRPr="0008781B">
        <w:rPr>
          <w:rStyle w:val="DeletionChar"/>
        </w:rPr>
        <w:t>]</w:t>
      </w:r>
    </w:p>
    <w:p w14:paraId="5E1B11B5" w14:textId="54690531" w:rsidR="009A012A" w:rsidRPr="0008781B" w:rsidRDefault="00D20C8F" w:rsidP="009A012A">
      <w:pPr>
        <w:rPr>
          <w:rStyle w:val="NewTextChar"/>
        </w:rPr>
      </w:pPr>
      <w:r w:rsidRPr="00683414">
        <w:rPr>
          <w:rFonts w:ascii="Calibri" w:hAnsi="Calibri" w:cs="Calibri"/>
          <w:sz w:val="24"/>
          <w:szCs w:val="24"/>
        </w:rPr>
        <w:t xml:space="preserve">(4) </w:t>
      </w:r>
      <w:r w:rsidR="009A012A" w:rsidRPr="0008781B">
        <w:rPr>
          <w:rStyle w:val="NewTextChar"/>
        </w:rPr>
        <w:t>Oregon statewide assessments must be administered in an environment that satisfies conditions defined in the manuals, rules, and statutes pertaining to that assessment.</w:t>
      </w:r>
    </w:p>
    <w:p w14:paraId="6E1A0484" w14:textId="27C5D29E" w:rsidR="00452E8F" w:rsidRPr="00683414" w:rsidRDefault="0008781B" w:rsidP="00452E8F">
      <w:pPr>
        <w:rPr>
          <w:rFonts w:ascii="Calibri" w:hAnsi="Calibri" w:cs="Calibri"/>
          <w:sz w:val="24"/>
          <w:szCs w:val="24"/>
        </w:rPr>
      </w:pPr>
      <w:r>
        <w:t>[</w:t>
      </w:r>
      <w:r w:rsidR="00D20C8F" w:rsidRPr="00683414">
        <w:t>School districts must ensure that students are administered the proper Oregon Statewide Assessment and that the testing environment satisfies the following testing conditions:</w:t>
      </w:r>
      <w:r>
        <w:t>]</w:t>
      </w:r>
      <w:r w:rsidR="00D20C8F" w:rsidRPr="00683414">
        <w:rPr>
          <w:rFonts w:ascii="Calibri" w:hAnsi="Calibri" w:cs="Calibri"/>
          <w:sz w:val="24"/>
          <w:szCs w:val="24"/>
        </w:rPr>
        <w:t xml:space="preserve">(a) </w:t>
      </w:r>
      <w:r w:rsidR="00452E8F" w:rsidRPr="0008781B">
        <w:rPr>
          <w:rStyle w:val="NewTextChar"/>
        </w:rPr>
        <w:t>School districts must provide only those subject-specific accommodations, designated supports, and universal tools listed in the Oregon Accessibility Manual and must provide these supports in a manner consistent with the policies contained in the Test Administration Manual and Oregon Accessibility Manual.</w:t>
      </w:r>
    </w:p>
    <w:p w14:paraId="1D1C18B4" w14:textId="18BA9B1B" w:rsidR="00D20C8F" w:rsidRPr="00683414" w:rsidRDefault="0008781B" w:rsidP="0008781B">
      <w:pPr>
        <w:pStyle w:val="Deletion"/>
      </w:pPr>
      <w:r>
        <w:t>[</w:t>
      </w:r>
      <w:r w:rsidR="00D20C8F" w:rsidRPr="00683414">
        <w:t xml:space="preserve">School districts must ensure that Oregon Statewide Assessments are administered by a trained TA who has signed an Assurance of Test Security form for the current school year on file in the district </w:t>
      </w:r>
      <w:proofErr w:type="gramStart"/>
      <w:r w:rsidR="00D20C8F" w:rsidRPr="00683414">
        <w:t>office;</w:t>
      </w:r>
      <w:proofErr w:type="gramEnd"/>
    </w:p>
    <w:p w14:paraId="59EC6D8F" w14:textId="60B18690" w:rsidR="00D20C8F" w:rsidRPr="00683414" w:rsidRDefault="00D20C8F" w:rsidP="0008781B">
      <w:pPr>
        <w:pStyle w:val="Deletion"/>
      </w:pPr>
      <w:r w:rsidRPr="00683414">
        <w:t>(b) School districts must administer Oregon Statewide Assessments in a school building or in an environment that otherwise complies with the Test Administration Manual;</w:t>
      </w:r>
      <w:r w:rsidR="0008781B">
        <w:t>]</w:t>
      </w:r>
    </w:p>
    <w:p w14:paraId="5A4F7BE6" w14:textId="6B2DC28D" w:rsidR="00452E8F" w:rsidRPr="00683414" w:rsidRDefault="00D20C8F" w:rsidP="0008781B">
      <w:pPr>
        <w:pStyle w:val="NewText"/>
      </w:pPr>
      <w:r w:rsidRPr="00683414">
        <w:t xml:space="preserve">(c) School districts must apply the following criteria in deciding whether to provide a student with </w:t>
      </w:r>
      <w:proofErr w:type="gramStart"/>
      <w:r w:rsidRPr="00683414">
        <w:t>an accommodation</w:t>
      </w:r>
      <w:proofErr w:type="gramEnd"/>
      <w:r w:rsidRPr="00683414">
        <w:t xml:space="preserve"> during administration of an Oregon Statewide Assessment</w:t>
      </w:r>
      <w:proofErr w:type="gramStart"/>
      <w:r w:rsidRPr="00683414">
        <w:t>:</w:t>
      </w:r>
      <w:r w:rsidR="0008781B">
        <w:t>]</w:t>
      </w:r>
      <w:r w:rsidR="00452E8F" w:rsidRPr="00683414">
        <w:t>(</w:t>
      </w:r>
      <w:proofErr w:type="gramEnd"/>
      <w:r w:rsidR="0008781B">
        <w:t>5</w:t>
      </w:r>
      <w:r w:rsidR="00452E8F" w:rsidRPr="00683414">
        <w:t>) School districts must decide whether to provide accommodations during administration of Oregon statewide assessments on an individual student basis, and separately for each content area assessed, using the following criteria:</w:t>
      </w:r>
    </w:p>
    <w:p w14:paraId="5026FB75" w14:textId="558D7C2E" w:rsidR="00D20C8F" w:rsidRPr="00683414" w:rsidRDefault="0008781B" w:rsidP="00D20C8F">
      <w:pPr>
        <w:rPr>
          <w:rFonts w:ascii="Calibri" w:hAnsi="Calibri" w:cs="Calibri"/>
          <w:sz w:val="24"/>
          <w:szCs w:val="24"/>
        </w:rPr>
      </w:pPr>
      <w:r>
        <w:t>[</w:t>
      </w:r>
      <w:r w:rsidR="00D20C8F" w:rsidRPr="00683414">
        <w:t>(</w:t>
      </w:r>
      <w:r>
        <w:t>A</w:t>
      </w:r>
      <w:r w:rsidR="00D20C8F" w:rsidRPr="00683414">
        <w:t>) School districts must decide whether to provide accommodations during an assessment on an individual student basis and separately for each content area to be assessed; and</w:t>
      </w:r>
      <w:r>
        <w:t>]</w:t>
      </w:r>
      <w:r w:rsidR="00D20C8F" w:rsidRPr="00683414">
        <w:rPr>
          <w:rFonts w:ascii="Calibri" w:hAnsi="Calibri" w:cs="Calibri"/>
          <w:sz w:val="24"/>
          <w:szCs w:val="24"/>
        </w:rPr>
        <w:t>(</w:t>
      </w:r>
      <w:r w:rsidRPr="0008781B">
        <w:rPr>
          <w:rStyle w:val="DeletionChar"/>
        </w:rPr>
        <w:t>[B]</w:t>
      </w:r>
      <w:r w:rsidRPr="0008781B">
        <w:rPr>
          <w:rStyle w:val="NewTextChar"/>
        </w:rPr>
        <w:t>a</w:t>
      </w:r>
      <w:r w:rsidR="00D20C8F" w:rsidRPr="00683414">
        <w:rPr>
          <w:rFonts w:ascii="Calibri" w:hAnsi="Calibri" w:cs="Calibri"/>
          <w:sz w:val="24"/>
          <w:szCs w:val="24"/>
        </w:rPr>
        <w:t xml:space="preserve">) For students </w:t>
      </w:r>
      <w:r w:rsidR="00D20C8F" w:rsidRPr="00683414">
        <w:rPr>
          <w:rFonts w:ascii="Calibri" w:hAnsi="Calibri" w:cs="Calibri"/>
          <w:sz w:val="24"/>
          <w:szCs w:val="24"/>
        </w:rPr>
        <w:lastRenderedPageBreak/>
        <w:t>with an Individualized Education Plan (IEP) or 504 Plan, school districts must implement the assessment decision made by a student’s IEP or 504 team and documented in the IEP or 504 Plan;</w:t>
      </w:r>
    </w:p>
    <w:p w14:paraId="028990BF" w14:textId="6E7DFF3B" w:rsidR="00D20C8F" w:rsidRPr="00683414" w:rsidRDefault="0008781B" w:rsidP="00D20C8F">
      <w:pPr>
        <w:rPr>
          <w:rFonts w:ascii="Calibri" w:hAnsi="Calibri" w:cs="Calibri"/>
          <w:sz w:val="24"/>
          <w:szCs w:val="24"/>
        </w:rPr>
      </w:pPr>
      <w:proofErr w:type="gramStart"/>
      <w:r w:rsidRPr="00683414">
        <w:rPr>
          <w:rFonts w:ascii="Calibri" w:hAnsi="Calibri" w:cs="Calibri"/>
          <w:sz w:val="24"/>
          <w:szCs w:val="24"/>
        </w:rPr>
        <w:t>(</w:t>
      </w:r>
      <w:r w:rsidRPr="0008781B">
        <w:rPr>
          <w:rStyle w:val="DeletionChar"/>
        </w:rPr>
        <w:t>[</w:t>
      </w:r>
      <w:r>
        <w:rPr>
          <w:rStyle w:val="DeletionChar"/>
        </w:rPr>
        <w:t>d</w:t>
      </w:r>
      <w:r w:rsidRPr="0008781B">
        <w:rPr>
          <w:rStyle w:val="DeletionChar"/>
        </w:rPr>
        <w:t>]</w:t>
      </w:r>
      <w:r>
        <w:rPr>
          <w:rStyle w:val="NewTextChar"/>
        </w:rPr>
        <w:t>b</w:t>
      </w:r>
      <w:r w:rsidRPr="00683414">
        <w:rPr>
          <w:rFonts w:ascii="Calibri" w:hAnsi="Calibri" w:cs="Calibri"/>
          <w:sz w:val="24"/>
          <w:szCs w:val="24"/>
        </w:rPr>
        <w:t xml:space="preserve">) </w:t>
      </w:r>
      <w:r w:rsidR="00D20C8F" w:rsidRPr="00683414">
        <w:rPr>
          <w:rFonts w:ascii="Calibri" w:hAnsi="Calibri" w:cs="Calibri"/>
          <w:sz w:val="24"/>
          <w:szCs w:val="24"/>
        </w:rPr>
        <w:t>School</w:t>
      </w:r>
      <w:proofErr w:type="gramEnd"/>
      <w:r w:rsidR="00D20C8F" w:rsidRPr="00683414">
        <w:rPr>
          <w:rFonts w:ascii="Calibri" w:hAnsi="Calibri" w:cs="Calibri"/>
          <w:sz w:val="24"/>
          <w:szCs w:val="24"/>
        </w:rPr>
        <w:t xml:space="preserve"> districts may only administer modifications to students with an IEP or 504 Plan and only in accordance with the assessment decision made by the student’s IEP or 504 team and documented in the IEP or 504 Plan. Before administering an assessment using a modification, a student’s IEP or 504 team must inform the student’s parent that the use of a modification on an assessment will result in an invalid </w:t>
      </w:r>
      <w:proofErr w:type="gramStart"/>
      <w:r w:rsidR="00D20C8F" w:rsidRPr="00683414">
        <w:rPr>
          <w:rFonts w:ascii="Calibri" w:hAnsi="Calibri" w:cs="Calibri"/>
          <w:sz w:val="24"/>
          <w:szCs w:val="24"/>
        </w:rPr>
        <w:t>assessment;</w:t>
      </w:r>
      <w:proofErr w:type="gramEnd"/>
    </w:p>
    <w:p w14:paraId="7282AFAC" w14:textId="72B570AB" w:rsidR="00D20C8F" w:rsidRPr="00683414" w:rsidRDefault="0008781B" w:rsidP="0008781B">
      <w:pPr>
        <w:pStyle w:val="Deletion"/>
      </w:pPr>
      <w:r>
        <w:t>[</w:t>
      </w:r>
      <w:r w:rsidR="00D20C8F" w:rsidRPr="00683414">
        <w:t xml:space="preserve">(e) School districts must provide only those subject-specific accommodations, designated supports, and universal tools listed in the Oregon Accessibility Manual and must provide these supports in a manner consistent with the policies contained in the Test Administration Manual and Oregon Accessibility </w:t>
      </w:r>
      <w:proofErr w:type="gramStart"/>
      <w:r w:rsidR="00D20C8F" w:rsidRPr="00683414">
        <w:t>Manual;</w:t>
      </w:r>
      <w:proofErr w:type="gramEnd"/>
    </w:p>
    <w:p w14:paraId="1A9A53D9" w14:textId="23F2A752" w:rsidR="00D20C8F" w:rsidRPr="00683414" w:rsidRDefault="00D20C8F" w:rsidP="0008781B">
      <w:pPr>
        <w:pStyle w:val="Deletion"/>
      </w:pPr>
      <w:r w:rsidRPr="00683414">
        <w:t>(f) School districts must ensure that students do not access electronic communication devices such as cellular phones or personal digital assistants (PDAs) during an assessment; and</w:t>
      </w:r>
    </w:p>
    <w:p w14:paraId="718A1CE2" w14:textId="2FE1CC59" w:rsidR="00D20C8F" w:rsidRPr="00683414" w:rsidRDefault="00D20C8F" w:rsidP="00D20C8F">
      <w:pPr>
        <w:rPr>
          <w:rFonts w:ascii="Calibri" w:hAnsi="Calibri" w:cs="Calibri"/>
          <w:sz w:val="24"/>
          <w:szCs w:val="24"/>
        </w:rPr>
      </w:pPr>
      <w:r w:rsidRPr="00683414">
        <w:t>(g) School districts must follow all additional testing conditions specified in the Test Administration Manual</w:t>
      </w:r>
      <w:proofErr w:type="gramStart"/>
      <w:r w:rsidRPr="00683414">
        <w:t>.</w:t>
      </w:r>
      <w:r w:rsidR="0008781B">
        <w:t>]</w:t>
      </w:r>
      <w:r w:rsidRPr="00683414">
        <w:rPr>
          <w:rFonts w:ascii="Calibri" w:hAnsi="Calibri" w:cs="Calibri"/>
          <w:sz w:val="24"/>
          <w:szCs w:val="24"/>
        </w:rPr>
        <w:t>(</w:t>
      </w:r>
      <w:proofErr w:type="gramEnd"/>
      <w:r w:rsidR="0008781B" w:rsidRPr="0008781B">
        <w:rPr>
          <w:rStyle w:val="NewTextChar"/>
        </w:rPr>
        <w:t>6</w:t>
      </w:r>
      <w:r w:rsidRPr="00683414">
        <w:rPr>
          <w:rFonts w:ascii="Calibri" w:hAnsi="Calibri" w:cs="Calibri"/>
          <w:sz w:val="24"/>
          <w:szCs w:val="24"/>
        </w:rPr>
        <w:t>) Failure by a school district to comply with section (4) of this rule constitutes an impropriety as defined in section (1)(e) of this rule. DTCs must report all potential improprieties or irregularities to ODE within one business day of learning of the potential impropriety or irregularity in accordance with the reporting procedures contained in the Test Administration Manual.</w:t>
      </w:r>
    </w:p>
    <w:p w14:paraId="5A8308A7" w14:textId="35079530" w:rsidR="00D20C8F" w:rsidRPr="0008781B" w:rsidRDefault="00D20C8F" w:rsidP="0008781B">
      <w:pPr>
        <w:pStyle w:val="Deletion"/>
      </w:pPr>
      <w:r w:rsidRPr="00683414">
        <w:t>(</w:t>
      </w:r>
      <w:r w:rsidR="0008781B" w:rsidRPr="0008781B">
        <w:rPr>
          <w:rStyle w:val="NewTextChar"/>
        </w:rPr>
        <w:t>7</w:t>
      </w:r>
      <w:r w:rsidRPr="00683414">
        <w:t xml:space="preserve">) </w:t>
      </w:r>
      <w:r w:rsidR="007B6742" w:rsidRPr="0008781B">
        <w:rPr>
          <w:rStyle w:val="NewTextChar"/>
        </w:rPr>
        <w:t>School districts must abide by ODE decisions regarding student assessment records, whether due to a test impropriety or any other circumstance bearing upon the validity of assessment results.</w:t>
      </w:r>
      <w:r w:rsidR="0008781B">
        <w:rPr>
          <w:rStyle w:val="NewTextChar"/>
        </w:rPr>
        <w:t xml:space="preserve"> </w:t>
      </w:r>
      <w:r w:rsidR="0008781B" w:rsidRPr="0008781B">
        <w:rPr>
          <w:rStyle w:val="NewTextChar"/>
          <w:b w:val="0"/>
          <w:bCs w:val="0"/>
        </w:rPr>
        <w:t>[</w:t>
      </w:r>
      <w:r w:rsidRPr="0008781B">
        <w:t xml:space="preserve">The ODE may invalidate assessment results and student responses for assessments administered under conditions not meeting the assessment administration requirements specified in Sections 3 and 4 of this </w:t>
      </w:r>
      <w:proofErr w:type="gramStart"/>
      <w:r w:rsidRPr="0008781B">
        <w:t>rule</w:t>
      </w:r>
      <w:proofErr w:type="gramEnd"/>
      <w:r w:rsidRPr="0008781B">
        <w:t>. In rare instances, ODE may reset a student assessment at the request of the school district if ODE determines that a reset would not compromise the security or validity of the assessment.</w:t>
      </w:r>
    </w:p>
    <w:p w14:paraId="6FEFE6ED" w14:textId="2400EE90" w:rsidR="00D20C8F" w:rsidRPr="0008781B" w:rsidRDefault="00D20C8F" w:rsidP="0008781B">
      <w:pPr>
        <w:pStyle w:val="Deletion"/>
      </w:pPr>
      <w:r w:rsidRPr="0008781B">
        <w:t>(7) ODE counts assessments that meet the following conditions as non-participants in ODE calculations of participation and does not include such assessments in ODE calculations of performance:</w:t>
      </w:r>
    </w:p>
    <w:p w14:paraId="617B0064" w14:textId="52CCC714" w:rsidR="00D20C8F" w:rsidRPr="0008781B" w:rsidRDefault="00D20C8F" w:rsidP="0008781B">
      <w:pPr>
        <w:pStyle w:val="Deletion"/>
      </w:pPr>
      <w:r w:rsidRPr="0008781B">
        <w:t xml:space="preserve">(a) Assessments administered using modifications as defined in section (1)(h) of this </w:t>
      </w:r>
      <w:proofErr w:type="gramStart"/>
      <w:r w:rsidRPr="0008781B">
        <w:t>rule;</w:t>
      </w:r>
      <w:proofErr w:type="gramEnd"/>
    </w:p>
    <w:p w14:paraId="46CAE48E" w14:textId="14FE3005" w:rsidR="00D20C8F" w:rsidRPr="0008781B" w:rsidRDefault="00D20C8F" w:rsidP="0008781B">
      <w:pPr>
        <w:pStyle w:val="Deletion"/>
      </w:pPr>
      <w:r w:rsidRPr="0008781B">
        <w:t xml:space="preserve">(b) Invalidated </w:t>
      </w:r>
      <w:proofErr w:type="gramStart"/>
      <w:r w:rsidRPr="0008781B">
        <w:t>assessments;</w:t>
      </w:r>
      <w:proofErr w:type="gramEnd"/>
    </w:p>
    <w:p w14:paraId="70AEE876" w14:textId="7684FCEA" w:rsidR="00D20C8F" w:rsidRPr="0008781B" w:rsidRDefault="00D20C8F" w:rsidP="0008781B">
      <w:pPr>
        <w:pStyle w:val="Deletion"/>
      </w:pPr>
      <w:r w:rsidRPr="0008781B">
        <w:t xml:space="preserve">(c) Assessments administered outside the </w:t>
      </w:r>
      <w:proofErr w:type="gramStart"/>
      <w:r w:rsidRPr="0008781B">
        <w:t>testing</w:t>
      </w:r>
      <w:proofErr w:type="gramEnd"/>
      <w:r w:rsidRPr="0008781B">
        <w:t xml:space="preserve"> window specified in the Test Schedule; or</w:t>
      </w:r>
    </w:p>
    <w:p w14:paraId="0118DEA6" w14:textId="66E799B0" w:rsidR="00D20C8F" w:rsidRPr="0008781B" w:rsidRDefault="00D20C8F" w:rsidP="0008781B">
      <w:pPr>
        <w:pStyle w:val="Deletion"/>
      </w:pPr>
      <w:r w:rsidRPr="0008781B">
        <w:t>(d) Assessments shipped or postmarked after the dates identified in the Test Schedule.</w:t>
      </w:r>
    </w:p>
    <w:p w14:paraId="0932DD39" w14:textId="77777777" w:rsidR="0008781B" w:rsidRDefault="00D20C8F" w:rsidP="0008781B">
      <w:pPr>
        <w:pStyle w:val="Deletion"/>
      </w:pPr>
      <w:r w:rsidRPr="0008781B">
        <w:lastRenderedPageBreak/>
        <w:t xml:space="preserve">(8) ODE only allows extensions to the testing window or shipping deadlines identified in the Test Schedule in cases where a force majeure occurs within three days of the </w:t>
      </w:r>
      <w:proofErr w:type="gramStart"/>
      <w:r w:rsidRPr="0008781B">
        <w:t>close</w:t>
      </w:r>
      <w:proofErr w:type="gramEnd"/>
      <w:r w:rsidRPr="0008781B">
        <w:t xml:space="preserve"> of the testing window or shipping deadline and prevents a school district from meeting the deadline. Upon receiving a force majeure extension request from the school district, ODE may permit a one-day extension of the testing window or shipping deadline for each day of the force majeure, for up to five days. The force majeure extension begins on the first school day after normal operations resume and ends no later than the last school day in the month in which the testing window closes.</w:t>
      </w:r>
      <w:r w:rsidR="0008781B" w:rsidRPr="0008781B">
        <w:t>]</w:t>
      </w:r>
    </w:p>
    <w:p w14:paraId="639CDB85" w14:textId="57739BF5" w:rsidR="00D20C8F" w:rsidRPr="0008781B" w:rsidRDefault="00D20C8F" w:rsidP="00D20C8F">
      <w:pPr>
        <w:rPr>
          <w:rStyle w:val="DeletionChar"/>
        </w:rPr>
      </w:pPr>
      <w:r w:rsidRPr="00683414">
        <w:rPr>
          <w:rFonts w:ascii="Calibri" w:hAnsi="Calibri" w:cs="Calibri"/>
          <w:sz w:val="24"/>
          <w:szCs w:val="24"/>
        </w:rPr>
        <w:t>(</w:t>
      </w:r>
      <w:r w:rsidR="0008781B" w:rsidRPr="0008781B">
        <w:rPr>
          <w:rStyle w:val="NewTextChar"/>
        </w:rPr>
        <w:t>8</w:t>
      </w:r>
      <w:r w:rsidRPr="00683414">
        <w:rPr>
          <w:rFonts w:ascii="Calibri" w:hAnsi="Calibri" w:cs="Calibri"/>
          <w:sz w:val="24"/>
          <w:szCs w:val="24"/>
        </w:rPr>
        <w:t xml:space="preserve">) School districts may only assess students using the </w:t>
      </w:r>
      <w:r w:rsidR="004F5DF6" w:rsidRPr="0008781B">
        <w:rPr>
          <w:rStyle w:val="NewTextChar"/>
        </w:rPr>
        <w:t>alternate version of a statewide summative assessment if the student has an IEP indicating that the student requires alternate assessment.</w:t>
      </w:r>
      <w:r w:rsidR="0008781B">
        <w:rPr>
          <w:rStyle w:val="NewTextChar"/>
        </w:rPr>
        <w:t xml:space="preserve"> </w:t>
      </w:r>
      <w:r w:rsidR="0008781B" w:rsidRPr="0008781B">
        <w:rPr>
          <w:rStyle w:val="DeletionChar"/>
        </w:rPr>
        <w:t>[</w:t>
      </w:r>
      <w:r w:rsidRPr="0008781B">
        <w:rPr>
          <w:rStyle w:val="DeletionChar"/>
        </w:rPr>
        <w:t>Extended Assessment instead of OAKS or Smarter if the student has an IEP Plan and the student’s Plan indicates that the student requires the Extended Assessment.</w:t>
      </w:r>
      <w:r w:rsidR="0008781B" w:rsidRPr="0008781B">
        <w:rPr>
          <w:rStyle w:val="DeletionChar"/>
        </w:rPr>
        <w:t>]</w:t>
      </w:r>
    </w:p>
    <w:p w14:paraId="139E723F" w14:textId="657258D2" w:rsidR="00D20C8F" w:rsidRPr="00683414" w:rsidRDefault="00D20C8F" w:rsidP="00D20C8F">
      <w:pPr>
        <w:rPr>
          <w:rFonts w:ascii="Calibri" w:hAnsi="Calibri" w:cs="Calibri"/>
          <w:sz w:val="24"/>
          <w:szCs w:val="24"/>
        </w:rPr>
      </w:pPr>
      <w:r w:rsidRPr="00683414">
        <w:rPr>
          <w:rFonts w:ascii="Calibri" w:hAnsi="Calibri" w:cs="Calibri"/>
          <w:sz w:val="24"/>
          <w:szCs w:val="24"/>
        </w:rPr>
        <w:t>(</w:t>
      </w:r>
      <w:r w:rsidR="0008781B" w:rsidRPr="0008781B">
        <w:rPr>
          <w:rStyle w:val="NewTextChar"/>
        </w:rPr>
        <w:t>9</w:t>
      </w:r>
      <w:r w:rsidRPr="00683414">
        <w:rPr>
          <w:rFonts w:ascii="Calibri" w:hAnsi="Calibri" w:cs="Calibri"/>
          <w:sz w:val="24"/>
          <w:szCs w:val="24"/>
        </w:rPr>
        <w:t xml:space="preserve">) School districts must administer </w:t>
      </w:r>
      <w:r w:rsidR="00196A6B" w:rsidRPr="00683414">
        <w:rPr>
          <w:rFonts w:ascii="Calibri" w:hAnsi="Calibri" w:cs="Calibri"/>
          <w:sz w:val="24"/>
          <w:szCs w:val="24"/>
        </w:rPr>
        <w:t xml:space="preserve">the </w:t>
      </w:r>
      <w:r w:rsidR="00196A6B" w:rsidRPr="0008781B">
        <w:rPr>
          <w:rStyle w:val="NewTextChar"/>
        </w:rPr>
        <w:t>state-adopted ELP summative annually to all students eligible for English language development (ELD) services under the Elementary and Secondary Education Act (ESEA), regardless of whether an eligible student actually receives ELD services.</w:t>
      </w:r>
      <w:r w:rsidR="0008781B">
        <w:rPr>
          <w:rStyle w:val="NewTextChar"/>
        </w:rPr>
        <w:t xml:space="preserve"> </w:t>
      </w:r>
      <w:r w:rsidR="0008781B" w:rsidRPr="0008781B">
        <w:rPr>
          <w:rStyle w:val="DeletionChar"/>
        </w:rPr>
        <w:t>[</w:t>
      </w:r>
      <w:r w:rsidRPr="0008781B">
        <w:rPr>
          <w:rStyle w:val="DeletionChar"/>
        </w:rPr>
        <w:t xml:space="preserve">ELPA annually to all students determined by the school district to be eligible for English language development (ELD) services under Title III of the Elementary and Secondary Education Act (ESEA), regardless of whether an eligible student </w:t>
      </w:r>
      <w:proofErr w:type="gramStart"/>
      <w:r w:rsidRPr="0008781B">
        <w:rPr>
          <w:rStyle w:val="DeletionChar"/>
        </w:rPr>
        <w:t>actually receives</w:t>
      </w:r>
      <w:proofErr w:type="gramEnd"/>
      <w:r w:rsidRPr="0008781B">
        <w:rPr>
          <w:rStyle w:val="DeletionChar"/>
        </w:rPr>
        <w:t xml:space="preserve"> ELD services.</w:t>
      </w:r>
      <w:r w:rsidR="0008781B" w:rsidRPr="0008781B">
        <w:rPr>
          <w:rStyle w:val="DeletionChar"/>
        </w:rPr>
        <w:t>]</w:t>
      </w:r>
    </w:p>
    <w:p w14:paraId="17CD0262" w14:textId="14ECC534" w:rsidR="00DD7793" w:rsidRPr="00683414" w:rsidRDefault="00DD7793" w:rsidP="0008781B">
      <w:pPr>
        <w:pStyle w:val="NewText"/>
      </w:pPr>
      <w:r w:rsidRPr="00683414">
        <w:t>(</w:t>
      </w:r>
      <w:r w:rsidR="0008781B">
        <w:t>10</w:t>
      </w:r>
      <w:r w:rsidRPr="00683414">
        <w:t>) Per federal requirements, administering institutions must administer a state-adopted ELP screener upon enrollment to students who would potentially meet the federal definition of an English Language Learner.</w:t>
      </w:r>
    </w:p>
    <w:p w14:paraId="40918C7D" w14:textId="5860D76E" w:rsidR="00D20C8F" w:rsidRPr="00683414" w:rsidRDefault="00D20C8F" w:rsidP="00D20C8F">
      <w:pPr>
        <w:rPr>
          <w:rFonts w:ascii="Calibri" w:hAnsi="Calibri" w:cs="Calibri"/>
          <w:sz w:val="24"/>
          <w:szCs w:val="24"/>
        </w:rPr>
      </w:pPr>
      <w:r w:rsidRPr="00683414">
        <w:rPr>
          <w:rFonts w:ascii="Calibri" w:hAnsi="Calibri" w:cs="Calibri"/>
          <w:sz w:val="24"/>
          <w:szCs w:val="24"/>
        </w:rPr>
        <w:t>(</w:t>
      </w:r>
      <w:r w:rsidR="0008781B" w:rsidRPr="0008781B">
        <w:rPr>
          <w:rStyle w:val="NewTextChar"/>
        </w:rPr>
        <w:t>11</w:t>
      </w:r>
      <w:r w:rsidRPr="00683414">
        <w:rPr>
          <w:rFonts w:ascii="Calibri" w:hAnsi="Calibri" w:cs="Calibri"/>
          <w:sz w:val="24"/>
          <w:szCs w:val="24"/>
        </w:rPr>
        <w:t xml:space="preserve">) </w:t>
      </w:r>
      <w:r w:rsidR="009F2913" w:rsidRPr="0008781B">
        <w:rPr>
          <w:rStyle w:val="NewTextChar"/>
        </w:rPr>
        <w:t xml:space="preserve">The information gathering process at </w:t>
      </w:r>
      <w:r w:rsidR="005F1F68" w:rsidRPr="0008781B">
        <w:rPr>
          <w:rStyle w:val="NewTextChar"/>
        </w:rPr>
        <w:t>kindergarten</w:t>
      </w:r>
      <w:r w:rsidR="009F2913" w:rsidRPr="00683414">
        <w:rPr>
          <w:rFonts w:ascii="Calibri" w:hAnsi="Calibri" w:cs="Calibri"/>
          <w:sz w:val="24"/>
          <w:szCs w:val="24"/>
        </w:rPr>
        <w:t xml:space="preserve"> </w:t>
      </w:r>
      <w:r w:rsidR="0008781B" w:rsidRPr="0008781B">
        <w:rPr>
          <w:rStyle w:val="DeletionChar"/>
        </w:rPr>
        <w:t>[</w:t>
      </w:r>
      <w:r w:rsidRPr="0008781B">
        <w:rPr>
          <w:rStyle w:val="DeletionChar"/>
        </w:rPr>
        <w:t>Administration of the Kindergarten Assessment</w:t>
      </w:r>
      <w:r w:rsidR="0008781B" w:rsidRPr="0008781B">
        <w:rPr>
          <w:rStyle w:val="DeletionChar"/>
        </w:rPr>
        <w:t>]</w:t>
      </w:r>
      <w:r w:rsidR="0008781B">
        <w:rPr>
          <w:rFonts w:ascii="Calibri" w:hAnsi="Calibri" w:cs="Calibri"/>
          <w:sz w:val="24"/>
          <w:szCs w:val="24"/>
        </w:rPr>
        <w:t xml:space="preserve"> </w:t>
      </w:r>
      <w:r w:rsidRPr="00683414">
        <w:rPr>
          <w:rFonts w:ascii="Calibri" w:hAnsi="Calibri" w:cs="Calibri"/>
          <w:sz w:val="24"/>
          <w:szCs w:val="24"/>
        </w:rPr>
        <w:t>is governed by OAR 581-022-2130.</w:t>
      </w:r>
    </w:p>
    <w:p w14:paraId="2AC77AB1" w14:textId="78DA1055" w:rsidR="00D20C8F" w:rsidRPr="00683414" w:rsidRDefault="00D20C8F" w:rsidP="0008781B">
      <w:pPr>
        <w:rPr>
          <w:rFonts w:ascii="Calibri" w:hAnsi="Calibri" w:cs="Calibri"/>
          <w:sz w:val="24"/>
          <w:szCs w:val="24"/>
        </w:rPr>
      </w:pPr>
      <w:r w:rsidRPr="00683414">
        <w:rPr>
          <w:rFonts w:ascii="Calibri" w:hAnsi="Calibri" w:cs="Calibri"/>
          <w:b/>
          <w:bCs/>
          <w:sz w:val="24"/>
          <w:szCs w:val="24"/>
        </w:rPr>
        <w:t>Statutory/Other Authority:</w:t>
      </w:r>
      <w:r w:rsidRPr="00683414">
        <w:rPr>
          <w:rFonts w:ascii="Calibri" w:hAnsi="Calibri" w:cs="Calibri"/>
          <w:sz w:val="24"/>
          <w:szCs w:val="24"/>
        </w:rPr>
        <w:t> ORS 326.051</w:t>
      </w:r>
      <w:r w:rsidR="001F595D" w:rsidRPr="0008781B">
        <w:rPr>
          <w:rStyle w:val="NewTextChar"/>
        </w:rPr>
        <w:t>,</w:t>
      </w:r>
      <w:r w:rsidRPr="0008781B">
        <w:rPr>
          <w:rStyle w:val="NewTextChar"/>
        </w:rPr>
        <w:t xml:space="preserve"> </w:t>
      </w:r>
      <w:r w:rsidR="00287508" w:rsidRPr="0008781B">
        <w:rPr>
          <w:rStyle w:val="NewTextChar"/>
        </w:rPr>
        <w:t>329.075</w:t>
      </w:r>
      <w:r w:rsidR="0046385A" w:rsidRPr="0008781B">
        <w:rPr>
          <w:rStyle w:val="NewTextChar"/>
        </w:rPr>
        <w:t>,</w:t>
      </w:r>
      <w:r w:rsidR="00287508" w:rsidRPr="0008781B">
        <w:rPr>
          <w:rStyle w:val="NewTextChar"/>
        </w:rPr>
        <w:t xml:space="preserve"> &amp; 329.078</w:t>
      </w:r>
      <w:r w:rsidR="0008781B">
        <w:rPr>
          <w:rStyle w:val="NewTextChar"/>
        </w:rPr>
        <w:t xml:space="preserve"> </w:t>
      </w:r>
      <w:r w:rsidR="0008781B" w:rsidRPr="0008781B">
        <w:rPr>
          <w:rStyle w:val="DeletionChar"/>
        </w:rPr>
        <w:t>[</w:t>
      </w:r>
      <w:r w:rsidRPr="0008781B">
        <w:rPr>
          <w:rStyle w:val="DeletionChar"/>
        </w:rPr>
        <w:t>&amp; 329.075</w:t>
      </w:r>
      <w:r w:rsidR="0008781B" w:rsidRPr="0008781B">
        <w:rPr>
          <w:rStyle w:val="DeletionChar"/>
        </w:rPr>
        <w:t>]</w:t>
      </w:r>
      <w:r w:rsidRPr="00683414">
        <w:rPr>
          <w:rFonts w:ascii="Calibri" w:hAnsi="Calibri" w:cs="Calibri"/>
          <w:sz w:val="24"/>
          <w:szCs w:val="24"/>
        </w:rPr>
        <w:br/>
      </w:r>
      <w:r w:rsidRPr="00683414">
        <w:rPr>
          <w:rFonts w:ascii="Calibri" w:hAnsi="Calibri" w:cs="Calibri"/>
          <w:b/>
          <w:bCs/>
          <w:sz w:val="24"/>
          <w:szCs w:val="24"/>
        </w:rPr>
        <w:t>Statutes/Other Implemented:</w:t>
      </w:r>
      <w:r w:rsidRPr="00683414">
        <w:rPr>
          <w:rFonts w:ascii="Calibri" w:hAnsi="Calibri" w:cs="Calibri"/>
          <w:sz w:val="24"/>
          <w:szCs w:val="24"/>
        </w:rPr>
        <w:t> ORS 329.075</w:t>
      </w:r>
      <w:r w:rsidR="0008781B" w:rsidRPr="0008781B">
        <w:rPr>
          <w:rStyle w:val="NewTextChar"/>
        </w:rPr>
        <w:t>, 329.075, &amp; 329.078</w:t>
      </w:r>
      <w:r w:rsidR="0008781B">
        <w:rPr>
          <w:rStyle w:val="NewTextChar"/>
        </w:rPr>
        <w:t xml:space="preserve"> </w:t>
      </w:r>
      <w:r w:rsidR="0008781B" w:rsidRPr="0008781B">
        <w:rPr>
          <w:rStyle w:val="DeletionChar"/>
        </w:rPr>
        <w:t>[&amp; 329.075]</w:t>
      </w:r>
    </w:p>
    <w:sectPr w:rsidR="00D20C8F" w:rsidRPr="00683414" w:rsidSect="00E41BA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7041" w14:textId="77777777" w:rsidR="006E4FD8" w:rsidRDefault="006E4FD8" w:rsidP="004776FC">
      <w:pPr>
        <w:spacing w:after="0" w:line="240" w:lineRule="auto"/>
      </w:pPr>
      <w:r>
        <w:separator/>
      </w:r>
    </w:p>
  </w:endnote>
  <w:endnote w:type="continuationSeparator" w:id="0">
    <w:p w14:paraId="285559EB" w14:textId="77777777" w:rsidR="006E4FD8" w:rsidRDefault="006E4FD8" w:rsidP="004776FC">
      <w:pPr>
        <w:spacing w:after="0" w:line="240" w:lineRule="auto"/>
      </w:pPr>
      <w:r>
        <w:continuationSeparator/>
      </w:r>
    </w:p>
  </w:endnote>
  <w:endnote w:type="continuationNotice" w:id="1">
    <w:p w14:paraId="2F38505A" w14:textId="77777777" w:rsidR="006E4FD8" w:rsidRDefault="006E4F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011850"/>
      <w:docPartObj>
        <w:docPartGallery w:val="Page Numbers (Bottom of Page)"/>
        <w:docPartUnique/>
      </w:docPartObj>
    </w:sdtPr>
    <w:sdtEndPr>
      <w:rPr>
        <w:noProof/>
      </w:rPr>
    </w:sdtEndPr>
    <w:sdtContent>
      <w:p w14:paraId="21F38A05" w14:textId="710DE46E" w:rsidR="004776FC" w:rsidRDefault="004776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027E0D" w14:textId="77777777" w:rsidR="004776FC" w:rsidRDefault="0047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F2A6" w14:textId="77777777" w:rsidR="006E4FD8" w:rsidRDefault="006E4FD8" w:rsidP="004776FC">
      <w:pPr>
        <w:spacing w:after="0" w:line="240" w:lineRule="auto"/>
      </w:pPr>
      <w:r>
        <w:separator/>
      </w:r>
    </w:p>
  </w:footnote>
  <w:footnote w:type="continuationSeparator" w:id="0">
    <w:p w14:paraId="6A32970B" w14:textId="77777777" w:rsidR="006E4FD8" w:rsidRDefault="006E4FD8" w:rsidP="004776FC">
      <w:pPr>
        <w:spacing w:after="0" w:line="240" w:lineRule="auto"/>
      </w:pPr>
      <w:r>
        <w:continuationSeparator/>
      </w:r>
    </w:p>
  </w:footnote>
  <w:footnote w:type="continuationNotice" w:id="1">
    <w:p w14:paraId="7ED7035D" w14:textId="77777777" w:rsidR="006E4FD8" w:rsidRDefault="006E4F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F53"/>
    <w:multiLevelType w:val="multilevel"/>
    <w:tmpl w:val="D33E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F2175"/>
    <w:multiLevelType w:val="hybridMultilevel"/>
    <w:tmpl w:val="5D6A3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5258D9"/>
    <w:multiLevelType w:val="multilevel"/>
    <w:tmpl w:val="ABEAA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444094">
    <w:abstractNumId w:val="1"/>
  </w:num>
  <w:num w:numId="2" w16cid:durableId="2142964476">
    <w:abstractNumId w:val="2"/>
  </w:num>
  <w:num w:numId="3" w16cid:durableId="206039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19"/>
    <w:rsid w:val="00010F34"/>
    <w:rsid w:val="0002061F"/>
    <w:rsid w:val="00021ED2"/>
    <w:rsid w:val="00024D3B"/>
    <w:rsid w:val="00026BE8"/>
    <w:rsid w:val="00031724"/>
    <w:rsid w:val="0005646E"/>
    <w:rsid w:val="00056ED1"/>
    <w:rsid w:val="00057FD8"/>
    <w:rsid w:val="00064924"/>
    <w:rsid w:val="00077040"/>
    <w:rsid w:val="0008781B"/>
    <w:rsid w:val="0009345E"/>
    <w:rsid w:val="000A33AB"/>
    <w:rsid w:val="000A5756"/>
    <w:rsid w:val="000A6B97"/>
    <w:rsid w:val="000B12B5"/>
    <w:rsid w:val="000B2568"/>
    <w:rsid w:val="000C14A2"/>
    <w:rsid w:val="000C265D"/>
    <w:rsid w:val="000D1C67"/>
    <w:rsid w:val="000D36B7"/>
    <w:rsid w:val="000E1E5A"/>
    <w:rsid w:val="000E7BC7"/>
    <w:rsid w:val="000F3400"/>
    <w:rsid w:val="001303FC"/>
    <w:rsid w:val="00134F04"/>
    <w:rsid w:val="00135E0D"/>
    <w:rsid w:val="0014137C"/>
    <w:rsid w:val="00143C46"/>
    <w:rsid w:val="00144026"/>
    <w:rsid w:val="00151B1D"/>
    <w:rsid w:val="001525A7"/>
    <w:rsid w:val="001548EE"/>
    <w:rsid w:val="0015758E"/>
    <w:rsid w:val="00160873"/>
    <w:rsid w:val="00160A9C"/>
    <w:rsid w:val="001636A7"/>
    <w:rsid w:val="00171B84"/>
    <w:rsid w:val="001747EF"/>
    <w:rsid w:val="00175109"/>
    <w:rsid w:val="001800EA"/>
    <w:rsid w:val="00182E70"/>
    <w:rsid w:val="00185169"/>
    <w:rsid w:val="00185A58"/>
    <w:rsid w:val="00187FD9"/>
    <w:rsid w:val="00196A6B"/>
    <w:rsid w:val="001A2EFF"/>
    <w:rsid w:val="001A55A5"/>
    <w:rsid w:val="001A6514"/>
    <w:rsid w:val="001B723D"/>
    <w:rsid w:val="001C677D"/>
    <w:rsid w:val="001D61B0"/>
    <w:rsid w:val="001E72BA"/>
    <w:rsid w:val="001F0639"/>
    <w:rsid w:val="001F5478"/>
    <w:rsid w:val="001F595D"/>
    <w:rsid w:val="0020498C"/>
    <w:rsid w:val="0022037B"/>
    <w:rsid w:val="00223DAF"/>
    <w:rsid w:val="00224313"/>
    <w:rsid w:val="002256D1"/>
    <w:rsid w:val="00232C07"/>
    <w:rsid w:val="00233D11"/>
    <w:rsid w:val="002418B5"/>
    <w:rsid w:val="002427C0"/>
    <w:rsid w:val="0025033B"/>
    <w:rsid w:val="00266821"/>
    <w:rsid w:val="002713BF"/>
    <w:rsid w:val="00276BA7"/>
    <w:rsid w:val="00280DA6"/>
    <w:rsid w:val="00281136"/>
    <w:rsid w:val="0028258B"/>
    <w:rsid w:val="00287508"/>
    <w:rsid w:val="002929C6"/>
    <w:rsid w:val="00295954"/>
    <w:rsid w:val="00297AE3"/>
    <w:rsid w:val="002B5625"/>
    <w:rsid w:val="002C030C"/>
    <w:rsid w:val="002C5A99"/>
    <w:rsid w:val="002D37BB"/>
    <w:rsid w:val="002E5EFA"/>
    <w:rsid w:val="002E6FE6"/>
    <w:rsid w:val="002F25BF"/>
    <w:rsid w:val="002F2BAD"/>
    <w:rsid w:val="002F51C4"/>
    <w:rsid w:val="002F7419"/>
    <w:rsid w:val="003001E8"/>
    <w:rsid w:val="00300213"/>
    <w:rsid w:val="00300E2F"/>
    <w:rsid w:val="00304A53"/>
    <w:rsid w:val="00306032"/>
    <w:rsid w:val="00315C3F"/>
    <w:rsid w:val="0033101A"/>
    <w:rsid w:val="003310A9"/>
    <w:rsid w:val="0033175F"/>
    <w:rsid w:val="003367CC"/>
    <w:rsid w:val="00346621"/>
    <w:rsid w:val="0034784E"/>
    <w:rsid w:val="00355181"/>
    <w:rsid w:val="00355951"/>
    <w:rsid w:val="00362B00"/>
    <w:rsid w:val="00380C51"/>
    <w:rsid w:val="00380EE8"/>
    <w:rsid w:val="0038567A"/>
    <w:rsid w:val="003A452C"/>
    <w:rsid w:val="003A4AE6"/>
    <w:rsid w:val="003A5E26"/>
    <w:rsid w:val="003B109A"/>
    <w:rsid w:val="003B1387"/>
    <w:rsid w:val="003B2993"/>
    <w:rsid w:val="003B40D6"/>
    <w:rsid w:val="003C581D"/>
    <w:rsid w:val="003C5D59"/>
    <w:rsid w:val="003E5AD4"/>
    <w:rsid w:val="003F6983"/>
    <w:rsid w:val="00401583"/>
    <w:rsid w:val="004024D8"/>
    <w:rsid w:val="00405432"/>
    <w:rsid w:val="004066B8"/>
    <w:rsid w:val="00411635"/>
    <w:rsid w:val="00414F76"/>
    <w:rsid w:val="004159AA"/>
    <w:rsid w:val="00420082"/>
    <w:rsid w:val="004266E4"/>
    <w:rsid w:val="00431969"/>
    <w:rsid w:val="00436A75"/>
    <w:rsid w:val="00452E8F"/>
    <w:rsid w:val="0045556F"/>
    <w:rsid w:val="0046385A"/>
    <w:rsid w:val="00464173"/>
    <w:rsid w:val="00465BAE"/>
    <w:rsid w:val="00475E6F"/>
    <w:rsid w:val="004776FC"/>
    <w:rsid w:val="00480A4F"/>
    <w:rsid w:val="00484D22"/>
    <w:rsid w:val="00491E78"/>
    <w:rsid w:val="004924A7"/>
    <w:rsid w:val="004A2512"/>
    <w:rsid w:val="004A6430"/>
    <w:rsid w:val="004A7882"/>
    <w:rsid w:val="004B308C"/>
    <w:rsid w:val="004B38C1"/>
    <w:rsid w:val="004B3FC0"/>
    <w:rsid w:val="004B4ECA"/>
    <w:rsid w:val="004C4C57"/>
    <w:rsid w:val="004C4D00"/>
    <w:rsid w:val="004C7012"/>
    <w:rsid w:val="004F5DF6"/>
    <w:rsid w:val="004F79F9"/>
    <w:rsid w:val="004F7A06"/>
    <w:rsid w:val="00500C3A"/>
    <w:rsid w:val="00504F56"/>
    <w:rsid w:val="00505141"/>
    <w:rsid w:val="005110C4"/>
    <w:rsid w:val="00530BD9"/>
    <w:rsid w:val="00532A93"/>
    <w:rsid w:val="00532D27"/>
    <w:rsid w:val="00534F53"/>
    <w:rsid w:val="00540582"/>
    <w:rsid w:val="00554BEA"/>
    <w:rsid w:val="00554E8B"/>
    <w:rsid w:val="00561276"/>
    <w:rsid w:val="005678FB"/>
    <w:rsid w:val="005727A1"/>
    <w:rsid w:val="00587248"/>
    <w:rsid w:val="00587FDC"/>
    <w:rsid w:val="0059343C"/>
    <w:rsid w:val="00594BE6"/>
    <w:rsid w:val="005A151C"/>
    <w:rsid w:val="005A458C"/>
    <w:rsid w:val="005A46F1"/>
    <w:rsid w:val="005B1BF4"/>
    <w:rsid w:val="005B526E"/>
    <w:rsid w:val="005B5782"/>
    <w:rsid w:val="005B7366"/>
    <w:rsid w:val="005C16CC"/>
    <w:rsid w:val="005C6B30"/>
    <w:rsid w:val="005C7C09"/>
    <w:rsid w:val="005E2630"/>
    <w:rsid w:val="005E48A3"/>
    <w:rsid w:val="005E5616"/>
    <w:rsid w:val="005E58C8"/>
    <w:rsid w:val="005F0D2E"/>
    <w:rsid w:val="005F1F68"/>
    <w:rsid w:val="005F607D"/>
    <w:rsid w:val="00602F19"/>
    <w:rsid w:val="00604366"/>
    <w:rsid w:val="00607306"/>
    <w:rsid w:val="00613DAF"/>
    <w:rsid w:val="00617A1A"/>
    <w:rsid w:val="00621D95"/>
    <w:rsid w:val="00624D9A"/>
    <w:rsid w:val="00626FCB"/>
    <w:rsid w:val="00634DB8"/>
    <w:rsid w:val="00636F82"/>
    <w:rsid w:val="00646F46"/>
    <w:rsid w:val="00647E1F"/>
    <w:rsid w:val="006739CB"/>
    <w:rsid w:val="006748E8"/>
    <w:rsid w:val="006774CE"/>
    <w:rsid w:val="00683414"/>
    <w:rsid w:val="006973DB"/>
    <w:rsid w:val="006A2D91"/>
    <w:rsid w:val="006A68A5"/>
    <w:rsid w:val="006A7904"/>
    <w:rsid w:val="006D1624"/>
    <w:rsid w:val="006D43A9"/>
    <w:rsid w:val="006D677B"/>
    <w:rsid w:val="006E3184"/>
    <w:rsid w:val="006E4FD8"/>
    <w:rsid w:val="006E682C"/>
    <w:rsid w:val="006F2145"/>
    <w:rsid w:val="006F2591"/>
    <w:rsid w:val="0071006D"/>
    <w:rsid w:val="00711A99"/>
    <w:rsid w:val="00712E0C"/>
    <w:rsid w:val="007151DA"/>
    <w:rsid w:val="00721043"/>
    <w:rsid w:val="0072472C"/>
    <w:rsid w:val="00734D8A"/>
    <w:rsid w:val="00736065"/>
    <w:rsid w:val="00736E3E"/>
    <w:rsid w:val="00740B64"/>
    <w:rsid w:val="00741395"/>
    <w:rsid w:val="00741C06"/>
    <w:rsid w:val="00743942"/>
    <w:rsid w:val="007460AE"/>
    <w:rsid w:val="007464F0"/>
    <w:rsid w:val="007503E9"/>
    <w:rsid w:val="00757602"/>
    <w:rsid w:val="007606B8"/>
    <w:rsid w:val="007617C6"/>
    <w:rsid w:val="00762E2B"/>
    <w:rsid w:val="00763055"/>
    <w:rsid w:val="00764F1D"/>
    <w:rsid w:val="00782FBF"/>
    <w:rsid w:val="00783A2C"/>
    <w:rsid w:val="00790B3E"/>
    <w:rsid w:val="007A7EEF"/>
    <w:rsid w:val="007B0498"/>
    <w:rsid w:val="007B1691"/>
    <w:rsid w:val="007B54C3"/>
    <w:rsid w:val="007B6742"/>
    <w:rsid w:val="007C498C"/>
    <w:rsid w:val="007E1863"/>
    <w:rsid w:val="007E3988"/>
    <w:rsid w:val="007E73F9"/>
    <w:rsid w:val="0082430F"/>
    <w:rsid w:val="00825387"/>
    <w:rsid w:val="00831610"/>
    <w:rsid w:val="008357AD"/>
    <w:rsid w:val="00835930"/>
    <w:rsid w:val="0084423B"/>
    <w:rsid w:val="0084770B"/>
    <w:rsid w:val="0085081F"/>
    <w:rsid w:val="00854F5D"/>
    <w:rsid w:val="00867A86"/>
    <w:rsid w:val="008761A9"/>
    <w:rsid w:val="0088193B"/>
    <w:rsid w:val="00886A05"/>
    <w:rsid w:val="00890DEA"/>
    <w:rsid w:val="008A5EB3"/>
    <w:rsid w:val="008B49D6"/>
    <w:rsid w:val="008B5C1C"/>
    <w:rsid w:val="008C4D08"/>
    <w:rsid w:val="008C7807"/>
    <w:rsid w:val="008D0D3F"/>
    <w:rsid w:val="008F675B"/>
    <w:rsid w:val="0090031A"/>
    <w:rsid w:val="00902050"/>
    <w:rsid w:val="009035C7"/>
    <w:rsid w:val="00911E11"/>
    <w:rsid w:val="00913868"/>
    <w:rsid w:val="00914170"/>
    <w:rsid w:val="00915121"/>
    <w:rsid w:val="009366B7"/>
    <w:rsid w:val="00947075"/>
    <w:rsid w:val="00947DFA"/>
    <w:rsid w:val="009507C5"/>
    <w:rsid w:val="0095623A"/>
    <w:rsid w:val="009727AA"/>
    <w:rsid w:val="00975E45"/>
    <w:rsid w:val="00976041"/>
    <w:rsid w:val="009810D9"/>
    <w:rsid w:val="00986ACA"/>
    <w:rsid w:val="009A012A"/>
    <w:rsid w:val="009A3188"/>
    <w:rsid w:val="009A3AD8"/>
    <w:rsid w:val="009A7D71"/>
    <w:rsid w:val="009B268C"/>
    <w:rsid w:val="009B7741"/>
    <w:rsid w:val="009B7D49"/>
    <w:rsid w:val="009D1B9D"/>
    <w:rsid w:val="009E0B48"/>
    <w:rsid w:val="009F2913"/>
    <w:rsid w:val="00A00D35"/>
    <w:rsid w:val="00A1287D"/>
    <w:rsid w:val="00A200E0"/>
    <w:rsid w:val="00A2425C"/>
    <w:rsid w:val="00A24E38"/>
    <w:rsid w:val="00A2519D"/>
    <w:rsid w:val="00A337E9"/>
    <w:rsid w:val="00A35754"/>
    <w:rsid w:val="00A35B51"/>
    <w:rsid w:val="00A430C7"/>
    <w:rsid w:val="00A46425"/>
    <w:rsid w:val="00A527DC"/>
    <w:rsid w:val="00A64107"/>
    <w:rsid w:val="00A80A7F"/>
    <w:rsid w:val="00A80EBC"/>
    <w:rsid w:val="00A8107A"/>
    <w:rsid w:val="00AA262C"/>
    <w:rsid w:val="00AB14FA"/>
    <w:rsid w:val="00AB242A"/>
    <w:rsid w:val="00AB351A"/>
    <w:rsid w:val="00AC309B"/>
    <w:rsid w:val="00AD1307"/>
    <w:rsid w:val="00AD4A9C"/>
    <w:rsid w:val="00AE046B"/>
    <w:rsid w:val="00AF4269"/>
    <w:rsid w:val="00B00F77"/>
    <w:rsid w:val="00B01343"/>
    <w:rsid w:val="00B04F92"/>
    <w:rsid w:val="00B10A4E"/>
    <w:rsid w:val="00B114E0"/>
    <w:rsid w:val="00B134FD"/>
    <w:rsid w:val="00B20F17"/>
    <w:rsid w:val="00B22E47"/>
    <w:rsid w:val="00B359F3"/>
    <w:rsid w:val="00B367C7"/>
    <w:rsid w:val="00B3764B"/>
    <w:rsid w:val="00B40F87"/>
    <w:rsid w:val="00B441D2"/>
    <w:rsid w:val="00B477C4"/>
    <w:rsid w:val="00B55070"/>
    <w:rsid w:val="00B556B7"/>
    <w:rsid w:val="00B56B6A"/>
    <w:rsid w:val="00B66838"/>
    <w:rsid w:val="00B70B68"/>
    <w:rsid w:val="00B7376F"/>
    <w:rsid w:val="00B7479D"/>
    <w:rsid w:val="00B77968"/>
    <w:rsid w:val="00B77CE1"/>
    <w:rsid w:val="00B806BE"/>
    <w:rsid w:val="00B96162"/>
    <w:rsid w:val="00BA01C1"/>
    <w:rsid w:val="00BA1A17"/>
    <w:rsid w:val="00BB1D4F"/>
    <w:rsid w:val="00BB5126"/>
    <w:rsid w:val="00BB553F"/>
    <w:rsid w:val="00BC0A78"/>
    <w:rsid w:val="00BC3A37"/>
    <w:rsid w:val="00BC6E9D"/>
    <w:rsid w:val="00BD42AC"/>
    <w:rsid w:val="00BD69D2"/>
    <w:rsid w:val="00BE0502"/>
    <w:rsid w:val="00BE0581"/>
    <w:rsid w:val="00BE0A83"/>
    <w:rsid w:val="00BE4862"/>
    <w:rsid w:val="00BF6145"/>
    <w:rsid w:val="00BF7D32"/>
    <w:rsid w:val="00C04165"/>
    <w:rsid w:val="00C119FA"/>
    <w:rsid w:val="00C11BD2"/>
    <w:rsid w:val="00C1393A"/>
    <w:rsid w:val="00C16731"/>
    <w:rsid w:val="00C26B6D"/>
    <w:rsid w:val="00C2710A"/>
    <w:rsid w:val="00C31A6B"/>
    <w:rsid w:val="00C3319B"/>
    <w:rsid w:val="00C33260"/>
    <w:rsid w:val="00C345E9"/>
    <w:rsid w:val="00C40FCD"/>
    <w:rsid w:val="00C413D5"/>
    <w:rsid w:val="00C5145B"/>
    <w:rsid w:val="00C54526"/>
    <w:rsid w:val="00C60187"/>
    <w:rsid w:val="00C63D4D"/>
    <w:rsid w:val="00C67860"/>
    <w:rsid w:val="00C701DF"/>
    <w:rsid w:val="00C717F2"/>
    <w:rsid w:val="00C75D3D"/>
    <w:rsid w:val="00C92BD0"/>
    <w:rsid w:val="00C93A2B"/>
    <w:rsid w:val="00C95062"/>
    <w:rsid w:val="00C96CCE"/>
    <w:rsid w:val="00CA2111"/>
    <w:rsid w:val="00CA2CFB"/>
    <w:rsid w:val="00CA5883"/>
    <w:rsid w:val="00CB0487"/>
    <w:rsid w:val="00CB1057"/>
    <w:rsid w:val="00CB11F5"/>
    <w:rsid w:val="00CB2DDD"/>
    <w:rsid w:val="00CB36F9"/>
    <w:rsid w:val="00CB37FB"/>
    <w:rsid w:val="00CB3923"/>
    <w:rsid w:val="00CB4007"/>
    <w:rsid w:val="00CB56F4"/>
    <w:rsid w:val="00CC509D"/>
    <w:rsid w:val="00CC6177"/>
    <w:rsid w:val="00CD7D0C"/>
    <w:rsid w:val="00CE5BEE"/>
    <w:rsid w:val="00CF011F"/>
    <w:rsid w:val="00CF098C"/>
    <w:rsid w:val="00CF0A01"/>
    <w:rsid w:val="00CF1A99"/>
    <w:rsid w:val="00D01468"/>
    <w:rsid w:val="00D01DB6"/>
    <w:rsid w:val="00D1350D"/>
    <w:rsid w:val="00D16078"/>
    <w:rsid w:val="00D20C8F"/>
    <w:rsid w:val="00D21483"/>
    <w:rsid w:val="00D236BC"/>
    <w:rsid w:val="00D27221"/>
    <w:rsid w:val="00D33F9B"/>
    <w:rsid w:val="00D3468F"/>
    <w:rsid w:val="00D34FD0"/>
    <w:rsid w:val="00D5373C"/>
    <w:rsid w:val="00D60E83"/>
    <w:rsid w:val="00D6110B"/>
    <w:rsid w:val="00D61B79"/>
    <w:rsid w:val="00D66452"/>
    <w:rsid w:val="00D7657A"/>
    <w:rsid w:val="00D82209"/>
    <w:rsid w:val="00D82AD9"/>
    <w:rsid w:val="00D93014"/>
    <w:rsid w:val="00D939AE"/>
    <w:rsid w:val="00D94B5A"/>
    <w:rsid w:val="00DA154D"/>
    <w:rsid w:val="00DA3CA4"/>
    <w:rsid w:val="00DA6BCD"/>
    <w:rsid w:val="00DC0129"/>
    <w:rsid w:val="00DC2356"/>
    <w:rsid w:val="00DC31BD"/>
    <w:rsid w:val="00DC3AAB"/>
    <w:rsid w:val="00DC6B13"/>
    <w:rsid w:val="00DD212E"/>
    <w:rsid w:val="00DD6BCB"/>
    <w:rsid w:val="00DD7028"/>
    <w:rsid w:val="00DD7793"/>
    <w:rsid w:val="00DE7BCA"/>
    <w:rsid w:val="00DF08DA"/>
    <w:rsid w:val="00DF6B0E"/>
    <w:rsid w:val="00DF725F"/>
    <w:rsid w:val="00E0657E"/>
    <w:rsid w:val="00E125AD"/>
    <w:rsid w:val="00E13D62"/>
    <w:rsid w:val="00E151A2"/>
    <w:rsid w:val="00E1681D"/>
    <w:rsid w:val="00E208CA"/>
    <w:rsid w:val="00E236B7"/>
    <w:rsid w:val="00E274BD"/>
    <w:rsid w:val="00E3008B"/>
    <w:rsid w:val="00E3230C"/>
    <w:rsid w:val="00E3514A"/>
    <w:rsid w:val="00E35C64"/>
    <w:rsid w:val="00E41BAC"/>
    <w:rsid w:val="00E42ACF"/>
    <w:rsid w:val="00E61B13"/>
    <w:rsid w:val="00E70EDF"/>
    <w:rsid w:val="00E73AC0"/>
    <w:rsid w:val="00E90494"/>
    <w:rsid w:val="00E93CE4"/>
    <w:rsid w:val="00E96D93"/>
    <w:rsid w:val="00EA00A6"/>
    <w:rsid w:val="00EA2A89"/>
    <w:rsid w:val="00EA3077"/>
    <w:rsid w:val="00EA3451"/>
    <w:rsid w:val="00EC4781"/>
    <w:rsid w:val="00EC50A5"/>
    <w:rsid w:val="00ED301A"/>
    <w:rsid w:val="00EE48EF"/>
    <w:rsid w:val="00EE645C"/>
    <w:rsid w:val="00F004E4"/>
    <w:rsid w:val="00F01C5C"/>
    <w:rsid w:val="00F03E40"/>
    <w:rsid w:val="00F06E96"/>
    <w:rsid w:val="00F1016A"/>
    <w:rsid w:val="00F153B2"/>
    <w:rsid w:val="00F17AA1"/>
    <w:rsid w:val="00F21409"/>
    <w:rsid w:val="00F27070"/>
    <w:rsid w:val="00F27DCD"/>
    <w:rsid w:val="00F313EB"/>
    <w:rsid w:val="00F32873"/>
    <w:rsid w:val="00F41D59"/>
    <w:rsid w:val="00F45847"/>
    <w:rsid w:val="00F531B4"/>
    <w:rsid w:val="00F53730"/>
    <w:rsid w:val="00F552EF"/>
    <w:rsid w:val="00F615C1"/>
    <w:rsid w:val="00F643E1"/>
    <w:rsid w:val="00F672EC"/>
    <w:rsid w:val="00F72C90"/>
    <w:rsid w:val="00F73194"/>
    <w:rsid w:val="00F80853"/>
    <w:rsid w:val="00F80B1C"/>
    <w:rsid w:val="00F80F59"/>
    <w:rsid w:val="00F9748D"/>
    <w:rsid w:val="00FA5D29"/>
    <w:rsid w:val="00FB7102"/>
    <w:rsid w:val="00FC312B"/>
    <w:rsid w:val="00FC3299"/>
    <w:rsid w:val="00FC70DD"/>
    <w:rsid w:val="00FD0BDE"/>
    <w:rsid w:val="00FD6322"/>
    <w:rsid w:val="00FE5B4B"/>
    <w:rsid w:val="00FF14C4"/>
    <w:rsid w:val="00FF4057"/>
    <w:rsid w:val="03710479"/>
    <w:rsid w:val="03E1C55B"/>
    <w:rsid w:val="03F598CD"/>
    <w:rsid w:val="09D4BE6D"/>
    <w:rsid w:val="0B365A82"/>
    <w:rsid w:val="0C7464E8"/>
    <w:rsid w:val="0C8AC814"/>
    <w:rsid w:val="0F81A50F"/>
    <w:rsid w:val="13198D55"/>
    <w:rsid w:val="1553F4EC"/>
    <w:rsid w:val="1588BD35"/>
    <w:rsid w:val="15D4B068"/>
    <w:rsid w:val="168FA9B8"/>
    <w:rsid w:val="19BF67E9"/>
    <w:rsid w:val="1DA6FB22"/>
    <w:rsid w:val="1E12A9E9"/>
    <w:rsid w:val="22EA9E35"/>
    <w:rsid w:val="22F94A69"/>
    <w:rsid w:val="233CF3F0"/>
    <w:rsid w:val="2355414F"/>
    <w:rsid w:val="2549AED5"/>
    <w:rsid w:val="266E47BA"/>
    <w:rsid w:val="29BA702C"/>
    <w:rsid w:val="2B1EDAC1"/>
    <w:rsid w:val="2B6E7F23"/>
    <w:rsid w:val="2DE56BA1"/>
    <w:rsid w:val="2E4416B0"/>
    <w:rsid w:val="312D2F47"/>
    <w:rsid w:val="33281C68"/>
    <w:rsid w:val="33DA9300"/>
    <w:rsid w:val="34E7B43F"/>
    <w:rsid w:val="37367ECF"/>
    <w:rsid w:val="384D3C27"/>
    <w:rsid w:val="3918116C"/>
    <w:rsid w:val="39B8BD97"/>
    <w:rsid w:val="3B627237"/>
    <w:rsid w:val="3C4C7653"/>
    <w:rsid w:val="3CCFD632"/>
    <w:rsid w:val="4051C5FF"/>
    <w:rsid w:val="44104417"/>
    <w:rsid w:val="459AD2D4"/>
    <w:rsid w:val="49BF0D4D"/>
    <w:rsid w:val="4BA2B257"/>
    <w:rsid w:val="4C4AA2EC"/>
    <w:rsid w:val="4E598616"/>
    <w:rsid w:val="4ECD35A5"/>
    <w:rsid w:val="50A01849"/>
    <w:rsid w:val="50D24396"/>
    <w:rsid w:val="52D8AC30"/>
    <w:rsid w:val="542D2DFA"/>
    <w:rsid w:val="5463FD3B"/>
    <w:rsid w:val="5471714D"/>
    <w:rsid w:val="5AB73E0A"/>
    <w:rsid w:val="5C45AFD0"/>
    <w:rsid w:val="5C8E8F91"/>
    <w:rsid w:val="611CF934"/>
    <w:rsid w:val="615602E7"/>
    <w:rsid w:val="63AFCA98"/>
    <w:rsid w:val="64C0B51A"/>
    <w:rsid w:val="664D6862"/>
    <w:rsid w:val="665761AD"/>
    <w:rsid w:val="68CAB0D0"/>
    <w:rsid w:val="6ABE3D4E"/>
    <w:rsid w:val="6B71040F"/>
    <w:rsid w:val="6BC9D865"/>
    <w:rsid w:val="6E83ECD8"/>
    <w:rsid w:val="6EEB5167"/>
    <w:rsid w:val="7265F7B4"/>
    <w:rsid w:val="73BFEA26"/>
    <w:rsid w:val="76433681"/>
    <w:rsid w:val="76BBE08D"/>
    <w:rsid w:val="76C77530"/>
    <w:rsid w:val="7747EA13"/>
    <w:rsid w:val="77A4DEF3"/>
    <w:rsid w:val="784E9C04"/>
    <w:rsid w:val="7A9F455B"/>
    <w:rsid w:val="7C2C8AA2"/>
    <w:rsid w:val="7D326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BDF0"/>
  <w15:chartTrackingRefBased/>
  <w15:docId w15:val="{02C26796-16D5-4F19-B519-D7F1D1E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D1"/>
  </w:style>
  <w:style w:type="paragraph" w:styleId="Heading1">
    <w:name w:val="heading 1"/>
    <w:basedOn w:val="Normal"/>
    <w:next w:val="Normal"/>
    <w:link w:val="Heading1Char"/>
    <w:uiPriority w:val="9"/>
    <w:qFormat/>
    <w:rsid w:val="00602F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02F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02F1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02F1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02F1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02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F1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602F1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02F1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02F1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02F1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02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F19"/>
    <w:rPr>
      <w:rFonts w:eastAsiaTheme="majorEastAsia" w:cstheme="majorBidi"/>
      <w:color w:val="272727" w:themeColor="text1" w:themeTint="D8"/>
    </w:rPr>
  </w:style>
  <w:style w:type="paragraph" w:styleId="Title">
    <w:name w:val="Title"/>
    <w:basedOn w:val="Normal"/>
    <w:next w:val="Normal"/>
    <w:link w:val="TitleChar"/>
    <w:uiPriority w:val="10"/>
    <w:qFormat/>
    <w:rsid w:val="00602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F19"/>
    <w:pPr>
      <w:spacing w:before="160"/>
      <w:jc w:val="center"/>
    </w:pPr>
    <w:rPr>
      <w:i/>
      <w:iCs/>
      <w:color w:val="404040" w:themeColor="text1" w:themeTint="BF"/>
    </w:rPr>
  </w:style>
  <w:style w:type="character" w:customStyle="1" w:styleId="QuoteChar">
    <w:name w:val="Quote Char"/>
    <w:basedOn w:val="DefaultParagraphFont"/>
    <w:link w:val="Quote"/>
    <w:uiPriority w:val="29"/>
    <w:rsid w:val="00602F19"/>
    <w:rPr>
      <w:i/>
      <w:iCs/>
      <w:color w:val="404040" w:themeColor="text1" w:themeTint="BF"/>
    </w:rPr>
  </w:style>
  <w:style w:type="paragraph" w:styleId="ListParagraph">
    <w:name w:val="List Paragraph"/>
    <w:basedOn w:val="Normal"/>
    <w:uiPriority w:val="34"/>
    <w:qFormat/>
    <w:rsid w:val="00602F19"/>
    <w:pPr>
      <w:ind w:left="720"/>
      <w:contextualSpacing/>
    </w:pPr>
  </w:style>
  <w:style w:type="character" w:styleId="IntenseEmphasis">
    <w:name w:val="Intense Emphasis"/>
    <w:basedOn w:val="DefaultParagraphFont"/>
    <w:uiPriority w:val="21"/>
    <w:qFormat/>
    <w:rsid w:val="00602F19"/>
    <w:rPr>
      <w:i/>
      <w:iCs/>
      <w:color w:val="365F91" w:themeColor="accent1" w:themeShade="BF"/>
    </w:rPr>
  </w:style>
  <w:style w:type="paragraph" w:styleId="IntenseQuote">
    <w:name w:val="Intense Quote"/>
    <w:basedOn w:val="Normal"/>
    <w:next w:val="Normal"/>
    <w:link w:val="IntenseQuoteChar"/>
    <w:uiPriority w:val="30"/>
    <w:qFormat/>
    <w:rsid w:val="00602F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02F19"/>
    <w:rPr>
      <w:i/>
      <w:iCs/>
      <w:color w:val="365F91" w:themeColor="accent1" w:themeShade="BF"/>
    </w:rPr>
  </w:style>
  <w:style w:type="character" w:styleId="IntenseReference">
    <w:name w:val="Intense Reference"/>
    <w:basedOn w:val="DefaultParagraphFont"/>
    <w:uiPriority w:val="32"/>
    <w:qFormat/>
    <w:rsid w:val="00602F19"/>
    <w:rPr>
      <w:b/>
      <w:bCs/>
      <w:smallCaps/>
      <w:color w:val="365F91" w:themeColor="accent1" w:themeShade="BF"/>
      <w:spacing w:val="5"/>
    </w:rPr>
  </w:style>
  <w:style w:type="character" w:styleId="Hyperlink">
    <w:name w:val="Hyperlink"/>
    <w:basedOn w:val="DefaultParagraphFont"/>
    <w:uiPriority w:val="99"/>
    <w:unhideWhenUsed/>
    <w:rsid w:val="00602F19"/>
    <w:rPr>
      <w:color w:val="0000FF" w:themeColor="hyperlink"/>
      <w:u w:val="single"/>
    </w:rPr>
  </w:style>
  <w:style w:type="character" w:styleId="UnresolvedMention">
    <w:name w:val="Unresolved Mention"/>
    <w:basedOn w:val="DefaultParagraphFont"/>
    <w:uiPriority w:val="99"/>
    <w:semiHidden/>
    <w:unhideWhenUsed/>
    <w:rsid w:val="00602F19"/>
    <w:rPr>
      <w:color w:val="605E5C"/>
      <w:shd w:val="clear" w:color="auto" w:fill="E1DFDD"/>
    </w:rPr>
  </w:style>
  <w:style w:type="character" w:styleId="CommentReference">
    <w:name w:val="annotation reference"/>
    <w:basedOn w:val="DefaultParagraphFont"/>
    <w:uiPriority w:val="99"/>
    <w:semiHidden/>
    <w:unhideWhenUsed/>
    <w:rsid w:val="00602F19"/>
    <w:rPr>
      <w:sz w:val="16"/>
      <w:szCs w:val="16"/>
    </w:rPr>
  </w:style>
  <w:style w:type="paragraph" w:styleId="CommentText">
    <w:name w:val="annotation text"/>
    <w:basedOn w:val="Normal"/>
    <w:link w:val="CommentTextChar"/>
    <w:uiPriority w:val="99"/>
    <w:unhideWhenUsed/>
    <w:rsid w:val="00602F19"/>
    <w:pPr>
      <w:spacing w:line="240" w:lineRule="auto"/>
    </w:pPr>
    <w:rPr>
      <w:sz w:val="20"/>
      <w:szCs w:val="20"/>
    </w:rPr>
  </w:style>
  <w:style w:type="character" w:customStyle="1" w:styleId="CommentTextChar">
    <w:name w:val="Comment Text Char"/>
    <w:basedOn w:val="DefaultParagraphFont"/>
    <w:link w:val="CommentText"/>
    <w:uiPriority w:val="99"/>
    <w:rsid w:val="00602F19"/>
    <w:rPr>
      <w:sz w:val="20"/>
      <w:szCs w:val="20"/>
    </w:rPr>
  </w:style>
  <w:style w:type="paragraph" w:styleId="CommentSubject">
    <w:name w:val="annotation subject"/>
    <w:basedOn w:val="CommentText"/>
    <w:next w:val="CommentText"/>
    <w:link w:val="CommentSubjectChar"/>
    <w:uiPriority w:val="99"/>
    <w:semiHidden/>
    <w:unhideWhenUsed/>
    <w:rsid w:val="00602F19"/>
    <w:rPr>
      <w:b/>
      <w:bCs/>
    </w:rPr>
  </w:style>
  <w:style w:type="character" w:customStyle="1" w:styleId="CommentSubjectChar">
    <w:name w:val="Comment Subject Char"/>
    <w:basedOn w:val="CommentTextChar"/>
    <w:link w:val="CommentSubject"/>
    <w:uiPriority w:val="99"/>
    <w:semiHidden/>
    <w:rsid w:val="00602F19"/>
    <w:rPr>
      <w:b/>
      <w:bCs/>
      <w:sz w:val="20"/>
      <w:szCs w:val="20"/>
    </w:rPr>
  </w:style>
  <w:style w:type="character" w:styleId="Mention">
    <w:name w:val="Mention"/>
    <w:basedOn w:val="DefaultParagraphFont"/>
    <w:uiPriority w:val="99"/>
    <w:unhideWhenUsed/>
    <w:rsid w:val="009366B7"/>
    <w:rPr>
      <w:color w:val="2B579A"/>
      <w:shd w:val="clear" w:color="auto" w:fill="E1DFDD"/>
    </w:rPr>
  </w:style>
  <w:style w:type="paragraph" w:styleId="Header">
    <w:name w:val="header"/>
    <w:basedOn w:val="Normal"/>
    <w:link w:val="HeaderChar"/>
    <w:uiPriority w:val="99"/>
    <w:unhideWhenUsed/>
    <w:rsid w:val="00477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6FC"/>
  </w:style>
  <w:style w:type="paragraph" w:styleId="Footer">
    <w:name w:val="footer"/>
    <w:basedOn w:val="Normal"/>
    <w:link w:val="FooterChar"/>
    <w:uiPriority w:val="99"/>
    <w:unhideWhenUsed/>
    <w:rsid w:val="00477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6FC"/>
  </w:style>
  <w:style w:type="paragraph" w:styleId="Revision">
    <w:name w:val="Revision"/>
    <w:hidden/>
    <w:uiPriority w:val="99"/>
    <w:semiHidden/>
    <w:rsid w:val="00D82AD9"/>
    <w:pPr>
      <w:spacing w:after="0" w:line="240" w:lineRule="auto"/>
    </w:pPr>
  </w:style>
  <w:style w:type="paragraph" w:styleId="TOCHeading">
    <w:name w:val="TOC Heading"/>
    <w:basedOn w:val="Heading1"/>
    <w:next w:val="Normal"/>
    <w:uiPriority w:val="39"/>
    <w:unhideWhenUsed/>
    <w:qFormat/>
    <w:rsid w:val="008761A9"/>
    <w:pPr>
      <w:spacing w:before="240" w:after="0"/>
      <w:outlineLvl w:val="9"/>
    </w:pPr>
    <w:rPr>
      <w:sz w:val="32"/>
      <w:szCs w:val="32"/>
      <w14:ligatures w14:val="none"/>
    </w:rPr>
  </w:style>
  <w:style w:type="paragraph" w:styleId="TOC1">
    <w:name w:val="toc 1"/>
    <w:basedOn w:val="Normal"/>
    <w:next w:val="Normal"/>
    <w:autoRedefine/>
    <w:uiPriority w:val="39"/>
    <w:unhideWhenUsed/>
    <w:rsid w:val="008761A9"/>
    <w:pPr>
      <w:spacing w:after="100"/>
    </w:pPr>
  </w:style>
  <w:style w:type="paragraph" w:styleId="TOC2">
    <w:name w:val="toc 2"/>
    <w:basedOn w:val="Normal"/>
    <w:next w:val="Normal"/>
    <w:autoRedefine/>
    <w:uiPriority w:val="39"/>
    <w:unhideWhenUsed/>
    <w:rsid w:val="008761A9"/>
    <w:pPr>
      <w:spacing w:after="100"/>
      <w:ind w:left="220"/>
    </w:pPr>
  </w:style>
  <w:style w:type="paragraph" w:customStyle="1" w:styleId="NewText">
    <w:name w:val="New Text"/>
    <w:basedOn w:val="Normal"/>
    <w:link w:val="NewTextChar"/>
    <w:qFormat/>
    <w:rsid w:val="00683414"/>
    <w:rPr>
      <w:rFonts w:ascii="Calibri" w:hAnsi="Calibri" w:cs="Calibri"/>
      <w:b/>
      <w:bCs/>
      <w:sz w:val="24"/>
      <w:szCs w:val="24"/>
    </w:rPr>
  </w:style>
  <w:style w:type="character" w:customStyle="1" w:styleId="NewTextChar">
    <w:name w:val="New Text Char"/>
    <w:basedOn w:val="DefaultParagraphFont"/>
    <w:link w:val="NewText"/>
    <w:rsid w:val="00683414"/>
    <w:rPr>
      <w:rFonts w:ascii="Calibri" w:hAnsi="Calibri" w:cs="Calibri"/>
      <w:b/>
      <w:bCs/>
      <w:sz w:val="24"/>
      <w:szCs w:val="24"/>
    </w:rPr>
  </w:style>
  <w:style w:type="paragraph" w:customStyle="1" w:styleId="Deletion">
    <w:name w:val="Deletion"/>
    <w:basedOn w:val="Normal"/>
    <w:link w:val="DeletionChar"/>
    <w:qFormat/>
    <w:rsid w:val="00683414"/>
    <w:rPr>
      <w:rFonts w:ascii="Calibri" w:hAnsi="Calibri" w:cs="Calibri"/>
      <w:i/>
      <w:iCs/>
      <w:sz w:val="24"/>
      <w:szCs w:val="24"/>
    </w:rPr>
  </w:style>
  <w:style w:type="character" w:customStyle="1" w:styleId="DeletionChar">
    <w:name w:val="Deletion Char"/>
    <w:basedOn w:val="DefaultParagraphFont"/>
    <w:link w:val="Deletion"/>
    <w:rsid w:val="00683414"/>
    <w:rPr>
      <w:rFonts w:ascii="Calibri" w:hAnsi="Calibri" w:cs="Calibri"/>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0813">
      <w:bodyDiv w:val="1"/>
      <w:marLeft w:val="0"/>
      <w:marRight w:val="0"/>
      <w:marTop w:val="0"/>
      <w:marBottom w:val="0"/>
      <w:divBdr>
        <w:top w:val="none" w:sz="0" w:space="0" w:color="auto"/>
        <w:left w:val="none" w:sz="0" w:space="0" w:color="auto"/>
        <w:bottom w:val="none" w:sz="0" w:space="0" w:color="auto"/>
        <w:right w:val="none" w:sz="0" w:space="0" w:color="auto"/>
      </w:divBdr>
    </w:div>
    <w:div w:id="175316446">
      <w:bodyDiv w:val="1"/>
      <w:marLeft w:val="0"/>
      <w:marRight w:val="0"/>
      <w:marTop w:val="0"/>
      <w:marBottom w:val="0"/>
      <w:divBdr>
        <w:top w:val="none" w:sz="0" w:space="0" w:color="auto"/>
        <w:left w:val="none" w:sz="0" w:space="0" w:color="auto"/>
        <w:bottom w:val="none" w:sz="0" w:space="0" w:color="auto"/>
        <w:right w:val="none" w:sz="0" w:space="0" w:color="auto"/>
      </w:divBdr>
    </w:div>
    <w:div w:id="1088817329">
      <w:bodyDiv w:val="1"/>
      <w:marLeft w:val="0"/>
      <w:marRight w:val="0"/>
      <w:marTop w:val="0"/>
      <w:marBottom w:val="0"/>
      <w:divBdr>
        <w:top w:val="none" w:sz="0" w:space="0" w:color="auto"/>
        <w:left w:val="none" w:sz="0" w:space="0" w:color="auto"/>
        <w:bottom w:val="none" w:sz="0" w:space="0" w:color="auto"/>
        <w:right w:val="none" w:sz="0" w:space="0" w:color="auto"/>
      </w:divBdr>
    </w:div>
    <w:div w:id="1305238857">
      <w:bodyDiv w:val="1"/>
      <w:marLeft w:val="0"/>
      <w:marRight w:val="0"/>
      <w:marTop w:val="0"/>
      <w:marBottom w:val="0"/>
      <w:divBdr>
        <w:top w:val="none" w:sz="0" w:space="0" w:color="auto"/>
        <w:left w:val="none" w:sz="0" w:space="0" w:color="auto"/>
        <w:bottom w:val="none" w:sz="0" w:space="0" w:color="auto"/>
        <w:right w:val="none" w:sz="0" w:space="0" w:color="auto"/>
      </w:divBdr>
    </w:div>
    <w:div w:id="1339308261">
      <w:bodyDiv w:val="1"/>
      <w:marLeft w:val="0"/>
      <w:marRight w:val="0"/>
      <w:marTop w:val="0"/>
      <w:marBottom w:val="0"/>
      <w:divBdr>
        <w:top w:val="none" w:sz="0" w:space="0" w:color="auto"/>
        <w:left w:val="none" w:sz="0" w:space="0" w:color="auto"/>
        <w:bottom w:val="none" w:sz="0" w:space="0" w:color="auto"/>
        <w:right w:val="none" w:sz="0" w:space="0" w:color="auto"/>
      </w:divBdr>
    </w:div>
    <w:div w:id="1366907671">
      <w:bodyDiv w:val="1"/>
      <w:marLeft w:val="0"/>
      <w:marRight w:val="0"/>
      <w:marTop w:val="0"/>
      <w:marBottom w:val="0"/>
      <w:divBdr>
        <w:top w:val="none" w:sz="0" w:space="0" w:color="auto"/>
        <w:left w:val="none" w:sz="0" w:space="0" w:color="auto"/>
        <w:bottom w:val="none" w:sz="0" w:space="0" w:color="auto"/>
        <w:right w:val="none" w:sz="0" w:space="0" w:color="auto"/>
      </w:divBdr>
    </w:div>
    <w:div w:id="176410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viewSingleRule.action?ruleVrsnRsn=14523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6e468017-8178-4a18-9cdd-ff5f80b60113">2025-04-28T21:28:19+00:00</Remediation_x0020_Date>
    <Estimated_x0020_Creation_x0020_Date xmlns="6e468017-8178-4a18-9cdd-ff5f80b60113" xsi:nil="true"/>
    <Priority xmlns="6e468017-8178-4a18-9cdd-ff5f80b60113">New</Priority>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89BD2-4EED-48C6-A395-349DEEA41CB4}">
  <ds:schemaRefs>
    <ds:schemaRef ds:uri="http://schemas.microsoft.com/office/2006/metadata/properties"/>
    <ds:schemaRef ds:uri="http://schemas.microsoft.com/office/infopath/2007/PartnerControls"/>
    <ds:schemaRef ds:uri="35c482b7-3342-4aed-a937-806bb302c8cb"/>
    <ds:schemaRef ds:uri="cff768f0-15bc-4a4d-af58-1e3581e35e48"/>
  </ds:schemaRefs>
</ds:datastoreItem>
</file>

<file path=customXml/itemProps2.xml><?xml version="1.0" encoding="utf-8"?>
<ds:datastoreItem xmlns:ds="http://schemas.openxmlformats.org/officeDocument/2006/customXml" ds:itemID="{6D6259E4-DB4F-477F-8109-661EF9206F20}">
  <ds:schemaRefs>
    <ds:schemaRef ds:uri="http://schemas.openxmlformats.org/officeDocument/2006/bibliography"/>
  </ds:schemaRefs>
</ds:datastoreItem>
</file>

<file path=customXml/itemProps3.xml><?xml version="1.0" encoding="utf-8"?>
<ds:datastoreItem xmlns:ds="http://schemas.openxmlformats.org/officeDocument/2006/customXml" ds:itemID="{A29ABB27-FDC6-4E51-997A-92AA522DB728}">
  <ds:schemaRefs>
    <ds:schemaRef ds:uri="http://schemas.microsoft.com/sharepoint/v3/contenttype/forms"/>
  </ds:schemaRefs>
</ds:datastoreItem>
</file>

<file path=customXml/itemProps4.xml><?xml version="1.0" encoding="utf-8"?>
<ds:datastoreItem xmlns:ds="http://schemas.openxmlformats.org/officeDocument/2006/customXml" ds:itemID="{12767408-5561-4FDC-B170-702711B1251E}"/>
</file>

<file path=docProps/app.xml><?xml version="1.0" encoding="utf-8"?>
<Properties xmlns="http://schemas.openxmlformats.org/officeDocument/2006/extended-properties" xmlns:vt="http://schemas.openxmlformats.org/officeDocument/2006/docPropsVTypes">
  <Template>Normal</Template>
  <TotalTime>10</TotalTime>
  <Pages>6</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14330</CharactersWithSpaces>
  <SharedDoc>false</SharedDoc>
  <HLinks>
    <vt:vector size="18" baseType="variant">
      <vt:variant>
        <vt:i4>4259912</vt:i4>
      </vt:variant>
      <vt:variant>
        <vt:i4>0</vt:i4>
      </vt:variant>
      <vt:variant>
        <vt:i4>0</vt:i4>
      </vt:variant>
      <vt:variant>
        <vt:i4>5</vt:i4>
      </vt:variant>
      <vt:variant>
        <vt:lpwstr>https://secure.sos.state.or.us/oard/viewSingleRule.action?ruleVrsnRsn=145236</vt:lpwstr>
      </vt:variant>
      <vt:variant>
        <vt:lpwstr/>
      </vt:variant>
      <vt:variant>
        <vt:i4>1376366</vt:i4>
      </vt:variant>
      <vt:variant>
        <vt:i4>3</vt:i4>
      </vt:variant>
      <vt:variant>
        <vt:i4>0</vt:i4>
      </vt:variant>
      <vt:variant>
        <vt:i4>5</vt:i4>
      </vt:variant>
      <vt:variant>
        <vt:lpwstr>mailto:LingleyA@ode.oregon.gov</vt:lpwstr>
      </vt:variant>
      <vt:variant>
        <vt:lpwstr/>
      </vt:variant>
      <vt:variant>
        <vt:i4>524403</vt:i4>
      </vt:variant>
      <vt:variant>
        <vt:i4>0</vt:i4>
      </vt:variant>
      <vt:variant>
        <vt:i4>0</vt:i4>
      </vt:variant>
      <vt:variant>
        <vt:i4>5</vt:i4>
      </vt:variant>
      <vt:variant>
        <vt:lpwstr>mailto:LockardA@ode.oregon.gov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WOLCOTT Ben * ODE</dc:creator>
  <cp:keywords/>
  <dc:description/>
  <cp:lastModifiedBy>BRUNELLE Haedon * ODE</cp:lastModifiedBy>
  <cp:revision>3</cp:revision>
  <dcterms:created xsi:type="dcterms:W3CDTF">2025-04-24T22:29:00Z</dcterms:created>
  <dcterms:modified xsi:type="dcterms:W3CDTF">2025-04-24T22:37:00Z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0x010100E1F7FC3EB7630746A766610DE24AED9E</vt:lpwstr>
  </property>
  <property fmtid="{D5CDD505-2E9C-101B-9397-08002B2CF9AE}" pid="3" name="MSIP_Label_7730ea53-6f5e-4160-81a5-992a9105450a_Enabled">
    <vt:lpwstr>true</vt:lpwstr>
  </property>
  <property fmtid="{D5CDD505-2E9C-101B-9397-08002B2CF9AE}" pid="4" name="MSIP_Label_7730ea53-6f5e-4160-81a5-992a9105450a_SetDate">
    <vt:lpwstr>2025-01-28T18:33:48Z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3b445a2f-f750-4344-82b2-59757fafbab5</vt:lpwstr>
  </property>
  <property fmtid="{D5CDD505-2E9C-101B-9397-08002B2CF9AE}" pid="9" name="MSIP_Label_7730ea53-6f5e-4160-81a5-992a9105450a_ContentBits">
    <vt:lpwstr>0</vt:lpwstr>
  </property>
  <property fmtid="{D5CDD505-2E9C-101B-9397-08002B2CF9AE}" pid="10" name="MediaServiceImageTags">
    <vt:lpwstr/>
  </property>
</Properties>
</file>