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C54F" w14:textId="02077D24" w:rsidR="00414B4A" w:rsidRPr="00305BF3" w:rsidRDefault="00414B4A" w:rsidP="000E1D91">
      <w:bookmarkStart w:id="0" w:name="_Hlk217894173"/>
      <w:r w:rsidRPr="00305BF3">
        <w:t>Below, you will find the proposed changes to the Oregon Department of Education’s rule</w:t>
      </w:r>
      <w:r w:rsidR="004418DE">
        <w:t>s</w:t>
      </w:r>
      <w:r w:rsidRPr="00305BF3">
        <w:t xml:space="preserve"> relating to </w:t>
      </w:r>
      <w:r w:rsidR="00676E37" w:rsidRPr="00305BF3">
        <w:t xml:space="preserve">SB 810 (2025) </w:t>
      </w:r>
      <w:r w:rsidR="00526257">
        <w:t>which prohibit</w:t>
      </w:r>
      <w:r w:rsidR="00FB2021" w:rsidRPr="00305BF3">
        <w:t xml:space="preserve"> transition services in </w:t>
      </w:r>
      <w:r w:rsidR="00AF0F8F" w:rsidRPr="00305BF3">
        <w:t>sheltered</w:t>
      </w:r>
      <w:r w:rsidR="00AF0F8F">
        <w:t xml:space="preserve"> work settings</w:t>
      </w:r>
      <w:r w:rsidR="00FB2021" w:rsidRPr="00305BF3">
        <w:t xml:space="preserve"> or mock sheltered work settings. </w:t>
      </w:r>
      <w:r w:rsidR="0087460F" w:rsidRPr="00305BF3">
        <w:t xml:space="preserve"> </w:t>
      </w:r>
      <w:r w:rsidRPr="00305BF3">
        <w:t xml:space="preserve"> Proposed new text is bold, and the proposed text to remove is in bracketed italics.</w:t>
      </w:r>
    </w:p>
    <w:p w14:paraId="489CA39A" w14:textId="77777777" w:rsidR="00232E19" w:rsidRDefault="00CA3710" w:rsidP="00232E19">
      <w:pPr>
        <w:spacing w:after="0"/>
      </w:pPr>
      <w:r w:rsidRPr="00232E19">
        <w:t xml:space="preserve">Current Rule Link: </w:t>
      </w:r>
      <w:hyperlink r:id="rId4" w:history="1">
        <w:r w:rsidR="00E80E9E" w:rsidRPr="00232E19">
          <w:rPr>
            <w:rStyle w:val="Hyperlink"/>
          </w:rPr>
          <w:t xml:space="preserve">Oregon Administrative Rule (OAR) </w:t>
        </w:r>
        <w:r w:rsidR="000E1D91" w:rsidRPr="00232E19">
          <w:rPr>
            <w:rStyle w:val="Hyperlink"/>
          </w:rPr>
          <w:t>581-015-2930</w:t>
        </w:r>
      </w:hyperlink>
      <w:r w:rsidR="000E1D91" w:rsidRPr="00232E19">
        <w:br/>
      </w:r>
    </w:p>
    <w:p w14:paraId="018BD1A7" w14:textId="4FF36CAA" w:rsidR="00490A59" w:rsidRPr="00232E19" w:rsidRDefault="00490A59" w:rsidP="00232E19">
      <w:pPr>
        <w:spacing w:after="0"/>
        <w:rPr>
          <w:b/>
          <w:bCs/>
        </w:rPr>
      </w:pPr>
      <w:r w:rsidRPr="00232E19">
        <w:rPr>
          <w:b/>
          <w:bCs/>
        </w:rPr>
        <w:t xml:space="preserve">Rule Number: </w:t>
      </w:r>
      <w:r w:rsidR="00232E19" w:rsidRPr="00232E19">
        <w:rPr>
          <w:b/>
          <w:bCs/>
        </w:rPr>
        <w:t>581-015-2100</w:t>
      </w:r>
    </w:p>
    <w:p w14:paraId="32F78785" w14:textId="59F0AF8E" w:rsidR="00A73D23" w:rsidRPr="00232E19" w:rsidRDefault="008947D2" w:rsidP="00232E19">
      <w:pPr>
        <w:spacing w:after="0"/>
        <w:rPr>
          <w:b/>
          <w:bCs/>
        </w:rPr>
      </w:pPr>
      <w:r w:rsidRPr="00232E19">
        <w:rPr>
          <w:b/>
          <w:bCs/>
        </w:rPr>
        <w:t xml:space="preserve">Rule </w:t>
      </w:r>
      <w:r w:rsidR="000B6BFF" w:rsidRPr="00232E19">
        <w:rPr>
          <w:b/>
          <w:bCs/>
        </w:rPr>
        <w:t xml:space="preserve">Title: </w:t>
      </w:r>
      <w:r w:rsidR="000E1D91" w:rsidRPr="00232E19">
        <w:rPr>
          <w:b/>
          <w:bCs/>
        </w:rPr>
        <w:t>Employment-Related Transition Services</w:t>
      </w:r>
    </w:p>
    <w:p w14:paraId="125CB1D0" w14:textId="77777777" w:rsidR="00232E19" w:rsidRDefault="00232E19" w:rsidP="00232E19">
      <w:pPr>
        <w:spacing w:after="0"/>
      </w:pPr>
    </w:p>
    <w:p w14:paraId="2915E9C6" w14:textId="3C3D2FB9" w:rsidR="000B6BFF" w:rsidRPr="00232E19" w:rsidRDefault="000B6BFF" w:rsidP="00232E19">
      <w:pPr>
        <w:spacing w:after="0"/>
        <w:rPr>
          <w:b/>
          <w:bCs/>
        </w:rPr>
      </w:pPr>
      <w:r w:rsidRPr="00232E19">
        <w:rPr>
          <w:b/>
          <w:bCs/>
        </w:rPr>
        <w:t>Rule Text</w:t>
      </w:r>
    </w:p>
    <w:p w14:paraId="70A80E35" w14:textId="77777777" w:rsidR="00232E19" w:rsidRPr="00232E19" w:rsidRDefault="00232E19" w:rsidP="00232E19">
      <w:pPr>
        <w:spacing w:after="0"/>
      </w:pPr>
    </w:p>
    <w:bookmarkEnd w:id="0"/>
    <w:p w14:paraId="5155E5CD" w14:textId="77777777" w:rsidR="00A10621" w:rsidRPr="00A10621" w:rsidRDefault="00A10621" w:rsidP="00A10621">
      <w:r w:rsidRPr="00A10621">
        <w:t>(1) This rule establishes the policies of Executive Order No. 15-01, related to the Department of Education’s involvement with integrated employment services.</w:t>
      </w:r>
    </w:p>
    <w:p w14:paraId="675DC03D" w14:textId="77777777" w:rsidR="00A10621" w:rsidRPr="00A10621" w:rsidRDefault="00A10621" w:rsidP="00A10621">
      <w:r w:rsidRPr="00A10621">
        <w:t>(2) For purposes of this rule, the following definitions apply:</w:t>
      </w:r>
    </w:p>
    <w:p w14:paraId="12A4CB0A" w14:textId="77777777" w:rsidR="00A10621" w:rsidRPr="00A10621" w:rsidRDefault="00A10621" w:rsidP="00A10621">
      <w:r w:rsidRPr="00A10621">
        <w:t>(a) “Education Goals” means the following goals:</w:t>
      </w:r>
    </w:p>
    <w:p w14:paraId="570E012B" w14:textId="77777777" w:rsidR="00A10621" w:rsidRPr="00A10621" w:rsidRDefault="00A10621" w:rsidP="00A10621">
      <w:r w:rsidRPr="00A10621">
        <w:t>(A) Families, students, and educators will have the expectation that individuals with intellectual and developmental disabilities will work in integrated, community-based settings;</w:t>
      </w:r>
    </w:p>
    <w:p w14:paraId="4F4FB3D9" w14:textId="77777777" w:rsidR="00A10621" w:rsidRPr="00A10621" w:rsidRDefault="00A10621" w:rsidP="00A10621">
      <w:r w:rsidRPr="00A10621">
        <w:t>(B) Students transitioning to adult services will be prepared to transition to integrated work experiences; and</w:t>
      </w:r>
    </w:p>
    <w:p w14:paraId="3FB374E2" w14:textId="77777777" w:rsidR="00A10621" w:rsidRDefault="00A10621" w:rsidP="00A10621">
      <w:r w:rsidRPr="00A10621">
        <w:t>(C) Statewide systems will be coordinated to reach the goal of integrated employment opportunities as an outcome of students’ education.</w:t>
      </w:r>
    </w:p>
    <w:p w14:paraId="55AF0CB3" w14:textId="2C47824D" w:rsidR="00CF1C1E" w:rsidRPr="00074EAD" w:rsidRDefault="00CF1C1E" w:rsidP="00CF1C1E">
      <w:pPr>
        <w:rPr>
          <w:b/>
          <w:bCs/>
        </w:rPr>
      </w:pPr>
      <w:r w:rsidRPr="00074EAD">
        <w:rPr>
          <w:b/>
          <w:bCs/>
        </w:rPr>
        <w:t>(b) “Mock sheltered work setting</w:t>
      </w:r>
      <w:r w:rsidR="00EE0756">
        <w:rPr>
          <w:b/>
          <w:bCs/>
        </w:rPr>
        <w:t>s</w:t>
      </w:r>
      <w:r w:rsidRPr="00074EAD">
        <w:rPr>
          <w:b/>
          <w:bCs/>
        </w:rPr>
        <w:t>” are prevocational training activities that are:</w:t>
      </w:r>
    </w:p>
    <w:p w14:paraId="37870845" w14:textId="77777777" w:rsidR="00CF1C1E" w:rsidRPr="00074EAD" w:rsidRDefault="00CF1C1E" w:rsidP="00CF1C1E">
      <w:pPr>
        <w:rPr>
          <w:b/>
          <w:bCs/>
        </w:rPr>
      </w:pPr>
      <w:r w:rsidRPr="00074EAD">
        <w:rPr>
          <w:b/>
          <w:bCs/>
        </w:rPr>
        <w:t>(A) Conducted during the school day;</w:t>
      </w:r>
    </w:p>
    <w:p w14:paraId="5254FF5B" w14:textId="77777777" w:rsidR="00CF1C1E" w:rsidRPr="00074EAD" w:rsidRDefault="00CF1C1E" w:rsidP="00CF1C1E">
      <w:pPr>
        <w:rPr>
          <w:b/>
          <w:bCs/>
        </w:rPr>
      </w:pPr>
      <w:r w:rsidRPr="00074EAD">
        <w:rPr>
          <w:b/>
          <w:bCs/>
        </w:rPr>
        <w:t>(B) Performed only by students with disabilities;</w:t>
      </w:r>
    </w:p>
    <w:p w14:paraId="21D51A0E" w14:textId="77777777" w:rsidR="00CF1C1E" w:rsidRPr="00074EAD" w:rsidRDefault="00CF1C1E" w:rsidP="00CF1C1E">
      <w:pPr>
        <w:rPr>
          <w:b/>
          <w:bCs/>
        </w:rPr>
      </w:pPr>
      <w:r w:rsidRPr="00074EAD">
        <w:rPr>
          <w:b/>
          <w:bCs/>
        </w:rPr>
        <w:t xml:space="preserve">(C) Closely resembles the vocational work tasks performed by adults with intellectual or developmental disabilities or both (I/DD) in Sheltered Workshops, including activities: </w:t>
      </w:r>
    </w:p>
    <w:p w14:paraId="07555651" w14:textId="77777777" w:rsidR="00CF1C1E" w:rsidRPr="00074EAD" w:rsidRDefault="00CF1C1E" w:rsidP="00CF1C1E">
      <w:pPr>
        <w:rPr>
          <w:b/>
          <w:bCs/>
        </w:rPr>
      </w:pPr>
      <w:r w:rsidRPr="00074EAD">
        <w:rPr>
          <w:b/>
          <w:bCs/>
        </w:rPr>
        <w:t>(</w:t>
      </w:r>
      <w:proofErr w:type="spellStart"/>
      <w:r w:rsidRPr="00074EAD">
        <w:rPr>
          <w:b/>
          <w:bCs/>
        </w:rPr>
        <w:t>i</w:t>
      </w:r>
      <w:proofErr w:type="spellEnd"/>
      <w:r w:rsidRPr="00074EAD">
        <w:rPr>
          <w:b/>
          <w:bCs/>
        </w:rPr>
        <w:t xml:space="preserve">) designed to fulfill the demands of a contractor, business, charitable organization, school or school district, retail store, or other entity; and </w:t>
      </w:r>
    </w:p>
    <w:p w14:paraId="6FDD22FC" w14:textId="77777777" w:rsidR="00CF1C1E" w:rsidRPr="00074EAD" w:rsidRDefault="00CF1C1E" w:rsidP="00CF1C1E">
      <w:pPr>
        <w:rPr>
          <w:b/>
          <w:bCs/>
        </w:rPr>
      </w:pPr>
      <w:r w:rsidRPr="00074EAD">
        <w:rPr>
          <w:b/>
          <w:bCs/>
        </w:rPr>
        <w:t>(ii) performed by individuals without compensation or in exchange for subminimum wages; and</w:t>
      </w:r>
    </w:p>
    <w:p w14:paraId="11941B48" w14:textId="77777777" w:rsidR="00CF1C1E" w:rsidRPr="00074EAD" w:rsidRDefault="00CF1C1E" w:rsidP="00CF1C1E">
      <w:pPr>
        <w:rPr>
          <w:b/>
          <w:bCs/>
        </w:rPr>
      </w:pPr>
      <w:r w:rsidRPr="00074EAD">
        <w:rPr>
          <w:b/>
          <w:bCs/>
        </w:rPr>
        <w:t xml:space="preserve">(D) Not part of an instructional sequence, such as teaching generalization of skills. Instructional sequence does not include instruction that consists solely of the activities described in all of (A), (B), and (C). </w:t>
      </w:r>
    </w:p>
    <w:p w14:paraId="0414EDF4" w14:textId="7279C18F" w:rsidR="001740C7" w:rsidRPr="00526257" w:rsidRDefault="00CF1C1E" w:rsidP="00A10621">
      <w:pPr>
        <w:rPr>
          <w:b/>
          <w:bCs/>
        </w:rPr>
      </w:pPr>
      <w:r w:rsidRPr="00074EAD">
        <w:rPr>
          <w:b/>
          <w:bCs/>
        </w:rPr>
        <w:t>(E) Examples include folding, sorting, shredding, packaging, and labeling activities.</w:t>
      </w:r>
    </w:p>
    <w:p w14:paraId="6297CEE7" w14:textId="1DCF03D1" w:rsidR="00A10621" w:rsidRPr="00A10621" w:rsidRDefault="00A10621" w:rsidP="00A10621">
      <w:r w:rsidRPr="00A10621">
        <w:t>(</w:t>
      </w:r>
      <w:r w:rsidR="00996AAA" w:rsidRPr="002B1073">
        <w:rPr>
          <w:i/>
          <w:iCs/>
        </w:rPr>
        <w:t>[</w:t>
      </w:r>
      <w:r w:rsidRPr="00A10621">
        <w:rPr>
          <w:i/>
          <w:iCs/>
        </w:rPr>
        <w:t>b</w:t>
      </w:r>
      <w:r w:rsidR="00996AAA" w:rsidRPr="002B1073">
        <w:rPr>
          <w:i/>
          <w:iCs/>
        </w:rPr>
        <w:t>]</w:t>
      </w:r>
      <w:r w:rsidR="00996AAA" w:rsidRPr="002B1073">
        <w:rPr>
          <w:b/>
          <w:bCs/>
        </w:rPr>
        <w:t>c</w:t>
      </w:r>
      <w:r w:rsidR="00996AAA">
        <w:t>)</w:t>
      </w:r>
      <w:r w:rsidR="004E697C">
        <w:t xml:space="preserve"> </w:t>
      </w:r>
      <w:r w:rsidR="004E697C" w:rsidRPr="00A10621">
        <w:t>“</w:t>
      </w:r>
      <w:r w:rsidRPr="00A10621">
        <w:t>Transition age student” means a student with disabilities who is eligible for transition services under the Individuals with Disabilities Education Act (IDEA) and OAR 581-015-2200.</w:t>
      </w:r>
    </w:p>
    <w:p w14:paraId="74E954B9" w14:textId="7D663814" w:rsidR="00A10621" w:rsidRPr="00A10621" w:rsidRDefault="00A10621" w:rsidP="00A10621">
      <w:r w:rsidRPr="00A10621">
        <w:lastRenderedPageBreak/>
        <w:t>(</w:t>
      </w:r>
      <w:r w:rsidR="002B1073">
        <w:t>[</w:t>
      </w:r>
      <w:r w:rsidRPr="00A10621">
        <w:t>c</w:t>
      </w:r>
      <w:r w:rsidR="002B1073">
        <w:t>]</w:t>
      </w:r>
      <w:r w:rsidR="008F202D" w:rsidRPr="008F202D">
        <w:rPr>
          <w:b/>
          <w:bCs/>
        </w:rPr>
        <w:t>d</w:t>
      </w:r>
      <w:r w:rsidRPr="00A10621">
        <w:t>)</w:t>
      </w:r>
      <w:r w:rsidR="005465C4" w:rsidRPr="002B1073">
        <w:t xml:space="preserve"> </w:t>
      </w:r>
      <w:r w:rsidRPr="00A10621">
        <w:t>“Transition Technical Assistance” is the substance of the work of the Statewide Transition Technical Assistance Network (TTAN) and includes development of competencies for teachers, administrators, and other educational service providers that include:</w:t>
      </w:r>
    </w:p>
    <w:p w14:paraId="3664311F" w14:textId="77777777" w:rsidR="00A10621" w:rsidRPr="00A10621" w:rsidRDefault="00A10621" w:rsidP="00A10621">
      <w:r w:rsidRPr="00A10621">
        <w:t>(A) Developing transition-related curriculum and instructional approaches which are consistent with the Education Goals;</w:t>
      </w:r>
    </w:p>
    <w:p w14:paraId="3CBD4C1A" w14:textId="77777777" w:rsidR="00A10621" w:rsidRPr="00A10621" w:rsidRDefault="00A10621" w:rsidP="00A10621">
      <w:r w:rsidRPr="00A10621">
        <w:t>(B) Developing outcome-based transition planning approaches that use precepts of discovery and person-centered planning;</w:t>
      </w:r>
    </w:p>
    <w:p w14:paraId="451D531E" w14:textId="77777777" w:rsidR="00A10621" w:rsidRPr="00A10621" w:rsidRDefault="00A10621" w:rsidP="00A10621">
      <w:r w:rsidRPr="00A10621">
        <w:t>(C) Implementing transition-related instructional approaches for students with disabilities, such as those that are community based, and which may include, but are not limited to, authentic experiences such as internships, mentorships, youth work experiences, job skill related instruction, and job shadowing;</w:t>
      </w:r>
    </w:p>
    <w:p w14:paraId="110A7F4B" w14:textId="77777777" w:rsidR="00A10621" w:rsidRPr="00A10621" w:rsidRDefault="00A10621" w:rsidP="00A10621">
      <w:r w:rsidRPr="00A10621">
        <w:t>(D) Facilitating and managing interagency teams and resources to help ensure students and families may utilize resources from applicable state agencies, local education agencies, and other available resources; and</w:t>
      </w:r>
    </w:p>
    <w:p w14:paraId="5AC2081B" w14:textId="77777777" w:rsidR="00A10621" w:rsidRPr="00A10621" w:rsidRDefault="00A10621" w:rsidP="00A10621">
      <w:r w:rsidRPr="00A10621">
        <w:t>(E) Encouraging the implementation of transition services in schools that are consistent with the Education Goals.</w:t>
      </w:r>
    </w:p>
    <w:p w14:paraId="60BDE5EC" w14:textId="77777777" w:rsidR="00A10621" w:rsidRPr="00A10621" w:rsidRDefault="00A10621" w:rsidP="00A10621">
      <w:r w:rsidRPr="00A10621">
        <w:t>(F) Assisting Local Education Agencies to meet the requirements of OAR 581-015-2245 regarding the placement of students.</w:t>
      </w:r>
    </w:p>
    <w:p w14:paraId="702A8113" w14:textId="77777777" w:rsidR="00A10621" w:rsidRPr="00A10621" w:rsidRDefault="00A10621" w:rsidP="00A10621">
      <w:r w:rsidRPr="00A10621">
        <w:t>(3) The Department shall establish a statewide TTAN to assist high schools in Oregon in providing transition services. The TTAN shall seek to ensure that the Education Goals are implemented in assessment, curriculum, and instruction for transition age students.</w:t>
      </w:r>
    </w:p>
    <w:p w14:paraId="29A696C9" w14:textId="77777777" w:rsidR="00A10621" w:rsidRDefault="00A10621" w:rsidP="00A10621">
      <w:r w:rsidRPr="00A10621">
        <w:t>(4) This rule and its provisions are not intended to expand or replace the obligations of the State or its schools under the IDEA.</w:t>
      </w:r>
    </w:p>
    <w:p w14:paraId="45315F25" w14:textId="6FB1FB90" w:rsidR="00092E7F" w:rsidRPr="00A10621" w:rsidRDefault="00092E7F" w:rsidP="00A10621">
      <w:r w:rsidRPr="00092E7F">
        <w:rPr>
          <w:b/>
          <w:bCs/>
        </w:rPr>
        <w:t>Statutory/Other Authority:</w:t>
      </w:r>
      <w:r w:rsidRPr="00092E7F">
        <w:t> ORS 343.041, 343.045 &amp; 343.055</w:t>
      </w:r>
      <w:r w:rsidRPr="00092E7F">
        <w:br/>
      </w:r>
      <w:r w:rsidRPr="00092E7F">
        <w:rPr>
          <w:b/>
          <w:bCs/>
        </w:rPr>
        <w:t>Statutes/Other Implemented:</w:t>
      </w:r>
      <w:r w:rsidRPr="00092E7F">
        <w:t> ORS 343.041, 343.045 &amp; 343.055</w:t>
      </w:r>
      <w:r w:rsidR="00AC53A4">
        <w:t xml:space="preserve"> </w:t>
      </w:r>
      <w:r w:rsidR="00AC53A4">
        <w:rPr>
          <w:rFonts w:eastAsia="Calibri" w:cs="Calibri"/>
          <w:b/>
          <w:bCs/>
        </w:rPr>
        <w:t>&amp; 343.955</w:t>
      </w:r>
    </w:p>
    <w:p w14:paraId="60CDF5C4" w14:textId="77777777" w:rsidR="005C636C" w:rsidRDefault="005C636C" w:rsidP="00F37E00"/>
    <w:p w14:paraId="095FB2DC" w14:textId="77777777" w:rsidR="00CC0FE0" w:rsidRDefault="00CC0FE0" w:rsidP="007F1B66">
      <w:pPr>
        <w:spacing w:after="0"/>
      </w:pPr>
    </w:p>
    <w:p w14:paraId="674CB921" w14:textId="423F16EF" w:rsidR="00232E19" w:rsidRPr="007F1B66" w:rsidRDefault="00A73D23" w:rsidP="007F1B66">
      <w:pPr>
        <w:spacing w:after="0"/>
      </w:pPr>
      <w:r w:rsidRPr="007F1B66">
        <w:t xml:space="preserve">Current Rule Link: </w:t>
      </w:r>
      <w:hyperlink r:id="rId5" w:history="1">
        <w:r w:rsidRPr="007F1B66">
          <w:rPr>
            <w:rStyle w:val="Hyperlink"/>
          </w:rPr>
          <w:t xml:space="preserve">Oregon Administrative Rule (OAR) </w:t>
        </w:r>
        <w:r w:rsidR="00004A81" w:rsidRPr="007F1B66">
          <w:rPr>
            <w:rStyle w:val="Hyperlink"/>
            <w:rFonts w:eastAsia="Calibri" w:cs="Calibri"/>
          </w:rPr>
          <w:t>581-015-2245</w:t>
        </w:r>
      </w:hyperlink>
    </w:p>
    <w:p w14:paraId="678EB09E" w14:textId="77777777" w:rsidR="00F44F63" w:rsidRDefault="00F44F63" w:rsidP="007F1B66">
      <w:pPr>
        <w:spacing w:after="0"/>
        <w:rPr>
          <w:b/>
          <w:bCs/>
        </w:rPr>
      </w:pPr>
    </w:p>
    <w:p w14:paraId="05C84953" w14:textId="77777777" w:rsidR="00015A8E" w:rsidRDefault="00015A8E" w:rsidP="007F1B66">
      <w:pPr>
        <w:spacing w:after="0"/>
        <w:rPr>
          <w:b/>
          <w:bCs/>
        </w:rPr>
      </w:pPr>
    </w:p>
    <w:p w14:paraId="6F5E52FF" w14:textId="7D5E3F84" w:rsidR="007F1B66" w:rsidRPr="00F44F63" w:rsidRDefault="00232E19" w:rsidP="007F1B66">
      <w:pPr>
        <w:spacing w:after="0"/>
        <w:rPr>
          <w:rFonts w:eastAsia="Calibri" w:cs="Calibri"/>
          <w:b/>
          <w:bCs/>
        </w:rPr>
      </w:pPr>
      <w:r w:rsidRPr="00F44F63">
        <w:rPr>
          <w:b/>
          <w:bCs/>
        </w:rPr>
        <w:t>Rule</w:t>
      </w:r>
      <w:r w:rsidR="00C35C87" w:rsidRPr="00F44F63">
        <w:rPr>
          <w:b/>
          <w:bCs/>
        </w:rPr>
        <w:t xml:space="preserve"> Number: 581-</w:t>
      </w:r>
      <w:r w:rsidR="00B96EB4" w:rsidRPr="00F44F63">
        <w:rPr>
          <w:b/>
          <w:bCs/>
        </w:rPr>
        <w:t>01</w:t>
      </w:r>
      <w:r w:rsidR="007F1B66" w:rsidRPr="00F44F63">
        <w:rPr>
          <w:b/>
          <w:bCs/>
        </w:rPr>
        <w:t>5</w:t>
      </w:r>
      <w:r w:rsidR="00B96EB4" w:rsidRPr="00F44F63">
        <w:rPr>
          <w:b/>
          <w:bCs/>
        </w:rPr>
        <w:t>-2245</w:t>
      </w:r>
      <w:r w:rsidR="00004A81" w:rsidRPr="00F44F63">
        <w:rPr>
          <w:b/>
          <w:bCs/>
        </w:rPr>
        <w:br/>
      </w:r>
      <w:r w:rsidR="00B96EB4" w:rsidRPr="00F44F63">
        <w:rPr>
          <w:rFonts w:eastAsia="Calibri" w:cs="Calibri"/>
          <w:b/>
          <w:bCs/>
        </w:rPr>
        <w:t xml:space="preserve">Rule </w:t>
      </w:r>
      <w:r w:rsidR="007F1B66" w:rsidRPr="00F44F63">
        <w:rPr>
          <w:rFonts w:eastAsia="Calibri" w:cs="Calibri"/>
          <w:b/>
          <w:bCs/>
        </w:rPr>
        <w:t xml:space="preserve">Title: </w:t>
      </w:r>
      <w:r w:rsidR="00004A81" w:rsidRPr="00F44F63">
        <w:rPr>
          <w:rFonts w:eastAsia="Calibri" w:cs="Calibri"/>
          <w:b/>
          <w:bCs/>
        </w:rPr>
        <w:t>Alternative Placements and Supplementary Aids and Services</w:t>
      </w:r>
    </w:p>
    <w:p w14:paraId="5BB06192" w14:textId="77777777" w:rsidR="00F44F63" w:rsidRDefault="00F44F63" w:rsidP="007F1B66">
      <w:pPr>
        <w:spacing w:after="0"/>
        <w:rPr>
          <w:rFonts w:eastAsia="Calibri" w:cs="Calibri"/>
          <w:b/>
          <w:bCs/>
        </w:rPr>
      </w:pPr>
    </w:p>
    <w:p w14:paraId="7A5044CB" w14:textId="2D5BDF5F" w:rsidR="007F1B66" w:rsidRPr="00F44F63" w:rsidRDefault="007F1B66" w:rsidP="007F1B66">
      <w:pPr>
        <w:spacing w:after="0"/>
        <w:rPr>
          <w:rFonts w:eastAsia="Calibri" w:cs="Calibri"/>
          <w:b/>
          <w:bCs/>
        </w:rPr>
      </w:pPr>
      <w:r w:rsidRPr="00F44F63">
        <w:rPr>
          <w:rFonts w:eastAsia="Calibri" w:cs="Calibri"/>
          <w:b/>
          <w:bCs/>
        </w:rPr>
        <w:t>Rule Text</w:t>
      </w:r>
    </w:p>
    <w:p w14:paraId="295B1CAD" w14:textId="77777777" w:rsidR="007F1B66" w:rsidRPr="007F1B66" w:rsidRDefault="007F1B66" w:rsidP="007F1B66">
      <w:pPr>
        <w:spacing w:after="0"/>
        <w:rPr>
          <w:rFonts w:eastAsia="Calibri" w:cs="Calibri"/>
        </w:rPr>
      </w:pPr>
    </w:p>
    <w:p w14:paraId="5C40A64E" w14:textId="77777777" w:rsidR="00004A81" w:rsidRPr="005E5A51" w:rsidRDefault="00004A81" w:rsidP="00004A81">
      <w:pPr>
        <w:rPr>
          <w:rFonts w:eastAsia="Calibri" w:cs="Calibri"/>
        </w:rPr>
      </w:pPr>
      <w:r w:rsidRPr="005E5A51">
        <w:rPr>
          <w:rFonts w:eastAsia="Calibri" w:cs="Calibri"/>
        </w:rPr>
        <w:t>School districts must ensure that a continuum of alternative placements is available to meet the needs of children with disabilities for special education and related services. The continuum must:</w:t>
      </w:r>
    </w:p>
    <w:p w14:paraId="3738F22D" w14:textId="77777777" w:rsidR="00004A81" w:rsidRPr="005E5A51" w:rsidRDefault="00004A81" w:rsidP="00004A81">
      <w:pPr>
        <w:rPr>
          <w:rFonts w:eastAsia="Calibri" w:cs="Calibri"/>
        </w:rPr>
      </w:pPr>
      <w:r w:rsidRPr="005E5A51">
        <w:rPr>
          <w:rFonts w:eastAsia="Calibri" w:cs="Calibri"/>
        </w:rPr>
        <w:t>(1) Include as alternative placements, instruction in regular classes, special classes, special schools, home instruction and instruction in hospitals and institutions;</w:t>
      </w:r>
    </w:p>
    <w:p w14:paraId="1EAF7B25" w14:textId="77777777" w:rsidR="00004A81" w:rsidRPr="005E5A51" w:rsidRDefault="00004A81" w:rsidP="00004A81">
      <w:pPr>
        <w:rPr>
          <w:rFonts w:eastAsia="Calibri" w:cs="Calibri"/>
        </w:rPr>
      </w:pPr>
      <w:r w:rsidRPr="005E5A51">
        <w:rPr>
          <w:rFonts w:eastAsia="Calibri" w:cs="Calibri"/>
        </w:rPr>
        <w:lastRenderedPageBreak/>
        <w:t>(2) Make provision for supplementary aids and services (such as resource room or itinerant instruction) to be provided in conjunction with regular class placement; and</w:t>
      </w:r>
    </w:p>
    <w:p w14:paraId="03927D87" w14:textId="4F048AB6" w:rsidR="00024042" w:rsidRDefault="00004A81" w:rsidP="00004A81">
      <w:pPr>
        <w:rPr>
          <w:rFonts w:eastAsia="Calibri" w:cs="Calibri"/>
        </w:rPr>
      </w:pPr>
      <w:r w:rsidRPr="4692C977">
        <w:rPr>
          <w:rFonts w:eastAsia="Calibri" w:cs="Calibri"/>
        </w:rPr>
        <w:t xml:space="preserve">(3) Not include </w:t>
      </w:r>
      <w:r w:rsidRPr="001032FF">
        <w:rPr>
          <w:rFonts w:eastAsia="Calibri" w:cs="Calibri"/>
        </w:rPr>
        <w:t xml:space="preserve">sheltered </w:t>
      </w:r>
      <w:r w:rsidRPr="4692C977">
        <w:rPr>
          <w:rFonts w:eastAsia="Calibri" w:cs="Calibri"/>
        </w:rPr>
        <w:t>workshops as defined in OAR 581-015-2000(34) and 407-025-0010(16)</w:t>
      </w:r>
      <w:r w:rsidR="00A86C28">
        <w:rPr>
          <w:rFonts w:eastAsia="Calibri" w:cs="Calibri"/>
          <w:b/>
          <w:bCs/>
        </w:rPr>
        <w:t xml:space="preserve">, or mock sheltered work settings as defined in OAR 581-015-2930. </w:t>
      </w:r>
      <w:r w:rsidRPr="4692C977">
        <w:rPr>
          <w:rFonts w:eastAsia="Calibri" w:cs="Calibri"/>
        </w:rPr>
        <w:t xml:space="preserve"> </w:t>
      </w:r>
    </w:p>
    <w:p w14:paraId="590C4D3B" w14:textId="6543E593" w:rsidR="00B601F9" w:rsidRDefault="00FF7A77" w:rsidP="00004A81">
      <w:pPr>
        <w:rPr>
          <w:rFonts w:eastAsia="Calibri" w:cs="Calibri"/>
        </w:rPr>
      </w:pPr>
      <w:r w:rsidRPr="00FF7A77">
        <w:rPr>
          <w:rFonts w:eastAsia="Calibri" w:cs="Calibri"/>
          <w:b/>
          <w:bCs/>
        </w:rPr>
        <w:t>Statutory/Other Authority:</w:t>
      </w:r>
      <w:r w:rsidRPr="00FF7A77">
        <w:rPr>
          <w:rFonts w:eastAsia="Calibri" w:cs="Calibri"/>
        </w:rPr>
        <w:t> ORS 343.041 &amp; 343.045 &amp; 343.055</w:t>
      </w:r>
      <w:r w:rsidR="00F06DAC">
        <w:rPr>
          <w:rFonts w:eastAsia="Calibri" w:cs="Calibri"/>
        </w:rPr>
        <w:t xml:space="preserve"> </w:t>
      </w:r>
      <w:r w:rsidRPr="00FF7A77">
        <w:rPr>
          <w:rFonts w:eastAsia="Calibri" w:cs="Calibri"/>
        </w:rPr>
        <w:br/>
      </w:r>
      <w:r w:rsidRPr="00FF7A77">
        <w:rPr>
          <w:rFonts w:eastAsia="Calibri" w:cs="Calibri"/>
          <w:b/>
          <w:bCs/>
        </w:rPr>
        <w:t>Statutes/Other Implemented:</w:t>
      </w:r>
      <w:r w:rsidRPr="00FF7A77">
        <w:rPr>
          <w:rFonts w:eastAsia="Calibri" w:cs="Calibri"/>
        </w:rPr>
        <w:t> ORS 343.045 &amp; 343.155</w:t>
      </w:r>
      <w:r w:rsidR="00AD7451">
        <w:rPr>
          <w:rFonts w:eastAsia="Calibri" w:cs="Calibri"/>
        </w:rPr>
        <w:t xml:space="preserve"> </w:t>
      </w:r>
      <w:r w:rsidR="00AD7451">
        <w:rPr>
          <w:rFonts w:eastAsia="Calibri" w:cs="Calibri"/>
          <w:b/>
          <w:bCs/>
        </w:rPr>
        <w:t xml:space="preserve">&amp; </w:t>
      </w:r>
      <w:r w:rsidR="00F446B6">
        <w:rPr>
          <w:rFonts w:eastAsia="Calibri" w:cs="Calibri"/>
          <w:b/>
          <w:bCs/>
        </w:rPr>
        <w:t>343.955</w:t>
      </w:r>
      <w:r w:rsidRPr="00FF7A77">
        <w:rPr>
          <w:rFonts w:eastAsia="Calibri" w:cs="Calibri"/>
        </w:rPr>
        <w:t xml:space="preserve"> &amp; 34 CFR 300.115</w:t>
      </w:r>
    </w:p>
    <w:p w14:paraId="0FCF8578" w14:textId="77777777" w:rsidR="00024042" w:rsidRDefault="00024042" w:rsidP="00004A81">
      <w:pPr>
        <w:rPr>
          <w:rFonts w:eastAsia="Calibri" w:cs="Calibri"/>
        </w:rPr>
      </w:pPr>
    </w:p>
    <w:p w14:paraId="5B8678C6" w14:textId="77777777" w:rsidR="00024042" w:rsidRDefault="00024042" w:rsidP="00004A81">
      <w:pPr>
        <w:rPr>
          <w:rFonts w:eastAsia="Calibri" w:cs="Calibri"/>
        </w:rPr>
      </w:pPr>
    </w:p>
    <w:p w14:paraId="74EB7BB5" w14:textId="77777777" w:rsidR="00024042" w:rsidRDefault="00024042" w:rsidP="00004A81">
      <w:pPr>
        <w:rPr>
          <w:rFonts w:eastAsia="Calibri" w:cs="Calibri"/>
        </w:rPr>
      </w:pPr>
    </w:p>
    <w:sectPr w:rsidR="00024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91"/>
    <w:rsid w:val="00004A81"/>
    <w:rsid w:val="00013A90"/>
    <w:rsid w:val="00015A8E"/>
    <w:rsid w:val="00024042"/>
    <w:rsid w:val="000302A7"/>
    <w:rsid w:val="00041ACF"/>
    <w:rsid w:val="00057FD8"/>
    <w:rsid w:val="000679ED"/>
    <w:rsid w:val="00074EAD"/>
    <w:rsid w:val="00077E52"/>
    <w:rsid w:val="00092E7F"/>
    <w:rsid w:val="0009345E"/>
    <w:rsid w:val="000A5756"/>
    <w:rsid w:val="000B6BFF"/>
    <w:rsid w:val="000C14A2"/>
    <w:rsid w:val="000C3508"/>
    <w:rsid w:val="000D36B7"/>
    <w:rsid w:val="000E1D91"/>
    <w:rsid w:val="000E45D7"/>
    <w:rsid w:val="000E7BC7"/>
    <w:rsid w:val="00102A2B"/>
    <w:rsid w:val="001032FF"/>
    <w:rsid w:val="001441D8"/>
    <w:rsid w:val="001740C7"/>
    <w:rsid w:val="00181830"/>
    <w:rsid w:val="00187FD9"/>
    <w:rsid w:val="001C31D9"/>
    <w:rsid w:val="001C6CE8"/>
    <w:rsid w:val="001D0117"/>
    <w:rsid w:val="001D72E0"/>
    <w:rsid w:val="001F0B4A"/>
    <w:rsid w:val="0021758A"/>
    <w:rsid w:val="0022037B"/>
    <w:rsid w:val="00220D89"/>
    <w:rsid w:val="00223DAF"/>
    <w:rsid w:val="00232E19"/>
    <w:rsid w:val="00241224"/>
    <w:rsid w:val="00281253"/>
    <w:rsid w:val="00295954"/>
    <w:rsid w:val="002B1073"/>
    <w:rsid w:val="002B13D6"/>
    <w:rsid w:val="002D37BB"/>
    <w:rsid w:val="002D7808"/>
    <w:rsid w:val="002E5F83"/>
    <w:rsid w:val="00300E2F"/>
    <w:rsid w:val="00305BF3"/>
    <w:rsid w:val="00307B43"/>
    <w:rsid w:val="003233EF"/>
    <w:rsid w:val="003241BE"/>
    <w:rsid w:val="003367CC"/>
    <w:rsid w:val="00346621"/>
    <w:rsid w:val="00375656"/>
    <w:rsid w:val="0038567A"/>
    <w:rsid w:val="00390E85"/>
    <w:rsid w:val="003A5E26"/>
    <w:rsid w:val="003D23E2"/>
    <w:rsid w:val="003E5AD4"/>
    <w:rsid w:val="003E602D"/>
    <w:rsid w:val="003E63BA"/>
    <w:rsid w:val="003F6983"/>
    <w:rsid w:val="004024D8"/>
    <w:rsid w:val="00406998"/>
    <w:rsid w:val="004131F9"/>
    <w:rsid w:val="00414B4A"/>
    <w:rsid w:val="004159AA"/>
    <w:rsid w:val="00426DBC"/>
    <w:rsid w:val="00433747"/>
    <w:rsid w:val="004418DE"/>
    <w:rsid w:val="004445D0"/>
    <w:rsid w:val="0044752E"/>
    <w:rsid w:val="00465BAE"/>
    <w:rsid w:val="00490A59"/>
    <w:rsid w:val="004A235E"/>
    <w:rsid w:val="004A290B"/>
    <w:rsid w:val="004B38C1"/>
    <w:rsid w:val="004C78D9"/>
    <w:rsid w:val="004E697C"/>
    <w:rsid w:val="004F3F4D"/>
    <w:rsid w:val="00505EDE"/>
    <w:rsid w:val="00507E66"/>
    <w:rsid w:val="005110C4"/>
    <w:rsid w:val="00526257"/>
    <w:rsid w:val="00532D27"/>
    <w:rsid w:val="005422F3"/>
    <w:rsid w:val="005465C4"/>
    <w:rsid w:val="00595900"/>
    <w:rsid w:val="005B3271"/>
    <w:rsid w:val="005C636C"/>
    <w:rsid w:val="005E0D87"/>
    <w:rsid w:val="005E0FDE"/>
    <w:rsid w:val="005E50AE"/>
    <w:rsid w:val="005F2A52"/>
    <w:rsid w:val="0061607E"/>
    <w:rsid w:val="00617A1A"/>
    <w:rsid w:val="00627BAD"/>
    <w:rsid w:val="00676E37"/>
    <w:rsid w:val="0068492C"/>
    <w:rsid w:val="006964D3"/>
    <w:rsid w:val="00712E0C"/>
    <w:rsid w:val="007515F7"/>
    <w:rsid w:val="007772BD"/>
    <w:rsid w:val="007C3BBB"/>
    <w:rsid w:val="007C4195"/>
    <w:rsid w:val="007E4B11"/>
    <w:rsid w:val="007F1B66"/>
    <w:rsid w:val="008133AA"/>
    <w:rsid w:val="00825172"/>
    <w:rsid w:val="008348D6"/>
    <w:rsid w:val="00847AC8"/>
    <w:rsid w:val="008635AD"/>
    <w:rsid w:val="00872CEC"/>
    <w:rsid w:val="0087460F"/>
    <w:rsid w:val="008947D2"/>
    <w:rsid w:val="00895AF7"/>
    <w:rsid w:val="008D44C1"/>
    <w:rsid w:val="008F202D"/>
    <w:rsid w:val="008F5F3E"/>
    <w:rsid w:val="008F6863"/>
    <w:rsid w:val="008F6AF3"/>
    <w:rsid w:val="00912C83"/>
    <w:rsid w:val="00925E7F"/>
    <w:rsid w:val="0093231D"/>
    <w:rsid w:val="009528D1"/>
    <w:rsid w:val="0097941F"/>
    <w:rsid w:val="00987058"/>
    <w:rsid w:val="00990343"/>
    <w:rsid w:val="00996AAA"/>
    <w:rsid w:val="009A0749"/>
    <w:rsid w:val="009A4D95"/>
    <w:rsid w:val="009A5258"/>
    <w:rsid w:val="009B31B2"/>
    <w:rsid w:val="009C7956"/>
    <w:rsid w:val="00A00D35"/>
    <w:rsid w:val="00A10621"/>
    <w:rsid w:val="00A1287D"/>
    <w:rsid w:val="00A73D23"/>
    <w:rsid w:val="00A85D4A"/>
    <w:rsid w:val="00A86C28"/>
    <w:rsid w:val="00AA2EB8"/>
    <w:rsid w:val="00AB351A"/>
    <w:rsid w:val="00AB5BB1"/>
    <w:rsid w:val="00AB6DB2"/>
    <w:rsid w:val="00AC27D1"/>
    <w:rsid w:val="00AC53A4"/>
    <w:rsid w:val="00AD1307"/>
    <w:rsid w:val="00AD5935"/>
    <w:rsid w:val="00AD6E40"/>
    <w:rsid w:val="00AD7451"/>
    <w:rsid w:val="00AD7D43"/>
    <w:rsid w:val="00AF0F8F"/>
    <w:rsid w:val="00AF2B20"/>
    <w:rsid w:val="00B00F77"/>
    <w:rsid w:val="00B01343"/>
    <w:rsid w:val="00B04F92"/>
    <w:rsid w:val="00B11AD5"/>
    <w:rsid w:val="00B12155"/>
    <w:rsid w:val="00B2165D"/>
    <w:rsid w:val="00B3764B"/>
    <w:rsid w:val="00B503FB"/>
    <w:rsid w:val="00B556B7"/>
    <w:rsid w:val="00B56B6A"/>
    <w:rsid w:val="00B57381"/>
    <w:rsid w:val="00B601F9"/>
    <w:rsid w:val="00B83D4A"/>
    <w:rsid w:val="00B96EB4"/>
    <w:rsid w:val="00C25BBC"/>
    <w:rsid w:val="00C26B6D"/>
    <w:rsid w:val="00C3088E"/>
    <w:rsid w:val="00C35C87"/>
    <w:rsid w:val="00CA0705"/>
    <w:rsid w:val="00CA3710"/>
    <w:rsid w:val="00CB1057"/>
    <w:rsid w:val="00CB56F4"/>
    <w:rsid w:val="00CC0FE0"/>
    <w:rsid w:val="00CC285B"/>
    <w:rsid w:val="00CC298D"/>
    <w:rsid w:val="00CC5BB3"/>
    <w:rsid w:val="00CE0CF5"/>
    <w:rsid w:val="00CF1C1E"/>
    <w:rsid w:val="00D429F2"/>
    <w:rsid w:val="00D42E62"/>
    <w:rsid w:val="00D44741"/>
    <w:rsid w:val="00D72E95"/>
    <w:rsid w:val="00D93014"/>
    <w:rsid w:val="00DA640B"/>
    <w:rsid w:val="00DC3E30"/>
    <w:rsid w:val="00DD212E"/>
    <w:rsid w:val="00E11331"/>
    <w:rsid w:val="00E1150F"/>
    <w:rsid w:val="00E13D62"/>
    <w:rsid w:val="00E46976"/>
    <w:rsid w:val="00E70EDF"/>
    <w:rsid w:val="00E73AC0"/>
    <w:rsid w:val="00E80E9E"/>
    <w:rsid w:val="00E90494"/>
    <w:rsid w:val="00EA2828"/>
    <w:rsid w:val="00ED2DDA"/>
    <w:rsid w:val="00EE0756"/>
    <w:rsid w:val="00F055B4"/>
    <w:rsid w:val="00F06DAC"/>
    <w:rsid w:val="00F27DCD"/>
    <w:rsid w:val="00F37E00"/>
    <w:rsid w:val="00F446B6"/>
    <w:rsid w:val="00F44F63"/>
    <w:rsid w:val="00F85509"/>
    <w:rsid w:val="00FB2021"/>
    <w:rsid w:val="00FC1AF1"/>
    <w:rsid w:val="00FD0BDE"/>
    <w:rsid w:val="00FF21CE"/>
    <w:rsid w:val="00FF241E"/>
    <w:rsid w:val="00FF7A77"/>
    <w:rsid w:val="232F21CD"/>
    <w:rsid w:val="2B83885D"/>
    <w:rsid w:val="4692C977"/>
    <w:rsid w:val="530E98C9"/>
    <w:rsid w:val="6D263994"/>
    <w:rsid w:val="72BC55D3"/>
    <w:rsid w:val="7D4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DB47"/>
  <w15:chartTrackingRefBased/>
  <w15:docId w15:val="{2D17F794-AB8B-488C-8CEC-2CE42446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AD"/>
    <w:rPr>
      <w:rFonts w:ascii="Calibri" w:hAnsi="Calibri"/>
      <w:sz w:val="22"/>
    </w:rPr>
  </w:style>
  <w:style w:type="paragraph" w:styleId="Heading1">
    <w:name w:val="heading 1"/>
    <w:basedOn w:val="Normal"/>
    <w:next w:val="Normal"/>
    <w:link w:val="Heading1Char"/>
    <w:uiPriority w:val="9"/>
    <w:qFormat/>
    <w:rsid w:val="000E1D91"/>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0E1D91"/>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0E1D91"/>
    <w:pPr>
      <w:keepNext/>
      <w:keepLines/>
      <w:spacing w:before="160" w:after="80"/>
      <w:outlineLvl w:val="2"/>
    </w:pPr>
    <w:rPr>
      <w:rFonts w:asciiTheme="minorHAnsi" w:eastAsiaTheme="majorEastAsia" w:hAnsiTheme="minorHAnsi"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0E1D91"/>
    <w:pPr>
      <w:keepNext/>
      <w:keepLines/>
      <w:spacing w:before="80" w:after="40"/>
      <w:outlineLvl w:val="3"/>
    </w:pPr>
    <w:rPr>
      <w:rFonts w:asciiTheme="minorHAnsi" w:eastAsiaTheme="majorEastAsia" w:hAnsiTheme="minorHAnsi" w:cstheme="majorBidi"/>
      <w:i/>
      <w:iCs/>
      <w:color w:val="DA1F12" w:themeColor="accent1" w:themeShade="BF"/>
    </w:rPr>
  </w:style>
  <w:style w:type="paragraph" w:styleId="Heading5">
    <w:name w:val="heading 5"/>
    <w:basedOn w:val="Normal"/>
    <w:next w:val="Normal"/>
    <w:link w:val="Heading5Char"/>
    <w:uiPriority w:val="9"/>
    <w:semiHidden/>
    <w:unhideWhenUsed/>
    <w:qFormat/>
    <w:rsid w:val="000E1D91"/>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0E1D91"/>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0E1D91"/>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0E1D91"/>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0E1D91"/>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91"/>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0E1D91"/>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0E1D91"/>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0E1D91"/>
    <w:rPr>
      <w:rFonts w:eastAsiaTheme="majorEastAsia" w:cstheme="majorBidi"/>
      <w:i/>
      <w:iCs/>
      <w:color w:val="DA1F12" w:themeColor="accent1" w:themeShade="BF"/>
      <w:sz w:val="22"/>
    </w:rPr>
  </w:style>
  <w:style w:type="character" w:customStyle="1" w:styleId="Heading5Char">
    <w:name w:val="Heading 5 Char"/>
    <w:basedOn w:val="DefaultParagraphFont"/>
    <w:link w:val="Heading5"/>
    <w:uiPriority w:val="9"/>
    <w:semiHidden/>
    <w:rsid w:val="000E1D91"/>
    <w:rPr>
      <w:rFonts w:eastAsiaTheme="majorEastAsia" w:cstheme="majorBidi"/>
      <w:color w:val="DA1F12" w:themeColor="accent1" w:themeShade="BF"/>
      <w:sz w:val="22"/>
    </w:rPr>
  </w:style>
  <w:style w:type="character" w:customStyle="1" w:styleId="Heading6Char">
    <w:name w:val="Heading 6 Char"/>
    <w:basedOn w:val="DefaultParagraphFont"/>
    <w:link w:val="Heading6"/>
    <w:uiPriority w:val="9"/>
    <w:semiHidden/>
    <w:rsid w:val="000E1D91"/>
    <w:rPr>
      <w:rFonts w:eastAsiaTheme="majorEastAsia" w:cstheme="majorBidi"/>
      <w:i/>
      <w:iCs/>
      <w:color w:val="007EE9" w:themeColor="text1" w:themeTint="A6"/>
      <w:sz w:val="22"/>
    </w:rPr>
  </w:style>
  <w:style w:type="character" w:customStyle="1" w:styleId="Heading7Char">
    <w:name w:val="Heading 7 Char"/>
    <w:basedOn w:val="DefaultParagraphFont"/>
    <w:link w:val="Heading7"/>
    <w:uiPriority w:val="9"/>
    <w:semiHidden/>
    <w:rsid w:val="000E1D91"/>
    <w:rPr>
      <w:rFonts w:eastAsiaTheme="majorEastAsia" w:cstheme="majorBidi"/>
      <w:color w:val="007EE9" w:themeColor="text1" w:themeTint="A6"/>
      <w:sz w:val="22"/>
    </w:rPr>
  </w:style>
  <w:style w:type="character" w:customStyle="1" w:styleId="Heading8Char">
    <w:name w:val="Heading 8 Char"/>
    <w:basedOn w:val="DefaultParagraphFont"/>
    <w:link w:val="Heading8"/>
    <w:uiPriority w:val="9"/>
    <w:semiHidden/>
    <w:rsid w:val="000E1D91"/>
    <w:rPr>
      <w:rFonts w:eastAsiaTheme="majorEastAsia" w:cstheme="majorBidi"/>
      <w:i/>
      <w:iCs/>
      <w:color w:val="005196" w:themeColor="text1" w:themeTint="D8"/>
      <w:sz w:val="22"/>
    </w:rPr>
  </w:style>
  <w:style w:type="character" w:customStyle="1" w:styleId="Heading9Char">
    <w:name w:val="Heading 9 Char"/>
    <w:basedOn w:val="DefaultParagraphFont"/>
    <w:link w:val="Heading9"/>
    <w:uiPriority w:val="9"/>
    <w:semiHidden/>
    <w:rsid w:val="000E1D91"/>
    <w:rPr>
      <w:rFonts w:eastAsiaTheme="majorEastAsia" w:cstheme="majorBidi"/>
      <w:color w:val="005196" w:themeColor="text1" w:themeTint="D8"/>
      <w:sz w:val="22"/>
    </w:rPr>
  </w:style>
  <w:style w:type="paragraph" w:styleId="Title">
    <w:name w:val="Title"/>
    <w:basedOn w:val="Normal"/>
    <w:next w:val="Normal"/>
    <w:link w:val="TitleChar"/>
    <w:uiPriority w:val="10"/>
    <w:qFormat/>
    <w:rsid w:val="000E1D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91"/>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0E1D91"/>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0E1D9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0E1D91"/>
    <w:rPr>
      <w:rFonts w:ascii="Calibri" w:hAnsi="Calibri"/>
      <w:i/>
      <w:iCs/>
      <w:color w:val="0067BF" w:themeColor="text1" w:themeTint="BF"/>
      <w:sz w:val="22"/>
    </w:rPr>
  </w:style>
  <w:style w:type="paragraph" w:styleId="ListParagraph">
    <w:name w:val="List Paragraph"/>
    <w:basedOn w:val="Normal"/>
    <w:uiPriority w:val="34"/>
    <w:qFormat/>
    <w:rsid w:val="000E1D91"/>
    <w:pPr>
      <w:ind w:left="720"/>
      <w:contextualSpacing/>
    </w:pPr>
  </w:style>
  <w:style w:type="character" w:styleId="IntenseEmphasis">
    <w:name w:val="Intense Emphasis"/>
    <w:basedOn w:val="DefaultParagraphFont"/>
    <w:uiPriority w:val="21"/>
    <w:qFormat/>
    <w:rsid w:val="000E1D91"/>
    <w:rPr>
      <w:i/>
      <w:iCs/>
      <w:color w:val="DA1F12" w:themeColor="accent1" w:themeShade="BF"/>
    </w:rPr>
  </w:style>
  <w:style w:type="paragraph" w:styleId="IntenseQuote">
    <w:name w:val="Intense Quote"/>
    <w:basedOn w:val="Normal"/>
    <w:next w:val="Normal"/>
    <w:link w:val="IntenseQuoteChar"/>
    <w:uiPriority w:val="30"/>
    <w:qFormat/>
    <w:rsid w:val="000E1D9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0E1D91"/>
    <w:rPr>
      <w:rFonts w:ascii="Calibri" w:hAnsi="Calibri"/>
      <w:i/>
      <w:iCs/>
      <w:color w:val="DA1F12" w:themeColor="accent1" w:themeShade="BF"/>
      <w:sz w:val="22"/>
    </w:rPr>
  </w:style>
  <w:style w:type="character" w:styleId="IntenseReference">
    <w:name w:val="Intense Reference"/>
    <w:basedOn w:val="DefaultParagraphFont"/>
    <w:uiPriority w:val="32"/>
    <w:qFormat/>
    <w:rsid w:val="000E1D91"/>
    <w:rPr>
      <w:b/>
      <w:bCs/>
      <w:smallCaps/>
      <w:color w:val="DA1F12" w:themeColor="accent1" w:themeShade="BF"/>
      <w:spacing w:val="5"/>
    </w:rPr>
  </w:style>
  <w:style w:type="paragraph" w:styleId="Revision">
    <w:name w:val="Revision"/>
    <w:hidden/>
    <w:uiPriority w:val="99"/>
    <w:semiHidden/>
    <w:rsid w:val="000E1D91"/>
    <w:pPr>
      <w:spacing w:after="0"/>
    </w:pPr>
    <w:rPr>
      <w:rFonts w:ascii="Calibri" w:hAnsi="Calibri"/>
      <w:sz w:val="22"/>
    </w:rPr>
  </w:style>
  <w:style w:type="character" w:styleId="Hyperlink">
    <w:name w:val="Hyperlink"/>
    <w:basedOn w:val="DefaultParagraphFont"/>
    <w:uiPriority w:val="99"/>
    <w:unhideWhenUsed/>
    <w:rsid w:val="00E80E9E"/>
    <w:rPr>
      <w:color w:val="002E55" w:themeColor="hyperlink"/>
      <w:u w:val="single"/>
    </w:rPr>
  </w:style>
  <w:style w:type="character" w:styleId="UnresolvedMention">
    <w:name w:val="Unresolved Mention"/>
    <w:basedOn w:val="DefaultParagraphFont"/>
    <w:uiPriority w:val="99"/>
    <w:semiHidden/>
    <w:unhideWhenUsed/>
    <w:rsid w:val="00E80E9E"/>
    <w:rPr>
      <w:color w:val="605E5C"/>
      <w:shd w:val="clear" w:color="auto" w:fill="E1DFDD"/>
    </w:rPr>
  </w:style>
  <w:style w:type="character" w:styleId="FollowedHyperlink">
    <w:name w:val="FollowedHyperlink"/>
    <w:basedOn w:val="DefaultParagraphFont"/>
    <w:uiPriority w:val="99"/>
    <w:semiHidden/>
    <w:unhideWhenUsed/>
    <w:rsid w:val="005422F3"/>
    <w:rPr>
      <w:color w:val="00A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ure.sos.state.or.us/oard/viewSingleRule.action?ruleVrsnRsn=260249" TargetMode="External"/><Relationship Id="rId10" Type="http://schemas.openxmlformats.org/officeDocument/2006/relationships/customXml" Target="../customXml/item3.xml"/><Relationship Id="rId4" Type="http://schemas.openxmlformats.org/officeDocument/2006/relationships/hyperlink" Target="https://secure.sos.state.or.us/oard/viewSingleRule.action?ruleVrsnRsn=143908" TargetMode="External"/><Relationship Id="rId9"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2026-02-19T08:00:00+00:00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2026-02-26T08:00:00+00:00</Remediation_x0020_Date>
  </documentManagement>
</p:properties>
</file>

<file path=customXml/itemProps1.xml><?xml version="1.0" encoding="utf-8"?>
<ds:datastoreItem xmlns:ds="http://schemas.openxmlformats.org/officeDocument/2006/customXml" ds:itemID="{724321EE-3296-4442-A15A-41056ADDFA3D}"/>
</file>

<file path=customXml/itemProps2.xml><?xml version="1.0" encoding="utf-8"?>
<ds:datastoreItem xmlns:ds="http://schemas.openxmlformats.org/officeDocument/2006/customXml" ds:itemID="{387EF3FC-976E-499E-8A6B-215B1348E67A}"/>
</file>

<file path=customXml/itemProps3.xml><?xml version="1.0" encoding="utf-8"?>
<ds:datastoreItem xmlns:ds="http://schemas.openxmlformats.org/officeDocument/2006/customXml" ds:itemID="{227B770B-F483-4299-9F02-E4E973B4C13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810 (2025) Bill Implementation: Employment First Definitions</dc:title>
  <dc:subject/>
  <dc:creator>FEINSTEIN Shava * ODE</dc:creator>
  <cp:keywords/>
  <dc:description/>
  <cp:lastModifiedBy>BRUNELLE Haedon * ODE</cp:lastModifiedBy>
  <cp:revision>2</cp:revision>
  <cp:lastPrinted>2026-02-11T19:49:00Z</cp:lastPrinted>
  <dcterms:created xsi:type="dcterms:W3CDTF">2026-02-18T21:19:00Z</dcterms:created>
  <dcterms:modified xsi:type="dcterms:W3CDTF">2026-02-18T21:19:00Z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