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B4" w:rsidRPr="00623FFB" w:rsidRDefault="00EC1214" w:rsidP="007420B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F9526C">
        <w:rPr>
          <w:rStyle w:val="Strong"/>
          <w:rFonts w:ascii="Arial" w:hAnsi="Arial" w:cs="Arial"/>
          <w:color w:val="333333"/>
        </w:rPr>
        <w:t>581-016-0526</w:t>
      </w:r>
      <w:r w:rsidR="00630C59" w:rsidRPr="00F9526C">
        <w:rPr>
          <w:rStyle w:val="Strong"/>
          <w:rFonts w:ascii="Arial" w:hAnsi="Arial" w:cs="Arial"/>
          <w:color w:val="333333"/>
        </w:rPr>
        <w:t xml:space="preserve"> </w:t>
      </w:r>
      <w:r w:rsidR="007420B4">
        <w:rPr>
          <w:rStyle w:val="Strong"/>
          <w:rFonts w:ascii="Arial" w:hAnsi="Arial" w:cs="Arial"/>
        </w:rPr>
        <w:t xml:space="preserve">clean copy of </w:t>
      </w:r>
      <w:r w:rsidR="007420B4" w:rsidRPr="00623FFB">
        <w:rPr>
          <w:rStyle w:val="Strong"/>
          <w:rFonts w:ascii="Arial" w:hAnsi="Arial" w:cs="Arial"/>
        </w:rPr>
        <w:t>revisions</w:t>
      </w:r>
      <w:r w:rsidR="007420B4">
        <w:rPr>
          <w:rStyle w:val="Strong"/>
          <w:rFonts w:ascii="Arial" w:hAnsi="Arial" w:cs="Arial"/>
        </w:rPr>
        <w:t xml:space="preserve"> for Board to consider 9-1-2020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br/>
      </w:r>
      <w:r w:rsidRPr="00F9526C">
        <w:rPr>
          <w:rStyle w:val="Strong"/>
          <w:rFonts w:ascii="Arial" w:hAnsi="Arial" w:cs="Arial"/>
          <w:color w:val="333333"/>
        </w:rPr>
        <w:t xml:space="preserve">General Placement 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 xml:space="preserve">(1) It is the policy of the State Board of Education (Policy 8100) that any </w:t>
      </w:r>
      <w:r w:rsidR="000D31B9" w:rsidRPr="00F9526C">
        <w:rPr>
          <w:rFonts w:ascii="Arial" w:hAnsi="Arial" w:cs="Arial"/>
          <w:color w:val="333333"/>
        </w:rPr>
        <w:t>student who</w:t>
      </w:r>
      <w:r w:rsidR="00210052" w:rsidRPr="00F9526C">
        <w:rPr>
          <w:rFonts w:ascii="Arial" w:hAnsi="Arial" w:cs="Arial"/>
          <w:color w:val="333333"/>
        </w:rPr>
        <w:t xml:space="preserve"> </w:t>
      </w:r>
      <w:r w:rsidR="000D31B9" w:rsidRPr="00F9526C">
        <w:rPr>
          <w:rFonts w:ascii="Arial" w:hAnsi="Arial" w:cs="Arial"/>
          <w:color w:val="333333"/>
        </w:rPr>
        <w:t>is deaf</w:t>
      </w:r>
      <w:r w:rsidR="005379CD" w:rsidRPr="00F9526C">
        <w:rPr>
          <w:rFonts w:ascii="Arial" w:hAnsi="Arial" w:cs="Arial"/>
          <w:color w:val="333333"/>
        </w:rPr>
        <w:t xml:space="preserve"> or hard of hearing </w:t>
      </w:r>
      <w:r w:rsidRPr="00F9526C">
        <w:rPr>
          <w:rFonts w:ascii="Arial" w:hAnsi="Arial" w:cs="Arial"/>
          <w:color w:val="333333"/>
        </w:rPr>
        <w:t>shall be served whenever possible in the student's home community</w:t>
      </w:r>
      <w:r w:rsidR="008C7DB5" w:rsidRPr="00F9526C">
        <w:rPr>
          <w:rFonts w:ascii="Arial" w:hAnsi="Arial" w:cs="Arial"/>
          <w:color w:val="333333"/>
        </w:rPr>
        <w:t>,</w:t>
      </w:r>
      <w:r w:rsidRPr="00F9526C">
        <w:rPr>
          <w:rFonts w:ascii="Arial" w:hAnsi="Arial" w:cs="Arial"/>
          <w:color w:val="333333"/>
        </w:rPr>
        <w:t xml:space="preserve"> if appropriate. It is the intent that all local agencies having interest in the student collaborate to offer services locally. A referral shall be made to OSD only when local programs are unable to provide a free appropriate public education consistent with the needs of the student as identified in the student's IEP.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>(2) A student may be referred to OSD if the student: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>(a) Has been determined to be eligible for special education services by the resident district under OAR</w:t>
      </w:r>
      <w:r w:rsidR="00766099" w:rsidRPr="00F9526C">
        <w:rPr>
          <w:rFonts w:ascii="Arial" w:hAnsi="Arial" w:cs="Arial"/>
          <w:color w:val="333333"/>
        </w:rPr>
        <w:t xml:space="preserve"> 581-015</w:t>
      </w:r>
      <w:r w:rsidR="00D56FB5" w:rsidRPr="00F9526C">
        <w:rPr>
          <w:rFonts w:ascii="Arial" w:hAnsi="Arial" w:cs="Arial"/>
          <w:color w:val="333333"/>
        </w:rPr>
        <w:t>-</w:t>
      </w:r>
      <w:r w:rsidR="00766099" w:rsidRPr="00F9526C">
        <w:rPr>
          <w:rFonts w:ascii="Arial" w:hAnsi="Arial" w:cs="Arial"/>
          <w:color w:val="333333"/>
        </w:rPr>
        <w:t>2150</w:t>
      </w:r>
      <w:r w:rsidR="00285672" w:rsidRPr="00F9526C">
        <w:rPr>
          <w:rFonts w:ascii="Arial" w:hAnsi="Arial" w:cs="Arial"/>
          <w:color w:val="333333"/>
        </w:rPr>
        <w:t xml:space="preserve"> (Deaf or Hard of Hearing)</w:t>
      </w:r>
      <w:r w:rsidR="00C85890" w:rsidRPr="00F9526C">
        <w:rPr>
          <w:rFonts w:ascii="Arial" w:hAnsi="Arial" w:cs="Arial"/>
          <w:color w:val="333333"/>
        </w:rPr>
        <w:t xml:space="preserve"> or OAR 581-015-2140</w:t>
      </w:r>
      <w:r w:rsidR="00285672" w:rsidRPr="00F9526C">
        <w:rPr>
          <w:rFonts w:ascii="Arial" w:hAnsi="Arial" w:cs="Arial"/>
          <w:color w:val="333333"/>
        </w:rPr>
        <w:t xml:space="preserve"> (Deafblindness)</w:t>
      </w:r>
      <w:r w:rsidRPr="00F9526C">
        <w:rPr>
          <w:rFonts w:ascii="Arial" w:hAnsi="Arial" w:cs="Arial"/>
          <w:color w:val="333333"/>
        </w:rPr>
        <w:t>;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 xml:space="preserve">(b) </w:t>
      </w:r>
      <w:r w:rsidR="00210052" w:rsidRPr="00F9526C">
        <w:rPr>
          <w:rFonts w:ascii="Arial" w:hAnsi="Arial" w:cs="Arial"/>
          <w:color w:val="333333"/>
        </w:rPr>
        <w:t xml:space="preserve">Is deaf or hard of hearing </w:t>
      </w:r>
      <w:r w:rsidRPr="00F9526C">
        <w:rPr>
          <w:rFonts w:ascii="Arial" w:hAnsi="Arial" w:cs="Arial"/>
          <w:color w:val="333333"/>
        </w:rPr>
        <w:t>to the extent that services needed to implement the IEP as described in OAR 581-016-0536(8)(f)(A)–(D) are not available in the local district with regional program support;</w:t>
      </w:r>
    </w:p>
    <w:p w:rsidR="00FA4EBB" w:rsidRDefault="00EC1214" w:rsidP="00FA4EB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>(</w:t>
      </w:r>
      <w:proofErr w:type="gramStart"/>
      <w:r w:rsidRPr="00F9526C">
        <w:rPr>
          <w:rFonts w:ascii="Arial" w:hAnsi="Arial" w:cs="Arial"/>
          <w:color w:val="333333"/>
        </w:rPr>
        <w:t>c</w:t>
      </w:r>
      <w:proofErr w:type="gramEnd"/>
      <w:r w:rsidRPr="00F9526C">
        <w:rPr>
          <w:rFonts w:ascii="Arial" w:hAnsi="Arial" w:cs="Arial"/>
          <w:color w:val="333333"/>
        </w:rPr>
        <w:t>) Is a legal resident of the State of Oregon;</w:t>
      </w:r>
    </w:p>
    <w:p w:rsidR="00EC1214" w:rsidRPr="00F9526C" w:rsidRDefault="00FA4EBB" w:rsidP="00FA4EB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(</w:t>
      </w:r>
      <w:r w:rsidR="00E919CE">
        <w:rPr>
          <w:rFonts w:ascii="Arial" w:hAnsi="Arial" w:cs="Arial"/>
          <w:color w:val="333333"/>
        </w:rPr>
        <w:t xml:space="preserve">d) </w:t>
      </w:r>
      <w:r w:rsidR="00EC1214" w:rsidRPr="00F9526C">
        <w:rPr>
          <w:rFonts w:ascii="Arial" w:hAnsi="Arial" w:cs="Arial"/>
          <w:color w:val="333333"/>
        </w:rPr>
        <w:t>Has the consent of a parent(s), guardian or surrogate if the student is under age 18; or</w:t>
      </w:r>
    </w:p>
    <w:p w:rsidR="00EC1214" w:rsidRPr="00F9526C" w:rsidRDefault="00EC1214" w:rsidP="00D2286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 xml:space="preserve"> </w:t>
      </w:r>
      <w:r w:rsidR="00E919CE">
        <w:rPr>
          <w:rFonts w:ascii="Arial" w:hAnsi="Arial" w:cs="Arial"/>
          <w:color w:val="333333"/>
        </w:rPr>
        <w:tab/>
        <w:t xml:space="preserve">(e) </w:t>
      </w:r>
      <w:r w:rsidRPr="00F9526C">
        <w:rPr>
          <w:rFonts w:ascii="Arial" w:hAnsi="Arial" w:cs="Arial"/>
          <w:color w:val="333333"/>
        </w:rPr>
        <w:t>Has given his or her consent, if over age 18; or</w:t>
      </w:r>
    </w:p>
    <w:p w:rsidR="00EC1214" w:rsidRPr="00F9526C" w:rsidRDefault="00E919CE" w:rsidP="00D2286F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(f) </w:t>
      </w:r>
      <w:r w:rsidR="00EC1214" w:rsidRPr="00F9526C">
        <w:rPr>
          <w:rFonts w:ascii="Arial" w:hAnsi="Arial" w:cs="Arial"/>
          <w:color w:val="333333"/>
        </w:rPr>
        <w:t>Has the consent of a court-appointed guardian if one is appointed and the student is over age 18; and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>(e) Has not completed the school year in which the student turns age 21.</w:t>
      </w:r>
    </w:p>
    <w:p w:rsidR="00EC1214" w:rsidRPr="00F9526C" w:rsidRDefault="00EC1214" w:rsidP="00F952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color w:val="333333"/>
        </w:rPr>
        <w:t xml:space="preserve">(3) OSD may act as an evaluation and diagnostic center for a student </w:t>
      </w:r>
      <w:r w:rsidR="00210052" w:rsidRPr="00F9526C">
        <w:rPr>
          <w:rFonts w:ascii="Arial" w:hAnsi="Arial" w:cs="Arial"/>
          <w:color w:val="333333"/>
        </w:rPr>
        <w:t xml:space="preserve"> who is deaf or hard hearing </w:t>
      </w:r>
      <w:r w:rsidRPr="00F9526C">
        <w:rPr>
          <w:rFonts w:ascii="Arial" w:hAnsi="Arial" w:cs="Arial"/>
          <w:color w:val="333333"/>
        </w:rPr>
        <w:t>when requested to do so by the student's resident school district or the student's parents, or when additional assessment information is needed prior to a placement decision.</w:t>
      </w:r>
    </w:p>
    <w:p w:rsidR="00D30111" w:rsidRPr="00F9526C" w:rsidRDefault="00D30111" w:rsidP="00F9526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EC1214" w:rsidRPr="00F9526C" w:rsidRDefault="00EC1214" w:rsidP="00F9526C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F9526C">
        <w:rPr>
          <w:rFonts w:ascii="Arial" w:hAnsi="Arial" w:cs="Arial"/>
          <w:b/>
          <w:bCs/>
          <w:color w:val="333333"/>
        </w:rPr>
        <w:t>Statutory/Other Authority:</w:t>
      </w:r>
      <w:r w:rsidRPr="00F9526C">
        <w:rPr>
          <w:rFonts w:ascii="Arial" w:hAnsi="Arial" w:cs="Arial"/>
          <w:color w:val="333333"/>
        </w:rPr>
        <w:t> ORS 346</w:t>
      </w:r>
      <w:r w:rsidRPr="00F9526C">
        <w:rPr>
          <w:rFonts w:ascii="Arial" w:hAnsi="Arial" w:cs="Arial"/>
          <w:color w:val="333333"/>
        </w:rPr>
        <w:br/>
      </w:r>
      <w:r w:rsidRPr="00F9526C">
        <w:rPr>
          <w:rFonts w:ascii="Arial" w:hAnsi="Arial" w:cs="Arial"/>
          <w:b/>
          <w:bCs/>
          <w:color w:val="333333"/>
        </w:rPr>
        <w:t>Statutes/Other Implemented:</w:t>
      </w:r>
      <w:r w:rsidRPr="00F9526C">
        <w:rPr>
          <w:rFonts w:ascii="Arial" w:hAnsi="Arial" w:cs="Arial"/>
          <w:color w:val="333333"/>
        </w:rPr>
        <w:t> ORS 346.015</w:t>
      </w:r>
      <w:r w:rsidRPr="00F9526C">
        <w:rPr>
          <w:rFonts w:ascii="Arial" w:hAnsi="Arial" w:cs="Arial"/>
          <w:color w:val="333333"/>
        </w:rPr>
        <w:br/>
      </w:r>
      <w:r w:rsidRPr="00F9526C">
        <w:rPr>
          <w:rFonts w:ascii="Arial" w:hAnsi="Arial" w:cs="Arial"/>
          <w:b/>
          <w:bCs/>
          <w:color w:val="333333"/>
        </w:rPr>
        <w:t>History:</w:t>
      </w:r>
      <w:r w:rsidRPr="00F9526C">
        <w:rPr>
          <w:rFonts w:ascii="Arial" w:hAnsi="Arial" w:cs="Arial"/>
          <w:color w:val="333333"/>
        </w:rPr>
        <w:br/>
        <w:t>ODE 12-2009, f. &amp; cert. ef. 12-10-09</w:t>
      </w:r>
      <w:r w:rsidRPr="00F9526C">
        <w:rPr>
          <w:rFonts w:ascii="Arial" w:hAnsi="Arial" w:cs="Arial"/>
          <w:color w:val="333333"/>
        </w:rPr>
        <w:br/>
        <w:t>EB 2-1994, f. &amp; cert. ef. 4-29-94</w:t>
      </w:r>
      <w:r w:rsidRPr="00F9526C">
        <w:rPr>
          <w:rFonts w:ascii="Arial" w:hAnsi="Arial" w:cs="Arial"/>
          <w:color w:val="333333"/>
        </w:rPr>
        <w:br/>
        <w:t>EB 36-1990, f. &amp; cert. ef. 7-10-90</w:t>
      </w:r>
      <w:r w:rsidRPr="00F9526C">
        <w:rPr>
          <w:rFonts w:ascii="Arial" w:hAnsi="Arial" w:cs="Arial"/>
          <w:color w:val="333333"/>
        </w:rPr>
        <w:br/>
        <w:t>1EB 24-1986, f. &amp; ef. 7-11-86</w:t>
      </w:r>
    </w:p>
    <w:p w:rsidR="00273275" w:rsidRPr="00F9526C" w:rsidRDefault="00273275" w:rsidP="00F9526C">
      <w:pPr>
        <w:spacing w:after="0" w:line="360" w:lineRule="auto"/>
        <w:rPr>
          <w:sz w:val="24"/>
          <w:szCs w:val="24"/>
        </w:rPr>
      </w:pPr>
    </w:p>
    <w:sectPr w:rsidR="00273275" w:rsidRPr="00F9526C" w:rsidSect="00F9526C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33" w:rsidRDefault="00710833" w:rsidP="00D30111">
      <w:pPr>
        <w:spacing w:after="0" w:line="240" w:lineRule="auto"/>
      </w:pPr>
      <w:r>
        <w:separator/>
      </w:r>
    </w:p>
  </w:endnote>
  <w:endnote w:type="continuationSeparator" w:id="0">
    <w:p w:rsidR="00710833" w:rsidRDefault="00710833" w:rsidP="00D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524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11" w:rsidRDefault="00D30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11" w:rsidRDefault="00D3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33" w:rsidRDefault="00710833" w:rsidP="00D30111">
      <w:pPr>
        <w:spacing w:after="0" w:line="240" w:lineRule="auto"/>
      </w:pPr>
      <w:r>
        <w:separator/>
      </w:r>
    </w:p>
  </w:footnote>
  <w:footnote w:type="continuationSeparator" w:id="0">
    <w:p w:rsidR="00710833" w:rsidRDefault="00710833" w:rsidP="00D3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4"/>
    <w:rsid w:val="00076B30"/>
    <w:rsid w:val="000D31B9"/>
    <w:rsid w:val="000F7675"/>
    <w:rsid w:val="00111122"/>
    <w:rsid w:val="00210052"/>
    <w:rsid w:val="00273275"/>
    <w:rsid w:val="00277021"/>
    <w:rsid w:val="00285672"/>
    <w:rsid w:val="002E3033"/>
    <w:rsid w:val="00452D84"/>
    <w:rsid w:val="004A6993"/>
    <w:rsid w:val="005379CD"/>
    <w:rsid w:val="00630C59"/>
    <w:rsid w:val="0070727B"/>
    <w:rsid w:val="00710833"/>
    <w:rsid w:val="007420B4"/>
    <w:rsid w:val="00766099"/>
    <w:rsid w:val="00792BFF"/>
    <w:rsid w:val="0084749F"/>
    <w:rsid w:val="00872D3C"/>
    <w:rsid w:val="008866B4"/>
    <w:rsid w:val="008C7DB5"/>
    <w:rsid w:val="00946EC2"/>
    <w:rsid w:val="00A008DB"/>
    <w:rsid w:val="00BE3D10"/>
    <w:rsid w:val="00C56093"/>
    <w:rsid w:val="00C85890"/>
    <w:rsid w:val="00CA3868"/>
    <w:rsid w:val="00CE485E"/>
    <w:rsid w:val="00D2286F"/>
    <w:rsid w:val="00D30111"/>
    <w:rsid w:val="00D46AD5"/>
    <w:rsid w:val="00D56FB5"/>
    <w:rsid w:val="00DA6AC2"/>
    <w:rsid w:val="00E17D9B"/>
    <w:rsid w:val="00E556AC"/>
    <w:rsid w:val="00E919CE"/>
    <w:rsid w:val="00E955D3"/>
    <w:rsid w:val="00EC1214"/>
    <w:rsid w:val="00ED49F2"/>
    <w:rsid w:val="00F47288"/>
    <w:rsid w:val="00F773F2"/>
    <w:rsid w:val="00F9526C"/>
    <w:rsid w:val="00FA4EBB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8FDC"/>
  <w15:chartTrackingRefBased/>
  <w15:docId w15:val="{1FFABCE5-3DB2-407A-9E27-E687F91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E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11"/>
  </w:style>
  <w:style w:type="paragraph" w:styleId="Footer">
    <w:name w:val="footer"/>
    <w:basedOn w:val="Normal"/>
    <w:link w:val="FooterChar"/>
    <w:uiPriority w:val="99"/>
    <w:unhideWhenUsed/>
    <w:rsid w:val="00D3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41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2020-09-15T07:00:00+00:00</Remediation_x0020_Date>
  </documentManagement>
</p:properties>
</file>

<file path=customXml/itemProps1.xml><?xml version="1.0" encoding="utf-8"?>
<ds:datastoreItem xmlns:ds="http://schemas.openxmlformats.org/officeDocument/2006/customXml" ds:itemID="{337B646A-5483-441A-9932-4749C65A5765}"/>
</file>

<file path=customXml/itemProps2.xml><?xml version="1.0" encoding="utf-8"?>
<ds:datastoreItem xmlns:ds="http://schemas.openxmlformats.org/officeDocument/2006/customXml" ds:itemID="{E5DD7892-D63A-481D-8D58-878C5CACD408}"/>
</file>

<file path=customXml/itemProps3.xml><?xml version="1.0" encoding="utf-8"?>
<ds:datastoreItem xmlns:ds="http://schemas.openxmlformats.org/officeDocument/2006/customXml" ds:itemID="{E59E0C47-6C40-43E1-9D26-09AA359A1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RUDY Peter - ODE</cp:lastModifiedBy>
  <cp:revision>9</cp:revision>
  <cp:lastPrinted>2019-08-20T17:51:00Z</cp:lastPrinted>
  <dcterms:created xsi:type="dcterms:W3CDTF">2020-06-10T18:31:00Z</dcterms:created>
  <dcterms:modified xsi:type="dcterms:W3CDTF">2020-09-15T18:38:00Z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