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6A" w:rsidRDefault="001B0C6A">
      <w:pPr>
        <w:pStyle w:val="BodyText"/>
        <w:spacing w:before="5"/>
        <w:rPr>
          <w:rFonts w:ascii="Times New Roman"/>
          <w:b w:val="0"/>
          <w:sz w:val="9"/>
        </w:rPr>
      </w:pPr>
    </w:p>
    <w:p w:rsidR="001B0C6A" w:rsidRDefault="00450821">
      <w:pPr>
        <w:pStyle w:val="BodyText"/>
        <w:spacing w:before="44"/>
        <w:ind w:left="6560"/>
      </w:pPr>
      <w:r>
        <w:rPr>
          <w:noProof/>
          <w:lang w:bidi="ar-SA"/>
        </w:rPr>
        <w:drawing>
          <wp:anchor distT="0" distB="0" distL="0" distR="0" simplePos="0" relativeHeight="251658240" behindDoc="0" locked="0" layoutInCell="1" allowOverlap="1">
            <wp:simplePos x="0" y="0"/>
            <wp:positionH relativeFrom="page">
              <wp:posOffset>433070</wp:posOffset>
            </wp:positionH>
            <wp:positionV relativeFrom="paragraph">
              <wp:posOffset>-74325</wp:posOffset>
            </wp:positionV>
            <wp:extent cx="3017519" cy="5850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017519" cy="585098"/>
                    </a:xfrm>
                    <a:prstGeom prst="rect">
                      <a:avLst/>
                    </a:prstGeom>
                  </pic:spPr>
                </pic:pic>
              </a:graphicData>
            </a:graphic>
          </wp:anchor>
        </w:drawing>
      </w:r>
      <w:r>
        <w:t>State School Fund Committee Meeting</w:t>
      </w:r>
    </w:p>
    <w:p w:rsidR="001B0C6A" w:rsidRDefault="00450821">
      <w:pPr>
        <w:pStyle w:val="BodyText"/>
        <w:spacing w:before="1" w:line="341" w:lineRule="exact"/>
        <w:ind w:left="7673"/>
      </w:pPr>
      <w:r>
        <w:t>Monday, January 31, 2022</w:t>
      </w:r>
    </w:p>
    <w:p w:rsidR="001B0C6A" w:rsidRDefault="00450821">
      <w:pPr>
        <w:pStyle w:val="BodyText"/>
        <w:spacing w:line="341" w:lineRule="exact"/>
        <w:ind w:left="8059"/>
      </w:pPr>
      <w:r>
        <w:t xml:space="preserve">4:00 </w:t>
      </w:r>
      <w:r w:rsidR="00476BA5">
        <w:t>p</w:t>
      </w:r>
      <w:r>
        <w:t>m – 6:00 pm</w:t>
      </w:r>
    </w:p>
    <w:p w:rsidR="001B0C6A" w:rsidRDefault="001B0C6A">
      <w:pPr>
        <w:rPr>
          <w:b/>
          <w:sz w:val="20"/>
        </w:rPr>
      </w:pPr>
    </w:p>
    <w:tbl>
      <w:tblPr>
        <w:tblW w:w="0" w:type="auto"/>
        <w:tblInd w:w="27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4530"/>
        <w:gridCol w:w="6361"/>
      </w:tblGrid>
      <w:tr w:rsidR="001B0C6A">
        <w:trPr>
          <w:trHeight w:val="755"/>
        </w:trPr>
        <w:tc>
          <w:tcPr>
            <w:tcW w:w="4530" w:type="dxa"/>
            <w:tcBorders>
              <w:left w:val="thickThinMediumGap" w:sz="17" w:space="0" w:color="000000"/>
              <w:bottom w:val="single" w:sz="4" w:space="0" w:color="000000"/>
              <w:right w:val="single" w:sz="4" w:space="0" w:color="000000"/>
            </w:tcBorders>
            <w:shd w:val="clear" w:color="auto" w:fill="F3F3F3"/>
          </w:tcPr>
          <w:p w:rsidR="001B0C6A" w:rsidRDefault="00450821">
            <w:pPr>
              <w:pStyle w:val="TableParagraph"/>
              <w:spacing w:before="124"/>
              <w:ind w:left="1220"/>
              <w:rPr>
                <w:b/>
                <w:sz w:val="28"/>
              </w:rPr>
            </w:pPr>
            <w:bookmarkStart w:id="0" w:name="Topic_Description"/>
            <w:bookmarkEnd w:id="0"/>
            <w:r>
              <w:rPr>
                <w:b/>
                <w:sz w:val="28"/>
              </w:rPr>
              <w:t>Topic Description</w:t>
            </w:r>
          </w:p>
        </w:tc>
        <w:tc>
          <w:tcPr>
            <w:tcW w:w="6361" w:type="dxa"/>
            <w:tcBorders>
              <w:left w:val="single" w:sz="4" w:space="0" w:color="000000"/>
              <w:bottom w:val="single" w:sz="4" w:space="0" w:color="000000"/>
              <w:right w:val="thinThickMediumGap" w:sz="12" w:space="0" w:color="000000"/>
            </w:tcBorders>
            <w:shd w:val="clear" w:color="auto" w:fill="F3F3F3"/>
          </w:tcPr>
          <w:p w:rsidR="001B0C6A" w:rsidRDefault="00450821">
            <w:pPr>
              <w:pStyle w:val="TableParagraph"/>
              <w:spacing w:before="124"/>
              <w:ind w:left="2201" w:right="2104"/>
              <w:jc w:val="center"/>
              <w:rPr>
                <w:b/>
                <w:sz w:val="28"/>
              </w:rPr>
            </w:pPr>
            <w:bookmarkStart w:id="1" w:name="Discussion_Notes"/>
            <w:bookmarkEnd w:id="1"/>
            <w:r>
              <w:rPr>
                <w:b/>
                <w:sz w:val="28"/>
              </w:rPr>
              <w:t>Discussion Notes</w:t>
            </w:r>
          </w:p>
        </w:tc>
      </w:tr>
      <w:tr w:rsidR="001B0C6A" w:rsidTr="00207CFD">
        <w:trPr>
          <w:trHeight w:val="1080"/>
        </w:trPr>
        <w:tc>
          <w:tcPr>
            <w:tcW w:w="4530" w:type="dxa"/>
            <w:tcBorders>
              <w:top w:val="single" w:sz="4" w:space="0" w:color="000000"/>
              <w:left w:val="thickThinMediumGap" w:sz="17" w:space="0" w:color="000000"/>
              <w:bottom w:val="single" w:sz="4" w:space="0" w:color="000000"/>
              <w:right w:val="single" w:sz="4" w:space="0" w:color="000000"/>
            </w:tcBorders>
          </w:tcPr>
          <w:p w:rsidR="001B0C6A" w:rsidRDefault="00450821" w:rsidP="00210B3A">
            <w:pPr>
              <w:pStyle w:val="TableParagraph"/>
              <w:ind w:left="161"/>
            </w:pPr>
            <w:r>
              <w:rPr>
                <w:b/>
              </w:rPr>
              <w:t xml:space="preserve">1. </w:t>
            </w:r>
            <w:r w:rsidRPr="00885459">
              <w:rPr>
                <w:b/>
              </w:rPr>
              <w:t>Welcome</w:t>
            </w:r>
          </w:p>
          <w:p w:rsidR="00885459" w:rsidRDefault="00885459" w:rsidP="00210B3A">
            <w:pPr>
              <w:pStyle w:val="TableParagraph"/>
              <w:ind w:left="75" w:right="3540"/>
              <w:rPr>
                <w:i/>
              </w:rPr>
            </w:pPr>
          </w:p>
          <w:p w:rsidR="00210B3A" w:rsidRDefault="00210B3A" w:rsidP="00210B3A">
            <w:pPr>
              <w:pStyle w:val="TableParagraph"/>
              <w:ind w:left="75" w:right="3540"/>
              <w:rPr>
                <w:i/>
              </w:rPr>
            </w:pPr>
          </w:p>
          <w:p w:rsidR="00F86109" w:rsidRDefault="00F86109" w:rsidP="00F86109">
            <w:pPr>
              <w:pStyle w:val="TableParagraph"/>
              <w:ind w:left="75" w:right="3540"/>
              <w:rPr>
                <w:i/>
              </w:rPr>
            </w:pPr>
            <w:r>
              <w:rPr>
                <w:i/>
              </w:rPr>
              <w:t>(Cindy Hunt)</w:t>
            </w:r>
          </w:p>
          <w:p w:rsidR="001B0C6A" w:rsidRDefault="00450821" w:rsidP="00F86109">
            <w:pPr>
              <w:pStyle w:val="TableParagraph"/>
              <w:ind w:left="75" w:right="3540"/>
              <w:rPr>
                <w:i/>
              </w:rPr>
            </w:pPr>
            <w:r>
              <w:rPr>
                <w:i/>
              </w:rPr>
              <w:t>5 min.</w:t>
            </w:r>
          </w:p>
        </w:tc>
        <w:tc>
          <w:tcPr>
            <w:tcW w:w="6361" w:type="dxa"/>
            <w:tcBorders>
              <w:top w:val="single" w:sz="4" w:space="0" w:color="000000"/>
              <w:left w:val="single" w:sz="4" w:space="0" w:color="000000"/>
              <w:bottom w:val="single" w:sz="4" w:space="0" w:color="000000"/>
              <w:right w:val="thinThickMediumGap" w:sz="12" w:space="0" w:color="000000"/>
            </w:tcBorders>
          </w:tcPr>
          <w:p w:rsidR="001B0C6A" w:rsidRPr="00880DE5" w:rsidRDefault="00C1751C">
            <w:pPr>
              <w:pStyle w:val="TableParagraph"/>
              <w:rPr>
                <w:rFonts w:asciiTheme="minorHAnsi" w:hAnsiTheme="minorHAnsi" w:cstheme="minorHAnsi"/>
              </w:rPr>
            </w:pPr>
            <w:r w:rsidRPr="00880DE5">
              <w:rPr>
                <w:rFonts w:asciiTheme="minorHAnsi" w:hAnsiTheme="minorHAnsi" w:cstheme="minorHAnsi"/>
              </w:rPr>
              <w:t>Cindy Hunt opened the meeting and reviewed the Group Agreements.</w:t>
            </w:r>
          </w:p>
        </w:tc>
      </w:tr>
      <w:tr w:rsidR="001B0C6A">
        <w:trPr>
          <w:trHeight w:val="1415"/>
        </w:trPr>
        <w:tc>
          <w:tcPr>
            <w:tcW w:w="4530" w:type="dxa"/>
            <w:tcBorders>
              <w:top w:val="single" w:sz="4" w:space="0" w:color="000000"/>
              <w:left w:val="thickThinMediumGap" w:sz="17" w:space="0" w:color="000000"/>
              <w:bottom w:val="single" w:sz="4" w:space="0" w:color="000000"/>
              <w:right w:val="single" w:sz="4" w:space="0" w:color="000000"/>
            </w:tcBorders>
          </w:tcPr>
          <w:p w:rsidR="001B0C6A" w:rsidRDefault="00450821" w:rsidP="00210B3A">
            <w:pPr>
              <w:pStyle w:val="TableParagraph"/>
              <w:ind w:left="61"/>
            </w:pPr>
            <w:r>
              <w:rPr>
                <w:b/>
              </w:rPr>
              <w:t xml:space="preserve">2. </w:t>
            </w:r>
            <w:r w:rsidR="00505636">
              <w:rPr>
                <w:b/>
              </w:rPr>
              <w:t>Overview of English Learner weight and HB 3499</w:t>
            </w:r>
          </w:p>
          <w:p w:rsidR="00885459" w:rsidRDefault="00885459" w:rsidP="00210B3A">
            <w:pPr>
              <w:pStyle w:val="TableParagraph"/>
              <w:ind w:left="75" w:right="2882" w:hanging="1"/>
              <w:rPr>
                <w:i/>
              </w:rPr>
            </w:pPr>
          </w:p>
          <w:p w:rsidR="00885459" w:rsidRDefault="00505636" w:rsidP="00210B3A">
            <w:pPr>
              <w:pStyle w:val="TableParagraph"/>
              <w:ind w:left="75" w:right="2882" w:hanging="1"/>
              <w:rPr>
                <w:i/>
              </w:rPr>
            </w:pPr>
            <w:r>
              <w:rPr>
                <w:i/>
              </w:rPr>
              <w:t xml:space="preserve">(Mike </w:t>
            </w:r>
            <w:proofErr w:type="spellStart"/>
            <w:r>
              <w:rPr>
                <w:i/>
              </w:rPr>
              <w:t>Wiltfong</w:t>
            </w:r>
            <w:proofErr w:type="spellEnd"/>
            <w:r>
              <w:rPr>
                <w:i/>
              </w:rPr>
              <w:t xml:space="preserve"> </w:t>
            </w:r>
            <w:r w:rsidR="00885459">
              <w:rPr>
                <w:i/>
              </w:rPr>
              <w:t>a</w:t>
            </w:r>
            <w:r>
              <w:rPr>
                <w:i/>
              </w:rPr>
              <w:t xml:space="preserve">nd Mariana </w:t>
            </w:r>
            <w:proofErr w:type="spellStart"/>
            <w:r>
              <w:rPr>
                <w:i/>
              </w:rPr>
              <w:t>Praschnik-Enriquez</w:t>
            </w:r>
            <w:proofErr w:type="spellEnd"/>
            <w:r>
              <w:rPr>
                <w:i/>
              </w:rPr>
              <w:t xml:space="preserve"> </w:t>
            </w:r>
            <w:r w:rsidR="00450821">
              <w:rPr>
                <w:i/>
              </w:rPr>
              <w:t xml:space="preserve">) </w:t>
            </w:r>
          </w:p>
          <w:p w:rsidR="001B0C6A" w:rsidRDefault="00450821" w:rsidP="00210B3A">
            <w:pPr>
              <w:pStyle w:val="TableParagraph"/>
              <w:ind w:left="75" w:right="2882" w:hanging="1"/>
              <w:rPr>
                <w:i/>
              </w:rPr>
            </w:pPr>
            <w:r>
              <w:rPr>
                <w:i/>
              </w:rPr>
              <w:t>45 min</w:t>
            </w:r>
          </w:p>
        </w:tc>
        <w:tc>
          <w:tcPr>
            <w:tcW w:w="6361" w:type="dxa"/>
            <w:tcBorders>
              <w:top w:val="single" w:sz="4" w:space="0" w:color="000000"/>
              <w:left w:val="single" w:sz="4" w:space="0" w:color="000000"/>
              <w:bottom w:val="single" w:sz="4" w:space="0" w:color="000000"/>
              <w:right w:val="thinThickMediumGap" w:sz="12" w:space="0" w:color="000000"/>
            </w:tcBorders>
          </w:tcPr>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Mike Wiltfong went over EL weight and HB 3499 and fiscal information.  He clarified that systems have been improved and are now more robust than they were previously.  Mike reviewed different funding codes, as well as how earlier reports morphed into HB3499.</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 xml:space="preserve">Mariana provided more information and </w:t>
            </w:r>
            <w:r w:rsidR="00FA20B9" w:rsidRPr="00880DE5">
              <w:rPr>
                <w:rFonts w:asciiTheme="minorHAnsi" w:hAnsiTheme="minorHAnsi" w:cstheme="minorHAnsi"/>
              </w:rPr>
              <w:t xml:space="preserve">information on </w:t>
            </w:r>
            <w:r w:rsidRPr="00880DE5">
              <w:rPr>
                <w:rFonts w:asciiTheme="minorHAnsi" w:hAnsiTheme="minorHAnsi" w:cstheme="minorHAnsi"/>
              </w:rPr>
              <w:t>going forward.</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COSA:  The average school district in O</w:t>
            </w:r>
            <w:r w:rsidR="00FA20B9" w:rsidRPr="00880DE5">
              <w:rPr>
                <w:rFonts w:asciiTheme="minorHAnsi" w:hAnsiTheme="minorHAnsi" w:cstheme="minorHAnsi"/>
              </w:rPr>
              <w:t>regon spends 85%+ of their State S</w:t>
            </w:r>
            <w:r w:rsidRPr="00880DE5">
              <w:rPr>
                <w:rFonts w:asciiTheme="minorHAnsi" w:hAnsiTheme="minorHAnsi" w:cstheme="minorHAnsi"/>
              </w:rPr>
              <w:t xml:space="preserve">chool </w:t>
            </w:r>
            <w:r w:rsidR="00FA20B9" w:rsidRPr="00880DE5">
              <w:rPr>
                <w:rFonts w:asciiTheme="minorHAnsi" w:hAnsiTheme="minorHAnsi" w:cstheme="minorHAnsi"/>
              </w:rPr>
              <w:t>F</w:t>
            </w:r>
            <w:r w:rsidRPr="00880DE5">
              <w:rPr>
                <w:rFonts w:asciiTheme="minorHAnsi" w:hAnsiTheme="minorHAnsi" w:cstheme="minorHAnsi"/>
              </w:rPr>
              <w:t xml:space="preserve">und </w:t>
            </w:r>
            <w:r w:rsidR="00FA20B9" w:rsidRPr="00880DE5">
              <w:rPr>
                <w:rFonts w:asciiTheme="minorHAnsi" w:hAnsiTheme="minorHAnsi" w:cstheme="minorHAnsi"/>
              </w:rPr>
              <w:t xml:space="preserve">money </w:t>
            </w:r>
            <w:r w:rsidRPr="00880DE5">
              <w:rPr>
                <w:rFonts w:asciiTheme="minorHAnsi" w:hAnsiTheme="minorHAnsi" w:cstheme="minorHAnsi"/>
              </w:rPr>
              <w:t>on salaries and benefits...some districts are approaching 90%...</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I believe the state budget staff (DAS) use 86</w:t>
            </w:r>
            <w:r w:rsidR="00FA20B9" w:rsidRPr="00880DE5">
              <w:rPr>
                <w:rFonts w:asciiTheme="minorHAnsi" w:hAnsiTheme="minorHAnsi" w:cstheme="minorHAnsi"/>
              </w:rPr>
              <w:t xml:space="preserve"> </w:t>
            </w:r>
            <w:r w:rsidRPr="00880DE5">
              <w:rPr>
                <w:rFonts w:asciiTheme="minorHAnsi" w:hAnsiTheme="minorHAnsi" w:cstheme="minorHAnsi"/>
              </w:rPr>
              <w:t>or 87% percent when they calculate State School Fund current service level.</w:t>
            </w:r>
          </w:p>
          <w:p w:rsidR="00C1751C" w:rsidRPr="00880DE5" w:rsidRDefault="00C1751C" w:rsidP="00C1751C">
            <w:pPr>
              <w:pStyle w:val="TableParagraph"/>
              <w:rPr>
                <w:rFonts w:asciiTheme="minorHAnsi" w:hAnsiTheme="minorHAnsi" w:cstheme="minorHAnsi"/>
              </w:rPr>
            </w:pP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 xml:space="preserve">Carlos Sequeira:  Do you also provide the districts a way </w:t>
            </w:r>
            <w:r w:rsidR="00FA20B9" w:rsidRPr="00880DE5">
              <w:rPr>
                <w:rFonts w:asciiTheme="minorHAnsi" w:hAnsiTheme="minorHAnsi" w:cstheme="minorHAnsi"/>
              </w:rPr>
              <w:t>of</w:t>
            </w:r>
            <w:r w:rsidRPr="00880DE5">
              <w:rPr>
                <w:rFonts w:asciiTheme="minorHAnsi" w:hAnsiTheme="minorHAnsi" w:cstheme="minorHAnsi"/>
              </w:rPr>
              <w:t xml:space="preserve"> 'examining and applying culturally appropriate best practices," per the Bill's intent when the EL are not performing as well as their peers?</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 xml:space="preserve">Answer:  Yes.  We look at resources, monitoring progress and implementation.  We look at a making sure it is a systems approach. </w:t>
            </w:r>
            <w:r w:rsidR="00FA20B9" w:rsidRPr="00880DE5">
              <w:rPr>
                <w:rFonts w:asciiTheme="minorHAnsi" w:hAnsiTheme="minorHAnsi" w:cstheme="minorHAnsi"/>
              </w:rPr>
              <w:t>And n</w:t>
            </w:r>
            <w:r w:rsidRPr="00880DE5">
              <w:rPr>
                <w:rFonts w:asciiTheme="minorHAnsi" w:hAnsiTheme="minorHAnsi" w:cstheme="minorHAnsi"/>
              </w:rPr>
              <w:t xml:space="preserve">ot just approaches, but </w:t>
            </w:r>
            <w:r w:rsidR="00FA20B9" w:rsidRPr="00880DE5">
              <w:rPr>
                <w:rFonts w:asciiTheme="minorHAnsi" w:hAnsiTheme="minorHAnsi" w:cstheme="minorHAnsi"/>
              </w:rPr>
              <w:t xml:space="preserve">engaging </w:t>
            </w:r>
            <w:r w:rsidRPr="00880DE5">
              <w:rPr>
                <w:rFonts w:asciiTheme="minorHAnsi" w:hAnsiTheme="minorHAnsi" w:cstheme="minorHAnsi"/>
              </w:rPr>
              <w:t>parents and communities.</w:t>
            </w:r>
          </w:p>
          <w:p w:rsidR="00C1751C" w:rsidRPr="00880DE5" w:rsidRDefault="00C1751C" w:rsidP="00C1751C">
            <w:pPr>
              <w:pStyle w:val="TableParagraph"/>
              <w:rPr>
                <w:rFonts w:asciiTheme="minorHAnsi" w:hAnsiTheme="minorHAnsi" w:cstheme="minorHAnsi"/>
              </w:rPr>
            </w:pPr>
          </w:p>
          <w:p w:rsidR="00C1751C" w:rsidRPr="00880DE5" w:rsidRDefault="00FA20B9" w:rsidP="00C1751C">
            <w:pPr>
              <w:pStyle w:val="TableParagraph"/>
              <w:rPr>
                <w:rFonts w:asciiTheme="minorHAnsi" w:hAnsiTheme="minorHAnsi" w:cstheme="minorHAnsi"/>
              </w:rPr>
            </w:pPr>
            <w:r w:rsidRPr="00880DE5">
              <w:rPr>
                <w:rFonts w:asciiTheme="minorHAnsi" w:hAnsiTheme="minorHAnsi" w:cstheme="minorHAnsi"/>
              </w:rPr>
              <w:t xml:space="preserve">Q: </w:t>
            </w:r>
            <w:r w:rsidR="00C1751C" w:rsidRPr="00880DE5">
              <w:rPr>
                <w:rFonts w:asciiTheme="minorHAnsi" w:hAnsiTheme="minorHAnsi" w:cstheme="minorHAnsi"/>
              </w:rPr>
              <w:t>Do the personnel have to be connected to an ELL coded expenditure?</w:t>
            </w:r>
          </w:p>
          <w:p w:rsidR="00C1751C" w:rsidRPr="00880DE5" w:rsidRDefault="00FA20B9" w:rsidP="00C1751C">
            <w:pPr>
              <w:pStyle w:val="TableParagraph"/>
              <w:rPr>
                <w:rFonts w:asciiTheme="minorHAnsi" w:hAnsiTheme="minorHAnsi" w:cstheme="minorHAnsi"/>
              </w:rPr>
            </w:pPr>
            <w:r w:rsidRPr="00880DE5">
              <w:rPr>
                <w:rFonts w:asciiTheme="minorHAnsi" w:hAnsiTheme="minorHAnsi" w:cstheme="minorHAnsi"/>
              </w:rPr>
              <w:t xml:space="preserve">A: </w:t>
            </w:r>
            <w:r w:rsidR="00C1751C" w:rsidRPr="00880DE5">
              <w:rPr>
                <w:rFonts w:asciiTheme="minorHAnsi" w:hAnsiTheme="minorHAnsi" w:cstheme="minorHAnsi"/>
              </w:rPr>
              <w:t>I don’t know if the answer is more codes or better dir</w:t>
            </w:r>
            <w:r w:rsidRPr="00880DE5">
              <w:rPr>
                <w:rFonts w:asciiTheme="minorHAnsi" w:hAnsiTheme="minorHAnsi" w:cstheme="minorHAnsi"/>
              </w:rPr>
              <w:t>ectives.  An i</w:t>
            </w:r>
            <w:r w:rsidR="00C1751C" w:rsidRPr="00880DE5">
              <w:rPr>
                <w:rFonts w:asciiTheme="minorHAnsi" w:hAnsiTheme="minorHAnsi" w:cstheme="minorHAnsi"/>
              </w:rPr>
              <w:t xml:space="preserve">nclusive director might work with many different groups, not just EL  </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 xml:space="preserve">(Referred to slide 20)  For example, this is the level of data we can pull.  We have an additional conversation which allows us to access more detail.  </w:t>
            </w:r>
          </w:p>
          <w:p w:rsidR="00C1751C" w:rsidRPr="00880DE5" w:rsidRDefault="00C1751C" w:rsidP="00C1751C">
            <w:pPr>
              <w:pStyle w:val="TableParagraph"/>
              <w:rPr>
                <w:rFonts w:asciiTheme="minorHAnsi" w:hAnsiTheme="minorHAnsi" w:cstheme="minorHAnsi"/>
              </w:rPr>
            </w:pPr>
          </w:p>
          <w:p w:rsidR="00C1751C" w:rsidRPr="00880DE5" w:rsidRDefault="00FA20B9" w:rsidP="00C1751C">
            <w:pPr>
              <w:pStyle w:val="TableParagraph"/>
              <w:rPr>
                <w:rFonts w:asciiTheme="minorHAnsi" w:hAnsiTheme="minorHAnsi" w:cstheme="minorHAnsi"/>
              </w:rPr>
            </w:pPr>
            <w:r w:rsidRPr="00880DE5">
              <w:rPr>
                <w:rFonts w:asciiTheme="minorHAnsi" w:hAnsiTheme="minorHAnsi" w:cstheme="minorHAnsi"/>
              </w:rPr>
              <w:t xml:space="preserve">Q: </w:t>
            </w:r>
            <w:r w:rsidR="00C1751C" w:rsidRPr="00880DE5">
              <w:rPr>
                <w:rFonts w:asciiTheme="minorHAnsi" w:hAnsiTheme="minorHAnsi" w:cstheme="minorHAnsi"/>
              </w:rPr>
              <w:t xml:space="preserve">Is there </w:t>
            </w:r>
            <w:r w:rsidR="00EB2C27" w:rsidRPr="00880DE5">
              <w:rPr>
                <w:rFonts w:asciiTheme="minorHAnsi" w:hAnsiTheme="minorHAnsi" w:cstheme="minorHAnsi"/>
              </w:rPr>
              <w:t>a connection of this team with</w:t>
            </w:r>
            <w:r w:rsidR="00C1751C" w:rsidRPr="00880DE5">
              <w:rPr>
                <w:rFonts w:asciiTheme="minorHAnsi" w:hAnsiTheme="minorHAnsi" w:cstheme="minorHAnsi"/>
              </w:rPr>
              <w:t xml:space="preserve"> the teaching and learning department? (The DEI department.)  Is the model one of collaboration </w:t>
            </w:r>
            <w:r w:rsidR="00C1751C" w:rsidRPr="00880DE5">
              <w:rPr>
                <w:rFonts w:asciiTheme="minorHAnsi" w:hAnsiTheme="minorHAnsi" w:cstheme="minorHAnsi"/>
              </w:rPr>
              <w:lastRenderedPageBreak/>
              <w:t xml:space="preserve">between DEI personnel with “regular education”?  </w:t>
            </w:r>
          </w:p>
          <w:p w:rsidR="00C1751C" w:rsidRPr="00880DE5" w:rsidRDefault="00FA20B9" w:rsidP="00C1751C">
            <w:pPr>
              <w:pStyle w:val="TableParagraph"/>
              <w:rPr>
                <w:rFonts w:asciiTheme="minorHAnsi" w:hAnsiTheme="minorHAnsi" w:cstheme="minorHAnsi"/>
              </w:rPr>
            </w:pPr>
            <w:r w:rsidRPr="00880DE5">
              <w:rPr>
                <w:rFonts w:asciiTheme="minorHAnsi" w:hAnsiTheme="minorHAnsi" w:cstheme="minorHAnsi"/>
              </w:rPr>
              <w:t xml:space="preserve">A: </w:t>
            </w:r>
            <w:r w:rsidR="00C1751C" w:rsidRPr="00880DE5">
              <w:rPr>
                <w:rFonts w:asciiTheme="minorHAnsi" w:hAnsiTheme="minorHAnsi" w:cstheme="minorHAnsi"/>
              </w:rPr>
              <w:t xml:space="preserve">Yes, we grounded our needs assessment and this is the ORIS framework.  When districts consider what systemic implementations to put in place, we ask what systemic interventions they already have in place.  </w:t>
            </w:r>
          </w:p>
          <w:p w:rsidR="00C1751C" w:rsidRPr="00880DE5" w:rsidRDefault="00C1751C" w:rsidP="00C1751C">
            <w:pPr>
              <w:pStyle w:val="NormalWeb"/>
              <w:spacing w:before="246" w:beforeAutospacing="0" w:after="0" w:afterAutospacing="0"/>
              <w:ind w:right="35"/>
              <w:textAlignment w:val="baseline"/>
              <w:rPr>
                <w:rFonts w:asciiTheme="minorHAnsi" w:hAnsiTheme="minorHAnsi" w:cstheme="minorHAnsi"/>
                <w:color w:val="000000"/>
                <w:sz w:val="22"/>
                <w:szCs w:val="22"/>
              </w:rPr>
            </w:pPr>
            <w:r w:rsidRPr="00880DE5">
              <w:rPr>
                <w:rFonts w:asciiTheme="minorHAnsi" w:hAnsiTheme="minorHAnsi" w:cstheme="minorHAnsi"/>
                <w:color w:val="000000"/>
                <w:sz w:val="22"/>
                <w:szCs w:val="22"/>
              </w:rPr>
              <w:t xml:space="preserve">The OAR </w:t>
            </w:r>
            <w:r w:rsidRPr="00880DE5">
              <w:rPr>
                <w:rFonts w:asciiTheme="minorHAnsi" w:hAnsiTheme="minorHAnsi" w:cstheme="minorHAnsi"/>
                <w:color w:val="1155CC"/>
                <w:sz w:val="22"/>
                <w:szCs w:val="22"/>
                <w:u w:val="single"/>
              </w:rPr>
              <w:t>581-020-0621</w:t>
            </w:r>
            <w:r w:rsidRPr="00880DE5">
              <w:rPr>
                <w:rFonts w:asciiTheme="minorHAnsi" w:hAnsiTheme="minorHAnsi" w:cstheme="minorHAnsi"/>
                <w:color w:val="000000"/>
                <w:sz w:val="22"/>
                <w:szCs w:val="22"/>
              </w:rPr>
              <w:t>, which regulates district expenditure of moneys for ELL district and school improvement was revised in May 2020 to clarify the metrics of progress and evaluation process. </w:t>
            </w:r>
          </w:p>
          <w:p w:rsidR="00C1751C" w:rsidRPr="00880DE5" w:rsidRDefault="00C1751C" w:rsidP="00C1751C">
            <w:pPr>
              <w:pStyle w:val="NormalWeb"/>
              <w:spacing w:before="246" w:beforeAutospacing="0" w:after="0" w:afterAutospacing="0"/>
              <w:ind w:right="35"/>
              <w:textAlignment w:val="baseline"/>
              <w:rPr>
                <w:rFonts w:asciiTheme="minorHAnsi" w:hAnsiTheme="minorHAnsi" w:cstheme="minorHAnsi"/>
                <w:color w:val="000000"/>
                <w:sz w:val="22"/>
                <w:szCs w:val="22"/>
              </w:rPr>
            </w:pPr>
            <w:r w:rsidRPr="00880DE5">
              <w:rPr>
                <w:rFonts w:asciiTheme="minorHAnsi" w:hAnsiTheme="minorHAnsi" w:cstheme="minorHAnsi"/>
                <w:color w:val="000000"/>
                <w:sz w:val="22"/>
                <w:szCs w:val="22"/>
              </w:rPr>
              <w:t xml:space="preserve">We engaged the EL Community.  </w:t>
            </w:r>
          </w:p>
          <w:p w:rsidR="00C1751C" w:rsidRPr="00880DE5" w:rsidRDefault="00C1751C" w:rsidP="00C1751C">
            <w:pPr>
              <w:pStyle w:val="NormalWeb"/>
              <w:spacing w:before="246" w:beforeAutospacing="0" w:after="0" w:afterAutospacing="0"/>
              <w:ind w:right="35"/>
              <w:textAlignment w:val="baseline"/>
              <w:rPr>
                <w:rFonts w:asciiTheme="minorHAnsi" w:hAnsiTheme="minorHAnsi" w:cstheme="minorHAnsi"/>
                <w:color w:val="000000"/>
                <w:sz w:val="22"/>
                <w:szCs w:val="22"/>
              </w:rPr>
            </w:pPr>
            <w:r w:rsidRPr="00880DE5">
              <w:rPr>
                <w:rFonts w:asciiTheme="minorHAnsi" w:hAnsiTheme="minorHAnsi" w:cstheme="minorHAnsi"/>
                <w:color w:val="000000"/>
                <w:sz w:val="22"/>
                <w:szCs w:val="22"/>
              </w:rPr>
              <w:t xml:space="preserve">Sometimes coding is the difference in expenditures.  </w:t>
            </w:r>
          </w:p>
          <w:p w:rsidR="00C1751C" w:rsidRPr="00880DE5" w:rsidRDefault="00C1751C" w:rsidP="00C1751C">
            <w:pPr>
              <w:pStyle w:val="NormalWeb"/>
              <w:spacing w:before="246" w:beforeAutospacing="0" w:after="0" w:afterAutospacing="0"/>
              <w:ind w:right="35"/>
              <w:textAlignment w:val="baseline"/>
              <w:rPr>
                <w:rFonts w:asciiTheme="minorHAnsi" w:hAnsiTheme="minorHAnsi" w:cstheme="minorHAnsi"/>
                <w:color w:val="000000"/>
                <w:sz w:val="22"/>
                <w:szCs w:val="22"/>
              </w:rPr>
            </w:pPr>
            <w:r w:rsidRPr="00880DE5">
              <w:rPr>
                <w:rFonts w:asciiTheme="minorHAnsi" w:hAnsiTheme="minorHAnsi" w:cstheme="minorHAnsi"/>
                <w:color w:val="000000"/>
                <w:sz w:val="22"/>
                <w:szCs w:val="22"/>
              </w:rPr>
              <w:t>The coding is consistent but sometimes the way the coding is used is not consistent.  Districts that consistently spend more than 100% are typically immersion programs.  They may not pro-rate.  There is a lot of turnover and it is not a perfect system. If a dual language program serves half EL and half non EL students, it should be pro-rated.</w:t>
            </w:r>
          </w:p>
          <w:p w:rsidR="00C1751C" w:rsidRPr="00880DE5" w:rsidRDefault="00C1751C" w:rsidP="00C1751C">
            <w:pPr>
              <w:pStyle w:val="NormalWeb"/>
              <w:spacing w:before="246" w:beforeAutospacing="0" w:after="0" w:afterAutospacing="0"/>
              <w:ind w:right="35"/>
              <w:textAlignment w:val="baseline"/>
              <w:rPr>
                <w:rFonts w:asciiTheme="minorHAnsi" w:hAnsiTheme="minorHAnsi" w:cstheme="minorHAnsi"/>
                <w:color w:val="000000"/>
                <w:sz w:val="22"/>
                <w:szCs w:val="22"/>
              </w:rPr>
            </w:pPr>
            <w:r w:rsidRPr="00880DE5">
              <w:rPr>
                <w:rFonts w:asciiTheme="minorHAnsi" w:hAnsiTheme="minorHAnsi" w:cstheme="minorHAnsi"/>
                <w:color w:val="000000"/>
                <w:sz w:val="22"/>
                <w:szCs w:val="22"/>
              </w:rPr>
              <w:t>EL is one of the biggest weights, and it also has garnered a lot of attention.</w:t>
            </w:r>
          </w:p>
          <w:p w:rsidR="001B0C6A" w:rsidRPr="00880DE5" w:rsidRDefault="001B0C6A" w:rsidP="00210B3A">
            <w:pPr>
              <w:pStyle w:val="TableParagraph"/>
              <w:rPr>
                <w:rFonts w:asciiTheme="minorHAnsi" w:hAnsiTheme="minorHAnsi" w:cstheme="minorHAnsi"/>
              </w:rPr>
            </w:pPr>
          </w:p>
        </w:tc>
      </w:tr>
      <w:tr w:rsidR="00C1751C" w:rsidTr="00207CFD">
        <w:trPr>
          <w:trHeight w:val="1350"/>
        </w:trPr>
        <w:tc>
          <w:tcPr>
            <w:tcW w:w="4530" w:type="dxa"/>
            <w:tcBorders>
              <w:top w:val="single" w:sz="4" w:space="0" w:color="000000"/>
              <w:left w:val="thickThinMediumGap" w:sz="17" w:space="0" w:color="000000"/>
              <w:bottom w:val="single" w:sz="4" w:space="0" w:color="000000"/>
              <w:right w:val="single" w:sz="4" w:space="0" w:color="000000"/>
            </w:tcBorders>
          </w:tcPr>
          <w:p w:rsidR="00C1751C" w:rsidRDefault="00C1751C" w:rsidP="00C1751C">
            <w:pPr>
              <w:pStyle w:val="TableParagraph"/>
              <w:spacing w:before="72"/>
              <w:ind w:left="61"/>
              <w:rPr>
                <w:i/>
              </w:rPr>
            </w:pPr>
            <w:r>
              <w:rPr>
                <w:b/>
              </w:rPr>
              <w:lastRenderedPageBreak/>
              <w:t>3. Small group discussion on English Learner presentation</w:t>
            </w:r>
          </w:p>
          <w:p w:rsidR="00C1751C" w:rsidRDefault="00C1751C" w:rsidP="00C1751C">
            <w:pPr>
              <w:pStyle w:val="TableParagraph"/>
              <w:spacing w:before="1"/>
              <w:rPr>
                <w:i/>
              </w:rPr>
            </w:pPr>
          </w:p>
          <w:p w:rsidR="00C1751C" w:rsidRDefault="00C1751C" w:rsidP="00C1751C">
            <w:pPr>
              <w:pStyle w:val="TableParagraph"/>
              <w:spacing w:before="1"/>
              <w:rPr>
                <w:i/>
              </w:rPr>
            </w:pPr>
          </w:p>
          <w:p w:rsidR="00C1751C" w:rsidRDefault="00C1751C" w:rsidP="00C1751C">
            <w:pPr>
              <w:pStyle w:val="TableParagraph"/>
              <w:spacing w:before="1"/>
              <w:rPr>
                <w:i/>
              </w:rPr>
            </w:pPr>
          </w:p>
          <w:p w:rsidR="00C1751C" w:rsidRDefault="00C1751C" w:rsidP="00C1751C">
            <w:pPr>
              <w:pStyle w:val="TableParagraph"/>
              <w:spacing w:before="1"/>
              <w:ind w:left="75"/>
              <w:rPr>
                <w:i/>
              </w:rPr>
            </w:pPr>
            <w:r>
              <w:rPr>
                <w:i/>
              </w:rPr>
              <w:t>20 min</w:t>
            </w:r>
          </w:p>
        </w:tc>
        <w:tc>
          <w:tcPr>
            <w:tcW w:w="6361" w:type="dxa"/>
            <w:tcBorders>
              <w:top w:val="single" w:sz="4" w:space="0" w:color="000000"/>
              <w:left w:val="single" w:sz="4" w:space="0" w:color="000000"/>
              <w:bottom w:val="single" w:sz="4" w:space="0" w:color="000000"/>
              <w:right w:val="thinThickMediumGap" w:sz="12" w:space="0" w:color="000000"/>
            </w:tcBorders>
          </w:tcPr>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Mariana and Josh Rew will facilitate Ben Bowman’s group.</w:t>
            </w:r>
          </w:p>
          <w:p w:rsidR="00C1751C" w:rsidRPr="00880DE5" w:rsidRDefault="00C1751C" w:rsidP="00C1751C">
            <w:pPr>
              <w:pStyle w:val="TableParagraph"/>
              <w:rPr>
                <w:rFonts w:asciiTheme="minorHAnsi" w:hAnsiTheme="minorHAnsi" w:cstheme="minorHAnsi"/>
              </w:rPr>
            </w:pPr>
          </w:p>
        </w:tc>
      </w:tr>
      <w:tr w:rsidR="00C1751C">
        <w:trPr>
          <w:trHeight w:val="846"/>
        </w:trPr>
        <w:tc>
          <w:tcPr>
            <w:tcW w:w="4530" w:type="dxa"/>
            <w:tcBorders>
              <w:top w:val="single" w:sz="4" w:space="0" w:color="000000"/>
              <w:left w:val="thickThinMediumGap" w:sz="17" w:space="0" w:color="000000"/>
              <w:bottom w:val="single" w:sz="4" w:space="0" w:color="000000"/>
              <w:right w:val="single" w:sz="4" w:space="0" w:color="000000"/>
            </w:tcBorders>
          </w:tcPr>
          <w:p w:rsidR="00C1751C" w:rsidRDefault="00C1751C" w:rsidP="00C1751C">
            <w:pPr>
              <w:pStyle w:val="TableParagraph"/>
              <w:spacing w:before="1"/>
              <w:ind w:left="75"/>
            </w:pPr>
            <w:r>
              <w:t>Break</w:t>
            </w:r>
          </w:p>
          <w:p w:rsidR="00C1751C" w:rsidRDefault="00C1751C" w:rsidP="00C1751C">
            <w:pPr>
              <w:pStyle w:val="TableParagraph"/>
              <w:spacing w:before="10"/>
              <w:rPr>
                <w:b/>
                <w:sz w:val="21"/>
              </w:rPr>
            </w:pPr>
          </w:p>
          <w:p w:rsidR="00C1751C" w:rsidRDefault="00C1751C" w:rsidP="00C1751C">
            <w:pPr>
              <w:pStyle w:val="TableParagraph"/>
              <w:ind w:left="75"/>
              <w:rPr>
                <w:i/>
              </w:rPr>
            </w:pPr>
            <w:r>
              <w:rPr>
                <w:i/>
              </w:rPr>
              <w:t>5 min.</w:t>
            </w:r>
          </w:p>
        </w:tc>
        <w:tc>
          <w:tcPr>
            <w:tcW w:w="6361" w:type="dxa"/>
            <w:tcBorders>
              <w:top w:val="single" w:sz="4" w:space="0" w:color="000000"/>
              <w:left w:val="single" w:sz="4" w:space="0" w:color="000000"/>
              <w:bottom w:val="single" w:sz="4" w:space="0" w:color="000000"/>
              <w:right w:val="thinThickMediumGap" w:sz="12" w:space="0" w:color="000000"/>
            </w:tcBorders>
          </w:tcPr>
          <w:p w:rsidR="00C1751C" w:rsidRPr="00880DE5" w:rsidRDefault="00C1751C" w:rsidP="00C1751C">
            <w:pPr>
              <w:pStyle w:val="TableParagraph"/>
              <w:rPr>
                <w:rFonts w:asciiTheme="minorHAnsi" w:hAnsiTheme="minorHAnsi" w:cstheme="minorHAnsi"/>
              </w:rPr>
            </w:pPr>
          </w:p>
        </w:tc>
      </w:tr>
      <w:tr w:rsidR="00C1751C" w:rsidTr="00207CFD">
        <w:trPr>
          <w:trHeight w:val="963"/>
        </w:trPr>
        <w:tc>
          <w:tcPr>
            <w:tcW w:w="4530" w:type="dxa"/>
            <w:tcBorders>
              <w:top w:val="single" w:sz="4" w:space="0" w:color="000000"/>
              <w:left w:val="thickThinMediumGap" w:sz="17" w:space="0" w:color="000000"/>
              <w:bottom w:val="single" w:sz="4" w:space="0" w:color="000000"/>
              <w:right w:val="single" w:sz="4" w:space="0" w:color="000000"/>
            </w:tcBorders>
          </w:tcPr>
          <w:p w:rsidR="00C1751C" w:rsidRPr="00885459" w:rsidRDefault="00C1751C" w:rsidP="00C1751C">
            <w:pPr>
              <w:pStyle w:val="TableParagraph"/>
              <w:spacing w:line="260" w:lineRule="exact"/>
              <w:ind w:left="75"/>
              <w:rPr>
                <w:rFonts w:asciiTheme="minorHAnsi" w:hAnsiTheme="minorHAnsi" w:cstheme="minorHAnsi"/>
                <w:i/>
              </w:rPr>
            </w:pPr>
            <w:r w:rsidRPr="00885459">
              <w:rPr>
                <w:rFonts w:asciiTheme="minorHAnsi" w:hAnsiTheme="minorHAnsi" w:cstheme="minorHAnsi"/>
                <w:b/>
              </w:rPr>
              <w:t xml:space="preserve">5. Small group </w:t>
            </w:r>
            <w:r>
              <w:rPr>
                <w:rFonts w:asciiTheme="minorHAnsi" w:hAnsiTheme="minorHAnsi" w:cstheme="minorHAnsi"/>
                <w:b/>
              </w:rPr>
              <w:t>report out</w:t>
            </w:r>
          </w:p>
          <w:p w:rsidR="00C1751C" w:rsidRDefault="00C1751C" w:rsidP="00C1751C">
            <w:pPr>
              <w:pStyle w:val="TableParagraph"/>
              <w:spacing w:line="255" w:lineRule="exact"/>
              <w:ind w:left="75"/>
              <w:rPr>
                <w:i/>
              </w:rPr>
            </w:pPr>
          </w:p>
          <w:p w:rsidR="00C1751C" w:rsidRDefault="00C1751C" w:rsidP="00C1751C">
            <w:pPr>
              <w:pStyle w:val="TableParagraph"/>
              <w:spacing w:line="255" w:lineRule="exact"/>
              <w:ind w:left="75"/>
              <w:rPr>
                <w:i/>
              </w:rPr>
            </w:pPr>
          </w:p>
          <w:p w:rsidR="00C1751C" w:rsidRDefault="00C1751C" w:rsidP="00C1751C">
            <w:pPr>
              <w:pStyle w:val="TableParagraph"/>
              <w:spacing w:line="255" w:lineRule="exact"/>
              <w:ind w:left="75"/>
              <w:rPr>
                <w:i/>
              </w:rPr>
            </w:pPr>
            <w:r>
              <w:rPr>
                <w:i/>
              </w:rPr>
              <w:t>20 min</w:t>
            </w:r>
          </w:p>
        </w:tc>
        <w:tc>
          <w:tcPr>
            <w:tcW w:w="6361" w:type="dxa"/>
            <w:tcBorders>
              <w:top w:val="single" w:sz="4" w:space="0" w:color="000000"/>
              <w:left w:val="single" w:sz="4" w:space="0" w:color="000000"/>
              <w:bottom w:val="single" w:sz="4" w:space="0" w:color="000000"/>
              <w:right w:val="thinThickMediumGap" w:sz="12" w:space="0" w:color="000000"/>
            </w:tcBorders>
          </w:tcPr>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Group 4:  What obs</w:t>
            </w:r>
            <w:r w:rsidR="00880DE5" w:rsidRPr="00880DE5">
              <w:rPr>
                <w:rFonts w:asciiTheme="minorHAnsi" w:hAnsiTheme="minorHAnsi" w:cstheme="minorHAnsi"/>
              </w:rPr>
              <w:t>ervations</w:t>
            </w:r>
            <w:r w:rsidRPr="00880DE5">
              <w:rPr>
                <w:rFonts w:asciiTheme="minorHAnsi" w:hAnsiTheme="minorHAnsi" w:cstheme="minorHAnsi"/>
              </w:rPr>
              <w:t xml:space="preserve"> do you have regarding EL weight and what lingering questions do you have?</w:t>
            </w:r>
          </w:p>
          <w:p w:rsidR="00880DE5"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Q:  </w:t>
            </w:r>
            <w:r w:rsidR="00C1751C" w:rsidRPr="00880DE5">
              <w:rPr>
                <w:rFonts w:asciiTheme="minorHAnsi" w:hAnsiTheme="minorHAnsi" w:cstheme="minorHAnsi"/>
              </w:rPr>
              <w:t xml:space="preserve">What percentage are EL? </w:t>
            </w:r>
          </w:p>
          <w:p w:rsidR="00880DE5"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A:  </w:t>
            </w:r>
            <w:r w:rsidR="00C1751C" w:rsidRPr="00880DE5">
              <w:rPr>
                <w:rFonts w:asciiTheme="minorHAnsi" w:hAnsiTheme="minorHAnsi" w:cstheme="minorHAnsi"/>
              </w:rPr>
              <w:t xml:space="preserve">8%.  40% are BIPOC.  </w:t>
            </w:r>
          </w:p>
          <w:p w:rsidR="00880DE5"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Q:  </w:t>
            </w:r>
            <w:r w:rsidR="00C1751C" w:rsidRPr="00880DE5">
              <w:rPr>
                <w:rFonts w:asciiTheme="minorHAnsi" w:hAnsiTheme="minorHAnsi" w:cstheme="minorHAnsi"/>
              </w:rPr>
              <w:t>How did we arrive at that weight?</w:t>
            </w:r>
          </w:p>
          <w:p w:rsidR="00880DE5"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A: </w:t>
            </w:r>
            <w:r w:rsidR="00C1751C" w:rsidRPr="00880DE5">
              <w:rPr>
                <w:rFonts w:asciiTheme="minorHAnsi" w:hAnsiTheme="minorHAnsi" w:cstheme="minorHAnsi"/>
              </w:rPr>
              <w:t xml:space="preserve"> It is .5.  I don’t know how they arrived at .5.  </w:t>
            </w:r>
          </w:p>
          <w:p w:rsidR="00C1751C"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Q:  </w:t>
            </w:r>
            <w:r w:rsidR="00C1751C" w:rsidRPr="00880DE5">
              <w:rPr>
                <w:rFonts w:asciiTheme="minorHAnsi" w:hAnsiTheme="minorHAnsi" w:cstheme="minorHAnsi"/>
              </w:rPr>
              <w:t>Where is funding for Black student</w:t>
            </w:r>
            <w:r w:rsidRPr="00880DE5">
              <w:rPr>
                <w:rFonts w:asciiTheme="minorHAnsi" w:hAnsiTheme="minorHAnsi" w:cstheme="minorHAnsi"/>
              </w:rPr>
              <w:t>s who are</w:t>
            </w:r>
            <w:r w:rsidR="00C1751C" w:rsidRPr="00880DE5">
              <w:rPr>
                <w:rFonts w:asciiTheme="minorHAnsi" w:hAnsiTheme="minorHAnsi" w:cstheme="minorHAnsi"/>
              </w:rPr>
              <w:t xml:space="preserve"> not in another group?</w:t>
            </w:r>
          </w:p>
          <w:p w:rsidR="00880DE5"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A:  </w:t>
            </w:r>
            <w:r w:rsidR="00C1751C" w:rsidRPr="00880DE5">
              <w:rPr>
                <w:rFonts w:asciiTheme="minorHAnsi" w:hAnsiTheme="minorHAnsi" w:cstheme="minorHAnsi"/>
              </w:rPr>
              <w:t>They are calculated in general student weight.  Over $200 mil</w:t>
            </w:r>
            <w:r w:rsidRPr="00880DE5">
              <w:rPr>
                <w:rFonts w:asciiTheme="minorHAnsi" w:hAnsiTheme="minorHAnsi" w:cstheme="minorHAnsi"/>
              </w:rPr>
              <w:t>lion</w:t>
            </w:r>
            <w:r w:rsidR="00C1751C" w:rsidRPr="00880DE5">
              <w:rPr>
                <w:rFonts w:asciiTheme="minorHAnsi" w:hAnsiTheme="minorHAnsi" w:cstheme="minorHAnsi"/>
              </w:rPr>
              <w:t xml:space="preserve"> goes to districts to support the needs of EL students.  </w:t>
            </w:r>
          </w:p>
          <w:p w:rsidR="00C1751C" w:rsidRPr="00880DE5" w:rsidRDefault="00880DE5" w:rsidP="00C1751C">
            <w:pPr>
              <w:pStyle w:val="TableParagraph"/>
              <w:rPr>
                <w:rFonts w:asciiTheme="minorHAnsi" w:hAnsiTheme="minorHAnsi" w:cstheme="minorHAnsi"/>
              </w:rPr>
            </w:pPr>
            <w:r w:rsidRPr="00880DE5">
              <w:rPr>
                <w:rFonts w:asciiTheme="minorHAnsi" w:hAnsiTheme="minorHAnsi" w:cstheme="minorHAnsi"/>
              </w:rPr>
              <w:t xml:space="preserve">Other questions which were generated:  </w:t>
            </w:r>
            <w:r w:rsidR="00C1751C" w:rsidRPr="00880DE5">
              <w:rPr>
                <w:rFonts w:asciiTheme="minorHAnsi" w:hAnsiTheme="minorHAnsi" w:cstheme="minorHAnsi"/>
              </w:rPr>
              <w:t>Has there been success with the EL program?  What is status of districts needing assistance?  Are we sharing success with othe</w:t>
            </w:r>
            <w:r w:rsidRPr="00880DE5">
              <w:rPr>
                <w:rFonts w:asciiTheme="minorHAnsi" w:hAnsiTheme="minorHAnsi" w:cstheme="minorHAnsi"/>
              </w:rPr>
              <w:t>r districts?  Can you use race a</w:t>
            </w:r>
            <w:r w:rsidR="00C1751C" w:rsidRPr="00880DE5">
              <w:rPr>
                <w:rFonts w:asciiTheme="minorHAnsi" w:hAnsiTheme="minorHAnsi" w:cstheme="minorHAnsi"/>
              </w:rPr>
              <w:t>s a funding category?  Do other states use race as a category?</w:t>
            </w:r>
          </w:p>
          <w:p w:rsidR="00C1751C" w:rsidRPr="00880DE5" w:rsidRDefault="00C1751C" w:rsidP="00C1751C">
            <w:pPr>
              <w:pStyle w:val="TableParagraph"/>
              <w:rPr>
                <w:rFonts w:asciiTheme="minorHAnsi" w:hAnsiTheme="minorHAnsi" w:cstheme="minorHAnsi"/>
              </w:rPr>
            </w:pP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Group 3:  HB</w:t>
            </w:r>
            <w:r w:rsidR="00880DE5" w:rsidRPr="00880DE5">
              <w:rPr>
                <w:rFonts w:asciiTheme="minorHAnsi" w:hAnsiTheme="minorHAnsi" w:cstheme="minorHAnsi"/>
              </w:rPr>
              <w:t xml:space="preserve"> </w:t>
            </w:r>
            <w:r w:rsidRPr="00880DE5">
              <w:rPr>
                <w:rFonts w:asciiTheme="minorHAnsi" w:hAnsiTheme="minorHAnsi" w:cstheme="minorHAnsi"/>
              </w:rPr>
              <w:t xml:space="preserve">3499 was not designed to be punitive; it was designed to </w:t>
            </w:r>
            <w:r w:rsidRPr="00880DE5">
              <w:rPr>
                <w:rFonts w:asciiTheme="minorHAnsi" w:hAnsiTheme="minorHAnsi" w:cstheme="minorHAnsi"/>
              </w:rPr>
              <w:lastRenderedPageBreak/>
              <w:t xml:space="preserve">identify how to serve EL students.  It is not designed to take away funding.  Defining economically disadvantage and poverty.  </w:t>
            </w:r>
            <w:r w:rsidR="00880DE5" w:rsidRPr="00880DE5">
              <w:rPr>
                <w:rFonts w:asciiTheme="minorHAnsi" w:hAnsiTheme="minorHAnsi" w:cstheme="minorHAnsi"/>
              </w:rPr>
              <w:t>We are looking at c</w:t>
            </w:r>
            <w:r w:rsidRPr="00880DE5">
              <w:rPr>
                <w:rFonts w:asciiTheme="minorHAnsi" w:hAnsiTheme="minorHAnsi" w:cstheme="minorHAnsi"/>
              </w:rPr>
              <w:t>onsistency regarding codes, clear guidance and expectations, possible solution</w:t>
            </w:r>
            <w:r w:rsidR="00880DE5" w:rsidRPr="00880DE5">
              <w:rPr>
                <w:rFonts w:asciiTheme="minorHAnsi" w:hAnsiTheme="minorHAnsi" w:cstheme="minorHAnsi"/>
              </w:rPr>
              <w:t>s</w:t>
            </w:r>
            <w:r w:rsidRPr="00880DE5">
              <w:rPr>
                <w:rFonts w:asciiTheme="minorHAnsi" w:hAnsiTheme="minorHAnsi" w:cstheme="minorHAnsi"/>
              </w:rPr>
              <w:t xml:space="preserve">.  </w:t>
            </w:r>
            <w:r w:rsidR="00880DE5" w:rsidRPr="00880DE5">
              <w:rPr>
                <w:rFonts w:asciiTheme="minorHAnsi" w:hAnsiTheme="minorHAnsi" w:cstheme="minorHAnsi"/>
              </w:rPr>
              <w:t>The focus is on m</w:t>
            </w:r>
            <w:r w:rsidRPr="00880DE5">
              <w:rPr>
                <w:rFonts w:asciiTheme="minorHAnsi" w:hAnsiTheme="minorHAnsi" w:cstheme="minorHAnsi"/>
              </w:rPr>
              <w:t>eeting the needs of BIPOC, Tribal and Indigenous students.</w:t>
            </w:r>
          </w:p>
          <w:p w:rsidR="00C1751C" w:rsidRPr="00880DE5" w:rsidRDefault="00C1751C" w:rsidP="00C1751C">
            <w:pPr>
              <w:pStyle w:val="TableParagraph"/>
              <w:rPr>
                <w:rFonts w:asciiTheme="minorHAnsi" w:hAnsiTheme="minorHAnsi" w:cstheme="minorHAnsi"/>
              </w:rPr>
            </w:pPr>
          </w:p>
          <w:p w:rsidR="005A524D" w:rsidRDefault="00C1751C" w:rsidP="005A524D">
            <w:pPr>
              <w:pStyle w:val="TableParagraph"/>
              <w:rPr>
                <w:rFonts w:asciiTheme="minorHAnsi" w:hAnsiTheme="minorHAnsi" w:cstheme="minorHAnsi"/>
              </w:rPr>
            </w:pPr>
            <w:r w:rsidRPr="00880DE5">
              <w:rPr>
                <w:rFonts w:asciiTheme="minorHAnsi" w:hAnsiTheme="minorHAnsi" w:cstheme="minorHAnsi"/>
              </w:rPr>
              <w:t>Group 2:  The way the formula is fixed and the weights are set, an EL student in Portland would receive better services than a student in Eastern Oregon.  Does the money follow the student; accountability.  A point five rating is beautiful and necessary.  But the reality is there might be only one teacher and a para pro</w:t>
            </w:r>
            <w:r w:rsidR="00880DE5" w:rsidRPr="00880DE5">
              <w:rPr>
                <w:rFonts w:asciiTheme="minorHAnsi" w:hAnsiTheme="minorHAnsi" w:cstheme="minorHAnsi"/>
              </w:rPr>
              <w:t>fessional</w:t>
            </w:r>
            <w:r w:rsidRPr="00880DE5">
              <w:rPr>
                <w:rFonts w:asciiTheme="minorHAnsi" w:hAnsiTheme="minorHAnsi" w:cstheme="minorHAnsi"/>
              </w:rPr>
              <w:t xml:space="preserve"> </w:t>
            </w:r>
            <w:r w:rsidR="00880DE5" w:rsidRPr="00880DE5">
              <w:rPr>
                <w:rFonts w:asciiTheme="minorHAnsi" w:hAnsiTheme="minorHAnsi" w:cstheme="minorHAnsi"/>
              </w:rPr>
              <w:t>as</w:t>
            </w:r>
            <w:r w:rsidRPr="00880DE5">
              <w:rPr>
                <w:rFonts w:asciiTheme="minorHAnsi" w:hAnsiTheme="minorHAnsi" w:cstheme="minorHAnsi"/>
              </w:rPr>
              <w:t xml:space="preserve"> the only ones supporting 40 or 50 students.  Districts that don’t have the people to do all the work may do different things to make up.  There are inequities based on where one lives.  Sometimes it is difficult to find teachers who want to work in rural areas. </w:t>
            </w:r>
            <w:r w:rsidR="00880DE5" w:rsidRPr="00880DE5">
              <w:rPr>
                <w:rFonts w:asciiTheme="minorHAnsi" w:hAnsiTheme="minorHAnsi" w:cstheme="minorHAnsi"/>
              </w:rPr>
              <w:t xml:space="preserve"> Developing an EL</w:t>
            </w:r>
            <w:r w:rsidR="005A524D">
              <w:rPr>
                <w:rFonts w:asciiTheme="minorHAnsi" w:hAnsiTheme="minorHAnsi" w:cstheme="minorHAnsi"/>
              </w:rPr>
              <w:t xml:space="preserve"> resource bank: </w:t>
            </w:r>
            <w:r w:rsidR="005A524D" w:rsidRPr="005A524D">
              <w:rPr>
                <w:rFonts w:asciiTheme="minorHAnsi" w:hAnsiTheme="minorHAnsi" w:cstheme="minorHAnsi"/>
              </w:rPr>
              <w:t>One effort of the HB 3499 program is the development of an EL Resource Bank. This Bank is guided by OAR 581-020-062:4 ELL District and School Improvement: Best Practices and Promising</w:t>
            </w:r>
            <w:r w:rsidR="005A524D" w:rsidRPr="005A524D">
              <w:rPr>
                <w:rFonts w:asciiTheme="minorHAnsi" w:hAnsiTheme="minorHAnsi" w:cstheme="minorHAnsi"/>
              </w:rPr>
              <w:cr/>
              <w:t>(1) The Department shall create an online resource bank for sharing national, state and local best practices and promising practices in serving ELL students and engaging families of ELL students. The best practices and promising practices must be culturally responsive.</w:t>
            </w:r>
            <w:r w:rsidR="005A524D" w:rsidRPr="005A524D">
              <w:rPr>
                <w:rFonts w:asciiTheme="minorHAnsi" w:hAnsiTheme="minorHAnsi" w:cstheme="minorHAnsi"/>
              </w:rPr>
              <w:cr/>
              <w:t>(2) The online resource bank shall include resources for best practices and promising practices and should address at a minimum:</w:t>
            </w:r>
            <w:r w:rsidR="005A524D" w:rsidRPr="005A524D">
              <w:rPr>
                <w:rFonts w:asciiTheme="minorHAnsi" w:hAnsiTheme="minorHAnsi" w:cstheme="minorHAnsi"/>
              </w:rPr>
              <w:cr/>
              <w:t>(a) The provision of support for students who are in grades 6 to 12 and have been identified as ELL students for six or more years;</w:t>
            </w:r>
            <w:r w:rsidR="005A524D" w:rsidRPr="005A524D">
              <w:rPr>
                <w:rFonts w:asciiTheme="minorHAnsi" w:hAnsiTheme="minorHAnsi" w:cstheme="minorHAnsi"/>
              </w:rPr>
              <w:cr/>
              <w:t>(b) The provision of support for students who are former ELL students;</w:t>
            </w:r>
            <w:r w:rsidR="005A524D" w:rsidRPr="005A524D">
              <w:rPr>
                <w:rFonts w:asciiTheme="minorHAnsi" w:hAnsiTheme="minorHAnsi" w:cstheme="minorHAnsi"/>
              </w:rPr>
              <w:cr/>
              <w:t>(c) Engagement of families and delivering essential notifications relating to ELL programs; and</w:t>
            </w:r>
            <w:r w:rsidR="005A524D" w:rsidRPr="005A524D">
              <w:rPr>
                <w:rFonts w:asciiTheme="minorHAnsi" w:hAnsiTheme="minorHAnsi" w:cstheme="minorHAnsi"/>
              </w:rPr>
              <w:cr/>
              <w:t>(d) Identification of students who are eligible to be enrolled as ELL students.</w:t>
            </w:r>
          </w:p>
          <w:p w:rsidR="005A524D" w:rsidRDefault="005A524D" w:rsidP="005A524D">
            <w:pPr>
              <w:pStyle w:val="TableParagraph"/>
              <w:rPr>
                <w:rFonts w:asciiTheme="minorHAnsi" w:hAnsiTheme="minorHAnsi" w:cstheme="minorHAnsi"/>
              </w:rPr>
            </w:pPr>
          </w:p>
          <w:p w:rsidR="005A524D" w:rsidRPr="00880DE5" w:rsidRDefault="005A524D" w:rsidP="005A524D">
            <w:pPr>
              <w:pStyle w:val="TableParagraph"/>
              <w:rPr>
                <w:rFonts w:asciiTheme="minorHAnsi" w:hAnsiTheme="minorHAnsi" w:cstheme="minorHAnsi"/>
              </w:rPr>
            </w:pPr>
            <w:r w:rsidRPr="005A524D">
              <w:rPr>
                <w:rFonts w:asciiTheme="minorHAnsi" w:hAnsiTheme="minorHAnsi" w:cstheme="minorHAnsi"/>
              </w:rPr>
              <w:t xml:space="preserve">This ODE web page has the HB 3499 District Profile for each district in Cohort 1 </w:t>
            </w:r>
            <w:r w:rsidRPr="005A524D">
              <w:rPr>
                <w:rFonts w:asciiTheme="minorHAnsi" w:hAnsiTheme="minorHAnsi" w:cstheme="minorHAnsi"/>
              </w:rPr>
              <w:cr/>
            </w:r>
            <w:r w:rsidRPr="005A524D">
              <w:rPr>
                <w:rFonts w:asciiTheme="minorHAnsi" w:hAnsiTheme="minorHAnsi" w:cstheme="minorHAnsi"/>
              </w:rPr>
              <w:cr/>
              <w:t>https://www.oregon.gov/ode/students-and-family/equity/EngLearners/Pages/EL-Cohort-1.aspx</w:t>
            </w:r>
            <w:r w:rsidRPr="005A524D">
              <w:rPr>
                <w:rFonts w:asciiTheme="minorHAnsi" w:hAnsiTheme="minorHAnsi" w:cstheme="minorHAnsi"/>
              </w:rPr>
              <w:cr/>
            </w:r>
            <w:r w:rsidRPr="005A524D">
              <w:rPr>
                <w:rFonts w:asciiTheme="minorHAnsi" w:hAnsiTheme="minorHAnsi" w:cstheme="minorHAnsi"/>
              </w:rPr>
              <w:cr/>
              <w:t>Page 2 of these profiles identifies the elementary and secondary indicators used to identify districts and measure progress. The bottom of the page describes rating criteria and how determinations are made.</w:t>
            </w:r>
          </w:p>
          <w:p w:rsidR="00C1751C" w:rsidRPr="00880DE5" w:rsidRDefault="00C1751C" w:rsidP="00C1751C">
            <w:pPr>
              <w:pStyle w:val="TableParagraph"/>
              <w:rPr>
                <w:rFonts w:asciiTheme="minorHAnsi" w:hAnsiTheme="minorHAnsi" w:cstheme="minorHAnsi"/>
              </w:rPr>
            </w:pPr>
          </w:p>
          <w:p w:rsidR="00C1751C" w:rsidRPr="00880DE5" w:rsidRDefault="00880DE5" w:rsidP="00C1751C">
            <w:pPr>
              <w:pStyle w:val="TableParagraph"/>
              <w:rPr>
                <w:rFonts w:asciiTheme="minorHAnsi" w:hAnsiTheme="minorHAnsi" w:cstheme="minorHAnsi"/>
              </w:rPr>
            </w:pPr>
            <w:r w:rsidRPr="00880DE5">
              <w:rPr>
                <w:rFonts w:asciiTheme="minorHAnsi" w:hAnsiTheme="minorHAnsi" w:cstheme="minorHAnsi"/>
              </w:rPr>
              <w:t>Group 1:  Observation:  A</w:t>
            </w:r>
            <w:r w:rsidR="00C1751C" w:rsidRPr="00880DE5">
              <w:rPr>
                <w:rFonts w:asciiTheme="minorHAnsi" w:hAnsiTheme="minorHAnsi" w:cstheme="minorHAnsi"/>
              </w:rPr>
              <w:t xml:space="preserve">s a </w:t>
            </w:r>
            <w:r w:rsidRPr="00880DE5">
              <w:rPr>
                <w:rFonts w:asciiTheme="minorHAnsi" w:hAnsiTheme="minorHAnsi" w:cstheme="minorHAnsi"/>
              </w:rPr>
              <w:t>percent</w:t>
            </w:r>
            <w:r w:rsidR="00C1751C" w:rsidRPr="00880DE5">
              <w:rPr>
                <w:rFonts w:asciiTheme="minorHAnsi" w:hAnsiTheme="minorHAnsi" w:cstheme="minorHAnsi"/>
              </w:rPr>
              <w:t xml:space="preserve"> of t</w:t>
            </w:r>
            <w:r w:rsidR="00F251A4">
              <w:rPr>
                <w:rFonts w:asciiTheme="minorHAnsi" w:hAnsiTheme="minorHAnsi" w:cstheme="minorHAnsi"/>
              </w:rPr>
              <w:t>he whole EL funding</w:t>
            </w:r>
            <w:bookmarkStart w:id="2" w:name="_GoBack"/>
            <w:bookmarkEnd w:id="2"/>
            <w:r w:rsidR="00C1751C" w:rsidRPr="00880DE5">
              <w:rPr>
                <w:rFonts w:asciiTheme="minorHAnsi" w:hAnsiTheme="minorHAnsi" w:cstheme="minorHAnsi"/>
              </w:rPr>
              <w:t xml:space="preserve"> is not that much.</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How will the researche</w:t>
            </w:r>
            <w:r w:rsidR="00880DE5" w:rsidRPr="00880DE5">
              <w:rPr>
                <w:rFonts w:asciiTheme="minorHAnsi" w:hAnsiTheme="minorHAnsi" w:cstheme="minorHAnsi"/>
              </w:rPr>
              <w:t>r cope with the data?</w:t>
            </w:r>
            <w:r w:rsidRPr="00880DE5">
              <w:rPr>
                <w:rFonts w:asciiTheme="minorHAnsi" w:hAnsiTheme="minorHAnsi" w:cstheme="minorHAnsi"/>
              </w:rPr>
              <w:t xml:space="preserve">  There is a lot of effort on the part of districts in coding consistency.  Is money being inequitably </w:t>
            </w:r>
            <w:r w:rsidRPr="00880DE5">
              <w:rPr>
                <w:rFonts w:asciiTheme="minorHAnsi" w:hAnsiTheme="minorHAnsi" w:cstheme="minorHAnsi"/>
              </w:rPr>
              <w:lastRenderedPageBreak/>
              <w:t>spent on students who are not BIPOC?</w:t>
            </w:r>
          </w:p>
          <w:p w:rsidR="00C1751C" w:rsidRPr="00880DE5" w:rsidRDefault="00C1751C" w:rsidP="00C1751C">
            <w:pPr>
              <w:pStyle w:val="TableParagraph"/>
              <w:rPr>
                <w:rFonts w:asciiTheme="minorHAnsi" w:hAnsiTheme="minorHAnsi" w:cstheme="minorHAnsi"/>
              </w:rPr>
            </w:pP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We will send out more information.  At our next meeting we will dive more deeply into teacher experience factor.  And teachers of Color.</w:t>
            </w:r>
          </w:p>
          <w:p w:rsidR="00C1751C" w:rsidRPr="00880DE5" w:rsidRDefault="00C1751C" w:rsidP="00C1751C">
            <w:pPr>
              <w:pStyle w:val="TableParagraph"/>
              <w:rPr>
                <w:rFonts w:asciiTheme="minorHAnsi" w:hAnsiTheme="minorHAnsi" w:cstheme="minorHAnsi"/>
              </w:rPr>
            </w:pP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Rural school funding would be a great topic in future.  Rural/urban/suburban. Or even rural vs. rural.</w:t>
            </w:r>
          </w:p>
          <w:p w:rsidR="00C1751C" w:rsidRPr="00880DE5" w:rsidRDefault="00C1751C" w:rsidP="00C1751C">
            <w:pPr>
              <w:pStyle w:val="TableParagraph"/>
              <w:rPr>
                <w:rFonts w:asciiTheme="minorHAnsi" w:hAnsiTheme="minorHAnsi" w:cstheme="minorHAnsi"/>
              </w:rPr>
            </w:pP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 xml:space="preserve">The economy of scale is part of it.  Another part is over time, when you receive </w:t>
            </w:r>
            <w:r w:rsidR="00880DE5" w:rsidRPr="00880DE5">
              <w:rPr>
                <w:rFonts w:asciiTheme="minorHAnsi" w:hAnsiTheme="minorHAnsi" w:cstheme="minorHAnsi"/>
              </w:rPr>
              <w:t xml:space="preserve">the </w:t>
            </w:r>
            <w:r w:rsidRPr="00880DE5">
              <w:rPr>
                <w:rFonts w:asciiTheme="minorHAnsi" w:hAnsiTheme="minorHAnsi" w:cstheme="minorHAnsi"/>
              </w:rPr>
              <w:t xml:space="preserve">bottom level of funding, you’re stuck in that spot. </w:t>
            </w:r>
          </w:p>
          <w:p w:rsidR="00C1751C" w:rsidRPr="00880DE5" w:rsidRDefault="00C1751C" w:rsidP="00C1751C">
            <w:pPr>
              <w:pStyle w:val="TableParagraph"/>
              <w:rPr>
                <w:rFonts w:asciiTheme="minorHAnsi" w:hAnsiTheme="minorHAnsi" w:cstheme="minorHAnsi"/>
              </w:rPr>
            </w:pPr>
          </w:p>
          <w:p w:rsidR="00C1751C" w:rsidRPr="00880DE5" w:rsidRDefault="00C1751C" w:rsidP="005A524D">
            <w:pPr>
              <w:pStyle w:val="TableParagraph"/>
              <w:rPr>
                <w:rFonts w:asciiTheme="minorHAnsi" w:hAnsiTheme="minorHAnsi" w:cstheme="minorHAnsi"/>
              </w:rPr>
            </w:pPr>
          </w:p>
        </w:tc>
      </w:tr>
      <w:tr w:rsidR="00C1751C" w:rsidTr="00207CFD">
        <w:trPr>
          <w:trHeight w:val="1098"/>
        </w:trPr>
        <w:tc>
          <w:tcPr>
            <w:tcW w:w="4530" w:type="dxa"/>
            <w:tcBorders>
              <w:top w:val="single" w:sz="4" w:space="0" w:color="000000"/>
              <w:left w:val="thickThinMediumGap" w:sz="17" w:space="0" w:color="000000"/>
              <w:bottom w:val="single" w:sz="4" w:space="0" w:color="000000"/>
              <w:right w:val="single" w:sz="4" w:space="0" w:color="000000"/>
            </w:tcBorders>
          </w:tcPr>
          <w:p w:rsidR="00C1751C" w:rsidRPr="00210B3A" w:rsidRDefault="00C1751C" w:rsidP="00C1751C">
            <w:pPr>
              <w:pStyle w:val="TableParagraph"/>
              <w:ind w:left="61"/>
              <w:rPr>
                <w:b/>
              </w:rPr>
            </w:pPr>
            <w:r>
              <w:rPr>
                <w:b/>
              </w:rPr>
              <w:lastRenderedPageBreak/>
              <w:t>6</w:t>
            </w:r>
            <w:r w:rsidRPr="00885459">
              <w:rPr>
                <w:b/>
              </w:rPr>
              <w:t>. Researcher Contract update</w:t>
            </w:r>
          </w:p>
          <w:p w:rsidR="00C1751C" w:rsidRDefault="00C1751C" w:rsidP="00C1751C">
            <w:pPr>
              <w:pStyle w:val="TableParagraph"/>
              <w:ind w:right="3256"/>
              <w:rPr>
                <w:i/>
              </w:rPr>
            </w:pPr>
          </w:p>
          <w:p w:rsidR="00C1751C" w:rsidRDefault="00C1751C" w:rsidP="00C1751C">
            <w:pPr>
              <w:pStyle w:val="TableParagraph"/>
              <w:ind w:right="3256"/>
              <w:rPr>
                <w:i/>
              </w:rPr>
            </w:pPr>
          </w:p>
          <w:p w:rsidR="00C1751C" w:rsidRDefault="00C1751C" w:rsidP="00C1751C">
            <w:pPr>
              <w:pStyle w:val="TableParagraph"/>
              <w:ind w:left="75" w:right="3256"/>
              <w:rPr>
                <w:i/>
              </w:rPr>
            </w:pPr>
            <w:r>
              <w:rPr>
                <w:i/>
              </w:rPr>
              <w:t xml:space="preserve">(Cindy Hunt) </w:t>
            </w:r>
          </w:p>
          <w:p w:rsidR="00C1751C" w:rsidRDefault="00C1751C" w:rsidP="00C1751C">
            <w:pPr>
              <w:pStyle w:val="TableParagraph"/>
              <w:ind w:left="75" w:right="3256"/>
              <w:rPr>
                <w:i/>
              </w:rPr>
            </w:pPr>
            <w:r>
              <w:rPr>
                <w:i/>
              </w:rPr>
              <w:t>5 min</w:t>
            </w:r>
          </w:p>
        </w:tc>
        <w:tc>
          <w:tcPr>
            <w:tcW w:w="6361" w:type="dxa"/>
            <w:tcBorders>
              <w:top w:val="single" w:sz="4" w:space="0" w:color="000000"/>
              <w:left w:val="single" w:sz="4" w:space="0" w:color="000000"/>
              <w:bottom w:val="single" w:sz="4" w:space="0" w:color="000000"/>
              <w:right w:val="thinThickMediumGap" w:sz="12" w:space="0" w:color="000000"/>
            </w:tcBorders>
          </w:tcPr>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In progress.</w:t>
            </w:r>
          </w:p>
        </w:tc>
      </w:tr>
      <w:tr w:rsidR="00C1751C" w:rsidTr="00207CFD">
        <w:trPr>
          <w:trHeight w:val="1188"/>
        </w:trPr>
        <w:tc>
          <w:tcPr>
            <w:tcW w:w="4530" w:type="dxa"/>
            <w:tcBorders>
              <w:top w:val="single" w:sz="4" w:space="0" w:color="000000"/>
              <w:left w:val="thickThinMediumGap" w:sz="17" w:space="0" w:color="000000"/>
              <w:bottom w:val="single" w:sz="4" w:space="0" w:color="000000"/>
              <w:right w:val="single" w:sz="4" w:space="0" w:color="000000"/>
            </w:tcBorders>
          </w:tcPr>
          <w:p w:rsidR="00C1751C" w:rsidRDefault="00C1751C" w:rsidP="00C1751C">
            <w:pPr>
              <w:pStyle w:val="TableParagraph"/>
              <w:ind w:left="61"/>
            </w:pPr>
            <w:r>
              <w:rPr>
                <w:b/>
              </w:rPr>
              <w:t xml:space="preserve">7. </w:t>
            </w:r>
            <w:r w:rsidRPr="00885459">
              <w:rPr>
                <w:b/>
              </w:rPr>
              <w:t>Closing &amp; Next Steps</w:t>
            </w:r>
          </w:p>
          <w:p w:rsidR="00C1751C" w:rsidRDefault="00C1751C" w:rsidP="00C1751C">
            <w:pPr>
              <w:pStyle w:val="TableParagraph"/>
              <w:ind w:left="75" w:right="2648"/>
              <w:rPr>
                <w:i/>
              </w:rPr>
            </w:pPr>
          </w:p>
          <w:p w:rsidR="00C1751C" w:rsidRDefault="00C1751C" w:rsidP="00C1751C">
            <w:pPr>
              <w:pStyle w:val="TableParagraph"/>
              <w:ind w:left="75" w:right="2648"/>
              <w:rPr>
                <w:i/>
              </w:rPr>
            </w:pPr>
          </w:p>
          <w:p w:rsidR="00C1751C" w:rsidRDefault="00C1751C" w:rsidP="00C1751C">
            <w:pPr>
              <w:pStyle w:val="TableParagraph"/>
              <w:ind w:left="75" w:right="2648"/>
              <w:rPr>
                <w:i/>
              </w:rPr>
            </w:pPr>
            <w:r>
              <w:rPr>
                <w:i/>
              </w:rPr>
              <w:t>(Tamara Dykeman) 5 min.</w:t>
            </w:r>
          </w:p>
        </w:tc>
        <w:tc>
          <w:tcPr>
            <w:tcW w:w="6361" w:type="dxa"/>
            <w:tcBorders>
              <w:top w:val="single" w:sz="4" w:space="0" w:color="000000"/>
              <w:left w:val="single" w:sz="4" w:space="0" w:color="000000"/>
              <w:bottom w:val="single" w:sz="4" w:space="0" w:color="000000"/>
              <w:right w:val="thinThickMediumGap" w:sz="12" w:space="0" w:color="000000"/>
            </w:tcBorders>
          </w:tcPr>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Next meeting; Doodle Poll</w:t>
            </w:r>
          </w:p>
          <w:p w:rsidR="00C1751C" w:rsidRPr="00880DE5" w:rsidRDefault="00C1751C" w:rsidP="00C1751C">
            <w:pPr>
              <w:pStyle w:val="TableParagraph"/>
              <w:rPr>
                <w:rFonts w:asciiTheme="minorHAnsi" w:hAnsiTheme="minorHAnsi" w:cstheme="minorHAnsi"/>
              </w:rPr>
            </w:pPr>
            <w:r w:rsidRPr="00880DE5">
              <w:rPr>
                <w:rFonts w:asciiTheme="minorHAnsi" w:hAnsiTheme="minorHAnsi" w:cstheme="minorHAnsi"/>
              </w:rPr>
              <w:t>Thank you from multiple groups to Mariana and Mike.</w:t>
            </w:r>
          </w:p>
        </w:tc>
      </w:tr>
    </w:tbl>
    <w:p w:rsidR="001B0C6A" w:rsidRDefault="00450821">
      <w:pPr>
        <w:spacing w:line="230" w:lineRule="exact"/>
        <w:ind w:left="140"/>
        <w:rPr>
          <w:rFonts w:ascii="Arial"/>
          <w:sz w:val="20"/>
        </w:rPr>
      </w:pPr>
      <w:r>
        <w:rPr>
          <w:rFonts w:ascii="Arial"/>
          <w:sz w:val="20"/>
        </w:rPr>
        <w:t>Next meeting date: TBD by Doodle Poll</w:t>
      </w:r>
    </w:p>
    <w:p w:rsidR="001B0C6A" w:rsidRDefault="001B0C6A">
      <w:pPr>
        <w:pStyle w:val="BodyText"/>
        <w:spacing w:before="8"/>
        <w:rPr>
          <w:rFonts w:ascii="Arial"/>
          <w:b w:val="0"/>
          <w:sz w:val="16"/>
        </w:rPr>
      </w:pPr>
    </w:p>
    <w:p w:rsidR="001B0C6A" w:rsidRDefault="00880DE5" w:rsidP="00210B3A">
      <w:pPr>
        <w:ind w:left="9643" w:right="385"/>
        <w:jc w:val="center"/>
        <w:rPr>
          <w:rFonts w:ascii="Times New Roman"/>
          <w:sz w:val="16"/>
        </w:rPr>
      </w:pPr>
      <w:r>
        <w:rPr>
          <w:rFonts w:ascii="Times New Roman"/>
          <w:sz w:val="16"/>
        </w:rPr>
        <w:t xml:space="preserve">                    2/7/22</w:t>
      </w:r>
    </w:p>
    <w:sectPr w:rsidR="001B0C6A">
      <w:type w:val="continuous"/>
      <w:pgSz w:w="12240" w:h="15840"/>
      <w:pgMar w:top="1160" w:right="4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6A"/>
    <w:rsid w:val="001B0C6A"/>
    <w:rsid w:val="00207CFD"/>
    <w:rsid w:val="00210B3A"/>
    <w:rsid w:val="00450821"/>
    <w:rsid w:val="00476BA5"/>
    <w:rsid w:val="00505636"/>
    <w:rsid w:val="005A524D"/>
    <w:rsid w:val="00880DE5"/>
    <w:rsid w:val="00885459"/>
    <w:rsid w:val="00C1751C"/>
    <w:rsid w:val="00EB2C27"/>
    <w:rsid w:val="00F251A4"/>
    <w:rsid w:val="00F86109"/>
    <w:rsid w:val="00FA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F9AC"/>
  <w15:docId w15:val="{4114F013-97B9-4003-8394-E5EC9F2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1751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2022-01-06T08:00:00+00:00</Estimated_x0020_Creation_x0020_Date>
    <Remediation_x0020_Date xmlns="edb5ef48-5285-463e-a2b9-308f2d437c3d">2022-03-15T07:00:00+00:00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F66D53-E65B-46EB-8BBF-66A99CFE99A9}"/>
</file>

<file path=customXml/itemProps2.xml><?xml version="1.0" encoding="utf-8"?>
<ds:datastoreItem xmlns:ds="http://schemas.openxmlformats.org/officeDocument/2006/customXml" ds:itemID="{20964FB8-5C30-4621-8B65-9A2F1422A1AB}"/>
</file>

<file path=customXml/itemProps3.xml><?xml version="1.0" encoding="utf-8"?>
<ds:datastoreItem xmlns:ds="http://schemas.openxmlformats.org/officeDocument/2006/customXml" ds:itemID="{ECD48B8F-7004-468B-82C2-7F698A68F957}"/>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Kun-Yin Kwan</dc:creator>
  <cp:lastModifiedBy>HUNT Cindy L * ODE</cp:lastModifiedBy>
  <cp:revision>2</cp:revision>
  <dcterms:created xsi:type="dcterms:W3CDTF">2022-03-15T15:18:00Z</dcterms:created>
  <dcterms:modified xsi:type="dcterms:W3CDTF">2022-03-15T15:18:00Z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20 for Word</vt:lpwstr>
  </property>
  <property fmtid="{D5CDD505-2E9C-101B-9397-08002B2CF9AE}" pid="4" name="LastSaved">
    <vt:filetime>2022-01-10T00:00:00Z</vt:filetime>
  </property>
  <property fmtid="{D5CDD505-2E9C-101B-9397-08002B2CF9AE}" pid="5" name="ContentTypeId">
    <vt:lpwstr>0x0101008AD634F791A68E448BB12BA2A972606E</vt:lpwstr>
  </property>
</Properties>
</file>