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95" w:rsidRDefault="000B2389">
      <w:pPr>
        <w:pStyle w:val="Heading1"/>
        <w:widowControl w:val="0"/>
      </w:pPr>
      <w:bookmarkStart w:id="0" w:name="_qfcz4vot47yy" w:colFirst="0" w:colLast="0"/>
      <w:bookmarkEnd w:id="0"/>
      <w:r>
        <w:t>Arts Learning Family Letter Template</w:t>
      </w:r>
    </w:p>
    <w:p w:rsidR="007B6F95" w:rsidRDefault="007B6F95">
      <w:pPr>
        <w:widowControl w:val="0"/>
      </w:pPr>
    </w:p>
    <w:p w:rsidR="007B6F95" w:rsidRDefault="000B2389">
      <w:pPr>
        <w:widowControl w:val="0"/>
      </w:pPr>
      <w:r>
        <w:t>Arts Learning Family Letter Template Instructions:</w:t>
      </w:r>
    </w:p>
    <w:p w:rsidR="007B6F95" w:rsidRDefault="007B6F95">
      <w:pPr>
        <w:widowControl w:val="0"/>
      </w:pPr>
    </w:p>
    <w:p w:rsidR="007B6F95" w:rsidRDefault="000B2389">
      <w:pPr>
        <w:widowControl w:val="0"/>
      </w:pPr>
      <w:r>
        <w:t>Utilize a copy of this template to communicate to families about arts learning experiences in the classroom. This template can be filled out by educators and shared or completed with students as a reflection activity to share with their family. It can be s</w:t>
      </w:r>
      <w:r>
        <w:t xml:space="preserve">hared electronically or printed off for students to fill out in class. </w:t>
      </w:r>
    </w:p>
    <w:p w:rsidR="007B6F95" w:rsidRDefault="007B6F95">
      <w:pPr>
        <w:widowControl w:val="0"/>
      </w:pPr>
    </w:p>
    <w:p w:rsidR="007B6F95" w:rsidRDefault="000B2389">
      <w:pPr>
        <w:widowControl w:val="0"/>
      </w:pPr>
      <w:r>
        <w:t>If possible, share an artifact, photo, or performance from the process attached with the document, on a classroom website, or in a classroom newsletter to supplement this communicatio</w:t>
      </w:r>
      <w:r>
        <w:t xml:space="preserve">n tool. Before sharing with families, we recommend that the classroom letter is translated into the home languages of students in the classroom. </w:t>
      </w:r>
    </w:p>
    <w:p w:rsidR="007B6F95" w:rsidRDefault="007B6F95">
      <w:pPr>
        <w:widowControl w:val="0"/>
      </w:pPr>
    </w:p>
    <w:p w:rsidR="007B6F95" w:rsidRDefault="000B2389">
      <w:pPr>
        <w:widowControl w:val="0"/>
      </w:pPr>
      <w:hyperlink r:id="rId6">
        <w:r>
          <w:rPr>
            <w:b/>
            <w:color w:val="1155CC"/>
            <w:u w:val="single"/>
          </w:rPr>
          <w:t>Commu</w:t>
        </w:r>
        <w:r>
          <w:rPr>
            <w:b/>
            <w:color w:val="1155CC"/>
            <w:u w:val="single"/>
          </w:rPr>
          <w:t>nicating the Benefits of Arts Education</w:t>
        </w:r>
      </w:hyperlink>
      <w:r>
        <w:t xml:space="preserve"> provides additional information around the benefits of arts education and communications strategies and tools for arts programs. </w:t>
      </w:r>
    </w:p>
    <w:p w:rsidR="007B6F95" w:rsidRDefault="007B6F95">
      <w:pPr>
        <w:spacing w:line="276" w:lineRule="auto"/>
        <w:rPr>
          <w:b/>
        </w:rPr>
      </w:pPr>
    </w:p>
    <w:tbl>
      <w:tblPr>
        <w:tblStyle w:val="a"/>
        <w:tblW w:w="4575" w:type="dxa"/>
        <w:tblInd w:w="2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Read the Communicating the Benefits of Arts Education Resource"/>
      </w:tblPr>
      <w:tblGrid>
        <w:gridCol w:w="4575"/>
      </w:tblGrid>
      <w:tr w:rsidR="007B6F95" w:rsidTr="008E4191">
        <w:trPr>
          <w:tblHeader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F95" w:rsidRDefault="000B2389">
            <w:pPr>
              <w:widowControl w:val="0"/>
              <w:jc w:val="center"/>
              <w:rPr>
                <w:b/>
                <w:color w:val="FFFFFF"/>
              </w:rPr>
            </w:pPr>
            <w:hyperlink r:id="rId7">
              <w:r>
                <w:rPr>
                  <w:b/>
                  <w:color w:val="FFFFFF"/>
                </w:rPr>
                <w:t>Read the Communicating the Benefits of Arts Education Resource</w:t>
              </w:r>
            </w:hyperlink>
          </w:p>
        </w:tc>
      </w:tr>
    </w:tbl>
    <w:p w:rsidR="007B6F95" w:rsidRDefault="007B6F95">
      <w:pPr>
        <w:spacing w:line="276" w:lineRule="auto"/>
      </w:pPr>
    </w:p>
    <w:p w:rsidR="007B6F95" w:rsidRDefault="007B6F95">
      <w:pPr>
        <w:pStyle w:val="Heading2"/>
        <w:spacing w:line="276" w:lineRule="auto"/>
      </w:pPr>
      <w:bookmarkStart w:id="1" w:name="_8w5ffca31b5e" w:colFirst="0" w:colLast="0"/>
      <w:bookmarkStart w:id="2" w:name="_GoBack"/>
      <w:bookmarkEnd w:id="1"/>
      <w:bookmarkEnd w:id="2"/>
    </w:p>
    <w:p w:rsidR="007B6F95" w:rsidRDefault="007B6F95">
      <w:pPr>
        <w:widowControl w:val="0"/>
      </w:pPr>
    </w:p>
    <w:p w:rsidR="007B6F95" w:rsidRDefault="007B6F95">
      <w:pPr>
        <w:widowControl w:val="0"/>
      </w:pPr>
    </w:p>
    <w:p w:rsidR="007B6F95" w:rsidRDefault="007B6F95">
      <w:pPr>
        <w:rPr>
          <w:i/>
        </w:rPr>
      </w:pPr>
    </w:p>
    <w:p w:rsidR="007B6F95" w:rsidRDefault="007B6F95">
      <w:pPr>
        <w:rPr>
          <w:i/>
        </w:rPr>
      </w:pPr>
    </w:p>
    <w:p w:rsidR="007B6F95" w:rsidRDefault="007B6F95">
      <w:pPr>
        <w:rPr>
          <w:i/>
        </w:rPr>
      </w:pPr>
    </w:p>
    <w:p w:rsidR="007B6F95" w:rsidRDefault="007B6F95">
      <w:pPr>
        <w:rPr>
          <w:i/>
        </w:rPr>
      </w:pPr>
    </w:p>
    <w:p w:rsidR="007B6F95" w:rsidRDefault="007B6F95">
      <w:pPr>
        <w:rPr>
          <w:i/>
        </w:rPr>
      </w:pPr>
    </w:p>
    <w:p w:rsidR="007B6F95" w:rsidRDefault="007B6F95">
      <w:pPr>
        <w:rPr>
          <w:i/>
        </w:rPr>
      </w:pPr>
    </w:p>
    <w:p w:rsidR="007B6F95" w:rsidRDefault="007B6F95">
      <w:pPr>
        <w:widowControl w:val="0"/>
      </w:pPr>
    </w:p>
    <w:p w:rsidR="007B6F95" w:rsidRDefault="007B6F95">
      <w:pPr>
        <w:widowControl w:val="0"/>
      </w:pPr>
    </w:p>
    <w:p w:rsidR="007B6F95" w:rsidRDefault="007B6F95">
      <w:pPr>
        <w:widowControl w:val="0"/>
      </w:pPr>
    </w:p>
    <w:p w:rsidR="007B6F95" w:rsidRDefault="007B6F95">
      <w:pPr>
        <w:widowControl w:val="0"/>
      </w:pPr>
    </w:p>
    <w:p w:rsidR="007B6F95" w:rsidRDefault="007B6F95">
      <w:pPr>
        <w:widowControl w:val="0"/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Arts Learning Family Letter Template  </w:t>
      </w:r>
      <w:r>
        <w:rPr>
          <w:sz w:val="28"/>
          <w:szCs w:val="28"/>
        </w:rPr>
        <w:t xml:space="preserve">         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Dear </w:t>
      </w:r>
      <w:r>
        <w:rPr>
          <w:sz w:val="28"/>
          <w:szCs w:val="28"/>
        </w:rPr>
        <w:t>[    ]</w:t>
      </w:r>
      <w:r>
        <w:rPr>
          <w:sz w:val="28"/>
          <w:szCs w:val="28"/>
        </w:rPr>
        <w:t>,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Today we engaged in arts learning during a lesson about [</w:t>
      </w:r>
      <w:r>
        <w:rPr>
          <w:i/>
          <w:sz w:val="28"/>
          <w:szCs w:val="28"/>
        </w:rPr>
        <w:t>content theme</w:t>
      </w:r>
      <w:r>
        <w:rPr>
          <w:sz w:val="28"/>
          <w:szCs w:val="28"/>
        </w:rPr>
        <w:t>]. We worked with [</w:t>
      </w:r>
      <w:r>
        <w:rPr>
          <w:i/>
          <w:sz w:val="28"/>
          <w:szCs w:val="28"/>
        </w:rPr>
        <w:t>arts learning experience</w:t>
      </w:r>
      <w:r>
        <w:rPr>
          <w:sz w:val="28"/>
          <w:szCs w:val="28"/>
        </w:rPr>
        <w:t xml:space="preserve">]. 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We learned [</w:t>
      </w:r>
      <w:r>
        <w:rPr>
          <w:i/>
          <w:sz w:val="28"/>
          <w:szCs w:val="28"/>
        </w:rPr>
        <w:t>lesson objectives</w:t>
      </w:r>
      <w:r>
        <w:rPr>
          <w:sz w:val="28"/>
          <w:szCs w:val="28"/>
        </w:rPr>
        <w:t>]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We created [</w:t>
      </w:r>
      <w:r>
        <w:rPr>
          <w:i/>
          <w:sz w:val="28"/>
          <w:szCs w:val="28"/>
        </w:rPr>
        <w:t>process and/or product</w:t>
      </w:r>
      <w:r>
        <w:rPr>
          <w:sz w:val="28"/>
          <w:szCs w:val="28"/>
        </w:rPr>
        <w:t>]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We shared our learning by [</w:t>
      </w:r>
      <w:r>
        <w:rPr>
          <w:i/>
          <w:sz w:val="28"/>
          <w:szCs w:val="28"/>
        </w:rPr>
        <w:t>performance/assessment/reflection protocol</w:t>
      </w:r>
      <w:r>
        <w:rPr>
          <w:sz w:val="28"/>
          <w:szCs w:val="28"/>
        </w:rPr>
        <w:t>]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At home, you could [</w:t>
      </w:r>
      <w:r>
        <w:rPr>
          <w:i/>
          <w:sz w:val="28"/>
          <w:szCs w:val="28"/>
        </w:rPr>
        <w:t>extended learning activity</w:t>
      </w:r>
      <w:r>
        <w:rPr>
          <w:sz w:val="28"/>
          <w:szCs w:val="28"/>
        </w:rPr>
        <w:t>] to deepen learning around this conte</w:t>
      </w:r>
      <w:r>
        <w:rPr>
          <w:sz w:val="28"/>
          <w:szCs w:val="28"/>
        </w:rPr>
        <w:t xml:space="preserve">nt and share this experience with family. 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Ask </w:t>
      </w:r>
      <w:r>
        <w:rPr>
          <w:sz w:val="28"/>
          <w:szCs w:val="28"/>
        </w:rPr>
        <w:t>[</w:t>
      </w:r>
      <w:r>
        <w:rPr>
          <w:i/>
          <w:sz w:val="28"/>
          <w:szCs w:val="28"/>
        </w:rPr>
        <w:t>student name</w:t>
      </w:r>
      <w:r>
        <w:rPr>
          <w:sz w:val="28"/>
          <w:szCs w:val="28"/>
        </w:rPr>
        <w:t>]</w:t>
      </w:r>
      <w:r>
        <w:rPr>
          <w:sz w:val="28"/>
          <w:szCs w:val="28"/>
        </w:rPr>
        <w:t xml:space="preserve"> about [</w:t>
      </w:r>
      <w:r>
        <w:rPr>
          <w:i/>
          <w:sz w:val="28"/>
          <w:szCs w:val="28"/>
        </w:rPr>
        <w:t>student’s personal interest in project</w:t>
      </w:r>
      <w:r>
        <w:rPr>
          <w:sz w:val="28"/>
          <w:szCs w:val="28"/>
        </w:rPr>
        <w:t>]!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i/>
          <w:sz w:val="28"/>
          <w:szCs w:val="28"/>
        </w:rPr>
        <w:t>insert link to student photo, performance, or artifact if possible</w:t>
      </w:r>
      <w:r>
        <w:rPr>
          <w:sz w:val="28"/>
          <w:szCs w:val="28"/>
        </w:rPr>
        <w:t>]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Thank you for supporting arts learning for your student!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0B23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[Teacher signature]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E4042">
      <w:pPr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4095" cy="1014095"/>
            <wp:effectExtent l="0" t="0" r="0" b="0"/>
            <wp:wrapSquare wrapText="bothSides"/>
            <wp:docPr id="1" name="image1.png" title="WRAP Program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2389">
        <w:t xml:space="preserve">This work is funded by the Expanding Access to Well-Rounded Courses Grant, a 5 year, 9.8 million dollar Federal grant that ODE received from the US Department of Education in 2020. The Arts Access </w:t>
      </w:r>
      <w:r w:rsidR="000B2389">
        <w:t>Toolkit is</w:t>
      </w:r>
      <w:r w:rsidR="000B2389">
        <w:t xml:space="preserve"> a portion of the wor</w:t>
      </w:r>
      <w:r w:rsidR="000B2389">
        <w:t xml:space="preserve">k of the </w:t>
      </w:r>
      <w:hyperlink r:id="rId9">
        <w:r w:rsidR="000B2389">
          <w:rPr>
            <w:color w:val="1155CC"/>
            <w:u w:val="single"/>
          </w:rPr>
          <w:t>Well-Rounded Access Program</w:t>
        </w:r>
      </w:hyperlink>
      <w:r w:rsidR="000B2389">
        <w:t>, along with supporting access projects for courses in the arts and STEAM across the state.</w:t>
      </w:r>
      <w:r w:rsidR="000B2389">
        <w:t xml:space="preserve"> Over time, the Well-Rounded Access Program team hopes to continue to develop and refine this resource with the collaboration of administrators and educators </w:t>
      </w:r>
      <w:r w:rsidR="000B2389">
        <w:t>statewide</w:t>
      </w:r>
      <w:r w:rsidR="000B2389">
        <w:t>. If districts or schools have additional resources, examples or success stories to contr</w:t>
      </w:r>
      <w:r w:rsidR="000B2389">
        <w:t xml:space="preserve">ibute, please contact the Well-Rounded Access Program team at </w:t>
      </w:r>
      <w:hyperlink r:id="rId10">
        <w:r w:rsidR="000B2389">
          <w:rPr>
            <w:color w:val="1155CC"/>
            <w:u w:val="single"/>
          </w:rPr>
          <w:t>ODE.WRCoursesGrant@ode.state.or.us</w:t>
        </w:r>
      </w:hyperlink>
      <w:r w:rsidR="000B2389">
        <w:t xml:space="preserve">. </w:t>
      </w: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  <w:rPr>
          <w:sz w:val="28"/>
          <w:szCs w:val="28"/>
        </w:rPr>
      </w:pPr>
    </w:p>
    <w:p w:rsidR="007B6F95" w:rsidRDefault="007B6F95">
      <w:pPr>
        <w:widowControl w:val="0"/>
      </w:pPr>
    </w:p>
    <w:sectPr w:rsidR="007B6F9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2389">
      <w:r>
        <w:separator/>
      </w:r>
    </w:p>
  </w:endnote>
  <w:endnote w:type="continuationSeparator" w:id="0">
    <w:p w:rsidR="00000000" w:rsidRDefault="000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95" w:rsidRDefault="000B2389">
    <w:pPr>
      <w:jc w:val="right"/>
    </w:pPr>
    <w:r>
      <w:fldChar w:fldCharType="begin"/>
    </w:r>
    <w:r>
      <w:instrText>PAGE</w:instrText>
    </w:r>
    <w:r w:rsidR="00DD7BD3"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95" w:rsidRDefault="000B2389">
    <w:pPr>
      <w:jc w:val="right"/>
    </w:pPr>
    <w:r>
      <w:fldChar w:fldCharType="begin"/>
    </w:r>
    <w:r>
      <w:instrText>PAGE</w:instrText>
    </w:r>
    <w:r w:rsidR="00DD7BD3">
      <w:fldChar w:fldCharType="separate"/>
    </w:r>
    <w:r w:rsidR="008E41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2389">
      <w:r>
        <w:separator/>
      </w:r>
    </w:p>
  </w:footnote>
  <w:footnote w:type="continuationSeparator" w:id="0">
    <w:p w:rsidR="00000000" w:rsidRDefault="000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F95" w:rsidRDefault="000B2389">
    <w:pPr>
      <w:rPr>
        <w:b/>
      </w:rPr>
    </w:pPr>
    <w:r>
      <w:t xml:space="preserve">                                                                                                                       </w:t>
    </w:r>
    <w:r>
      <w:rPr>
        <w:noProof/>
        <w:lang w:val="en-US"/>
      </w:rPr>
      <w:drawing>
        <wp:inline distT="114300" distB="114300" distL="114300" distR="114300">
          <wp:extent cx="1281113" cy="1281113"/>
          <wp:effectExtent l="0" t="0" r="0" b="0"/>
          <wp:docPr id="2" name="image2.png" title="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113" cy="128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6F95" w:rsidRDefault="007B6F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95"/>
    <w:rsid w:val="000B2389"/>
    <w:rsid w:val="007B6F95"/>
    <w:rsid w:val="007E4042"/>
    <w:rsid w:val="008E4191"/>
    <w:rsid w:val="00D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A6DD2A1-201B-4926-AF61-B024F361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7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BD3"/>
  </w:style>
  <w:style w:type="paragraph" w:styleId="Footer">
    <w:name w:val="footer"/>
    <w:basedOn w:val="Normal"/>
    <w:link w:val="FooterChar"/>
    <w:uiPriority w:val="99"/>
    <w:unhideWhenUsed/>
    <w:rsid w:val="00DD7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x0SaBTo7HgxRoDOZI73BKQocFeV1-APCeM6SMyVZqtk/edit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x0SaBTo7HgxRoDOZI73BKQocFeV1-APCeM6SMyVZqtk/ed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ODE.WRCoursesGrant@ode.state.or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regon.gov/ode/educator-resources/standards/Pages/Expanding-Access-to-Well-Rounded-Education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2023-06-02T07:00:00+00:00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7CD0CC-9690-4177-9609-06C930942A8F}"/>
</file>

<file path=customXml/itemProps2.xml><?xml version="1.0" encoding="utf-8"?>
<ds:datastoreItem xmlns:ds="http://schemas.openxmlformats.org/officeDocument/2006/customXml" ds:itemID="{531529DA-C96A-4230-9126-887D5C481886}"/>
</file>

<file path=customXml/itemProps3.xml><?xml version="1.0" encoding="utf-8"?>
<ds:datastoreItem xmlns:ds="http://schemas.openxmlformats.org/officeDocument/2006/customXml" ds:itemID="{3DE6A8D3-2D64-40E0-9249-8CBEC3931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MASSA-MACLEOD Elizabeth * ODE</dc:creator>
  <cp:lastModifiedBy>MASSA-MACLEOD Elizabeth * ODE</cp:lastModifiedBy>
  <cp:revision>2</cp:revision>
  <dcterms:created xsi:type="dcterms:W3CDTF">2023-05-16T21:48:00Z</dcterms:created>
  <dcterms:modified xsi:type="dcterms:W3CDTF">2023-05-16T21:48:00Z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